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47FC">
      <w:pPr>
        <w:tabs>
          <w:tab w:val="center" w:pos="4201"/>
          <w:tab w:val="right" w:leader="dot" w:pos="9298"/>
          <w:tab w:val="clear" w:pos="-111"/>
        </w:tabs>
        <w:spacing w:line="360" w:lineRule="auto"/>
        <w:ind w:firstLine="0" w:firstLineChars="0"/>
        <w:rPr>
          <w:rFonts w:ascii="Times New Roman" w:hAnsi="Times New Roman"/>
          <w:color w:val="auto"/>
          <w:highlight w:val="none"/>
          <w:shd w:val="clear" w:color="auto" w:fill="auto"/>
        </w:rPr>
      </w:pPr>
    </w:p>
    <w:p w14:paraId="30C755A6">
      <w:pPr>
        <w:spacing w:line="360" w:lineRule="auto"/>
        <w:ind w:firstLine="0" w:firstLineChars="0"/>
        <w:rPr>
          <w:rFonts w:ascii="Times New Roman" w:hAnsi="Times New Roman" w:cs="Cambria"/>
          <w:b/>
          <w:snapToGrid w:val="0"/>
          <w:color w:val="auto"/>
          <w:kern w:val="0"/>
          <w:sz w:val="52"/>
          <w:szCs w:val="84"/>
          <w:highlight w:val="none"/>
          <w:shd w:val="clear" w:color="auto" w:fill="auto"/>
        </w:rPr>
      </w:pPr>
    </w:p>
    <w:p w14:paraId="1555A111">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重庆三峡银行</w:t>
      </w:r>
    </w:p>
    <w:p w14:paraId="66E635F6">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电子验印系统项目</w:t>
      </w:r>
    </w:p>
    <w:p w14:paraId="55CAAECA">
      <w:pPr>
        <w:spacing w:line="360" w:lineRule="auto"/>
        <w:ind w:firstLine="0" w:firstLineChars="0"/>
        <w:rPr>
          <w:rFonts w:ascii="Times New Roman" w:hAnsi="Times New Roman" w:cs="Times New Roman"/>
          <w:snapToGrid w:val="0"/>
          <w:color w:val="auto"/>
          <w:kern w:val="0"/>
          <w:sz w:val="18"/>
          <w:highlight w:val="none"/>
          <w:shd w:val="clear" w:color="auto" w:fill="auto"/>
        </w:rPr>
      </w:pPr>
    </w:p>
    <w:p w14:paraId="36A467B2">
      <w:pPr>
        <w:spacing w:line="360" w:lineRule="auto"/>
        <w:ind w:firstLine="0" w:firstLineChars="0"/>
        <w:rPr>
          <w:rFonts w:ascii="Times New Roman" w:hAnsi="Times New Roman" w:cs="Times New Roman"/>
          <w:snapToGrid w:val="0"/>
          <w:color w:val="auto"/>
          <w:kern w:val="0"/>
          <w:sz w:val="20"/>
          <w:highlight w:val="none"/>
          <w:shd w:val="clear" w:color="auto" w:fill="auto"/>
        </w:rPr>
      </w:pPr>
    </w:p>
    <w:p w14:paraId="7258369F">
      <w:pPr>
        <w:spacing w:line="360" w:lineRule="auto"/>
        <w:ind w:firstLine="0" w:firstLineChars="0"/>
        <w:rPr>
          <w:rFonts w:ascii="Times New Roman" w:hAnsi="Times New Roman" w:cs="Times New Roman"/>
          <w:snapToGrid w:val="0"/>
          <w:color w:val="auto"/>
          <w:kern w:val="0"/>
          <w:sz w:val="20"/>
          <w:highlight w:val="none"/>
          <w:shd w:val="clear" w:color="auto" w:fill="auto"/>
        </w:rPr>
      </w:pPr>
    </w:p>
    <w:p w14:paraId="20612E63">
      <w:pPr>
        <w:spacing w:line="360" w:lineRule="auto"/>
        <w:ind w:firstLine="0" w:firstLineChars="0"/>
        <w:rPr>
          <w:rFonts w:ascii="Times New Roman" w:hAnsi="Times New Roman" w:cs="Times New Roman"/>
          <w:snapToGrid w:val="0"/>
          <w:color w:val="auto"/>
          <w:kern w:val="0"/>
          <w:sz w:val="20"/>
          <w:highlight w:val="none"/>
          <w:shd w:val="clear" w:color="auto" w:fill="auto"/>
        </w:rPr>
      </w:pPr>
    </w:p>
    <w:p w14:paraId="4DF3B2A1">
      <w:pPr>
        <w:spacing w:line="360" w:lineRule="auto"/>
        <w:ind w:firstLine="0" w:firstLineChars="0"/>
        <w:rPr>
          <w:rFonts w:ascii="Times New Roman" w:hAnsi="Times New Roman" w:cs="Times New Roman"/>
          <w:snapToGrid w:val="0"/>
          <w:color w:val="auto"/>
          <w:kern w:val="0"/>
          <w:sz w:val="20"/>
          <w:highlight w:val="none"/>
          <w:shd w:val="clear" w:color="auto" w:fill="auto"/>
        </w:rPr>
      </w:pPr>
    </w:p>
    <w:p w14:paraId="1E46E1ED">
      <w:pPr>
        <w:spacing w:line="360" w:lineRule="auto"/>
        <w:ind w:firstLine="0" w:firstLineChars="0"/>
        <w:rPr>
          <w:rFonts w:ascii="Times New Roman" w:hAnsi="Times New Roman" w:cs="Times New Roman"/>
          <w:snapToGrid w:val="0"/>
          <w:color w:val="auto"/>
          <w:kern w:val="0"/>
          <w:sz w:val="20"/>
          <w:highlight w:val="none"/>
          <w:shd w:val="clear" w:color="auto" w:fill="auto"/>
        </w:rPr>
      </w:pPr>
    </w:p>
    <w:p w14:paraId="3FB9B7FE">
      <w:pPr>
        <w:spacing w:line="360" w:lineRule="auto"/>
        <w:ind w:firstLine="0" w:firstLineChars="0"/>
        <w:rPr>
          <w:rFonts w:ascii="Times New Roman" w:hAnsi="Times New Roman" w:cs="Times New Roman"/>
          <w:snapToGrid w:val="0"/>
          <w:color w:val="auto"/>
          <w:kern w:val="0"/>
          <w:sz w:val="20"/>
          <w:highlight w:val="none"/>
          <w:shd w:val="clear" w:color="auto" w:fill="auto"/>
        </w:rPr>
      </w:pPr>
    </w:p>
    <w:p w14:paraId="2F8A1682">
      <w:pPr>
        <w:spacing w:line="360" w:lineRule="auto"/>
        <w:ind w:firstLine="0" w:firstLineChars="0"/>
        <w:jc w:val="center"/>
        <w:rPr>
          <w:rFonts w:ascii="Times New Roman" w:hAnsi="Times New Roman" w:cs="Times New Roman"/>
          <w:b/>
          <w:snapToGrid w:val="0"/>
          <w:color w:val="auto"/>
          <w:kern w:val="0"/>
          <w:sz w:val="84"/>
          <w:szCs w:val="84"/>
          <w:highlight w:val="none"/>
          <w:shd w:val="clear" w:color="auto" w:fill="auto"/>
        </w:rPr>
      </w:pPr>
      <w:r>
        <w:rPr>
          <w:rFonts w:hint="eastAsia" w:ascii="Times New Roman" w:hAnsi="Times New Roman" w:cs="Times New Roman"/>
          <w:b/>
          <w:snapToGrid w:val="0"/>
          <w:color w:val="auto"/>
          <w:kern w:val="0"/>
          <w:sz w:val="96"/>
          <w:szCs w:val="96"/>
          <w:highlight w:val="none"/>
          <w:shd w:val="clear" w:color="auto" w:fill="auto"/>
        </w:rPr>
        <w:t>比选</w:t>
      </w:r>
      <w:r>
        <w:rPr>
          <w:rFonts w:ascii="Times New Roman" w:hAnsi="Times New Roman" w:cs="Times New Roman"/>
          <w:b/>
          <w:snapToGrid w:val="0"/>
          <w:color w:val="auto"/>
          <w:kern w:val="0"/>
          <w:sz w:val="96"/>
          <w:szCs w:val="96"/>
          <w:highlight w:val="none"/>
          <w:shd w:val="clear" w:color="auto" w:fill="auto"/>
        </w:rPr>
        <w:t>文件</w:t>
      </w:r>
    </w:p>
    <w:p w14:paraId="02D3FBA9">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1AEF8599">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51937657">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152996C6">
      <w:pPr>
        <w:ind w:firstLine="0" w:firstLineChars="0"/>
        <w:rPr>
          <w:rFonts w:ascii="Times New Roman" w:hAnsi="Times New Roman"/>
          <w:color w:val="auto"/>
          <w:highlight w:val="none"/>
          <w:shd w:val="clear" w:color="auto" w:fill="auto"/>
        </w:rPr>
      </w:pPr>
    </w:p>
    <w:p w14:paraId="0C00CB35">
      <w:pPr>
        <w:pStyle w:val="9"/>
        <w:ind w:firstLine="480"/>
        <w:rPr>
          <w:rFonts w:ascii="Times New Roman" w:hAnsi="Times New Roman"/>
          <w:color w:val="auto"/>
          <w:highlight w:val="none"/>
          <w:shd w:val="clear" w:color="auto" w:fill="auto"/>
        </w:rPr>
      </w:pPr>
    </w:p>
    <w:p w14:paraId="4A1BB8B1">
      <w:pPr>
        <w:ind w:firstLine="480"/>
        <w:rPr>
          <w:rFonts w:ascii="Times New Roman" w:hAnsi="Times New Roman"/>
          <w:color w:val="auto"/>
          <w:highlight w:val="none"/>
          <w:shd w:val="clear" w:color="auto" w:fill="auto"/>
        </w:rPr>
      </w:pPr>
    </w:p>
    <w:p w14:paraId="5B098E76">
      <w:pPr>
        <w:ind w:firstLine="480"/>
        <w:rPr>
          <w:rFonts w:ascii="Times New Roman" w:hAnsi="Times New Roman"/>
          <w:color w:val="auto"/>
          <w:highlight w:val="none"/>
          <w:shd w:val="clear" w:color="auto" w:fill="auto"/>
        </w:rPr>
      </w:pPr>
    </w:p>
    <w:tbl>
      <w:tblPr>
        <w:tblStyle w:val="21"/>
        <w:tblW w:w="0" w:type="auto"/>
        <w:jc w:val="center"/>
        <w:tblLayout w:type="autofit"/>
        <w:tblCellMar>
          <w:top w:w="0" w:type="dxa"/>
          <w:left w:w="108" w:type="dxa"/>
          <w:bottom w:w="0" w:type="dxa"/>
          <w:right w:w="108" w:type="dxa"/>
        </w:tblCellMar>
      </w:tblPr>
      <w:tblGrid>
        <w:gridCol w:w="1756"/>
        <w:gridCol w:w="4744"/>
        <w:gridCol w:w="2020"/>
      </w:tblGrid>
      <w:tr w14:paraId="41288115">
        <w:tblPrEx>
          <w:tblCellMar>
            <w:top w:w="0" w:type="dxa"/>
            <w:left w:w="108" w:type="dxa"/>
            <w:bottom w:w="0" w:type="dxa"/>
            <w:right w:w="108" w:type="dxa"/>
          </w:tblCellMar>
        </w:tblPrEx>
        <w:trPr>
          <w:jc w:val="center"/>
        </w:trPr>
        <w:tc>
          <w:tcPr>
            <w:tcW w:w="1756" w:type="dxa"/>
            <w:tcBorders>
              <w:tl2br w:val="nil"/>
              <w:tr2bl w:val="nil"/>
            </w:tcBorders>
            <w:vAlign w:val="center"/>
          </w:tcPr>
          <w:p w14:paraId="6BA3244A">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比选人</w:t>
            </w:r>
          </w:p>
        </w:tc>
        <w:tc>
          <w:tcPr>
            <w:tcW w:w="4744" w:type="dxa"/>
            <w:tcBorders>
              <w:tl2br w:val="nil"/>
              <w:tr2bl w:val="nil"/>
            </w:tcBorders>
            <w:vAlign w:val="center"/>
          </w:tcPr>
          <w:p w14:paraId="19D342A8">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重庆三峡银行股份有限公司</w:t>
            </w:r>
          </w:p>
        </w:tc>
        <w:tc>
          <w:tcPr>
            <w:tcW w:w="2020" w:type="dxa"/>
            <w:vMerge w:val="restart"/>
            <w:tcBorders>
              <w:tl2br w:val="nil"/>
              <w:tr2bl w:val="nil"/>
            </w:tcBorders>
            <w:vAlign w:val="center"/>
          </w:tcPr>
          <w:p w14:paraId="0EA0DB9F">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Cs/>
                <w:snapToGrid w:val="0"/>
                <w:color w:val="auto"/>
                <w:kern w:val="0"/>
                <w:szCs w:val="24"/>
                <w:highlight w:val="none"/>
                <w:shd w:val="clear" w:color="auto" w:fill="auto"/>
              </w:rPr>
              <w:t>（盖单位法人章）</w:t>
            </w:r>
          </w:p>
        </w:tc>
      </w:tr>
      <w:tr w14:paraId="6319F8F6">
        <w:tblPrEx>
          <w:tblCellMar>
            <w:top w:w="0" w:type="dxa"/>
            <w:left w:w="108" w:type="dxa"/>
            <w:bottom w:w="0" w:type="dxa"/>
            <w:right w:w="108" w:type="dxa"/>
          </w:tblCellMar>
        </w:tblPrEx>
        <w:trPr>
          <w:jc w:val="center"/>
        </w:trPr>
        <w:tc>
          <w:tcPr>
            <w:tcW w:w="1756" w:type="dxa"/>
            <w:tcBorders>
              <w:tl2br w:val="nil"/>
              <w:tr2bl w:val="nil"/>
            </w:tcBorders>
            <w:vAlign w:val="center"/>
          </w:tcPr>
          <w:p w14:paraId="2AFD713C">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发布时间</w:t>
            </w:r>
          </w:p>
        </w:tc>
        <w:tc>
          <w:tcPr>
            <w:tcW w:w="4744" w:type="dxa"/>
            <w:tcBorders>
              <w:tl2br w:val="nil"/>
              <w:tr2bl w:val="nil"/>
            </w:tcBorders>
            <w:vAlign w:val="center"/>
          </w:tcPr>
          <w:p w14:paraId="5171F563">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ascii="Times New Roman" w:hAnsi="Times New Roman" w:cs="Times New Roman"/>
                <w:b/>
                <w:snapToGrid w:val="0"/>
                <w:color w:val="auto"/>
                <w:kern w:val="0"/>
                <w:sz w:val="30"/>
                <w:szCs w:val="30"/>
                <w:highlight w:val="none"/>
                <w:shd w:val="clear" w:color="auto" w:fill="auto"/>
              </w:rPr>
              <w:t>2024 年</w:t>
            </w:r>
            <w:r>
              <w:rPr>
                <w:rFonts w:hint="eastAsia" w:ascii="Times New Roman" w:hAnsi="Times New Roman" w:cs="Times New Roman"/>
                <w:b/>
                <w:snapToGrid w:val="0"/>
                <w:color w:val="auto"/>
                <w:kern w:val="0"/>
                <w:sz w:val="30"/>
                <w:szCs w:val="30"/>
                <w:highlight w:val="none"/>
                <w:shd w:val="clear" w:color="auto" w:fill="auto"/>
              </w:rPr>
              <w:t xml:space="preserve"> </w:t>
            </w:r>
            <w:r>
              <w:rPr>
                <w:rFonts w:hint="eastAsia" w:ascii="Times New Roman" w:hAnsi="Times New Roman" w:cs="Times New Roman"/>
                <w:b/>
                <w:snapToGrid w:val="0"/>
                <w:color w:val="auto"/>
                <w:kern w:val="0"/>
                <w:sz w:val="30"/>
                <w:szCs w:val="30"/>
                <w:highlight w:val="none"/>
                <w:shd w:val="clear" w:color="auto" w:fill="auto"/>
                <w:lang w:val="en-US" w:eastAsia="zh-CN"/>
              </w:rPr>
              <w:t>8</w:t>
            </w:r>
            <w:r>
              <w:rPr>
                <w:rFonts w:hint="eastAsia" w:ascii="Times New Roman" w:hAnsi="Times New Roman" w:cs="Times New Roman"/>
                <w:b/>
                <w:snapToGrid w:val="0"/>
                <w:color w:val="auto"/>
                <w:kern w:val="0"/>
                <w:sz w:val="30"/>
                <w:szCs w:val="30"/>
                <w:highlight w:val="none"/>
                <w:shd w:val="clear" w:color="auto" w:fill="auto"/>
              </w:rPr>
              <w:t xml:space="preserve"> </w:t>
            </w:r>
            <w:r>
              <w:rPr>
                <w:rFonts w:ascii="Times New Roman" w:hAnsi="Times New Roman" w:cs="Times New Roman"/>
                <w:b/>
                <w:snapToGrid w:val="0"/>
                <w:color w:val="auto"/>
                <w:kern w:val="0"/>
                <w:sz w:val="30"/>
                <w:szCs w:val="30"/>
                <w:highlight w:val="none"/>
                <w:shd w:val="clear" w:color="auto" w:fill="auto"/>
              </w:rPr>
              <w:t>月</w:t>
            </w:r>
          </w:p>
        </w:tc>
        <w:tc>
          <w:tcPr>
            <w:tcW w:w="2020" w:type="dxa"/>
            <w:vMerge w:val="continue"/>
            <w:tcBorders>
              <w:tl2br w:val="nil"/>
              <w:tr2bl w:val="nil"/>
            </w:tcBorders>
            <w:vAlign w:val="center"/>
          </w:tcPr>
          <w:p w14:paraId="47953E32">
            <w:pPr>
              <w:ind w:firstLine="480"/>
              <w:rPr>
                <w:color w:val="auto"/>
                <w:highlight w:val="none"/>
                <w:shd w:val="clear" w:color="auto" w:fill="auto"/>
              </w:rPr>
            </w:pPr>
          </w:p>
        </w:tc>
      </w:tr>
    </w:tbl>
    <w:p w14:paraId="33601332">
      <w:pPr>
        <w:ind w:firstLine="480"/>
        <w:rPr>
          <w:rFonts w:ascii="Times New Roman" w:hAnsi="Times New Roman"/>
          <w:color w:val="auto"/>
          <w:highlight w:val="none"/>
          <w:shd w:val="clear" w:color="auto" w:fill="auto"/>
        </w:rPr>
      </w:pPr>
    </w:p>
    <w:p w14:paraId="0510B2D4">
      <w:pPr>
        <w:ind w:firstLine="480"/>
        <w:rPr>
          <w:rFonts w:ascii="Times New Roman" w:hAnsi="Times New Roman"/>
          <w:color w:val="auto"/>
          <w:highlight w:val="none"/>
          <w:shd w:val="clear" w:color="auto" w:fill="auto"/>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14:paraId="0BBEDF9A">
      <w:pPr>
        <w:snapToGrid w:val="0"/>
        <w:spacing w:line="360" w:lineRule="auto"/>
        <w:ind w:firstLine="0" w:firstLineChars="0"/>
        <w:jc w:val="center"/>
        <w:rPr>
          <w:rFonts w:ascii="Times New Roman" w:hAnsi="Times New Roman"/>
          <w:b/>
          <w:snapToGrid w:val="0"/>
          <w:color w:val="auto"/>
          <w:kern w:val="0"/>
          <w:sz w:val="44"/>
          <w:szCs w:val="44"/>
          <w:highlight w:val="none"/>
          <w:shd w:val="clear" w:color="auto" w:fill="auto"/>
        </w:rPr>
      </w:pPr>
      <w:r>
        <w:rPr>
          <w:rFonts w:hint="eastAsia" w:ascii="Times New Roman" w:hAnsi="Times New Roman"/>
          <w:b/>
          <w:snapToGrid w:val="0"/>
          <w:color w:val="auto"/>
          <w:kern w:val="0"/>
          <w:sz w:val="44"/>
          <w:szCs w:val="44"/>
          <w:highlight w:val="none"/>
          <w:shd w:val="clear" w:color="auto" w:fill="auto"/>
        </w:rPr>
        <w:t>目录</w:t>
      </w:r>
    </w:p>
    <w:p w14:paraId="66C060FE">
      <w:pPr>
        <w:pStyle w:val="17"/>
        <w:tabs>
          <w:tab w:val="right" w:leader="dot" w:pos="8306"/>
          <w:tab w:val="clear" w:pos="-111"/>
        </w:tabs>
        <w:ind w:firstLine="480"/>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hint="eastAsia" w:ascii="Times New Roman" w:hAnsi="Times New Roman"/>
          <w:snapToGrid w:val="0"/>
          <w:color w:val="auto"/>
          <w:kern w:val="0"/>
          <w:szCs w:val="24"/>
          <w:highlight w:val="none"/>
          <w:shd w:val="clear" w:color="auto" w:fill="auto"/>
        </w:rPr>
        <w:instrText xml:space="preserve">TOC \o "1-1" \h \z \u</w:instrText>
      </w:r>
      <w:r>
        <w:rPr>
          <w:rFonts w:ascii="Times New Roman" w:hAnsi="Times New Roman"/>
          <w:snapToGrid w:val="0"/>
          <w:color w:val="auto"/>
          <w:kern w:val="0"/>
          <w:szCs w:val="24"/>
          <w:highlight w:val="none"/>
          <w:shd w:val="clear" w:color="auto" w:fill="auto"/>
        </w:rPr>
        <w:instrText xml:space="preserve"> </w:instrText>
      </w:r>
      <w:r>
        <w:rPr>
          <w:rFonts w:ascii="Times New Roman" w:hAnsi="Times New Roman"/>
          <w:snapToGrid w:val="0"/>
          <w:color w:val="auto"/>
          <w:kern w:val="0"/>
          <w:szCs w:val="24"/>
          <w:highlight w:val="none"/>
          <w:shd w:val="clear" w:color="auto" w:fill="auto"/>
        </w:rPr>
        <w:fldChar w:fldCharType="separate"/>
      </w:r>
      <w:r>
        <w:rPr>
          <w:color w:val="auto"/>
          <w:highlight w:val="none"/>
          <w:shd w:val="clear" w:color="auto" w:fill="auto"/>
        </w:rPr>
        <w:fldChar w:fldCharType="begin"/>
      </w:r>
      <w:r>
        <w:rPr>
          <w:color w:val="auto"/>
          <w:highlight w:val="none"/>
          <w:shd w:val="clear" w:color="auto" w:fill="auto"/>
        </w:rPr>
        <w:instrText xml:space="preserve"> HYPERLINK \l "_Toc25584" </w:instrText>
      </w:r>
      <w:r>
        <w:rPr>
          <w:color w:val="auto"/>
          <w:highlight w:val="none"/>
          <w:shd w:val="clear" w:color="auto" w:fill="auto"/>
        </w:rPr>
        <w:fldChar w:fldCharType="separate"/>
      </w:r>
      <w:r>
        <w:rPr>
          <w:rFonts w:hint="eastAsia" w:ascii="Times New Roman" w:hAnsi="Times New Roman"/>
          <w:color w:val="auto"/>
          <w:highlight w:val="none"/>
          <w:shd w:val="clear" w:color="auto" w:fill="auto"/>
        </w:rPr>
        <w:t>第一章 比选公告</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_Toc25584 \h </w:instrText>
      </w:r>
      <w:r>
        <w:rPr>
          <w:color w:val="auto"/>
          <w:highlight w:val="none"/>
          <w:shd w:val="clear" w:color="auto" w:fill="auto"/>
        </w:rPr>
        <w:fldChar w:fldCharType="separate"/>
      </w:r>
      <w:r>
        <w:rPr>
          <w:color w:val="auto"/>
          <w:highlight w:val="none"/>
          <w:shd w:val="clear" w:color="auto" w:fill="auto"/>
        </w:rPr>
        <w:t>1</w:t>
      </w:r>
      <w:r>
        <w:rPr>
          <w:color w:val="auto"/>
          <w:highlight w:val="none"/>
          <w:shd w:val="clear" w:color="auto" w:fill="auto"/>
        </w:rPr>
        <w:fldChar w:fldCharType="end"/>
      </w:r>
      <w:r>
        <w:rPr>
          <w:color w:val="auto"/>
          <w:highlight w:val="none"/>
          <w:shd w:val="clear" w:color="auto" w:fill="auto"/>
        </w:rPr>
        <w:fldChar w:fldCharType="end"/>
      </w:r>
    </w:p>
    <w:p w14:paraId="53388C19">
      <w:pPr>
        <w:pStyle w:val="17"/>
        <w:tabs>
          <w:tab w:val="right" w:leader="dot" w:pos="830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"_Toc32040" </w:instrText>
      </w:r>
      <w:r>
        <w:rPr>
          <w:color w:val="auto"/>
          <w:highlight w:val="none"/>
          <w:shd w:val="clear" w:color="auto" w:fill="auto"/>
        </w:rPr>
        <w:fldChar w:fldCharType="separate"/>
      </w:r>
      <w:r>
        <w:rPr>
          <w:rFonts w:hint="eastAsia" w:ascii="Times New Roman" w:hAnsi="Times New Roman"/>
          <w:color w:val="auto"/>
          <w:highlight w:val="none"/>
          <w:shd w:val="clear" w:color="auto" w:fill="auto"/>
        </w:rPr>
        <w:t>第二章 参选人须知</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_Toc32040 \h </w:instrText>
      </w:r>
      <w:r>
        <w:rPr>
          <w:color w:val="auto"/>
          <w:highlight w:val="none"/>
          <w:shd w:val="clear" w:color="auto" w:fill="auto"/>
        </w:rPr>
        <w:fldChar w:fldCharType="separate"/>
      </w:r>
      <w:r>
        <w:rPr>
          <w:color w:val="auto"/>
          <w:highlight w:val="none"/>
          <w:shd w:val="clear" w:color="auto" w:fill="auto"/>
        </w:rPr>
        <w:t>6</w:t>
      </w:r>
      <w:r>
        <w:rPr>
          <w:color w:val="auto"/>
          <w:highlight w:val="none"/>
          <w:shd w:val="clear" w:color="auto" w:fill="auto"/>
        </w:rPr>
        <w:fldChar w:fldCharType="end"/>
      </w:r>
      <w:r>
        <w:rPr>
          <w:color w:val="auto"/>
          <w:highlight w:val="none"/>
          <w:shd w:val="clear" w:color="auto" w:fill="auto"/>
        </w:rPr>
        <w:fldChar w:fldCharType="end"/>
      </w:r>
    </w:p>
    <w:p w14:paraId="7192B33D">
      <w:pPr>
        <w:pStyle w:val="17"/>
        <w:tabs>
          <w:tab w:val="right" w:leader="dot" w:pos="830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"_Toc16518" </w:instrText>
      </w:r>
      <w:r>
        <w:rPr>
          <w:color w:val="auto"/>
          <w:highlight w:val="none"/>
          <w:shd w:val="clear" w:color="auto" w:fill="auto"/>
        </w:rPr>
        <w:fldChar w:fldCharType="separate"/>
      </w:r>
      <w:r>
        <w:rPr>
          <w:rFonts w:hint="eastAsia" w:ascii="Times New Roman" w:hAnsi="Times New Roman"/>
          <w:color w:val="auto"/>
          <w:highlight w:val="none"/>
          <w:shd w:val="clear" w:color="auto" w:fill="auto"/>
        </w:rPr>
        <w:t>第</w:t>
      </w:r>
      <w:r>
        <w:rPr>
          <w:rFonts w:ascii="Times New Roman" w:hAnsi="Times New Roman"/>
          <w:color w:val="auto"/>
          <w:highlight w:val="none"/>
          <w:shd w:val="clear" w:color="auto" w:fill="auto"/>
        </w:rPr>
        <w:t>三</w:t>
      </w:r>
      <w:r>
        <w:rPr>
          <w:rFonts w:hint="eastAsia" w:ascii="Times New Roman" w:hAnsi="Times New Roman"/>
          <w:color w:val="auto"/>
          <w:highlight w:val="none"/>
          <w:shd w:val="clear" w:color="auto" w:fill="auto"/>
        </w:rPr>
        <w:t>章 项目要求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_Toc16518 \h </w:instrText>
      </w:r>
      <w:r>
        <w:rPr>
          <w:color w:val="auto"/>
          <w:highlight w:val="none"/>
          <w:shd w:val="clear" w:color="auto" w:fill="auto"/>
        </w:rPr>
        <w:fldChar w:fldCharType="separate"/>
      </w:r>
      <w:r>
        <w:rPr>
          <w:color w:val="auto"/>
          <w:highlight w:val="none"/>
          <w:shd w:val="clear" w:color="auto" w:fill="auto"/>
        </w:rPr>
        <w:t>14</w:t>
      </w:r>
      <w:r>
        <w:rPr>
          <w:color w:val="auto"/>
          <w:highlight w:val="none"/>
          <w:shd w:val="clear" w:color="auto" w:fill="auto"/>
        </w:rPr>
        <w:fldChar w:fldCharType="end"/>
      </w:r>
      <w:r>
        <w:rPr>
          <w:color w:val="auto"/>
          <w:highlight w:val="none"/>
          <w:shd w:val="clear" w:color="auto" w:fill="auto"/>
        </w:rPr>
        <w:fldChar w:fldCharType="end"/>
      </w:r>
    </w:p>
    <w:p w14:paraId="7F3A08FB">
      <w:pPr>
        <w:pStyle w:val="17"/>
        <w:tabs>
          <w:tab w:val="right" w:leader="dot" w:pos="830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"_Toc25608" </w:instrText>
      </w:r>
      <w:r>
        <w:rPr>
          <w:color w:val="auto"/>
          <w:highlight w:val="none"/>
          <w:shd w:val="clear" w:color="auto" w:fill="auto"/>
        </w:rPr>
        <w:fldChar w:fldCharType="separate"/>
      </w:r>
      <w:r>
        <w:rPr>
          <w:rFonts w:hint="eastAsia" w:ascii="Times New Roman" w:hAnsi="Times New Roman"/>
          <w:color w:val="auto"/>
          <w:highlight w:val="none"/>
          <w:shd w:val="clear" w:color="auto" w:fill="auto"/>
        </w:rPr>
        <w:t>第</w:t>
      </w:r>
      <w:r>
        <w:rPr>
          <w:rFonts w:ascii="Times New Roman" w:hAnsi="Times New Roman"/>
          <w:color w:val="auto"/>
          <w:highlight w:val="none"/>
          <w:shd w:val="clear" w:color="auto" w:fill="auto"/>
        </w:rPr>
        <w:t>四</w:t>
      </w:r>
      <w:r>
        <w:rPr>
          <w:rFonts w:hint="eastAsia" w:ascii="Times New Roman" w:hAnsi="Times New Roman"/>
          <w:color w:val="auto"/>
          <w:highlight w:val="none"/>
          <w:shd w:val="clear" w:color="auto" w:fill="auto"/>
        </w:rPr>
        <w:t>章 评审办法（综合评估法）</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_Toc25608 \h </w:instrText>
      </w:r>
      <w:r>
        <w:rPr>
          <w:color w:val="auto"/>
          <w:highlight w:val="none"/>
          <w:shd w:val="clear" w:color="auto" w:fill="auto"/>
        </w:rPr>
        <w:fldChar w:fldCharType="separate"/>
      </w:r>
      <w:r>
        <w:rPr>
          <w:color w:val="auto"/>
          <w:highlight w:val="none"/>
          <w:shd w:val="clear" w:color="auto" w:fill="auto"/>
        </w:rPr>
        <w:t>39</w:t>
      </w:r>
      <w:r>
        <w:rPr>
          <w:color w:val="auto"/>
          <w:highlight w:val="none"/>
          <w:shd w:val="clear" w:color="auto" w:fill="auto"/>
        </w:rPr>
        <w:fldChar w:fldCharType="end"/>
      </w:r>
      <w:r>
        <w:rPr>
          <w:color w:val="auto"/>
          <w:highlight w:val="none"/>
          <w:shd w:val="clear" w:color="auto" w:fill="auto"/>
        </w:rPr>
        <w:fldChar w:fldCharType="end"/>
      </w:r>
    </w:p>
    <w:p w14:paraId="3BADE74A">
      <w:pPr>
        <w:pStyle w:val="17"/>
        <w:tabs>
          <w:tab w:val="right" w:leader="dot" w:pos="830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"_Toc8353" </w:instrText>
      </w:r>
      <w:r>
        <w:rPr>
          <w:color w:val="auto"/>
          <w:highlight w:val="none"/>
          <w:shd w:val="clear" w:color="auto" w:fill="auto"/>
        </w:rPr>
        <w:fldChar w:fldCharType="separate"/>
      </w:r>
      <w:r>
        <w:rPr>
          <w:rFonts w:hint="eastAsia" w:ascii="Times New Roman" w:hAnsi="Times New Roman"/>
          <w:color w:val="auto"/>
          <w:highlight w:val="none"/>
          <w:shd w:val="clear" w:color="auto" w:fill="auto"/>
        </w:rPr>
        <w:t>第五章 合同</w:t>
      </w:r>
      <w:r>
        <w:rPr>
          <w:rFonts w:ascii="Times New Roman" w:hAnsi="Times New Roman"/>
          <w:color w:val="auto"/>
          <w:highlight w:val="none"/>
          <w:shd w:val="clear" w:color="auto" w:fill="auto"/>
        </w:rPr>
        <w:t>模板</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_Toc8353 \h </w:instrText>
      </w:r>
      <w:r>
        <w:rPr>
          <w:color w:val="auto"/>
          <w:highlight w:val="none"/>
          <w:shd w:val="clear" w:color="auto" w:fill="auto"/>
        </w:rPr>
        <w:fldChar w:fldCharType="separate"/>
      </w:r>
      <w:r>
        <w:rPr>
          <w:color w:val="auto"/>
          <w:highlight w:val="none"/>
          <w:shd w:val="clear" w:color="auto" w:fill="auto"/>
        </w:rPr>
        <w:t>46</w:t>
      </w:r>
      <w:r>
        <w:rPr>
          <w:color w:val="auto"/>
          <w:highlight w:val="none"/>
          <w:shd w:val="clear" w:color="auto" w:fill="auto"/>
        </w:rPr>
        <w:fldChar w:fldCharType="end"/>
      </w:r>
      <w:r>
        <w:rPr>
          <w:color w:val="auto"/>
          <w:highlight w:val="none"/>
          <w:shd w:val="clear" w:color="auto" w:fill="auto"/>
        </w:rPr>
        <w:fldChar w:fldCharType="end"/>
      </w:r>
    </w:p>
    <w:p w14:paraId="79AC46F2">
      <w:pPr>
        <w:pStyle w:val="17"/>
        <w:tabs>
          <w:tab w:val="right" w:leader="dot" w:pos="830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"_Toc25465" </w:instrText>
      </w:r>
      <w:r>
        <w:rPr>
          <w:color w:val="auto"/>
          <w:highlight w:val="none"/>
          <w:shd w:val="clear" w:color="auto" w:fill="auto"/>
        </w:rPr>
        <w:fldChar w:fldCharType="separate"/>
      </w:r>
      <w:r>
        <w:rPr>
          <w:rFonts w:hint="eastAsia" w:ascii="Times New Roman" w:hAnsi="Times New Roman"/>
          <w:color w:val="auto"/>
          <w:highlight w:val="none"/>
          <w:shd w:val="clear" w:color="auto" w:fill="auto"/>
        </w:rPr>
        <w:t>第六章 参选文件格式</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_Toc25465 \h </w:instrText>
      </w:r>
      <w:r>
        <w:rPr>
          <w:color w:val="auto"/>
          <w:highlight w:val="none"/>
          <w:shd w:val="clear" w:color="auto" w:fill="auto"/>
        </w:rPr>
        <w:fldChar w:fldCharType="separate"/>
      </w:r>
      <w:r>
        <w:rPr>
          <w:color w:val="auto"/>
          <w:highlight w:val="none"/>
          <w:shd w:val="clear" w:color="auto" w:fill="auto"/>
        </w:rPr>
        <w:t>85</w:t>
      </w:r>
      <w:r>
        <w:rPr>
          <w:color w:val="auto"/>
          <w:highlight w:val="none"/>
          <w:shd w:val="clear" w:color="auto" w:fill="auto"/>
        </w:rPr>
        <w:fldChar w:fldCharType="end"/>
      </w:r>
      <w:r>
        <w:rPr>
          <w:color w:val="auto"/>
          <w:highlight w:val="none"/>
          <w:shd w:val="clear" w:color="auto" w:fill="auto"/>
        </w:rPr>
        <w:fldChar w:fldCharType="end"/>
      </w:r>
    </w:p>
    <w:p w14:paraId="02C773C8">
      <w:pPr>
        <w:pStyle w:val="17"/>
        <w:tabs>
          <w:tab w:val="right" w:leader="dot" w:pos="8306"/>
          <w:tab w:val="clear" w:pos="-111"/>
        </w:tabs>
        <w:ind w:firstLine="480"/>
        <w:rPr>
          <w:color w:val="auto"/>
          <w:highlight w:val="none"/>
          <w:shd w:val="clear" w:color="auto" w:fill="auto"/>
        </w:rPr>
      </w:pPr>
    </w:p>
    <w:p w14:paraId="1C8D90E2">
      <w:pPr>
        <w:widowControl/>
        <w:ind w:firstLine="480"/>
        <w:rPr>
          <w:rFonts w:ascii="Times New Roman" w:hAnsi="Times New Roman"/>
          <w:snapToGrid w:val="0"/>
          <w:color w:val="auto"/>
          <w:kern w:val="0"/>
          <w:szCs w:val="24"/>
          <w:highlight w:val="none"/>
          <w:shd w:val="clear" w:color="auto" w:fill="auto"/>
        </w:rPr>
      </w:pPr>
      <w:r>
        <w:rPr>
          <w:rFonts w:ascii="Times New Roman" w:hAnsi="Times New Roman"/>
          <w:snapToGrid w:val="0"/>
          <w:color w:val="auto"/>
          <w:kern w:val="0"/>
          <w:szCs w:val="24"/>
          <w:highlight w:val="none"/>
          <w:shd w:val="clear" w:color="auto" w:fill="auto"/>
        </w:rPr>
        <w:fldChar w:fldCharType="end"/>
      </w:r>
    </w:p>
    <w:p w14:paraId="61CA4CC0">
      <w:pPr>
        <w:widowControl/>
        <w:ind w:firstLine="480"/>
        <w:rPr>
          <w:rFonts w:ascii="Times New Roman" w:hAnsi="Times New Roman"/>
          <w:snapToGrid w:val="0"/>
          <w:color w:val="auto"/>
          <w:kern w:val="0"/>
          <w:szCs w:val="24"/>
          <w:highlight w:val="none"/>
          <w:shd w:val="clear" w:color="auto" w:fill="auto"/>
        </w:rPr>
        <w:sectPr>
          <w:pgSz w:w="11906" w:h="16838"/>
          <w:pgMar w:top="1440" w:right="1800" w:bottom="1440" w:left="1800" w:header="851" w:footer="992" w:gutter="0"/>
          <w:pgNumType w:fmt="decimal" w:start="1"/>
          <w:cols w:space="720" w:num="1"/>
          <w:docGrid w:type="lines" w:linePitch="312" w:charSpace="0"/>
        </w:sectPr>
      </w:pPr>
    </w:p>
    <w:p w14:paraId="76CC8195">
      <w:pPr>
        <w:pStyle w:val="2"/>
        <w:rPr>
          <w:rFonts w:ascii="Times New Roman" w:hAnsi="Times New Roman"/>
          <w:color w:val="auto"/>
          <w:highlight w:val="none"/>
          <w:shd w:val="clear" w:color="auto" w:fill="auto"/>
        </w:rPr>
      </w:pPr>
      <w:bookmarkStart w:id="0" w:name="_Toc440628903"/>
      <w:bookmarkStart w:id="1" w:name="_Toc16670"/>
      <w:bookmarkStart w:id="2" w:name="_Toc6745"/>
      <w:bookmarkStart w:id="3" w:name="_Toc469574661"/>
      <w:bookmarkStart w:id="4" w:name="_Toc678"/>
      <w:bookmarkStart w:id="5" w:name="_Toc25584"/>
      <w:r>
        <w:rPr>
          <w:rFonts w:hint="eastAsia" w:ascii="Times New Roman" w:hAnsi="Times New Roman"/>
          <w:color w:val="auto"/>
          <w:highlight w:val="none"/>
          <w:shd w:val="clear" w:color="auto" w:fill="auto"/>
        </w:rPr>
        <w:t>第一章</w:t>
      </w:r>
      <w:bookmarkEnd w:id="0"/>
      <w:r>
        <w:rPr>
          <w:rFonts w:hint="eastAsia" w:ascii="Times New Roman" w:hAnsi="Times New Roman"/>
          <w:color w:val="auto"/>
          <w:highlight w:val="none"/>
          <w:shd w:val="clear" w:color="auto" w:fill="auto"/>
        </w:rPr>
        <w:t xml:space="preserve"> 比选公告</w:t>
      </w:r>
      <w:bookmarkEnd w:id="1"/>
      <w:bookmarkEnd w:id="2"/>
      <w:bookmarkEnd w:id="3"/>
      <w:bookmarkEnd w:id="4"/>
      <w:bookmarkEnd w:id="5"/>
    </w:p>
    <w:p w14:paraId="1E5F1CCA">
      <w:pPr>
        <w:snapToGrid w:val="0"/>
        <w:ind w:firstLine="480"/>
        <w:rPr>
          <w:rFonts w:ascii="宋体" w:cs="宋体"/>
          <w:snapToGrid w:val="0"/>
          <w:color w:val="auto"/>
          <w:kern w:val="0"/>
          <w:szCs w:val="24"/>
          <w:highlight w:val="none"/>
          <w:shd w:val="clear" w:color="auto" w:fill="auto"/>
        </w:rPr>
      </w:pPr>
      <w:bookmarkStart w:id="6" w:name="_Toc55379218"/>
      <w:bookmarkStart w:id="7" w:name="_Toc89675127"/>
      <w:r>
        <w:rPr>
          <w:rFonts w:hint="eastAsia" w:ascii="宋体" w:hAnsi="Times New Roman" w:cs="宋体"/>
          <w:snapToGrid w:val="0"/>
          <w:color w:val="auto"/>
          <w:kern w:val="0"/>
          <w:szCs w:val="24"/>
          <w:highlight w:val="none"/>
          <w:shd w:val="clear" w:color="auto" w:fill="auto"/>
        </w:rPr>
        <w:t>为进一步优化业务处理与印章核验流程，提高验印业务处理效率，控制票据业务支付风险，保障银行和客户的资金安全，并结合自主化要求实现信创改造，拟重建电子验印系统，优化和提升系统功能，进一步适应未来的业务发展。</w:t>
      </w:r>
      <w:r>
        <w:rPr>
          <w:rFonts w:hint="eastAsia" w:ascii="宋体" w:cs="宋体"/>
          <w:snapToGrid w:val="0"/>
          <w:color w:val="auto"/>
          <w:kern w:val="0"/>
          <w:szCs w:val="24"/>
          <w:highlight w:val="none"/>
          <w:shd w:val="clear" w:color="auto" w:fill="auto"/>
        </w:rPr>
        <w:t>本次比选拟对我行</w:t>
      </w:r>
      <w:r>
        <w:rPr>
          <w:rFonts w:ascii="宋体" w:cs="宋体"/>
          <w:snapToGrid w:val="0"/>
          <w:color w:val="auto"/>
          <w:kern w:val="0"/>
          <w:szCs w:val="24"/>
          <w:highlight w:val="none"/>
          <w:shd w:val="clear" w:color="auto" w:fill="auto"/>
        </w:rPr>
        <w:t>电子</w:t>
      </w:r>
      <w:bookmarkStart w:id="467" w:name="_GoBack"/>
      <w:bookmarkEnd w:id="467"/>
      <w:r>
        <w:rPr>
          <w:rFonts w:ascii="宋体" w:cs="宋体"/>
          <w:snapToGrid w:val="0"/>
          <w:color w:val="auto"/>
          <w:kern w:val="0"/>
          <w:szCs w:val="24"/>
          <w:highlight w:val="none"/>
          <w:shd w:val="clear" w:color="auto" w:fill="auto"/>
        </w:rPr>
        <w:t>验印</w:t>
      </w:r>
      <w:r>
        <w:rPr>
          <w:rFonts w:hint="eastAsia" w:ascii="宋体" w:cs="宋体"/>
          <w:snapToGrid w:val="0"/>
          <w:color w:val="auto"/>
          <w:kern w:val="0"/>
          <w:szCs w:val="24"/>
          <w:highlight w:val="none"/>
          <w:shd w:val="clear" w:color="auto" w:fill="auto"/>
        </w:rPr>
        <w:t>系统项目进行公开比选，特邀请有兴趣的潜在参选人进行参选。</w:t>
      </w:r>
    </w:p>
    <w:p w14:paraId="787DF01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现对</w:t>
      </w:r>
      <w:r>
        <w:rPr>
          <w:rFonts w:hint="eastAsia" w:ascii="Times New Roman" w:hAnsi="Times New Roman" w:cs="Cambria"/>
          <w:snapToGrid w:val="0"/>
          <w:color w:val="auto"/>
          <w:kern w:val="0"/>
          <w:szCs w:val="24"/>
          <w:highlight w:val="none"/>
          <w:shd w:val="clear" w:color="auto" w:fill="auto"/>
        </w:rPr>
        <w:t>重庆三峡银行</w:t>
      </w:r>
      <w:r>
        <w:rPr>
          <w:rFonts w:ascii="Times New Roman" w:hAnsi="Times New Roman" w:cs="Cambria"/>
          <w:snapToGrid w:val="0"/>
          <w:color w:val="auto"/>
          <w:kern w:val="0"/>
          <w:szCs w:val="24"/>
          <w:highlight w:val="none"/>
          <w:shd w:val="clear" w:color="auto" w:fill="auto"/>
        </w:rPr>
        <w:t>电子验印系统</w:t>
      </w:r>
      <w:r>
        <w:rPr>
          <w:rFonts w:hint="eastAsia" w:ascii="Times New Roman" w:hAnsi="Times New Roman"/>
          <w:color w:val="auto"/>
          <w:highlight w:val="none"/>
          <w:shd w:val="clear" w:color="auto" w:fill="auto"/>
        </w:rPr>
        <w:t>项目进行公开比选，</w:t>
      </w:r>
      <w:r>
        <w:rPr>
          <w:rFonts w:ascii="Times New Roman" w:hAnsi="Times New Roman"/>
          <w:color w:val="auto"/>
          <w:highlight w:val="none"/>
          <w:shd w:val="clear" w:color="auto" w:fill="auto"/>
        </w:rPr>
        <w:t>特邀请有</w:t>
      </w:r>
      <w:bookmarkStart w:id="8" w:name="_Hlk59455120"/>
      <w:r>
        <w:rPr>
          <w:rFonts w:ascii="Times New Roman" w:hAnsi="Times New Roman"/>
          <w:color w:val="auto"/>
          <w:highlight w:val="none"/>
          <w:shd w:val="clear" w:color="auto" w:fill="auto"/>
        </w:rPr>
        <w:t>意向</w:t>
      </w:r>
      <w:bookmarkEnd w:id="8"/>
      <w:r>
        <w:rPr>
          <w:rFonts w:ascii="Times New Roman" w:hAnsi="Times New Roman"/>
          <w:color w:val="auto"/>
          <w:highlight w:val="none"/>
          <w:shd w:val="clear" w:color="auto" w:fill="auto"/>
        </w:rPr>
        <w:t>的潜在</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人进行</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w:t>
      </w:r>
    </w:p>
    <w:p w14:paraId="03393F94">
      <w:pPr>
        <w:pStyle w:val="3"/>
        <w:rPr>
          <w:rFonts w:ascii="Times New Roman" w:hAnsi="Times New Roman"/>
          <w:color w:val="auto"/>
          <w:highlight w:val="none"/>
          <w:shd w:val="clear" w:color="auto" w:fill="auto"/>
        </w:rPr>
      </w:pPr>
      <w:bookmarkStart w:id="9" w:name="_Toc28982"/>
      <w:r>
        <w:rPr>
          <w:rFonts w:hint="eastAsia" w:ascii="Times New Roman" w:hAnsi="Times New Roman"/>
          <w:color w:val="auto"/>
          <w:highlight w:val="none"/>
          <w:shd w:val="clear" w:color="auto" w:fill="auto"/>
        </w:rPr>
        <w:t>1. 比选项目内容</w:t>
      </w:r>
      <w:bookmarkEnd w:id="6"/>
      <w:bookmarkEnd w:id="7"/>
      <w:bookmarkEnd w:id="9"/>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2A6C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C6ACFC6">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序号</w:t>
            </w:r>
          </w:p>
        </w:tc>
        <w:tc>
          <w:tcPr>
            <w:tcW w:w="2826" w:type="dxa"/>
            <w:vAlign w:val="center"/>
          </w:tcPr>
          <w:p w14:paraId="39844B96">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项目名称</w:t>
            </w:r>
          </w:p>
        </w:tc>
        <w:tc>
          <w:tcPr>
            <w:tcW w:w="1646" w:type="dxa"/>
            <w:vAlign w:val="center"/>
          </w:tcPr>
          <w:p w14:paraId="6653FD36">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最高限价</w:t>
            </w:r>
          </w:p>
        </w:tc>
        <w:tc>
          <w:tcPr>
            <w:tcW w:w="1798" w:type="dxa"/>
            <w:vAlign w:val="center"/>
          </w:tcPr>
          <w:p w14:paraId="5F0D3449">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中选人数量</w:t>
            </w:r>
          </w:p>
        </w:tc>
        <w:tc>
          <w:tcPr>
            <w:tcW w:w="1798" w:type="dxa"/>
            <w:vAlign w:val="center"/>
          </w:tcPr>
          <w:p w14:paraId="0CF780AB">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备注</w:t>
            </w:r>
          </w:p>
        </w:tc>
      </w:tr>
      <w:tr w14:paraId="5EB3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7E66794">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1</w:t>
            </w:r>
          </w:p>
        </w:tc>
        <w:tc>
          <w:tcPr>
            <w:tcW w:w="2826" w:type="dxa"/>
            <w:tcBorders>
              <w:top w:val="single" w:color="auto" w:sz="4" w:space="0"/>
              <w:left w:val="single" w:color="auto" w:sz="4" w:space="0"/>
              <w:right w:val="single" w:color="auto" w:sz="4" w:space="0"/>
            </w:tcBorders>
            <w:vAlign w:val="center"/>
          </w:tcPr>
          <w:p w14:paraId="028F794D">
            <w:pPr>
              <w:ind w:firstLine="0" w:firstLineChars="0"/>
              <w:jc w:val="center"/>
              <w:rPr>
                <w:rFonts w:ascii="宋体" w:hAnsi="宋体" w:cs="Cambria"/>
                <w:snapToGrid w:val="0"/>
                <w:color w:val="auto"/>
                <w:kern w:val="0"/>
                <w:szCs w:val="24"/>
                <w:highlight w:val="none"/>
                <w:shd w:val="clear" w:color="auto" w:fill="auto"/>
              </w:rPr>
            </w:pPr>
            <w:r>
              <w:rPr>
                <w:rFonts w:hint="eastAsia" w:ascii="Times New Roman" w:hAnsi="Times New Roman" w:cs="Cambria"/>
                <w:snapToGrid w:val="0"/>
                <w:color w:val="auto"/>
                <w:kern w:val="0"/>
                <w:szCs w:val="24"/>
                <w:highlight w:val="none"/>
                <w:shd w:val="clear" w:color="auto" w:fill="auto"/>
              </w:rPr>
              <w:t>重庆三峡银行</w:t>
            </w:r>
            <w:r>
              <w:rPr>
                <w:rFonts w:ascii="Times New Roman" w:hAnsi="Times New Roman" w:cs="Cambria"/>
                <w:snapToGrid w:val="0"/>
                <w:color w:val="auto"/>
                <w:kern w:val="0"/>
                <w:szCs w:val="24"/>
                <w:highlight w:val="none"/>
                <w:shd w:val="clear" w:color="auto" w:fill="auto"/>
              </w:rPr>
              <w:t>电子验印系统</w:t>
            </w:r>
            <w:r>
              <w:rPr>
                <w:rFonts w:hint="eastAsia" w:ascii="Times New Roman" w:hAnsi="Times New Roman"/>
                <w:color w:val="auto"/>
                <w:highlight w:val="none"/>
                <w:shd w:val="clear" w:color="auto" w:fill="auto"/>
              </w:rPr>
              <w:t>项目</w:t>
            </w:r>
          </w:p>
        </w:tc>
        <w:tc>
          <w:tcPr>
            <w:tcW w:w="1646" w:type="dxa"/>
            <w:tcBorders>
              <w:top w:val="single" w:color="auto" w:sz="4" w:space="0"/>
              <w:left w:val="single" w:color="auto" w:sz="4" w:space="0"/>
              <w:right w:val="single" w:color="auto" w:sz="4" w:space="0"/>
            </w:tcBorders>
            <w:vAlign w:val="center"/>
          </w:tcPr>
          <w:p w14:paraId="4ED181A7">
            <w:pPr>
              <w:spacing w:line="360" w:lineRule="auto"/>
              <w:ind w:firstLine="0" w:firstLineChars="0"/>
              <w:jc w:val="center"/>
              <w:rPr>
                <w:rFonts w:ascii="宋体" w:hAnsi="宋体" w:cs="Cambria"/>
                <w:snapToGrid w:val="0"/>
                <w:color w:val="auto"/>
                <w:kern w:val="0"/>
                <w:szCs w:val="24"/>
                <w:highlight w:val="none"/>
                <w:shd w:val="clear" w:color="auto" w:fill="auto"/>
              </w:rPr>
            </w:pPr>
            <w:r>
              <w:rPr>
                <w:rFonts w:ascii="宋体" w:hAnsi="宋体" w:cs="Cambria"/>
                <w:snapToGrid w:val="0"/>
                <w:color w:val="auto"/>
                <w:kern w:val="0"/>
                <w:szCs w:val="24"/>
                <w:highlight w:val="none"/>
                <w:shd w:val="clear" w:color="auto" w:fill="auto"/>
              </w:rPr>
              <w:t>96</w:t>
            </w:r>
            <w:r>
              <w:rPr>
                <w:rFonts w:hint="eastAsia" w:ascii="宋体" w:hAnsi="宋体" w:cs="Cambria"/>
                <w:snapToGrid w:val="0"/>
                <w:color w:val="auto"/>
                <w:kern w:val="0"/>
                <w:szCs w:val="24"/>
                <w:highlight w:val="none"/>
                <w:shd w:val="clear" w:color="auto" w:fill="auto"/>
              </w:rPr>
              <w:t>万元</w:t>
            </w:r>
          </w:p>
        </w:tc>
        <w:tc>
          <w:tcPr>
            <w:tcW w:w="1798" w:type="dxa"/>
            <w:tcBorders>
              <w:top w:val="single" w:color="auto" w:sz="4" w:space="0"/>
              <w:left w:val="single" w:color="auto" w:sz="4" w:space="0"/>
              <w:right w:val="single" w:color="auto" w:sz="4" w:space="0"/>
            </w:tcBorders>
            <w:vAlign w:val="center"/>
          </w:tcPr>
          <w:p w14:paraId="32A9CF7F">
            <w:pPr>
              <w:spacing w:line="360" w:lineRule="auto"/>
              <w:ind w:firstLine="0" w:firstLineChars="0"/>
              <w:jc w:val="center"/>
              <w:rPr>
                <w:rFonts w:ascii="宋体" w:hAnsi="宋体" w:cs="Cambria"/>
                <w:snapToGrid w:val="0"/>
                <w:color w:val="auto"/>
                <w:kern w:val="0"/>
                <w:szCs w:val="24"/>
                <w:highlight w:val="none"/>
                <w:shd w:val="clear" w:color="auto" w:fill="auto"/>
              </w:rPr>
            </w:pPr>
            <w:r>
              <w:rPr>
                <w:rFonts w:hint="eastAsia" w:ascii="宋体" w:hAnsi="宋体" w:cs="Cambria"/>
                <w:snapToGrid w:val="0"/>
                <w:color w:val="auto"/>
                <w:kern w:val="0"/>
                <w:szCs w:val="24"/>
                <w:highlight w:val="none"/>
                <w:shd w:val="clear" w:color="auto" w:fill="auto"/>
              </w:rPr>
              <w:t>1</w:t>
            </w:r>
          </w:p>
        </w:tc>
        <w:tc>
          <w:tcPr>
            <w:tcW w:w="1798" w:type="dxa"/>
            <w:vAlign w:val="center"/>
          </w:tcPr>
          <w:p w14:paraId="629D8786">
            <w:pPr>
              <w:spacing w:line="360" w:lineRule="auto"/>
              <w:ind w:firstLine="0" w:firstLineChars="0"/>
              <w:jc w:val="center"/>
              <w:rPr>
                <w:rFonts w:ascii="宋体" w:hAnsi="宋体" w:cs="Cambria"/>
                <w:snapToGrid w:val="0"/>
                <w:color w:val="auto"/>
                <w:kern w:val="0"/>
                <w:szCs w:val="24"/>
                <w:highlight w:val="none"/>
                <w:shd w:val="clear" w:color="auto" w:fill="auto"/>
              </w:rPr>
            </w:pPr>
            <w:r>
              <w:rPr>
                <w:rFonts w:hint="eastAsia" w:ascii="宋体" w:hAnsi="宋体" w:cs="Cambria"/>
                <w:snapToGrid w:val="0"/>
                <w:color w:val="auto"/>
                <w:kern w:val="0"/>
                <w:szCs w:val="24"/>
                <w:highlight w:val="none"/>
                <w:shd w:val="clear" w:color="auto" w:fill="auto"/>
              </w:rPr>
              <w:t>含税价</w:t>
            </w:r>
          </w:p>
        </w:tc>
      </w:tr>
    </w:tbl>
    <w:p w14:paraId="281EA7AB">
      <w:pPr>
        <w:pStyle w:val="3"/>
        <w:rPr>
          <w:rFonts w:ascii="Times New Roman" w:hAnsi="Times New Roman"/>
          <w:color w:val="auto"/>
          <w:highlight w:val="none"/>
          <w:shd w:val="clear" w:color="auto" w:fill="auto"/>
        </w:rPr>
      </w:pPr>
      <w:bookmarkStart w:id="10" w:name="_Toc469574664"/>
      <w:bookmarkStart w:id="11" w:name="_Toc288224935"/>
      <w:bookmarkStart w:id="12" w:name="_Toc89675128"/>
      <w:bookmarkStart w:id="13" w:name="_Toc29991"/>
      <w:bookmarkStart w:id="14" w:name="_Toc55379219"/>
      <w:bookmarkStart w:id="15" w:name="_Toc297817088"/>
      <w:r>
        <w:rPr>
          <w:rFonts w:hint="eastAsia" w:ascii="Times New Roman" w:hAnsi="Times New Roman"/>
          <w:color w:val="auto"/>
          <w:highlight w:val="none"/>
          <w:shd w:val="clear" w:color="auto" w:fill="auto"/>
        </w:rPr>
        <w:t>2. 参选人资格要求</w:t>
      </w:r>
      <w:bookmarkEnd w:id="10"/>
      <w:bookmarkEnd w:id="11"/>
      <w:bookmarkEnd w:id="12"/>
      <w:bookmarkEnd w:id="13"/>
      <w:bookmarkEnd w:id="14"/>
      <w:bookmarkEnd w:id="15"/>
    </w:p>
    <w:p w14:paraId="4413FE6F">
      <w:pPr>
        <w:ind w:firstLine="480"/>
        <w:rPr>
          <w:rFonts w:ascii="宋体" w:hAnsi="Times New Roman" w:cs="宋体"/>
          <w:snapToGrid w:val="0"/>
          <w:color w:val="auto"/>
          <w:kern w:val="0"/>
          <w:szCs w:val="24"/>
          <w:highlight w:val="none"/>
          <w:shd w:val="clear" w:color="auto" w:fill="auto"/>
        </w:rPr>
      </w:pPr>
      <w:bookmarkStart w:id="16" w:name="_Hlk55488870"/>
      <w:r>
        <w:rPr>
          <w:rFonts w:hint="eastAsia" w:ascii="宋体" w:hAnsi="Times New Roman" w:cs="宋体"/>
          <w:snapToGrid w:val="0"/>
          <w:color w:val="auto"/>
          <w:kern w:val="0"/>
          <w:szCs w:val="24"/>
          <w:highlight w:val="none"/>
          <w:shd w:val="clear" w:color="auto" w:fill="auto"/>
        </w:rPr>
        <w:t>2.1 参选人应当具备承担比选项目的能力</w:t>
      </w:r>
    </w:p>
    <w:p w14:paraId="02D4BFFE">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提供参选人有效营业执照（副本）（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7485CB99">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注：若为法定代表人（分支机构负责人）办理并签署参选文件的，不提供授权代表委托书。</w:t>
      </w:r>
    </w:p>
    <w:p w14:paraId="7EB43EED">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2.2 具有良好的商业信誉和健全的财务会计制度【提供书面声明】；</w:t>
      </w:r>
    </w:p>
    <w:p w14:paraId="51BBFA81">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2.3 具有履行合同所必需的设备和专业技术能力【提供书面声明】；</w:t>
      </w:r>
    </w:p>
    <w:p w14:paraId="329D3D2C">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2.4 有依法缴纳税收和社会保障金的良好记录【提供书面声明】；</w:t>
      </w:r>
    </w:p>
    <w:p w14:paraId="11A2AAF0">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2.5 三年内在经营活动中没有重大违法记录【提供书面声明】；</w:t>
      </w:r>
    </w:p>
    <w:p w14:paraId="4EBB78C0">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2.6 法人及法定代表人没有被人民法院列为失信被执行人名单【提供中国执行信息公开网截图并加盖单位鲜章】；</w:t>
      </w:r>
    </w:p>
    <w:p w14:paraId="52FE0E8F">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2.7 本项目不允许任何形式的转包【提供书面声明】。</w:t>
      </w:r>
    </w:p>
    <w:p w14:paraId="526C6F6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2.8 本次不接受联合体参选。</w:t>
      </w:r>
    </w:p>
    <w:p w14:paraId="0C46B9B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2.9</w:t>
      </w:r>
      <w:r>
        <w:rPr>
          <w:rFonts w:hint="eastAsia" w:ascii="宋体" w:hAnsi="Times New Roman" w:cs="宋体"/>
          <w:snapToGrid w:val="0"/>
          <w:color w:val="auto"/>
          <w:kern w:val="0"/>
          <w:szCs w:val="24"/>
          <w:highlight w:val="none"/>
          <w:shd w:val="clear" w:color="auto" w:fill="auto"/>
        </w:rPr>
        <w:t xml:space="preserve"> 近3年（2021年1月1日至今）具有国内金融行业同类型实施相关实施案例不少于3家，低于3个案例（不含3个）取消参选资质【</w:t>
      </w:r>
      <w:r>
        <w:rPr>
          <w:rFonts w:hint="eastAsia" w:ascii="Times New Roman" w:hAnsi="Times New Roman"/>
          <w:color w:val="auto"/>
          <w:highlight w:val="none"/>
          <w:shd w:val="clear" w:color="auto" w:fill="auto"/>
          <w:lang w:val="en-US" w:eastAsia="zh-CN"/>
        </w:rPr>
        <w:t>提供合同关键页、项目简介、</w:t>
      </w:r>
      <w:r>
        <w:rPr>
          <w:rFonts w:hint="eastAsia" w:ascii="Times New Roman" w:hAnsi="Times New Roman"/>
          <w:color w:val="auto"/>
          <w:highlight w:val="none"/>
          <w:shd w:val="clear" w:color="auto" w:fill="auto"/>
        </w:rPr>
        <w:t>合同对应的发票之一和网上税务系统查询该发票</w:t>
      </w:r>
      <w:r>
        <w:rPr>
          <w:rFonts w:hint="eastAsia" w:ascii="Times New Roman" w:hAnsi="Times New Roman"/>
          <w:color w:val="auto"/>
          <w:highlight w:val="none"/>
          <w:shd w:val="clear" w:color="auto" w:fill="auto"/>
          <w:lang w:eastAsia="zh-CN"/>
        </w:rPr>
        <w:t>的</w:t>
      </w:r>
      <w:r>
        <w:rPr>
          <w:rFonts w:hint="eastAsia" w:ascii="Times New Roman" w:hAnsi="Times New Roman"/>
          <w:color w:val="auto"/>
          <w:highlight w:val="none"/>
          <w:shd w:val="clear" w:color="auto" w:fill="auto"/>
        </w:rPr>
        <w:t>截图</w:t>
      </w:r>
      <w:r>
        <w:rPr>
          <w:rFonts w:hint="eastAsia" w:ascii="Times New Roman" w:hAnsi="Times New Roman"/>
          <w:color w:val="auto"/>
          <w:highlight w:val="none"/>
          <w:shd w:val="clear" w:color="auto" w:fill="auto"/>
          <w:lang w:val="en-US" w:eastAsia="zh-CN"/>
        </w:rPr>
        <w:t>。</w:t>
      </w:r>
      <w:r>
        <w:rPr>
          <w:rFonts w:hint="eastAsia" w:ascii="Times New Roman" w:hAnsi="Times New Roman" w:cs="Times New Roman"/>
          <w:color w:val="auto"/>
          <w:highlight w:val="none"/>
          <w:shd w:val="clear" w:color="auto" w:fill="auto"/>
          <w:lang w:val="en-US" w:eastAsia="zh-CN"/>
        </w:rPr>
        <w:t>合同关键页</w:t>
      </w:r>
      <w:r>
        <w:rPr>
          <w:rFonts w:ascii="Times New Roman" w:hAnsi="Times New Roman" w:cs="Times New Roman"/>
          <w:color w:val="auto"/>
          <w:highlight w:val="none"/>
          <w:shd w:val="clear" w:color="auto" w:fill="auto"/>
        </w:rPr>
        <w:t>包含：甲乙双方名称、双方印章、项目名称、合同签订时间</w:t>
      </w:r>
      <w:r>
        <w:rPr>
          <w:rFonts w:hint="eastAsia" w:ascii="Times New Roman" w:hAnsi="Times New Roman" w:cs="Times New Roman"/>
          <w:color w:val="auto"/>
          <w:highlight w:val="none"/>
          <w:shd w:val="clear" w:color="auto" w:fill="auto"/>
          <w:lang w:eastAsia="zh-CN"/>
        </w:rPr>
        <w:t>、</w:t>
      </w:r>
      <w:r>
        <w:rPr>
          <w:rFonts w:hint="eastAsia" w:ascii="Times New Roman" w:hAnsi="Times New Roman" w:cs="Times New Roman"/>
          <w:color w:val="auto"/>
          <w:highlight w:val="none"/>
          <w:shd w:val="clear" w:color="auto" w:fill="auto"/>
          <w:lang w:val="en-US" w:eastAsia="zh-CN"/>
        </w:rPr>
        <w:t>服务范围</w:t>
      </w:r>
      <w:r>
        <w:rPr>
          <w:rFonts w:hint="eastAsia" w:ascii="Times New Roman" w:hAnsi="Times New Roman"/>
          <w:color w:val="auto"/>
          <w:highlight w:val="none"/>
          <w:shd w:val="clear" w:color="auto" w:fill="auto"/>
        </w:rPr>
        <w:t>。发票开具日期须晚于合同签订日期、发票购买方须与合同买方一致、发票销售方须与合同卖方（参选人）一致）</w:t>
      </w:r>
      <w:r>
        <w:rPr>
          <w:rFonts w:hint="eastAsia" w:ascii="宋体" w:hAnsi="Times New Roman" w:cs="宋体"/>
          <w:snapToGrid w:val="0"/>
          <w:color w:val="auto"/>
          <w:kern w:val="0"/>
          <w:szCs w:val="24"/>
          <w:highlight w:val="none"/>
          <w:shd w:val="clear" w:color="auto" w:fill="auto"/>
        </w:rPr>
        <w:t>】；</w:t>
      </w:r>
    </w:p>
    <w:p w14:paraId="0CE2842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注:以上证明文件若比选人存疑，参选人需提供原件备查，参选文件中须附相关证明文件复印件并逐页加盖公章。</w:t>
      </w:r>
    </w:p>
    <w:p w14:paraId="694CA7E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本次</w:t>
      </w:r>
      <w:r>
        <w:rPr>
          <w:rFonts w:ascii="Times New Roman" w:hAnsi="Times New Roman"/>
          <w:color w:val="auto"/>
          <w:highlight w:val="none"/>
          <w:shd w:val="clear" w:color="auto" w:fill="auto"/>
        </w:rPr>
        <w:t>比选</w:t>
      </w:r>
      <w:r>
        <w:rPr>
          <w:rFonts w:hint="eastAsia" w:ascii="Times New Roman" w:hAnsi="Times New Roman"/>
          <w:color w:val="auto"/>
          <w:highlight w:val="none"/>
          <w:shd w:val="clear" w:color="auto" w:fill="auto"/>
        </w:rPr>
        <w:t>不接受曾因参选人的违约行为与比选人发生过纠纷的参选人；</w:t>
      </w:r>
      <w:r>
        <w:rPr>
          <w:rFonts w:ascii="Times New Roman" w:hAnsi="Times New Roman"/>
          <w:color w:val="auto"/>
          <w:highlight w:val="none"/>
          <w:shd w:val="clear" w:color="auto" w:fill="auto"/>
        </w:rPr>
        <w:t>不接受</w:t>
      </w:r>
      <w:r>
        <w:rPr>
          <w:rFonts w:hint="eastAsia" w:ascii="Times New Roman" w:hAnsi="Times New Roman"/>
          <w:color w:val="auto"/>
          <w:highlight w:val="none"/>
          <w:shd w:val="clear" w:color="auto" w:fill="auto"/>
        </w:rPr>
        <w:t>与比选人合作过程中不遵守比选文件及合同约定的</w:t>
      </w:r>
      <w:r>
        <w:rPr>
          <w:rFonts w:ascii="Times New Roman" w:hAnsi="Times New Roman"/>
          <w:color w:val="auto"/>
          <w:highlight w:val="none"/>
          <w:shd w:val="clear" w:color="auto" w:fill="auto"/>
        </w:rPr>
        <w:t>参选人</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不接受</w:t>
      </w:r>
      <w:r>
        <w:rPr>
          <w:rFonts w:hint="eastAsia" w:ascii="Times New Roman" w:hAnsi="Times New Roman"/>
          <w:color w:val="auto"/>
          <w:highlight w:val="none"/>
          <w:shd w:val="clear" w:color="auto" w:fill="auto"/>
        </w:rPr>
        <w:t>曾在</w:t>
      </w:r>
      <w:r>
        <w:rPr>
          <w:rFonts w:ascii="Times New Roman" w:hAnsi="Times New Roman"/>
          <w:color w:val="auto"/>
          <w:highlight w:val="none"/>
          <w:shd w:val="clear" w:color="auto" w:fill="auto"/>
        </w:rPr>
        <w:t>比选人</w:t>
      </w:r>
      <w:r>
        <w:rPr>
          <w:rFonts w:hint="eastAsia" w:ascii="Times New Roman" w:hAnsi="Times New Roman"/>
          <w:color w:val="auto"/>
          <w:highlight w:val="none"/>
          <w:shd w:val="clear" w:color="auto" w:fill="auto"/>
        </w:rPr>
        <w:t>项目</w:t>
      </w:r>
      <w:r>
        <w:rPr>
          <w:rFonts w:ascii="Times New Roman" w:hAnsi="Times New Roman"/>
          <w:color w:val="auto"/>
          <w:highlight w:val="none"/>
          <w:shd w:val="clear" w:color="auto" w:fill="auto"/>
        </w:rPr>
        <w:t>中存在</w:t>
      </w:r>
      <w:r>
        <w:rPr>
          <w:rFonts w:hint="eastAsia" w:ascii="Times New Roman" w:hAnsi="Times New Roman"/>
          <w:color w:val="auto"/>
          <w:highlight w:val="none"/>
          <w:shd w:val="clear" w:color="auto" w:fill="auto"/>
        </w:rPr>
        <w:t>弄虚作假行为的</w:t>
      </w:r>
      <w:r>
        <w:rPr>
          <w:rFonts w:ascii="Times New Roman" w:hAnsi="Times New Roman"/>
          <w:color w:val="auto"/>
          <w:highlight w:val="none"/>
          <w:shd w:val="clear" w:color="auto" w:fill="auto"/>
        </w:rPr>
        <w:t>参选人。若</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存在上述情况，比选人</w:t>
      </w:r>
      <w:r>
        <w:rPr>
          <w:rFonts w:hint="eastAsia" w:ascii="Times New Roman" w:hAnsi="Times New Roman"/>
          <w:color w:val="auto"/>
          <w:highlight w:val="none"/>
          <w:shd w:val="clear" w:color="auto" w:fill="auto"/>
        </w:rPr>
        <w:t>将</w:t>
      </w:r>
      <w:r>
        <w:rPr>
          <w:rFonts w:ascii="Times New Roman" w:hAnsi="Times New Roman"/>
          <w:color w:val="auto"/>
          <w:highlight w:val="none"/>
          <w:shd w:val="clear" w:color="auto" w:fill="auto"/>
        </w:rPr>
        <w:t>有权</w:t>
      </w:r>
      <w:r>
        <w:rPr>
          <w:rFonts w:hint="eastAsia" w:ascii="Times New Roman" w:hAnsi="Times New Roman"/>
          <w:color w:val="auto"/>
          <w:highlight w:val="none"/>
          <w:shd w:val="clear" w:color="auto" w:fill="auto"/>
        </w:rPr>
        <w:t>随时</w:t>
      </w:r>
      <w:r>
        <w:rPr>
          <w:rFonts w:ascii="Times New Roman" w:hAnsi="Times New Roman"/>
          <w:color w:val="auto"/>
          <w:highlight w:val="none"/>
          <w:shd w:val="clear" w:color="auto" w:fill="auto"/>
        </w:rPr>
        <w:t>取消其参选资格或</w:t>
      </w:r>
      <w:r>
        <w:rPr>
          <w:rFonts w:hint="eastAsia" w:ascii="Times New Roman" w:hAnsi="Times New Roman"/>
          <w:color w:val="auto"/>
          <w:highlight w:val="none"/>
          <w:shd w:val="clear" w:color="auto" w:fill="auto"/>
        </w:rPr>
        <w:t>中选</w:t>
      </w:r>
      <w:r>
        <w:rPr>
          <w:rFonts w:ascii="Times New Roman" w:hAnsi="Times New Roman"/>
          <w:color w:val="auto"/>
          <w:highlight w:val="none"/>
          <w:shd w:val="clear" w:color="auto" w:fill="auto"/>
        </w:rPr>
        <w:t>资格（</w:t>
      </w:r>
      <w:r>
        <w:rPr>
          <w:rFonts w:hint="eastAsia" w:ascii="Times New Roman" w:hAnsi="Times New Roman"/>
          <w:color w:val="auto"/>
          <w:highlight w:val="none"/>
          <w:shd w:val="clear" w:color="auto" w:fill="auto"/>
        </w:rPr>
        <w:t>若</w:t>
      </w:r>
      <w:r>
        <w:rPr>
          <w:rFonts w:ascii="Times New Roman" w:hAnsi="Times New Roman"/>
          <w:color w:val="auto"/>
          <w:highlight w:val="none"/>
          <w:shd w:val="clear" w:color="auto" w:fill="auto"/>
        </w:rPr>
        <w:t>签署合同后发现的则有权解除合同）</w:t>
      </w:r>
      <w:r>
        <w:rPr>
          <w:rFonts w:hint="eastAsia" w:ascii="Times New Roman" w:hAnsi="Times New Roman"/>
          <w:color w:val="auto"/>
          <w:highlight w:val="none"/>
          <w:shd w:val="clear" w:color="auto" w:fill="auto"/>
        </w:rPr>
        <w:t>，没收</w:t>
      </w:r>
      <w:r>
        <w:rPr>
          <w:rFonts w:ascii="Times New Roman" w:hAnsi="Times New Roman"/>
          <w:color w:val="auto"/>
          <w:highlight w:val="none"/>
          <w:shd w:val="clear" w:color="auto" w:fill="auto"/>
        </w:rPr>
        <w:t>其</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保证金，并追究其相应的法律责任。</w:t>
      </w:r>
      <w:r>
        <w:rPr>
          <w:rFonts w:hint="eastAsia" w:ascii="Times New Roman" w:hAnsi="Times New Roman"/>
          <w:color w:val="auto"/>
          <w:highlight w:val="none"/>
          <w:shd w:val="clear" w:color="auto" w:fill="auto"/>
        </w:rPr>
        <w:t>截止</w:t>
      </w:r>
      <w:r>
        <w:rPr>
          <w:rFonts w:ascii="Times New Roman" w:hAnsi="Times New Roman"/>
          <w:color w:val="auto"/>
          <w:highlight w:val="none"/>
          <w:shd w:val="clear" w:color="auto" w:fill="auto"/>
        </w:rPr>
        <w:t>挂网日，</w:t>
      </w:r>
      <w:r>
        <w:rPr>
          <w:rFonts w:hint="eastAsia" w:ascii="Times New Roman" w:hAnsi="Times New Roman"/>
          <w:color w:val="auto"/>
          <w:highlight w:val="none"/>
          <w:shd w:val="clear" w:color="auto" w:fill="auto"/>
        </w:rPr>
        <w:t>存在</w:t>
      </w:r>
      <w:r>
        <w:rPr>
          <w:rFonts w:ascii="Times New Roman" w:hAnsi="Times New Roman"/>
          <w:color w:val="auto"/>
          <w:highlight w:val="none"/>
          <w:shd w:val="clear" w:color="auto" w:fill="auto"/>
        </w:rPr>
        <w:t>上述情况的公司</w:t>
      </w:r>
      <w:r>
        <w:rPr>
          <w:rFonts w:hint="eastAsia" w:ascii="Times New Roman" w:hAnsi="Times New Roman"/>
          <w:color w:val="auto"/>
          <w:highlight w:val="none"/>
          <w:shd w:val="clear" w:color="auto" w:fill="auto"/>
        </w:rPr>
        <w:t>已纳入</w:t>
      </w:r>
      <w:r>
        <w:rPr>
          <w:rFonts w:ascii="Times New Roman" w:hAnsi="Times New Roman"/>
          <w:color w:val="auto"/>
          <w:highlight w:val="none"/>
          <w:shd w:val="clear" w:color="auto" w:fill="auto"/>
        </w:rPr>
        <w:t>下列清单</w:t>
      </w:r>
      <w:r>
        <w:rPr>
          <w:rFonts w:hint="eastAsia" w:ascii="Times New Roman" w:hAnsi="Times New Roman"/>
          <w:color w:val="auto"/>
          <w:highlight w:val="none"/>
          <w:shd w:val="clear" w:color="auto" w:fill="auto"/>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6C5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1E7ECD2">
            <w:pPr>
              <w:spacing w:line="360" w:lineRule="auto"/>
              <w:ind w:firstLine="0" w:firstLineChars="0"/>
              <w:jc w:val="center"/>
              <w:rPr>
                <w:rFonts w:ascii="宋体" w:hAnsi="Times New Roman" w:cs="宋体"/>
                <w:bCs/>
                <w:snapToGrid w:val="0"/>
                <w:color w:val="auto"/>
                <w:kern w:val="0"/>
                <w:szCs w:val="24"/>
                <w:highlight w:val="none"/>
                <w:shd w:val="clear" w:color="auto" w:fill="auto"/>
              </w:rPr>
            </w:pPr>
            <w:r>
              <w:rPr>
                <w:rFonts w:hint="eastAsia" w:ascii="宋体" w:hAnsi="Times New Roman" w:cs="宋体"/>
                <w:bCs/>
                <w:snapToGrid w:val="0"/>
                <w:color w:val="auto"/>
                <w:kern w:val="0"/>
                <w:szCs w:val="24"/>
                <w:highlight w:val="none"/>
                <w:shd w:val="clear" w:color="auto" w:fill="auto"/>
              </w:rPr>
              <w:t>序号</w:t>
            </w:r>
          </w:p>
        </w:tc>
        <w:tc>
          <w:tcPr>
            <w:tcW w:w="4933" w:type="dxa"/>
          </w:tcPr>
          <w:p w14:paraId="57DC760C">
            <w:pPr>
              <w:spacing w:line="360" w:lineRule="auto"/>
              <w:ind w:firstLine="0" w:firstLineChars="0"/>
              <w:jc w:val="center"/>
              <w:rPr>
                <w:rFonts w:ascii="宋体" w:hAnsi="Times New Roman" w:cs="宋体"/>
                <w:bCs/>
                <w:snapToGrid w:val="0"/>
                <w:color w:val="auto"/>
                <w:kern w:val="0"/>
                <w:szCs w:val="24"/>
                <w:highlight w:val="none"/>
                <w:shd w:val="clear" w:color="auto" w:fill="auto"/>
              </w:rPr>
            </w:pPr>
            <w:r>
              <w:rPr>
                <w:rFonts w:hint="eastAsia" w:ascii="宋体" w:hAnsi="Times New Roman" w:cs="宋体"/>
                <w:bCs/>
                <w:snapToGrid w:val="0"/>
                <w:color w:val="auto"/>
                <w:kern w:val="0"/>
                <w:szCs w:val="24"/>
                <w:highlight w:val="none"/>
                <w:shd w:val="clear" w:color="auto" w:fill="auto"/>
              </w:rPr>
              <w:t>公司</w:t>
            </w:r>
          </w:p>
        </w:tc>
      </w:tr>
      <w:tr w14:paraId="01B4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7AA91F3">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1</w:t>
            </w:r>
          </w:p>
        </w:tc>
        <w:tc>
          <w:tcPr>
            <w:tcW w:w="4933" w:type="dxa"/>
          </w:tcPr>
          <w:p w14:paraId="77E24622">
            <w:pPr>
              <w:spacing w:line="360" w:lineRule="auto"/>
              <w:ind w:firstLine="0" w:firstLineChars="0"/>
              <w:jc w:val="center"/>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依米康软件技术（深圳）有限责任公司</w:t>
            </w:r>
          </w:p>
        </w:tc>
      </w:tr>
      <w:bookmarkEnd w:id="16"/>
    </w:tbl>
    <w:p w14:paraId="0312ECD4">
      <w:pPr>
        <w:pStyle w:val="3"/>
        <w:rPr>
          <w:rFonts w:ascii="Times New Roman" w:hAnsi="Times New Roman"/>
          <w:color w:val="auto"/>
          <w:highlight w:val="none"/>
          <w:shd w:val="clear" w:color="auto" w:fill="auto"/>
        </w:rPr>
      </w:pPr>
      <w:bookmarkStart w:id="17" w:name="_Toc55379220"/>
      <w:bookmarkStart w:id="18" w:name="_Toc14617"/>
      <w:bookmarkStart w:id="19" w:name="_Toc297817090"/>
      <w:bookmarkStart w:id="20" w:name="_Toc469574667"/>
      <w:bookmarkStart w:id="21" w:name="_Toc89675130"/>
      <w:r>
        <w:rPr>
          <w:rFonts w:hint="eastAsia" w:ascii="Times New Roman" w:hAnsi="Times New Roman"/>
          <w:color w:val="auto"/>
          <w:highlight w:val="none"/>
          <w:shd w:val="clear" w:color="auto" w:fill="auto"/>
        </w:rPr>
        <w:t>3. 比选文件的获取</w:t>
      </w:r>
      <w:bookmarkEnd w:id="17"/>
      <w:bookmarkEnd w:id="18"/>
    </w:p>
    <w:p w14:paraId="273BB96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 获取时间和方式：从</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14</w:t>
      </w:r>
      <w:r>
        <w:rPr>
          <w:rFonts w:hint="eastAsia" w:ascii="Times New Roman" w:hAnsi="Times New Roman"/>
          <w:color w:val="auto"/>
          <w:highlight w:val="none"/>
          <w:shd w:val="clear" w:color="auto" w:fill="auto"/>
        </w:rPr>
        <w:t>日到</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29</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分（北京时间），在重庆市公共资源交易网（www.cqggzy.com）下载比选文件。</w:t>
      </w:r>
    </w:p>
    <w:p w14:paraId="2F30986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19</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17</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00</w:t>
      </w:r>
      <w:r>
        <w:rPr>
          <w:rFonts w:hint="eastAsia" w:ascii="Times New Roman" w:hAnsi="Times New Roman"/>
          <w:color w:val="auto"/>
          <w:highlight w:val="none"/>
          <w:shd w:val="clear" w:color="auto" w:fill="auto"/>
        </w:rPr>
        <w:t>分（北京时间）前自行在重庆市公共资源交易网（http://www.cqggzy.com/）比选公告的“我要提问”栏目匿名提出。参选人未提出，则视为参选人已全面确认比选文件内容。</w:t>
      </w:r>
    </w:p>
    <w:p w14:paraId="3BF028C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8B1DD89">
      <w:pPr>
        <w:pStyle w:val="3"/>
        <w:rPr>
          <w:rFonts w:ascii="Times New Roman" w:hAnsi="Times New Roman"/>
          <w:color w:val="auto"/>
          <w:highlight w:val="none"/>
          <w:shd w:val="clear" w:color="auto" w:fill="auto"/>
        </w:rPr>
      </w:pPr>
      <w:bookmarkStart w:id="22" w:name="_Toc6302"/>
      <w:bookmarkStart w:id="23" w:name="_Toc55379221"/>
      <w:r>
        <w:rPr>
          <w:rFonts w:hint="eastAsia" w:ascii="Times New Roman" w:hAnsi="Times New Roman"/>
          <w:color w:val="auto"/>
          <w:highlight w:val="none"/>
          <w:shd w:val="clear" w:color="auto" w:fill="auto"/>
        </w:rPr>
        <w:t>4. 参选保证金的递交</w:t>
      </w:r>
      <w:bookmarkEnd w:id="19"/>
      <w:bookmarkEnd w:id="20"/>
      <w:bookmarkEnd w:id="21"/>
      <w:bookmarkEnd w:id="22"/>
      <w:bookmarkEnd w:id="23"/>
    </w:p>
    <w:p w14:paraId="40B83031">
      <w:pPr>
        <w:ind w:firstLine="480"/>
        <w:rPr>
          <w:rFonts w:ascii="Times New Roman" w:hAnsi="Times New Roman"/>
          <w:color w:val="auto"/>
          <w:highlight w:val="none"/>
          <w:shd w:val="clear" w:color="auto" w:fill="auto"/>
        </w:rPr>
      </w:pPr>
      <w:bookmarkStart w:id="24" w:name="_Toc55379222"/>
      <w:bookmarkStart w:id="25" w:name="_Toc89675131"/>
      <w:bookmarkStart w:id="26" w:name="_Toc469574668"/>
      <w:bookmarkStart w:id="27" w:name="_Toc297817091"/>
      <w:r>
        <w:rPr>
          <w:rFonts w:hint="eastAsia" w:ascii="Times New Roman" w:hAnsi="Times New Roman"/>
          <w:color w:val="auto"/>
          <w:highlight w:val="none"/>
          <w:shd w:val="clear" w:color="auto" w:fill="auto"/>
        </w:rPr>
        <w:t>4.1 参选保证金的金额：</w:t>
      </w:r>
      <w:r>
        <w:rPr>
          <w:rFonts w:hint="eastAsia" w:ascii="Times New Roman" w:hAnsi="Times New Roman"/>
          <w:bCs/>
          <w:color w:val="auto"/>
          <w:highlight w:val="none"/>
          <w:shd w:val="clear" w:color="auto" w:fill="auto"/>
        </w:rPr>
        <w:t>19200元整（大写：壹万玖仟贰佰元整）</w:t>
      </w:r>
      <w:r>
        <w:rPr>
          <w:rFonts w:hint="eastAsia" w:ascii="Times New Roman" w:hAnsi="Times New Roman"/>
          <w:color w:val="auto"/>
          <w:highlight w:val="none"/>
          <w:shd w:val="clear" w:color="auto" w:fill="auto"/>
        </w:rPr>
        <w:t>。</w:t>
      </w:r>
    </w:p>
    <w:p w14:paraId="07D2F0D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CAB6D78">
      <w:pPr>
        <w:ind w:firstLine="482"/>
        <w:rPr>
          <w:rFonts w:ascii="Times New Roman" w:hAnsi="Times New Roman"/>
          <w:color w:val="auto"/>
          <w:highlight w:val="none"/>
          <w:shd w:val="clear" w:color="auto" w:fill="auto"/>
        </w:rPr>
      </w:pPr>
      <w:r>
        <w:rPr>
          <w:rFonts w:hint="eastAsia" w:ascii="Times New Roman" w:hAnsi="Times New Roman"/>
          <w:b/>
          <w:bCs/>
          <w:color w:val="auto"/>
          <w:highlight w:val="none"/>
          <w:shd w:val="clear" w:color="auto" w:fill="auto"/>
        </w:rPr>
        <w:t>参选人必须在付款凭证备注栏中注明项目简称。可简写成：</w:t>
      </w:r>
      <w:r>
        <w:rPr>
          <w:rFonts w:hint="eastAsia" w:ascii="宋体" w:hAnsi="Times New Roman" w:cs="宋体"/>
          <w:bCs/>
          <w:snapToGrid w:val="0"/>
          <w:color w:val="auto"/>
          <w:kern w:val="0"/>
          <w:szCs w:val="24"/>
          <w:highlight w:val="none"/>
          <w:shd w:val="clear" w:color="auto" w:fill="auto"/>
        </w:rPr>
        <w:t>电子验印系统项目</w:t>
      </w:r>
      <w:r>
        <w:rPr>
          <w:rFonts w:hint="eastAsia" w:ascii="Times New Roman" w:hAnsi="Times New Roman"/>
          <w:b/>
          <w:bCs/>
          <w:color w:val="auto"/>
          <w:highlight w:val="none"/>
          <w:shd w:val="clear" w:color="auto" w:fill="auto"/>
        </w:rPr>
        <w:t>。</w:t>
      </w:r>
    </w:p>
    <w:p w14:paraId="6777900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4.3 参选保证金递交的截止时间为</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29</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分（北京时间）。</w:t>
      </w:r>
    </w:p>
    <w:p w14:paraId="0FC7A72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w:t>
      </w: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 xml:space="preserve"> 参选保证金专用账户如下：</w:t>
      </w:r>
    </w:p>
    <w:p w14:paraId="0479D1D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70F9FA8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参选保证金以重庆市公共资源交易中心比选现场展示的保证金交纳情况为准。</w:t>
      </w:r>
    </w:p>
    <w:bookmarkEnd w:id="24"/>
    <w:bookmarkEnd w:id="25"/>
    <w:bookmarkEnd w:id="26"/>
    <w:bookmarkEnd w:id="27"/>
    <w:p w14:paraId="48FFBC74">
      <w:pPr>
        <w:pStyle w:val="3"/>
        <w:rPr>
          <w:rFonts w:ascii="Times New Roman" w:hAnsi="Times New Roman"/>
          <w:color w:val="auto"/>
          <w:highlight w:val="none"/>
          <w:shd w:val="clear" w:color="auto" w:fill="auto"/>
        </w:rPr>
      </w:pPr>
      <w:bookmarkStart w:id="28" w:name="_Toc26607"/>
      <w:r>
        <w:rPr>
          <w:rFonts w:hint="eastAsia" w:ascii="Times New Roman" w:hAnsi="Times New Roman"/>
          <w:color w:val="auto"/>
          <w:highlight w:val="none"/>
          <w:shd w:val="clear" w:color="auto" w:fill="auto"/>
        </w:rPr>
        <w:t>5. 参选文件的递交</w:t>
      </w:r>
      <w:bookmarkEnd w:id="28"/>
    </w:p>
    <w:p w14:paraId="15A3757D">
      <w:pPr>
        <w:ind w:firstLine="480"/>
        <w:rPr>
          <w:rFonts w:ascii="Times New Roman" w:hAnsi="Times New Roman"/>
          <w:color w:val="auto"/>
          <w:highlight w:val="none"/>
          <w:shd w:val="clear" w:color="auto" w:fill="auto"/>
        </w:rPr>
      </w:pPr>
      <w:bookmarkStart w:id="29" w:name="_Toc469574669"/>
      <w:bookmarkStart w:id="30" w:name="_Toc89675132"/>
      <w:bookmarkStart w:id="31" w:name="_Toc55379223"/>
      <w:r>
        <w:rPr>
          <w:rFonts w:hint="eastAsia" w:ascii="Times New Roman" w:hAnsi="Times New Roman"/>
          <w:color w:val="auto"/>
          <w:highlight w:val="none"/>
          <w:shd w:val="clear" w:color="auto" w:fill="auto"/>
        </w:rPr>
        <w:t>5.1 参选文件现场递交的开始时间为</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29</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00</w:t>
      </w:r>
      <w:r>
        <w:rPr>
          <w:rFonts w:hint="eastAsia" w:ascii="Times New Roman" w:hAnsi="Times New Roman"/>
          <w:color w:val="auto"/>
          <w:highlight w:val="none"/>
          <w:shd w:val="clear" w:color="auto" w:fill="auto"/>
        </w:rPr>
        <w:t>分(北京时间)。递交截止时间为</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29</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分（北京时间）。</w:t>
      </w:r>
    </w:p>
    <w:p w14:paraId="42B2147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5.2 递交地点为重庆市渝北区青枫北路6号渝兴广场B10栋重庆市公共资源交易中心开标区（具体请登陆重庆市公共资源交易网（www.cqggzy.com）查询或递交文件当日见交易中心大厅电子显示屏）。</w:t>
      </w:r>
    </w:p>
    <w:p w14:paraId="61807E6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5.3 逾期送达的参选文件，不予接收。</w:t>
      </w:r>
    </w:p>
    <w:p w14:paraId="45509CAD">
      <w:pPr>
        <w:pStyle w:val="3"/>
        <w:rPr>
          <w:rFonts w:ascii="Times New Roman" w:hAnsi="Times New Roman"/>
          <w:color w:val="auto"/>
          <w:highlight w:val="none"/>
          <w:shd w:val="clear" w:color="auto" w:fill="auto"/>
        </w:rPr>
      </w:pPr>
      <w:bookmarkStart w:id="32" w:name="_Toc8337"/>
      <w:r>
        <w:rPr>
          <w:rFonts w:hint="eastAsia" w:ascii="Times New Roman" w:hAnsi="Times New Roman"/>
          <w:color w:val="auto"/>
          <w:highlight w:val="none"/>
          <w:shd w:val="clear" w:color="auto" w:fill="auto"/>
        </w:rPr>
        <w:t>6. 发布公告的媒介</w:t>
      </w:r>
      <w:bookmarkEnd w:id="29"/>
      <w:bookmarkEnd w:id="30"/>
      <w:bookmarkEnd w:id="31"/>
      <w:bookmarkEnd w:id="32"/>
    </w:p>
    <w:p w14:paraId="6D20F0C4">
      <w:pPr>
        <w:ind w:firstLine="480"/>
        <w:rPr>
          <w:rFonts w:ascii="Times New Roman" w:hAnsi="Times New Roman"/>
          <w:color w:val="auto"/>
          <w:highlight w:val="none"/>
          <w:shd w:val="clear" w:color="auto" w:fill="auto"/>
        </w:rPr>
      </w:pPr>
      <w:bookmarkStart w:id="33" w:name="_Toc469574670"/>
      <w:bookmarkStart w:id="34" w:name="_Toc89675133"/>
      <w:bookmarkStart w:id="35" w:name="_Toc250565211"/>
      <w:bookmarkStart w:id="36" w:name="_Toc55379224"/>
      <w:r>
        <w:rPr>
          <w:rFonts w:hint="eastAsia" w:ascii="Times New Roman" w:hAnsi="Times New Roman"/>
          <w:color w:val="auto"/>
          <w:highlight w:val="none"/>
          <w:shd w:val="clear" w:color="auto" w:fill="auto"/>
        </w:rPr>
        <w:t>本次比选公告同时在《重庆市公共资源交易网（www.cqggzy.com）》《重庆三峡银行官网（https://www.ccqtgb.com）》和《中国</w:t>
      </w:r>
      <w:r>
        <w:rPr>
          <w:rFonts w:hint="eastAsia" w:ascii="Times New Roman" w:hAnsi="Times New Roman"/>
          <w:color w:val="auto"/>
          <w:highlight w:val="none"/>
          <w:shd w:val="clear" w:color="auto" w:fill="auto"/>
          <w:lang w:val="en-US" w:eastAsia="zh-CN"/>
        </w:rPr>
        <w:t>招标投标</w:t>
      </w:r>
      <w:r>
        <w:rPr>
          <w:rFonts w:hint="eastAsia" w:ascii="Times New Roman" w:hAnsi="Times New Roman"/>
          <w:color w:val="auto"/>
          <w:highlight w:val="none"/>
          <w:shd w:val="clear" w:color="auto" w:fill="auto"/>
        </w:rPr>
        <w:t>公共服务平台（http://www.cebpubservice.com）》上发布。</w:t>
      </w:r>
    </w:p>
    <w:p w14:paraId="605D4BA3">
      <w:pPr>
        <w:pStyle w:val="3"/>
        <w:rPr>
          <w:rFonts w:ascii="Times New Roman" w:hAnsi="Times New Roman"/>
          <w:color w:val="auto"/>
          <w:highlight w:val="none"/>
          <w:shd w:val="clear" w:color="auto" w:fill="auto"/>
        </w:rPr>
      </w:pPr>
      <w:bookmarkStart w:id="37" w:name="_Toc14762"/>
      <w:bookmarkStart w:id="38" w:name="_Toc1167"/>
      <w:r>
        <w:rPr>
          <w:rFonts w:hint="eastAsia" w:ascii="Times New Roman" w:hAnsi="Times New Roman"/>
          <w:color w:val="auto"/>
          <w:highlight w:val="none"/>
          <w:shd w:val="clear" w:color="auto" w:fill="auto"/>
        </w:rPr>
        <w:t xml:space="preserve">7. </w:t>
      </w:r>
      <w:r>
        <w:rPr>
          <w:rFonts w:ascii="Times New Roman" w:hAnsi="Times New Roman"/>
          <w:color w:val="auto"/>
          <w:highlight w:val="none"/>
          <w:shd w:val="clear" w:color="auto" w:fill="auto"/>
        </w:rPr>
        <w:t>报名方式</w:t>
      </w:r>
      <w:bookmarkEnd w:id="37"/>
      <w:bookmarkEnd w:id="38"/>
    </w:p>
    <w:p w14:paraId="4B48BDA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本项目从比选文件发出之日起至2024年</w:t>
      </w:r>
      <w:r>
        <w:rPr>
          <w:rFonts w:hint="eastAsia" w:ascii="Times New Roman" w:hAnsi="Times New Roman"/>
          <w:color w:val="auto"/>
          <w:highlight w:val="non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shd w:val="clear" w:color="auto" w:fill="auto"/>
          <w:lang w:val="en-US" w:eastAsia="zh-CN"/>
        </w:rPr>
        <w:t>21</w:t>
      </w:r>
      <w:r>
        <w:rPr>
          <w:rFonts w:hint="eastAsia" w:ascii="Times New Roman" w:hAnsi="Times New Roman"/>
          <w:color w:val="auto"/>
          <w:highlight w:val="none"/>
          <w:shd w:val="clear" w:color="auto" w:fill="auto"/>
        </w:rPr>
        <w:t>日</w:t>
      </w:r>
      <w:r>
        <w:rPr>
          <w:rFonts w:ascii="Times New Roman" w:hAnsi="Times New Roman"/>
          <w:color w:val="auto"/>
          <w:highlight w:val="none"/>
          <w:shd w:val="clear" w:color="auto" w:fill="auto"/>
        </w:rPr>
        <w:t>17</w:t>
      </w:r>
      <w:r>
        <w:rPr>
          <w:rFonts w:hint="eastAsia" w:ascii="Times New Roman" w:hAnsi="Times New Roman"/>
          <w:color w:val="auto"/>
          <w:highlight w:val="none"/>
          <w:shd w:val="clear" w:color="auto" w:fill="auto"/>
        </w:rPr>
        <w:t>时</w:t>
      </w:r>
      <w:r>
        <w:rPr>
          <w:rFonts w:ascii="Times New Roman" w:hAnsi="Times New Roman"/>
          <w:color w:val="auto"/>
          <w:highlight w:val="none"/>
          <w:shd w:val="clear" w:color="auto" w:fill="auto"/>
        </w:rPr>
        <w:t>00</w:t>
      </w:r>
      <w:r>
        <w:rPr>
          <w:rFonts w:hint="eastAsia" w:ascii="Times New Roman" w:hAnsi="Times New Roman"/>
          <w:color w:val="auto"/>
          <w:highlight w:val="none"/>
          <w:shd w:val="clear" w:color="auto" w:fill="auto"/>
        </w:rPr>
        <w:t>分进行报名，供应商将《报名函》（加盖供应商公章）扫描后发送至邮箱 liangwei@ccqtgb.com。《报名函》详见比选文件第三章附件一。</w:t>
      </w:r>
    </w:p>
    <w:p w14:paraId="07B6B6CE">
      <w:pPr>
        <w:ind w:firstLine="480"/>
        <w:rPr>
          <w:rFonts w:ascii="Times New Roman" w:hAnsi="Times New Roman"/>
          <w:color w:val="auto"/>
          <w:highlight w:val="none"/>
          <w:u w:val="none"/>
          <w:shd w:val="clear" w:color="auto" w:fill="auto"/>
        </w:rPr>
      </w:pPr>
      <w:r>
        <w:rPr>
          <w:rFonts w:hint="eastAsia" w:ascii="Times New Roman" w:hAnsi="Times New Roman"/>
          <w:color w:val="auto"/>
          <w:highlight w:val="none"/>
          <w:u w:val="none"/>
          <w:shd w:val="clear" w:color="auto" w:fill="auto"/>
        </w:rPr>
        <w:t>报名联系人：梁伟，联系电话：</w:t>
      </w:r>
      <w:r>
        <w:rPr>
          <w:rFonts w:hint="eastAsia" w:ascii="Times New Roman" w:hAnsi="Times New Roman" w:cs="宋体"/>
          <w:bCs/>
          <w:color w:val="auto"/>
          <w:highlight w:val="none"/>
          <w:u w:val="none"/>
          <w:shd w:val="clear" w:color="auto" w:fill="auto"/>
        </w:rPr>
        <w:t>15808081229</w:t>
      </w:r>
      <w:r>
        <w:rPr>
          <w:rFonts w:hint="eastAsia" w:ascii="Times New Roman" w:hAnsi="Times New Roman"/>
          <w:color w:val="auto"/>
          <w:highlight w:val="none"/>
          <w:u w:val="none"/>
          <w:shd w:val="clear" w:color="auto" w:fill="auto"/>
        </w:rPr>
        <w:t>。</w:t>
      </w:r>
    </w:p>
    <w:p w14:paraId="0F731908">
      <w:pPr>
        <w:pStyle w:val="3"/>
        <w:rPr>
          <w:rFonts w:ascii="Times New Roman" w:hAnsi="Times New Roman" w:cs="Cambria Math"/>
          <w:color w:val="auto"/>
          <w:highlight w:val="none"/>
          <w:shd w:val="clear" w:color="auto" w:fill="auto"/>
        </w:rPr>
      </w:pPr>
      <w:bookmarkStart w:id="39" w:name="_Toc16322"/>
      <w:bookmarkStart w:id="40" w:name="_Toc14106"/>
      <w:r>
        <w:rPr>
          <w:rFonts w:hint="eastAsia" w:ascii="Times New Roman" w:hAnsi="Times New Roman" w:cs="Cambria Math"/>
          <w:color w:val="auto"/>
          <w:highlight w:val="none"/>
          <w:shd w:val="clear" w:color="auto" w:fill="auto"/>
        </w:rPr>
        <w:t>8. POC测试</w:t>
      </w:r>
      <w:bookmarkEnd w:id="39"/>
      <w:bookmarkEnd w:id="40"/>
    </w:p>
    <w:p w14:paraId="32F4C8D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本项目POC测试根据项目实际情况安排，</w:t>
      </w:r>
      <w:r>
        <w:rPr>
          <w:rFonts w:ascii="Times New Roman" w:hAnsi="Times New Roman"/>
          <w:color w:val="auto"/>
          <w:highlight w:val="none"/>
          <w:shd w:val="clear" w:color="auto" w:fill="auto"/>
        </w:rPr>
        <w:t>POC</w:t>
      </w:r>
      <w:r>
        <w:rPr>
          <w:rFonts w:hint="eastAsia" w:ascii="Times New Roman" w:hAnsi="Times New Roman"/>
          <w:color w:val="auto"/>
          <w:highlight w:val="none"/>
          <w:shd w:val="clear" w:color="auto" w:fill="auto"/>
        </w:rPr>
        <w:t>方案详见比选文件第三章附件二。</w:t>
      </w:r>
    </w:p>
    <w:p w14:paraId="5FABBE9D">
      <w:pPr>
        <w:pStyle w:val="3"/>
        <w:rPr>
          <w:rFonts w:ascii="Times New Roman" w:hAnsi="Times New Roman"/>
          <w:color w:val="auto"/>
          <w:highlight w:val="none"/>
          <w:shd w:val="clear" w:color="auto" w:fill="auto"/>
        </w:rPr>
      </w:pPr>
      <w:bookmarkStart w:id="41" w:name="_Toc29276"/>
      <w:r>
        <w:rPr>
          <w:rFonts w:hint="eastAsia" w:ascii="Times New Roman" w:hAnsi="Times New Roman"/>
          <w:color w:val="auto"/>
          <w:highlight w:val="none"/>
          <w:shd w:val="clear" w:color="auto" w:fill="auto"/>
        </w:rPr>
        <w:t>9. 联系方式</w:t>
      </w:r>
      <w:bookmarkEnd w:id="33"/>
      <w:bookmarkEnd w:id="34"/>
      <w:bookmarkEnd w:id="35"/>
      <w:bookmarkEnd w:id="36"/>
      <w:bookmarkEnd w:id="41"/>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15714B1">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DD067DF">
            <w:pPr>
              <w:spacing w:line="360" w:lineRule="auto"/>
              <w:ind w:firstLine="240" w:firstLineChars="100"/>
              <w:rPr>
                <w:color w:val="auto"/>
                <w:highlight w:val="none"/>
                <w:shd w:val="clear" w:color="auto" w:fill="auto"/>
              </w:rPr>
            </w:pPr>
            <w:r>
              <w:rPr>
                <w:rFonts w:hint="eastAsia"/>
                <w:color w:val="auto"/>
                <w:highlight w:val="none"/>
                <w:shd w:val="clear" w:color="auto" w:fill="auto"/>
              </w:rPr>
              <w:t>9.1 项目需求咨询</w:t>
            </w:r>
          </w:p>
        </w:tc>
      </w:tr>
      <w:tr w14:paraId="448B514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D8B823D">
            <w:pPr>
              <w:spacing w:line="360" w:lineRule="auto"/>
              <w:ind w:left="180" w:leftChars="75" w:firstLine="0" w:firstLineChars="0"/>
              <w:rPr>
                <w:rFonts w:cs="宋体"/>
                <w:color w:val="auto"/>
                <w:sz w:val="21"/>
                <w:szCs w:val="21"/>
                <w:highlight w:val="none"/>
                <w:shd w:val="clear" w:color="auto" w:fill="auto"/>
              </w:rPr>
            </w:pPr>
            <w:r>
              <w:rPr>
                <w:rFonts w:hint="eastAsia"/>
                <w:color w:val="auto"/>
                <w:highlight w:val="none"/>
                <w:shd w:val="clear" w:color="auto" w:fill="auto"/>
              </w:rPr>
              <w:t>项目联系人：</w:t>
            </w:r>
            <w:r>
              <w:rPr>
                <w:rFonts w:hint="eastAsia" w:ascii="宋体" w:cs="宋体"/>
                <w:color w:val="auto"/>
                <w:szCs w:val="24"/>
                <w:highlight w:val="none"/>
                <w:shd w:val="clear" w:color="auto" w:fill="auto"/>
              </w:rPr>
              <w:t>高玉</w:t>
            </w:r>
          </w:p>
        </w:tc>
        <w:tc>
          <w:tcPr>
            <w:tcW w:w="5333" w:type="dxa"/>
            <w:tcBorders>
              <w:top w:val="nil"/>
              <w:left w:val="nil"/>
              <w:bottom w:val="nil"/>
              <w:right w:val="single" w:color="auto" w:sz="4" w:space="0"/>
            </w:tcBorders>
          </w:tcPr>
          <w:p w14:paraId="5A9359F7">
            <w:pPr>
              <w:spacing w:line="360" w:lineRule="auto"/>
              <w:ind w:left="180" w:leftChars="75" w:firstLine="0" w:firstLineChars="0"/>
              <w:rPr>
                <w:rFonts w:cs="宋体"/>
                <w:color w:val="auto"/>
                <w:sz w:val="21"/>
                <w:szCs w:val="21"/>
                <w:highlight w:val="none"/>
                <w:shd w:val="clear" w:color="auto" w:fill="auto"/>
              </w:rPr>
            </w:pPr>
            <w:r>
              <w:rPr>
                <w:rFonts w:hint="eastAsia"/>
                <w:color w:val="auto"/>
                <w:highlight w:val="none"/>
                <w:shd w:val="clear" w:color="auto" w:fill="auto"/>
              </w:rPr>
              <w:t>联系方式：</w:t>
            </w:r>
            <w:r>
              <w:rPr>
                <w:rFonts w:hint="eastAsia" w:ascii="宋体" w:cs="宋体"/>
                <w:color w:val="auto"/>
                <w:szCs w:val="24"/>
                <w:highlight w:val="none"/>
                <w:shd w:val="clear" w:color="auto" w:fill="auto"/>
              </w:rPr>
              <w:t>023-88890626</w:t>
            </w:r>
          </w:p>
        </w:tc>
      </w:tr>
      <w:tr w14:paraId="5C3A2C6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2697E20">
            <w:pPr>
              <w:spacing w:line="360" w:lineRule="auto"/>
              <w:ind w:left="180" w:leftChars="75" w:firstLine="0" w:firstLineChars="0"/>
              <w:rPr>
                <w:color w:val="auto"/>
                <w:highlight w:val="none"/>
                <w:shd w:val="clear" w:color="auto" w:fill="auto"/>
              </w:rPr>
            </w:pPr>
          </w:p>
        </w:tc>
      </w:tr>
      <w:tr w14:paraId="2E1B1E7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B3D794">
            <w:pPr>
              <w:spacing w:line="360" w:lineRule="auto"/>
              <w:ind w:left="180" w:leftChars="75" w:firstLine="0" w:firstLineChars="0"/>
              <w:rPr>
                <w:color w:val="auto"/>
                <w:highlight w:val="none"/>
                <w:shd w:val="clear" w:color="auto" w:fill="auto"/>
              </w:rPr>
            </w:pPr>
            <w:r>
              <w:rPr>
                <w:rFonts w:hint="eastAsia"/>
                <w:color w:val="auto"/>
                <w:highlight w:val="none"/>
                <w:shd w:val="clear" w:color="auto" w:fill="auto"/>
              </w:rPr>
              <w:t>9.2 项目流程咨询</w:t>
            </w:r>
          </w:p>
        </w:tc>
      </w:tr>
      <w:tr w14:paraId="60D8669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C441302">
            <w:pPr>
              <w:spacing w:line="360" w:lineRule="auto"/>
              <w:ind w:left="180" w:leftChars="75" w:firstLine="0" w:firstLineChars="0"/>
              <w:rPr>
                <w:color w:val="auto"/>
                <w:highlight w:val="none"/>
                <w:shd w:val="clear" w:color="auto" w:fill="auto"/>
              </w:rPr>
            </w:pPr>
            <w:r>
              <w:rPr>
                <w:rFonts w:hint="eastAsia"/>
                <w:color w:val="auto"/>
                <w:highlight w:val="none"/>
                <w:shd w:val="clear" w:color="auto" w:fill="auto"/>
              </w:rPr>
              <w:t>平台服务机构：重庆联合产权交易所集团股份有限公司</w:t>
            </w:r>
          </w:p>
        </w:tc>
      </w:tr>
      <w:tr w14:paraId="08269434">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916C8C2">
            <w:pPr>
              <w:spacing w:line="360" w:lineRule="auto"/>
              <w:ind w:left="180" w:leftChars="75" w:firstLine="0" w:firstLineChars="0"/>
              <w:rPr>
                <w:rFonts w:cs="宋体"/>
                <w:color w:val="auto"/>
                <w:sz w:val="21"/>
                <w:szCs w:val="21"/>
                <w:highlight w:val="none"/>
                <w:shd w:val="clear" w:color="auto" w:fill="auto"/>
              </w:rPr>
            </w:pPr>
            <w:r>
              <w:rPr>
                <w:rFonts w:hint="eastAsia"/>
                <w:color w:val="auto"/>
                <w:highlight w:val="none"/>
                <w:shd w:val="clear" w:color="auto" w:fill="auto"/>
              </w:rPr>
              <w:t>平台联系人：杜老师</w:t>
            </w:r>
          </w:p>
        </w:tc>
        <w:tc>
          <w:tcPr>
            <w:tcW w:w="5333" w:type="dxa"/>
            <w:tcBorders>
              <w:top w:val="nil"/>
              <w:left w:val="nil"/>
              <w:bottom w:val="nil"/>
              <w:right w:val="single" w:color="auto" w:sz="4" w:space="0"/>
            </w:tcBorders>
          </w:tcPr>
          <w:p w14:paraId="7614B636">
            <w:pPr>
              <w:spacing w:line="360" w:lineRule="auto"/>
              <w:ind w:left="180" w:leftChars="75" w:firstLine="0" w:firstLineChars="0"/>
              <w:rPr>
                <w:rFonts w:cs="宋体"/>
                <w:color w:val="auto"/>
                <w:sz w:val="21"/>
                <w:szCs w:val="21"/>
                <w:highlight w:val="none"/>
                <w:shd w:val="clear" w:color="auto" w:fill="auto"/>
              </w:rPr>
            </w:pPr>
            <w:r>
              <w:rPr>
                <w:rFonts w:hint="eastAsia"/>
                <w:color w:val="auto"/>
                <w:highlight w:val="none"/>
                <w:shd w:val="clear" w:color="auto" w:fill="auto"/>
              </w:rPr>
              <w:t>联系方式：023-63621694</w:t>
            </w:r>
          </w:p>
        </w:tc>
      </w:tr>
      <w:tr w14:paraId="012E8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B18376">
            <w:pPr>
              <w:spacing w:line="360" w:lineRule="auto"/>
              <w:ind w:left="180" w:leftChars="75" w:firstLine="0" w:firstLineChars="0"/>
              <w:rPr>
                <w:color w:val="auto"/>
                <w:highlight w:val="none"/>
                <w:shd w:val="clear" w:color="auto" w:fill="auto"/>
              </w:rPr>
            </w:pPr>
          </w:p>
        </w:tc>
      </w:tr>
      <w:tr w14:paraId="59B23D4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F88F6D">
            <w:pPr>
              <w:spacing w:line="360" w:lineRule="auto"/>
              <w:ind w:left="180" w:leftChars="75" w:firstLine="0" w:firstLineChars="0"/>
              <w:rPr>
                <w:color w:val="auto"/>
                <w:highlight w:val="none"/>
                <w:shd w:val="clear" w:color="auto" w:fill="auto"/>
              </w:rPr>
            </w:pPr>
            <w:r>
              <w:rPr>
                <w:rFonts w:hint="eastAsia"/>
                <w:color w:val="auto"/>
                <w:highlight w:val="none"/>
                <w:shd w:val="clear" w:color="auto" w:fill="auto"/>
              </w:rPr>
              <w:t>9.3 比选人联系方式</w:t>
            </w:r>
          </w:p>
        </w:tc>
      </w:tr>
      <w:tr w14:paraId="49468861">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2A23F6C">
            <w:pPr>
              <w:spacing w:line="360" w:lineRule="auto"/>
              <w:ind w:left="180" w:leftChars="75" w:firstLine="0" w:firstLineChars="0"/>
              <w:rPr>
                <w:rFonts w:cs="宋体"/>
                <w:color w:val="auto"/>
                <w:sz w:val="21"/>
                <w:szCs w:val="21"/>
                <w:highlight w:val="none"/>
                <w:shd w:val="clear" w:color="auto" w:fill="auto"/>
              </w:rPr>
            </w:pPr>
            <w:r>
              <w:rPr>
                <w:rFonts w:hint="eastAsia"/>
                <w:color w:val="auto"/>
                <w:highlight w:val="none"/>
                <w:shd w:val="clear" w:color="auto" w:fill="auto"/>
              </w:rPr>
              <w:t>联系人：敬希</w:t>
            </w:r>
          </w:p>
        </w:tc>
        <w:tc>
          <w:tcPr>
            <w:tcW w:w="5333" w:type="dxa"/>
            <w:tcBorders>
              <w:top w:val="nil"/>
              <w:left w:val="nil"/>
              <w:bottom w:val="nil"/>
              <w:right w:val="single" w:color="auto" w:sz="4" w:space="0"/>
            </w:tcBorders>
          </w:tcPr>
          <w:p w14:paraId="67234E76">
            <w:pPr>
              <w:spacing w:line="360" w:lineRule="auto"/>
              <w:ind w:left="180" w:leftChars="75" w:firstLine="0" w:firstLineChars="0"/>
              <w:rPr>
                <w:rFonts w:cs="宋体"/>
                <w:color w:val="auto"/>
                <w:sz w:val="21"/>
                <w:szCs w:val="21"/>
                <w:highlight w:val="none"/>
                <w:shd w:val="clear" w:color="auto" w:fill="auto"/>
              </w:rPr>
            </w:pPr>
            <w:r>
              <w:rPr>
                <w:rFonts w:hint="eastAsia"/>
                <w:color w:val="auto"/>
                <w:highlight w:val="none"/>
                <w:shd w:val="clear" w:color="auto" w:fill="auto"/>
              </w:rPr>
              <w:t>联系方式：023-88890395</w:t>
            </w:r>
          </w:p>
        </w:tc>
      </w:tr>
      <w:tr w14:paraId="617CCF3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AEDBA12">
            <w:pPr>
              <w:spacing w:line="360" w:lineRule="auto"/>
              <w:ind w:left="180" w:leftChars="75" w:firstLine="0" w:firstLineChars="0"/>
              <w:rPr>
                <w:color w:val="auto"/>
                <w:highlight w:val="none"/>
                <w:shd w:val="clear" w:color="auto" w:fill="auto"/>
              </w:rPr>
            </w:pPr>
            <w:r>
              <w:rPr>
                <w:rFonts w:hint="eastAsia"/>
                <w:color w:val="auto"/>
                <w:highlight w:val="none"/>
                <w:shd w:val="clear" w:color="auto" w:fill="auto"/>
              </w:rPr>
              <w:t>比选人地址：重庆市渝北区嘉州路88号中渝国际都会4号写字楼21层</w:t>
            </w:r>
          </w:p>
        </w:tc>
      </w:tr>
    </w:tbl>
    <w:p w14:paraId="16BD9A30">
      <w:pPr>
        <w:wordWrap w:val="0"/>
        <w:spacing w:line="360" w:lineRule="auto"/>
        <w:ind w:firstLine="480"/>
        <w:jc w:val="right"/>
        <w:rPr>
          <w:rFonts w:ascii="宋体" w:cs="宋体"/>
          <w:color w:val="auto"/>
          <w:szCs w:val="24"/>
          <w:highlight w:val="none"/>
          <w:shd w:val="clear" w:color="auto" w:fill="auto"/>
        </w:rPr>
      </w:pPr>
    </w:p>
    <w:p w14:paraId="05C2B641">
      <w:pPr>
        <w:spacing w:line="240" w:lineRule="auto"/>
        <w:ind w:firstLine="0" w:firstLineChars="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重庆三峡银行股份有限公司</w:t>
      </w:r>
    </w:p>
    <w:p w14:paraId="2B006D68">
      <w:pPr>
        <w:ind w:firstLine="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val="en-US" w:eastAsia="zh-CN"/>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shd w:val="clear" w:color="auto" w:fill="auto"/>
          <w:lang w:val="en-US" w:eastAsia="zh-CN"/>
        </w:rPr>
        <w:t>14</w:t>
      </w:r>
      <w:r>
        <w:rPr>
          <w:rFonts w:hint="eastAsia" w:ascii="Times New Roman" w:hAnsi="Times New Roman"/>
          <w:color w:val="auto"/>
          <w:highlight w:val="none"/>
          <w:shd w:val="clear" w:color="auto" w:fill="auto"/>
        </w:rPr>
        <w:t>日</w:t>
      </w:r>
    </w:p>
    <w:p w14:paraId="06CB0B18">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br w:type="page"/>
      </w:r>
      <w:bookmarkStart w:id="42" w:name="_Toc89675159"/>
      <w:bookmarkStart w:id="43" w:name="_Toc27630"/>
      <w:bookmarkStart w:id="44" w:name="_Toc303066033"/>
    </w:p>
    <w:p w14:paraId="3C6E23BF">
      <w:pPr>
        <w:ind w:firstLine="0" w:firstLineChars="0"/>
        <w:rPr>
          <w:rFonts w:ascii="Times New Roman" w:hAnsi="Times New Roman"/>
          <w:color w:val="auto"/>
          <w:highlight w:val="none"/>
          <w:shd w:val="clear" w:color="auto" w:fill="auto"/>
        </w:rPr>
        <w:sectPr>
          <w:pgSz w:w="11906" w:h="16838"/>
          <w:pgMar w:top="1440" w:right="1800" w:bottom="1440" w:left="1800" w:header="851" w:footer="992" w:gutter="0"/>
          <w:pgNumType w:fmt="decimal" w:start="1"/>
          <w:cols w:space="720" w:num="1"/>
          <w:docGrid w:type="lines" w:linePitch="312" w:charSpace="0"/>
        </w:sectPr>
      </w:pPr>
    </w:p>
    <w:p w14:paraId="6F2EB455">
      <w:pPr>
        <w:pStyle w:val="2"/>
        <w:rPr>
          <w:rFonts w:ascii="Times New Roman" w:hAnsi="Times New Roman"/>
          <w:color w:val="auto"/>
          <w:highlight w:val="none"/>
          <w:shd w:val="clear" w:color="auto" w:fill="auto"/>
        </w:rPr>
      </w:pPr>
      <w:bookmarkStart w:id="45" w:name="_Toc32040"/>
      <w:bookmarkStart w:id="46" w:name="_Toc31641"/>
      <w:r>
        <w:rPr>
          <w:rFonts w:hint="eastAsia" w:ascii="Times New Roman" w:hAnsi="Times New Roman"/>
          <w:color w:val="auto"/>
          <w:highlight w:val="none"/>
          <w:shd w:val="clear" w:color="auto" w:fill="auto"/>
        </w:rPr>
        <w:t>第二章 参选人须知</w:t>
      </w:r>
      <w:bookmarkEnd w:id="42"/>
      <w:bookmarkEnd w:id="43"/>
      <w:bookmarkEnd w:id="44"/>
      <w:bookmarkEnd w:id="45"/>
      <w:bookmarkEnd w:id="46"/>
    </w:p>
    <w:p w14:paraId="6118CE87">
      <w:pPr>
        <w:pStyle w:val="3"/>
        <w:rPr>
          <w:rFonts w:ascii="Times New Roman" w:hAnsi="Times New Roman"/>
          <w:color w:val="auto"/>
          <w:highlight w:val="none"/>
          <w:shd w:val="clear" w:color="auto" w:fill="auto"/>
        </w:rPr>
      </w:pPr>
      <w:bookmarkStart w:id="47" w:name="_Toc20214"/>
      <w:bookmarkStart w:id="48" w:name="_Toc89675160"/>
      <w:r>
        <w:rPr>
          <w:rFonts w:hint="eastAsia" w:ascii="Times New Roman" w:hAnsi="Times New Roman"/>
          <w:color w:val="auto"/>
          <w:highlight w:val="none"/>
          <w:shd w:val="clear" w:color="auto" w:fill="auto"/>
        </w:rPr>
        <w:t>1. 项目信息</w:t>
      </w:r>
      <w:bookmarkEnd w:id="47"/>
    </w:p>
    <w:p w14:paraId="178876BF">
      <w:pPr>
        <w:pStyle w:val="4"/>
        <w:ind w:firstLine="482"/>
        <w:rPr>
          <w:rFonts w:ascii="Times New Roman" w:hAnsi="Times New Roman"/>
          <w:color w:val="auto"/>
          <w:highlight w:val="none"/>
          <w:shd w:val="clear" w:color="auto" w:fill="auto"/>
        </w:rPr>
      </w:pPr>
      <w:bookmarkStart w:id="49" w:name="_Toc1742"/>
      <w:r>
        <w:rPr>
          <w:rFonts w:hint="eastAsia" w:ascii="Times New Roman" w:hAnsi="Times New Roman"/>
          <w:color w:val="auto"/>
          <w:highlight w:val="none"/>
          <w:shd w:val="clear" w:color="auto" w:fill="auto"/>
        </w:rPr>
        <w:t>1.1 比选人</w:t>
      </w:r>
      <w:bookmarkEnd w:id="49"/>
    </w:p>
    <w:p w14:paraId="7346D7D0">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重庆三峡银行股份有限公司</w:t>
      </w:r>
      <w:r>
        <w:rPr>
          <w:rFonts w:hint="eastAsia" w:ascii="Times New Roman" w:hAnsi="Times New Roman"/>
          <w:color w:val="auto"/>
          <w:highlight w:val="none"/>
          <w:shd w:val="clear" w:color="auto" w:fill="auto"/>
        </w:rPr>
        <w:t>。</w:t>
      </w:r>
    </w:p>
    <w:p w14:paraId="7785976F">
      <w:pPr>
        <w:pStyle w:val="4"/>
        <w:ind w:firstLine="482"/>
        <w:rPr>
          <w:rFonts w:ascii="Times New Roman" w:hAnsi="Times New Roman"/>
          <w:color w:val="auto"/>
          <w:highlight w:val="none"/>
          <w:shd w:val="clear" w:color="auto" w:fill="auto"/>
        </w:rPr>
      </w:pPr>
      <w:bookmarkStart w:id="50" w:name="_Toc3052"/>
      <w:r>
        <w:rPr>
          <w:rFonts w:hint="eastAsia" w:ascii="Times New Roman" w:hAnsi="Times New Roman"/>
          <w:color w:val="auto"/>
          <w:highlight w:val="none"/>
          <w:shd w:val="clear" w:color="auto" w:fill="auto"/>
        </w:rPr>
        <w:t>1.2 最高限价</w:t>
      </w:r>
      <w:bookmarkEnd w:id="50"/>
    </w:p>
    <w:p w14:paraId="166E7DBF">
      <w:pPr>
        <w:ind w:firstLine="480"/>
        <w:rPr>
          <w:rFonts w:ascii="宋体" w:hAnsi="Times New Roman" w:cs="宋体"/>
          <w:snapToGrid w:val="0"/>
          <w:color w:val="auto"/>
          <w:kern w:val="0"/>
          <w:szCs w:val="24"/>
          <w:highlight w:val="none"/>
          <w:shd w:val="clear" w:color="auto" w:fill="auto"/>
        </w:rPr>
      </w:pPr>
      <w:r>
        <w:rPr>
          <w:rFonts w:hint="eastAsia" w:ascii="宋体" w:hAnsi="Times New Roman" w:cs="宋体"/>
          <w:snapToGrid w:val="0"/>
          <w:color w:val="auto"/>
          <w:kern w:val="0"/>
          <w:szCs w:val="24"/>
          <w:highlight w:val="none"/>
          <w:shd w:val="clear" w:color="auto" w:fill="auto"/>
        </w:rPr>
        <w:t>本项目最高限价为：96万元整（人民币大写：玖拾陆万元整）。</w:t>
      </w:r>
    </w:p>
    <w:p w14:paraId="598B139E">
      <w:pPr>
        <w:pStyle w:val="4"/>
        <w:ind w:firstLine="482"/>
        <w:rPr>
          <w:rFonts w:ascii="Times New Roman" w:hAnsi="Times New Roman"/>
          <w:color w:val="auto"/>
          <w:highlight w:val="none"/>
          <w:shd w:val="clear" w:color="auto" w:fill="auto"/>
        </w:rPr>
      </w:pPr>
      <w:bookmarkStart w:id="51" w:name="_Toc28496"/>
      <w:r>
        <w:rPr>
          <w:rFonts w:hint="eastAsia" w:ascii="Times New Roman" w:hAnsi="Times New Roman"/>
          <w:color w:val="auto"/>
          <w:highlight w:val="none"/>
          <w:shd w:val="clear" w:color="auto" w:fill="auto"/>
        </w:rPr>
        <w:t>1.3 项目概况</w:t>
      </w:r>
      <w:bookmarkEnd w:id="51"/>
    </w:p>
    <w:bookmarkEnd w:id="48"/>
    <w:p w14:paraId="09C2D2C4">
      <w:pPr>
        <w:ind w:firstLine="480"/>
        <w:rPr>
          <w:rFonts w:ascii="Times New Roman" w:hAnsi="Times New Roman"/>
          <w:color w:val="auto"/>
          <w:highlight w:val="none"/>
          <w:shd w:val="clear" w:color="auto" w:fill="auto"/>
        </w:rPr>
      </w:pPr>
      <w:bookmarkStart w:id="52" w:name="_Toc89675161"/>
      <w:r>
        <w:rPr>
          <w:rFonts w:hint="eastAsia" w:ascii="宋体" w:hAnsi="Times New Roman" w:cs="宋体"/>
          <w:snapToGrid w:val="0"/>
          <w:color w:val="auto"/>
          <w:kern w:val="0"/>
          <w:szCs w:val="24"/>
          <w:highlight w:val="none"/>
          <w:shd w:val="clear" w:color="auto" w:fill="auto"/>
        </w:rPr>
        <w:t>为进一步优化业务处理与印章核验流程，提高验印业务处理效率，控制票据业务支付风险，保障银行和客户的资金安全，并结合自主化要求实现信创改造，拟重建电子验印系统，优化和提升系统功能，进一步适应未来的业务发展。</w:t>
      </w:r>
    </w:p>
    <w:p w14:paraId="6B5D0A95">
      <w:pPr>
        <w:pStyle w:val="4"/>
        <w:ind w:firstLine="482"/>
        <w:rPr>
          <w:rFonts w:ascii="Times New Roman" w:hAnsi="Times New Roman"/>
          <w:color w:val="auto"/>
          <w:highlight w:val="none"/>
          <w:shd w:val="clear" w:color="auto" w:fill="auto"/>
        </w:rPr>
      </w:pPr>
      <w:bookmarkStart w:id="53" w:name="_Toc17118"/>
      <w:r>
        <w:rPr>
          <w:rFonts w:hint="eastAsia" w:ascii="Times New Roman" w:hAnsi="Times New Roman"/>
          <w:color w:val="auto"/>
          <w:highlight w:val="none"/>
          <w:shd w:val="clear" w:color="auto" w:fill="auto"/>
        </w:rPr>
        <w:t>1.4 项目目标</w:t>
      </w:r>
      <w:bookmarkEnd w:id="53"/>
    </w:p>
    <w:p w14:paraId="023F8866">
      <w:pPr>
        <w:snapToGrid w:val="0"/>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为进一步优化业务处理与印章核验流程，提高验印业务处理效率，控制票据业务支付风险，保障银行和客户的资金安全，并结合自主化要求实现信创改造，拟重建电子验印系统，优化和提升系统功能，进一步适应未来的业务发展。</w:t>
      </w:r>
    </w:p>
    <w:p w14:paraId="71ADECA4">
      <w:pPr>
        <w:pStyle w:val="3"/>
        <w:rPr>
          <w:b w:val="0"/>
          <w:color w:val="auto"/>
          <w:kern w:val="0"/>
          <w:highlight w:val="none"/>
          <w:shd w:val="clear" w:color="auto" w:fill="auto"/>
        </w:rPr>
      </w:pPr>
      <w:bookmarkStart w:id="54" w:name="_Toc3381"/>
      <w:r>
        <w:rPr>
          <w:rFonts w:hint="eastAsia"/>
          <w:b w:val="0"/>
          <w:color w:val="auto"/>
          <w:kern w:val="0"/>
          <w:highlight w:val="none"/>
          <w:shd w:val="clear" w:color="auto" w:fill="auto"/>
        </w:rPr>
        <w:t>2. 参选人</w:t>
      </w:r>
      <w:bookmarkEnd w:id="52"/>
      <w:bookmarkEnd w:id="54"/>
    </w:p>
    <w:p w14:paraId="33893DE5">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2.1 合格参选人条件</w:t>
      </w:r>
    </w:p>
    <w:p w14:paraId="4EE495D4">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合格参选人应完全符合比选文件第一章中规定的参选人资格条件，并对比选文件作出实质性响应。</w:t>
      </w:r>
    </w:p>
    <w:p w14:paraId="4BF3660F">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2.2 参选人的风险</w:t>
      </w:r>
    </w:p>
    <w:p w14:paraId="6D1BC25D">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参选人没有按照比选文件要求提供全部资料，或者参选人没有对比选文件在各方面作出实质性响应，可能导致参选被拒绝或评定为无效参选。</w:t>
      </w:r>
    </w:p>
    <w:p w14:paraId="15734EFB">
      <w:pPr>
        <w:pStyle w:val="3"/>
        <w:rPr>
          <w:b w:val="0"/>
          <w:color w:val="auto"/>
          <w:kern w:val="0"/>
          <w:highlight w:val="none"/>
          <w:shd w:val="clear" w:color="auto" w:fill="auto"/>
        </w:rPr>
      </w:pPr>
      <w:bookmarkStart w:id="55" w:name="_Toc89675162"/>
      <w:bookmarkStart w:id="56" w:name="_Toc25754"/>
      <w:r>
        <w:rPr>
          <w:rFonts w:hint="eastAsia"/>
          <w:b w:val="0"/>
          <w:color w:val="auto"/>
          <w:kern w:val="0"/>
          <w:highlight w:val="none"/>
          <w:shd w:val="clear" w:color="auto" w:fill="auto"/>
        </w:rPr>
        <w:t>3. 比选文件</w:t>
      </w:r>
      <w:bookmarkEnd w:id="55"/>
      <w:bookmarkEnd w:id="56"/>
    </w:p>
    <w:p w14:paraId="7E74E14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比选文件是参选人编制参选文件的依据，是评审委员会评判依据和标准。比选文件也是比选人与中选人签订合同的基础。</w:t>
      </w:r>
    </w:p>
    <w:p w14:paraId="00BC0FBD">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本行对比选文件所作的一切有效的书面通知、修改及补充，都是比选文件不可分割的部分。</w:t>
      </w:r>
    </w:p>
    <w:p w14:paraId="441AE43C">
      <w:pPr>
        <w:pStyle w:val="3"/>
        <w:rPr>
          <w:b w:val="0"/>
          <w:color w:val="auto"/>
          <w:kern w:val="0"/>
          <w:highlight w:val="none"/>
          <w:shd w:val="clear" w:color="auto" w:fill="auto"/>
        </w:rPr>
      </w:pPr>
      <w:bookmarkStart w:id="57" w:name="_Toc27361"/>
      <w:bookmarkStart w:id="58" w:name="_Toc89675163"/>
      <w:r>
        <w:rPr>
          <w:rFonts w:hint="eastAsia"/>
          <w:b w:val="0"/>
          <w:color w:val="auto"/>
          <w:kern w:val="0"/>
          <w:highlight w:val="none"/>
          <w:shd w:val="clear" w:color="auto" w:fill="auto"/>
        </w:rPr>
        <w:t>4. 参选</w:t>
      </w:r>
      <w:bookmarkEnd w:id="57"/>
      <w:bookmarkEnd w:id="58"/>
    </w:p>
    <w:p w14:paraId="467DEC0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参选人应当按照比选文件的要求编制参选文件，并对比选文件提出的要求和条件作出实质性响应。</w:t>
      </w:r>
    </w:p>
    <w:p w14:paraId="708E71D1">
      <w:pPr>
        <w:pStyle w:val="4"/>
        <w:ind w:firstLine="480"/>
        <w:rPr>
          <w:rFonts w:ascii="宋体" w:hAnsi="宋体" w:cs="Times New Roman"/>
          <w:b w:val="0"/>
          <w:snapToGrid w:val="0"/>
          <w:color w:val="auto"/>
          <w:kern w:val="0"/>
          <w:szCs w:val="24"/>
          <w:highlight w:val="none"/>
          <w:shd w:val="clear" w:color="auto" w:fill="auto"/>
        </w:rPr>
      </w:pPr>
      <w:bookmarkStart w:id="59" w:name="_Toc25493"/>
      <w:r>
        <w:rPr>
          <w:rFonts w:hint="eastAsia" w:ascii="宋体" w:hAnsi="宋体" w:cs="Times New Roman"/>
          <w:b w:val="0"/>
          <w:snapToGrid w:val="0"/>
          <w:color w:val="auto"/>
          <w:kern w:val="0"/>
          <w:szCs w:val="24"/>
          <w:highlight w:val="none"/>
          <w:shd w:val="clear" w:color="auto" w:fill="auto"/>
        </w:rPr>
        <w:t>4.1 参选文件组成</w:t>
      </w:r>
      <w:bookmarkEnd w:id="59"/>
    </w:p>
    <w:p w14:paraId="212D4D0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参选文件由参选人所作的一切有效补充、修改和承诺等文件组成，参选人应按照第六章“参选文件格式”规定的目录顺序组织编写和装订，否则有可能影响参选人的参选文件评审。</w:t>
      </w:r>
    </w:p>
    <w:p w14:paraId="5452F285">
      <w:pPr>
        <w:pStyle w:val="4"/>
        <w:ind w:firstLine="480"/>
        <w:rPr>
          <w:rFonts w:ascii="宋体" w:hAnsi="宋体" w:cs="Times New Roman"/>
          <w:b w:val="0"/>
          <w:snapToGrid w:val="0"/>
          <w:color w:val="auto"/>
          <w:kern w:val="0"/>
          <w:szCs w:val="24"/>
          <w:highlight w:val="none"/>
          <w:shd w:val="clear" w:color="auto" w:fill="auto"/>
        </w:rPr>
      </w:pPr>
      <w:bookmarkStart w:id="60" w:name="_Toc1038"/>
      <w:r>
        <w:rPr>
          <w:rFonts w:hint="eastAsia" w:ascii="宋体" w:hAnsi="宋体" w:cs="Times New Roman"/>
          <w:b w:val="0"/>
          <w:snapToGrid w:val="0"/>
          <w:color w:val="auto"/>
          <w:kern w:val="0"/>
          <w:szCs w:val="24"/>
          <w:highlight w:val="none"/>
          <w:shd w:val="clear" w:color="auto" w:fill="auto"/>
        </w:rPr>
        <w:t>4.2 联合参选</w:t>
      </w:r>
      <w:bookmarkEnd w:id="60"/>
    </w:p>
    <w:p w14:paraId="60B9C12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本比选项目不接受联合参选</w:t>
      </w:r>
    </w:p>
    <w:p w14:paraId="725B7524">
      <w:pPr>
        <w:pStyle w:val="4"/>
        <w:ind w:firstLine="480"/>
        <w:rPr>
          <w:rFonts w:ascii="宋体" w:hAnsi="宋体" w:cs="Times New Roman"/>
          <w:b w:val="0"/>
          <w:snapToGrid w:val="0"/>
          <w:color w:val="auto"/>
          <w:kern w:val="0"/>
          <w:szCs w:val="24"/>
          <w:highlight w:val="none"/>
          <w:shd w:val="clear" w:color="auto" w:fill="auto"/>
        </w:rPr>
      </w:pPr>
      <w:bookmarkStart w:id="61" w:name="_Toc15193"/>
      <w:r>
        <w:rPr>
          <w:rFonts w:hint="eastAsia" w:ascii="宋体" w:hAnsi="宋体" w:cs="Times New Roman"/>
          <w:b w:val="0"/>
          <w:snapToGrid w:val="0"/>
          <w:color w:val="auto"/>
          <w:kern w:val="0"/>
          <w:szCs w:val="24"/>
          <w:highlight w:val="none"/>
          <w:shd w:val="clear" w:color="auto" w:fill="auto"/>
        </w:rPr>
        <w:t>4.3 参选有效期</w:t>
      </w:r>
      <w:bookmarkEnd w:id="61"/>
    </w:p>
    <w:p w14:paraId="5510C04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参选有效期为参选截止日期后90天内。</w:t>
      </w:r>
    </w:p>
    <w:p w14:paraId="4888FE26">
      <w:pPr>
        <w:pStyle w:val="4"/>
        <w:ind w:firstLine="480"/>
        <w:rPr>
          <w:rFonts w:ascii="宋体" w:hAnsi="宋体" w:cs="Times New Roman"/>
          <w:b w:val="0"/>
          <w:snapToGrid w:val="0"/>
          <w:color w:val="auto"/>
          <w:kern w:val="0"/>
          <w:szCs w:val="24"/>
          <w:highlight w:val="none"/>
          <w:shd w:val="clear" w:color="auto" w:fill="auto"/>
        </w:rPr>
      </w:pPr>
      <w:bookmarkStart w:id="62" w:name="_Toc25094"/>
      <w:r>
        <w:rPr>
          <w:rFonts w:hint="eastAsia" w:ascii="宋体" w:hAnsi="宋体" w:cs="Times New Roman"/>
          <w:b w:val="0"/>
          <w:snapToGrid w:val="0"/>
          <w:color w:val="auto"/>
          <w:kern w:val="0"/>
          <w:szCs w:val="24"/>
          <w:highlight w:val="none"/>
          <w:shd w:val="clear" w:color="auto" w:fill="auto"/>
        </w:rPr>
        <w:t>4.4 参选保证金</w:t>
      </w:r>
      <w:bookmarkEnd w:id="62"/>
    </w:p>
    <w:p w14:paraId="570FA07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4.4.1 参选人应在参选截止时间前，按比选文件第一章规定向比选人缴纳参选保证金。</w:t>
      </w:r>
    </w:p>
    <w:p w14:paraId="6316BD2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4.4.2 参选保证金为参选的有效约束条件。</w:t>
      </w:r>
    </w:p>
    <w:p w14:paraId="1BC86CAB">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4.4.3 参选保证金有效期与参选文件有效期一致。</w:t>
      </w:r>
    </w:p>
    <w:p w14:paraId="0FCDE3E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4.4.4 参选保证金币种应与参选报价币种相同。</w:t>
      </w:r>
    </w:p>
    <w:p w14:paraId="199BAA1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4.4.5 参选保证金的退还：</w:t>
      </w:r>
    </w:p>
    <w:p w14:paraId="2445E32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23E01FF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9491C75">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参选保证金专用账户由重庆市公共资源交易中心制定，关于保证金相关情况的问题请咨询重庆市公共资源交易中心，联系电话023-63621694。</w:t>
      </w:r>
    </w:p>
    <w:p w14:paraId="2D0424A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 参选人有下列情形之一的，参选保证金将不予退还：</w:t>
      </w:r>
    </w:p>
    <w:p w14:paraId="49C62BCB">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4.4.6.1 参选人在参选有效期内撤销参选文件的；</w:t>
      </w:r>
    </w:p>
    <w:p w14:paraId="1D77625D">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4.4.6.2 参选人在参选过程中弄虚作假，提供虚假材料的；</w:t>
      </w:r>
    </w:p>
    <w:p w14:paraId="0DDC76D8">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4.4.6.3 中选人无正当理由不与比选人签订合同的；</w:t>
      </w:r>
    </w:p>
    <w:p w14:paraId="24B0478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4.4.6.4 中选人将中选项目转让给他人或者在参选文件中未说明且未经比选单位同意，将中选项目分包给他人的；</w:t>
      </w:r>
    </w:p>
    <w:p w14:paraId="7344D74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4.4.6.5 中选人拒绝履行合同义务的；</w:t>
      </w:r>
    </w:p>
    <w:p w14:paraId="5DD3C3F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4.4.6.6 其他严重扰乱比选程序的；</w:t>
      </w:r>
    </w:p>
    <w:p w14:paraId="3768AE61">
      <w:pPr>
        <w:pStyle w:val="4"/>
        <w:ind w:firstLine="480"/>
        <w:rPr>
          <w:rFonts w:ascii="宋体" w:hAnsi="宋体" w:cs="Times New Roman"/>
          <w:b w:val="0"/>
          <w:snapToGrid w:val="0"/>
          <w:color w:val="auto"/>
          <w:kern w:val="0"/>
          <w:szCs w:val="24"/>
          <w:highlight w:val="none"/>
          <w:shd w:val="clear" w:color="auto" w:fill="auto"/>
        </w:rPr>
      </w:pPr>
      <w:bookmarkStart w:id="63" w:name="_Toc1091"/>
      <w:r>
        <w:rPr>
          <w:rFonts w:hint="eastAsia" w:ascii="宋体" w:hAnsi="宋体" w:cs="Times New Roman"/>
          <w:b w:val="0"/>
          <w:snapToGrid w:val="0"/>
          <w:color w:val="auto"/>
          <w:kern w:val="0"/>
          <w:szCs w:val="24"/>
          <w:highlight w:val="none"/>
          <w:shd w:val="clear" w:color="auto" w:fill="auto"/>
        </w:rPr>
        <w:t>4.5 参选文件的份数和签署</w:t>
      </w:r>
      <w:bookmarkEnd w:id="63"/>
    </w:p>
    <w:p w14:paraId="753BF95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4.5.1 参选文件一式三份，其中正本一份，副本一份，电子文件一份（U盘），正本和副本的封面上应清楚地标记“正本”或“副本”的字样，副本可为正本的复印件，当副本和正本不一致时，以纸质正本为准。</w:t>
      </w:r>
      <w:r>
        <w:rPr>
          <w:rFonts w:hint="eastAsia" w:ascii="Times New Roman" w:hAnsi="Times New Roman"/>
          <w:color w:val="auto"/>
          <w:highlight w:val="none"/>
          <w:shd w:val="clear" w:color="auto" w:fill="auto"/>
        </w:rPr>
        <w:t>电子文件</w:t>
      </w:r>
      <w:r>
        <w:rPr>
          <w:rFonts w:hint="eastAsia"/>
          <w:color w:val="auto"/>
          <w:highlight w:val="none"/>
          <w:shd w:val="clear" w:color="auto" w:fill="auto"/>
        </w:rPr>
        <w:t>应为参选文件盖章后的</w:t>
      </w:r>
      <w:r>
        <w:rPr>
          <w:color w:val="auto"/>
          <w:highlight w:val="none"/>
          <w:shd w:val="clear" w:color="auto" w:fill="auto"/>
        </w:rPr>
        <w:t>PDF</w:t>
      </w:r>
      <w:r>
        <w:rPr>
          <w:rFonts w:hint="eastAsia"/>
          <w:color w:val="auto"/>
          <w:highlight w:val="none"/>
          <w:shd w:val="clear" w:color="auto" w:fill="auto"/>
        </w:rPr>
        <w:t>格式扫描件，文件名为“参选人单位名简称</w:t>
      </w:r>
      <w:r>
        <w:rPr>
          <w:color w:val="auto"/>
          <w:highlight w:val="none"/>
          <w:shd w:val="clear" w:color="auto" w:fill="auto"/>
        </w:rPr>
        <w:t>+</w:t>
      </w:r>
      <w:r>
        <w:rPr>
          <w:rFonts w:hint="eastAsia"/>
          <w:color w:val="auto"/>
          <w:highlight w:val="none"/>
          <w:shd w:val="clear" w:color="auto" w:fill="auto"/>
        </w:rPr>
        <w:t>项目名简称”</w:t>
      </w:r>
      <w:r>
        <w:rPr>
          <w:rFonts w:hint="eastAsia" w:ascii="Times New Roman" w:hAnsi="Times New Roman"/>
          <w:color w:val="auto"/>
          <w:highlight w:val="none"/>
          <w:shd w:val="clear" w:color="auto" w:fill="auto"/>
        </w:rPr>
        <w:t>。</w:t>
      </w:r>
    </w:p>
    <w:p w14:paraId="025131F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4.5.2 参选文件正本中，每一页均应由参选人加盖公章，其中规定格式的文件应当按要求签名和加盖参选人公章。</w:t>
      </w:r>
    </w:p>
    <w:p w14:paraId="164AD710">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4.5.3 若参选人对参选文件的错处作必要修改，则应在修改处加盖参选人公章或由法人或法人授权代表签字确认。</w:t>
      </w:r>
    </w:p>
    <w:p w14:paraId="09C13D8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4.5.4 电报、电话、邮寄、传真形式的参选文件概不接受。</w:t>
      </w:r>
    </w:p>
    <w:p w14:paraId="3B67D747">
      <w:pPr>
        <w:pStyle w:val="4"/>
        <w:ind w:firstLine="480"/>
        <w:rPr>
          <w:rFonts w:ascii="宋体" w:hAnsi="宋体" w:cs="Times New Roman"/>
          <w:b w:val="0"/>
          <w:snapToGrid w:val="0"/>
          <w:color w:val="auto"/>
          <w:kern w:val="0"/>
          <w:szCs w:val="24"/>
          <w:highlight w:val="none"/>
          <w:shd w:val="clear" w:color="auto" w:fill="auto"/>
        </w:rPr>
      </w:pPr>
      <w:bookmarkStart w:id="64" w:name="_Toc9964"/>
      <w:r>
        <w:rPr>
          <w:rFonts w:hint="eastAsia" w:ascii="宋体" w:hAnsi="宋体" w:cs="Times New Roman"/>
          <w:b w:val="0"/>
          <w:snapToGrid w:val="0"/>
          <w:color w:val="auto"/>
          <w:kern w:val="0"/>
          <w:szCs w:val="24"/>
          <w:highlight w:val="none"/>
          <w:shd w:val="clear" w:color="auto" w:fill="auto"/>
        </w:rPr>
        <w:t>4.6 参选文件的密封与标记</w:t>
      </w:r>
      <w:bookmarkEnd w:id="64"/>
    </w:p>
    <w:p w14:paraId="206840D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参选文件的正本、副本、电子文件装入一个文件大袋进行密封。密封袋上注明项目名称、参选人名称及“不准提前启封”字样。信封的封口须加盖参选人公章或授权代表签字。</w:t>
      </w:r>
    </w:p>
    <w:p w14:paraId="58A1EA25">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如果未按上述规定进行密封和标记，则其参选将作为无效参选处理。</w:t>
      </w:r>
    </w:p>
    <w:p w14:paraId="05A29686">
      <w:pPr>
        <w:pStyle w:val="4"/>
        <w:ind w:firstLine="480"/>
        <w:rPr>
          <w:rFonts w:ascii="宋体" w:hAnsi="宋体" w:cs="Times New Roman"/>
          <w:b w:val="0"/>
          <w:snapToGrid w:val="0"/>
          <w:color w:val="auto"/>
          <w:kern w:val="0"/>
          <w:szCs w:val="24"/>
          <w:highlight w:val="none"/>
          <w:shd w:val="clear" w:color="auto" w:fill="auto"/>
        </w:rPr>
      </w:pPr>
      <w:bookmarkStart w:id="65" w:name="_Toc32322"/>
      <w:r>
        <w:rPr>
          <w:rFonts w:hint="eastAsia" w:ascii="宋体" w:hAnsi="宋体" w:cs="Times New Roman"/>
          <w:b w:val="0"/>
          <w:snapToGrid w:val="0"/>
          <w:color w:val="auto"/>
          <w:kern w:val="0"/>
          <w:szCs w:val="24"/>
          <w:highlight w:val="none"/>
          <w:shd w:val="clear" w:color="auto" w:fill="auto"/>
        </w:rPr>
        <w:t>4.7 参选报价</w:t>
      </w:r>
      <w:bookmarkEnd w:id="65"/>
    </w:p>
    <w:p w14:paraId="0931E24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4.7.1 参选人应严格按照“参选文件格式”填写报价。</w:t>
      </w:r>
    </w:p>
    <w:p w14:paraId="58497668">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4.7.2 参选人的报价为一次性报价，即在参选有效期内参选价格固定不变。</w:t>
      </w:r>
    </w:p>
    <w:p w14:paraId="276F246B">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4.7.3 本项目只接受一个参选报价，有选择的或有条件的参选将不予接受。</w:t>
      </w:r>
    </w:p>
    <w:p w14:paraId="3569C8B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4.7.4 参选报价不得高于最高限价。</w:t>
      </w:r>
    </w:p>
    <w:p w14:paraId="63181C09">
      <w:pPr>
        <w:pStyle w:val="4"/>
        <w:ind w:firstLine="480"/>
        <w:rPr>
          <w:rFonts w:ascii="宋体" w:hAnsi="宋体" w:cs="Times New Roman"/>
          <w:b w:val="0"/>
          <w:snapToGrid w:val="0"/>
          <w:color w:val="auto"/>
          <w:kern w:val="0"/>
          <w:szCs w:val="24"/>
          <w:highlight w:val="none"/>
          <w:shd w:val="clear" w:color="auto" w:fill="auto"/>
        </w:rPr>
      </w:pPr>
      <w:bookmarkStart w:id="66" w:name="_Toc26623"/>
      <w:r>
        <w:rPr>
          <w:rFonts w:hint="eastAsia" w:ascii="宋体" w:hAnsi="宋体" w:cs="Times New Roman"/>
          <w:b w:val="0"/>
          <w:snapToGrid w:val="0"/>
          <w:color w:val="auto"/>
          <w:kern w:val="0"/>
          <w:szCs w:val="24"/>
          <w:highlight w:val="none"/>
          <w:shd w:val="clear" w:color="auto" w:fill="auto"/>
        </w:rPr>
        <w:t>4.8 修正错误</w:t>
      </w:r>
      <w:bookmarkEnd w:id="66"/>
    </w:p>
    <w:p w14:paraId="421AEF5F">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若参选文件出现计算或表达上的错误，修正错误的原则如下：</w:t>
      </w:r>
    </w:p>
    <w:p w14:paraId="79A812B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4.8.1 参选文件的大写金额和小写金额不一致的，以大写金额为准；</w:t>
      </w:r>
    </w:p>
    <w:p w14:paraId="1033B3A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4.8.2 总价金额与按单价汇总金额不一致的，以单价金额计算结果为准；</w:t>
      </w:r>
    </w:p>
    <w:p w14:paraId="75A56830">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4.8.3 单价金额小数点有明显错位的，应以总价为准，并修正单价；</w:t>
      </w:r>
    </w:p>
    <w:p w14:paraId="4FC64B3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4.8.4 对不同文字文本参选文件的解释发生异议的，以中文文本为准。</w:t>
      </w:r>
    </w:p>
    <w:p w14:paraId="69BA3B1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0791528">
      <w:pPr>
        <w:pStyle w:val="3"/>
        <w:rPr>
          <w:b w:val="0"/>
          <w:color w:val="auto"/>
          <w:kern w:val="0"/>
          <w:highlight w:val="none"/>
          <w:shd w:val="clear" w:color="auto" w:fill="auto"/>
        </w:rPr>
      </w:pPr>
      <w:bookmarkStart w:id="67" w:name="_Toc4725"/>
      <w:bookmarkStart w:id="68" w:name="_Toc89675166"/>
      <w:r>
        <w:rPr>
          <w:rFonts w:hint="eastAsia"/>
          <w:b w:val="0"/>
          <w:color w:val="auto"/>
          <w:kern w:val="0"/>
          <w:highlight w:val="none"/>
          <w:shd w:val="clear" w:color="auto" w:fill="auto"/>
        </w:rPr>
        <w:t>5. 比选程序</w:t>
      </w:r>
      <w:bookmarkEnd w:id="67"/>
    </w:p>
    <w:p w14:paraId="2BE0C62A">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主持人按下列程序进行比选：</w:t>
      </w:r>
    </w:p>
    <w:p w14:paraId="2BD3512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5.1 宣布比选纪律；</w:t>
      </w:r>
    </w:p>
    <w:p w14:paraId="491695FB">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5.2 宣布比选人、唱标人、记录人、监督人等有关人员姓名；</w:t>
      </w:r>
    </w:p>
    <w:p w14:paraId="15D3B0FD">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5.3 公布在比选截止时间前递交参选文件的参选人名称，并点名确认参选人是否派人到场；</w:t>
      </w:r>
    </w:p>
    <w:p w14:paraId="5D62AAA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5.4 展示参选保证金，参选保证金缴款不全或有误的，则记录在案交由评审委员会评审；</w:t>
      </w:r>
    </w:p>
    <w:p w14:paraId="03D3169A">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5.5 封装情况检查：参选人或者其推选的代表检查各参选文件的封装情况并确认；</w:t>
      </w:r>
    </w:p>
    <w:p w14:paraId="60C1690A">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5.6 设有最高限价的，公布最高限价；</w:t>
      </w:r>
    </w:p>
    <w:p w14:paraId="192A5B2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5.7 开启参选文件；</w:t>
      </w:r>
    </w:p>
    <w:p w14:paraId="3538EE7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5.8 比选人代表、参选人代表、监督人、记录人等有关人员在比选记录上签字确认；</w:t>
      </w:r>
    </w:p>
    <w:p w14:paraId="0F494BE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5.9 比选结束。</w:t>
      </w:r>
    </w:p>
    <w:p w14:paraId="22E45E5D">
      <w:pPr>
        <w:pStyle w:val="3"/>
        <w:rPr>
          <w:b w:val="0"/>
          <w:color w:val="auto"/>
          <w:kern w:val="0"/>
          <w:highlight w:val="none"/>
          <w:shd w:val="clear" w:color="auto" w:fill="auto"/>
        </w:rPr>
      </w:pPr>
      <w:bookmarkStart w:id="69" w:name="_Toc30525"/>
      <w:r>
        <w:rPr>
          <w:rFonts w:hint="eastAsia"/>
          <w:b w:val="0"/>
          <w:color w:val="auto"/>
          <w:kern w:val="0"/>
          <w:highlight w:val="none"/>
          <w:shd w:val="clear" w:color="auto" w:fill="auto"/>
        </w:rPr>
        <w:t>6. 评审</w:t>
      </w:r>
      <w:bookmarkEnd w:id="69"/>
    </w:p>
    <w:p w14:paraId="145A365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见第四章内容。</w:t>
      </w:r>
    </w:p>
    <w:p w14:paraId="071CCF5A">
      <w:pPr>
        <w:pStyle w:val="3"/>
        <w:rPr>
          <w:b w:val="0"/>
          <w:color w:val="auto"/>
          <w:kern w:val="0"/>
          <w:highlight w:val="none"/>
          <w:shd w:val="clear" w:color="auto" w:fill="auto"/>
        </w:rPr>
      </w:pPr>
      <w:bookmarkStart w:id="70" w:name="_Toc2780"/>
      <w:r>
        <w:rPr>
          <w:rFonts w:hint="eastAsia"/>
          <w:b w:val="0"/>
          <w:color w:val="auto"/>
          <w:kern w:val="0"/>
          <w:highlight w:val="none"/>
          <w:shd w:val="clear" w:color="auto" w:fill="auto"/>
        </w:rPr>
        <w:t>7. 定选</w:t>
      </w:r>
      <w:bookmarkEnd w:id="68"/>
      <w:bookmarkEnd w:id="70"/>
    </w:p>
    <w:p w14:paraId="2A23DBD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7.1 定选原则</w:t>
      </w:r>
    </w:p>
    <w:p w14:paraId="148567A9">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比选人按照评审报告中推荐的中选候选人排名顺序确定中选人，如中选人因不可抗力或者自身原因不能履行合同的，比选人可以确定依次其后的候选人为中选人，以此类推。</w:t>
      </w:r>
    </w:p>
    <w:p w14:paraId="5F91F6DD">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7.2 不承诺最低价格中选。</w:t>
      </w:r>
    </w:p>
    <w:p w14:paraId="6B390428">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7.3 若中选人参选材料出现造假、不实等与实际查询结果不符或无故弃选的情况，比选人有权选择重新比选或顺延下一中选候选人，由此带来的损失比选人有权通过没收参选保证金等方式进行追溯。</w:t>
      </w:r>
    </w:p>
    <w:p w14:paraId="06521BB8">
      <w:pPr>
        <w:pStyle w:val="3"/>
        <w:rPr>
          <w:b w:val="0"/>
          <w:color w:val="auto"/>
          <w:kern w:val="0"/>
          <w:highlight w:val="none"/>
          <w:shd w:val="clear" w:color="auto" w:fill="auto"/>
        </w:rPr>
      </w:pPr>
      <w:bookmarkStart w:id="71" w:name="_Toc12245"/>
      <w:bookmarkStart w:id="72" w:name="_Toc89675168"/>
      <w:bookmarkStart w:id="73" w:name="_Toc32461"/>
      <w:r>
        <w:rPr>
          <w:rFonts w:hint="eastAsia"/>
          <w:b w:val="0"/>
          <w:color w:val="auto"/>
          <w:kern w:val="0"/>
          <w:highlight w:val="none"/>
          <w:shd w:val="clear" w:color="auto" w:fill="auto"/>
        </w:rPr>
        <w:t>8. 签订合同</w:t>
      </w:r>
      <w:bookmarkEnd w:id="71"/>
      <w:bookmarkEnd w:id="72"/>
      <w:bookmarkEnd w:id="73"/>
    </w:p>
    <w:p w14:paraId="398FBE9A">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6A8B324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8.2 比选文件、中选人的参选文件及澄清文件等，均为签订合同的依据。</w:t>
      </w:r>
    </w:p>
    <w:p w14:paraId="7CEC9EF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8.3 合同生效条款由供需双方约定，法律、行政法规规定应当办理批准、登记等手续后生效的合同，依照其规定。</w:t>
      </w:r>
    </w:p>
    <w:p w14:paraId="6B38D4F8">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8.4 签订合同后，若中选人无法按要求履约，比选人可以废除中选人资格，并可选择按照中选候选人顺位与下一候选人签订合同。</w:t>
      </w:r>
    </w:p>
    <w:p w14:paraId="1A4EF895">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8.5 该项目不允许任何形式的转包。</w:t>
      </w:r>
    </w:p>
    <w:p w14:paraId="244BBEA4">
      <w:pPr>
        <w:pStyle w:val="3"/>
        <w:rPr>
          <w:b w:val="0"/>
          <w:color w:val="auto"/>
          <w:kern w:val="0"/>
          <w:highlight w:val="none"/>
          <w:shd w:val="clear" w:color="auto" w:fill="auto"/>
        </w:rPr>
      </w:pPr>
      <w:bookmarkStart w:id="74" w:name="_Toc30843"/>
      <w:r>
        <w:rPr>
          <w:rFonts w:hint="eastAsia"/>
          <w:b w:val="0"/>
          <w:color w:val="auto"/>
          <w:kern w:val="0"/>
          <w:highlight w:val="none"/>
          <w:shd w:val="clear" w:color="auto" w:fill="auto"/>
        </w:rPr>
        <w:t>9. 纪律与要求</w:t>
      </w:r>
      <w:bookmarkEnd w:id="74"/>
    </w:p>
    <w:p w14:paraId="6FE5384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参选人不得相互串通参选或者与比选人串通参选，不得向比选人行贿谋取中选，不得以他人名义参选或者以其他方式弄虚作假骗取中选；参选人不得以任何方式干扰、影响评审工作。</w:t>
      </w:r>
    </w:p>
    <w:p w14:paraId="12BC9FB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9.1 有下列情形之一的，属于参选人相互串通参选：</w:t>
      </w:r>
    </w:p>
    <w:p w14:paraId="279F6B6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9.1.1 参选人之间协商参选报价等参选文件的实质性内容；</w:t>
      </w:r>
    </w:p>
    <w:p w14:paraId="422AE99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9.1.2 参选人之间约定中选人；</w:t>
      </w:r>
    </w:p>
    <w:p w14:paraId="43050699">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9.1.3 参选人之间约定部分参选人放弃参选或者中选；</w:t>
      </w:r>
    </w:p>
    <w:p w14:paraId="3BDF9D0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9.1.4 属于同一集团、协会、商会等组织成员的参选人按照该组织要求协同参选；</w:t>
      </w:r>
    </w:p>
    <w:p w14:paraId="4FF3160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9.1.5 参选人之间为谋取中选或者排斥特定参选人而采取的其他联合行动。</w:t>
      </w:r>
    </w:p>
    <w:p w14:paraId="59EDD38B">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9.2 有下列情形之一的，视为参选人相互串通参选：</w:t>
      </w:r>
    </w:p>
    <w:p w14:paraId="680863EF">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9.2.1 不同参选人的参选文件由同一单位或者个人编制；</w:t>
      </w:r>
    </w:p>
    <w:p w14:paraId="1D6C36AA">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9.2.2 不同参选人委托同一单位或者个人办理参选事宜；</w:t>
      </w:r>
    </w:p>
    <w:p w14:paraId="6174AAC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9.2.3 不同参选人的参选文件载明的项目管理成员为同一人；</w:t>
      </w:r>
    </w:p>
    <w:p w14:paraId="01D138F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9.2.4 不同参选人的参选文件相互混装；</w:t>
      </w:r>
    </w:p>
    <w:p w14:paraId="60A0220D">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9.2.5 不同参选人的参选保证金从同一单位或者个人的账户转出。</w:t>
      </w:r>
    </w:p>
    <w:p w14:paraId="39439A2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9.3 使用通过受让或者租借等方式获取的资格、资质证书参选的，属于以他人名义参选。</w:t>
      </w:r>
    </w:p>
    <w:p w14:paraId="706708B9">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9.4 参选人有下列情形之一的，属于弄虚作假的行为：</w:t>
      </w:r>
    </w:p>
    <w:p w14:paraId="58271E1D">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9.4.1 使用伪造、变造的许可证件；</w:t>
      </w:r>
    </w:p>
    <w:p w14:paraId="1EBE96DA">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9.4.2 提供虚假的财务状况或者虚假业绩；</w:t>
      </w:r>
    </w:p>
    <w:p w14:paraId="17CC3110">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9.4.3 提供虚假的项目负责人或者主要技术人员简历、劳动关系证明；</w:t>
      </w:r>
    </w:p>
    <w:p w14:paraId="1637C09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9.4.4 提供虚假的信用状况；</w:t>
      </w:r>
    </w:p>
    <w:p w14:paraId="1FFC5A1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9.4.5 其它弄虚作假的行为。</w:t>
      </w:r>
    </w:p>
    <w:p w14:paraId="782F6074">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签订合同前后，若中选单位提供的产品测试不合格或与参选文件中的产品不一致，比选人可废除中选人资格。</w:t>
      </w:r>
    </w:p>
    <w:p w14:paraId="6C1E29C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针对以上情况，比选人有权没收参选人的参选保证金，并保留进一步追究由此带来损失的权利。</w:t>
      </w:r>
    </w:p>
    <w:p w14:paraId="1236ECE3">
      <w:pPr>
        <w:pStyle w:val="3"/>
        <w:rPr>
          <w:b w:val="0"/>
          <w:color w:val="auto"/>
          <w:kern w:val="0"/>
          <w:highlight w:val="none"/>
          <w:shd w:val="clear" w:color="auto" w:fill="auto"/>
        </w:rPr>
      </w:pPr>
      <w:bookmarkStart w:id="75" w:name="_Toc9503"/>
      <w:bookmarkStart w:id="76" w:name="_Toc89675169"/>
      <w:r>
        <w:rPr>
          <w:rFonts w:hint="eastAsia"/>
          <w:b w:val="0"/>
          <w:color w:val="auto"/>
          <w:kern w:val="0"/>
          <w:highlight w:val="none"/>
          <w:shd w:val="clear" w:color="auto" w:fill="auto"/>
        </w:rPr>
        <w:t>10. 提问、质疑、投诉</w:t>
      </w:r>
      <w:bookmarkEnd w:id="75"/>
    </w:p>
    <w:p w14:paraId="5642B0A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10.1 补遗内容可能影响参选文件编制的，须在比选截止时间3日前发布，发布时间至比选截止时间不足3日的，须相应延后比选截止时间。</w:t>
      </w:r>
    </w:p>
    <w:p w14:paraId="413F71E0">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10.2 参选人对比选文件和答疑补遗有质疑的，应当在比选截止时间3日前，以书面形式通知比选人。</w:t>
      </w:r>
      <w:r>
        <w:rPr>
          <w:rFonts w:hint="eastAsia" w:ascii="Times New Roman" w:hAnsi="Times New Roman"/>
          <w:color w:val="auto"/>
          <w:highlight w:val="none"/>
          <w:shd w:val="clear" w:color="auto" w:fill="auto"/>
        </w:rPr>
        <w:t>比选人认为有必要对参选人所提问题进行答复或对比选文件进行补充时</w:t>
      </w:r>
      <w:r>
        <w:rPr>
          <w:rFonts w:hint="eastAsia" w:ascii="宋体" w:hAnsi="宋体" w:cs="Times New Roman"/>
          <w:bCs/>
          <w:snapToGrid w:val="0"/>
          <w:color w:val="auto"/>
          <w:kern w:val="0"/>
          <w:szCs w:val="24"/>
          <w:highlight w:val="none"/>
          <w:shd w:val="clear" w:color="auto" w:fill="auto"/>
        </w:rPr>
        <w:t>，将答复内容以补遗的形式发布。</w:t>
      </w:r>
    </w:p>
    <w:p w14:paraId="2B3DCACF">
      <w:pPr>
        <w:ind w:firstLine="480"/>
        <w:rPr>
          <w:rFonts w:ascii="Times New Roman" w:hAnsi="Times New Roman"/>
          <w:color w:val="auto"/>
          <w:highlight w:val="none"/>
          <w:shd w:val="clear" w:color="auto" w:fill="auto"/>
        </w:rPr>
      </w:pPr>
      <w:r>
        <w:rPr>
          <w:rFonts w:hint="eastAsia" w:ascii="宋体" w:hAnsi="宋体" w:cs="Times New Roman"/>
          <w:bCs/>
          <w:snapToGrid w:val="0"/>
          <w:color w:val="auto"/>
          <w:kern w:val="0"/>
          <w:szCs w:val="24"/>
          <w:highlight w:val="none"/>
          <w:shd w:val="clear" w:color="auto" w:fill="auto"/>
        </w:rPr>
        <w:t>10.3 参选人对公示的中选结果有质疑，参选人需在公示期内以书面形式向比选人提出质疑。</w:t>
      </w:r>
      <w:r>
        <w:rPr>
          <w:rFonts w:hint="eastAsia"/>
          <w:color w:val="auto"/>
          <w:highlight w:val="none"/>
          <w:shd w:val="clear" w:color="auto" w:fill="auto"/>
        </w:rPr>
        <w:t>比选人认为有必要对参选人所提质疑进行答复时，将以书面形式进行答复。</w:t>
      </w:r>
    </w:p>
    <w:p w14:paraId="54AEA10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10.4 参选人对比选人的答复不满意或者有质疑，可向本行纪检监察部投诉。</w:t>
      </w:r>
    </w:p>
    <w:p w14:paraId="33D337D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采购质疑邮箱：sx.jcb@ccqtgb.com</w:t>
      </w:r>
    </w:p>
    <w:p w14:paraId="68C4B8F5">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采购投诉邮箱：</w:t>
      </w:r>
      <w:bookmarkStart w:id="77" w:name="_Hlk74215856"/>
      <w:r>
        <w:rPr>
          <w:rFonts w:hint="eastAsia" w:ascii="宋体" w:hAnsi="宋体" w:cs="Times New Roman"/>
          <w:bCs/>
          <w:snapToGrid w:val="0"/>
          <w:color w:val="auto"/>
          <w:kern w:val="0"/>
          <w:szCs w:val="24"/>
          <w:highlight w:val="none"/>
          <w:shd w:val="clear" w:color="auto" w:fill="auto"/>
        </w:rPr>
        <w:t>sxyhjjz@ccqtgb.com</w:t>
      </w:r>
      <w:bookmarkEnd w:id="77"/>
    </w:p>
    <w:p w14:paraId="55BCFAAD">
      <w:pPr>
        <w:pStyle w:val="3"/>
        <w:rPr>
          <w:b w:val="0"/>
          <w:color w:val="auto"/>
          <w:kern w:val="0"/>
          <w:highlight w:val="none"/>
          <w:shd w:val="clear" w:color="auto" w:fill="auto"/>
        </w:rPr>
      </w:pPr>
      <w:bookmarkStart w:id="78" w:name="_Toc275199618"/>
      <w:bookmarkStart w:id="79" w:name="_Toc17307"/>
      <w:bookmarkStart w:id="80" w:name="_Toc440628924"/>
      <w:bookmarkStart w:id="81" w:name="_Toc15059431"/>
      <w:bookmarkStart w:id="82" w:name="_Toc11439"/>
      <w:bookmarkStart w:id="83" w:name="_Toc89675157"/>
      <w:r>
        <w:rPr>
          <w:rFonts w:hint="eastAsia"/>
          <w:b w:val="0"/>
          <w:color w:val="auto"/>
          <w:kern w:val="0"/>
          <w:highlight w:val="none"/>
          <w:shd w:val="clear" w:color="auto" w:fill="auto"/>
        </w:rPr>
        <w:t>11. 无效参选条款</w:t>
      </w:r>
      <w:bookmarkEnd w:id="78"/>
      <w:bookmarkEnd w:id="79"/>
      <w:bookmarkEnd w:id="80"/>
      <w:bookmarkEnd w:id="81"/>
      <w:bookmarkEnd w:id="82"/>
      <w:bookmarkEnd w:id="83"/>
    </w:p>
    <w:p w14:paraId="079934F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参选人或其参选文件出现下列情况之一者，应为无效参选：</w:t>
      </w:r>
    </w:p>
    <w:p w14:paraId="2A9A0C7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11.1 参选人未按比选文件规定提交足额参选保证金的。</w:t>
      </w:r>
    </w:p>
    <w:p w14:paraId="0811509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11.2 参选人未通过资格性检查，参选文件未通过符合性检查或参选文件经证实存在弄虚作假的。</w:t>
      </w:r>
    </w:p>
    <w:p w14:paraId="22DD7297">
      <w:pPr>
        <w:ind w:firstLine="480"/>
        <w:rPr>
          <w:rFonts w:hint="eastAsia"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11.3 参选人超出其营业执照或事业单位法人证书上经营范围（业务范围）参选的。</w:t>
      </w:r>
    </w:p>
    <w:p w14:paraId="094D9842">
      <w:pPr>
        <w:ind w:firstLine="480"/>
        <w:rPr>
          <w:rFonts w:hint="eastAsia"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11.4 单位负责人为同一人或者存在直接控股、管理关系的不同参选人，不得参加同一合同项下的采购活动。</w:t>
      </w:r>
    </w:p>
    <w:p w14:paraId="0C9BAF28">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11.5 同一分包的软件，制造商参与参选，再委托代理商参与参选的。</w:t>
      </w:r>
    </w:p>
    <w:p w14:paraId="21A8EF40">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11.6 参选文件不满足比选文件第六章参选文件格式中所规定签字、盖章的。</w:t>
      </w:r>
    </w:p>
    <w:p w14:paraId="29BAD9A2">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11.7 参选文件出现多个参选方案或参选报价的。</w:t>
      </w:r>
    </w:p>
    <w:p w14:paraId="6A932CB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11.8 参选报价超出最高限价的。</w:t>
      </w:r>
    </w:p>
    <w:p w14:paraId="5156315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11.9 参选文件含有违反国家法律、法规的内容，或附有比选人不能接受的条件的。</w:t>
      </w:r>
    </w:p>
    <w:p w14:paraId="5B5A8543">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11.10 出现影响比选公正的违法、违规行为的。</w:t>
      </w:r>
    </w:p>
    <w:p w14:paraId="7E9D09A1">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11.11 与比选人、评审专家、其他参选人恶意串通。</w:t>
      </w:r>
    </w:p>
    <w:p w14:paraId="217D3ADF">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11.12 参选法人发生合并、分立、破产等重大变化后，不再具备比选要求的资格条件的。</w:t>
      </w:r>
    </w:p>
    <w:p w14:paraId="50B8CA4C">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11.13 提供虚假材料谋取中选资格的。</w:t>
      </w:r>
    </w:p>
    <w:p w14:paraId="4AA2A5D6">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11.14 参选文件含有比选人不能接受的附件条件的。</w:t>
      </w:r>
    </w:p>
    <w:p w14:paraId="61BE0F09">
      <w:pPr>
        <w:pStyle w:val="3"/>
        <w:rPr>
          <w:b w:val="0"/>
          <w:color w:val="auto"/>
          <w:kern w:val="0"/>
          <w:highlight w:val="none"/>
          <w:shd w:val="clear" w:color="auto" w:fill="auto"/>
        </w:rPr>
      </w:pPr>
      <w:bookmarkStart w:id="84" w:name="_Toc26273"/>
      <w:r>
        <w:rPr>
          <w:rFonts w:hint="eastAsia"/>
          <w:b w:val="0"/>
          <w:color w:val="auto"/>
          <w:kern w:val="0"/>
          <w:highlight w:val="none"/>
          <w:shd w:val="clear" w:color="auto" w:fill="auto"/>
        </w:rPr>
        <w:t>12. 比选失败情形</w:t>
      </w:r>
      <w:bookmarkEnd w:id="84"/>
    </w:p>
    <w:p w14:paraId="5BAD4812">
      <w:pPr>
        <w:snapToGrid w:val="0"/>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出现以下情形本次比选失败：</w:t>
      </w:r>
    </w:p>
    <w:p w14:paraId="28F08D18">
      <w:pPr>
        <w:snapToGrid w:val="0"/>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12.1 比选截止时间止，参选人少于2个的。</w:t>
      </w:r>
    </w:p>
    <w:p w14:paraId="080E04D7">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12.2 经评审委员会评审后否决所有参选的。</w:t>
      </w:r>
    </w:p>
    <w:p w14:paraId="41B4E786">
      <w:pPr>
        <w:pStyle w:val="3"/>
        <w:rPr>
          <w:b w:val="0"/>
          <w:color w:val="auto"/>
          <w:kern w:val="0"/>
          <w:highlight w:val="none"/>
          <w:shd w:val="clear" w:color="auto" w:fill="auto"/>
        </w:rPr>
      </w:pPr>
      <w:bookmarkStart w:id="85" w:name="_Toc32526"/>
      <w:r>
        <w:rPr>
          <w:rFonts w:hint="eastAsia"/>
          <w:b w:val="0"/>
          <w:color w:val="auto"/>
          <w:kern w:val="0"/>
          <w:highlight w:val="none"/>
          <w:shd w:val="clear" w:color="auto" w:fill="auto"/>
        </w:rPr>
        <w:t>13. 终止比选</w:t>
      </w:r>
      <w:bookmarkEnd w:id="76"/>
      <w:bookmarkEnd w:id="85"/>
    </w:p>
    <w:p w14:paraId="1FD4117E">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13.1 因情况发生变化或其他原因造成该项目取消的，本次比选自动终止，双方互不承担责任，比选人无息退还参选保证金。</w:t>
      </w:r>
    </w:p>
    <w:p w14:paraId="1A15FFE4">
      <w:pPr>
        <w:ind w:firstLine="480"/>
        <w:rPr>
          <w:rFonts w:ascii="宋体" w:hAnsi="宋体" w:cs="Times New Roman"/>
          <w:bCs/>
          <w:snapToGrid w:val="0"/>
          <w:color w:val="auto"/>
          <w:kern w:val="0"/>
          <w:szCs w:val="24"/>
          <w:highlight w:val="none"/>
          <w:shd w:val="clear" w:color="auto" w:fill="auto"/>
        </w:rPr>
      </w:pPr>
      <w:r>
        <w:rPr>
          <w:rFonts w:hint="eastAsia" w:ascii="宋体" w:hAnsi="宋体" w:cs="Times New Roman"/>
          <w:bCs/>
          <w:snapToGrid w:val="0"/>
          <w:color w:val="auto"/>
          <w:kern w:val="0"/>
          <w:szCs w:val="24"/>
          <w:highlight w:val="none"/>
          <w:shd w:val="clear" w:color="auto" w:fill="auto"/>
        </w:rPr>
        <w:t>13.2 签订合同之前，比选人发现中选候选人经营、财务状况发生较大变化或存在违法行为，比选人认为可能影响其履约能力的，比选人可废除中选人或中选候选人资格。</w:t>
      </w:r>
    </w:p>
    <w:p w14:paraId="69919CA0">
      <w:pPr>
        <w:pStyle w:val="3"/>
        <w:rPr>
          <w:rFonts w:ascii="Times New Roman" w:hAnsi="Times New Roman"/>
          <w:color w:val="auto"/>
          <w:highlight w:val="none"/>
          <w:shd w:val="clear" w:color="auto" w:fill="auto"/>
        </w:rPr>
      </w:pPr>
      <w:bookmarkStart w:id="86" w:name="_Toc31349"/>
      <w:r>
        <w:rPr>
          <w:rFonts w:hint="eastAsia" w:ascii="Times New Roman" w:hAnsi="Times New Roman"/>
          <w:color w:val="auto"/>
          <w:highlight w:val="none"/>
          <w:shd w:val="clear" w:color="auto" w:fill="auto"/>
        </w:rPr>
        <w:t xml:space="preserve">14. </w:t>
      </w:r>
      <w:r>
        <w:rPr>
          <w:rFonts w:ascii="Times New Roman" w:hAnsi="Times New Roman"/>
          <w:color w:val="auto"/>
          <w:highlight w:val="none"/>
          <w:shd w:val="clear" w:color="auto" w:fill="auto"/>
        </w:rPr>
        <w:t>参选</w:t>
      </w:r>
      <w:r>
        <w:rPr>
          <w:rFonts w:hint="eastAsia" w:ascii="Times New Roman" w:hAnsi="Times New Roman"/>
          <w:color w:val="auto"/>
          <w:highlight w:val="none"/>
          <w:shd w:val="clear" w:color="auto" w:fill="auto"/>
        </w:rPr>
        <w:t>费用</w:t>
      </w:r>
      <w:bookmarkEnd w:id="86"/>
    </w:p>
    <w:p w14:paraId="37DF1F1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参选人参与本比选项目时，一切与参选有关的费用均由参选人自理。</w:t>
      </w:r>
    </w:p>
    <w:p w14:paraId="0A2AA4F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本项目平台服务费为</w:t>
      </w:r>
      <w:r>
        <w:rPr>
          <w:rFonts w:hint="eastAsia" w:ascii="Times New Roman" w:hAnsi="Times New Roman"/>
          <w:color w:val="auto"/>
          <w:highlight w:val="none"/>
          <w:u w:val="single"/>
          <w:shd w:val="clear" w:color="auto" w:fill="auto"/>
        </w:rPr>
        <w:t>15000</w:t>
      </w:r>
      <w:r>
        <w:rPr>
          <w:rFonts w:hint="eastAsia" w:ascii="Times New Roman" w:hAnsi="Times New Roman"/>
          <w:color w:val="auto"/>
          <w:highlight w:val="none"/>
          <w:shd w:val="clear" w:color="auto" w:fill="auto"/>
        </w:rPr>
        <w:t>元，由中选人向重庆联合产权交易所集团股份有限公司支付。中选人应在领取中选通知书时一次性缴纳，请各参选人综合考虑进行报价。</w:t>
      </w:r>
    </w:p>
    <w:p w14:paraId="63060333">
      <w:pPr>
        <w:widowControl/>
        <w:ind w:firstLine="480"/>
        <w:rPr>
          <w:rFonts w:ascii="Times New Roman" w:hAnsi="Times New Roman" w:cs="Cambria"/>
          <w:snapToGrid w:val="0"/>
          <w:color w:val="auto"/>
          <w:kern w:val="0"/>
          <w:szCs w:val="28"/>
          <w:highlight w:val="none"/>
          <w:shd w:val="clear" w:color="auto" w:fill="auto"/>
        </w:rPr>
      </w:pPr>
      <w:r>
        <w:rPr>
          <w:rFonts w:ascii="Times New Roman" w:hAnsi="Times New Roman" w:cs="Cambria"/>
          <w:snapToGrid w:val="0"/>
          <w:color w:val="auto"/>
          <w:kern w:val="0"/>
          <w:szCs w:val="28"/>
          <w:highlight w:val="none"/>
          <w:shd w:val="clear" w:color="auto" w:fill="auto"/>
        </w:rPr>
        <w:br w:type="page"/>
      </w:r>
    </w:p>
    <w:p w14:paraId="0BB8DD62">
      <w:pPr>
        <w:pStyle w:val="2"/>
        <w:rPr>
          <w:rFonts w:ascii="Times New Roman" w:hAnsi="Times New Roman"/>
          <w:color w:val="auto"/>
          <w:highlight w:val="none"/>
          <w:shd w:val="clear" w:color="auto" w:fill="auto"/>
        </w:rPr>
      </w:pPr>
      <w:bookmarkStart w:id="87" w:name="_Toc11825"/>
      <w:bookmarkStart w:id="88" w:name="_Toc7846"/>
      <w:bookmarkStart w:id="89" w:name="_Toc16518"/>
      <w:r>
        <w:rPr>
          <w:rFonts w:hint="eastAsia" w:ascii="Times New Roman" w:hAnsi="Times New Roman"/>
          <w:color w:val="auto"/>
          <w:highlight w:val="none"/>
          <w:shd w:val="clear" w:color="auto" w:fill="auto"/>
        </w:rPr>
        <w:t>第</w:t>
      </w:r>
      <w:r>
        <w:rPr>
          <w:rFonts w:ascii="Times New Roman" w:hAnsi="Times New Roman"/>
          <w:color w:val="auto"/>
          <w:highlight w:val="none"/>
          <w:shd w:val="clear" w:color="auto" w:fill="auto"/>
        </w:rPr>
        <w:t>三</w:t>
      </w:r>
      <w:r>
        <w:rPr>
          <w:rFonts w:hint="eastAsia" w:ascii="Times New Roman" w:hAnsi="Times New Roman"/>
          <w:color w:val="auto"/>
          <w:highlight w:val="none"/>
          <w:shd w:val="clear" w:color="auto" w:fill="auto"/>
        </w:rPr>
        <w:t>章 项目要求</w:t>
      </w:r>
      <w:bookmarkEnd w:id="87"/>
      <w:bookmarkEnd w:id="88"/>
      <w:bookmarkEnd w:id="89"/>
    </w:p>
    <w:p w14:paraId="291263CA">
      <w:pPr>
        <w:pStyle w:val="3"/>
        <w:numPr>
          <w:ilvl w:val="0"/>
          <w:numId w:val="1"/>
        </w:numPr>
        <w:rPr>
          <w:rFonts w:ascii="Times New Roman" w:hAnsi="Times New Roman"/>
          <w:color w:val="auto"/>
          <w:highlight w:val="none"/>
          <w:shd w:val="clear" w:color="auto" w:fill="auto"/>
        </w:rPr>
      </w:pPr>
      <w:bookmarkStart w:id="90" w:name="_Toc404"/>
      <w:r>
        <w:rPr>
          <w:rFonts w:hint="eastAsia" w:ascii="Times New Roman" w:hAnsi="Times New Roman"/>
          <w:color w:val="auto"/>
          <w:highlight w:val="none"/>
          <w:shd w:val="clear" w:color="auto" w:fill="auto"/>
        </w:rPr>
        <w:t>业务需求</w:t>
      </w:r>
      <w:bookmarkEnd w:id="90"/>
    </w:p>
    <w:p w14:paraId="4E4CF17D">
      <w:pPr>
        <w:snapToGrid w:val="0"/>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为解决我行现有验印系统验印通过率低，影响业务办理效率的问题，我行计划重建验印系统。通过重建大幅提升正常印鉴的自动通过率。支持前后台人员通过单点或交易联动进行账户印鉴相关资料的新建、变更、注销、恢复、退回、迁移、收妥、统计等操作。支持单点验印、嵌入式验印、单笔验印、批量验印、</w:t>
      </w:r>
      <w:r>
        <w:rPr>
          <w:rFonts w:ascii="宋体" w:hAnsi="宋体" w:cs="Times New Roman"/>
          <w:snapToGrid w:val="0"/>
          <w:color w:val="auto"/>
          <w:kern w:val="0"/>
          <w:szCs w:val="24"/>
          <w:highlight w:val="none"/>
          <w:shd w:val="clear" w:color="auto" w:fill="auto"/>
        </w:rPr>
        <w:t>渠道流程中验印、</w:t>
      </w:r>
      <w:r>
        <w:rPr>
          <w:rFonts w:hint="eastAsia" w:ascii="宋体" w:hAnsi="宋体" w:cs="Times New Roman"/>
          <w:snapToGrid w:val="0"/>
          <w:color w:val="auto"/>
          <w:kern w:val="0"/>
          <w:szCs w:val="24"/>
          <w:highlight w:val="none"/>
          <w:shd w:val="clear" w:color="auto" w:fill="auto"/>
        </w:rPr>
        <w:t>自动验印、手工验印、一次验印、复核验印等不同验印方式的组合。支持以任务模式引导操作，支持对任务进行管理和全生命周期查询。支持对验印系统的用户、机构、模块、角色等进行管理并记录日志。支持对印鉴资料、印鉴全生命周期、验印等操作分类进行查询统计、打印和导出。支持设备兼容。支持对异常情形的判断和处理。支持技术迭代优化。</w:t>
      </w:r>
      <w:r>
        <w:rPr>
          <w:rFonts w:ascii="宋体" w:hAnsi="宋体" w:cs="Times New Roman"/>
          <w:snapToGrid w:val="0"/>
          <w:color w:val="auto"/>
          <w:kern w:val="0"/>
          <w:szCs w:val="24"/>
          <w:highlight w:val="none"/>
          <w:shd w:val="clear" w:color="auto" w:fill="auto"/>
        </w:rPr>
        <w:t>具体功能模块要求如下：</w:t>
      </w:r>
    </w:p>
    <w:p w14:paraId="6DC8327A">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91" w:name="_Toc29239"/>
      <w:bookmarkStart w:id="92" w:name="_Toc148025900"/>
      <w:r>
        <w:rPr>
          <w:rFonts w:hint="eastAsia" w:ascii="宋体" w:hAnsi="宋体" w:cs="Times New Roman"/>
          <w:snapToGrid w:val="0"/>
          <w:color w:val="auto"/>
          <w:kern w:val="0"/>
          <w:szCs w:val="24"/>
          <w:highlight w:val="none"/>
          <w:shd w:val="clear" w:color="auto" w:fill="auto"/>
        </w:rPr>
        <w:t>（一）账户全生命周期管理</w:t>
      </w:r>
      <w:bookmarkEnd w:id="91"/>
      <w:bookmarkEnd w:id="92"/>
    </w:p>
    <w:p w14:paraId="6CBB6A10">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支持前后台人员进行账户印鉴相关资料的新建、变更、注销、恢复、退回、增加、重建、作废、迁移、收妥、监管、统计等操作，操作后支持推送其他人员或系统复核或授权；支持渠道单独办理或联动交易场景实时同步印鉴资料的建库、变更、挂失、解挂、冻结、解冻、注销等操作，操作后支持推送其他人员或系统复核或授权；不同业务场景下的操作字段，支持根据其他系统内容自动同步或手工录入，并根据字段信息设置判断规则；支持实时同步核心数据；支持分散建库、集中建库、实物建库和影像建库等组合模式；支持自动建模和手工建模。自动建模快速且准确度高。支持对指纹、手签字、小章、小码章（印章编号）等非常规印章进行建模；支持主体提取、小码提取等技术手段，提高印模精细度和准确度；支持自定义印章类型；支持参数配置不同验印规则，并根据不同验印规则参数配置印模组合；支持组合账户等需同步印鉴的账户在相关的业务场景时进行实时联动同步；支持对印鉴资料、印鉴全生命周期进行记录和查询。记录内容包括但不限于业务信息、影像、操作日志等。</w:t>
      </w:r>
    </w:p>
    <w:p w14:paraId="13E7C308">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93" w:name="_Toc31802"/>
      <w:bookmarkStart w:id="94" w:name="_Toc148025901"/>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二</w:t>
      </w:r>
      <w:r>
        <w:rPr>
          <w:rFonts w:hint="eastAsia" w:ascii="宋体" w:hAnsi="宋体" w:cs="Times New Roman"/>
          <w:snapToGrid w:val="0"/>
          <w:color w:val="auto"/>
          <w:kern w:val="0"/>
          <w:szCs w:val="24"/>
          <w:highlight w:val="none"/>
          <w:shd w:val="clear" w:color="auto" w:fill="auto"/>
        </w:rPr>
        <w:t>）验印功能</w:t>
      </w:r>
      <w:bookmarkEnd w:id="93"/>
      <w:bookmarkEnd w:id="94"/>
    </w:p>
    <w:p w14:paraId="0798B73D">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支持独立登录验印、单点登录验印、渠道嵌入式验印、渠道流程中验印；独立登录验印、单点登录验印、嵌入式验印、渠道流程中</w:t>
      </w:r>
      <w:r>
        <w:rPr>
          <w:rFonts w:ascii="宋体" w:hAnsi="宋体" w:cs="Times New Roman"/>
          <w:snapToGrid w:val="0"/>
          <w:color w:val="auto"/>
          <w:kern w:val="0"/>
          <w:szCs w:val="24"/>
          <w:highlight w:val="none"/>
          <w:shd w:val="clear" w:color="auto" w:fill="auto"/>
        </w:rPr>
        <w:t>验印的</w:t>
      </w:r>
      <w:r>
        <w:rPr>
          <w:rFonts w:hint="eastAsia" w:ascii="宋体" w:hAnsi="宋体" w:cs="Times New Roman"/>
          <w:snapToGrid w:val="0"/>
          <w:color w:val="auto"/>
          <w:kern w:val="0"/>
          <w:szCs w:val="24"/>
          <w:highlight w:val="none"/>
          <w:shd w:val="clear" w:color="auto" w:fill="auto"/>
        </w:rPr>
        <w:t>自动验印通过率</w:t>
      </w:r>
      <w:r>
        <w:rPr>
          <w:rFonts w:ascii="宋体" w:hAnsi="宋体" w:cs="Times New Roman"/>
          <w:snapToGrid w:val="0"/>
          <w:color w:val="auto"/>
          <w:kern w:val="0"/>
          <w:szCs w:val="24"/>
          <w:highlight w:val="none"/>
          <w:shd w:val="clear" w:color="auto" w:fill="auto"/>
        </w:rPr>
        <w:t>均</w:t>
      </w:r>
      <w:r>
        <w:rPr>
          <w:rFonts w:hint="eastAsia" w:ascii="宋体" w:hAnsi="宋体" w:cs="Times New Roman"/>
          <w:snapToGrid w:val="0"/>
          <w:color w:val="auto"/>
          <w:kern w:val="0"/>
          <w:szCs w:val="24"/>
          <w:highlight w:val="none"/>
          <w:shd w:val="clear" w:color="auto" w:fill="auto"/>
        </w:rPr>
        <w:t>需</w:t>
      </w:r>
      <w:r>
        <w:rPr>
          <w:rStyle w:val="39"/>
          <w:rFonts w:ascii="宋体" w:hAnsi="宋体"/>
          <w:color w:val="auto"/>
          <w:kern w:val="0"/>
          <w:highlight w:val="none"/>
          <w:shd w:val="clear" w:color="auto" w:fill="auto"/>
        </w:rPr>
        <w:t>无条件</w:t>
      </w:r>
      <w:r>
        <w:rPr>
          <w:rFonts w:ascii="宋体" w:hAnsi="宋体" w:cs="Times New Roman"/>
          <w:snapToGrid w:val="0"/>
          <w:color w:val="auto"/>
          <w:kern w:val="0"/>
          <w:szCs w:val="24"/>
          <w:highlight w:val="none"/>
          <w:shd w:val="clear" w:color="auto" w:fill="auto"/>
        </w:rPr>
        <w:t>不低于70%</w:t>
      </w:r>
      <w:r>
        <w:rPr>
          <w:rFonts w:hint="eastAsia" w:ascii="宋体" w:hAnsi="宋体" w:cs="Times New Roman"/>
          <w:snapToGrid w:val="0"/>
          <w:color w:val="auto"/>
          <w:kern w:val="0"/>
          <w:szCs w:val="24"/>
          <w:highlight w:val="none"/>
          <w:shd w:val="clear" w:color="auto" w:fill="auto"/>
        </w:rPr>
        <w:t>；验印结果、人员等业务信息随渠道交易实时推送其他系统审核；涉及渠道包括柜面系统、银企对账系统、集中作业系统</w:t>
      </w:r>
      <w:r>
        <w:rPr>
          <w:rFonts w:ascii="宋体" w:hAnsi="宋体" w:cs="Times New Roman"/>
          <w:snapToGrid w:val="0"/>
          <w:color w:val="auto"/>
          <w:kern w:val="0"/>
          <w:szCs w:val="24"/>
          <w:highlight w:val="none"/>
          <w:shd w:val="clear" w:color="auto" w:fill="auto"/>
        </w:rPr>
        <w:t>、后督预警系统</w:t>
      </w:r>
      <w:r>
        <w:rPr>
          <w:rFonts w:hint="eastAsia" w:ascii="宋体" w:hAnsi="宋体" w:cs="Times New Roman"/>
          <w:snapToGrid w:val="0"/>
          <w:color w:val="auto"/>
          <w:kern w:val="0"/>
          <w:szCs w:val="24"/>
          <w:highlight w:val="none"/>
          <w:shd w:val="clear" w:color="auto" w:fill="auto"/>
        </w:rPr>
        <w:t>等；支持自动验印和人工验印，自动验印快速且准确度高，支持参数配置人工验印触发规则；支持OCR识别、取数回显或自主录入验印要素，验印要素包括但不限于验印账号、验印规则、凭证种类、凭证号码、出票日期、金额、</w:t>
      </w:r>
      <w:r>
        <w:rPr>
          <w:rFonts w:ascii="宋体" w:hAnsi="宋体" w:cs="Times New Roman"/>
          <w:snapToGrid w:val="0"/>
          <w:color w:val="auto"/>
          <w:kern w:val="0"/>
          <w:szCs w:val="24"/>
          <w:highlight w:val="none"/>
          <w:shd w:val="clear" w:color="auto" w:fill="auto"/>
        </w:rPr>
        <w:t>印章小码、</w:t>
      </w:r>
      <w:r>
        <w:rPr>
          <w:rFonts w:hint="eastAsia" w:ascii="宋体" w:hAnsi="宋体" w:cs="Times New Roman"/>
          <w:snapToGrid w:val="0"/>
          <w:color w:val="auto"/>
          <w:kern w:val="0"/>
          <w:szCs w:val="24"/>
          <w:highlight w:val="none"/>
          <w:shd w:val="clear" w:color="auto" w:fill="auto"/>
        </w:rPr>
        <w:t>验印人员、复验人员、验印结果、流水号等；渠道流程中验印支持一张凭证参数配置多个验印规则及校验规则，支持根据不同业务场景分别选择验印规则，支持一笔任务多张凭证验印，不同凭证选择不同的验印规则；</w:t>
      </w:r>
      <w:r>
        <w:rPr>
          <w:rFonts w:ascii="宋体" w:hAnsi="宋体" w:cs="Times New Roman"/>
          <w:snapToGrid w:val="0"/>
          <w:color w:val="auto"/>
          <w:kern w:val="0"/>
          <w:szCs w:val="24"/>
          <w:highlight w:val="none"/>
          <w:shd w:val="clear" w:color="auto" w:fill="auto"/>
        </w:rPr>
        <w:t>多张凭证时，不得出现卡顿等情况影响验印速度；</w:t>
      </w:r>
      <w:r>
        <w:rPr>
          <w:rFonts w:hint="eastAsia" w:ascii="宋体" w:hAnsi="宋体" w:cs="Times New Roman"/>
          <w:snapToGrid w:val="0"/>
          <w:color w:val="auto"/>
          <w:kern w:val="0"/>
          <w:szCs w:val="24"/>
          <w:highlight w:val="none"/>
          <w:shd w:val="clear" w:color="auto" w:fill="auto"/>
        </w:rPr>
        <w:t>支持自动找章、全局找章、局部找章，小码识别、模拟折角、镂空、抖动、旋转、三色、同屏、误差分析、人工配准、辅助验印等技术手段提高自动或手工验印的印鉴识别率和准确度，识别出伪造、变造印章的精确度高；支持识别各种防伪标志；支持按照业务规则触发复核验印，规则支持业务参数配置；支持按照业务规则对未建库账户、监管账户、白名单账户等特殊账户进行提示、控制或联动其他账户印鉴；支持系统记录和传输特殊情形给其他渠道；支持对当日同一账户同凭证号已经存在验印记录的进行提示；系统留存验印记录，支持推送其他系统；支持自身及外围渠道对验印记录进行取数、查询、打印、导出记录，包括但不限于验印方式、验印任务交易信息、交易影像、验印结果、不通过原因等。</w:t>
      </w:r>
    </w:p>
    <w:p w14:paraId="1F1A2DBB">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95" w:name="_Toc4573"/>
      <w:bookmarkStart w:id="96" w:name="_Toc148025902"/>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三</w:t>
      </w:r>
      <w:r>
        <w:rPr>
          <w:rFonts w:hint="eastAsia" w:ascii="宋体" w:hAnsi="宋体" w:cs="Times New Roman"/>
          <w:snapToGrid w:val="0"/>
          <w:color w:val="auto"/>
          <w:kern w:val="0"/>
          <w:szCs w:val="24"/>
          <w:highlight w:val="none"/>
          <w:shd w:val="clear" w:color="auto" w:fill="auto"/>
        </w:rPr>
        <w:t>）任务管理</w:t>
      </w:r>
      <w:bookmarkEnd w:id="95"/>
      <w:bookmarkEnd w:id="96"/>
    </w:p>
    <w:p w14:paraId="115BAA63">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支持以任务模式进行流程监控，引导操作。支持对任务进行全生命周期的查询，支持对任务进行管理操作；支持对接其他系统进行流程监控和操作引导。</w:t>
      </w:r>
    </w:p>
    <w:p w14:paraId="34D19BBD">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97" w:name="_Toc148025903"/>
      <w:bookmarkStart w:id="98" w:name="_Toc8088"/>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四</w:t>
      </w:r>
      <w:r>
        <w:rPr>
          <w:rFonts w:hint="eastAsia" w:ascii="宋体" w:hAnsi="宋体" w:cs="Times New Roman"/>
          <w:snapToGrid w:val="0"/>
          <w:color w:val="auto"/>
          <w:kern w:val="0"/>
          <w:szCs w:val="24"/>
          <w:highlight w:val="none"/>
          <w:shd w:val="clear" w:color="auto" w:fill="auto"/>
        </w:rPr>
        <w:t>）系统管理</w:t>
      </w:r>
      <w:bookmarkEnd w:id="97"/>
      <w:bookmarkEnd w:id="98"/>
    </w:p>
    <w:p w14:paraId="183DD300">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支持指纹登录和密码登录；支持设置互斥角色或岗位，并进行校验；支持对验印系统的用户、机构、模块、角色、密码、权限、参数等进行管理，支持查询管理日志</w:t>
      </w:r>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支持批量导入或从其他系统同步引入以上信息；支持配置或从其他系统引入节假日数据，进行节假日管理，以便计算票据有效期限；支持对岗位、角色、模块、权限等进行参数化管理；支持对部分字段进行参数管理，包括但不限于凭证种类、账户性质、通兑、证件类型、有效期限等。</w:t>
      </w:r>
    </w:p>
    <w:p w14:paraId="0FF45358">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99" w:name="_Toc3436"/>
      <w:bookmarkStart w:id="100" w:name="_Toc148025904"/>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五</w:t>
      </w:r>
      <w:r>
        <w:rPr>
          <w:rFonts w:hint="eastAsia" w:ascii="宋体" w:hAnsi="宋体" w:cs="Times New Roman"/>
          <w:snapToGrid w:val="0"/>
          <w:color w:val="auto"/>
          <w:kern w:val="0"/>
          <w:szCs w:val="24"/>
          <w:highlight w:val="none"/>
          <w:shd w:val="clear" w:color="auto" w:fill="auto"/>
        </w:rPr>
        <w:t>）查询统计功能</w:t>
      </w:r>
      <w:bookmarkEnd w:id="99"/>
      <w:bookmarkEnd w:id="100"/>
    </w:p>
    <w:p w14:paraId="1F83A30D">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支持对印鉴资料、印鉴全生命周期、验印、任务管理、系统、参数管理等操作及业务信息进行记录，支持按照不同的查询维度查询统计、打印和导出；支持对独立验印、单点验印、嵌入式验印、渠道流程中验印的印鉴通过率、验印方式、不通过原因等进行分类或合并统计，支持按照不同的查询维度进行查询、排名、打印、导出；支持对接数仓生成报表；支持查询统计验印系统相关参数配置数据；支持将原验印系统中的所有账户信息、印鉴信息、账户管理日志（即账户及印鉴的开销变记录）、验印日志等与验印操作相关的内容完整正确的迁移至新验印系统，以便后续在新验印系统查询到相关内容；支持其他关联系统查询调阅验印系统中的验印日志等内容。</w:t>
      </w:r>
    </w:p>
    <w:p w14:paraId="22EFFBF5">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101" w:name="_Toc148025905"/>
      <w:bookmarkStart w:id="102" w:name="_Toc13846"/>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六</w:t>
      </w:r>
      <w:r>
        <w:rPr>
          <w:rFonts w:hint="eastAsia" w:ascii="宋体" w:hAnsi="宋体" w:cs="Times New Roman"/>
          <w:snapToGrid w:val="0"/>
          <w:color w:val="auto"/>
          <w:kern w:val="0"/>
          <w:szCs w:val="24"/>
          <w:highlight w:val="none"/>
          <w:shd w:val="clear" w:color="auto" w:fill="auto"/>
        </w:rPr>
        <w:t>）设备及系统兼容</w:t>
      </w:r>
      <w:bookmarkEnd w:id="101"/>
      <w:bookmarkEnd w:id="102"/>
    </w:p>
    <w:p w14:paraId="083F1FB2">
      <w:pPr>
        <w:snapToGrid w:val="0"/>
        <w:ind w:firstLine="530" w:firstLineChars="221"/>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支持验印系统与我行已采购的高拍仪/扫描仪机具融合；支持验印系统与其他系统交互快速顺畅，同一套印模在不同渠道的验印通过率应基本一致。</w:t>
      </w:r>
    </w:p>
    <w:p w14:paraId="67F388D2">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103" w:name="_Toc27"/>
      <w:bookmarkStart w:id="104" w:name="_Toc148025906"/>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七</w:t>
      </w:r>
      <w:r>
        <w:rPr>
          <w:rFonts w:hint="eastAsia" w:ascii="宋体" w:hAnsi="宋体" w:cs="Times New Roman"/>
          <w:snapToGrid w:val="0"/>
          <w:color w:val="auto"/>
          <w:kern w:val="0"/>
          <w:szCs w:val="24"/>
          <w:highlight w:val="none"/>
          <w:shd w:val="clear" w:color="auto" w:fill="auto"/>
        </w:rPr>
        <w:t>）异常处理</w:t>
      </w:r>
      <w:bookmarkEnd w:id="103"/>
      <w:bookmarkEnd w:id="104"/>
    </w:p>
    <w:p w14:paraId="5DE085E4">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系统异常时能够返回准确的报错信息；支持自身或渠道根据异常情形配置相应的处理规则，避免阻断业务办理；支持对异常情形进行记录。</w:t>
      </w:r>
    </w:p>
    <w:p w14:paraId="540C6127">
      <w:pPr>
        <w:keepNext/>
        <w:tabs>
          <w:tab w:val="left" w:pos="0"/>
          <w:tab w:val="clear" w:pos="-111"/>
        </w:tabs>
        <w:adjustRightInd w:val="0"/>
        <w:snapToGrid w:val="0"/>
        <w:ind w:firstLine="480"/>
        <w:outlineLvl w:val="1"/>
        <w:rPr>
          <w:rFonts w:ascii="宋体" w:hAnsi="宋体" w:cs="Times New Roman"/>
          <w:snapToGrid w:val="0"/>
          <w:color w:val="auto"/>
          <w:kern w:val="0"/>
          <w:szCs w:val="24"/>
          <w:highlight w:val="none"/>
          <w:shd w:val="clear" w:color="auto" w:fill="auto"/>
        </w:rPr>
      </w:pPr>
      <w:bookmarkStart w:id="105" w:name="_Toc148025907"/>
      <w:bookmarkStart w:id="106" w:name="_Toc18095"/>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八</w:t>
      </w:r>
      <w:r>
        <w:rPr>
          <w:rFonts w:hint="eastAsia" w:ascii="宋体" w:hAnsi="宋体" w:cs="Times New Roman"/>
          <w:snapToGrid w:val="0"/>
          <w:color w:val="auto"/>
          <w:kern w:val="0"/>
          <w:szCs w:val="24"/>
          <w:highlight w:val="none"/>
          <w:shd w:val="clear" w:color="auto" w:fill="auto"/>
        </w:rPr>
        <w:t>）售后服务</w:t>
      </w:r>
      <w:bookmarkEnd w:id="105"/>
      <w:bookmarkEnd w:id="106"/>
    </w:p>
    <w:p w14:paraId="0CA7EACC">
      <w:pPr>
        <w:ind w:firstLine="480"/>
        <w:rPr>
          <w:rFonts w:ascii="宋体" w:hAnsi="宋体" w:cs="Times New Roman"/>
          <w:snapToGrid w:val="0"/>
          <w:color w:val="auto"/>
          <w:kern w:val="0"/>
          <w:szCs w:val="24"/>
          <w:highlight w:val="none"/>
          <w:shd w:val="clear" w:color="auto" w:fill="auto"/>
        </w:rPr>
      </w:pPr>
      <w:r>
        <w:rPr>
          <w:rFonts w:ascii="宋体" w:hAnsi="宋体" w:cs="Times New Roman"/>
          <w:snapToGrid w:val="0"/>
          <w:color w:val="auto"/>
          <w:kern w:val="0"/>
          <w:szCs w:val="24"/>
          <w:highlight w:val="none"/>
          <w:shd w:val="clear" w:color="auto" w:fill="auto"/>
        </w:rPr>
        <w:t>针对一般性</w:t>
      </w:r>
      <w:r>
        <w:rPr>
          <w:rFonts w:hint="eastAsia" w:ascii="宋体" w:hAnsi="宋体" w:cs="Times New Roman"/>
          <w:snapToGrid w:val="0"/>
          <w:color w:val="auto"/>
          <w:kern w:val="0"/>
          <w:szCs w:val="24"/>
          <w:highlight w:val="none"/>
          <w:shd w:val="clear" w:color="auto" w:fill="auto"/>
        </w:rPr>
        <w:t>生产问题和风险事件</w:t>
      </w:r>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支持24小时内及时响应，并出具解决方案；针对异常验印情况，支持5个工作日内出具分析报告并配合修复。支持对系统数据出具风险、效率等方面的分析报告；支持技术迭代优化；</w:t>
      </w:r>
      <w:r>
        <w:rPr>
          <w:rFonts w:ascii="宋体" w:hAnsi="宋体" w:cs="Times New Roman"/>
          <w:snapToGrid w:val="0"/>
          <w:color w:val="auto"/>
          <w:kern w:val="0"/>
          <w:szCs w:val="24"/>
          <w:highlight w:val="none"/>
          <w:shd w:val="clear" w:color="auto" w:fill="auto"/>
        </w:rPr>
        <w:t>维保服务期内要求至少每半年进行一次系统巡检，包含检查全行</w:t>
      </w:r>
      <w:r>
        <w:rPr>
          <w:rFonts w:hint="eastAsia" w:ascii="宋体" w:hAnsi="宋体" w:cs="Times New Roman"/>
          <w:snapToGrid w:val="0"/>
          <w:color w:val="auto"/>
          <w:kern w:val="0"/>
          <w:szCs w:val="24"/>
          <w:highlight w:val="none"/>
          <w:shd w:val="clear" w:color="auto" w:fill="auto"/>
        </w:rPr>
        <w:t>关联硬件设备（如高拍仪、扫描仪）</w:t>
      </w:r>
      <w:r>
        <w:rPr>
          <w:rFonts w:ascii="宋体" w:hAnsi="宋体" w:cs="Times New Roman"/>
          <w:snapToGrid w:val="0"/>
          <w:color w:val="auto"/>
          <w:kern w:val="0"/>
          <w:szCs w:val="24"/>
          <w:highlight w:val="none"/>
          <w:shd w:val="clear" w:color="auto" w:fill="auto"/>
        </w:rPr>
        <w:t>采集图像的可用性</w:t>
      </w:r>
      <w:r>
        <w:rPr>
          <w:rFonts w:hint="eastAsia" w:ascii="宋体" w:hAnsi="宋体" w:cs="Times New Roman"/>
          <w:snapToGrid w:val="0"/>
          <w:color w:val="auto"/>
          <w:kern w:val="0"/>
          <w:szCs w:val="24"/>
          <w:highlight w:val="none"/>
          <w:shd w:val="clear" w:color="auto" w:fill="auto"/>
        </w:rPr>
        <w:t>，</w:t>
      </w:r>
      <w:r>
        <w:rPr>
          <w:rFonts w:ascii="宋体" w:hAnsi="宋体" w:cs="Times New Roman"/>
          <w:snapToGrid w:val="0"/>
          <w:color w:val="auto"/>
          <w:kern w:val="0"/>
          <w:szCs w:val="24"/>
          <w:highlight w:val="none"/>
          <w:shd w:val="clear" w:color="auto" w:fill="auto"/>
        </w:rPr>
        <w:t>并</w:t>
      </w:r>
      <w:r>
        <w:rPr>
          <w:rFonts w:hint="eastAsia" w:ascii="宋体" w:hAnsi="宋体" w:cs="Times New Roman"/>
          <w:snapToGrid w:val="0"/>
          <w:color w:val="auto"/>
          <w:kern w:val="0"/>
          <w:szCs w:val="24"/>
          <w:highlight w:val="none"/>
          <w:shd w:val="clear" w:color="auto" w:fill="auto"/>
        </w:rPr>
        <w:t>对影像采集</w:t>
      </w:r>
      <w:r>
        <w:rPr>
          <w:rFonts w:ascii="宋体" w:hAnsi="宋体" w:cs="Times New Roman"/>
          <w:snapToGrid w:val="0"/>
          <w:color w:val="auto"/>
          <w:kern w:val="0"/>
          <w:szCs w:val="24"/>
          <w:highlight w:val="none"/>
          <w:shd w:val="clear" w:color="auto" w:fill="auto"/>
        </w:rPr>
        <w:t>的</w:t>
      </w:r>
      <w:r>
        <w:rPr>
          <w:rFonts w:hint="eastAsia" w:ascii="宋体" w:hAnsi="宋体" w:cs="Times New Roman"/>
          <w:snapToGrid w:val="0"/>
          <w:color w:val="auto"/>
          <w:kern w:val="0"/>
          <w:szCs w:val="24"/>
          <w:highlight w:val="none"/>
          <w:shd w:val="clear" w:color="auto" w:fill="auto"/>
        </w:rPr>
        <w:t>精度</w:t>
      </w:r>
      <w:r>
        <w:rPr>
          <w:rFonts w:ascii="宋体" w:hAnsi="宋体" w:cs="Times New Roman"/>
          <w:snapToGrid w:val="0"/>
          <w:color w:val="auto"/>
          <w:kern w:val="0"/>
          <w:szCs w:val="24"/>
          <w:highlight w:val="none"/>
          <w:shd w:val="clear" w:color="auto" w:fill="auto"/>
        </w:rPr>
        <w:t>进行</w:t>
      </w:r>
      <w:r>
        <w:rPr>
          <w:rFonts w:hint="eastAsia" w:ascii="宋体" w:hAnsi="宋体" w:cs="Times New Roman"/>
          <w:snapToGrid w:val="0"/>
          <w:color w:val="auto"/>
          <w:kern w:val="0"/>
          <w:szCs w:val="24"/>
          <w:highlight w:val="none"/>
          <w:shd w:val="clear" w:color="auto" w:fill="auto"/>
        </w:rPr>
        <w:t>调节和维护</w:t>
      </w:r>
      <w:r>
        <w:rPr>
          <w:rFonts w:ascii="宋体" w:hAnsi="宋体" w:cs="Times New Roman"/>
          <w:snapToGrid w:val="0"/>
          <w:color w:val="auto"/>
          <w:kern w:val="0"/>
          <w:szCs w:val="24"/>
          <w:highlight w:val="none"/>
          <w:shd w:val="clear" w:color="auto" w:fill="auto"/>
        </w:rPr>
        <w:t>，以免影响验印通过率</w:t>
      </w:r>
      <w:r>
        <w:rPr>
          <w:rFonts w:hint="eastAsia" w:ascii="宋体" w:hAnsi="宋体" w:cs="Times New Roman"/>
          <w:snapToGrid w:val="0"/>
          <w:color w:val="auto"/>
          <w:kern w:val="0"/>
          <w:szCs w:val="24"/>
          <w:highlight w:val="none"/>
          <w:shd w:val="clear" w:color="auto" w:fill="auto"/>
        </w:rPr>
        <w:t>。</w:t>
      </w:r>
    </w:p>
    <w:p w14:paraId="06A37437">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共享验印产品责任险达到单笔600万，年累计总额6000万；或独享验印产品责任险达到单笔500万，年累计总额5000万。</w:t>
      </w:r>
    </w:p>
    <w:p w14:paraId="0E4014F6">
      <w:pPr>
        <w:ind w:firstLine="480"/>
        <w:rPr>
          <w:rFonts w:ascii="宋体" w:hAnsi="宋体" w:cs="Times New Roman"/>
          <w:snapToGrid w:val="0"/>
          <w:color w:val="auto"/>
          <w:kern w:val="0"/>
          <w:szCs w:val="24"/>
          <w:highlight w:val="none"/>
          <w:shd w:val="clear" w:color="auto" w:fill="auto"/>
        </w:rPr>
      </w:pPr>
      <w:r>
        <w:rPr>
          <w:rFonts w:ascii="宋体" w:hAnsi="宋体" w:cs="Times New Roman"/>
          <w:snapToGrid w:val="0"/>
          <w:color w:val="auto"/>
          <w:kern w:val="0"/>
          <w:szCs w:val="24"/>
          <w:highlight w:val="none"/>
          <w:shd w:val="clear" w:color="auto" w:fill="auto"/>
        </w:rPr>
        <w:t>验收前、维护期内、有偿技术服务期内将对服务厂商进行售后服务后评估评分，内容包含对生产问题、缺陷及后续完善性需求、监管需求响应的及时性、有效性。评分不合格的，将影响验收及相应款项支付。</w:t>
      </w:r>
    </w:p>
    <w:p w14:paraId="0D369379">
      <w:pPr>
        <w:topLinePunct/>
        <w:ind w:firstLine="480"/>
        <w:rPr>
          <w:rFonts w:ascii="宋体" w:hAnsi="宋体" w:cs="Times New Roman"/>
          <w:snapToGrid w:val="0"/>
          <w:color w:val="auto"/>
          <w:kern w:val="0"/>
          <w:szCs w:val="24"/>
          <w:highlight w:val="none"/>
          <w:shd w:val="clear" w:color="auto" w:fill="auto"/>
        </w:rPr>
      </w:pPr>
      <w:r>
        <w:rPr>
          <w:rFonts w:ascii="宋体" w:hAnsi="宋体" w:cs="Times New Roman"/>
          <w:snapToGrid w:val="0"/>
          <w:color w:val="auto"/>
          <w:kern w:val="0"/>
          <w:szCs w:val="24"/>
          <w:highlight w:val="none"/>
          <w:shd w:val="clear" w:color="auto" w:fill="auto"/>
        </w:rPr>
        <w:t>验收前，单个渠道验印自动通过率若低于条款要求的，视为未达到验收标准，不予验收。</w:t>
      </w:r>
    </w:p>
    <w:p w14:paraId="34B50668">
      <w:pPr>
        <w:topLinePunct/>
        <w:ind w:firstLine="480"/>
        <w:rPr>
          <w:rFonts w:ascii="宋体" w:hAnsi="宋体" w:cs="Times New Roman"/>
          <w:snapToGrid w:val="0"/>
          <w:color w:val="auto"/>
          <w:kern w:val="0"/>
          <w:szCs w:val="24"/>
          <w:highlight w:val="none"/>
          <w:shd w:val="clear" w:color="auto" w:fill="auto"/>
        </w:rPr>
      </w:pPr>
      <w:r>
        <w:rPr>
          <w:rFonts w:ascii="宋体" w:hAnsi="宋体" w:cs="Times New Roman"/>
          <w:snapToGrid w:val="0"/>
          <w:color w:val="auto"/>
          <w:kern w:val="0"/>
          <w:szCs w:val="24"/>
          <w:highlight w:val="none"/>
          <w:shd w:val="clear" w:color="auto" w:fill="auto"/>
        </w:rPr>
        <w:t>维护期内，单个渠道验印自动通过率若低于条款要求的，厂商须及时排查原因并配合解决，否则不予支付合同尾款。</w:t>
      </w:r>
    </w:p>
    <w:p w14:paraId="4DF20E85">
      <w:pPr>
        <w:topLinePunct/>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有偿技术服务期</w:t>
      </w:r>
      <w:r>
        <w:rPr>
          <w:rFonts w:ascii="宋体" w:hAnsi="宋体" w:cs="Times New Roman"/>
          <w:snapToGrid w:val="0"/>
          <w:color w:val="auto"/>
          <w:kern w:val="0"/>
          <w:szCs w:val="24"/>
          <w:highlight w:val="none"/>
          <w:shd w:val="clear" w:color="auto" w:fill="auto"/>
        </w:rPr>
        <w:t>内，单个渠道验印自动通过率若低于条款要求的，厂商须及时排查原因并配合解决，否则不予支付服务费用。</w:t>
      </w:r>
    </w:p>
    <w:p w14:paraId="54833264">
      <w:pPr>
        <w:pStyle w:val="3"/>
        <w:numPr>
          <w:ilvl w:val="0"/>
          <w:numId w:val="1"/>
        </w:numPr>
        <w:ind w:firstLine="482" w:firstLineChars="200"/>
        <w:rPr>
          <w:rFonts w:ascii="Times New Roman" w:hAnsi="Times New Roman"/>
          <w:color w:val="auto"/>
          <w:highlight w:val="none"/>
          <w:shd w:val="clear" w:color="auto" w:fill="auto"/>
        </w:rPr>
      </w:pPr>
      <w:bookmarkStart w:id="107" w:name="_Toc29435"/>
      <w:r>
        <w:rPr>
          <w:rFonts w:hint="eastAsia" w:ascii="Times New Roman" w:hAnsi="Times New Roman"/>
          <w:color w:val="auto"/>
          <w:highlight w:val="none"/>
          <w:shd w:val="clear" w:color="auto" w:fill="auto"/>
        </w:rPr>
        <w:t>技术要求</w:t>
      </w:r>
      <w:bookmarkEnd w:id="107"/>
    </w:p>
    <w:p w14:paraId="148D60D8">
      <w:pPr>
        <w:pStyle w:val="4"/>
        <w:ind w:firstLine="482"/>
        <w:rPr>
          <w:rFonts w:ascii="Times New Roman" w:hAnsi="Times New Roman"/>
          <w:color w:val="auto"/>
          <w:szCs w:val="24"/>
          <w:highlight w:val="none"/>
          <w:shd w:val="clear" w:color="auto" w:fill="auto"/>
        </w:rPr>
      </w:pPr>
      <w:bookmarkStart w:id="108" w:name="_Toc25647"/>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.1 </w:t>
      </w:r>
      <w:r>
        <w:rPr>
          <w:rFonts w:hint="eastAsia" w:ascii="Times New Roman" w:hAnsi="Times New Roman"/>
          <w:color w:val="auto"/>
          <w:szCs w:val="24"/>
          <w:highlight w:val="none"/>
          <w:shd w:val="clear" w:color="auto" w:fill="auto"/>
        </w:rPr>
        <w:t>总体原则</w:t>
      </w:r>
      <w:bookmarkEnd w:id="108"/>
    </w:p>
    <w:p w14:paraId="45251D1F">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系统的建设应遵循可靠性、易用性、安全性、参数化管理、扩展性、</w:t>
      </w:r>
      <w:r>
        <w:rPr>
          <w:rFonts w:ascii="宋体" w:hAnsi="宋体" w:cs="Times New Roman"/>
          <w:snapToGrid w:val="0"/>
          <w:color w:val="auto"/>
          <w:kern w:val="0"/>
          <w:szCs w:val="24"/>
          <w:highlight w:val="none"/>
          <w:shd w:val="clear" w:color="auto" w:fill="auto"/>
        </w:rPr>
        <w:t>灵活性</w:t>
      </w:r>
      <w:r>
        <w:rPr>
          <w:rFonts w:hint="eastAsia" w:ascii="宋体" w:hAnsi="宋体" w:cs="Times New Roman"/>
          <w:snapToGrid w:val="0"/>
          <w:color w:val="auto"/>
          <w:kern w:val="0"/>
          <w:szCs w:val="24"/>
          <w:highlight w:val="none"/>
          <w:shd w:val="clear" w:color="auto" w:fill="auto"/>
        </w:rPr>
        <w:t>、可维护性</w:t>
      </w:r>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稳定性</w:t>
      </w:r>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经济性和</w:t>
      </w:r>
      <w:r>
        <w:rPr>
          <w:rFonts w:ascii="宋体" w:hAnsi="宋体" w:cs="Times New Roman"/>
          <w:snapToGrid w:val="0"/>
          <w:color w:val="auto"/>
          <w:kern w:val="0"/>
          <w:szCs w:val="24"/>
          <w:highlight w:val="none"/>
          <w:shd w:val="clear" w:color="auto" w:fill="auto"/>
        </w:rPr>
        <w:t>适配</w:t>
      </w:r>
      <w:r>
        <w:rPr>
          <w:rFonts w:hint="eastAsia" w:ascii="宋体" w:hAnsi="宋体" w:cs="Times New Roman"/>
          <w:snapToGrid w:val="0"/>
          <w:color w:val="auto"/>
          <w:kern w:val="0"/>
          <w:szCs w:val="24"/>
          <w:highlight w:val="none"/>
          <w:shd w:val="clear" w:color="auto" w:fill="auto"/>
        </w:rPr>
        <w:t>性相结合的原则。</w:t>
      </w:r>
    </w:p>
    <w:p w14:paraId="6B9A320D">
      <w:pPr>
        <w:ind w:firstLine="480"/>
        <w:rPr>
          <w:rFonts w:ascii="宋体" w:hAnsi="宋体" w:cs="Times New Roman"/>
          <w:snapToGrid w:val="0"/>
          <w:color w:val="auto"/>
          <w:kern w:val="0"/>
          <w:szCs w:val="24"/>
          <w:highlight w:val="none"/>
          <w:shd w:val="clear" w:color="auto" w:fill="auto"/>
        </w:rPr>
      </w:pPr>
      <w:bookmarkStart w:id="109" w:name="_Toc148025912"/>
      <w:r>
        <w:rPr>
          <w:rFonts w:hint="eastAsia" w:ascii="宋体" w:hAnsi="宋体" w:cs="Times New Roman"/>
          <w:snapToGrid w:val="0"/>
          <w:color w:val="auto"/>
          <w:kern w:val="0"/>
          <w:szCs w:val="24"/>
          <w:highlight w:val="none"/>
          <w:shd w:val="clear" w:color="auto" w:fill="auto"/>
        </w:rPr>
        <w:t>2.1.1 可靠性</w:t>
      </w:r>
      <w:bookmarkEnd w:id="109"/>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系统应具有完备的容错机制、异常处理机制、应急处理机制和预案，在运行环境可靠的基础上，应保证应用系统可靠运行，满足7×24小时不间断稳定运行。</w:t>
      </w:r>
    </w:p>
    <w:p w14:paraId="7F693E58">
      <w:pPr>
        <w:ind w:firstLine="480"/>
        <w:rPr>
          <w:rFonts w:ascii="宋体" w:hAnsi="宋体" w:cs="Times New Roman"/>
          <w:snapToGrid w:val="0"/>
          <w:color w:val="auto"/>
          <w:kern w:val="0"/>
          <w:szCs w:val="24"/>
          <w:highlight w:val="none"/>
          <w:shd w:val="clear" w:color="auto" w:fill="auto"/>
        </w:rPr>
      </w:pPr>
      <w:bookmarkStart w:id="110" w:name="_Toc148025913"/>
      <w:r>
        <w:rPr>
          <w:rFonts w:hint="eastAsia" w:ascii="宋体" w:hAnsi="宋体" w:cs="Times New Roman"/>
          <w:snapToGrid w:val="0"/>
          <w:color w:val="auto"/>
          <w:kern w:val="0"/>
          <w:szCs w:val="24"/>
          <w:highlight w:val="none"/>
          <w:shd w:val="clear" w:color="auto" w:fill="auto"/>
        </w:rPr>
        <w:t>2.1.2 易用性</w:t>
      </w:r>
      <w:bookmarkEnd w:id="110"/>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B/S模式提供各类业务处理的人机交互平台，用户操作和管理维护界面风格统一、简洁、直观、高效，便于操作和浏览。支持按照用户角色分类提供不同操作权限的界面，结构清晰，模块化、参数化程度高，可灵活设置，方便维护和管理。业务流程定制方便快捷，能够根据不同业务需求实现各类任务流程的定制和管理。</w:t>
      </w:r>
    </w:p>
    <w:p w14:paraId="301E242C">
      <w:pPr>
        <w:ind w:firstLine="480"/>
        <w:rPr>
          <w:rFonts w:ascii="宋体" w:hAnsi="宋体" w:cs="Times New Roman"/>
          <w:snapToGrid w:val="0"/>
          <w:color w:val="auto"/>
          <w:kern w:val="0"/>
          <w:szCs w:val="24"/>
          <w:highlight w:val="none"/>
          <w:shd w:val="clear" w:color="auto" w:fill="auto"/>
        </w:rPr>
      </w:pPr>
      <w:bookmarkStart w:id="111" w:name="_Toc148025914"/>
      <w:r>
        <w:rPr>
          <w:rFonts w:hint="eastAsia" w:ascii="宋体" w:hAnsi="宋体" w:cs="Times New Roman"/>
          <w:snapToGrid w:val="0"/>
          <w:color w:val="auto"/>
          <w:kern w:val="0"/>
          <w:szCs w:val="24"/>
          <w:highlight w:val="none"/>
          <w:shd w:val="clear" w:color="auto" w:fill="auto"/>
        </w:rPr>
        <w:t>2.1.3 安全性</w:t>
      </w:r>
      <w:bookmarkEnd w:id="111"/>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系统设计应充分考虑印鉴库的安全性、验印工作的安全性和事后监督要求，包括系统安全、通讯安全、数据安全及业务安全等，必须充分的考虑系统的安全风险点并采用有针对性的安全策略。</w:t>
      </w:r>
    </w:p>
    <w:p w14:paraId="02049C2E">
      <w:pPr>
        <w:ind w:firstLine="480"/>
        <w:rPr>
          <w:rFonts w:ascii="宋体" w:hAnsi="宋体" w:cs="Times New Roman"/>
          <w:snapToGrid w:val="0"/>
          <w:color w:val="auto"/>
          <w:kern w:val="0"/>
          <w:szCs w:val="24"/>
          <w:highlight w:val="none"/>
          <w:shd w:val="clear" w:color="auto" w:fill="auto"/>
        </w:rPr>
      </w:pPr>
      <w:bookmarkStart w:id="112" w:name="_Toc148025915"/>
      <w:r>
        <w:rPr>
          <w:rFonts w:hint="eastAsia" w:ascii="宋体" w:hAnsi="宋体" w:cs="Times New Roman"/>
          <w:snapToGrid w:val="0"/>
          <w:color w:val="auto"/>
          <w:kern w:val="0"/>
          <w:szCs w:val="24"/>
          <w:highlight w:val="none"/>
          <w:shd w:val="clear" w:color="auto" w:fill="auto"/>
        </w:rPr>
        <w:t>2.1.4 参数化管理</w:t>
      </w:r>
      <w:bookmarkEnd w:id="112"/>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系统应充分体现参数化设计，系统中涉及运行、控制、交易和管理方面的可调整或可配置数值或限定值需能够实现参数化配置。这些参数包括但不限于：账户类型和长度管理、凭证种类和长度管理、账户录入规则和权限控制等。重要的参数表可通过操作界面进行增、删、改等操作。业务流程各环节之间的逻辑关系、次序、判断条件等要素可随业务需要方便调整，业务规则可灵活设置，满足业务的灵活性和扩展性需求。</w:t>
      </w:r>
    </w:p>
    <w:p w14:paraId="2EBDA58E">
      <w:pPr>
        <w:ind w:firstLine="480"/>
        <w:rPr>
          <w:rFonts w:ascii="宋体" w:hAnsi="宋体" w:cs="Times New Roman"/>
          <w:snapToGrid w:val="0"/>
          <w:color w:val="auto"/>
          <w:kern w:val="0"/>
          <w:szCs w:val="24"/>
          <w:highlight w:val="none"/>
          <w:shd w:val="clear" w:color="auto" w:fill="auto"/>
        </w:rPr>
      </w:pPr>
      <w:bookmarkStart w:id="113" w:name="_Toc148025916"/>
      <w:r>
        <w:rPr>
          <w:rFonts w:hint="eastAsia" w:ascii="宋体" w:hAnsi="宋体" w:cs="Times New Roman"/>
          <w:snapToGrid w:val="0"/>
          <w:color w:val="auto"/>
          <w:kern w:val="0"/>
          <w:szCs w:val="24"/>
          <w:highlight w:val="none"/>
          <w:shd w:val="clear" w:color="auto" w:fill="auto"/>
        </w:rPr>
        <w:t>2.1.5</w:t>
      </w:r>
      <w:r>
        <w:rPr>
          <w:rFonts w:ascii="Times New Roman" w:hAnsi="Times New Roman"/>
          <w:color w:val="auto"/>
          <w:szCs w:val="24"/>
          <w:highlight w:val="none"/>
          <w:shd w:val="clear" w:color="auto" w:fill="auto"/>
        </w:rPr>
        <w:t xml:space="preserve"> </w:t>
      </w:r>
      <w:r>
        <w:rPr>
          <w:rFonts w:hint="eastAsia" w:ascii="宋体" w:hAnsi="宋体" w:cs="Times New Roman"/>
          <w:snapToGrid w:val="0"/>
          <w:color w:val="auto"/>
          <w:kern w:val="0"/>
          <w:szCs w:val="24"/>
          <w:highlight w:val="none"/>
          <w:shd w:val="clear" w:color="auto" w:fill="auto"/>
        </w:rPr>
        <w:t>扩展性</w:t>
      </w:r>
      <w:bookmarkEnd w:id="113"/>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电子验印系统能提供信创控件和非信创控件，能够支持嵌入式应用，满足流程银行建设中建立统一业务柜面的需要。电子验印系统与内部其他应用系统进行集成时，系统供应商在电子验印系统环境搭建、相关功能开发、联调测试和系统迁移时要积极提供技术支持。系统具有良好的扩展性，满足我行社其他应用系统调用印鉴处理要求。系统各个功能采用模块化集成，能对新增或变更需求快速响应，可以随时增加新的模块满足业务发展需要。实现系统各功能相互之间的紧密集成，特别是要保证分期实施内容之间的无缝衔接。软件、硬件平台在系统容量、处理能力和业务应用等方面应具有良好的可扩展能力，能够方便地进行系统升级和更新，以适应业务量的不断发展。能不断对系统进行升级，使系统能够及时吸收最新的技术手段、管理手段并适应快速变化的金融竞争环境。</w:t>
      </w:r>
    </w:p>
    <w:p w14:paraId="0E2892BC">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 xml:space="preserve">2.1.6 </w:t>
      </w:r>
      <w:r>
        <w:rPr>
          <w:rFonts w:ascii="宋体" w:hAnsi="宋体" w:cs="Times New Roman"/>
          <w:snapToGrid w:val="0"/>
          <w:color w:val="auto"/>
          <w:kern w:val="0"/>
          <w:szCs w:val="24"/>
          <w:highlight w:val="none"/>
          <w:shd w:val="clear" w:color="auto" w:fill="auto"/>
        </w:rPr>
        <w:t>灵活性：</w:t>
      </w:r>
      <w:r>
        <w:rPr>
          <w:rFonts w:hint="eastAsia" w:ascii="宋体" w:hAnsi="宋体" w:cs="Times New Roman"/>
          <w:snapToGrid w:val="0"/>
          <w:color w:val="auto"/>
          <w:kern w:val="0"/>
          <w:szCs w:val="24"/>
          <w:highlight w:val="none"/>
          <w:shd w:val="clear" w:color="auto" w:fill="auto"/>
        </w:rPr>
        <w:t>系统能提供标准的验印接口，能够满足不同架构系统的调用，验印接口包含影像采集、单笔验印、批量验印等功能，为后期与银企对账系统、新一代网点服务平台等系统相对接提供支持。系统能通过简单的模块化开发或参数化配置的方式开发接口，电子验印系统能够按照我方的接口标准通过ESC系统实现与行内业务系统及管理系统的服务对接。提供接口文档和相关控件，支持嵌入和接口方式。</w:t>
      </w:r>
    </w:p>
    <w:p w14:paraId="3D65B3F2">
      <w:pPr>
        <w:ind w:firstLine="480"/>
        <w:rPr>
          <w:rFonts w:ascii="宋体" w:hAnsi="宋体" w:cs="Times New Roman"/>
          <w:snapToGrid w:val="0"/>
          <w:color w:val="auto"/>
          <w:kern w:val="0"/>
          <w:szCs w:val="24"/>
          <w:highlight w:val="none"/>
          <w:shd w:val="clear" w:color="auto" w:fill="auto"/>
        </w:rPr>
      </w:pPr>
      <w:bookmarkStart w:id="114" w:name="_Toc148025918"/>
      <w:r>
        <w:rPr>
          <w:rFonts w:hint="eastAsia" w:ascii="宋体" w:hAnsi="宋体" w:cs="Times New Roman"/>
          <w:snapToGrid w:val="0"/>
          <w:color w:val="auto"/>
          <w:kern w:val="0"/>
          <w:szCs w:val="24"/>
          <w:highlight w:val="none"/>
          <w:shd w:val="clear" w:color="auto" w:fill="auto"/>
        </w:rPr>
        <w:t>2.1.7 可维护性</w:t>
      </w:r>
      <w:bookmarkEnd w:id="114"/>
      <w:r>
        <w:rPr>
          <w:rFonts w:hint="eastAsia" w:ascii="宋体" w:hAnsi="宋体" w:cs="Times New Roman"/>
          <w:snapToGrid w:val="0"/>
          <w:color w:val="auto"/>
          <w:kern w:val="0"/>
          <w:szCs w:val="24"/>
          <w:highlight w:val="none"/>
          <w:shd w:val="clear" w:color="auto" w:fill="auto"/>
        </w:rPr>
        <w:t>：系统能提供良好的用户管理、运行监控及日志管理，记录完备，便于查询、统计、监控，易于管理人员维护。进行业务系统逻辑设计时，有效降低系统的维护复杂性，增强系统的可用性，提供能对系统进行一定程度的维护改造的维护工具。</w:t>
      </w:r>
    </w:p>
    <w:p w14:paraId="5CD345ED">
      <w:pPr>
        <w:ind w:firstLine="480"/>
        <w:rPr>
          <w:rFonts w:ascii="宋体" w:hAnsi="宋体" w:cs="Times New Roman"/>
          <w:snapToGrid w:val="0"/>
          <w:color w:val="auto"/>
          <w:kern w:val="0"/>
          <w:szCs w:val="24"/>
          <w:highlight w:val="none"/>
          <w:shd w:val="clear" w:color="auto" w:fill="auto"/>
        </w:rPr>
      </w:pPr>
      <w:bookmarkStart w:id="115" w:name="_Toc148025919"/>
      <w:r>
        <w:rPr>
          <w:rFonts w:hint="eastAsia" w:ascii="宋体" w:hAnsi="宋体" w:cs="Times New Roman"/>
          <w:snapToGrid w:val="0"/>
          <w:color w:val="auto"/>
          <w:kern w:val="0"/>
          <w:szCs w:val="24"/>
          <w:highlight w:val="none"/>
          <w:shd w:val="clear" w:color="auto" w:fill="auto"/>
        </w:rPr>
        <w:t>2.1.</w:t>
      </w:r>
      <w:r>
        <w:rPr>
          <w:rFonts w:ascii="宋体" w:hAnsi="宋体" w:cs="Times New Roman"/>
          <w:snapToGrid w:val="0"/>
          <w:color w:val="auto"/>
          <w:kern w:val="0"/>
          <w:szCs w:val="24"/>
          <w:highlight w:val="none"/>
          <w:shd w:val="clear" w:color="auto" w:fill="auto"/>
        </w:rPr>
        <w:t xml:space="preserve">8 </w:t>
      </w:r>
      <w:r>
        <w:rPr>
          <w:rFonts w:hint="eastAsia" w:ascii="宋体" w:hAnsi="宋体" w:cs="Times New Roman"/>
          <w:snapToGrid w:val="0"/>
          <w:color w:val="auto"/>
          <w:kern w:val="0"/>
          <w:szCs w:val="24"/>
          <w:highlight w:val="none"/>
          <w:shd w:val="clear" w:color="auto" w:fill="auto"/>
        </w:rPr>
        <w:t>稳定性</w:t>
      </w:r>
      <w:bookmarkEnd w:id="115"/>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系统要确保平稳运行，支持7×24小时连续运行，满足高峰处理的需要。</w:t>
      </w:r>
    </w:p>
    <w:p w14:paraId="3C8A58BC">
      <w:pPr>
        <w:ind w:firstLine="480"/>
        <w:rPr>
          <w:rFonts w:ascii="宋体" w:hAnsi="宋体" w:cs="Times New Roman"/>
          <w:snapToGrid w:val="0"/>
          <w:color w:val="auto"/>
          <w:kern w:val="0"/>
          <w:szCs w:val="24"/>
          <w:highlight w:val="none"/>
          <w:shd w:val="clear" w:color="auto" w:fill="auto"/>
        </w:rPr>
      </w:pPr>
      <w:bookmarkStart w:id="116" w:name="_Toc148025920"/>
      <w:r>
        <w:rPr>
          <w:rFonts w:hint="eastAsia" w:ascii="宋体" w:hAnsi="宋体" w:cs="Times New Roman"/>
          <w:snapToGrid w:val="0"/>
          <w:color w:val="auto"/>
          <w:kern w:val="0"/>
          <w:szCs w:val="24"/>
          <w:highlight w:val="none"/>
          <w:shd w:val="clear" w:color="auto" w:fill="auto"/>
        </w:rPr>
        <w:t>2.1.</w:t>
      </w:r>
      <w:r>
        <w:rPr>
          <w:rFonts w:ascii="宋体" w:hAnsi="宋体" w:cs="Times New Roman"/>
          <w:snapToGrid w:val="0"/>
          <w:color w:val="auto"/>
          <w:kern w:val="0"/>
          <w:szCs w:val="24"/>
          <w:highlight w:val="none"/>
          <w:shd w:val="clear" w:color="auto" w:fill="auto"/>
        </w:rPr>
        <w:t xml:space="preserve">9 </w:t>
      </w:r>
      <w:r>
        <w:rPr>
          <w:rFonts w:hint="eastAsia" w:ascii="宋体" w:hAnsi="宋体" w:cs="Times New Roman"/>
          <w:snapToGrid w:val="0"/>
          <w:color w:val="auto"/>
          <w:kern w:val="0"/>
          <w:szCs w:val="24"/>
          <w:highlight w:val="none"/>
          <w:shd w:val="clear" w:color="auto" w:fill="auto"/>
        </w:rPr>
        <w:t>经济性</w:t>
      </w:r>
      <w:bookmarkEnd w:id="116"/>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系统的建设考虑在网络、设备、信息安全等方面合理利用现有的资源。充分调研，结合业务需求，合理利用现有资源，降低系统的投资，创造最优的工作效率，产生最好的经济效益。</w:t>
      </w:r>
    </w:p>
    <w:p w14:paraId="3FE85DE6">
      <w:pPr>
        <w:ind w:firstLine="480"/>
        <w:rPr>
          <w:rFonts w:ascii="宋体" w:hAnsi="宋体" w:cs="Times New Roman"/>
          <w:snapToGrid w:val="0"/>
          <w:color w:val="auto"/>
          <w:kern w:val="0"/>
          <w:szCs w:val="24"/>
          <w:highlight w:val="none"/>
          <w:shd w:val="clear" w:color="auto" w:fill="auto"/>
        </w:rPr>
      </w:pPr>
      <w:bookmarkStart w:id="117" w:name="_Toc148025921"/>
      <w:r>
        <w:rPr>
          <w:rFonts w:hint="eastAsia" w:ascii="宋体" w:hAnsi="宋体" w:cs="Times New Roman"/>
          <w:snapToGrid w:val="0"/>
          <w:color w:val="auto"/>
          <w:kern w:val="0"/>
          <w:szCs w:val="24"/>
          <w:highlight w:val="none"/>
          <w:shd w:val="clear" w:color="auto" w:fill="auto"/>
        </w:rPr>
        <w:t>2.1.10 适配性</w:t>
      </w:r>
      <w:bookmarkEnd w:id="117"/>
      <w:r>
        <w:rPr>
          <w:rFonts w:ascii="宋体" w:hAnsi="宋体" w:cs="Times New Roman"/>
          <w:snapToGrid w:val="0"/>
          <w:color w:val="auto"/>
          <w:kern w:val="0"/>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系统能够满足服务器、操作系统、中间件、数据库和浏览器等信创要求：支持麒麟和统信等信创服务器操作系统；支持OceanBase、达梦等信创数据库；支持东方通和宝兰德等信创中间件;支持统信UOS和麒麟等信创桌面终端操作系统，并与其操作系统的浏览器适配;完成全栈信创改造。</w:t>
      </w:r>
    </w:p>
    <w:p w14:paraId="476B58D3">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2.2 用户体验要求</w:t>
      </w:r>
    </w:p>
    <w:p w14:paraId="1A5840F9">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界面可根据用户需求灵活更改（增强标签分类特性），注重用户体验，使系统各项功能易见、易学、易用。</w:t>
      </w:r>
    </w:p>
    <w:p w14:paraId="051AEBEE">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3E869869">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2.3 系统技术架构要求</w:t>
      </w:r>
    </w:p>
    <w:p w14:paraId="2C7F85B1">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3545887A">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2）系统技术架构合理，数据结构合理，避免数据冗余，具有良好的扩展性、维护性和稳定性。如服务限流机制、服务降级机制等服务管控机制的应用，保障系统稳定运行。</w:t>
      </w:r>
    </w:p>
    <w:p w14:paraId="2F0275C3">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66DFAB1B">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4）支持集群部署方式，适应本行未来业务发展的需要。应用系统之间逻辑独立、启停服务时系统间不相互影响的部署方案。应用系统应支持双活跨数据中心的部署方案。</w:t>
      </w:r>
    </w:p>
    <w:p w14:paraId="61F8AA05">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5）系统支持域名部署。</w:t>
      </w:r>
    </w:p>
    <w:p w14:paraId="6AB9ED9D">
      <w:pPr>
        <w:ind w:firstLine="48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2.4</w:t>
      </w:r>
      <w:r>
        <w:rPr>
          <w:rFonts w:ascii="Times New Roman" w:hAnsi="Times New Roman"/>
          <w:color w:val="auto"/>
          <w:szCs w:val="24"/>
          <w:highlight w:val="none"/>
          <w:shd w:val="clear" w:color="auto" w:fill="auto"/>
        </w:rPr>
        <w:t xml:space="preserve"> </w:t>
      </w:r>
      <w:r>
        <w:rPr>
          <w:rFonts w:hint="eastAsia" w:ascii="宋体" w:hAnsi="宋体" w:cs="Times New Roman"/>
          <w:snapToGrid w:val="0"/>
          <w:color w:val="auto"/>
          <w:kern w:val="0"/>
          <w:szCs w:val="24"/>
          <w:highlight w:val="none"/>
          <w:shd w:val="clear" w:color="auto" w:fill="auto"/>
        </w:rPr>
        <w:t>系统性能要求</w:t>
      </w:r>
    </w:p>
    <w:p w14:paraId="55352EB2">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1）应具有高效的运行效率，能通过负载均衡、流量控制、消息缓存等机制，提供大规模、高并发量的交易处理能力，满足登陆、查询、日终批量等性能需求；</w:t>
      </w:r>
    </w:p>
    <w:p w14:paraId="00628879">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2）系统必须提供平台级的负载均衡和容错能力；</w:t>
      </w:r>
    </w:p>
    <w:p w14:paraId="08941216">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3）主机系统能够保持7*24稳定的不间断运行，从系统软硬件平台及网络等方面来保证系统的稳定性；</w:t>
      </w:r>
    </w:p>
    <w:p w14:paraId="6E4B83D6">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4）可用率：系统总体平均可用率在99.99%以上。</w:t>
      </w:r>
    </w:p>
    <w:p w14:paraId="67545DC1">
      <w:pPr>
        <w:pStyle w:val="4"/>
        <w:ind w:firstLine="482"/>
        <w:rPr>
          <w:rFonts w:ascii="Times New Roman" w:hAnsi="Times New Roman"/>
          <w:color w:val="auto"/>
          <w:szCs w:val="24"/>
          <w:highlight w:val="none"/>
          <w:shd w:val="clear" w:color="auto" w:fill="auto"/>
        </w:rPr>
      </w:pPr>
      <w:bookmarkStart w:id="118" w:name="_Toc3000"/>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.5 </w:t>
      </w:r>
      <w:r>
        <w:rPr>
          <w:rFonts w:hint="eastAsia" w:ascii="Times New Roman" w:hAnsi="Times New Roman"/>
          <w:color w:val="auto"/>
          <w:szCs w:val="24"/>
          <w:highlight w:val="none"/>
          <w:shd w:val="clear" w:color="auto" w:fill="auto"/>
        </w:rPr>
        <w:t>安全性要求</w:t>
      </w:r>
      <w:bookmarkEnd w:id="118"/>
    </w:p>
    <w:p w14:paraId="5B34301B">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为确保信息安全，采取的措施包括但不限于以下：</w:t>
      </w:r>
    </w:p>
    <w:p w14:paraId="6E42BDE2">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1）平台安全：架构设计符合安全性要求，平台软件达到安全设计标准且不低于同业相关系统要求。</w:t>
      </w:r>
    </w:p>
    <w:p w14:paraId="2B7B0249">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2）数据安全：支持文档安全软件整合技术，从而做到数据传输加密、远程安全访问、数据存储加密，数据部署网络区域应支持入侵检测与防御系统、防火墙的应用。</w:t>
      </w:r>
    </w:p>
    <w:p w14:paraId="18C1081D">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3）容灾备份：支持各种容灾的软硬件设备的使用等。</w:t>
      </w:r>
    </w:p>
    <w:p w14:paraId="1A95B9A4">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4）管理安全：提供完善的日志功能，能够记录系统使用人员的关键操作，保证系统应用的安全。</w:t>
      </w:r>
    </w:p>
    <w:p w14:paraId="083A475A">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5）密码策略：初始密码强制更改、启用验证码、密码过期控制、密码错误次数控制、密码强度设置等，不得以明文的方式保存任何相关密码，防止暴力破解和恶意攻击。</w:t>
      </w:r>
    </w:p>
    <w:p w14:paraId="3E4F4465">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6）系统严密、灵活的访问安全控制；</w:t>
      </w:r>
    </w:p>
    <w:p w14:paraId="199567EA">
      <w:pPr>
        <w:ind w:firstLine="480"/>
        <w:rPr>
          <w:rFonts w:ascii="宋体" w:hAnsi="宋体" w:cs="Times New Roman"/>
          <w:snapToGrid w:val="0"/>
          <w:color w:val="auto"/>
          <w:kern w:val="0"/>
          <w:szCs w:val="24"/>
          <w:highlight w:val="none"/>
          <w:shd w:val="clear" w:color="auto" w:fill="auto"/>
        </w:rPr>
      </w:pPr>
      <w:r>
        <w:rPr>
          <w:rFonts w:hint="eastAsia" w:ascii="Times New Roman" w:hAnsi="Times New Roman"/>
          <w:color w:val="auto"/>
          <w:szCs w:val="24"/>
          <w:highlight w:val="none"/>
          <w:shd w:val="clear" w:color="auto" w:fill="auto"/>
        </w:rPr>
        <w:t>7）系统有整体的用户/权限管理体系，可统一进行用户/权限的管理，实现到字段级的查询、修改、管理权限控制；</w:t>
      </w:r>
    </w:p>
    <w:p w14:paraId="4C4D9731">
      <w:pPr>
        <w:ind w:firstLine="480"/>
        <w:rPr>
          <w:rFonts w:ascii="宋体" w:hAnsi="宋体" w:cs="Times New Roman"/>
          <w:snapToGrid w:val="0"/>
          <w:color w:val="auto"/>
          <w:kern w:val="0"/>
          <w:szCs w:val="24"/>
          <w:highlight w:val="none"/>
          <w:shd w:val="clear" w:color="auto" w:fill="auto"/>
        </w:rPr>
      </w:pPr>
      <w:r>
        <w:rPr>
          <w:rFonts w:ascii="Times New Roman" w:hAnsi="Times New Roman"/>
          <w:color w:val="auto"/>
          <w:szCs w:val="24"/>
          <w:highlight w:val="none"/>
          <w:shd w:val="clear" w:color="auto" w:fill="auto"/>
        </w:rPr>
        <w:t>8</w:t>
      </w:r>
      <w:r>
        <w:rPr>
          <w:rFonts w:hint="eastAsia" w:ascii="Times New Roman" w:hAnsi="Times New Roman"/>
          <w:color w:val="auto"/>
          <w:szCs w:val="24"/>
          <w:highlight w:val="none"/>
          <w:shd w:val="clear" w:color="auto" w:fill="auto"/>
        </w:rPr>
        <w:t>）</w:t>
      </w:r>
      <w:r>
        <w:rPr>
          <w:rFonts w:hint="eastAsia"/>
          <w:color w:val="auto"/>
          <w:highlight w:val="none"/>
          <w:shd w:val="clear" w:color="auto" w:fill="auto"/>
        </w:rPr>
        <w:t>系统开发必须满足重庆三峡银行软件研发项目安全需求基线要</w:t>
      </w:r>
      <w:r>
        <w:rPr>
          <w:color w:val="auto"/>
          <w:highlight w:val="none"/>
          <w:shd w:val="clear" w:color="auto" w:fill="auto"/>
        </w:rPr>
        <w:t>求。</w:t>
      </w:r>
    </w:p>
    <w:p w14:paraId="5E3C4D83">
      <w:pPr>
        <w:pStyle w:val="4"/>
        <w:ind w:firstLine="482"/>
        <w:rPr>
          <w:rFonts w:ascii="Times New Roman" w:hAnsi="Times New Roman"/>
          <w:color w:val="auto"/>
          <w:szCs w:val="24"/>
          <w:highlight w:val="none"/>
          <w:shd w:val="clear" w:color="auto" w:fill="auto"/>
        </w:rPr>
      </w:pPr>
      <w:bookmarkStart w:id="119" w:name="_Toc19291"/>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.6 </w:t>
      </w:r>
      <w:r>
        <w:rPr>
          <w:rFonts w:hint="eastAsia" w:ascii="Times New Roman" w:hAnsi="Times New Roman"/>
          <w:color w:val="auto"/>
          <w:szCs w:val="24"/>
          <w:highlight w:val="none"/>
          <w:shd w:val="clear" w:color="auto" w:fill="auto"/>
        </w:rPr>
        <w:t>可扩展性需求</w:t>
      </w:r>
      <w:bookmarkEnd w:id="119"/>
    </w:p>
    <w:p w14:paraId="65FD7723">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1）系统要求支持主流操作系统、数据库和通讯中间件，对软、硬件平台具有良好的可扩展能力，支持跨平台客制化开发。</w:t>
      </w:r>
    </w:p>
    <w:p w14:paraId="2EEF1BE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2）支持交易数据导入、模型参数维护、计量、会计核算、报表模块对于新产品的支持，系统容易改进、扩展和升级。</w:t>
      </w:r>
    </w:p>
    <w:p w14:paraId="73A5DFFB">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3）提供的平台能够很好的实现业务功能扩展的灵活性，通过后台服务器对业务功能的模块化处理和可配置处理实现对功能的一站式更新，且不影响原有系统的正常运行。</w:t>
      </w:r>
    </w:p>
    <w:p w14:paraId="2B547442">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4）系统的计算能力支持横向扩展；</w:t>
      </w:r>
    </w:p>
    <w:p w14:paraId="6ED51563">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5）对第三方平台提供良好的接口支持和扩展能力。</w:t>
      </w:r>
    </w:p>
    <w:p w14:paraId="68A70E95">
      <w:pPr>
        <w:pStyle w:val="4"/>
        <w:ind w:firstLine="482"/>
        <w:rPr>
          <w:rFonts w:ascii="Times New Roman" w:hAnsi="Times New Roman"/>
          <w:color w:val="auto"/>
          <w:szCs w:val="24"/>
          <w:highlight w:val="none"/>
          <w:shd w:val="clear" w:color="auto" w:fill="auto"/>
        </w:rPr>
      </w:pPr>
      <w:bookmarkStart w:id="120" w:name="_Toc12972"/>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.7 </w:t>
      </w:r>
      <w:r>
        <w:rPr>
          <w:rFonts w:hint="eastAsia" w:ascii="Times New Roman" w:hAnsi="Times New Roman"/>
          <w:color w:val="auto"/>
          <w:szCs w:val="24"/>
          <w:highlight w:val="none"/>
          <w:shd w:val="clear" w:color="auto" w:fill="auto"/>
        </w:rPr>
        <w:t>二次开发要求</w:t>
      </w:r>
      <w:bookmarkEnd w:id="120"/>
    </w:p>
    <w:p w14:paraId="7004090A">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为满足本行业务发展需要，系统应能灵活、方便、快捷地支持个性化需求开发，相关要求包括：</w:t>
      </w:r>
    </w:p>
    <w:p w14:paraId="45B63A07">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1）支持模型参数的个性化调整，从而适应监管要求及行内业务需求的变化；</w:t>
      </w:r>
    </w:p>
    <w:p w14:paraId="18A4AD3E">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2）支持数据采集范围扩展及接口快速开发；</w:t>
      </w:r>
    </w:p>
    <w:p w14:paraId="1945B372">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3）支持较为便捷的全量/增量程序版本抽取和提交；</w:t>
      </w:r>
    </w:p>
    <w:p w14:paraId="0BA61CAE">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4）支持日常需求改造涉及的其他开发要求。</w:t>
      </w:r>
    </w:p>
    <w:p w14:paraId="434C9C51">
      <w:pPr>
        <w:pStyle w:val="4"/>
        <w:ind w:firstLine="482"/>
        <w:rPr>
          <w:rFonts w:ascii="Times New Roman" w:hAnsi="Times New Roman"/>
          <w:color w:val="auto"/>
          <w:szCs w:val="24"/>
          <w:highlight w:val="none"/>
          <w:shd w:val="clear" w:color="auto" w:fill="auto"/>
        </w:rPr>
      </w:pPr>
      <w:bookmarkStart w:id="121" w:name="_Toc28482"/>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.8 </w:t>
      </w:r>
      <w:r>
        <w:rPr>
          <w:rFonts w:hint="eastAsia" w:ascii="Times New Roman" w:hAnsi="Times New Roman"/>
          <w:color w:val="auto"/>
          <w:szCs w:val="24"/>
          <w:highlight w:val="none"/>
          <w:shd w:val="clear" w:color="auto" w:fill="auto"/>
        </w:rPr>
        <w:t>其它非功能性要求</w:t>
      </w:r>
      <w:bookmarkEnd w:id="121"/>
    </w:p>
    <w:p w14:paraId="2869A6DB">
      <w:pPr>
        <w:ind w:firstLine="480"/>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1 运维要求</w:t>
      </w:r>
    </w:p>
    <w:p w14:paraId="471F5E1F">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1）提供日常运行监控和完整的系统维护管理的方案：提供日志、实时交易监控等系统问题定位方案；提供日志和历史数据备份、清理机制；</w:t>
      </w:r>
    </w:p>
    <w:p w14:paraId="23321D08">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 提供应用系统之间逻辑独立、启停服务时系统间不相互影响的部署方案（十分重要），保障系统的7*24小时运行；</w:t>
      </w:r>
    </w:p>
    <w:p w14:paraId="6A2DB190">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3）提供系统资源运行情况实时监控报告；提供系统出现异常预警报告；提供系统运行情况报表等。</w:t>
      </w:r>
    </w:p>
    <w:p w14:paraId="05199BB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4）涉及重大生产故障，需15分钟内响应，30分钟内提供临时解决方案并能恢复生产服务，并安排响应的技术专家进行技术支持。</w:t>
      </w:r>
    </w:p>
    <w:p w14:paraId="2F3C5813">
      <w:pPr>
        <w:ind w:firstLine="480"/>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2 日志要求</w:t>
      </w:r>
    </w:p>
    <w:p w14:paraId="04D92C5A">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1）应完整记录所有通讯日志，如果通讯日志为字节码的，不能直接查看的，应提供查看工具。</w:t>
      </w:r>
    </w:p>
    <w:p w14:paraId="49BA9943">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2）应完整记录交易日志，方便交易统计分析，不同类型的交易可分不同的交易日志表。</w:t>
      </w:r>
    </w:p>
    <w:p w14:paraId="798490C5">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3）可在线动态调整日志级别，在生产环境下定位问题时不需要中断服务。</w:t>
      </w:r>
    </w:p>
    <w:p w14:paraId="6464DF11">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4）系统相关日志应输出在应用目录之外。</w:t>
      </w:r>
    </w:p>
    <w:p w14:paraId="17AEAE4E">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5）不应在日志中记录客户支付敏感信息；不允许保留非本机构的客户敏感信息。</w:t>
      </w:r>
    </w:p>
    <w:p w14:paraId="5A6AA9FA">
      <w:pPr>
        <w:ind w:firstLine="480"/>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3 自动监控指标</w:t>
      </w:r>
    </w:p>
    <w:p w14:paraId="3FD8B6E7">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1）磁盘占用率（关键目录）、CPU使用率、内存占用率等；</w:t>
      </w:r>
    </w:p>
    <w:p w14:paraId="1F5FD16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2）数据库连接池使用情况：总连接数、空闲连接数、使用中连接数；线程池使用情况：总线程、空闲线程、使用中线程；</w:t>
      </w:r>
    </w:p>
    <w:p w14:paraId="07CDC9AD">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3）虚拟机堆内存情况（适用Java）：空闲内存、使用中内存；</w:t>
      </w:r>
    </w:p>
    <w:p w14:paraId="6D181FD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4）交易级的错误，应用系统重大错误；</w:t>
      </w:r>
    </w:p>
    <w:p w14:paraId="605E0BAD">
      <w:pPr>
        <w:pStyle w:val="4"/>
        <w:ind w:firstLine="482"/>
        <w:rPr>
          <w:rFonts w:ascii="Times New Roman" w:hAnsi="Times New Roman"/>
          <w:color w:val="auto"/>
          <w:szCs w:val="24"/>
          <w:highlight w:val="none"/>
          <w:shd w:val="clear" w:color="auto" w:fill="auto"/>
        </w:rPr>
      </w:pPr>
      <w:bookmarkStart w:id="122" w:name="_Toc29267"/>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.9 </w:t>
      </w:r>
      <w:r>
        <w:rPr>
          <w:rFonts w:hint="eastAsia" w:ascii="Times New Roman" w:hAnsi="Times New Roman"/>
          <w:color w:val="auto"/>
          <w:szCs w:val="24"/>
          <w:highlight w:val="none"/>
          <w:shd w:val="clear" w:color="auto" w:fill="auto"/>
        </w:rPr>
        <w:t>应当遵循的标准和规范</w:t>
      </w:r>
      <w:bookmarkEnd w:id="122"/>
    </w:p>
    <w:p w14:paraId="6C195EFE">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1ACB11D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00340599">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业务处理符合国家法律、法规和有关政策规定。数据标准要满足银监会及人民银行相关管理办法及标准化的要求。</w:t>
      </w:r>
    </w:p>
    <w:p w14:paraId="26F698D2">
      <w:pPr>
        <w:ind w:firstLine="480"/>
        <w:rPr>
          <w:rFonts w:ascii="宋体" w:hAnsi="宋体" w:cs="Times New Roman"/>
          <w:snapToGrid w:val="0"/>
          <w:color w:val="auto"/>
          <w:kern w:val="0"/>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.10 </w:t>
      </w:r>
      <w:r>
        <w:rPr>
          <w:rFonts w:hint="eastAsia" w:ascii="宋体" w:hAnsi="宋体" w:cs="Times New Roman"/>
          <w:snapToGrid w:val="0"/>
          <w:color w:val="auto"/>
          <w:kern w:val="0"/>
          <w:szCs w:val="24"/>
          <w:highlight w:val="none"/>
          <w:shd w:val="clear" w:color="auto" w:fill="auto"/>
        </w:rPr>
        <w:t>其他技术要求</w:t>
      </w:r>
    </w:p>
    <w:p w14:paraId="25DB00DC">
      <w:pPr>
        <w:ind w:firstLine="480"/>
        <w:rPr>
          <w:rFonts w:ascii="宋体" w:cs="宋体"/>
          <w:bCs/>
          <w:snapToGrid w:val="0"/>
          <w:color w:val="auto"/>
          <w:kern w:val="0"/>
          <w:szCs w:val="24"/>
          <w:highlight w:val="none"/>
          <w:shd w:val="clear" w:color="auto" w:fill="auto"/>
        </w:rPr>
      </w:pPr>
      <w:r>
        <w:rPr>
          <w:rFonts w:hint="eastAsia" w:ascii="Times New Roman" w:hAnsi="Times New Roman"/>
          <w:color w:val="auto"/>
          <w:szCs w:val="24"/>
          <w:highlight w:val="none"/>
          <w:shd w:val="clear" w:color="auto" w:fill="auto"/>
        </w:rPr>
        <w:t>1）</w:t>
      </w:r>
      <w:r>
        <w:rPr>
          <w:rFonts w:hint="eastAsia" w:ascii="宋体"/>
          <w:bCs/>
          <w:snapToGrid w:val="0"/>
          <w:color w:val="auto"/>
          <w:kern w:val="0"/>
          <w:szCs w:val="24"/>
          <w:highlight w:val="none"/>
          <w:shd w:val="clear" w:color="auto" w:fill="auto"/>
        </w:rPr>
        <w:t>服务器、操作系统、数据库、中间件和虚拟化须满足</w:t>
      </w:r>
      <w:r>
        <w:rPr>
          <w:rFonts w:ascii="宋体"/>
          <w:bCs/>
          <w:snapToGrid w:val="0"/>
          <w:color w:val="auto"/>
          <w:kern w:val="0"/>
          <w:szCs w:val="24"/>
          <w:highlight w:val="none"/>
          <w:shd w:val="clear" w:color="auto" w:fill="auto"/>
        </w:rPr>
        <w:t>比选</w:t>
      </w:r>
      <w:r>
        <w:rPr>
          <w:rFonts w:hint="eastAsia" w:ascii="宋体"/>
          <w:bCs/>
          <w:snapToGrid w:val="0"/>
          <w:color w:val="auto"/>
          <w:kern w:val="0"/>
          <w:szCs w:val="24"/>
          <w:highlight w:val="none"/>
          <w:shd w:val="clear" w:color="auto" w:fill="auto"/>
        </w:rPr>
        <w:t>人的基础环境标准：</w:t>
      </w:r>
    </w:p>
    <w:p w14:paraId="49EA218A">
      <w:pPr>
        <w:numPr>
          <w:ilvl w:val="0"/>
          <w:numId w:val="2"/>
        </w:numPr>
        <w:topLinePunct/>
        <w:snapToGrid w:val="0"/>
        <w:ind w:firstLine="480"/>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服务器CPU：鲲鹏、海光</w:t>
      </w:r>
    </w:p>
    <w:p w14:paraId="7C96E942">
      <w:pPr>
        <w:numPr>
          <w:ilvl w:val="0"/>
          <w:numId w:val="2"/>
        </w:numPr>
        <w:topLinePunct/>
        <w:snapToGrid w:val="0"/>
        <w:ind w:firstLine="480"/>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操作系统：麒麟V10操作系统；</w:t>
      </w:r>
    </w:p>
    <w:p w14:paraId="66D6C619">
      <w:pPr>
        <w:numPr>
          <w:ilvl w:val="0"/>
          <w:numId w:val="2"/>
        </w:numPr>
        <w:topLinePunct/>
        <w:snapToGrid w:val="0"/>
        <w:ind w:left="0" w:firstLine="480"/>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数据库：OceanBase、TDSQL、达梦V8 64位数据库管理系统；</w:t>
      </w:r>
    </w:p>
    <w:p w14:paraId="0127E6BB">
      <w:pPr>
        <w:numPr>
          <w:ilvl w:val="0"/>
          <w:numId w:val="2"/>
        </w:numPr>
        <w:topLinePunct/>
        <w:snapToGrid w:val="0"/>
        <w:ind w:firstLine="480"/>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中间件；东方通V7.0；</w:t>
      </w:r>
    </w:p>
    <w:p w14:paraId="4BAF4C70">
      <w:pPr>
        <w:numPr>
          <w:ilvl w:val="0"/>
          <w:numId w:val="2"/>
        </w:numPr>
        <w:topLinePunct/>
        <w:snapToGrid w:val="0"/>
        <w:ind w:firstLine="480"/>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虚拟化：紫光云UnicloudUsphere VMS企业版；</w:t>
      </w:r>
    </w:p>
    <w:p w14:paraId="0D92E73D">
      <w:pPr>
        <w:numPr>
          <w:ilvl w:val="0"/>
          <w:numId w:val="2"/>
        </w:numPr>
        <w:topLinePunct/>
        <w:snapToGrid w:val="0"/>
        <w:ind w:firstLine="480"/>
        <w:rPr>
          <w:rFonts w:ascii="宋体"/>
          <w:snapToGrid w:val="0"/>
          <w:color w:val="auto"/>
          <w:kern w:val="0"/>
          <w:szCs w:val="24"/>
          <w:highlight w:val="none"/>
          <w:shd w:val="clear" w:color="auto" w:fill="auto"/>
        </w:rPr>
      </w:pPr>
      <w:r>
        <w:rPr>
          <w:rFonts w:hint="eastAsia" w:ascii="宋体"/>
          <w:snapToGrid w:val="0"/>
          <w:color w:val="auto"/>
          <w:kern w:val="0"/>
          <w:szCs w:val="24"/>
          <w:highlight w:val="none"/>
          <w:shd w:val="clear" w:color="auto" w:fill="auto"/>
        </w:rPr>
        <w:t>所有环境需满足</w:t>
      </w:r>
      <w:r>
        <w:rPr>
          <w:rFonts w:ascii="宋体"/>
          <w:bCs/>
          <w:snapToGrid w:val="0"/>
          <w:color w:val="auto"/>
          <w:kern w:val="0"/>
          <w:szCs w:val="24"/>
          <w:highlight w:val="none"/>
          <w:shd w:val="clear" w:color="auto" w:fill="auto"/>
        </w:rPr>
        <w:t>比选</w:t>
      </w:r>
      <w:r>
        <w:rPr>
          <w:rFonts w:hint="eastAsia" w:ascii="宋体"/>
          <w:snapToGrid w:val="0"/>
          <w:color w:val="auto"/>
          <w:kern w:val="0"/>
          <w:szCs w:val="24"/>
          <w:highlight w:val="none"/>
          <w:shd w:val="clear" w:color="auto" w:fill="auto"/>
        </w:rPr>
        <w:t>人最终实际环境基线要求。</w:t>
      </w:r>
    </w:p>
    <w:p w14:paraId="3581D4AF">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2</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开发环境基于J2EE轻量级框架，支持JDK版本：JDK1.8及以上版本。</w:t>
      </w:r>
    </w:p>
    <w:p w14:paraId="1A9FEA7E">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3</w:t>
      </w:r>
      <w:r>
        <w:rPr>
          <w:rFonts w:hint="eastAsia" w:ascii="Times New Roman" w:hAnsi="Times New Roman"/>
          <w:color w:val="auto"/>
          <w:szCs w:val="24"/>
          <w:highlight w:val="none"/>
          <w:shd w:val="clear" w:color="auto" w:fill="auto"/>
        </w:rPr>
        <w:t>）</w:t>
      </w:r>
      <w:r>
        <w:rPr>
          <w:rFonts w:hint="eastAsia" w:ascii="宋体"/>
          <w:color w:val="auto"/>
          <w:kern w:val="0"/>
          <w:szCs w:val="24"/>
          <w:highlight w:val="none"/>
          <w:shd w:val="clear" w:color="auto" w:fill="auto"/>
        </w:rPr>
        <w:t>系统必须支持Windows全系桌面操作系统（即Win7/Win8/Win10/Win11）、统信桌面操作系统、麒麟桌面操作系统，支持谷歌、火狐、edge浏览器、支持统信、奇安信、360等国产浏览器使用。</w:t>
      </w:r>
    </w:p>
    <w:p w14:paraId="2CFE8F3C">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4</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系统基础架构和底层数据库具备灵活性。</w:t>
      </w:r>
    </w:p>
    <w:p w14:paraId="6071C795">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5</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系统可集群部署，支持负载均衡，具备横向可扩展性。</w:t>
      </w:r>
    </w:p>
    <w:p w14:paraId="0F8023DD">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6</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系统处理能力能够满足现有业务数据以及未来三年可能发展的业务数据量。</w:t>
      </w:r>
    </w:p>
    <w:p w14:paraId="0FD5F032">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7</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系统开发需要符合我行开发规范和整体框架要求。</w:t>
      </w:r>
    </w:p>
    <w:p w14:paraId="46922B80">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8</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系统需支持DNS方式连接数据库以及应用。</w:t>
      </w:r>
    </w:p>
    <w:p w14:paraId="523EC884">
      <w:pPr>
        <w:ind w:firstLine="480"/>
        <w:rPr>
          <w:rFonts w:ascii="宋体"/>
          <w:color w:val="auto"/>
          <w:szCs w:val="24"/>
          <w:highlight w:val="none"/>
          <w:shd w:val="clear" w:color="auto" w:fill="auto"/>
        </w:rPr>
      </w:pPr>
      <w:r>
        <w:rPr>
          <w:rFonts w:ascii="Times New Roman" w:hAnsi="Times New Roman"/>
          <w:color w:val="auto"/>
          <w:szCs w:val="24"/>
          <w:highlight w:val="none"/>
          <w:shd w:val="clear" w:color="auto" w:fill="auto"/>
        </w:rPr>
        <w:t>9</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原则上不对系统许可的数量及使用期限（license）做限制。</w:t>
      </w:r>
    </w:p>
    <w:p w14:paraId="3B8B2CDD">
      <w:pPr>
        <w:ind w:firstLine="480"/>
        <w:rPr>
          <w:rFonts w:ascii="宋体"/>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0</w:t>
      </w:r>
      <w:r>
        <w:rPr>
          <w:rFonts w:hint="eastAsia" w:ascii="Times New Roman" w:hAnsi="Times New Roman"/>
          <w:color w:val="auto"/>
          <w:szCs w:val="24"/>
          <w:highlight w:val="none"/>
          <w:shd w:val="clear" w:color="auto" w:fill="auto"/>
        </w:rPr>
        <w:t>）</w:t>
      </w:r>
      <w:r>
        <w:rPr>
          <w:rFonts w:hint="eastAsia" w:ascii="宋体"/>
          <w:color w:val="auto"/>
          <w:szCs w:val="24"/>
          <w:highlight w:val="none"/>
          <w:shd w:val="clear" w:color="auto" w:fill="auto"/>
        </w:rPr>
        <w:t>参选人需提供完善的数据备份方案及备份机制。</w:t>
      </w:r>
    </w:p>
    <w:p w14:paraId="43D7D6B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1</w:t>
      </w:r>
      <w:r>
        <w:rPr>
          <w:rFonts w:hint="eastAsia" w:ascii="Times New Roman" w:hAnsi="Times New Roman"/>
          <w:color w:val="auto"/>
          <w:szCs w:val="24"/>
          <w:highlight w:val="none"/>
          <w:shd w:val="clear" w:color="auto" w:fill="auto"/>
        </w:rPr>
        <w:t>）技术RTO（恢复时间目标）：</w:t>
      </w:r>
      <w:r>
        <w:rPr>
          <w:rFonts w:ascii="Times New Roman" w:hAnsi="Times New Roman"/>
          <w:color w:val="auto"/>
          <w:szCs w:val="24"/>
          <w:highlight w:val="none"/>
          <w:shd w:val="clear" w:color="auto" w:fill="auto"/>
        </w:rPr>
        <w:t>13</w:t>
      </w:r>
      <w:r>
        <w:rPr>
          <w:rFonts w:hint="eastAsia" w:ascii="Times New Roman" w:hAnsi="Times New Roman"/>
          <w:color w:val="auto"/>
          <w:szCs w:val="24"/>
          <w:highlight w:val="none"/>
          <w:shd w:val="clear" w:color="auto" w:fill="auto"/>
        </w:rPr>
        <w:t>小时；技术RPO（恢复时间点目标）：</w:t>
      </w:r>
      <w:r>
        <w:rPr>
          <w:rFonts w:ascii="Times New Roman" w:hAnsi="Times New Roman"/>
          <w:color w:val="auto"/>
          <w:szCs w:val="24"/>
          <w:highlight w:val="none"/>
          <w:shd w:val="clear" w:color="auto" w:fill="auto"/>
        </w:rPr>
        <w:t>0.5</w:t>
      </w:r>
      <w:r>
        <w:rPr>
          <w:rFonts w:hint="eastAsia" w:ascii="Times New Roman" w:hAnsi="Times New Roman"/>
          <w:color w:val="auto"/>
          <w:szCs w:val="24"/>
          <w:highlight w:val="none"/>
          <w:shd w:val="clear" w:color="auto" w:fill="auto"/>
        </w:rPr>
        <w:t>小时。</w:t>
      </w:r>
    </w:p>
    <w:p w14:paraId="28359E02">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2</w:t>
      </w:r>
      <w:r>
        <w:rPr>
          <w:rFonts w:hint="eastAsia" w:ascii="Times New Roman" w:hAnsi="Times New Roman"/>
          <w:color w:val="auto"/>
          <w:szCs w:val="24"/>
          <w:highlight w:val="none"/>
          <w:shd w:val="clear" w:color="auto" w:fill="auto"/>
        </w:rPr>
        <w:t>）需支持IPV6协议。</w:t>
      </w:r>
    </w:p>
    <w:p w14:paraId="3F67A95C">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3</w:t>
      </w:r>
      <w:r>
        <w:rPr>
          <w:rFonts w:hint="eastAsia" w:ascii="Times New Roman" w:hAnsi="Times New Roman"/>
          <w:color w:val="auto"/>
          <w:szCs w:val="24"/>
          <w:highlight w:val="none"/>
          <w:shd w:val="clear" w:color="auto" w:fill="auto"/>
        </w:rPr>
        <w:t>）禁止应用软件部署使用的安装码或授权码与其运行的基础环境（如：硬盘序列号、CPU序列号或网卡序列号等）进行绑定。</w:t>
      </w:r>
    </w:p>
    <w:p w14:paraId="47B68706">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4</w:t>
      </w:r>
      <w:r>
        <w:rPr>
          <w:rFonts w:hint="eastAsia" w:ascii="Times New Roman" w:hAnsi="Times New Roman"/>
          <w:color w:val="auto"/>
          <w:szCs w:val="24"/>
          <w:highlight w:val="none"/>
          <w:shd w:val="clear" w:color="auto" w:fill="auto"/>
        </w:rPr>
        <w:t>）系统在集群部署共享文件访问时使用对象存储（不得使用NAS）。</w:t>
      </w:r>
    </w:p>
    <w:p w14:paraId="58C271FB">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5</w:t>
      </w:r>
      <w:r>
        <w:rPr>
          <w:rFonts w:hint="eastAsia" w:ascii="Times New Roman" w:hAnsi="Times New Roman"/>
          <w:color w:val="auto"/>
          <w:szCs w:val="24"/>
          <w:highlight w:val="none"/>
          <w:shd w:val="clear" w:color="auto" w:fill="auto"/>
        </w:rPr>
        <w:t>）满足国家保密标准及要求。</w:t>
      </w:r>
    </w:p>
    <w:p w14:paraId="7C05CC03">
      <w:pPr>
        <w:ind w:firstLine="48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6</w:t>
      </w:r>
      <w:r>
        <w:rPr>
          <w:rFonts w:hint="eastAsia" w:ascii="Times New Roman" w:hAnsi="Times New Roman"/>
          <w:color w:val="auto"/>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可复用现有验印设备（银之杰及紫图高拍仪），同时支持通用型图像采集设备（通用高拍仪、扫描仪等，支持分辨率大于等于260dpi即可），不限制设备型号和品牌</w:t>
      </w:r>
      <w:r>
        <w:rPr>
          <w:rFonts w:hint="eastAsia" w:ascii="Times New Roman" w:hAnsi="Times New Roman"/>
          <w:color w:val="auto"/>
          <w:szCs w:val="24"/>
          <w:highlight w:val="none"/>
          <w:shd w:val="clear" w:color="auto" w:fill="auto"/>
        </w:rPr>
        <w:t>。</w:t>
      </w:r>
    </w:p>
    <w:p w14:paraId="17737752">
      <w:pPr>
        <w:snapToGrid w:val="0"/>
        <w:ind w:firstLine="480"/>
        <w:rPr>
          <w:rFonts w:ascii="宋体" w:hAnsi="宋体" w:cs="Times New Roman"/>
          <w:snapToGrid w:val="0"/>
          <w:color w:val="auto"/>
          <w:kern w:val="0"/>
          <w:szCs w:val="24"/>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7</w:t>
      </w:r>
      <w:r>
        <w:rPr>
          <w:rFonts w:hint="eastAsia" w:ascii="Times New Roman" w:hAnsi="Times New Roman"/>
          <w:color w:val="auto"/>
          <w:szCs w:val="24"/>
          <w:highlight w:val="none"/>
          <w:shd w:val="clear" w:color="auto" w:fill="auto"/>
        </w:rPr>
        <w:t>）</w:t>
      </w:r>
      <w:r>
        <w:rPr>
          <w:rFonts w:hint="eastAsia" w:ascii="宋体" w:hAnsi="宋体" w:cs="Times New Roman"/>
          <w:snapToGrid w:val="0"/>
          <w:color w:val="auto"/>
          <w:kern w:val="0"/>
          <w:szCs w:val="24"/>
          <w:highlight w:val="none"/>
          <w:shd w:val="clear" w:color="auto" w:fill="auto"/>
        </w:rPr>
        <w:t>支持全栈信创环境应用；同时可提供基于信创和windows两个平台的验印控件，并支持与柜面系统、集中作业、银企对账等业务系统集成，以支持业务终端逐步替换为信创终端的要求。</w:t>
      </w:r>
    </w:p>
    <w:p w14:paraId="5C5D1935">
      <w:pPr>
        <w:snapToGrid w:val="0"/>
        <w:ind w:firstLine="480"/>
        <w:rPr>
          <w:rFonts w:ascii="Times New Roman" w:hAnsi="Times New Roman" w:eastAsia="方正仿宋_GBK" w:cs="Times New Roman"/>
          <w:color w:val="auto"/>
          <w:sz w:val="32"/>
          <w:szCs w:val="32"/>
          <w:highlight w:val="none"/>
          <w:shd w:val="clear" w:color="auto" w:fill="auto"/>
        </w:rPr>
      </w:pPr>
      <w:r>
        <w:rPr>
          <w:rFonts w:hint="eastAsia" w:ascii="Times New Roman" w:hAnsi="Times New Roman"/>
          <w:color w:val="auto"/>
          <w:szCs w:val="24"/>
          <w:highlight w:val="none"/>
          <w:shd w:val="clear" w:color="auto" w:fill="auto"/>
        </w:rPr>
        <w:t>1</w:t>
      </w:r>
      <w:r>
        <w:rPr>
          <w:rFonts w:ascii="Times New Roman" w:hAnsi="Times New Roman"/>
          <w:color w:val="auto"/>
          <w:szCs w:val="24"/>
          <w:highlight w:val="none"/>
          <w:shd w:val="clear" w:color="auto" w:fill="auto"/>
        </w:rPr>
        <w:t>8</w:t>
      </w:r>
      <w:r>
        <w:rPr>
          <w:rFonts w:hint="eastAsia" w:ascii="Times New Roman" w:hAnsi="Times New Roman"/>
          <w:color w:val="auto"/>
          <w:szCs w:val="24"/>
          <w:highlight w:val="none"/>
          <w:shd w:val="clear" w:color="auto" w:fill="auto"/>
        </w:rPr>
        <w:t>）</w:t>
      </w:r>
      <w:r>
        <w:rPr>
          <w:rFonts w:ascii="Times New Roman" w:hAnsi="Times New Roman"/>
          <w:color w:val="auto"/>
          <w:szCs w:val="24"/>
          <w:highlight w:val="none"/>
          <w:shd w:val="clear" w:color="auto" w:fill="auto"/>
        </w:rPr>
        <w:t>支持</w:t>
      </w:r>
      <w:r>
        <w:rPr>
          <w:rFonts w:hint="eastAsia" w:ascii="宋体" w:hAnsi="宋体" w:cs="Times New Roman"/>
          <w:snapToGrid w:val="0"/>
          <w:color w:val="auto"/>
          <w:kern w:val="0"/>
          <w:szCs w:val="24"/>
          <w:highlight w:val="none"/>
          <w:shd w:val="clear" w:color="auto" w:fill="auto"/>
        </w:rPr>
        <w:t>历史验印日志迁移，若为原厂商开发需同步完成存量印鉴卡信息迁移，保证业务连续性。</w:t>
      </w:r>
    </w:p>
    <w:p w14:paraId="02ED7ED7">
      <w:pPr>
        <w:pStyle w:val="3"/>
        <w:numPr>
          <w:ilvl w:val="0"/>
          <w:numId w:val="1"/>
        </w:numPr>
        <w:ind w:firstLine="482" w:firstLineChars="200"/>
        <w:rPr>
          <w:rFonts w:ascii="Times New Roman" w:hAnsi="Times New Roman"/>
          <w:color w:val="auto"/>
          <w:highlight w:val="none"/>
          <w:shd w:val="clear" w:color="auto" w:fill="auto"/>
        </w:rPr>
      </w:pPr>
      <w:bookmarkStart w:id="123" w:name="_Toc19797"/>
      <w:r>
        <w:rPr>
          <w:rFonts w:hint="eastAsia" w:ascii="Times New Roman" w:hAnsi="Times New Roman"/>
          <w:color w:val="auto"/>
          <w:highlight w:val="none"/>
          <w:shd w:val="clear" w:color="auto" w:fill="auto"/>
        </w:rPr>
        <w:t>测试要求</w:t>
      </w:r>
      <w:bookmarkEnd w:id="123"/>
    </w:p>
    <w:p w14:paraId="1A9D2AE1">
      <w:pPr>
        <w:ind w:firstLine="480"/>
        <w:rPr>
          <w:rFonts w:ascii="宋体" w:hAnsi="Times New Roman"/>
          <w:color w:val="auto"/>
          <w:szCs w:val="24"/>
          <w:highlight w:val="none"/>
          <w:shd w:val="clear" w:color="auto" w:fill="auto"/>
        </w:rPr>
      </w:pPr>
      <w:r>
        <w:rPr>
          <w:rFonts w:hint="eastAsia" w:ascii="宋体" w:hAnsi="Times New Roman"/>
          <w:color w:val="auto"/>
          <w:szCs w:val="24"/>
          <w:highlight w:val="none"/>
          <w:shd w:val="clear" w:color="auto" w:fill="auto"/>
        </w:rPr>
        <w:t>1）参选人应负责系统的单元、集成和系统测试，提交完整的测试案例及达到准出标准的单元、集成和系统测试报告。</w:t>
      </w:r>
    </w:p>
    <w:p w14:paraId="7B55EEB6">
      <w:pPr>
        <w:ind w:firstLine="480"/>
        <w:rPr>
          <w:rFonts w:ascii="宋体" w:hAnsi="Times New Roman"/>
          <w:color w:val="auto"/>
          <w:szCs w:val="24"/>
          <w:highlight w:val="none"/>
          <w:shd w:val="clear" w:color="auto" w:fill="auto"/>
        </w:rPr>
      </w:pPr>
      <w:r>
        <w:rPr>
          <w:rFonts w:hint="eastAsia" w:ascii="宋体" w:hAnsi="Times New Roman"/>
          <w:color w:val="auto"/>
          <w:szCs w:val="24"/>
          <w:highlight w:val="none"/>
          <w:shd w:val="clear" w:color="auto" w:fill="auto"/>
        </w:rPr>
        <w:t>2）参选人应提供专职的性能测试负责人及性能测试人员进行系统的性能测试，提交满足系统性能指标的性能测试报告。</w:t>
      </w:r>
    </w:p>
    <w:p w14:paraId="010AFA84">
      <w:pPr>
        <w:ind w:firstLine="480"/>
        <w:rPr>
          <w:rFonts w:ascii="宋体" w:hAnsi="Times New Roman"/>
          <w:color w:val="auto"/>
          <w:szCs w:val="24"/>
          <w:highlight w:val="none"/>
          <w:shd w:val="clear" w:color="auto" w:fill="auto"/>
        </w:rPr>
      </w:pPr>
      <w:r>
        <w:rPr>
          <w:rFonts w:hint="eastAsia" w:ascii="宋体" w:hAnsi="Times New Roman"/>
          <w:color w:val="auto"/>
          <w:szCs w:val="24"/>
          <w:highlight w:val="none"/>
          <w:shd w:val="clear" w:color="auto" w:fill="auto"/>
        </w:rPr>
        <w:t>3）参选人应指派专职的测试项目经理及项目成员进行系统测试，参照比选人系统测试准入准出标准。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624"/>
        <w:gridCol w:w="8635"/>
      </w:tblGrid>
      <w:tr w14:paraId="129B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73629B9">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系统测试准入准出标准</w:t>
            </w:r>
          </w:p>
        </w:tc>
      </w:tr>
      <w:tr w14:paraId="4A7F7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D39C495">
            <w:pPr>
              <w:spacing w:line="240" w:lineRule="auto"/>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一、系统测试准入标准</w:t>
            </w:r>
          </w:p>
        </w:tc>
      </w:tr>
      <w:tr w14:paraId="53526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65C6A5C">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阶段</w:t>
            </w:r>
          </w:p>
        </w:tc>
        <w:tc>
          <w:tcPr>
            <w:tcW w:w="6889" w:type="dxa"/>
            <w:shd w:val="clear" w:color="auto" w:fill="auto"/>
            <w:vAlign w:val="center"/>
          </w:tcPr>
          <w:p w14:paraId="61B7D590">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准入条件</w:t>
            </w:r>
          </w:p>
        </w:tc>
      </w:tr>
      <w:tr w14:paraId="6B99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A58807A">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计划阶段</w:t>
            </w:r>
          </w:p>
        </w:tc>
        <w:tc>
          <w:tcPr>
            <w:tcW w:w="6889" w:type="dxa"/>
            <w:shd w:val="clear" w:color="auto" w:fill="auto"/>
            <w:vAlign w:val="center"/>
          </w:tcPr>
          <w:p w14:paraId="50EC1FED">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开发项目在立项之初应提交纸质测试服务申请单给测试负责人</w:t>
            </w:r>
          </w:p>
        </w:tc>
      </w:tr>
      <w:tr w14:paraId="1464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DA49506">
            <w:pPr>
              <w:ind w:firstLine="480"/>
              <w:rPr>
                <w:color w:val="auto"/>
                <w:highlight w:val="none"/>
                <w:shd w:val="clear" w:color="auto" w:fill="auto"/>
              </w:rPr>
            </w:pPr>
          </w:p>
        </w:tc>
        <w:tc>
          <w:tcPr>
            <w:tcW w:w="6889" w:type="dxa"/>
            <w:shd w:val="clear" w:color="auto" w:fill="auto"/>
            <w:vAlign w:val="center"/>
          </w:tcPr>
          <w:p w14:paraId="562A4C94">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开发项目整体项目计划必须包含系统测试计划或系统测试计划时间</w:t>
            </w:r>
          </w:p>
        </w:tc>
      </w:tr>
      <w:tr w14:paraId="3C1F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26B9739">
            <w:pPr>
              <w:ind w:firstLine="480"/>
              <w:rPr>
                <w:color w:val="auto"/>
                <w:highlight w:val="none"/>
                <w:shd w:val="clear" w:color="auto" w:fill="auto"/>
              </w:rPr>
            </w:pPr>
          </w:p>
        </w:tc>
        <w:tc>
          <w:tcPr>
            <w:tcW w:w="6889" w:type="dxa"/>
            <w:shd w:val="clear" w:color="auto" w:fill="auto"/>
            <w:vAlign w:val="center"/>
          </w:tcPr>
          <w:p w14:paraId="0B9FA321">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测试方要求的需求说明书及相关说明书已经通过评审，并形成终稿；文档包括但不限于：业务需求、需求说明书、系统原型、概要设计（可选）、用户手册（可选）</w:t>
            </w:r>
          </w:p>
        </w:tc>
      </w:tr>
      <w:tr w14:paraId="5DC4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93CF829">
            <w:pPr>
              <w:ind w:firstLine="480"/>
              <w:rPr>
                <w:color w:val="auto"/>
                <w:highlight w:val="none"/>
                <w:shd w:val="clear" w:color="auto" w:fill="auto"/>
              </w:rPr>
            </w:pPr>
          </w:p>
        </w:tc>
        <w:tc>
          <w:tcPr>
            <w:tcW w:w="6889" w:type="dxa"/>
            <w:shd w:val="clear" w:color="auto" w:fill="auto"/>
            <w:vAlign w:val="center"/>
          </w:tcPr>
          <w:p w14:paraId="39E97B95">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变更影响范围是否提供</w:t>
            </w:r>
          </w:p>
        </w:tc>
      </w:tr>
      <w:tr w14:paraId="0838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3C44C574">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执行阶段</w:t>
            </w:r>
          </w:p>
        </w:tc>
        <w:tc>
          <w:tcPr>
            <w:tcW w:w="6889" w:type="dxa"/>
            <w:shd w:val="clear" w:color="auto" w:fill="auto"/>
            <w:vAlign w:val="center"/>
          </w:tcPr>
          <w:p w14:paraId="66BCF04A">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提交的产品经过了开发自测(单元及集成测试），并提交了测试案例与测试报告，单元及集成测试案例密度不低于20条/每功能点，案例需求覆盖度100%，无致命及严重遗留问题</w:t>
            </w:r>
          </w:p>
        </w:tc>
      </w:tr>
      <w:tr w14:paraId="19351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56C7DB74">
            <w:pPr>
              <w:ind w:firstLine="480"/>
              <w:rPr>
                <w:color w:val="auto"/>
                <w:highlight w:val="none"/>
                <w:shd w:val="clear" w:color="auto" w:fill="auto"/>
              </w:rPr>
            </w:pPr>
          </w:p>
        </w:tc>
        <w:tc>
          <w:tcPr>
            <w:tcW w:w="6889" w:type="dxa"/>
            <w:shd w:val="clear" w:color="auto" w:fill="auto"/>
            <w:vAlign w:val="center"/>
          </w:tcPr>
          <w:p w14:paraId="0271FBAB">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系统测试案例准备就绪（案例密度为35条/每功能点）</w:t>
            </w:r>
          </w:p>
        </w:tc>
      </w:tr>
      <w:tr w14:paraId="697C1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8A9C3D7">
            <w:pPr>
              <w:ind w:firstLine="480"/>
              <w:rPr>
                <w:color w:val="auto"/>
                <w:highlight w:val="none"/>
                <w:shd w:val="clear" w:color="auto" w:fill="auto"/>
              </w:rPr>
            </w:pPr>
          </w:p>
        </w:tc>
        <w:tc>
          <w:tcPr>
            <w:tcW w:w="6889" w:type="dxa"/>
            <w:shd w:val="clear" w:color="auto" w:fill="auto"/>
            <w:vAlign w:val="center"/>
          </w:tcPr>
          <w:p w14:paraId="223F582A">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测试环境准备就绪</w:t>
            </w:r>
          </w:p>
        </w:tc>
      </w:tr>
      <w:tr w14:paraId="61412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3CA6F5D">
            <w:pPr>
              <w:ind w:firstLine="480"/>
              <w:rPr>
                <w:color w:val="auto"/>
                <w:highlight w:val="none"/>
                <w:shd w:val="clear" w:color="auto" w:fill="auto"/>
              </w:rPr>
            </w:pPr>
          </w:p>
        </w:tc>
        <w:tc>
          <w:tcPr>
            <w:tcW w:w="6889" w:type="dxa"/>
            <w:shd w:val="clear" w:color="auto" w:fill="auto"/>
            <w:vAlign w:val="center"/>
          </w:tcPr>
          <w:p w14:paraId="2BFFEEE2">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测试版本能够成功部署到测试环境。（如果测试和开发处于同一环境，则在系统测试开始前应该按照开发提交的版本重新部署）</w:t>
            </w:r>
          </w:p>
        </w:tc>
      </w:tr>
      <w:tr w14:paraId="04C63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54C8243">
            <w:pPr>
              <w:ind w:firstLine="480"/>
              <w:rPr>
                <w:color w:val="auto"/>
                <w:highlight w:val="none"/>
                <w:shd w:val="clear" w:color="auto" w:fill="auto"/>
              </w:rPr>
            </w:pPr>
          </w:p>
        </w:tc>
        <w:tc>
          <w:tcPr>
            <w:tcW w:w="6889" w:type="dxa"/>
            <w:shd w:val="clear" w:color="auto" w:fill="auto"/>
            <w:vAlign w:val="center"/>
          </w:tcPr>
          <w:p w14:paraId="75BDD0C9">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冒烟测试达到通过标准（冒烟测试案例通过率大于90%，有效缺陷率不高于10%）</w:t>
            </w:r>
          </w:p>
        </w:tc>
      </w:tr>
      <w:tr w14:paraId="0DD7F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E1137EC">
            <w:pPr>
              <w:spacing w:line="240" w:lineRule="auto"/>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二、暂停/继续标准：满足下列之一的条件并由项目组审核同意，测试可以暂停</w:t>
            </w:r>
          </w:p>
        </w:tc>
      </w:tr>
      <w:tr w14:paraId="2B249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497349E">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序号</w:t>
            </w:r>
          </w:p>
        </w:tc>
        <w:tc>
          <w:tcPr>
            <w:tcW w:w="6889" w:type="dxa"/>
            <w:shd w:val="clear" w:color="auto" w:fill="auto"/>
            <w:vAlign w:val="center"/>
          </w:tcPr>
          <w:p w14:paraId="22092049">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暂停条件</w:t>
            </w:r>
          </w:p>
        </w:tc>
      </w:tr>
      <w:tr w14:paraId="4719A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CF34BB">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p>
        </w:tc>
        <w:tc>
          <w:tcPr>
            <w:tcW w:w="6889" w:type="dxa"/>
            <w:shd w:val="clear" w:color="auto" w:fill="auto"/>
            <w:vAlign w:val="center"/>
          </w:tcPr>
          <w:p w14:paraId="589A34B7">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由于程序、环境原因导致测试无法进行</w:t>
            </w:r>
          </w:p>
        </w:tc>
      </w:tr>
      <w:tr w14:paraId="23C4B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914FD7">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p>
        </w:tc>
        <w:tc>
          <w:tcPr>
            <w:tcW w:w="6889" w:type="dxa"/>
            <w:shd w:val="clear" w:color="auto" w:fill="auto"/>
            <w:vAlign w:val="center"/>
          </w:tcPr>
          <w:p w14:paraId="4447FCA0">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项目暂停，已无测试必要</w:t>
            </w:r>
          </w:p>
        </w:tc>
      </w:tr>
      <w:tr w14:paraId="7EF67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09541D6">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w:t>
            </w:r>
          </w:p>
        </w:tc>
        <w:tc>
          <w:tcPr>
            <w:tcW w:w="6889" w:type="dxa"/>
            <w:shd w:val="clear" w:color="auto" w:fill="auto"/>
            <w:vAlign w:val="center"/>
          </w:tcPr>
          <w:p w14:paraId="29DF385F">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测试需求稳定指数小于70%，则暂停测试执行</w:t>
            </w:r>
          </w:p>
        </w:tc>
      </w:tr>
      <w:tr w14:paraId="6EEA8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FDC6066">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w:t>
            </w:r>
          </w:p>
        </w:tc>
        <w:tc>
          <w:tcPr>
            <w:tcW w:w="6889" w:type="dxa"/>
            <w:shd w:val="clear" w:color="auto" w:fill="auto"/>
            <w:vAlign w:val="center"/>
          </w:tcPr>
          <w:p w14:paraId="7835329F">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每个里程碑节点或执行轮次案例执行通过率低于60%，则暂停测试执行</w:t>
            </w:r>
          </w:p>
        </w:tc>
      </w:tr>
      <w:tr w14:paraId="6C7B9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F653EC0">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w:t>
            </w:r>
          </w:p>
        </w:tc>
        <w:tc>
          <w:tcPr>
            <w:tcW w:w="6889" w:type="dxa"/>
            <w:shd w:val="clear" w:color="auto" w:fill="auto"/>
            <w:vAlign w:val="center"/>
          </w:tcPr>
          <w:p w14:paraId="01A20176">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每个里程碑节点或执行轮次缺陷解决率低于50%，则暂停测试执行</w:t>
            </w:r>
          </w:p>
        </w:tc>
      </w:tr>
      <w:tr w14:paraId="3706B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22D93D">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7</w:t>
            </w:r>
          </w:p>
        </w:tc>
        <w:tc>
          <w:tcPr>
            <w:tcW w:w="6889" w:type="dxa"/>
            <w:shd w:val="clear" w:color="auto" w:fill="auto"/>
            <w:vAlign w:val="center"/>
          </w:tcPr>
          <w:p w14:paraId="04950250">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每个里程碑节点或执行轮次缺陷的案例命中率大于25%，则暂停测试执行</w:t>
            </w:r>
          </w:p>
        </w:tc>
      </w:tr>
      <w:tr w14:paraId="28128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39FC1C9">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8</w:t>
            </w:r>
          </w:p>
        </w:tc>
        <w:tc>
          <w:tcPr>
            <w:tcW w:w="6889" w:type="dxa"/>
            <w:shd w:val="clear" w:color="auto" w:fill="auto"/>
            <w:vAlign w:val="center"/>
          </w:tcPr>
          <w:p w14:paraId="3B42BD4F">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每个里程碑节点或执行轮次严重以上缺陷占比大于35%，则暂停测试执行</w:t>
            </w:r>
          </w:p>
        </w:tc>
      </w:tr>
      <w:tr w14:paraId="4608C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904DFB">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9</w:t>
            </w:r>
          </w:p>
        </w:tc>
        <w:tc>
          <w:tcPr>
            <w:tcW w:w="6889" w:type="dxa"/>
            <w:shd w:val="clear" w:color="auto" w:fill="auto"/>
            <w:vAlign w:val="center"/>
          </w:tcPr>
          <w:p w14:paraId="0EA3A85B">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测试环境、测试数据、测试人员等等测试必备条件不再具备或发生变化导致测试不能进行，则暂停测试执行</w:t>
            </w:r>
          </w:p>
        </w:tc>
      </w:tr>
      <w:tr w14:paraId="5D28E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CEAE77">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10</w:t>
            </w:r>
          </w:p>
        </w:tc>
        <w:tc>
          <w:tcPr>
            <w:tcW w:w="6889" w:type="dxa"/>
            <w:shd w:val="clear" w:color="auto" w:fill="auto"/>
            <w:vAlign w:val="center"/>
          </w:tcPr>
          <w:p w14:paraId="0817CA0B">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项目组确定的可以暂停的其他条件</w:t>
            </w:r>
          </w:p>
        </w:tc>
      </w:tr>
      <w:tr w14:paraId="15E41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7E14B3B">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11</w:t>
            </w:r>
          </w:p>
        </w:tc>
        <w:tc>
          <w:tcPr>
            <w:tcW w:w="6889" w:type="dxa"/>
            <w:shd w:val="clear" w:color="auto" w:fill="auto"/>
            <w:vAlign w:val="center"/>
          </w:tcPr>
          <w:p w14:paraId="4A2BDE80">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恢复以上的条件并由项目组审核同意，测试可以继续</w:t>
            </w:r>
          </w:p>
        </w:tc>
      </w:tr>
      <w:tr w14:paraId="4AA55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A5ECA0E">
            <w:pPr>
              <w:spacing w:line="240" w:lineRule="auto"/>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三、系统测试准出标准：同时满足以下条件，系统测试完成</w:t>
            </w:r>
          </w:p>
        </w:tc>
      </w:tr>
      <w:tr w14:paraId="5C4A8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F426C6E">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序号</w:t>
            </w:r>
          </w:p>
        </w:tc>
        <w:tc>
          <w:tcPr>
            <w:tcW w:w="6889" w:type="dxa"/>
            <w:shd w:val="clear" w:color="auto" w:fill="auto"/>
            <w:vAlign w:val="center"/>
          </w:tcPr>
          <w:p w14:paraId="1E76AAAF">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准出条件</w:t>
            </w:r>
          </w:p>
        </w:tc>
      </w:tr>
      <w:tr w14:paraId="14A64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EF526C8">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p>
        </w:tc>
        <w:tc>
          <w:tcPr>
            <w:tcW w:w="6889" w:type="dxa"/>
            <w:shd w:val="clear" w:color="auto" w:fill="auto"/>
            <w:vAlign w:val="center"/>
          </w:tcPr>
          <w:p w14:paraId="01807F7A">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测试需求覆盖率达到100%，测试案例覆盖度100%</w:t>
            </w:r>
          </w:p>
        </w:tc>
      </w:tr>
      <w:tr w14:paraId="2807B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6E67AE">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p>
        </w:tc>
        <w:tc>
          <w:tcPr>
            <w:tcW w:w="6889" w:type="dxa"/>
            <w:shd w:val="clear" w:color="auto" w:fill="auto"/>
            <w:vAlign w:val="center"/>
          </w:tcPr>
          <w:p w14:paraId="08FE76CA">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测试案例执行率达到100%，测试通过率95%</w:t>
            </w:r>
          </w:p>
        </w:tc>
      </w:tr>
      <w:tr w14:paraId="0BD31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1E336BA">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w:t>
            </w:r>
          </w:p>
        </w:tc>
        <w:tc>
          <w:tcPr>
            <w:tcW w:w="6889" w:type="dxa"/>
            <w:shd w:val="clear" w:color="auto" w:fill="auto"/>
            <w:vAlign w:val="center"/>
          </w:tcPr>
          <w:p w14:paraId="2D1785DC">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缺陷修复率达到95%</w:t>
            </w:r>
          </w:p>
        </w:tc>
      </w:tr>
      <w:tr w14:paraId="1FA2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128D8C4">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w:t>
            </w:r>
          </w:p>
        </w:tc>
        <w:tc>
          <w:tcPr>
            <w:tcW w:w="6889" w:type="dxa"/>
            <w:shd w:val="clear" w:color="auto" w:fill="auto"/>
            <w:vAlign w:val="center"/>
          </w:tcPr>
          <w:p w14:paraId="00F8CB71">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致命缺陷、严重缺陷解决率达到100%</w:t>
            </w:r>
          </w:p>
        </w:tc>
      </w:tr>
      <w:tr w14:paraId="36B9B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1D4719A">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w:t>
            </w:r>
          </w:p>
        </w:tc>
        <w:tc>
          <w:tcPr>
            <w:tcW w:w="6889" w:type="dxa"/>
            <w:shd w:val="clear" w:color="auto" w:fill="auto"/>
            <w:vAlign w:val="center"/>
          </w:tcPr>
          <w:p w14:paraId="5373453A">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一般缺陷、微小缺陷解决率达到90%以上，建议缺陷解决率达到80%以上，且未解决缺陷得项目组认可</w:t>
            </w:r>
          </w:p>
        </w:tc>
      </w:tr>
      <w:tr w14:paraId="4A650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4B51FD">
            <w:pPr>
              <w:spacing w:line="240" w:lineRule="auto"/>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w:t>
            </w:r>
          </w:p>
        </w:tc>
        <w:tc>
          <w:tcPr>
            <w:tcW w:w="6889" w:type="dxa"/>
            <w:shd w:val="clear" w:color="auto" w:fill="auto"/>
            <w:vAlign w:val="center"/>
          </w:tcPr>
          <w:p w14:paraId="7B863CDC">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提交系统测试报告及通过评审</w:t>
            </w:r>
          </w:p>
        </w:tc>
      </w:tr>
      <w:tr w14:paraId="30FD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E5B7CC6">
            <w:pPr>
              <w:spacing w:line="240" w:lineRule="auto"/>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四、测试指标公式附录</w:t>
            </w:r>
          </w:p>
        </w:tc>
      </w:tr>
      <w:tr w14:paraId="5998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35783F0">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TPI</w:t>
            </w:r>
          </w:p>
        </w:tc>
        <w:tc>
          <w:tcPr>
            <w:tcW w:w="6889" w:type="dxa"/>
            <w:shd w:val="clear" w:color="auto" w:fill="auto"/>
            <w:vAlign w:val="center"/>
          </w:tcPr>
          <w:p w14:paraId="3672FC57">
            <w:pPr>
              <w:spacing w:line="240" w:lineRule="auto"/>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公式</w:t>
            </w:r>
          </w:p>
        </w:tc>
      </w:tr>
      <w:tr w14:paraId="57696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22FB31E">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测试需求覆盖率</w:t>
            </w:r>
          </w:p>
        </w:tc>
        <w:tc>
          <w:tcPr>
            <w:tcW w:w="6889" w:type="dxa"/>
            <w:shd w:val="clear" w:color="auto" w:fill="auto"/>
            <w:vAlign w:val="center"/>
          </w:tcPr>
          <w:p w14:paraId="46C6F318">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测试需求覆盖点/软件需求功能点</w:t>
            </w:r>
          </w:p>
        </w:tc>
      </w:tr>
      <w:tr w14:paraId="1F706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EE3C4E6">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有效案例总数</w:t>
            </w:r>
          </w:p>
        </w:tc>
        <w:tc>
          <w:tcPr>
            <w:tcW w:w="6889" w:type="dxa"/>
            <w:shd w:val="clear" w:color="auto" w:fill="auto"/>
            <w:vAlign w:val="center"/>
          </w:tcPr>
          <w:p w14:paraId="1F205835">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案例总数-无效案例总数</w:t>
            </w:r>
          </w:p>
        </w:tc>
      </w:tr>
      <w:tr w14:paraId="561D2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56EF745">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有效缺陷总数</w:t>
            </w:r>
          </w:p>
        </w:tc>
        <w:tc>
          <w:tcPr>
            <w:tcW w:w="6889" w:type="dxa"/>
            <w:shd w:val="clear" w:color="auto" w:fill="auto"/>
            <w:vAlign w:val="center"/>
          </w:tcPr>
          <w:p w14:paraId="16D2B9A3">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缺陷总数-无效缺陷总数-伪缺陷总数</w:t>
            </w:r>
          </w:p>
        </w:tc>
      </w:tr>
      <w:tr w14:paraId="1B753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6F0DCA3">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严重以上缺陷总数</w:t>
            </w:r>
          </w:p>
        </w:tc>
        <w:tc>
          <w:tcPr>
            <w:tcW w:w="6889" w:type="dxa"/>
            <w:shd w:val="clear" w:color="auto" w:fill="auto"/>
            <w:vAlign w:val="center"/>
          </w:tcPr>
          <w:p w14:paraId="22E89C8E">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严重及致命缺陷总数-无效的严重及致命缺陷总数</w:t>
            </w:r>
          </w:p>
        </w:tc>
      </w:tr>
      <w:tr w14:paraId="7A86B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FC9F79A">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案例执行率</w:t>
            </w:r>
          </w:p>
        </w:tc>
        <w:tc>
          <w:tcPr>
            <w:tcW w:w="6889" w:type="dxa"/>
            <w:shd w:val="clear" w:color="auto" w:fill="auto"/>
            <w:vAlign w:val="center"/>
          </w:tcPr>
          <w:p w14:paraId="5323C101">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每轮执行案例数/每轮计划执行的案例个数</w:t>
            </w:r>
          </w:p>
        </w:tc>
      </w:tr>
      <w:tr w14:paraId="20E70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720113F">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需求稳定指数</w:t>
            </w:r>
          </w:p>
        </w:tc>
        <w:tc>
          <w:tcPr>
            <w:tcW w:w="6889" w:type="dxa"/>
            <w:shd w:val="clear" w:color="auto" w:fill="auto"/>
            <w:vAlign w:val="center"/>
          </w:tcPr>
          <w:p w14:paraId="381D7C09">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（测试需求分析中规则数量-业务需求因素引起变更的测试需求规则数-开发因素引起变更的测试需求规则数）/测试需求分析中规则数量</w:t>
            </w:r>
          </w:p>
        </w:tc>
      </w:tr>
      <w:tr w14:paraId="33E8A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93776E8">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案例执行通过率</w:t>
            </w:r>
          </w:p>
        </w:tc>
        <w:tc>
          <w:tcPr>
            <w:tcW w:w="6889" w:type="dxa"/>
            <w:shd w:val="clear" w:color="auto" w:fill="auto"/>
            <w:vAlign w:val="center"/>
          </w:tcPr>
          <w:p w14:paraId="7E4C5A75">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每轮执行通过的案例个数/每轮执行案例数</w:t>
            </w:r>
          </w:p>
        </w:tc>
      </w:tr>
      <w:tr w14:paraId="095EF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526EE81">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缺陷的案例命中率</w:t>
            </w:r>
          </w:p>
        </w:tc>
        <w:tc>
          <w:tcPr>
            <w:tcW w:w="6889" w:type="dxa"/>
            <w:shd w:val="clear" w:color="auto" w:fill="auto"/>
            <w:vAlign w:val="bottom"/>
          </w:tcPr>
          <w:p w14:paraId="1341A850">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有效缺陷总数/有效案例总数</w:t>
            </w:r>
          </w:p>
        </w:tc>
      </w:tr>
      <w:tr w14:paraId="78181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6CC881A4">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严重以上缺陷占比</w:t>
            </w:r>
          </w:p>
        </w:tc>
        <w:tc>
          <w:tcPr>
            <w:tcW w:w="6889" w:type="dxa"/>
            <w:shd w:val="clear" w:color="auto" w:fill="auto"/>
            <w:vAlign w:val="bottom"/>
          </w:tcPr>
          <w:p w14:paraId="149A1E76">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严重以上缺陷总数/有效缺陷总数</w:t>
            </w:r>
          </w:p>
        </w:tc>
      </w:tr>
      <w:tr w14:paraId="6E92F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1D189FB6">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缺陷解决率</w:t>
            </w:r>
          </w:p>
        </w:tc>
        <w:tc>
          <w:tcPr>
            <w:tcW w:w="6889" w:type="dxa"/>
            <w:shd w:val="clear" w:color="auto" w:fill="auto"/>
            <w:vAlign w:val="bottom"/>
          </w:tcPr>
          <w:p w14:paraId="2534C3A9">
            <w:pPr>
              <w:spacing w:line="240" w:lineRule="auto"/>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关闭缺陷总数/有效缺陷总数</w:t>
            </w:r>
          </w:p>
        </w:tc>
      </w:tr>
    </w:tbl>
    <w:p w14:paraId="4951A11E">
      <w:pPr>
        <w:ind w:firstLine="0" w:firstLineChars="0"/>
        <w:rPr>
          <w:rFonts w:ascii="Times New Roman" w:hAnsi="Times New Roman"/>
          <w:color w:val="auto"/>
          <w:highlight w:val="none"/>
          <w:shd w:val="clear" w:color="auto" w:fill="auto"/>
        </w:rPr>
      </w:pPr>
    </w:p>
    <w:p w14:paraId="1218C27A">
      <w:pPr>
        <w:pStyle w:val="3"/>
        <w:numPr>
          <w:ilvl w:val="0"/>
          <w:numId w:val="1"/>
        </w:numPr>
        <w:rPr>
          <w:rFonts w:ascii="Times New Roman" w:hAnsi="Times New Roman"/>
          <w:color w:val="auto"/>
          <w:highlight w:val="none"/>
          <w:shd w:val="clear" w:color="auto" w:fill="auto"/>
        </w:rPr>
      </w:pPr>
      <w:bookmarkStart w:id="124" w:name="_Toc9121"/>
      <w:r>
        <w:rPr>
          <w:rFonts w:hint="eastAsia" w:ascii="Times New Roman" w:hAnsi="Times New Roman" w:cs="Cambria"/>
          <w:bCs w:val="0"/>
          <w:color w:val="auto"/>
          <w:highlight w:val="none"/>
          <w:shd w:val="clear" w:color="auto" w:fill="auto"/>
        </w:rPr>
        <w:t>人员要求</w:t>
      </w:r>
      <w:bookmarkEnd w:id="124"/>
    </w:p>
    <w:p w14:paraId="78C1823C">
      <w:pPr>
        <w:snapToGrid w:val="0"/>
        <w:spacing w:line="360" w:lineRule="auto"/>
        <w:ind w:firstLine="480"/>
        <w:rPr>
          <w:rFonts w:ascii="Times New Roman" w:hAnsi="Times New Roman" w:cs="Cambria"/>
          <w:b/>
          <w:color w:val="auto"/>
          <w:szCs w:val="24"/>
          <w:highlight w:val="none"/>
          <w:shd w:val="clear" w:color="auto" w:fill="auto"/>
        </w:rPr>
      </w:pPr>
      <w:bookmarkStart w:id="125" w:name="_Toc89675142"/>
      <w:r>
        <w:rPr>
          <w:rFonts w:ascii="Times New Roman" w:hAnsi="Times New Roman"/>
          <w:color w:val="auto"/>
          <w:highlight w:val="none"/>
          <w:shd w:val="clear" w:color="auto" w:fill="auto"/>
        </w:rPr>
        <w:t>1</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参选</w:t>
      </w:r>
      <w:r>
        <w:rPr>
          <w:rFonts w:hint="eastAsia" w:ascii="Times New Roman" w:hAnsi="Times New Roman"/>
          <w:color w:val="auto"/>
          <w:highlight w:val="none"/>
          <w:shd w:val="clear" w:color="auto" w:fill="auto"/>
        </w:rPr>
        <w:t>人应承诺未征得我行书面同意的情况下不得更换项目成员。</w:t>
      </w:r>
      <w:bookmarkEnd w:id="125"/>
    </w:p>
    <w:p w14:paraId="4E7164A6">
      <w:pPr>
        <w:snapToGrid w:val="0"/>
        <w:spacing w:line="360" w:lineRule="auto"/>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w:t>
      </w:r>
      <w:r>
        <w:rPr>
          <w:rFonts w:hint="eastAsia" w:ascii="Times New Roman" w:hAnsi="Times New Roman"/>
          <w:snapToGrid w:val="0"/>
          <w:color w:val="auto"/>
          <w:kern w:val="0"/>
          <w:szCs w:val="28"/>
          <w:highlight w:val="none"/>
          <w:shd w:val="clear" w:color="auto" w:fill="auto"/>
        </w:rPr>
        <w:t>所有成员必须为</w:t>
      </w:r>
      <w:r>
        <w:rPr>
          <w:rFonts w:hint="eastAsia" w:ascii="Times New Roman" w:hAnsi="Times New Roman"/>
          <w:color w:val="auto"/>
          <w:highlight w:val="none"/>
          <w:shd w:val="clear" w:color="auto" w:fill="auto"/>
        </w:rPr>
        <w:t>参选人</w:t>
      </w:r>
      <w:r>
        <w:rPr>
          <w:rFonts w:hint="eastAsia" w:ascii="Times New Roman" w:hAnsi="Times New Roman"/>
          <w:snapToGrid w:val="0"/>
          <w:color w:val="auto"/>
          <w:kern w:val="0"/>
          <w:szCs w:val="28"/>
          <w:highlight w:val="none"/>
          <w:shd w:val="clear" w:color="auto" w:fill="auto"/>
        </w:rPr>
        <w:t>单位员工，</w:t>
      </w:r>
      <w:r>
        <w:rPr>
          <w:rFonts w:hint="eastAsia" w:ascii="Times New Roman" w:hAnsi="Times New Roman"/>
          <w:b/>
          <w:color w:val="auto"/>
          <w:highlight w:val="none"/>
          <w:shd w:val="clear" w:color="auto" w:fill="auto"/>
        </w:rPr>
        <w:t>参选人</w:t>
      </w:r>
      <w:r>
        <w:rPr>
          <w:rFonts w:hint="eastAsia" w:ascii="Times New Roman" w:hAnsi="Times New Roman"/>
          <w:b/>
          <w:snapToGrid w:val="0"/>
          <w:color w:val="auto"/>
          <w:kern w:val="0"/>
          <w:szCs w:val="28"/>
          <w:highlight w:val="none"/>
          <w:shd w:val="clear" w:color="auto" w:fill="auto"/>
        </w:rPr>
        <w:t>项目组成员须提供近半年公司为其缴纳社保的证明材料，不得外包其他单位员工。</w:t>
      </w:r>
      <w:r>
        <w:rPr>
          <w:rFonts w:hint="eastAsia" w:ascii="Times New Roman" w:hAnsi="Times New Roman" w:cs="Times New Roman"/>
          <w:b/>
          <w:snapToGrid w:val="0"/>
          <w:color w:val="auto"/>
          <w:kern w:val="0"/>
          <w:szCs w:val="28"/>
          <w:highlight w:val="none"/>
          <w:shd w:val="clear" w:color="auto" w:fill="auto"/>
        </w:rPr>
        <w:t>【</w:t>
      </w:r>
      <w:r>
        <w:rPr>
          <w:rFonts w:hint="eastAsia" w:ascii="Times New Roman" w:hAnsi="Times New Roman" w:cs="Times New Roman"/>
          <w:bCs/>
          <w:snapToGrid w:val="0"/>
          <w:color w:val="auto"/>
          <w:kern w:val="0"/>
          <w:szCs w:val="28"/>
          <w:highlight w:val="none"/>
          <w:shd w:val="clear" w:color="auto" w:fill="auto"/>
        </w:rPr>
        <w:t>提供</w:t>
      </w:r>
      <w:r>
        <w:rPr>
          <w:rFonts w:hint="eastAsia" w:ascii="Times New Roman" w:hAnsi="Times New Roman"/>
          <w:color w:val="auto"/>
          <w:highlight w:val="none"/>
          <w:shd w:val="clear" w:color="auto" w:fill="auto"/>
        </w:rPr>
        <w:t>近半年公司为项目组成员缴纳社保的证明材料</w:t>
      </w:r>
      <w:r>
        <w:rPr>
          <w:rFonts w:hint="eastAsia" w:ascii="Times New Roman" w:hAnsi="Times New Roman" w:cs="Times New Roman"/>
          <w:b/>
          <w:snapToGrid w:val="0"/>
          <w:color w:val="auto"/>
          <w:kern w:val="0"/>
          <w:szCs w:val="28"/>
          <w:highlight w:val="none"/>
          <w:shd w:val="clear" w:color="auto" w:fill="auto"/>
        </w:rPr>
        <w:t>】</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1AE1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BAC463D">
            <w:pPr>
              <w:snapToGrid w:val="0"/>
              <w:spacing w:line="360" w:lineRule="auto"/>
              <w:ind w:firstLine="480"/>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项目经理</w:t>
            </w:r>
          </w:p>
        </w:tc>
        <w:tc>
          <w:tcPr>
            <w:tcW w:w="7660" w:type="dxa"/>
            <w:tcBorders>
              <w:top w:val="single" w:color="auto" w:sz="4" w:space="0"/>
              <w:left w:val="single" w:color="auto" w:sz="4" w:space="0"/>
              <w:bottom w:val="single" w:color="auto" w:sz="4" w:space="0"/>
              <w:right w:val="single" w:color="auto" w:sz="4" w:space="0"/>
            </w:tcBorders>
          </w:tcPr>
          <w:p w14:paraId="023C449E">
            <w:pPr>
              <w:spacing w:line="240" w:lineRule="auto"/>
              <w:ind w:firstLine="0" w:firstLineChars="0"/>
              <w:rPr>
                <w:rFonts w:ascii="Times New Roman" w:hAnsi="Times New Roman"/>
                <w:color w:val="auto"/>
                <w:highlight w:val="none"/>
                <w:shd w:val="clear" w:color="auto" w:fill="auto"/>
              </w:rPr>
            </w:pPr>
            <w:r>
              <w:rPr>
                <w:rFonts w:hint="eastAsia" w:ascii="Times New Roman" w:hAnsi="Times New Roman" w:cs="Cambria"/>
                <w:color w:val="auto"/>
                <w:kern w:val="0"/>
                <w:highlight w:val="none"/>
                <w:shd w:val="clear" w:color="auto" w:fill="auto"/>
              </w:rPr>
              <w:t>主导过三个以上同类项目和具有五年以上项目经理工作经验</w:t>
            </w:r>
            <w:r>
              <w:rPr>
                <w:rFonts w:hint="eastAsia" w:ascii="Times New Roman" w:hAnsi="Times New Roman"/>
                <w:color w:val="auto"/>
                <w:highlight w:val="none"/>
                <w:shd w:val="clear" w:color="auto" w:fill="auto"/>
              </w:rPr>
              <w:t>，具有独当一面的技术能力；直接对项目的实施负责，通过对工期、成本、质量的控制（包括总体制定、执行、跟踪、调整相关计划，协调项目可用资源），确保项目按要求完成。</w:t>
            </w:r>
          </w:p>
        </w:tc>
      </w:tr>
      <w:tr w14:paraId="7EBA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A82F36B">
            <w:pPr>
              <w:snapToGrid w:val="0"/>
              <w:spacing w:line="240" w:lineRule="auto"/>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需求分析师</w:t>
            </w:r>
          </w:p>
        </w:tc>
        <w:tc>
          <w:tcPr>
            <w:tcW w:w="7660" w:type="dxa"/>
            <w:tcBorders>
              <w:top w:val="single" w:color="auto" w:sz="4" w:space="0"/>
              <w:left w:val="single" w:color="auto" w:sz="4" w:space="0"/>
              <w:bottom w:val="single" w:color="auto" w:sz="4" w:space="0"/>
              <w:right w:val="single" w:color="auto" w:sz="4" w:space="0"/>
            </w:tcBorders>
          </w:tcPr>
          <w:p w14:paraId="6F4FD4B6">
            <w:pPr>
              <w:spacing w:line="240" w:lineRule="auto"/>
              <w:ind w:firstLine="0" w:firstLineChars="0"/>
              <w:rPr>
                <w:rFonts w:ascii="Times New Roman" w:hAnsi="Times New Roman"/>
                <w:color w:val="auto"/>
                <w:highlight w:val="none"/>
                <w:shd w:val="clear" w:color="auto" w:fill="auto"/>
              </w:rPr>
            </w:pPr>
            <w:r>
              <w:rPr>
                <w:rFonts w:hint="eastAsia" w:ascii="Times New Roman" w:hAnsi="Times New Roman" w:cs="Cambria"/>
                <w:color w:val="auto"/>
                <w:kern w:val="0"/>
                <w:highlight w:val="none"/>
                <w:shd w:val="clear" w:color="auto" w:fill="auto"/>
              </w:rPr>
              <w:t>主导完成过三个以上同类项目的需求分析、设计，</w:t>
            </w:r>
            <w:r>
              <w:rPr>
                <w:rFonts w:hint="eastAsia" w:ascii="Times New Roman" w:hAnsi="Times New Roman"/>
                <w:color w:val="auto"/>
                <w:highlight w:val="none"/>
                <w:shd w:val="clear" w:color="auto" w:fill="auto"/>
              </w:rPr>
              <w:t>熟悉银行业务流程和相关法律法规，能够辅助比选人完成业务流程梳理、整合以及创新，善于表达，具有良好的沟通技巧和能力。</w:t>
            </w:r>
          </w:p>
        </w:tc>
      </w:tr>
      <w:tr w14:paraId="68AE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9410B44">
            <w:pPr>
              <w:snapToGrid w:val="0"/>
              <w:spacing w:line="240" w:lineRule="auto"/>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系统架构师</w:t>
            </w:r>
          </w:p>
        </w:tc>
        <w:tc>
          <w:tcPr>
            <w:tcW w:w="7660" w:type="dxa"/>
            <w:tcBorders>
              <w:top w:val="single" w:color="auto" w:sz="4" w:space="0"/>
              <w:left w:val="single" w:color="auto" w:sz="4" w:space="0"/>
              <w:bottom w:val="single" w:color="auto" w:sz="4" w:space="0"/>
              <w:right w:val="single" w:color="auto" w:sz="4" w:space="0"/>
            </w:tcBorders>
          </w:tcPr>
          <w:p w14:paraId="53480AE2">
            <w:pPr>
              <w:snapToGrid w:val="0"/>
              <w:spacing w:line="240" w:lineRule="auto"/>
              <w:ind w:firstLine="0" w:firstLineChars="0"/>
              <w:rPr>
                <w:rFonts w:ascii="Times New Roman" w:hAnsi="Times New Roman"/>
                <w:color w:val="auto"/>
                <w:highlight w:val="none"/>
                <w:shd w:val="clear" w:color="auto" w:fill="auto"/>
              </w:rPr>
            </w:pPr>
            <w:r>
              <w:rPr>
                <w:rFonts w:hint="eastAsia" w:ascii="Times New Roman" w:hAnsi="Times New Roman" w:cs="Cambria"/>
                <w:color w:val="auto"/>
                <w:kern w:val="0"/>
                <w:highlight w:val="none"/>
                <w:shd w:val="clear" w:color="auto" w:fill="auto"/>
              </w:rPr>
              <w:t>主导过三个以上同类项目和七年以上相关工作经历</w:t>
            </w:r>
            <w:r>
              <w:rPr>
                <w:rFonts w:hint="eastAsia" w:ascii="Times New Roman" w:hAnsi="Times New Roman"/>
                <w:color w:val="auto"/>
                <w:highlight w:val="none"/>
                <w:shd w:val="clear" w:color="auto" w:fill="auto"/>
              </w:rPr>
              <w:t>，并且熟悉SOA、分布式架构以及主流开发框架。</w:t>
            </w:r>
          </w:p>
        </w:tc>
      </w:tr>
      <w:tr w14:paraId="284B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E8E29C5">
            <w:pPr>
              <w:snapToGrid w:val="0"/>
              <w:spacing w:line="240" w:lineRule="auto"/>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EEAD7C3">
            <w:pPr>
              <w:snapToGrid w:val="0"/>
              <w:spacing w:line="240" w:lineRule="auto"/>
              <w:ind w:firstLine="0" w:firstLineChars="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至少二年开发经验，开发组长须有至少五年开发经验，且均有银行相关系统的项目实施经历。</w:t>
            </w:r>
          </w:p>
        </w:tc>
      </w:tr>
      <w:tr w14:paraId="71C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4BC4A98">
            <w:pPr>
              <w:snapToGrid w:val="0"/>
              <w:spacing w:line="240" w:lineRule="auto"/>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6A32F43">
            <w:pPr>
              <w:snapToGrid w:val="0"/>
              <w:spacing w:line="24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color w:val="auto"/>
                <w:highlight w:val="none"/>
                <w:shd w:val="clear" w:color="auto" w:fill="auto"/>
              </w:rPr>
              <w:t>具有两年以上银行相关系统测试经验，</w:t>
            </w:r>
            <w:r>
              <w:rPr>
                <w:rFonts w:hint="eastAsia" w:ascii="Times New Roman" w:hAnsi="Times New Roman" w:cs="Cambria"/>
                <w:color w:val="auto"/>
                <w:kern w:val="0"/>
                <w:highlight w:val="none"/>
                <w:shd w:val="clear" w:color="auto" w:fill="auto"/>
              </w:rPr>
              <w:t>项目测试经理主导完成过二个以上同类项目的系统测试工作</w:t>
            </w:r>
            <w:r>
              <w:rPr>
                <w:rFonts w:hint="eastAsia" w:ascii="Times New Roman" w:hAnsi="Times New Roman"/>
                <w:color w:val="auto"/>
                <w:highlight w:val="none"/>
                <w:shd w:val="clear" w:color="auto" w:fill="auto"/>
              </w:rPr>
              <w:t>，且具有三年以上银行相关系统测试经验。</w:t>
            </w:r>
          </w:p>
        </w:tc>
      </w:tr>
    </w:tbl>
    <w:p w14:paraId="19AB8928">
      <w:pPr>
        <w:spacing w:line="360" w:lineRule="auto"/>
        <w:ind w:firstLine="480"/>
        <w:rPr>
          <w:rFonts w:ascii="Times New Roman" w:hAnsi="Times New Roman"/>
          <w:snapToGrid w:val="0"/>
          <w:color w:val="auto"/>
          <w:kern w:val="0"/>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w:t>
      </w:r>
      <w:r>
        <w:rPr>
          <w:rFonts w:hint="eastAsia" w:ascii="Times New Roman" w:hAnsi="Times New Roman"/>
          <w:snapToGrid w:val="0"/>
          <w:color w:val="auto"/>
          <w:kern w:val="0"/>
          <w:highlight w:val="none"/>
          <w:shd w:val="clear" w:color="auto" w:fill="auto"/>
        </w:rPr>
        <w:t>需提供人员简历信息，同时，比选人将对所提供的人员进行审核，达不到我行要求的将要求替换。项目经理及骨干成员在合同签订时不得进行更换。</w:t>
      </w:r>
      <w:r>
        <w:rPr>
          <w:rFonts w:hint="eastAsia" w:ascii="Times New Roman" w:hAnsi="Times New Roman" w:cs="Times New Roman"/>
          <w:snapToGrid w:val="0"/>
          <w:color w:val="auto"/>
          <w:kern w:val="0"/>
          <w:highlight w:val="none"/>
          <w:shd w:val="clear" w:color="auto" w:fill="auto"/>
        </w:rPr>
        <w:t>【提供</w:t>
      </w:r>
      <w:r>
        <w:rPr>
          <w:rFonts w:ascii="Times New Roman" w:hAnsi="Times New Roman" w:cs="Times New Roman"/>
          <w:snapToGrid w:val="0"/>
          <w:color w:val="auto"/>
          <w:kern w:val="0"/>
          <w:highlight w:val="none"/>
          <w:shd w:val="clear" w:color="auto" w:fill="auto"/>
        </w:rPr>
        <w:t>项目组成员简历信息</w:t>
      </w:r>
      <w:r>
        <w:rPr>
          <w:rFonts w:hint="eastAsia" w:ascii="Times New Roman" w:hAnsi="Times New Roman" w:cs="Times New Roman"/>
          <w:snapToGrid w:val="0"/>
          <w:color w:val="auto"/>
          <w:kern w:val="0"/>
          <w:highlight w:val="none"/>
          <w:shd w:val="clear" w:color="auto" w:fill="auto"/>
        </w:rPr>
        <w:t>】</w:t>
      </w:r>
    </w:p>
    <w:p w14:paraId="6D284FB2">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w:t>
      </w:r>
      <w:r>
        <w:rPr>
          <w:rFonts w:ascii="Times New Roman" w:hAnsi="Times New Roman"/>
          <w:color w:val="auto"/>
          <w:szCs w:val="24"/>
          <w:highlight w:val="none"/>
          <w:shd w:val="clear" w:color="auto" w:fill="auto"/>
        </w:rPr>
        <w:t>项目组成员若有违约违规行为将由参选人承担责任。</w:t>
      </w:r>
    </w:p>
    <w:p w14:paraId="271C556D">
      <w:pPr>
        <w:pStyle w:val="3"/>
        <w:numPr>
          <w:ilvl w:val="0"/>
          <w:numId w:val="1"/>
        </w:numPr>
        <w:rPr>
          <w:rFonts w:ascii="Times New Roman" w:hAnsi="Times New Roman"/>
          <w:color w:val="auto"/>
          <w:highlight w:val="none"/>
          <w:shd w:val="clear" w:color="auto" w:fill="auto"/>
        </w:rPr>
      </w:pPr>
      <w:bookmarkStart w:id="126" w:name="_Toc28402"/>
      <w:bookmarkStart w:id="127" w:name="_Toc89675144"/>
      <w:bookmarkStart w:id="128" w:name="_Toc15059418"/>
      <w:r>
        <w:rPr>
          <w:rFonts w:hint="eastAsia" w:ascii="Times New Roman" w:hAnsi="Times New Roman"/>
          <w:color w:val="auto"/>
          <w:highlight w:val="none"/>
          <w:shd w:val="clear" w:color="auto" w:fill="auto"/>
        </w:rPr>
        <w:t>项目实施要求</w:t>
      </w:r>
      <w:bookmarkEnd w:id="126"/>
    </w:p>
    <w:p w14:paraId="0AE39B4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在本项目实施周期内，如遇到原系统功能与需求不符，需要及时调整实施方案，满足比选人的要求，并征得比选人同意方可变更。</w:t>
      </w:r>
    </w:p>
    <w:p w14:paraId="1B3B0CF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参选人在项目实施过程中，需按照比选人项目管理规范提供相应文档（所有提交文档必须为中文）。</w:t>
      </w:r>
    </w:p>
    <w:p w14:paraId="6F66DA3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本项目为现场开发，原则上不允许远程开发模式，除非得到比选人的明确认可和授权。</w:t>
      </w:r>
    </w:p>
    <w:p w14:paraId="495BCCD5">
      <w:pPr>
        <w:pStyle w:val="3"/>
        <w:numPr>
          <w:ilvl w:val="0"/>
          <w:numId w:val="1"/>
        </w:numPr>
        <w:rPr>
          <w:rFonts w:ascii="Times New Roman" w:hAnsi="Times New Roman"/>
          <w:color w:val="auto"/>
          <w:highlight w:val="none"/>
          <w:shd w:val="clear" w:color="auto" w:fill="auto"/>
        </w:rPr>
      </w:pPr>
      <w:bookmarkStart w:id="129" w:name="_Toc21966"/>
      <w:r>
        <w:rPr>
          <w:rFonts w:hint="eastAsia" w:ascii="Times New Roman" w:hAnsi="Times New Roman"/>
          <w:color w:val="auto"/>
          <w:highlight w:val="none"/>
          <w:shd w:val="clear" w:color="auto" w:fill="auto"/>
        </w:rPr>
        <w:t>项目源代码要求</w:t>
      </w:r>
      <w:bookmarkEnd w:id="129"/>
    </w:p>
    <w:p w14:paraId="5A9A885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highlight w:val="none"/>
          <w:shd w:val="clear" w:color="auto" w:fill="auto"/>
        </w:rPr>
        <w:t>归双方共有</w:t>
      </w:r>
      <w:r>
        <w:rPr>
          <w:rFonts w:hint="eastAsia" w:ascii="Times New Roman" w:hAnsi="Times New Roman"/>
          <w:color w:val="auto"/>
          <w:highlight w:val="none"/>
          <w:shd w:val="clear" w:color="auto" w:fill="auto"/>
        </w:rPr>
        <w:t>。针对共有部分，比选人拥有在比选人及其分支机构使用及后续开发的权利，参选人拥有在其公司和其他组织范围内使用的权利，但参选人使用时不得侵犯比选人利益。</w:t>
      </w:r>
    </w:p>
    <w:p w14:paraId="759EAD1A">
      <w:pPr>
        <w:pStyle w:val="3"/>
        <w:numPr>
          <w:ilvl w:val="0"/>
          <w:numId w:val="1"/>
        </w:numPr>
        <w:rPr>
          <w:rFonts w:ascii="Times New Roman" w:hAnsi="Times New Roman"/>
          <w:color w:val="auto"/>
          <w:highlight w:val="none"/>
          <w:shd w:val="clear" w:color="auto" w:fill="auto"/>
        </w:rPr>
      </w:pPr>
      <w:bookmarkStart w:id="130" w:name="_Toc27777"/>
      <w:r>
        <w:rPr>
          <w:rFonts w:hint="eastAsia" w:ascii="Times New Roman" w:hAnsi="Times New Roman"/>
          <w:color w:val="auto"/>
          <w:highlight w:val="none"/>
          <w:shd w:val="clear" w:color="auto" w:fill="auto"/>
        </w:rPr>
        <w:t>交付周期、地点</w:t>
      </w:r>
      <w:bookmarkEnd w:id="127"/>
      <w:bookmarkEnd w:id="128"/>
      <w:bookmarkEnd w:id="130"/>
    </w:p>
    <w:p w14:paraId="305A9143">
      <w:pPr>
        <w:pStyle w:val="4"/>
        <w:ind w:firstLine="482"/>
        <w:rPr>
          <w:rFonts w:ascii="Times New Roman" w:hAnsi="Times New Roman"/>
          <w:color w:val="auto"/>
          <w:highlight w:val="none"/>
          <w:shd w:val="clear" w:color="auto" w:fill="auto"/>
        </w:rPr>
      </w:pPr>
      <w:bookmarkStart w:id="131" w:name="_Toc5506"/>
      <w:bookmarkStart w:id="132" w:name="_Toc15059420"/>
      <w:bookmarkStart w:id="133" w:name="_Toc89675146"/>
      <w:bookmarkStart w:id="134" w:name="_Toc1125"/>
      <w:bookmarkStart w:id="135" w:name="_Toc440628915"/>
      <w:bookmarkStart w:id="136" w:name="_Toc387826347"/>
      <w:bookmarkStart w:id="137" w:name="_Toc432254881"/>
      <w:r>
        <w:rPr>
          <w:rFonts w:ascii="Times New Roman" w:hAnsi="Times New Roman"/>
          <w:color w:val="auto"/>
          <w:highlight w:val="none"/>
          <w:shd w:val="clear" w:color="auto" w:fill="auto"/>
        </w:rPr>
        <w:t>7</w:t>
      </w:r>
      <w:r>
        <w:rPr>
          <w:rFonts w:hint="eastAsia" w:ascii="Times New Roman" w:hAnsi="Times New Roman"/>
          <w:color w:val="auto"/>
          <w:highlight w:val="none"/>
          <w:shd w:val="clear" w:color="auto" w:fill="auto"/>
        </w:rPr>
        <w:t>.1 交付时间</w:t>
      </w:r>
      <w:bookmarkEnd w:id="131"/>
    </w:p>
    <w:p w14:paraId="7B6C939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以项目合同为准。</w:t>
      </w:r>
    </w:p>
    <w:p w14:paraId="120BF95B">
      <w:pPr>
        <w:pStyle w:val="4"/>
        <w:ind w:firstLine="482"/>
        <w:rPr>
          <w:rFonts w:ascii="Times New Roman" w:hAnsi="Times New Roman"/>
          <w:color w:val="auto"/>
          <w:highlight w:val="none"/>
          <w:shd w:val="clear" w:color="auto" w:fill="auto"/>
        </w:rPr>
      </w:pPr>
      <w:bookmarkStart w:id="138" w:name="_Toc9824"/>
      <w:r>
        <w:rPr>
          <w:rFonts w:ascii="Times New Roman" w:hAnsi="Times New Roman"/>
          <w:color w:val="auto"/>
          <w:highlight w:val="none"/>
          <w:shd w:val="clear" w:color="auto" w:fill="auto"/>
        </w:rPr>
        <w:t>7</w:t>
      </w:r>
      <w:r>
        <w:rPr>
          <w:rFonts w:hint="eastAsia" w:ascii="Times New Roman" w:hAnsi="Times New Roman"/>
          <w:color w:val="auto"/>
          <w:highlight w:val="none"/>
          <w:shd w:val="clear" w:color="auto" w:fill="auto"/>
        </w:rPr>
        <w:t>.2 实施及交付地点</w:t>
      </w:r>
      <w:bookmarkEnd w:id="138"/>
    </w:p>
    <w:p w14:paraId="7884764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比选人指定地点。</w:t>
      </w:r>
    </w:p>
    <w:p w14:paraId="1744475D">
      <w:pPr>
        <w:pStyle w:val="3"/>
        <w:numPr>
          <w:ilvl w:val="0"/>
          <w:numId w:val="1"/>
        </w:numPr>
        <w:rPr>
          <w:rFonts w:ascii="Times New Roman" w:hAnsi="Times New Roman"/>
          <w:color w:val="auto"/>
          <w:highlight w:val="none"/>
          <w:shd w:val="clear" w:color="auto" w:fill="auto"/>
        </w:rPr>
      </w:pPr>
      <w:bookmarkStart w:id="139" w:name="_Toc5785"/>
      <w:r>
        <w:rPr>
          <w:rFonts w:hint="eastAsia" w:ascii="Times New Roman" w:hAnsi="Times New Roman"/>
          <w:color w:val="auto"/>
          <w:highlight w:val="none"/>
          <w:shd w:val="clear" w:color="auto" w:fill="auto"/>
        </w:rPr>
        <w:t>验收测试</w:t>
      </w:r>
      <w:bookmarkEnd w:id="139"/>
    </w:p>
    <w:p w14:paraId="5A86C30A">
      <w:pPr>
        <w:pStyle w:val="4"/>
        <w:ind w:firstLine="482"/>
        <w:rPr>
          <w:rFonts w:ascii="Times New Roman" w:hAnsi="Times New Roman"/>
          <w:color w:val="auto"/>
          <w:szCs w:val="20"/>
          <w:highlight w:val="none"/>
          <w:shd w:val="clear" w:color="auto" w:fill="auto"/>
        </w:rPr>
      </w:pPr>
      <w:bookmarkStart w:id="140" w:name="_Toc18978"/>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.1 </w:t>
      </w:r>
      <w:r>
        <w:rPr>
          <w:rFonts w:hint="eastAsia" w:ascii="Times New Roman" w:hAnsi="Times New Roman"/>
          <w:color w:val="auto"/>
          <w:szCs w:val="20"/>
          <w:highlight w:val="none"/>
          <w:shd w:val="clear" w:color="auto" w:fill="auto"/>
        </w:rPr>
        <w:t>验收测试的范围</w:t>
      </w:r>
      <w:bookmarkEnd w:id="140"/>
    </w:p>
    <w:p w14:paraId="22D87F9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验收测试的范围为项目实施完毕,上线前最终确认的所有需求。</w:t>
      </w:r>
    </w:p>
    <w:p w14:paraId="7B6B9918">
      <w:pPr>
        <w:pStyle w:val="4"/>
        <w:ind w:firstLine="482"/>
        <w:rPr>
          <w:rFonts w:ascii="Times New Roman" w:hAnsi="Times New Roman"/>
          <w:color w:val="auto"/>
          <w:szCs w:val="20"/>
          <w:highlight w:val="none"/>
          <w:shd w:val="clear" w:color="auto" w:fill="auto"/>
        </w:rPr>
      </w:pPr>
      <w:bookmarkStart w:id="141" w:name="_Toc7383"/>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.2 </w:t>
      </w:r>
      <w:r>
        <w:rPr>
          <w:rFonts w:hint="eastAsia" w:ascii="Times New Roman" w:hAnsi="Times New Roman"/>
          <w:color w:val="auto"/>
          <w:szCs w:val="20"/>
          <w:highlight w:val="none"/>
          <w:shd w:val="clear" w:color="auto" w:fill="auto"/>
        </w:rPr>
        <w:t>验收测试的组织</w:t>
      </w:r>
      <w:bookmarkEnd w:id="141"/>
    </w:p>
    <w:p w14:paraId="60D07B8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1）验收测试小组由比选人、中选人等有关人员组成，负责对项目建设进行验收测试。</w:t>
      </w:r>
    </w:p>
    <w:p w14:paraId="1991E27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2）中选人编制测试手册，经验收小组确认后，由验收小组负责验收测试。</w:t>
      </w:r>
    </w:p>
    <w:p w14:paraId="0836E41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3）在验收测试过程中，出现严重缺陷或质量问题时，验收小组可以决定暂停所有测试，直至缺陷和问题得到纠正。</w:t>
      </w:r>
    </w:p>
    <w:p w14:paraId="2B2862A8">
      <w:pPr>
        <w:pStyle w:val="4"/>
        <w:ind w:firstLine="482"/>
        <w:rPr>
          <w:rFonts w:ascii="Times New Roman" w:hAnsi="Times New Roman"/>
          <w:color w:val="auto"/>
          <w:szCs w:val="20"/>
          <w:highlight w:val="none"/>
          <w:shd w:val="clear" w:color="auto" w:fill="auto"/>
        </w:rPr>
      </w:pPr>
      <w:bookmarkStart w:id="142" w:name="_Toc12027"/>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.3 </w:t>
      </w:r>
      <w:r>
        <w:rPr>
          <w:rFonts w:hint="eastAsia" w:ascii="Times New Roman" w:hAnsi="Times New Roman"/>
          <w:color w:val="auto"/>
          <w:szCs w:val="20"/>
          <w:highlight w:val="none"/>
          <w:shd w:val="clear" w:color="auto" w:fill="auto"/>
        </w:rPr>
        <w:t>验收测试的程序</w:t>
      </w:r>
      <w:bookmarkEnd w:id="142"/>
    </w:p>
    <w:p w14:paraId="3609138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1）对各功能模块进行测试；</w:t>
      </w:r>
    </w:p>
    <w:p w14:paraId="5E04D4E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2）在各功能模块测试合格的前提下，对系统进行全面初验；</w:t>
      </w:r>
    </w:p>
    <w:p w14:paraId="697D80C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3）系统验收测试合格后，进入试运行阶段；</w:t>
      </w:r>
    </w:p>
    <w:p w14:paraId="5EAF87A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5）系统在全行上线运行三个月后，进行验收。</w:t>
      </w:r>
    </w:p>
    <w:p w14:paraId="61BF4A48">
      <w:pPr>
        <w:pStyle w:val="4"/>
        <w:ind w:firstLine="482"/>
        <w:rPr>
          <w:rFonts w:ascii="Times New Roman" w:hAnsi="Times New Roman"/>
          <w:color w:val="auto"/>
          <w:szCs w:val="20"/>
          <w:highlight w:val="none"/>
          <w:shd w:val="clear" w:color="auto" w:fill="auto"/>
        </w:rPr>
      </w:pPr>
      <w:bookmarkStart w:id="143" w:name="_Toc9012"/>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.4 </w:t>
      </w:r>
      <w:r>
        <w:rPr>
          <w:rFonts w:hint="eastAsia" w:ascii="Times New Roman" w:hAnsi="Times New Roman"/>
          <w:color w:val="auto"/>
          <w:szCs w:val="20"/>
          <w:highlight w:val="none"/>
          <w:shd w:val="clear" w:color="auto" w:fill="auto"/>
        </w:rPr>
        <w:t>验收测试的评定</w:t>
      </w:r>
      <w:bookmarkEnd w:id="143"/>
    </w:p>
    <w:p w14:paraId="5C5AD59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测试结果按下列级别评定，并经验收小组签字认可：</w:t>
      </w:r>
    </w:p>
    <w:p w14:paraId="442B342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•优良：功能和质量达到预期目的。</w:t>
      </w:r>
    </w:p>
    <w:p w14:paraId="122D53C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•合格：部分功能和质量不能满足比选人的要求，但中选人（集成商）采取了改正措施，使测试结果达到预期目的。</w:t>
      </w:r>
    </w:p>
    <w:p w14:paraId="352E009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•不合格：功能和质量不能满足比选人的要求。</w:t>
      </w:r>
    </w:p>
    <w:p w14:paraId="5DB17041">
      <w:pPr>
        <w:pStyle w:val="3"/>
        <w:numPr>
          <w:ilvl w:val="0"/>
          <w:numId w:val="1"/>
        </w:numPr>
        <w:rPr>
          <w:color w:val="auto"/>
          <w:kern w:val="0"/>
          <w:highlight w:val="none"/>
          <w:shd w:val="clear" w:color="auto" w:fill="auto"/>
        </w:rPr>
      </w:pPr>
      <w:bookmarkStart w:id="144" w:name="_Toc10827"/>
      <w:r>
        <w:rPr>
          <w:rFonts w:hint="eastAsia"/>
          <w:color w:val="auto"/>
          <w:kern w:val="0"/>
          <w:highlight w:val="none"/>
          <w:shd w:val="clear" w:color="auto" w:fill="auto"/>
        </w:rPr>
        <w:t>售后服务和支持</w:t>
      </w:r>
      <w:bookmarkEnd w:id="144"/>
    </w:p>
    <w:p w14:paraId="4A1A30C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若项目涉及售后服务，需增加售后服务和支持章节，如下供参考。</w:t>
      </w:r>
    </w:p>
    <w:p w14:paraId="5096E0A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服务和支持的范围：</w:t>
      </w:r>
    </w:p>
    <w:p w14:paraId="676B7CA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•系统的安装、部署和调试；</w:t>
      </w:r>
    </w:p>
    <w:p w14:paraId="71E55A3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•项目的验收测试；</w:t>
      </w:r>
    </w:p>
    <w:p w14:paraId="0563511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•项目的数据转换、数据迁移、模拟运行和试运行；</w:t>
      </w:r>
    </w:p>
    <w:p w14:paraId="1F66CB7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•与系统运行有关的技术问题（含操作系统、数据库、应用系统的整体性能调优等）</w:t>
      </w:r>
    </w:p>
    <w:p w14:paraId="642A5FB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•项目上线后两年内，针对本项目的完善性需求以及监管提出的安全性需求，中选人需免费进行开发。</w:t>
      </w:r>
    </w:p>
    <w:p w14:paraId="03C3CFE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•相关技术及业务培训（其中在项目实施前必须组织技术人员进行平台二次开发培训，并提供平台的所有技术文档等）</w:t>
      </w:r>
    </w:p>
    <w:p w14:paraId="376EC7A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bookmarkStart w:id="145" w:name="_Hlk22733819"/>
      <w:r>
        <w:rPr>
          <w:rFonts w:hint="eastAsia" w:ascii="Times New Roman" w:hAnsi="Times New Roman"/>
          <w:color w:val="auto"/>
          <w:highlight w:val="none"/>
          <w:shd w:val="clear" w:color="auto" w:fill="auto"/>
        </w:rPr>
        <w:t>维保期</w:t>
      </w:r>
      <w:bookmarkEnd w:id="145"/>
      <w:r>
        <w:rPr>
          <w:rFonts w:hint="eastAsia" w:ascii="Times New Roman" w:hAnsi="Times New Roman"/>
          <w:color w:val="auto"/>
          <w:highlight w:val="none"/>
          <w:shd w:val="clear" w:color="auto" w:fill="auto"/>
        </w:rPr>
        <w:t>以年度计算，</w:t>
      </w:r>
      <w:r>
        <w:rPr>
          <w:rFonts w:ascii="Times New Roman" w:hAnsi="Times New Roman"/>
          <w:color w:val="auto"/>
          <w:highlight w:val="none"/>
          <w:shd w:val="clear" w:color="auto" w:fill="auto"/>
        </w:rPr>
        <w:t>应至少提供2</w:t>
      </w:r>
      <w:r>
        <w:rPr>
          <w:rFonts w:hint="eastAsia" w:ascii="Times New Roman" w:hAnsi="Times New Roman"/>
          <w:color w:val="auto"/>
          <w:highlight w:val="none"/>
          <w:shd w:val="clear" w:color="auto" w:fill="auto"/>
        </w:rPr>
        <w:t>年</w:t>
      </w:r>
      <w:r>
        <w:rPr>
          <w:rFonts w:ascii="Times New Roman" w:hAnsi="Times New Roman"/>
          <w:color w:val="auto"/>
          <w:highlight w:val="none"/>
          <w:shd w:val="clear" w:color="auto" w:fill="auto"/>
        </w:rPr>
        <w:t>维保</w:t>
      </w:r>
      <w:r>
        <w:rPr>
          <w:rFonts w:hint="eastAsia" w:ascii="Times New Roman" w:hAnsi="Times New Roman"/>
          <w:color w:val="auto"/>
          <w:highlight w:val="none"/>
          <w:shd w:val="clear" w:color="auto" w:fill="auto"/>
        </w:rPr>
        <w:t>，维保期起始日为验收后次日，维保期结束日需延期至到期当年的6月30日或12月31日中较近日期（即维保延期最长不超过半年）。</w:t>
      </w:r>
    </w:p>
    <w:p w14:paraId="4D23DF1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•参选人在参选文件中详细说明在系统维保期的具体服务内容，系统维保期过后有偿维保的内容、价格及收取方式，若按开发量评估收取，应说明每人/月价格；</w:t>
      </w:r>
    </w:p>
    <w:p w14:paraId="3BC6469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参选人在参选文件中需对以上相关内容中进行阐述并制作维保期服务方案。【提供维保期服务方案】</w:t>
      </w:r>
    </w:p>
    <w:p w14:paraId="0B3D501C">
      <w:pPr>
        <w:pStyle w:val="3"/>
        <w:numPr>
          <w:ilvl w:val="0"/>
          <w:numId w:val="1"/>
        </w:numPr>
        <w:rPr>
          <w:rFonts w:ascii="Times New Roman" w:hAnsi="Times New Roman"/>
          <w:color w:val="auto"/>
          <w:highlight w:val="none"/>
          <w:shd w:val="clear" w:color="auto" w:fill="auto"/>
        </w:rPr>
      </w:pPr>
      <w:bookmarkStart w:id="146" w:name="_Toc32437"/>
      <w:r>
        <w:rPr>
          <w:rFonts w:hint="eastAsia"/>
          <w:color w:val="auto"/>
          <w:kern w:val="0"/>
          <w:highlight w:val="none"/>
          <w:shd w:val="clear" w:color="auto" w:fill="auto"/>
        </w:rPr>
        <w:t>系统维保费用</w:t>
      </w:r>
      <w:bookmarkEnd w:id="146"/>
    </w:p>
    <w:p w14:paraId="7411B5A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维护期满后，每年维护费用不高于合同价8%，且每年系统升级改造工作量2个人月内不收费，具体维保费用以合同约定为准。</w:t>
      </w:r>
    </w:p>
    <w:p w14:paraId="0A073F82">
      <w:pPr>
        <w:pStyle w:val="3"/>
        <w:numPr>
          <w:ilvl w:val="0"/>
          <w:numId w:val="1"/>
        </w:numPr>
        <w:rPr>
          <w:rFonts w:ascii="Times New Roman" w:hAnsi="Times New Roman"/>
          <w:color w:val="auto"/>
          <w:highlight w:val="none"/>
          <w:shd w:val="clear" w:color="auto" w:fill="auto"/>
        </w:rPr>
      </w:pPr>
      <w:bookmarkStart w:id="147" w:name="_Toc17818"/>
      <w:r>
        <w:rPr>
          <w:rFonts w:hint="eastAsia" w:ascii="Times New Roman" w:hAnsi="Times New Roman"/>
          <w:color w:val="auto"/>
          <w:highlight w:val="none"/>
          <w:shd w:val="clear" w:color="auto" w:fill="auto"/>
        </w:rPr>
        <w:t>文档和培训</w:t>
      </w:r>
      <w:bookmarkEnd w:id="147"/>
    </w:p>
    <w:p w14:paraId="465B3945">
      <w:pPr>
        <w:pStyle w:val="4"/>
        <w:ind w:firstLine="482"/>
        <w:rPr>
          <w:rFonts w:ascii="Times New Roman" w:hAnsi="Times New Roman"/>
          <w:color w:val="auto"/>
          <w:szCs w:val="20"/>
          <w:highlight w:val="none"/>
          <w:shd w:val="clear" w:color="auto" w:fill="auto"/>
        </w:rPr>
      </w:pPr>
      <w:bookmarkStart w:id="148" w:name="_Toc24815"/>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 xml:space="preserve">1.1 </w:t>
      </w:r>
      <w:r>
        <w:rPr>
          <w:rFonts w:hint="eastAsia" w:ascii="Times New Roman" w:hAnsi="Times New Roman"/>
          <w:color w:val="auto"/>
          <w:szCs w:val="20"/>
          <w:highlight w:val="none"/>
          <w:shd w:val="clear" w:color="auto" w:fill="auto"/>
        </w:rPr>
        <w:t>文档</w:t>
      </w:r>
      <w:bookmarkEnd w:id="148"/>
    </w:p>
    <w:p w14:paraId="0CCCF63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1）文档范围</w:t>
      </w:r>
    </w:p>
    <w:p w14:paraId="4F5D73B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包括中选人收集整理的系统建设中所形成的全部文字记载、录音和照片等，项目验收后由中选人向比选人提供。</w:t>
      </w:r>
    </w:p>
    <w:p w14:paraId="04C8AD3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2）文档内容</w:t>
      </w:r>
    </w:p>
    <w:p w14:paraId="176A88E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2141D2F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3）要求 </w:t>
      </w:r>
    </w:p>
    <w:p w14:paraId="11515B5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参选人提供的文档要保持完整性和准确性。所有文档都采用简体中文（第三方产品出厂文件除外）。</w:t>
      </w:r>
    </w:p>
    <w:p w14:paraId="6DCCCFF7">
      <w:pPr>
        <w:pStyle w:val="4"/>
        <w:ind w:firstLine="482"/>
        <w:rPr>
          <w:rFonts w:ascii="Times New Roman" w:hAnsi="Times New Roman"/>
          <w:color w:val="auto"/>
          <w:szCs w:val="20"/>
          <w:highlight w:val="none"/>
          <w:shd w:val="clear" w:color="auto" w:fill="auto"/>
        </w:rPr>
      </w:pPr>
      <w:bookmarkStart w:id="149" w:name="_Toc18838"/>
      <w:r>
        <w:rPr>
          <w:rFonts w:hint="eastAsia" w:ascii="Times New Roman" w:hAnsi="Times New Roman"/>
          <w:color w:val="auto"/>
          <w:szCs w:val="20"/>
          <w:highlight w:val="none"/>
          <w:shd w:val="clear" w:color="auto" w:fill="auto"/>
        </w:rPr>
        <w:t>1</w:t>
      </w:r>
      <w:r>
        <w:rPr>
          <w:rFonts w:ascii="Times New Roman" w:hAnsi="Times New Roman"/>
          <w:color w:val="auto"/>
          <w:szCs w:val="20"/>
          <w:highlight w:val="none"/>
          <w:shd w:val="clear" w:color="auto" w:fill="auto"/>
        </w:rPr>
        <w:t xml:space="preserve">1.2 </w:t>
      </w:r>
      <w:r>
        <w:rPr>
          <w:rFonts w:hint="eastAsia" w:ascii="Times New Roman" w:hAnsi="Times New Roman"/>
          <w:color w:val="auto"/>
          <w:szCs w:val="20"/>
          <w:highlight w:val="none"/>
          <w:shd w:val="clear" w:color="auto" w:fill="auto"/>
        </w:rPr>
        <w:t>培训</w:t>
      </w:r>
      <w:bookmarkEnd w:id="149"/>
    </w:p>
    <w:p w14:paraId="06ED6FB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1）培训人员</w:t>
      </w:r>
    </w:p>
    <w:p w14:paraId="2E483BF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中选人应对下列人员进行相应的技术培训：</w:t>
      </w:r>
    </w:p>
    <w:p w14:paraId="3B32886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包括但不限于涉及本项目的相关开发人员、运维人员以及业务人员等。</w:t>
      </w:r>
    </w:p>
    <w:p w14:paraId="25D9D3C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2）要求</w:t>
      </w:r>
    </w:p>
    <w:p w14:paraId="1AD2B43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对所有的培训，参选人除提供完备的书面教材外，还应提交培训方案和计划。</w:t>
      </w:r>
    </w:p>
    <w:p w14:paraId="2768AF40">
      <w:pPr>
        <w:ind w:firstLine="480"/>
        <w:rPr>
          <w:rFonts w:ascii="宋体" w:cs="宋体"/>
          <w:snapToGrid w:val="0"/>
          <w:color w:val="auto"/>
          <w:kern w:val="0"/>
          <w:szCs w:val="24"/>
          <w:highlight w:val="none"/>
          <w:shd w:val="clear" w:color="auto" w:fill="auto"/>
        </w:rPr>
      </w:pPr>
      <w:r>
        <w:rPr>
          <w:rFonts w:hint="eastAsia" w:ascii="Times New Roman" w:hAnsi="Times New Roman"/>
          <w:color w:val="auto"/>
          <w:highlight w:val="none"/>
          <w:shd w:val="clear" w:color="auto" w:fill="auto"/>
        </w:rPr>
        <w:t>比选人要求所有的培训在比选人指定地点进行。</w:t>
      </w:r>
    </w:p>
    <w:p w14:paraId="6FAE5E76">
      <w:pPr>
        <w:pStyle w:val="3"/>
        <w:numPr>
          <w:ilvl w:val="0"/>
          <w:numId w:val="1"/>
        </w:numPr>
        <w:rPr>
          <w:rFonts w:ascii="Times New Roman" w:hAnsi="Times New Roman"/>
          <w:color w:val="auto"/>
          <w:highlight w:val="none"/>
          <w:shd w:val="clear" w:color="auto" w:fill="auto"/>
        </w:rPr>
      </w:pPr>
      <w:bookmarkStart w:id="150" w:name="_Toc32669"/>
      <w:r>
        <w:rPr>
          <w:rFonts w:hint="eastAsia" w:ascii="Times New Roman" w:hAnsi="Times New Roman"/>
          <w:color w:val="auto"/>
          <w:highlight w:val="none"/>
          <w:shd w:val="clear" w:color="auto" w:fill="auto"/>
        </w:rPr>
        <w:t>服务连续性预案</w:t>
      </w:r>
      <w:bookmarkEnd w:id="150"/>
    </w:p>
    <w:p w14:paraId="6D8B8B5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在本次比选中，参选人应在参选文件中提供服务连续性预案供比选人查看，服务连续性预案应考虑供应链风险产生的影响。【提供服务连续性预案】</w:t>
      </w:r>
    </w:p>
    <w:p w14:paraId="2BC17E58">
      <w:pPr>
        <w:pStyle w:val="3"/>
        <w:numPr>
          <w:ilvl w:val="0"/>
          <w:numId w:val="1"/>
        </w:numPr>
        <w:rPr>
          <w:rFonts w:ascii="Times New Roman" w:hAnsi="Times New Roman"/>
          <w:color w:val="auto"/>
          <w:highlight w:val="none"/>
          <w:shd w:val="clear" w:color="auto" w:fill="auto"/>
        </w:rPr>
      </w:pPr>
      <w:bookmarkStart w:id="151" w:name="_Toc28104"/>
      <w:r>
        <w:rPr>
          <w:rFonts w:hint="eastAsia" w:ascii="Times New Roman" w:hAnsi="Times New Roman"/>
          <w:color w:val="auto"/>
          <w:highlight w:val="none"/>
          <w:shd w:val="clear" w:color="auto" w:fill="auto"/>
        </w:rPr>
        <w:t>项目实施方案</w:t>
      </w:r>
      <w:bookmarkEnd w:id="151"/>
    </w:p>
    <w:p w14:paraId="5621ABF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在本次比选中，参选人应在参选文件中提供项目实施方案供比选人查看，方案应包括包括履行合同的时间计划、提交资料、人员安排等内容。【提供项目实施方案】</w:t>
      </w:r>
    </w:p>
    <w:bookmarkEnd w:id="132"/>
    <w:bookmarkEnd w:id="133"/>
    <w:p w14:paraId="04B568FD">
      <w:pPr>
        <w:pStyle w:val="3"/>
        <w:numPr>
          <w:ilvl w:val="0"/>
          <w:numId w:val="1"/>
        </w:numPr>
        <w:rPr>
          <w:rFonts w:ascii="Times New Roman" w:hAnsi="Times New Roman"/>
          <w:color w:val="auto"/>
          <w:highlight w:val="none"/>
          <w:shd w:val="clear" w:color="auto" w:fill="auto"/>
        </w:rPr>
      </w:pPr>
      <w:bookmarkStart w:id="152" w:name="_Toc15059422"/>
      <w:bookmarkStart w:id="153" w:name="_Toc89675148"/>
      <w:bookmarkStart w:id="154" w:name="_Toc4597"/>
      <w:r>
        <w:rPr>
          <w:rFonts w:hint="eastAsia" w:ascii="Times New Roman" w:hAnsi="Times New Roman"/>
          <w:color w:val="auto"/>
          <w:highlight w:val="none"/>
          <w:shd w:val="clear" w:color="auto" w:fill="auto"/>
        </w:rPr>
        <w:t>付款方式</w:t>
      </w:r>
      <w:bookmarkEnd w:id="152"/>
      <w:bookmarkEnd w:id="153"/>
      <w:bookmarkEnd w:id="154"/>
    </w:p>
    <w:p w14:paraId="67BBFDD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原则上不预付款项。具体付款方式可参考合同模板。</w:t>
      </w:r>
    </w:p>
    <w:p w14:paraId="3135DDC4">
      <w:pPr>
        <w:pStyle w:val="3"/>
        <w:numPr>
          <w:ilvl w:val="0"/>
          <w:numId w:val="1"/>
        </w:numPr>
        <w:rPr>
          <w:rFonts w:ascii="Times New Roman" w:hAnsi="Times New Roman"/>
          <w:color w:val="auto"/>
          <w:highlight w:val="none"/>
          <w:shd w:val="clear" w:color="auto" w:fill="auto"/>
        </w:rPr>
      </w:pPr>
      <w:bookmarkStart w:id="155" w:name="_Toc15059424"/>
      <w:bookmarkStart w:id="156" w:name="_Toc15127"/>
      <w:bookmarkStart w:id="157" w:name="_Toc89675150"/>
      <w:r>
        <w:rPr>
          <w:rFonts w:hint="eastAsia" w:ascii="Times New Roman" w:hAnsi="Times New Roman"/>
          <w:color w:val="auto"/>
          <w:highlight w:val="none"/>
          <w:shd w:val="clear" w:color="auto" w:fill="auto"/>
        </w:rPr>
        <w:t>保密条款</w:t>
      </w:r>
      <w:bookmarkEnd w:id="134"/>
      <w:bookmarkEnd w:id="135"/>
      <w:bookmarkEnd w:id="136"/>
      <w:bookmarkEnd w:id="137"/>
      <w:bookmarkEnd w:id="155"/>
      <w:bookmarkEnd w:id="156"/>
      <w:bookmarkEnd w:id="157"/>
    </w:p>
    <w:p w14:paraId="28F8045F">
      <w:pPr>
        <w:pStyle w:val="4"/>
        <w:ind w:firstLine="482"/>
        <w:rPr>
          <w:rFonts w:ascii="Times New Roman" w:hAnsi="Times New Roman"/>
          <w:color w:val="auto"/>
          <w:highlight w:val="none"/>
          <w:shd w:val="clear" w:color="auto" w:fill="auto"/>
        </w:rPr>
      </w:pPr>
      <w:bookmarkStart w:id="158" w:name="_Toc6561"/>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5</w:t>
      </w:r>
      <w:r>
        <w:rPr>
          <w:rFonts w:hint="eastAsia" w:ascii="Times New Roman" w:hAnsi="Times New Roman"/>
          <w:color w:val="auto"/>
          <w:highlight w:val="none"/>
          <w:shd w:val="clear" w:color="auto" w:fill="auto"/>
        </w:rPr>
        <w:t>.1 保密范围</w:t>
      </w:r>
      <w:bookmarkEnd w:id="158"/>
    </w:p>
    <w:p w14:paraId="7B52B03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中选人在实施过程中接触到的比选人知识产权、经营信息等。</w:t>
      </w:r>
    </w:p>
    <w:p w14:paraId="776EDAD0">
      <w:pPr>
        <w:pStyle w:val="4"/>
        <w:ind w:firstLine="482"/>
        <w:rPr>
          <w:rFonts w:ascii="Times New Roman" w:hAnsi="Times New Roman"/>
          <w:color w:val="auto"/>
          <w:highlight w:val="none"/>
          <w:shd w:val="clear" w:color="auto" w:fill="auto"/>
        </w:rPr>
      </w:pPr>
      <w:bookmarkStart w:id="159" w:name="_Toc24414"/>
      <w:r>
        <w:rPr>
          <w:rFonts w:ascii="Times New Roman" w:hAnsi="Times New Roman"/>
          <w:color w:val="auto"/>
          <w:highlight w:val="none"/>
          <w:shd w:val="clear" w:color="auto" w:fill="auto"/>
        </w:rPr>
        <w:t>15</w:t>
      </w:r>
      <w:r>
        <w:rPr>
          <w:rFonts w:hint="eastAsia" w:ascii="Times New Roman" w:hAnsi="Times New Roman"/>
          <w:color w:val="auto"/>
          <w:highlight w:val="none"/>
          <w:shd w:val="clear" w:color="auto" w:fill="auto"/>
        </w:rPr>
        <w:t>.2 保密责任</w:t>
      </w:r>
      <w:bookmarkEnd w:id="159"/>
    </w:p>
    <w:p w14:paraId="46C4AA0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双方互为保密资料的提供方和接受方，负有保密义务，承担保密责任。除经过双方书面同意，任何一方不得将有关内容提供给合同以外的第三人。</w:t>
      </w:r>
    </w:p>
    <w:p w14:paraId="424C3124">
      <w:pPr>
        <w:pStyle w:val="3"/>
        <w:numPr>
          <w:ilvl w:val="0"/>
          <w:numId w:val="1"/>
        </w:numPr>
        <w:rPr>
          <w:rFonts w:ascii="Times New Roman" w:hAnsi="Times New Roman"/>
          <w:color w:val="auto"/>
          <w:highlight w:val="none"/>
          <w:shd w:val="clear" w:color="auto" w:fill="auto"/>
        </w:rPr>
      </w:pPr>
      <w:bookmarkStart w:id="160" w:name="_Toc23688"/>
      <w:r>
        <w:rPr>
          <w:rFonts w:hint="eastAsia" w:ascii="Times New Roman" w:hAnsi="Times New Roman"/>
          <w:color w:val="auto"/>
          <w:highlight w:val="none"/>
          <w:shd w:val="clear" w:color="auto" w:fill="auto"/>
        </w:rPr>
        <w:t>报价要求</w:t>
      </w:r>
      <w:bookmarkEnd w:id="160"/>
    </w:p>
    <w:p w14:paraId="6A9AADB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参选人应严格按照《参选文件格式》认真填写。</w:t>
      </w:r>
    </w:p>
    <w:p w14:paraId="32B36FD2">
      <w:pPr>
        <w:pStyle w:val="3"/>
        <w:numPr>
          <w:ilvl w:val="0"/>
          <w:numId w:val="1"/>
        </w:numPr>
        <w:rPr>
          <w:rFonts w:ascii="Times New Roman" w:hAnsi="Times New Roman"/>
          <w:color w:val="auto"/>
          <w:highlight w:val="none"/>
          <w:shd w:val="clear" w:color="auto" w:fill="auto"/>
        </w:rPr>
      </w:pPr>
      <w:bookmarkStart w:id="161" w:name="_Toc25235"/>
      <w:bookmarkStart w:id="162" w:name="_Toc15059426"/>
      <w:bookmarkStart w:id="163" w:name="_Toc89675152"/>
      <w:r>
        <w:rPr>
          <w:rFonts w:hint="eastAsia" w:ascii="Times New Roman" w:hAnsi="Times New Roman"/>
          <w:color w:val="auto"/>
          <w:highlight w:val="none"/>
          <w:shd w:val="clear" w:color="auto" w:fill="auto"/>
        </w:rPr>
        <w:t>知识产权</w:t>
      </w:r>
      <w:bookmarkEnd w:id="161"/>
      <w:bookmarkEnd w:id="162"/>
      <w:bookmarkEnd w:id="163"/>
    </w:p>
    <w:p w14:paraId="314740D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81A0AF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6931C7E3">
      <w:pPr>
        <w:pStyle w:val="3"/>
        <w:numPr>
          <w:ilvl w:val="0"/>
          <w:numId w:val="1"/>
        </w:numPr>
        <w:rPr>
          <w:rFonts w:ascii="Times New Roman" w:hAnsi="Times New Roman"/>
          <w:color w:val="auto"/>
          <w:highlight w:val="none"/>
          <w:shd w:val="clear" w:color="auto" w:fill="auto"/>
        </w:rPr>
      </w:pPr>
      <w:bookmarkStart w:id="164" w:name="_Toc24008"/>
      <w:bookmarkStart w:id="165" w:name="_Toc89675153"/>
      <w:bookmarkStart w:id="166" w:name="_Toc15059427"/>
      <w:r>
        <w:rPr>
          <w:rFonts w:hint="eastAsia" w:ascii="Times New Roman" w:hAnsi="Times New Roman"/>
          <w:color w:val="auto"/>
          <w:highlight w:val="none"/>
          <w:shd w:val="clear" w:color="auto" w:fill="auto"/>
        </w:rPr>
        <w:t>其他</w:t>
      </w:r>
      <w:bookmarkEnd w:id="164"/>
      <w:bookmarkEnd w:id="165"/>
      <w:bookmarkEnd w:id="166"/>
    </w:p>
    <w:p w14:paraId="54A8298A">
      <w:pPr>
        <w:ind w:firstLine="480"/>
        <w:rPr>
          <w:color w:val="auto"/>
          <w:highlight w:val="none"/>
          <w:shd w:val="clear" w:color="auto" w:fill="auto"/>
        </w:rPr>
      </w:pPr>
      <w:r>
        <w:rPr>
          <w:rFonts w:hint="eastAsia"/>
          <w:color w:val="auto"/>
          <w:highlight w:val="none"/>
          <w:shd w:val="clear" w:color="auto" w:fill="auto"/>
        </w:rPr>
        <w:t>18.1 参选人必须在响应承诺函中对本章内容做出整体性响应和承诺，承诺内容必须达到本章及比选文件其他条款的要求。</w:t>
      </w:r>
    </w:p>
    <w:p w14:paraId="423FF4EF">
      <w:pPr>
        <w:ind w:firstLine="480"/>
        <w:rPr>
          <w:color w:val="auto"/>
          <w:highlight w:val="none"/>
          <w:shd w:val="clear" w:color="auto" w:fill="auto"/>
        </w:rPr>
      </w:pPr>
      <w:r>
        <w:rPr>
          <w:rFonts w:hint="eastAsia"/>
          <w:color w:val="auto"/>
          <w:highlight w:val="none"/>
          <w:shd w:val="clear" w:color="auto" w:fill="auto"/>
        </w:rPr>
        <w:t>18.2 参选人应根据本章内容和要求，提供对应的方案、预案，内容齐全，无遗漏。</w:t>
      </w:r>
    </w:p>
    <w:p w14:paraId="2D9AAD79">
      <w:pPr>
        <w:ind w:firstLine="480"/>
        <w:rPr>
          <w:color w:val="auto"/>
          <w:highlight w:val="none"/>
          <w:shd w:val="clear" w:color="auto" w:fill="auto"/>
        </w:rPr>
      </w:pPr>
      <w:r>
        <w:rPr>
          <w:rFonts w:hint="eastAsia"/>
          <w:color w:val="auto"/>
          <w:highlight w:val="none"/>
          <w:shd w:val="clear" w:color="auto" w:fill="auto"/>
        </w:rPr>
        <w:t>18.3 其他未尽事宜由供需双方在合同中详细约定。</w:t>
      </w:r>
    </w:p>
    <w:p w14:paraId="3DDBC08A">
      <w:pPr>
        <w:ind w:firstLine="480"/>
        <w:rPr>
          <w:color w:val="auto"/>
          <w:highlight w:val="none"/>
          <w:shd w:val="clear" w:color="auto" w:fill="auto"/>
        </w:rPr>
      </w:pPr>
      <w:r>
        <w:rPr>
          <w:rFonts w:hint="eastAsia"/>
          <w:color w:val="auto"/>
          <w:highlight w:val="none"/>
          <w:shd w:val="clear" w:color="auto" w:fill="auto"/>
        </w:rPr>
        <w:br w:type="page"/>
      </w:r>
    </w:p>
    <w:p w14:paraId="424EA7BA">
      <w:pPr>
        <w:pStyle w:val="3"/>
        <w:rPr>
          <w:rFonts w:ascii="Times New Roman" w:hAnsi="Times New Roman"/>
          <w:color w:val="auto"/>
          <w:highlight w:val="none"/>
          <w:shd w:val="clear" w:color="auto" w:fill="auto"/>
        </w:rPr>
      </w:pPr>
      <w:bookmarkStart w:id="167" w:name="_Toc17679"/>
      <w:r>
        <w:rPr>
          <w:rFonts w:hint="eastAsia" w:ascii="Times New Roman" w:hAnsi="Times New Roman" w:cs="宋体"/>
          <w:color w:val="auto"/>
          <w:highlight w:val="none"/>
          <w:shd w:val="clear" w:color="auto" w:fill="auto"/>
        </w:rPr>
        <w:t>附件一</w:t>
      </w:r>
      <w:bookmarkEnd w:id="167"/>
    </w:p>
    <w:p w14:paraId="123A32FD">
      <w:pPr>
        <w:ind w:firstLine="723"/>
        <w:jc w:val="center"/>
        <w:rPr>
          <w:rFonts w:ascii="宋体" w:cs="宋体"/>
          <w:b/>
          <w:bCs/>
          <w:snapToGrid w:val="0"/>
          <w:color w:val="auto"/>
          <w:kern w:val="0"/>
          <w:sz w:val="36"/>
          <w:szCs w:val="36"/>
          <w:highlight w:val="none"/>
          <w:shd w:val="clear" w:color="auto" w:fill="auto"/>
        </w:rPr>
      </w:pPr>
      <w:r>
        <w:rPr>
          <w:rFonts w:hint="eastAsia" w:ascii="宋体" w:cs="宋体"/>
          <w:b/>
          <w:bCs/>
          <w:snapToGrid w:val="0"/>
          <w:color w:val="auto"/>
          <w:kern w:val="0"/>
          <w:sz w:val="36"/>
          <w:szCs w:val="36"/>
          <w:highlight w:val="none"/>
          <w:shd w:val="clear" w:color="auto" w:fill="auto"/>
        </w:rPr>
        <w:t>报名函</w:t>
      </w:r>
    </w:p>
    <w:p w14:paraId="27364C81">
      <w:pPr>
        <w:autoSpaceDE/>
        <w:autoSpaceDN/>
        <w:ind w:firstLine="480"/>
        <w:rPr>
          <w:rFonts w:ascii="宋体" w:cs="宋体"/>
          <w:snapToGrid w:val="0"/>
          <w:color w:val="auto"/>
          <w:kern w:val="0"/>
          <w:szCs w:val="24"/>
          <w:highlight w:val="none"/>
          <w:shd w:val="clear" w:color="auto" w:fill="auto"/>
        </w:rPr>
      </w:pPr>
      <w:r>
        <w:rPr>
          <w:rFonts w:hint="eastAsia" w:ascii="宋体" w:cs="宋体"/>
          <w:snapToGrid w:val="0"/>
          <w:color w:val="auto"/>
          <w:kern w:val="0"/>
          <w:szCs w:val="24"/>
          <w:highlight w:val="none"/>
          <w:shd w:val="clear" w:color="auto" w:fill="auto"/>
        </w:rPr>
        <w:t>重庆三峡银行股份有限公司：</w:t>
      </w:r>
    </w:p>
    <w:p w14:paraId="2350E044">
      <w:pPr>
        <w:autoSpaceDE/>
        <w:autoSpaceDN/>
        <w:ind w:firstLine="480"/>
        <w:rPr>
          <w:rFonts w:ascii="宋体" w:cs="宋体"/>
          <w:snapToGrid w:val="0"/>
          <w:color w:val="auto"/>
          <w:kern w:val="0"/>
          <w:szCs w:val="24"/>
          <w:highlight w:val="none"/>
          <w:shd w:val="clear" w:color="auto" w:fill="auto"/>
        </w:rPr>
      </w:pPr>
      <w:r>
        <w:rPr>
          <w:rFonts w:hint="eastAsia" w:ascii="宋体" w:cs="宋体"/>
          <w:snapToGrid w:val="0"/>
          <w:color w:val="auto"/>
          <w:kern w:val="0"/>
          <w:szCs w:val="24"/>
          <w:highlight w:val="none"/>
          <w:shd w:val="clear" w:color="auto" w:fill="auto"/>
        </w:rPr>
        <w:t>我单位报名参加“</w:t>
      </w:r>
      <w:r>
        <w:rPr>
          <w:rFonts w:hint="eastAsia" w:ascii="Times New Roman" w:hAnsi="Times New Roman" w:cs="Cambria"/>
          <w:snapToGrid w:val="0"/>
          <w:color w:val="auto"/>
          <w:kern w:val="0"/>
          <w:szCs w:val="24"/>
          <w:highlight w:val="none"/>
          <w:shd w:val="clear" w:color="auto" w:fill="auto"/>
        </w:rPr>
        <w:t>重庆三峡银行</w:t>
      </w:r>
      <w:r>
        <w:rPr>
          <w:rFonts w:ascii="Times New Roman" w:hAnsi="Times New Roman" w:cs="Cambria"/>
          <w:snapToGrid w:val="0"/>
          <w:color w:val="auto"/>
          <w:kern w:val="0"/>
          <w:szCs w:val="24"/>
          <w:highlight w:val="none"/>
          <w:shd w:val="clear" w:color="auto" w:fill="auto"/>
        </w:rPr>
        <w:t>电子验印系统</w:t>
      </w:r>
      <w:r>
        <w:rPr>
          <w:rFonts w:hint="eastAsia" w:ascii="Times New Roman" w:hAnsi="Times New Roman"/>
          <w:color w:val="auto"/>
          <w:highlight w:val="none"/>
          <w:shd w:val="clear" w:color="auto" w:fill="auto"/>
        </w:rPr>
        <w:t>项目</w:t>
      </w:r>
      <w:r>
        <w:rPr>
          <w:rFonts w:hint="eastAsia" w:ascii="宋体" w:cs="宋体"/>
          <w:snapToGrid w:val="0"/>
          <w:color w:val="auto"/>
          <w:kern w:val="0"/>
          <w:szCs w:val="24"/>
          <w:highlight w:val="none"/>
          <w:shd w:val="clear" w:color="auto" w:fill="auto"/>
        </w:rPr>
        <w:t>”，将根据比选文件要求，完成本项目POC测试及比选文件递交等项目流程。</w:t>
      </w:r>
    </w:p>
    <w:p w14:paraId="03A96ABC">
      <w:pPr>
        <w:autoSpaceDE/>
        <w:autoSpaceDN/>
        <w:ind w:firstLine="480"/>
        <w:jc w:val="right"/>
        <w:rPr>
          <w:rFonts w:ascii="宋体" w:cs="宋体"/>
          <w:snapToGrid w:val="0"/>
          <w:color w:val="auto"/>
          <w:kern w:val="0"/>
          <w:szCs w:val="24"/>
          <w:highlight w:val="none"/>
          <w:shd w:val="clear" w:color="auto" w:fill="auto"/>
        </w:rPr>
      </w:pPr>
    </w:p>
    <w:p w14:paraId="3C401543">
      <w:pPr>
        <w:autoSpaceDE/>
        <w:autoSpaceDN/>
        <w:ind w:firstLine="480"/>
        <w:jc w:val="right"/>
        <w:rPr>
          <w:rFonts w:ascii="宋体" w:cs="宋体"/>
          <w:snapToGrid w:val="0"/>
          <w:color w:val="auto"/>
          <w:kern w:val="0"/>
          <w:szCs w:val="24"/>
          <w:highlight w:val="none"/>
          <w:shd w:val="clear" w:color="auto" w:fill="auto"/>
        </w:rPr>
      </w:pPr>
    </w:p>
    <w:p w14:paraId="38441E63">
      <w:pPr>
        <w:autoSpaceDE/>
        <w:autoSpaceDN/>
        <w:ind w:firstLine="480"/>
        <w:jc w:val="right"/>
        <w:rPr>
          <w:rFonts w:ascii="宋体" w:cs="宋体"/>
          <w:snapToGrid w:val="0"/>
          <w:color w:val="auto"/>
          <w:kern w:val="0"/>
          <w:szCs w:val="24"/>
          <w:highlight w:val="none"/>
          <w:shd w:val="clear" w:color="auto" w:fill="auto"/>
        </w:rPr>
      </w:pPr>
    </w:p>
    <w:p w14:paraId="1D69CBE7">
      <w:pPr>
        <w:autoSpaceDE/>
        <w:autoSpaceDN/>
        <w:ind w:firstLine="480"/>
        <w:jc w:val="center"/>
        <w:rPr>
          <w:rFonts w:ascii="宋体" w:cs="宋体"/>
          <w:snapToGrid w:val="0"/>
          <w:color w:val="auto"/>
          <w:kern w:val="0"/>
          <w:szCs w:val="24"/>
          <w:highlight w:val="none"/>
          <w:shd w:val="clear" w:color="auto" w:fill="auto"/>
        </w:rPr>
      </w:pPr>
      <w:r>
        <w:rPr>
          <w:rFonts w:hint="eastAsia" w:ascii="宋体" w:cs="宋体"/>
          <w:snapToGrid w:val="0"/>
          <w:color w:val="auto"/>
          <w:kern w:val="0"/>
          <w:szCs w:val="24"/>
          <w:highlight w:val="none"/>
          <w:shd w:val="clear" w:color="auto" w:fill="auto"/>
        </w:rPr>
        <w:t xml:space="preserve">                        单位名称（盖章）：</w:t>
      </w:r>
    </w:p>
    <w:p w14:paraId="071C5F62">
      <w:pPr>
        <w:autoSpaceDE/>
        <w:autoSpaceDN/>
        <w:ind w:firstLine="480"/>
        <w:jc w:val="center"/>
        <w:rPr>
          <w:rFonts w:ascii="宋体" w:cs="宋体"/>
          <w:snapToGrid w:val="0"/>
          <w:color w:val="auto"/>
          <w:kern w:val="0"/>
          <w:szCs w:val="24"/>
          <w:highlight w:val="none"/>
          <w:shd w:val="clear" w:color="auto" w:fill="auto"/>
        </w:rPr>
      </w:pPr>
      <w:r>
        <w:rPr>
          <w:rFonts w:hint="eastAsia" w:ascii="宋体" w:cs="宋体"/>
          <w:snapToGrid w:val="0"/>
          <w:color w:val="auto"/>
          <w:kern w:val="0"/>
          <w:szCs w:val="24"/>
          <w:highlight w:val="none"/>
          <w:shd w:val="clear" w:color="auto" w:fill="auto"/>
        </w:rPr>
        <w:t xml:space="preserve">                                             联系人：</w:t>
      </w:r>
    </w:p>
    <w:p w14:paraId="445F8F1B">
      <w:pPr>
        <w:autoSpaceDE/>
        <w:autoSpaceDN/>
        <w:ind w:firstLine="480"/>
        <w:jc w:val="center"/>
        <w:rPr>
          <w:rFonts w:ascii="宋体" w:cs="宋体"/>
          <w:snapToGrid w:val="0"/>
          <w:color w:val="auto"/>
          <w:kern w:val="0"/>
          <w:szCs w:val="24"/>
          <w:highlight w:val="none"/>
          <w:shd w:val="clear" w:color="auto" w:fill="auto"/>
        </w:rPr>
      </w:pPr>
      <w:r>
        <w:rPr>
          <w:rFonts w:hint="eastAsia" w:ascii="宋体" w:cs="宋体"/>
          <w:snapToGrid w:val="0"/>
          <w:color w:val="auto"/>
          <w:kern w:val="0"/>
          <w:szCs w:val="24"/>
          <w:highlight w:val="none"/>
          <w:shd w:val="clear" w:color="auto" w:fill="auto"/>
        </w:rPr>
        <w:t xml:space="preserve">                                               联系电话：</w:t>
      </w:r>
    </w:p>
    <w:p w14:paraId="35149674">
      <w:pPr>
        <w:autoSpaceDE/>
        <w:autoSpaceDN/>
        <w:ind w:firstLine="480"/>
        <w:jc w:val="right"/>
        <w:rPr>
          <w:rFonts w:ascii="宋体" w:cs="宋体"/>
          <w:snapToGrid w:val="0"/>
          <w:color w:val="auto"/>
          <w:kern w:val="0"/>
          <w:szCs w:val="24"/>
          <w:highlight w:val="none"/>
          <w:shd w:val="clear" w:color="auto" w:fill="auto"/>
        </w:rPr>
      </w:pPr>
      <w:r>
        <w:rPr>
          <w:rFonts w:hint="eastAsia" w:ascii="宋体" w:cs="宋体"/>
          <w:snapToGrid w:val="0"/>
          <w:color w:val="auto"/>
          <w:kern w:val="0"/>
          <w:szCs w:val="24"/>
          <w:highlight w:val="none"/>
          <w:shd w:val="clear" w:color="auto" w:fill="auto"/>
        </w:rPr>
        <w:t>2024年  月  日</w:t>
      </w:r>
    </w:p>
    <w:p w14:paraId="68344060">
      <w:pPr>
        <w:spacing w:line="240" w:lineRule="auto"/>
        <w:ind w:firstLine="0" w:firstLineChars="0"/>
        <w:rPr>
          <w:rFonts w:ascii="Times New Roman" w:hAnsi="Times New Roman" w:cs="宋体"/>
          <w:snapToGrid w:val="0"/>
          <w:color w:val="auto"/>
          <w:kern w:val="0"/>
          <w:szCs w:val="24"/>
          <w:highlight w:val="none"/>
          <w:shd w:val="clear" w:color="auto" w:fill="auto"/>
        </w:rPr>
      </w:pPr>
      <w:r>
        <w:rPr>
          <w:rFonts w:ascii="Times New Roman" w:hAnsi="Times New Roman" w:cs="宋体"/>
          <w:snapToGrid w:val="0"/>
          <w:color w:val="auto"/>
          <w:kern w:val="0"/>
          <w:szCs w:val="24"/>
          <w:highlight w:val="none"/>
          <w:shd w:val="clear" w:color="auto" w:fill="auto"/>
        </w:rPr>
        <w:br w:type="page"/>
      </w:r>
    </w:p>
    <w:p w14:paraId="79D7A6CB">
      <w:pPr>
        <w:pStyle w:val="3"/>
        <w:rPr>
          <w:rFonts w:ascii="Times New Roman" w:hAnsi="Times New Roman" w:cs="宋体"/>
          <w:color w:val="auto"/>
          <w:highlight w:val="none"/>
          <w:shd w:val="clear" w:color="auto" w:fill="auto"/>
        </w:rPr>
      </w:pPr>
      <w:r>
        <w:rPr>
          <w:rFonts w:hint="eastAsia" w:ascii="Times New Roman" w:hAnsi="Times New Roman" w:cs="宋体"/>
          <w:color w:val="auto"/>
          <w:highlight w:val="none"/>
          <w:shd w:val="clear" w:color="auto" w:fill="auto"/>
        </w:rPr>
        <w:t>附件二</w:t>
      </w:r>
    </w:p>
    <w:p w14:paraId="3E9C21B9">
      <w:pPr>
        <w:ind w:firstLine="723"/>
        <w:jc w:val="center"/>
        <w:rPr>
          <w:rFonts w:ascii="宋体" w:cs="宋体"/>
          <w:b/>
          <w:bCs/>
          <w:snapToGrid w:val="0"/>
          <w:color w:val="auto"/>
          <w:kern w:val="0"/>
          <w:sz w:val="36"/>
          <w:szCs w:val="36"/>
          <w:highlight w:val="none"/>
          <w:shd w:val="clear" w:color="auto" w:fill="auto"/>
        </w:rPr>
      </w:pPr>
      <w:r>
        <w:rPr>
          <w:rFonts w:hint="eastAsia" w:ascii="宋体" w:cs="宋体"/>
          <w:b/>
          <w:bCs/>
          <w:snapToGrid w:val="0"/>
          <w:color w:val="auto"/>
          <w:kern w:val="0"/>
          <w:sz w:val="36"/>
          <w:szCs w:val="36"/>
          <w:highlight w:val="none"/>
          <w:shd w:val="clear" w:color="auto" w:fill="auto"/>
        </w:rPr>
        <w:t>电子验印系统项目POC方案</w:t>
      </w:r>
    </w:p>
    <w:p w14:paraId="1DF97E05">
      <w:pPr>
        <w:spacing w:line="580" w:lineRule="exact"/>
        <w:ind w:firstLine="480"/>
        <w:jc w:val="both"/>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1、项目背景</w:t>
      </w:r>
    </w:p>
    <w:p w14:paraId="68711475">
      <w:pPr>
        <w:snapToGrid w:val="0"/>
        <w:spacing w:line="580" w:lineRule="exact"/>
        <w:ind w:firstLine="480"/>
        <w:rPr>
          <w:rFonts w:ascii="宋体" w:hAnsi="Times New Roman" w:cs="Times New Roman"/>
          <w:color w:val="auto"/>
          <w:szCs w:val="24"/>
          <w:highlight w:val="none"/>
          <w:shd w:val="clear" w:color="auto" w:fill="auto"/>
        </w:rPr>
      </w:pPr>
      <w:r>
        <w:rPr>
          <w:rFonts w:hint="eastAsia" w:ascii="宋体" w:hAnsi="Times New Roman" w:cs="Times New Roman"/>
          <w:color w:val="auto"/>
          <w:szCs w:val="24"/>
          <w:highlight w:val="none"/>
          <w:shd w:val="clear" w:color="auto" w:fill="auto"/>
        </w:rPr>
        <w:t>本次POC测试的侧重点在于通过验证各厂商验印通过率及验印系统各项功能，确认各厂商产品是否满足我行新验印系统建设要求;本次POC评分将计入最终比选评分。</w:t>
      </w:r>
    </w:p>
    <w:p w14:paraId="432A155F">
      <w:pPr>
        <w:spacing w:line="580" w:lineRule="exact"/>
        <w:ind w:firstLine="480"/>
        <w:rPr>
          <w:rFonts w:ascii="宋体" w:hAnsi="宋体" w:cs="宋体"/>
          <w:b/>
          <w:bCs/>
          <w:color w:val="auto"/>
          <w:highlight w:val="none"/>
          <w:shd w:val="clear" w:color="auto" w:fill="auto"/>
        </w:rPr>
      </w:pPr>
      <w:r>
        <w:rPr>
          <w:rFonts w:hint="eastAsia" w:ascii="宋体" w:hAnsi="Times New Roman" w:cs="Times New Roman"/>
          <w:bCs/>
          <w:color w:val="auto"/>
          <w:szCs w:val="24"/>
          <w:highlight w:val="none"/>
          <w:shd w:val="clear" w:color="auto" w:fill="auto"/>
        </w:rPr>
        <w:t>测试演示基础资源由重庆三峡银行准备，各厂商需现场部署完成。</w:t>
      </w:r>
    </w:p>
    <w:p w14:paraId="7D4EF573">
      <w:pPr>
        <w:spacing w:line="580" w:lineRule="exact"/>
        <w:ind w:firstLine="480"/>
        <w:rPr>
          <w:rFonts w:ascii="宋体" w:hAnsi="宋体" w:cs="宋体"/>
          <w:bCs/>
          <w:color w:val="auto"/>
          <w:szCs w:val="24"/>
          <w:highlight w:val="none"/>
          <w:shd w:val="clear" w:color="auto" w:fill="auto"/>
        </w:rPr>
      </w:pPr>
      <w:r>
        <w:rPr>
          <w:rFonts w:hint="eastAsia" w:ascii="宋体" w:hAnsi="宋体" w:cs="宋体"/>
          <w:bCs/>
          <w:color w:val="auto"/>
          <w:szCs w:val="24"/>
          <w:highlight w:val="none"/>
          <w:shd w:val="clear" w:color="auto" w:fill="auto"/>
        </w:rPr>
        <w:t>2、</w:t>
      </w:r>
      <w:r>
        <w:rPr>
          <w:rFonts w:hint="eastAsia" w:ascii="宋体" w:hAnsi="宋体" w:cs="宋体"/>
          <w:snapToGrid w:val="0"/>
          <w:color w:val="auto"/>
          <w:szCs w:val="24"/>
          <w:highlight w:val="none"/>
          <w:shd w:val="clear" w:color="auto" w:fill="auto"/>
        </w:rPr>
        <w:t>POC安排</w:t>
      </w:r>
    </w:p>
    <w:p w14:paraId="30B3C7C2">
      <w:pPr>
        <w:spacing w:line="580" w:lineRule="exact"/>
        <w:ind w:firstLine="480"/>
        <w:rPr>
          <w:rFonts w:ascii="宋体" w:hAnsi="宋体" w:cs="宋体"/>
          <w:bCs/>
          <w:snapToGrid w:val="0"/>
          <w:color w:val="auto"/>
          <w:szCs w:val="24"/>
          <w:highlight w:val="none"/>
          <w:shd w:val="clear" w:color="auto" w:fill="auto"/>
        </w:rPr>
      </w:pPr>
      <w:r>
        <w:rPr>
          <w:rFonts w:hint="eastAsia" w:ascii="宋体" w:hAnsi="宋体" w:cs="宋体"/>
          <w:bCs/>
          <w:snapToGrid w:val="0"/>
          <w:color w:val="auto"/>
          <w:szCs w:val="24"/>
          <w:highlight w:val="none"/>
          <w:shd w:val="clear" w:color="auto" w:fill="auto"/>
        </w:rPr>
        <w:t>2.1、POC时间、地点</w:t>
      </w:r>
    </w:p>
    <w:p w14:paraId="79F0D30D">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本次POC实施时间为7个工作日，厂商根据安排入场实施，在规定时间内完成相关POC案例内容。</w:t>
      </w:r>
    </w:p>
    <w:p w14:paraId="47F035D7">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（1）时间</w:t>
      </w:r>
    </w:p>
    <w:p w14:paraId="6E492F92">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2024年1月24日-2024年2月1日</w:t>
      </w:r>
    </w:p>
    <w:p w14:paraId="51F111D6">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最迟入场时间2024年1月25日</w:t>
      </w:r>
    </w:p>
    <w:p w14:paraId="1FE14742">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（2）地点</w:t>
      </w:r>
    </w:p>
    <w:p w14:paraId="1397DB50">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重庆三峡银行西永办公楼</w:t>
      </w:r>
    </w:p>
    <w:p w14:paraId="1890A8D8">
      <w:pPr>
        <w:adjustRightInd w:val="0"/>
        <w:snapToGrid w:val="0"/>
        <w:spacing w:line="580" w:lineRule="exact"/>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（重庆市沙坪坝区学城大道67号西永软件园2号楼）</w:t>
      </w:r>
    </w:p>
    <w:p w14:paraId="0812C793">
      <w:pPr>
        <w:spacing w:line="580" w:lineRule="exact"/>
        <w:ind w:firstLine="480" w:firstLineChars="200"/>
        <w:rPr>
          <w:rFonts w:ascii="宋体" w:hAnsi="宋体" w:cs="宋体"/>
          <w:snapToGrid w:val="0"/>
          <w:color w:val="auto"/>
          <w:szCs w:val="24"/>
          <w:highlight w:val="none"/>
          <w:shd w:val="clear" w:color="auto" w:fill="auto"/>
        </w:rPr>
      </w:pPr>
      <w:r>
        <w:rPr>
          <w:rFonts w:hint="eastAsia" w:ascii="宋体" w:hAnsi="宋体" w:cs="宋体"/>
          <w:snapToGrid w:val="0"/>
          <w:color w:val="auto"/>
          <w:szCs w:val="24"/>
          <w:highlight w:val="none"/>
          <w:shd w:val="clear" w:color="auto" w:fill="auto"/>
        </w:rPr>
        <w:t>3、POC计划</w:t>
      </w:r>
    </w:p>
    <w:p w14:paraId="0EE46C59">
      <w:pPr>
        <w:spacing w:line="580" w:lineRule="exact"/>
        <w:ind w:firstLine="480" w:firstLineChars="20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POC实施阶段包括环境的搭建、现场开发；</w:t>
      </w:r>
      <w:r>
        <w:rPr>
          <w:rFonts w:hint="eastAsia" w:ascii="宋体" w:hAnsi="宋体" w:cs="宋体"/>
          <w:color w:val="auto"/>
          <w:kern w:val="0"/>
          <w:szCs w:val="24"/>
          <w:highlight w:val="none"/>
          <w:shd w:val="clear" w:color="auto" w:fill="auto"/>
        </w:rPr>
        <w:t>业务需求展示讲解，厂商与</w:t>
      </w:r>
      <w:r>
        <w:rPr>
          <w:rFonts w:hint="eastAsia" w:ascii="宋体" w:hAnsi="宋体" w:cs="宋体"/>
          <w:color w:val="auto"/>
          <w:szCs w:val="24"/>
          <w:highlight w:val="none"/>
          <w:shd w:val="clear" w:color="auto" w:fill="auto"/>
        </w:rPr>
        <w:t xml:space="preserve">行内业务、科技人员交流，以及根据POC功能点和POC设定场景进行测试评分。具体日程安排如下：   </w:t>
      </w:r>
    </w:p>
    <w:tbl>
      <w:tblPr>
        <w:tblStyle w:val="21"/>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296"/>
        <w:gridCol w:w="1643"/>
        <w:gridCol w:w="4756"/>
      </w:tblGrid>
      <w:tr w14:paraId="620C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63" w:type="dxa"/>
            <w:tcBorders>
              <w:tl2br w:val="nil"/>
              <w:tr2bl w:val="nil"/>
            </w:tcBorders>
            <w:shd w:val="clear" w:color="auto" w:fill="9CC2E5"/>
            <w:vAlign w:val="center"/>
          </w:tcPr>
          <w:p w14:paraId="266C16A9">
            <w:pPr>
              <w:widowControl/>
              <w:ind w:firstLine="0" w:firstLineChars="0"/>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主要任务</w:t>
            </w:r>
          </w:p>
        </w:tc>
        <w:tc>
          <w:tcPr>
            <w:tcW w:w="1296" w:type="dxa"/>
            <w:tcBorders>
              <w:tl2br w:val="nil"/>
              <w:tr2bl w:val="nil"/>
            </w:tcBorders>
            <w:shd w:val="clear" w:color="auto" w:fill="9CC2E5"/>
            <w:vAlign w:val="center"/>
          </w:tcPr>
          <w:p w14:paraId="032CFA08">
            <w:pPr>
              <w:widowControl/>
              <w:ind w:firstLine="0" w:firstLineChars="0"/>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时间进度</w:t>
            </w:r>
          </w:p>
        </w:tc>
        <w:tc>
          <w:tcPr>
            <w:tcW w:w="1643" w:type="dxa"/>
            <w:tcBorders>
              <w:tl2br w:val="nil"/>
              <w:tr2bl w:val="nil"/>
            </w:tcBorders>
            <w:shd w:val="clear" w:color="auto" w:fill="9CC2E5"/>
            <w:vAlign w:val="center"/>
          </w:tcPr>
          <w:p w14:paraId="77D5FF19">
            <w:pPr>
              <w:widowControl/>
              <w:ind w:firstLine="402"/>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人员</w:t>
            </w:r>
          </w:p>
        </w:tc>
        <w:tc>
          <w:tcPr>
            <w:tcW w:w="4756" w:type="dxa"/>
            <w:tcBorders>
              <w:tl2br w:val="nil"/>
              <w:tr2bl w:val="nil"/>
            </w:tcBorders>
            <w:shd w:val="clear" w:color="auto" w:fill="9CC2E5"/>
            <w:vAlign w:val="center"/>
          </w:tcPr>
          <w:p w14:paraId="01D26510">
            <w:pPr>
              <w:widowControl/>
              <w:ind w:firstLine="402"/>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备注</w:t>
            </w:r>
          </w:p>
        </w:tc>
      </w:tr>
      <w:tr w14:paraId="5AC5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tcBorders>
              <w:tl2br w:val="nil"/>
              <w:tr2bl w:val="nil"/>
            </w:tcBorders>
            <w:vAlign w:val="center"/>
          </w:tcPr>
          <w:p w14:paraId="2D8509B1">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POC准备</w:t>
            </w:r>
          </w:p>
        </w:tc>
        <w:tc>
          <w:tcPr>
            <w:tcW w:w="1296" w:type="dxa"/>
            <w:tcBorders>
              <w:tl2br w:val="nil"/>
              <w:tr2bl w:val="nil"/>
            </w:tcBorders>
            <w:vAlign w:val="center"/>
          </w:tcPr>
          <w:p w14:paraId="5E06377D">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1.24-1.25</w:t>
            </w:r>
          </w:p>
        </w:tc>
        <w:tc>
          <w:tcPr>
            <w:tcW w:w="1643" w:type="dxa"/>
            <w:tcBorders>
              <w:tl2br w:val="nil"/>
              <w:tr2bl w:val="nil"/>
            </w:tcBorders>
            <w:vAlign w:val="center"/>
          </w:tcPr>
          <w:p w14:paraId="66614694">
            <w:pPr>
              <w:widowControl/>
              <w:ind w:firstLine="40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厂商</w:t>
            </w:r>
          </w:p>
        </w:tc>
        <w:tc>
          <w:tcPr>
            <w:tcW w:w="4756" w:type="dxa"/>
            <w:tcBorders>
              <w:tl2br w:val="nil"/>
              <w:tr2bl w:val="nil"/>
            </w:tcBorders>
            <w:vAlign w:val="center"/>
          </w:tcPr>
          <w:p w14:paraId="64771A1E">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携带真假章（POC演示使用）、环境搭建、系统开发测试</w:t>
            </w:r>
          </w:p>
        </w:tc>
      </w:tr>
      <w:tr w14:paraId="0E81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63" w:type="dxa"/>
            <w:vMerge w:val="restart"/>
            <w:tcBorders>
              <w:tl2br w:val="nil"/>
              <w:tr2bl w:val="nil"/>
            </w:tcBorders>
            <w:vAlign w:val="center"/>
          </w:tcPr>
          <w:p w14:paraId="7A404DE5">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POC检验</w:t>
            </w:r>
          </w:p>
        </w:tc>
        <w:tc>
          <w:tcPr>
            <w:tcW w:w="1296" w:type="dxa"/>
            <w:tcBorders>
              <w:tl2br w:val="nil"/>
              <w:tr2bl w:val="nil"/>
            </w:tcBorders>
            <w:vAlign w:val="center"/>
          </w:tcPr>
          <w:p w14:paraId="78D0865F">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1.25-1.30</w:t>
            </w:r>
          </w:p>
        </w:tc>
        <w:tc>
          <w:tcPr>
            <w:tcW w:w="1643" w:type="dxa"/>
            <w:vMerge w:val="restart"/>
            <w:tcBorders>
              <w:tl2br w:val="nil"/>
              <w:tr2bl w:val="nil"/>
            </w:tcBorders>
            <w:vAlign w:val="center"/>
          </w:tcPr>
          <w:p w14:paraId="58A82F71">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厂商、行内业务、科技人员</w:t>
            </w:r>
          </w:p>
        </w:tc>
        <w:tc>
          <w:tcPr>
            <w:tcW w:w="4756" w:type="dxa"/>
            <w:tcBorders>
              <w:tl2br w:val="nil"/>
              <w:tr2bl w:val="nil"/>
            </w:tcBorders>
            <w:vAlign w:val="center"/>
          </w:tcPr>
          <w:p w14:paraId="65186A4B">
            <w:pPr>
              <w:widowControl/>
              <w:numPr>
                <w:ilvl w:val="0"/>
                <w:numId w:val="3"/>
              </w:numPr>
              <w:ind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厂商产品演示。</w:t>
            </w:r>
          </w:p>
        </w:tc>
      </w:tr>
      <w:tr w14:paraId="4CEB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Merge w:val="continue"/>
            <w:tcBorders>
              <w:tl2br w:val="nil"/>
              <w:tr2bl w:val="nil"/>
            </w:tcBorders>
            <w:vAlign w:val="center"/>
          </w:tcPr>
          <w:p w14:paraId="3CAAB0CA">
            <w:pPr>
              <w:ind w:firstLine="480"/>
              <w:rPr>
                <w:color w:val="auto"/>
                <w:highlight w:val="none"/>
                <w:shd w:val="clear" w:color="auto" w:fill="auto"/>
              </w:rPr>
            </w:pPr>
          </w:p>
        </w:tc>
        <w:tc>
          <w:tcPr>
            <w:tcW w:w="1296" w:type="dxa"/>
            <w:tcBorders>
              <w:tl2br w:val="nil"/>
              <w:tr2bl w:val="nil"/>
            </w:tcBorders>
            <w:vAlign w:val="center"/>
          </w:tcPr>
          <w:p w14:paraId="57642E94">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1.31-2.1</w:t>
            </w:r>
          </w:p>
        </w:tc>
        <w:tc>
          <w:tcPr>
            <w:tcW w:w="1662" w:type="dxa"/>
            <w:vMerge w:val="continue"/>
            <w:tcBorders>
              <w:tl2br w:val="nil"/>
              <w:tr2bl w:val="nil"/>
            </w:tcBorders>
            <w:vAlign w:val="center"/>
          </w:tcPr>
          <w:p w14:paraId="2B051CB0">
            <w:pPr>
              <w:ind w:firstLine="480"/>
              <w:rPr>
                <w:color w:val="auto"/>
                <w:highlight w:val="none"/>
                <w:shd w:val="clear" w:color="auto" w:fill="auto"/>
              </w:rPr>
            </w:pPr>
          </w:p>
        </w:tc>
        <w:tc>
          <w:tcPr>
            <w:tcW w:w="4756" w:type="dxa"/>
            <w:tcBorders>
              <w:tl2br w:val="nil"/>
              <w:tr2bl w:val="nil"/>
            </w:tcBorders>
            <w:vAlign w:val="center"/>
          </w:tcPr>
          <w:p w14:paraId="727B48CD">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1、业务需求展示讲解，业务、技术沟通交流</w:t>
            </w:r>
          </w:p>
          <w:p w14:paraId="72E42A18">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2、业务、技术评分。</w:t>
            </w:r>
          </w:p>
        </w:tc>
      </w:tr>
    </w:tbl>
    <w:p w14:paraId="70CB375A">
      <w:pPr>
        <w:ind w:firstLine="480"/>
        <w:rPr>
          <w:rFonts w:ascii="宋体" w:hAnsi="宋体" w:cs="宋体"/>
          <w:snapToGrid w:val="0"/>
          <w:color w:val="auto"/>
          <w:szCs w:val="24"/>
          <w:highlight w:val="none"/>
          <w:shd w:val="clear" w:color="auto" w:fill="auto"/>
        </w:rPr>
      </w:pPr>
      <w:r>
        <w:rPr>
          <w:rFonts w:hint="eastAsia" w:ascii="宋体" w:hAnsi="宋体" w:cs="宋体"/>
          <w:snapToGrid w:val="0"/>
          <w:color w:val="auto"/>
          <w:szCs w:val="24"/>
          <w:highlight w:val="none"/>
          <w:shd w:val="clear" w:color="auto" w:fill="auto"/>
        </w:rPr>
        <w:t>4、POC必要条件</w:t>
      </w:r>
    </w:p>
    <w:p w14:paraId="33BAE007">
      <w:pPr>
        <w:ind w:firstLine="480"/>
        <w:rPr>
          <w:rFonts w:ascii="宋体" w:hAnsi="宋体" w:cs="宋体"/>
          <w:b/>
          <w:bCs/>
          <w:color w:val="auto"/>
          <w:szCs w:val="24"/>
          <w:highlight w:val="none"/>
          <w:shd w:val="clear" w:color="auto" w:fill="auto"/>
        </w:rPr>
      </w:pPr>
      <w:r>
        <w:rPr>
          <w:rFonts w:hint="eastAsia" w:ascii="宋体" w:hAnsi="Times New Roman" w:cs="Times New Roman"/>
          <w:bCs/>
          <w:color w:val="auto"/>
          <w:szCs w:val="24"/>
          <w:highlight w:val="none"/>
          <w:shd w:val="clear" w:color="auto" w:fill="auto"/>
        </w:rPr>
        <w:t>支持信创,不满足时，不进行其它POC要点考察,信创基线如下：</w:t>
      </w:r>
    </w:p>
    <w:tbl>
      <w:tblPr>
        <w:tblStyle w:val="21"/>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820"/>
        <w:gridCol w:w="3280"/>
        <w:gridCol w:w="1341"/>
      </w:tblGrid>
      <w:tr w14:paraId="34A5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0" w:type="dxa"/>
            <w:tcBorders>
              <w:top w:val="single" w:color="auto" w:sz="4" w:space="0"/>
              <w:left w:val="single" w:color="auto" w:sz="4" w:space="0"/>
              <w:bottom w:val="single" w:color="auto" w:sz="4" w:space="0"/>
              <w:right w:val="single" w:color="auto" w:sz="4" w:space="0"/>
              <w:tl2br w:val="nil"/>
              <w:tr2bl w:val="nil"/>
            </w:tcBorders>
            <w:shd w:val="clear" w:color="auto" w:fill="9CC2E5"/>
            <w:vAlign w:val="center"/>
          </w:tcPr>
          <w:p w14:paraId="714932CF">
            <w:pPr>
              <w:widowControl/>
              <w:ind w:firstLine="402"/>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服务器名</w:t>
            </w:r>
          </w:p>
        </w:tc>
        <w:tc>
          <w:tcPr>
            <w:tcW w:w="1820" w:type="dxa"/>
            <w:tcBorders>
              <w:top w:val="single" w:color="auto" w:sz="4" w:space="0"/>
              <w:left w:val="single" w:color="auto" w:sz="4" w:space="0"/>
              <w:bottom w:val="single" w:color="auto" w:sz="4" w:space="0"/>
              <w:right w:val="single" w:color="auto" w:sz="4" w:space="0"/>
              <w:tl2br w:val="nil"/>
              <w:tr2bl w:val="nil"/>
            </w:tcBorders>
            <w:shd w:val="clear" w:color="auto" w:fill="9CC2E5"/>
            <w:vAlign w:val="center"/>
          </w:tcPr>
          <w:p w14:paraId="647DCE5C">
            <w:pPr>
              <w:widowControl/>
              <w:ind w:firstLine="402"/>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用途</w:t>
            </w:r>
          </w:p>
        </w:tc>
        <w:tc>
          <w:tcPr>
            <w:tcW w:w="3280" w:type="dxa"/>
            <w:tcBorders>
              <w:top w:val="single" w:color="auto" w:sz="4" w:space="0"/>
              <w:left w:val="single" w:color="auto" w:sz="4" w:space="0"/>
              <w:bottom w:val="single" w:color="auto" w:sz="4" w:space="0"/>
              <w:right w:val="single" w:color="auto" w:sz="4" w:space="0"/>
              <w:tl2br w:val="nil"/>
              <w:tr2bl w:val="nil"/>
            </w:tcBorders>
            <w:shd w:val="clear" w:color="auto" w:fill="9CC2E5"/>
            <w:vAlign w:val="center"/>
          </w:tcPr>
          <w:p w14:paraId="029FF102">
            <w:pPr>
              <w:widowControl/>
              <w:ind w:firstLine="402"/>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软硬件配置</w:t>
            </w:r>
          </w:p>
        </w:tc>
        <w:tc>
          <w:tcPr>
            <w:tcW w:w="1341" w:type="dxa"/>
            <w:tcBorders>
              <w:top w:val="single" w:color="auto" w:sz="4" w:space="0"/>
              <w:left w:val="single" w:color="auto" w:sz="4" w:space="0"/>
              <w:bottom w:val="single" w:color="auto" w:sz="4" w:space="0"/>
              <w:right w:val="single" w:color="auto" w:sz="4" w:space="0"/>
              <w:tl2br w:val="nil"/>
              <w:tr2bl w:val="nil"/>
            </w:tcBorders>
            <w:shd w:val="clear" w:color="auto" w:fill="9CC2E5"/>
            <w:vAlign w:val="center"/>
          </w:tcPr>
          <w:p w14:paraId="6483B904">
            <w:pPr>
              <w:widowControl/>
              <w:ind w:firstLine="402"/>
              <w:rPr>
                <w:rFonts w:ascii="宋体" w:hAnsi="宋体" w:cs="宋体"/>
                <w:b/>
                <w:bCs/>
                <w:color w:val="auto"/>
                <w:kern w:val="0"/>
                <w:sz w:val="20"/>
                <w:highlight w:val="none"/>
                <w:shd w:val="clear" w:color="auto" w:fill="auto"/>
              </w:rPr>
            </w:pPr>
            <w:r>
              <w:rPr>
                <w:rFonts w:hint="eastAsia" w:ascii="宋体" w:hAnsi="宋体" w:cs="宋体"/>
                <w:b/>
                <w:bCs/>
                <w:color w:val="auto"/>
                <w:kern w:val="0"/>
                <w:sz w:val="20"/>
                <w:highlight w:val="none"/>
                <w:shd w:val="clear" w:color="auto" w:fill="auto"/>
              </w:rPr>
              <w:t>提供方</w:t>
            </w:r>
          </w:p>
        </w:tc>
      </w:tr>
      <w:tr w14:paraId="46A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80" w:type="dxa"/>
            <w:tcBorders>
              <w:top w:val="single" w:color="auto" w:sz="4" w:space="0"/>
              <w:left w:val="single" w:color="auto" w:sz="4" w:space="0"/>
              <w:bottom w:val="single" w:color="auto" w:sz="4" w:space="0"/>
              <w:right w:val="single" w:color="auto" w:sz="4" w:space="0"/>
              <w:tl2br w:val="nil"/>
              <w:tr2bl w:val="nil"/>
            </w:tcBorders>
            <w:vAlign w:val="center"/>
          </w:tcPr>
          <w:p w14:paraId="306C34B4">
            <w:pPr>
              <w:widowControl/>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应用服务器</w:t>
            </w:r>
          </w:p>
        </w:tc>
        <w:tc>
          <w:tcPr>
            <w:tcW w:w="1820" w:type="dxa"/>
            <w:tcBorders>
              <w:top w:val="single" w:color="auto" w:sz="4" w:space="0"/>
              <w:left w:val="single" w:color="auto" w:sz="4" w:space="0"/>
              <w:bottom w:val="single" w:color="auto" w:sz="4" w:space="0"/>
              <w:right w:val="single" w:color="auto" w:sz="4" w:space="0"/>
              <w:tl2br w:val="nil"/>
              <w:tr2bl w:val="nil"/>
            </w:tcBorders>
            <w:vAlign w:val="center"/>
          </w:tcPr>
          <w:p w14:paraId="78CEF7DC">
            <w:pPr>
              <w:widowControl/>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应用部署</w:t>
            </w: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35F36612">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操作系统：麒麟V10</w:t>
            </w:r>
          </w:p>
          <w:p w14:paraId="3CC229CA">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CPU：鲲鹏</w:t>
            </w:r>
          </w:p>
          <w:p w14:paraId="2BAA4FD1">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中间件：东方通</w:t>
            </w:r>
          </w:p>
        </w:tc>
        <w:tc>
          <w:tcPr>
            <w:tcW w:w="1341" w:type="dxa"/>
            <w:tcBorders>
              <w:top w:val="single" w:color="auto" w:sz="4" w:space="0"/>
              <w:left w:val="single" w:color="auto" w:sz="4" w:space="0"/>
              <w:bottom w:val="single" w:color="auto" w:sz="4" w:space="0"/>
              <w:right w:val="single" w:color="auto" w:sz="4" w:space="0"/>
              <w:tl2br w:val="nil"/>
              <w:tr2bl w:val="nil"/>
            </w:tcBorders>
            <w:vAlign w:val="center"/>
          </w:tcPr>
          <w:p w14:paraId="2B67AA92">
            <w:pPr>
              <w:widowControl/>
              <w:ind w:firstLine="40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行方</w:t>
            </w:r>
          </w:p>
        </w:tc>
      </w:tr>
      <w:tr w14:paraId="3931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80" w:type="dxa"/>
            <w:tcBorders>
              <w:top w:val="single" w:color="auto" w:sz="4" w:space="0"/>
              <w:left w:val="single" w:color="auto" w:sz="4" w:space="0"/>
              <w:bottom w:val="single" w:color="auto" w:sz="4" w:space="0"/>
              <w:right w:val="single" w:color="auto" w:sz="4" w:space="0"/>
              <w:tl2br w:val="nil"/>
              <w:tr2bl w:val="nil"/>
            </w:tcBorders>
            <w:vAlign w:val="center"/>
          </w:tcPr>
          <w:p w14:paraId="668945B4">
            <w:pPr>
              <w:widowControl/>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数据库服务器</w:t>
            </w:r>
          </w:p>
        </w:tc>
        <w:tc>
          <w:tcPr>
            <w:tcW w:w="1820" w:type="dxa"/>
            <w:tcBorders>
              <w:top w:val="single" w:color="auto" w:sz="4" w:space="0"/>
              <w:left w:val="single" w:color="auto" w:sz="4" w:space="0"/>
              <w:bottom w:val="single" w:color="auto" w:sz="4" w:space="0"/>
              <w:right w:val="single" w:color="auto" w:sz="4" w:space="0"/>
              <w:tl2br w:val="nil"/>
              <w:tr2bl w:val="nil"/>
            </w:tcBorders>
            <w:vAlign w:val="center"/>
          </w:tcPr>
          <w:p w14:paraId="39EA8147">
            <w:pPr>
              <w:widowControl/>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数据库</w:t>
            </w: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70ACE94F">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操作系统：麒麟V10</w:t>
            </w:r>
          </w:p>
          <w:p w14:paraId="116568C5">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CPU：鲲鹏</w:t>
            </w:r>
          </w:p>
          <w:p w14:paraId="52203474">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数据库：OceanBase</w:t>
            </w:r>
          </w:p>
        </w:tc>
        <w:tc>
          <w:tcPr>
            <w:tcW w:w="1341" w:type="dxa"/>
            <w:tcBorders>
              <w:top w:val="single" w:color="auto" w:sz="4" w:space="0"/>
              <w:left w:val="single" w:color="auto" w:sz="4" w:space="0"/>
              <w:bottom w:val="single" w:color="auto" w:sz="4" w:space="0"/>
              <w:right w:val="single" w:color="auto" w:sz="4" w:space="0"/>
              <w:tl2br w:val="nil"/>
              <w:tr2bl w:val="nil"/>
            </w:tcBorders>
            <w:vAlign w:val="center"/>
          </w:tcPr>
          <w:p w14:paraId="594711C6">
            <w:pPr>
              <w:widowControl/>
              <w:ind w:firstLine="40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行方</w:t>
            </w:r>
          </w:p>
        </w:tc>
      </w:tr>
      <w:tr w14:paraId="63E7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80" w:type="dxa"/>
            <w:tcBorders>
              <w:top w:val="single" w:color="auto" w:sz="4" w:space="0"/>
              <w:left w:val="single" w:color="auto" w:sz="4" w:space="0"/>
              <w:bottom w:val="single" w:color="auto" w:sz="4" w:space="0"/>
              <w:right w:val="single" w:color="auto" w:sz="4" w:space="0"/>
              <w:tl2br w:val="nil"/>
              <w:tr2bl w:val="nil"/>
            </w:tcBorders>
            <w:vAlign w:val="center"/>
          </w:tcPr>
          <w:p w14:paraId="60827192">
            <w:pPr>
              <w:widowControl/>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测试PC</w:t>
            </w:r>
          </w:p>
        </w:tc>
        <w:tc>
          <w:tcPr>
            <w:tcW w:w="1820" w:type="dxa"/>
            <w:tcBorders>
              <w:top w:val="single" w:color="auto" w:sz="4" w:space="0"/>
              <w:left w:val="single" w:color="auto" w:sz="4" w:space="0"/>
              <w:bottom w:val="single" w:color="auto" w:sz="4" w:space="0"/>
              <w:right w:val="single" w:color="auto" w:sz="4" w:space="0"/>
              <w:tl2br w:val="nil"/>
              <w:tr2bl w:val="nil"/>
            </w:tcBorders>
            <w:vAlign w:val="center"/>
          </w:tcPr>
          <w:p w14:paraId="5334C2C5">
            <w:pPr>
              <w:widowControl/>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终端体验、测试</w:t>
            </w: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72DBDDC0">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Windows:360/IE/火狐/谷歌等；</w:t>
            </w:r>
          </w:p>
          <w:p w14:paraId="2074DA04">
            <w:pPr>
              <w:widowControl/>
              <w:ind w:firstLine="0" w:firstLineChars="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XC终端：自带浏览器/360/火狐等</w:t>
            </w:r>
          </w:p>
        </w:tc>
        <w:tc>
          <w:tcPr>
            <w:tcW w:w="1341" w:type="dxa"/>
            <w:tcBorders>
              <w:top w:val="single" w:color="auto" w:sz="4" w:space="0"/>
              <w:left w:val="single" w:color="auto" w:sz="4" w:space="0"/>
              <w:bottom w:val="single" w:color="auto" w:sz="4" w:space="0"/>
              <w:right w:val="single" w:color="auto" w:sz="4" w:space="0"/>
              <w:tl2br w:val="nil"/>
              <w:tr2bl w:val="nil"/>
            </w:tcBorders>
            <w:vAlign w:val="center"/>
          </w:tcPr>
          <w:p w14:paraId="76D6BF6E">
            <w:pPr>
              <w:widowControl/>
              <w:ind w:firstLine="400"/>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行方</w:t>
            </w:r>
          </w:p>
        </w:tc>
      </w:tr>
    </w:tbl>
    <w:p w14:paraId="252F5162">
      <w:pPr>
        <w:ind w:firstLine="480"/>
        <w:rPr>
          <w:rFonts w:ascii="宋体" w:hAnsi="宋体" w:cs="宋体"/>
          <w:snapToGrid w:val="0"/>
          <w:color w:val="auto"/>
          <w:szCs w:val="24"/>
          <w:highlight w:val="none"/>
          <w:shd w:val="clear" w:color="auto" w:fill="auto"/>
        </w:rPr>
      </w:pPr>
      <w:r>
        <w:rPr>
          <w:rFonts w:hint="eastAsia" w:ascii="宋体" w:hAnsi="宋体" w:cs="宋体"/>
          <w:snapToGrid w:val="0"/>
          <w:color w:val="auto"/>
          <w:szCs w:val="24"/>
          <w:highlight w:val="none"/>
          <w:shd w:val="clear" w:color="auto" w:fill="auto"/>
        </w:rPr>
        <w:t>5、测试数据</w:t>
      </w:r>
    </w:p>
    <w:p w14:paraId="7BE971A6">
      <w:pPr>
        <w:pStyle w:val="37"/>
        <w:numPr>
          <w:ilvl w:val="0"/>
          <w:numId w:val="4"/>
        </w:numPr>
        <w:tabs>
          <w:tab w:val="clear" w:pos="-111"/>
        </w:tabs>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各厂商自备本次POC的基础测试数据。</w:t>
      </w:r>
    </w:p>
    <w:p w14:paraId="77B849C2">
      <w:pPr>
        <w:pStyle w:val="37"/>
        <w:numPr>
          <w:ilvl w:val="0"/>
          <w:numId w:val="4"/>
        </w:numPr>
        <w:tabs>
          <w:tab w:val="clear" w:pos="-111"/>
        </w:tabs>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POC期间，部分POC案例所需的数据需要行方配合的，在POC阶段向相关负责人提出申请后获取。</w:t>
      </w:r>
    </w:p>
    <w:p w14:paraId="3703415A">
      <w:pPr>
        <w:ind w:firstLine="480"/>
        <w:rPr>
          <w:rFonts w:ascii="宋体" w:hAnsi="宋体" w:cs="宋体"/>
          <w:snapToGrid w:val="0"/>
          <w:color w:val="auto"/>
          <w:szCs w:val="24"/>
          <w:highlight w:val="none"/>
          <w:shd w:val="clear" w:color="auto" w:fill="auto"/>
        </w:rPr>
      </w:pPr>
      <w:r>
        <w:rPr>
          <w:rFonts w:hint="eastAsia" w:ascii="宋体" w:hAnsi="宋体" w:cs="宋体"/>
          <w:snapToGrid w:val="0"/>
          <w:color w:val="auto"/>
          <w:szCs w:val="24"/>
          <w:highlight w:val="none"/>
          <w:shd w:val="clear" w:color="auto" w:fill="auto"/>
        </w:rPr>
        <w:t>6、POC内容</w:t>
      </w:r>
    </w:p>
    <w:p w14:paraId="2A1368E6">
      <w:pPr>
        <w:pStyle w:val="12"/>
        <w:spacing w:line="600" w:lineRule="exact"/>
        <w:ind w:firstLine="480"/>
        <w:rPr>
          <w:rFonts w:hAnsi="宋体" w:eastAsia="宋体" w:cs="宋体"/>
          <w:color w:val="auto"/>
          <w:sz w:val="24"/>
          <w:szCs w:val="24"/>
          <w:highlight w:val="none"/>
          <w:shd w:val="clear" w:color="auto" w:fill="auto"/>
        </w:rPr>
      </w:pPr>
      <w:r>
        <w:rPr>
          <w:rFonts w:hint="eastAsia" w:hAnsi="宋体" w:eastAsia="宋体" w:cs="宋体"/>
          <w:color w:val="auto"/>
          <w:sz w:val="24"/>
          <w:szCs w:val="24"/>
          <w:highlight w:val="none"/>
          <w:shd w:val="clear" w:color="auto" w:fill="auto"/>
        </w:rPr>
        <w:t>6.1、POC功能</w:t>
      </w:r>
    </w:p>
    <w:tbl>
      <w:tblPr>
        <w:tblStyle w:val="21"/>
        <w:tblW w:w="8863" w:type="dxa"/>
        <w:jc w:val="center"/>
        <w:tblLayout w:type="autofit"/>
        <w:tblCellMar>
          <w:top w:w="0" w:type="dxa"/>
          <w:left w:w="108" w:type="dxa"/>
          <w:bottom w:w="0" w:type="dxa"/>
          <w:right w:w="108" w:type="dxa"/>
        </w:tblCellMar>
      </w:tblPr>
      <w:tblGrid>
        <w:gridCol w:w="919"/>
        <w:gridCol w:w="1201"/>
        <w:gridCol w:w="1942"/>
        <w:gridCol w:w="3195"/>
        <w:gridCol w:w="1606"/>
      </w:tblGrid>
      <w:tr w14:paraId="5BB9C43E">
        <w:tblPrEx>
          <w:tblCellMar>
            <w:top w:w="0" w:type="dxa"/>
            <w:left w:w="108" w:type="dxa"/>
            <w:bottom w:w="0" w:type="dxa"/>
            <w:right w:w="108" w:type="dxa"/>
          </w:tblCellMar>
        </w:tblPrEx>
        <w:trPr>
          <w:trHeight w:val="570"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shd w:val="clear" w:color="auto" w:fill="9CC3E6"/>
            <w:noWrap/>
            <w:vAlign w:val="center"/>
          </w:tcPr>
          <w:p w14:paraId="6A1C92D1">
            <w:pPr>
              <w:ind w:firstLine="0" w:firstLineChars="0"/>
              <w:rPr>
                <w:rFonts w:ascii="宋体" w:hAnsi="宋体" w:cs="宋体"/>
                <w:color w:val="auto"/>
                <w:sz w:val="20"/>
                <w:highlight w:val="none"/>
                <w:shd w:val="clear" w:color="auto" w:fill="auto"/>
              </w:rPr>
            </w:pPr>
            <w:r>
              <w:rPr>
                <w:rFonts w:hint="eastAsia" w:ascii="宋体" w:hAnsi="宋体" w:cs="宋体"/>
                <w:b/>
                <w:color w:val="auto"/>
                <w:sz w:val="20"/>
                <w:highlight w:val="none"/>
                <w:shd w:val="clear" w:color="auto" w:fill="auto"/>
              </w:rPr>
              <w:t>序号</w:t>
            </w:r>
          </w:p>
        </w:tc>
        <w:tc>
          <w:tcPr>
            <w:tcW w:w="1201" w:type="dxa"/>
            <w:tcBorders>
              <w:top w:val="single" w:color="auto" w:sz="6" w:space="0"/>
              <w:left w:val="single" w:color="auto" w:sz="6" w:space="0"/>
              <w:bottom w:val="single" w:color="auto" w:sz="6" w:space="0"/>
              <w:right w:val="single" w:color="auto" w:sz="6" w:space="0"/>
              <w:tl2br w:val="nil"/>
              <w:tr2bl w:val="nil"/>
            </w:tcBorders>
            <w:shd w:val="clear" w:color="auto" w:fill="9CC3E6"/>
            <w:noWrap/>
            <w:vAlign w:val="center"/>
          </w:tcPr>
          <w:p w14:paraId="39F39446">
            <w:pPr>
              <w:ind w:firstLine="0" w:firstLineChars="0"/>
              <w:rPr>
                <w:rFonts w:ascii="宋体" w:hAnsi="宋体" w:cs="宋体"/>
                <w:color w:val="auto"/>
                <w:sz w:val="20"/>
                <w:highlight w:val="none"/>
                <w:shd w:val="clear" w:color="auto" w:fill="auto"/>
              </w:rPr>
            </w:pPr>
            <w:r>
              <w:rPr>
                <w:rFonts w:hint="eastAsia" w:ascii="宋体" w:hAnsi="宋体" w:cs="宋体"/>
                <w:b/>
                <w:color w:val="auto"/>
                <w:sz w:val="20"/>
                <w:highlight w:val="none"/>
                <w:shd w:val="clear" w:color="auto" w:fill="auto"/>
              </w:rPr>
              <w:t>测试类型</w:t>
            </w:r>
          </w:p>
        </w:tc>
        <w:tc>
          <w:tcPr>
            <w:tcW w:w="1942" w:type="dxa"/>
            <w:tcBorders>
              <w:top w:val="single" w:color="auto" w:sz="6" w:space="0"/>
              <w:left w:val="single" w:color="auto" w:sz="6" w:space="0"/>
              <w:bottom w:val="single" w:color="auto" w:sz="6" w:space="0"/>
              <w:right w:val="single" w:color="auto" w:sz="6" w:space="0"/>
              <w:tl2br w:val="nil"/>
              <w:tr2bl w:val="nil"/>
            </w:tcBorders>
            <w:shd w:val="clear" w:color="auto" w:fill="9CC3E6"/>
            <w:noWrap/>
            <w:vAlign w:val="center"/>
          </w:tcPr>
          <w:p w14:paraId="46C29BEC">
            <w:pPr>
              <w:ind w:firstLine="402"/>
              <w:rPr>
                <w:rFonts w:ascii="宋体" w:hAnsi="宋体" w:cs="宋体"/>
                <w:color w:val="auto"/>
                <w:sz w:val="20"/>
                <w:highlight w:val="none"/>
                <w:shd w:val="clear" w:color="auto" w:fill="auto"/>
              </w:rPr>
            </w:pPr>
            <w:r>
              <w:rPr>
                <w:rFonts w:hint="eastAsia" w:ascii="宋体" w:hAnsi="宋体" w:cs="宋体"/>
                <w:b/>
                <w:color w:val="auto"/>
                <w:sz w:val="20"/>
                <w:highlight w:val="none"/>
                <w:shd w:val="clear" w:color="auto" w:fill="auto"/>
              </w:rPr>
              <w:t>POC模块</w:t>
            </w:r>
          </w:p>
        </w:tc>
        <w:tc>
          <w:tcPr>
            <w:tcW w:w="3195" w:type="dxa"/>
            <w:tcBorders>
              <w:top w:val="single" w:color="auto" w:sz="6" w:space="0"/>
              <w:left w:val="single" w:color="auto" w:sz="6" w:space="0"/>
              <w:bottom w:val="single" w:color="auto" w:sz="6" w:space="0"/>
              <w:right w:val="single" w:color="auto" w:sz="6" w:space="0"/>
              <w:tl2br w:val="nil"/>
              <w:tr2bl w:val="nil"/>
            </w:tcBorders>
            <w:shd w:val="clear" w:color="auto" w:fill="9CC3E6"/>
            <w:noWrap/>
            <w:vAlign w:val="center"/>
          </w:tcPr>
          <w:p w14:paraId="6FB2410F">
            <w:pPr>
              <w:ind w:firstLine="402"/>
              <w:rPr>
                <w:rFonts w:ascii="宋体" w:hAnsi="宋体" w:cs="宋体"/>
                <w:color w:val="auto"/>
                <w:sz w:val="20"/>
                <w:highlight w:val="none"/>
                <w:shd w:val="clear" w:color="auto" w:fill="auto"/>
              </w:rPr>
            </w:pPr>
            <w:r>
              <w:rPr>
                <w:rFonts w:hint="eastAsia" w:ascii="宋体" w:hAnsi="宋体" w:cs="宋体"/>
                <w:b/>
                <w:color w:val="auto"/>
                <w:sz w:val="20"/>
                <w:highlight w:val="none"/>
                <w:shd w:val="clear" w:color="auto" w:fill="auto"/>
              </w:rPr>
              <w:t>考查点</w:t>
            </w:r>
          </w:p>
        </w:tc>
        <w:tc>
          <w:tcPr>
            <w:tcW w:w="1606" w:type="dxa"/>
            <w:tcBorders>
              <w:top w:val="single" w:color="auto" w:sz="6" w:space="0"/>
              <w:left w:val="single" w:color="auto" w:sz="6" w:space="0"/>
              <w:bottom w:val="single" w:color="auto" w:sz="6" w:space="0"/>
              <w:right w:val="single" w:color="auto" w:sz="6" w:space="0"/>
              <w:tl2br w:val="nil"/>
              <w:tr2bl w:val="nil"/>
            </w:tcBorders>
            <w:shd w:val="clear" w:color="auto" w:fill="9CC3E6"/>
            <w:noWrap/>
            <w:vAlign w:val="center"/>
          </w:tcPr>
          <w:p w14:paraId="6B6BC34F">
            <w:pPr>
              <w:ind w:firstLine="0" w:firstLineChars="0"/>
              <w:rPr>
                <w:rFonts w:ascii="宋体" w:hAnsi="宋体" w:cs="宋体"/>
                <w:color w:val="auto"/>
                <w:sz w:val="20"/>
                <w:highlight w:val="none"/>
                <w:shd w:val="clear" w:color="auto" w:fill="auto"/>
              </w:rPr>
            </w:pPr>
            <w:r>
              <w:rPr>
                <w:rFonts w:hint="eastAsia" w:ascii="宋体" w:hAnsi="宋体" w:cs="宋体"/>
                <w:b/>
                <w:color w:val="auto"/>
                <w:sz w:val="20"/>
                <w:highlight w:val="none"/>
                <w:shd w:val="clear" w:color="auto" w:fill="auto"/>
              </w:rPr>
              <w:t>分值（满分100分）</w:t>
            </w:r>
          </w:p>
        </w:tc>
      </w:tr>
      <w:tr w14:paraId="57F900FA">
        <w:tblPrEx>
          <w:tblCellMar>
            <w:top w:w="0" w:type="dxa"/>
            <w:left w:w="108" w:type="dxa"/>
            <w:bottom w:w="0" w:type="dxa"/>
            <w:right w:w="108" w:type="dxa"/>
          </w:tblCellMar>
        </w:tblPrEx>
        <w:trPr>
          <w:trHeight w:val="810"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70F65209">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w:t>
            </w:r>
          </w:p>
        </w:tc>
        <w:tc>
          <w:tcPr>
            <w:tcW w:w="120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74EA21F">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系统建设（业务测试）</w:t>
            </w:r>
          </w:p>
        </w:tc>
        <w:tc>
          <w:tcPr>
            <w:tcW w:w="1942" w:type="dxa"/>
            <w:tcBorders>
              <w:top w:val="single" w:color="auto" w:sz="6" w:space="0"/>
              <w:left w:val="single" w:color="auto" w:sz="6" w:space="0"/>
              <w:bottom w:val="single" w:color="auto" w:sz="6" w:space="0"/>
              <w:right w:val="single" w:color="auto" w:sz="6" w:space="0"/>
              <w:tl2br w:val="nil"/>
              <w:tr2bl w:val="nil"/>
            </w:tcBorders>
            <w:noWrap/>
            <w:vAlign w:val="center"/>
          </w:tcPr>
          <w:p w14:paraId="04C52687">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1.需求沟通</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35CF8945">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实施经验丰富，能充分听取业务人员需求、有效分析需求，并有较高的需求理解能力。</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1339891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r w14:paraId="19A97940">
        <w:tblPrEx>
          <w:tblCellMar>
            <w:top w:w="0" w:type="dxa"/>
            <w:left w:w="108" w:type="dxa"/>
            <w:bottom w:w="0" w:type="dxa"/>
            <w:right w:w="108" w:type="dxa"/>
          </w:tblCellMar>
        </w:tblPrEx>
        <w:trPr>
          <w:trHeight w:val="2700"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00BFF059">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7317346">
            <w:pPr>
              <w:ind w:firstLine="480"/>
              <w:rPr>
                <w:color w:val="auto"/>
                <w:highlight w:val="none"/>
                <w:shd w:val="clear" w:color="auto" w:fill="auto"/>
              </w:rPr>
            </w:pPr>
          </w:p>
        </w:tc>
        <w:tc>
          <w:tcPr>
            <w:tcW w:w="1942" w:type="dxa"/>
            <w:tcBorders>
              <w:top w:val="single" w:color="auto" w:sz="6" w:space="0"/>
              <w:left w:val="single" w:color="auto" w:sz="6" w:space="0"/>
              <w:bottom w:val="single" w:color="auto" w:sz="6" w:space="0"/>
              <w:right w:val="single" w:color="auto" w:sz="6" w:space="0"/>
              <w:tl2br w:val="nil"/>
              <w:tr2bl w:val="nil"/>
            </w:tcBorders>
            <w:noWrap/>
            <w:vAlign w:val="center"/>
          </w:tcPr>
          <w:p w14:paraId="1B3C059E">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3.账户全生命周期管理</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25B893E1">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（1）在不同光线下、不同加盖方式下、不同方向、不同设备进行建库。经办复核的自动通过情况。</w:t>
            </w:r>
          </w:p>
          <w:p w14:paraId="6904714F">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（2）各厂商对账户新建、变更、销户等账户全生命周期进行讲解和演示。</w:t>
            </w:r>
          </w:p>
          <w:p w14:paraId="2925FF0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（3）各厂商对印鉴新建、变更、销户、挂失、冻结等印鉴的全生命周期进行讲解和演示。</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2092715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r w14:paraId="339CED2F">
        <w:tblPrEx>
          <w:tblCellMar>
            <w:top w:w="0" w:type="dxa"/>
            <w:left w:w="108" w:type="dxa"/>
            <w:bottom w:w="0" w:type="dxa"/>
            <w:right w:w="108" w:type="dxa"/>
          </w:tblCellMar>
        </w:tblPrEx>
        <w:trPr>
          <w:trHeight w:val="4260"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38F0B88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4</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FD4E5D">
            <w:pPr>
              <w:ind w:firstLine="480"/>
              <w:rPr>
                <w:color w:val="auto"/>
                <w:highlight w:val="none"/>
                <w:shd w:val="clear" w:color="auto" w:fill="auto"/>
              </w:rPr>
            </w:pPr>
          </w:p>
        </w:tc>
        <w:tc>
          <w:tcPr>
            <w:tcW w:w="1942" w:type="dxa"/>
            <w:vMerge w:val="restart"/>
            <w:tcBorders>
              <w:top w:val="single" w:color="auto" w:sz="6" w:space="0"/>
              <w:left w:val="single" w:color="auto" w:sz="6" w:space="0"/>
              <w:bottom w:val="nil"/>
              <w:right w:val="single" w:color="auto" w:sz="6" w:space="0"/>
              <w:tl2br w:val="nil"/>
              <w:tr2bl w:val="nil"/>
            </w:tcBorders>
            <w:noWrap/>
            <w:vAlign w:val="center"/>
          </w:tcPr>
          <w:p w14:paraId="6B7A08DF">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4.验印功能</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1BE0637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单点验印：加盖印鉴的空白票据(现金支票、转账支票、电汇凭证、A4纸)，在不同光线下、字迹覆盖下、不同加盖方式下、不同方向进行单点验印。</w:t>
            </w:r>
          </w:p>
          <w:p w14:paraId="120FE93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（1）真章验印自动通过率＜80%，视为不合格；验印自动通过率在80%-90%之间，视为合格。验印自动通过率在≥90%，视为优秀。</w:t>
            </w:r>
          </w:p>
          <w:p w14:paraId="3DF3142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（2）假章验印自动通过率＞0%，视为不合格；假章验印自动通过率=0，视为合格。</w:t>
            </w:r>
          </w:p>
          <w:p w14:paraId="349B6E79">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（3）小码识别情况。</w:t>
            </w:r>
          </w:p>
          <w:p w14:paraId="3DE0F0D2">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（4）验印的效率情况。</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14F67A07">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25</w:t>
            </w:r>
          </w:p>
        </w:tc>
      </w:tr>
      <w:tr w14:paraId="4530A539">
        <w:tblPrEx>
          <w:tblCellMar>
            <w:top w:w="0" w:type="dxa"/>
            <w:left w:w="108" w:type="dxa"/>
            <w:bottom w:w="0" w:type="dxa"/>
            <w:right w:w="108" w:type="dxa"/>
          </w:tblCellMar>
        </w:tblPrEx>
        <w:trPr>
          <w:trHeight w:val="4635"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4E81584D">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6</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541A03">
            <w:pPr>
              <w:ind w:firstLine="480"/>
              <w:rPr>
                <w:color w:val="auto"/>
                <w:highlight w:val="none"/>
                <w:shd w:val="clear" w:color="auto" w:fill="auto"/>
              </w:rPr>
            </w:pPr>
          </w:p>
        </w:tc>
        <w:tc>
          <w:tcPr>
            <w:tcW w:w="1942" w:type="dxa"/>
            <w:vMerge w:val="continue"/>
            <w:tcBorders>
              <w:top w:val="nil"/>
              <w:left w:val="single" w:color="auto" w:sz="6" w:space="0"/>
              <w:bottom w:val="nil"/>
              <w:right w:val="single" w:color="auto" w:sz="6" w:space="0"/>
              <w:tl2br w:val="nil"/>
              <w:tr2bl w:val="nil"/>
            </w:tcBorders>
            <w:noWrap/>
            <w:vAlign w:val="center"/>
          </w:tcPr>
          <w:p w14:paraId="54C5FFCE">
            <w:pPr>
              <w:ind w:firstLine="480"/>
              <w:rPr>
                <w:color w:val="auto"/>
                <w:highlight w:val="none"/>
                <w:shd w:val="clear" w:color="auto" w:fill="auto"/>
              </w:rPr>
            </w:pP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5407C3A8">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集中作业批量验印：单点验印中使用的加盖印鉴的所有单据，通过柜面办理行内转账，走集中作业流程，在不同光线下上传影像；集中作业提取影像，将影像进行单点验印。</w:t>
            </w:r>
          </w:p>
          <w:p w14:paraId="31856405">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（1）真章验印自动通过率＜80%，视为不合格；验印自动通过率在80%-90%之间，视为合格。验印自动通过率在≥90%，视为优秀。</w:t>
            </w:r>
          </w:p>
          <w:p w14:paraId="46DBC5E0">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（2）假章验印自动通过率＞0%，视为不合格；假章验印自动通过率=0，视为合格。</w:t>
            </w:r>
          </w:p>
          <w:p w14:paraId="42A6FAF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（3）小码识别情况。</w:t>
            </w:r>
          </w:p>
          <w:p w14:paraId="31F4783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（4）验印的效率情况。</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389137D4">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25</w:t>
            </w:r>
          </w:p>
        </w:tc>
      </w:tr>
      <w:tr w14:paraId="3180F310">
        <w:tblPrEx>
          <w:tblCellMar>
            <w:top w:w="0" w:type="dxa"/>
            <w:left w:w="108" w:type="dxa"/>
            <w:bottom w:w="0" w:type="dxa"/>
            <w:right w:w="108" w:type="dxa"/>
          </w:tblCellMar>
        </w:tblPrEx>
        <w:trPr>
          <w:trHeight w:val="1828"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08A806F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7</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D47240">
            <w:pPr>
              <w:ind w:firstLine="480"/>
              <w:rPr>
                <w:color w:val="auto"/>
                <w:highlight w:val="none"/>
                <w:shd w:val="clear" w:color="auto" w:fill="auto"/>
              </w:rPr>
            </w:pPr>
          </w:p>
        </w:tc>
        <w:tc>
          <w:tcPr>
            <w:tcW w:w="1942" w:type="dxa"/>
            <w:vMerge w:val="continue"/>
            <w:tcBorders>
              <w:top w:val="nil"/>
              <w:left w:val="single" w:color="auto" w:sz="6" w:space="0"/>
              <w:bottom w:val="nil"/>
              <w:right w:val="single" w:color="auto" w:sz="6" w:space="0"/>
              <w:tl2br w:val="nil"/>
              <w:tr2bl w:val="nil"/>
            </w:tcBorders>
            <w:noWrap/>
            <w:vAlign w:val="center"/>
          </w:tcPr>
          <w:p w14:paraId="48DC4442">
            <w:pPr>
              <w:ind w:firstLine="480"/>
              <w:rPr>
                <w:color w:val="auto"/>
                <w:highlight w:val="none"/>
                <w:shd w:val="clear" w:color="auto" w:fill="auto"/>
              </w:rPr>
            </w:pP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4719C707">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相同印鉴在各渠道的验印通过率相差在≤5%，视为优秀。验印通过率相差在5%到10%之间，视为合格。验印通过率相差＞10%，视为不合格。</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5535ACC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15</w:t>
            </w:r>
          </w:p>
        </w:tc>
      </w:tr>
      <w:tr w14:paraId="45EF08EA">
        <w:tblPrEx>
          <w:tblCellMar>
            <w:top w:w="0" w:type="dxa"/>
            <w:left w:w="108" w:type="dxa"/>
            <w:bottom w:w="0" w:type="dxa"/>
            <w:right w:w="108" w:type="dxa"/>
          </w:tblCellMar>
        </w:tblPrEx>
        <w:trPr>
          <w:trHeight w:val="1065"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1F777140">
            <w:pPr>
              <w:ind w:firstLine="0" w:firstLineChars="0"/>
              <w:rPr>
                <w:rFonts w:ascii="宋体" w:hAnsi="宋体" w:cs="宋体"/>
                <w:color w:val="auto"/>
                <w:sz w:val="20"/>
                <w:highlight w:val="none"/>
                <w:shd w:val="clear" w:color="auto" w:fill="auto"/>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B6148E">
            <w:pPr>
              <w:ind w:firstLine="480"/>
              <w:rPr>
                <w:color w:val="auto"/>
                <w:highlight w:val="none"/>
                <w:shd w:val="clear" w:color="auto" w:fill="auto"/>
              </w:rPr>
            </w:pPr>
          </w:p>
        </w:tc>
        <w:tc>
          <w:tcPr>
            <w:tcW w:w="194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6D7724">
            <w:pPr>
              <w:ind w:firstLine="480"/>
              <w:rPr>
                <w:color w:val="auto"/>
                <w:highlight w:val="none"/>
                <w:shd w:val="clear" w:color="auto" w:fill="auto"/>
              </w:rPr>
            </w:pP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43E27E6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批量验印：要求厂商使用扫描仪对100张票据进行影像的批量扫描，并导入验印系统，进行批量验印，记录批量验印总时间和通过率。</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7BBC3E2D">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r w14:paraId="4C45E8FB">
        <w:tblPrEx>
          <w:tblCellMar>
            <w:top w:w="0" w:type="dxa"/>
            <w:left w:w="108" w:type="dxa"/>
            <w:bottom w:w="0" w:type="dxa"/>
            <w:right w:w="108" w:type="dxa"/>
          </w:tblCellMar>
        </w:tblPrEx>
        <w:trPr>
          <w:trHeight w:val="1065"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0289E0FE">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8</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86AA7E">
            <w:pPr>
              <w:ind w:firstLine="480"/>
              <w:rPr>
                <w:color w:val="auto"/>
                <w:highlight w:val="none"/>
                <w:shd w:val="clear" w:color="auto" w:fill="auto"/>
              </w:rPr>
            </w:pPr>
          </w:p>
        </w:tc>
        <w:tc>
          <w:tcPr>
            <w:tcW w:w="1942" w:type="dxa"/>
            <w:tcBorders>
              <w:top w:val="single" w:color="auto" w:sz="6" w:space="0"/>
              <w:left w:val="single" w:color="auto" w:sz="6" w:space="0"/>
              <w:bottom w:val="single" w:color="auto" w:sz="6" w:space="0"/>
              <w:right w:val="single" w:color="auto" w:sz="6" w:space="0"/>
              <w:tl2br w:val="nil"/>
              <w:tr2bl w:val="nil"/>
            </w:tcBorders>
            <w:noWrap/>
            <w:vAlign w:val="center"/>
          </w:tcPr>
          <w:p w14:paraId="064B6CE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5.任务管理</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1838197E">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各厂商对建库、验印等流程的任务管理进行讲解和演示。</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016D92A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r w14:paraId="3F31DC57">
        <w:tblPrEx>
          <w:tblCellMar>
            <w:top w:w="0" w:type="dxa"/>
            <w:left w:w="108" w:type="dxa"/>
            <w:bottom w:w="0" w:type="dxa"/>
            <w:right w:w="108" w:type="dxa"/>
          </w:tblCellMar>
        </w:tblPrEx>
        <w:trPr>
          <w:trHeight w:val="1095"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1B0B38D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9</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42642B">
            <w:pPr>
              <w:ind w:firstLine="480"/>
              <w:rPr>
                <w:color w:val="auto"/>
                <w:highlight w:val="none"/>
                <w:shd w:val="clear" w:color="auto" w:fill="auto"/>
              </w:rPr>
            </w:pPr>
          </w:p>
        </w:tc>
        <w:tc>
          <w:tcPr>
            <w:tcW w:w="1942" w:type="dxa"/>
            <w:tcBorders>
              <w:top w:val="single" w:color="auto" w:sz="6" w:space="0"/>
              <w:left w:val="single" w:color="auto" w:sz="6" w:space="0"/>
              <w:bottom w:val="single" w:color="auto" w:sz="6" w:space="0"/>
              <w:right w:val="single" w:color="auto" w:sz="6" w:space="0"/>
              <w:tl2br w:val="nil"/>
              <w:tr2bl w:val="nil"/>
            </w:tcBorders>
            <w:noWrap/>
            <w:vAlign w:val="center"/>
          </w:tcPr>
          <w:p w14:paraId="3B4AD6F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6.系统管理</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07251F5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各厂商对角色管理、员工管理等后管功能进行讲解及演示。</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2BC5527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r w14:paraId="6268C430">
        <w:tblPrEx>
          <w:tblCellMar>
            <w:top w:w="0" w:type="dxa"/>
            <w:left w:w="108" w:type="dxa"/>
            <w:bottom w:w="0" w:type="dxa"/>
            <w:right w:w="108" w:type="dxa"/>
          </w:tblCellMar>
        </w:tblPrEx>
        <w:trPr>
          <w:trHeight w:val="2760"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0B0C7D39">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10</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89BB92">
            <w:pPr>
              <w:ind w:firstLine="480"/>
              <w:rPr>
                <w:color w:val="auto"/>
                <w:highlight w:val="none"/>
                <w:shd w:val="clear" w:color="auto" w:fill="auto"/>
              </w:rPr>
            </w:pPr>
          </w:p>
        </w:tc>
        <w:tc>
          <w:tcPr>
            <w:tcW w:w="1942" w:type="dxa"/>
            <w:tcBorders>
              <w:top w:val="single" w:color="auto" w:sz="6" w:space="0"/>
              <w:left w:val="single" w:color="auto" w:sz="6" w:space="0"/>
              <w:bottom w:val="single" w:color="auto" w:sz="6" w:space="0"/>
              <w:right w:val="single" w:color="auto" w:sz="6" w:space="0"/>
              <w:tl2br w:val="nil"/>
              <w:tr2bl w:val="nil"/>
            </w:tcBorders>
            <w:noWrap/>
            <w:vAlign w:val="center"/>
          </w:tcPr>
          <w:p w14:paraId="13C55DF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7.查询统计功能</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3D76B85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（1）验印结束后对建库/验印结果的查询统计情况进行查询和导出。包括建库情况，复核通过率等；验印结果的通过率、自动通过率、验印结果的分析等情况。</w:t>
            </w:r>
          </w:p>
          <w:p w14:paraId="4B6EFFC8">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（2）各厂商对建库、验印等账户操作日志、员工日志等进行讲解和演示。</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46B25B93">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r w14:paraId="13DB903D">
        <w:tblPrEx>
          <w:tblCellMar>
            <w:top w:w="0" w:type="dxa"/>
            <w:left w:w="108" w:type="dxa"/>
            <w:bottom w:w="0" w:type="dxa"/>
            <w:right w:w="108" w:type="dxa"/>
          </w:tblCellMar>
        </w:tblPrEx>
        <w:trPr>
          <w:trHeight w:val="1350" w:hRule="atLeast"/>
          <w:jc w:val="center"/>
        </w:trPr>
        <w:tc>
          <w:tcPr>
            <w:tcW w:w="919" w:type="dxa"/>
            <w:tcBorders>
              <w:top w:val="single" w:color="auto" w:sz="6" w:space="0"/>
              <w:left w:val="single" w:color="auto" w:sz="6" w:space="0"/>
              <w:bottom w:val="single" w:color="auto" w:sz="6" w:space="0"/>
              <w:right w:val="single" w:color="auto" w:sz="6" w:space="0"/>
              <w:tl2br w:val="nil"/>
              <w:tr2bl w:val="nil"/>
            </w:tcBorders>
            <w:noWrap/>
            <w:vAlign w:val="center"/>
          </w:tcPr>
          <w:p w14:paraId="52EDB011">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11</w:t>
            </w: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8A10BD">
            <w:pPr>
              <w:ind w:firstLine="480"/>
              <w:rPr>
                <w:color w:val="auto"/>
                <w:highlight w:val="none"/>
                <w:shd w:val="clear" w:color="auto" w:fill="auto"/>
              </w:rPr>
            </w:pPr>
          </w:p>
        </w:tc>
        <w:tc>
          <w:tcPr>
            <w:tcW w:w="1942" w:type="dxa"/>
            <w:tcBorders>
              <w:top w:val="single" w:color="auto" w:sz="6" w:space="0"/>
              <w:left w:val="single" w:color="auto" w:sz="6" w:space="0"/>
              <w:bottom w:val="single" w:color="auto" w:sz="6" w:space="0"/>
              <w:right w:val="single" w:color="auto" w:sz="6" w:space="0"/>
              <w:tl2br w:val="nil"/>
              <w:tr2bl w:val="nil"/>
            </w:tcBorders>
            <w:noWrap/>
            <w:vAlign w:val="center"/>
          </w:tcPr>
          <w:p w14:paraId="78A35BE0">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8.异常处理机制</w:t>
            </w:r>
          </w:p>
        </w:tc>
        <w:tc>
          <w:tcPr>
            <w:tcW w:w="3195" w:type="dxa"/>
            <w:tcBorders>
              <w:top w:val="single" w:color="auto" w:sz="6" w:space="0"/>
              <w:left w:val="single" w:color="auto" w:sz="6" w:space="0"/>
              <w:bottom w:val="single" w:color="auto" w:sz="6" w:space="0"/>
              <w:right w:val="single" w:color="auto" w:sz="6" w:space="0"/>
              <w:tl2br w:val="nil"/>
              <w:tr2bl w:val="nil"/>
            </w:tcBorders>
            <w:noWrap/>
            <w:vAlign w:val="center"/>
          </w:tcPr>
          <w:p w14:paraId="56A65DD1">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各厂商对异常处理机制进行讲解和演示。</w:t>
            </w:r>
          </w:p>
        </w:tc>
        <w:tc>
          <w:tcPr>
            <w:tcW w:w="1606" w:type="dxa"/>
            <w:tcBorders>
              <w:top w:val="single" w:color="auto" w:sz="6" w:space="0"/>
              <w:left w:val="single" w:color="auto" w:sz="6" w:space="0"/>
              <w:bottom w:val="single" w:color="auto" w:sz="6" w:space="0"/>
              <w:right w:val="single" w:color="auto" w:sz="6" w:space="0"/>
              <w:tl2br w:val="nil"/>
              <w:tr2bl w:val="nil"/>
            </w:tcBorders>
            <w:noWrap/>
            <w:vAlign w:val="center"/>
          </w:tcPr>
          <w:p w14:paraId="66BC489F">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w:t>
            </w:r>
          </w:p>
        </w:tc>
      </w:tr>
    </w:tbl>
    <w:p w14:paraId="730A808E">
      <w:pPr>
        <w:ind w:firstLine="480"/>
        <w:rPr>
          <w:rFonts w:ascii="宋体" w:hAnsi="宋体" w:cs="宋体"/>
          <w:color w:val="auto"/>
          <w:szCs w:val="24"/>
          <w:highlight w:val="none"/>
          <w:shd w:val="clear" w:color="auto" w:fill="auto"/>
        </w:rPr>
      </w:pPr>
    </w:p>
    <w:p w14:paraId="67F46854">
      <w:pPr>
        <w:pStyle w:val="12"/>
        <w:ind w:firstLine="480"/>
        <w:rPr>
          <w:rFonts w:hAnsi="宋体" w:eastAsia="宋体" w:cs="宋体"/>
          <w:snapToGrid w:val="0"/>
          <w:color w:val="auto"/>
          <w:sz w:val="24"/>
          <w:szCs w:val="24"/>
          <w:highlight w:val="none"/>
          <w:shd w:val="clear" w:color="auto" w:fill="auto"/>
        </w:rPr>
      </w:pPr>
      <w:r>
        <w:rPr>
          <w:rFonts w:hint="eastAsia" w:hAnsi="宋体" w:eastAsia="宋体" w:cs="宋体"/>
          <w:snapToGrid w:val="0"/>
          <w:color w:val="auto"/>
          <w:sz w:val="24"/>
          <w:szCs w:val="24"/>
          <w:highlight w:val="none"/>
          <w:shd w:val="clear" w:color="auto" w:fill="auto"/>
        </w:rPr>
        <w:t>6.2、POC数据准备</w:t>
      </w:r>
    </w:p>
    <w:tbl>
      <w:tblPr>
        <w:tblStyle w:val="21"/>
        <w:tblW w:w="0" w:type="auto"/>
        <w:jc w:val="center"/>
        <w:tblLayout w:type="autofit"/>
        <w:tblCellMar>
          <w:top w:w="0" w:type="dxa"/>
          <w:left w:w="108" w:type="dxa"/>
          <w:bottom w:w="0" w:type="dxa"/>
          <w:right w:w="108" w:type="dxa"/>
        </w:tblCellMar>
      </w:tblPr>
      <w:tblGrid>
        <w:gridCol w:w="1534"/>
        <w:gridCol w:w="1307"/>
        <w:gridCol w:w="1127"/>
        <w:gridCol w:w="4554"/>
      </w:tblGrid>
      <w:tr w14:paraId="2DAC7B89">
        <w:tblPrEx>
          <w:tblCellMar>
            <w:top w:w="0" w:type="dxa"/>
            <w:left w:w="108" w:type="dxa"/>
            <w:bottom w:w="0" w:type="dxa"/>
            <w:right w:w="108" w:type="dxa"/>
          </w:tblCellMar>
        </w:tblPrEx>
        <w:trPr>
          <w:trHeight w:val="285" w:hRule="atLeast"/>
          <w:jc w:val="center"/>
        </w:trPr>
        <w:tc>
          <w:tcPr>
            <w:tcW w:w="1534" w:type="dxa"/>
            <w:tcBorders>
              <w:top w:val="single" w:color="auto" w:sz="6" w:space="0"/>
              <w:left w:val="single" w:color="auto" w:sz="6" w:space="0"/>
              <w:bottom w:val="single" w:color="auto" w:sz="6" w:space="0"/>
              <w:right w:val="single" w:color="auto" w:sz="6" w:space="0"/>
              <w:tl2br w:val="nil"/>
              <w:tr2bl w:val="nil"/>
            </w:tcBorders>
            <w:noWrap/>
            <w:vAlign w:val="center"/>
          </w:tcPr>
          <w:p w14:paraId="7B92B234">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测试材料准备</w:t>
            </w:r>
          </w:p>
        </w:tc>
        <w:tc>
          <w:tcPr>
            <w:tcW w:w="1307" w:type="dxa"/>
            <w:tcBorders>
              <w:top w:val="single" w:color="auto" w:sz="6" w:space="0"/>
              <w:left w:val="single" w:color="auto" w:sz="6" w:space="0"/>
              <w:bottom w:val="single" w:color="auto" w:sz="6" w:space="0"/>
              <w:right w:val="single" w:color="auto" w:sz="6" w:space="0"/>
              <w:tl2br w:val="nil"/>
              <w:tr2bl w:val="nil"/>
            </w:tcBorders>
            <w:noWrap/>
            <w:vAlign w:val="center"/>
          </w:tcPr>
          <w:p w14:paraId="6519E7D8">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数量</w:t>
            </w:r>
          </w:p>
        </w:tc>
        <w:tc>
          <w:tcPr>
            <w:tcW w:w="1127" w:type="dxa"/>
            <w:tcBorders>
              <w:top w:val="single" w:color="auto" w:sz="6" w:space="0"/>
              <w:left w:val="single" w:color="auto" w:sz="6" w:space="0"/>
              <w:bottom w:val="single" w:color="auto" w:sz="6" w:space="0"/>
              <w:right w:val="single" w:color="auto" w:sz="6" w:space="0"/>
              <w:tl2br w:val="nil"/>
              <w:tr2bl w:val="nil"/>
            </w:tcBorders>
            <w:noWrap/>
            <w:vAlign w:val="center"/>
          </w:tcPr>
          <w:p w14:paraId="29F5AB90">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准备方</w:t>
            </w:r>
          </w:p>
        </w:tc>
        <w:tc>
          <w:tcPr>
            <w:tcW w:w="4554" w:type="dxa"/>
            <w:tcBorders>
              <w:top w:val="single" w:color="auto" w:sz="6" w:space="0"/>
              <w:left w:val="single" w:color="auto" w:sz="6" w:space="0"/>
              <w:bottom w:val="single" w:color="auto" w:sz="6" w:space="0"/>
              <w:right w:val="single" w:color="auto" w:sz="6" w:space="0"/>
              <w:tl2br w:val="nil"/>
              <w:tr2bl w:val="nil"/>
            </w:tcBorders>
            <w:noWrap/>
            <w:vAlign w:val="center"/>
          </w:tcPr>
          <w:p w14:paraId="58293711">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备注</w:t>
            </w:r>
          </w:p>
        </w:tc>
      </w:tr>
      <w:tr w14:paraId="61BA61F9">
        <w:tblPrEx>
          <w:tblCellMar>
            <w:top w:w="0" w:type="dxa"/>
            <w:left w:w="108" w:type="dxa"/>
            <w:bottom w:w="0" w:type="dxa"/>
            <w:right w:w="108" w:type="dxa"/>
          </w:tblCellMar>
        </w:tblPrEx>
        <w:trPr>
          <w:trHeight w:val="2160" w:hRule="atLeast"/>
          <w:jc w:val="center"/>
        </w:trPr>
        <w:tc>
          <w:tcPr>
            <w:tcW w:w="1534" w:type="dxa"/>
            <w:tcBorders>
              <w:top w:val="single" w:color="auto" w:sz="6" w:space="0"/>
              <w:left w:val="single" w:color="auto" w:sz="6" w:space="0"/>
              <w:bottom w:val="single" w:color="auto" w:sz="6" w:space="0"/>
              <w:right w:val="single" w:color="auto" w:sz="6" w:space="0"/>
              <w:tl2br w:val="nil"/>
              <w:tr2bl w:val="nil"/>
            </w:tcBorders>
            <w:noWrap/>
            <w:vAlign w:val="center"/>
          </w:tcPr>
          <w:p w14:paraId="5BE9D927">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真章</w:t>
            </w:r>
          </w:p>
        </w:tc>
        <w:tc>
          <w:tcPr>
            <w:tcW w:w="1307" w:type="dxa"/>
            <w:tcBorders>
              <w:top w:val="single" w:color="auto" w:sz="6" w:space="0"/>
              <w:left w:val="single" w:color="auto" w:sz="6" w:space="0"/>
              <w:bottom w:val="single" w:color="auto" w:sz="6" w:space="0"/>
              <w:right w:val="single" w:color="auto" w:sz="6" w:space="0"/>
              <w:tl2br w:val="nil"/>
              <w:tr2bl w:val="nil"/>
            </w:tcBorders>
            <w:noWrap/>
            <w:vAlign w:val="center"/>
          </w:tcPr>
          <w:p w14:paraId="4D4BD11D">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5套</w:t>
            </w:r>
          </w:p>
        </w:tc>
        <w:tc>
          <w:tcPr>
            <w:tcW w:w="1127" w:type="dxa"/>
            <w:tcBorders>
              <w:top w:val="single" w:color="auto" w:sz="6" w:space="0"/>
              <w:left w:val="single" w:color="auto" w:sz="6" w:space="0"/>
              <w:bottom w:val="single" w:color="auto" w:sz="6" w:space="0"/>
              <w:right w:val="single" w:color="auto" w:sz="6" w:space="0"/>
              <w:tl2br w:val="nil"/>
              <w:tr2bl w:val="nil"/>
            </w:tcBorders>
            <w:noWrap/>
            <w:vAlign w:val="center"/>
          </w:tcPr>
          <w:p w14:paraId="2289D854">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厂商</w:t>
            </w:r>
          </w:p>
        </w:tc>
        <w:tc>
          <w:tcPr>
            <w:tcW w:w="4554" w:type="dxa"/>
            <w:tcBorders>
              <w:top w:val="single" w:color="auto" w:sz="6" w:space="0"/>
              <w:left w:val="single" w:color="auto" w:sz="6" w:space="0"/>
              <w:bottom w:val="single" w:color="auto" w:sz="6" w:space="0"/>
              <w:right w:val="single" w:color="auto" w:sz="6" w:space="0"/>
              <w:tl2br w:val="nil"/>
              <w:tr2bl w:val="nil"/>
            </w:tcBorders>
            <w:noWrap/>
            <w:vAlign w:val="center"/>
          </w:tcPr>
          <w:p w14:paraId="0C0CB222">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（1）每个厂商各自准备5套真章，每套包含1枚公章、1枚财务章、1枚个人名章</w:t>
            </w:r>
          </w:p>
          <w:p w14:paraId="44B99BF8">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（2）印章中需要覆盖圆形、椭圆形、长方形、正方形、三角形。</w:t>
            </w:r>
          </w:p>
          <w:p w14:paraId="7A273823">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（3）印章中需要覆盖小码、外文、中外文结合。</w:t>
            </w:r>
          </w:p>
          <w:p w14:paraId="0F69A0C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（4）印章中需要覆盖有边框，无边框。</w:t>
            </w:r>
          </w:p>
          <w:p w14:paraId="7053F67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（5）印章中需要覆盖不同类型，比如光敏印章、翻转印章、红胶印章、原子印章等。</w:t>
            </w:r>
          </w:p>
          <w:p w14:paraId="46329D5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（6）印章中需要覆盖不同颜色。比如红色、蓝色。</w:t>
            </w:r>
          </w:p>
          <w:p w14:paraId="2FB6F941">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（7）印章中需要覆盖印刷体、手写体（包括对无印章的签名进行验印）。</w:t>
            </w:r>
          </w:p>
        </w:tc>
      </w:tr>
      <w:tr w14:paraId="1CE9C4EF">
        <w:tblPrEx>
          <w:tblCellMar>
            <w:top w:w="0" w:type="dxa"/>
            <w:left w:w="108" w:type="dxa"/>
            <w:bottom w:w="0" w:type="dxa"/>
            <w:right w:w="108" w:type="dxa"/>
          </w:tblCellMar>
        </w:tblPrEx>
        <w:trPr>
          <w:trHeight w:val="1080" w:hRule="atLeast"/>
          <w:jc w:val="center"/>
        </w:trPr>
        <w:tc>
          <w:tcPr>
            <w:tcW w:w="1534" w:type="dxa"/>
            <w:tcBorders>
              <w:top w:val="single" w:color="auto" w:sz="6" w:space="0"/>
              <w:left w:val="single" w:color="auto" w:sz="6" w:space="0"/>
              <w:bottom w:val="single" w:color="auto" w:sz="6" w:space="0"/>
              <w:right w:val="single" w:color="auto" w:sz="6" w:space="0"/>
              <w:tl2br w:val="nil"/>
              <w:tr2bl w:val="nil"/>
            </w:tcBorders>
            <w:noWrap/>
            <w:vAlign w:val="center"/>
          </w:tcPr>
          <w:p w14:paraId="76C2269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假章</w:t>
            </w:r>
          </w:p>
        </w:tc>
        <w:tc>
          <w:tcPr>
            <w:tcW w:w="1307" w:type="dxa"/>
            <w:tcBorders>
              <w:top w:val="single" w:color="auto" w:sz="6" w:space="0"/>
              <w:left w:val="single" w:color="auto" w:sz="6" w:space="0"/>
              <w:bottom w:val="single" w:color="auto" w:sz="6" w:space="0"/>
              <w:right w:val="single" w:color="auto" w:sz="6" w:space="0"/>
              <w:tl2br w:val="nil"/>
              <w:tr2bl w:val="nil"/>
            </w:tcBorders>
            <w:noWrap/>
            <w:vAlign w:val="center"/>
          </w:tcPr>
          <w:p w14:paraId="19206C9F">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2套</w:t>
            </w:r>
          </w:p>
        </w:tc>
        <w:tc>
          <w:tcPr>
            <w:tcW w:w="1127" w:type="dxa"/>
            <w:tcBorders>
              <w:top w:val="single" w:color="auto" w:sz="6" w:space="0"/>
              <w:left w:val="single" w:color="auto" w:sz="6" w:space="0"/>
              <w:bottom w:val="single" w:color="auto" w:sz="6" w:space="0"/>
              <w:right w:val="single" w:color="auto" w:sz="6" w:space="0"/>
              <w:tl2br w:val="nil"/>
              <w:tr2bl w:val="nil"/>
            </w:tcBorders>
            <w:noWrap/>
            <w:vAlign w:val="center"/>
          </w:tcPr>
          <w:p w14:paraId="36734F4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行方</w:t>
            </w:r>
          </w:p>
        </w:tc>
        <w:tc>
          <w:tcPr>
            <w:tcW w:w="4554" w:type="dxa"/>
            <w:tcBorders>
              <w:top w:val="single" w:color="auto" w:sz="6" w:space="0"/>
              <w:left w:val="single" w:color="auto" w:sz="6" w:space="0"/>
              <w:bottom w:val="single" w:color="auto" w:sz="6" w:space="0"/>
              <w:right w:val="single" w:color="auto" w:sz="6" w:space="0"/>
              <w:tl2br w:val="nil"/>
              <w:tr2bl w:val="nil"/>
            </w:tcBorders>
            <w:noWrap/>
            <w:vAlign w:val="center"/>
          </w:tcPr>
          <w:p w14:paraId="6329F000">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（1）在真章中挑选2套刻制假章。</w:t>
            </w:r>
          </w:p>
          <w:p w14:paraId="039B9D57">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（2）假章刻制方式为使用真章在空白票据上加盖后的票据进行套刻。</w:t>
            </w:r>
          </w:p>
          <w:p w14:paraId="5EEFA22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（3）覆盖真假章的小码只相差一个数字，其他内容一致（比如8→6）。</w:t>
            </w:r>
          </w:p>
          <w:p w14:paraId="3B415A9D">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（4）覆盖防伪标志不同位置。</w:t>
            </w:r>
          </w:p>
        </w:tc>
      </w:tr>
      <w:tr w14:paraId="321DDECB">
        <w:tblPrEx>
          <w:tblCellMar>
            <w:top w:w="0" w:type="dxa"/>
            <w:left w:w="108" w:type="dxa"/>
            <w:bottom w:w="0" w:type="dxa"/>
            <w:right w:w="108" w:type="dxa"/>
          </w:tblCellMar>
        </w:tblPrEx>
        <w:trPr>
          <w:trHeight w:val="540" w:hRule="atLeast"/>
          <w:jc w:val="center"/>
        </w:trPr>
        <w:tc>
          <w:tcPr>
            <w:tcW w:w="1534" w:type="dxa"/>
            <w:tcBorders>
              <w:top w:val="single" w:color="auto" w:sz="6" w:space="0"/>
              <w:left w:val="single" w:color="auto" w:sz="6" w:space="0"/>
              <w:bottom w:val="single" w:color="auto" w:sz="6" w:space="0"/>
              <w:right w:val="single" w:color="auto" w:sz="6" w:space="0"/>
              <w:tl2br w:val="nil"/>
              <w:tr2bl w:val="nil"/>
            </w:tcBorders>
            <w:noWrap/>
            <w:vAlign w:val="center"/>
          </w:tcPr>
          <w:p w14:paraId="3F66B112">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空白印鉴卡</w:t>
            </w:r>
          </w:p>
        </w:tc>
        <w:tc>
          <w:tcPr>
            <w:tcW w:w="1307" w:type="dxa"/>
            <w:tcBorders>
              <w:top w:val="single" w:color="auto" w:sz="6" w:space="0"/>
              <w:left w:val="single" w:color="auto" w:sz="6" w:space="0"/>
              <w:bottom w:val="single" w:color="auto" w:sz="6" w:space="0"/>
              <w:right w:val="single" w:color="auto" w:sz="6" w:space="0"/>
              <w:tl2br w:val="nil"/>
              <w:tr2bl w:val="nil"/>
            </w:tcBorders>
            <w:noWrap/>
            <w:vAlign w:val="center"/>
          </w:tcPr>
          <w:p w14:paraId="146D0499">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5份*厂商数</w:t>
            </w:r>
          </w:p>
        </w:tc>
        <w:tc>
          <w:tcPr>
            <w:tcW w:w="1127" w:type="dxa"/>
            <w:tcBorders>
              <w:top w:val="single" w:color="auto" w:sz="6" w:space="0"/>
              <w:left w:val="single" w:color="auto" w:sz="6" w:space="0"/>
              <w:bottom w:val="single" w:color="auto" w:sz="6" w:space="0"/>
              <w:right w:val="single" w:color="auto" w:sz="6" w:space="0"/>
              <w:tl2br w:val="nil"/>
              <w:tr2bl w:val="nil"/>
            </w:tcBorders>
            <w:noWrap/>
            <w:vAlign w:val="center"/>
          </w:tcPr>
          <w:p w14:paraId="0AB80139">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行方后督中心</w:t>
            </w:r>
          </w:p>
        </w:tc>
        <w:tc>
          <w:tcPr>
            <w:tcW w:w="4554" w:type="dxa"/>
            <w:tcBorders>
              <w:top w:val="single" w:color="auto" w:sz="6" w:space="0"/>
              <w:left w:val="single" w:color="auto" w:sz="6" w:space="0"/>
              <w:bottom w:val="single" w:color="auto" w:sz="6" w:space="0"/>
              <w:right w:val="single" w:color="auto" w:sz="6" w:space="0"/>
              <w:tl2br w:val="nil"/>
              <w:tr2bl w:val="nil"/>
            </w:tcBorders>
            <w:noWrap/>
            <w:vAlign w:val="center"/>
          </w:tcPr>
          <w:p w14:paraId="0629FE6B">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按照厂商数量，每个厂商5份空白印鉴</w:t>
            </w:r>
          </w:p>
        </w:tc>
      </w:tr>
      <w:tr w14:paraId="4230A767">
        <w:tblPrEx>
          <w:tblCellMar>
            <w:top w:w="0" w:type="dxa"/>
            <w:left w:w="108" w:type="dxa"/>
            <w:bottom w:w="0" w:type="dxa"/>
            <w:right w:w="108" w:type="dxa"/>
          </w:tblCellMar>
        </w:tblPrEx>
        <w:trPr>
          <w:trHeight w:val="1350" w:hRule="atLeast"/>
          <w:jc w:val="center"/>
        </w:trPr>
        <w:tc>
          <w:tcPr>
            <w:tcW w:w="1534" w:type="dxa"/>
            <w:tcBorders>
              <w:top w:val="single" w:color="auto" w:sz="6" w:space="0"/>
              <w:left w:val="single" w:color="auto" w:sz="6" w:space="0"/>
              <w:bottom w:val="single" w:color="auto" w:sz="6" w:space="0"/>
              <w:right w:val="single" w:color="auto" w:sz="6" w:space="0"/>
              <w:tl2br w:val="nil"/>
              <w:tr2bl w:val="nil"/>
            </w:tcBorders>
            <w:noWrap/>
            <w:vAlign w:val="center"/>
          </w:tcPr>
          <w:p w14:paraId="216DBFC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空白票据(现金支票、转账支票、电汇凭证、对账单、A4纸)</w:t>
            </w:r>
          </w:p>
        </w:tc>
        <w:tc>
          <w:tcPr>
            <w:tcW w:w="1307" w:type="dxa"/>
            <w:tcBorders>
              <w:top w:val="single" w:color="auto" w:sz="6" w:space="0"/>
              <w:left w:val="single" w:color="auto" w:sz="6" w:space="0"/>
              <w:bottom w:val="single" w:color="auto" w:sz="6" w:space="0"/>
              <w:right w:val="single" w:color="auto" w:sz="6" w:space="0"/>
              <w:tl2br w:val="nil"/>
              <w:tr2bl w:val="nil"/>
            </w:tcBorders>
            <w:noWrap/>
            <w:vAlign w:val="center"/>
          </w:tcPr>
          <w:p w14:paraId="0F3D9508">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50份*厂商数</w:t>
            </w:r>
          </w:p>
        </w:tc>
        <w:tc>
          <w:tcPr>
            <w:tcW w:w="1127" w:type="dxa"/>
            <w:tcBorders>
              <w:top w:val="single" w:color="auto" w:sz="6" w:space="0"/>
              <w:left w:val="single" w:color="auto" w:sz="6" w:space="0"/>
              <w:bottom w:val="single" w:color="auto" w:sz="6" w:space="0"/>
              <w:right w:val="single" w:color="auto" w:sz="6" w:space="0"/>
              <w:tl2br w:val="nil"/>
              <w:tr2bl w:val="nil"/>
            </w:tcBorders>
            <w:noWrap/>
            <w:vAlign w:val="center"/>
          </w:tcPr>
          <w:p w14:paraId="5AE27F31">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行方后督中心</w:t>
            </w:r>
          </w:p>
        </w:tc>
        <w:tc>
          <w:tcPr>
            <w:tcW w:w="4554" w:type="dxa"/>
            <w:tcBorders>
              <w:top w:val="single" w:color="auto" w:sz="6" w:space="0"/>
              <w:left w:val="single" w:color="auto" w:sz="6" w:space="0"/>
              <w:bottom w:val="single" w:color="auto" w:sz="6" w:space="0"/>
              <w:right w:val="single" w:color="auto" w:sz="6" w:space="0"/>
              <w:tl2br w:val="nil"/>
              <w:tr2bl w:val="nil"/>
            </w:tcBorders>
            <w:noWrap/>
            <w:vAlign w:val="center"/>
          </w:tcPr>
          <w:p w14:paraId="09D072A8">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每套真章对应3份空白票据，每套假章对应3份空白票据</w:t>
            </w:r>
          </w:p>
        </w:tc>
      </w:tr>
      <w:tr w14:paraId="5C254B00">
        <w:tblPrEx>
          <w:tblCellMar>
            <w:top w:w="0" w:type="dxa"/>
            <w:left w:w="108" w:type="dxa"/>
            <w:bottom w:w="0" w:type="dxa"/>
            <w:right w:w="108" w:type="dxa"/>
          </w:tblCellMar>
        </w:tblPrEx>
        <w:trPr>
          <w:trHeight w:val="1065" w:hRule="atLeast"/>
          <w:jc w:val="center"/>
        </w:trPr>
        <w:tc>
          <w:tcPr>
            <w:tcW w:w="1534" w:type="dxa"/>
            <w:tcBorders>
              <w:top w:val="single" w:color="auto" w:sz="6" w:space="0"/>
              <w:left w:val="single" w:color="auto" w:sz="6" w:space="0"/>
              <w:bottom w:val="single" w:color="auto" w:sz="6" w:space="0"/>
              <w:right w:val="single" w:color="auto" w:sz="6" w:space="0"/>
              <w:tl2br w:val="nil"/>
              <w:tr2bl w:val="nil"/>
            </w:tcBorders>
            <w:noWrap/>
            <w:vAlign w:val="center"/>
          </w:tcPr>
          <w:p w14:paraId="172241B3">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高拍仪</w:t>
            </w:r>
          </w:p>
        </w:tc>
        <w:tc>
          <w:tcPr>
            <w:tcW w:w="1307" w:type="dxa"/>
            <w:tcBorders>
              <w:top w:val="single" w:color="auto" w:sz="6" w:space="0"/>
              <w:left w:val="single" w:color="auto" w:sz="6" w:space="0"/>
              <w:bottom w:val="single" w:color="auto" w:sz="6" w:space="0"/>
              <w:right w:val="single" w:color="auto" w:sz="6" w:space="0"/>
              <w:tl2br w:val="nil"/>
              <w:tr2bl w:val="nil"/>
            </w:tcBorders>
            <w:noWrap/>
            <w:vAlign w:val="center"/>
          </w:tcPr>
          <w:p w14:paraId="002FEEFC">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方杆1，圆杆1,</w:t>
            </w:r>
          </w:p>
        </w:tc>
        <w:tc>
          <w:tcPr>
            <w:tcW w:w="1127" w:type="dxa"/>
            <w:tcBorders>
              <w:top w:val="single" w:color="auto" w:sz="6" w:space="0"/>
              <w:left w:val="single" w:color="auto" w:sz="6" w:space="0"/>
              <w:bottom w:val="single" w:color="auto" w:sz="6" w:space="0"/>
              <w:right w:val="single" w:color="auto" w:sz="6" w:space="0"/>
              <w:tl2br w:val="nil"/>
              <w:tr2bl w:val="nil"/>
            </w:tcBorders>
            <w:noWrap/>
            <w:vAlign w:val="center"/>
          </w:tcPr>
          <w:p w14:paraId="3A082026">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行方科技</w:t>
            </w:r>
          </w:p>
        </w:tc>
        <w:tc>
          <w:tcPr>
            <w:tcW w:w="4554" w:type="dxa"/>
            <w:tcBorders>
              <w:top w:val="single" w:color="auto" w:sz="6" w:space="0"/>
              <w:left w:val="single" w:color="auto" w:sz="6" w:space="0"/>
              <w:bottom w:val="single" w:color="auto" w:sz="6" w:space="0"/>
              <w:right w:val="single" w:color="auto" w:sz="6" w:space="0"/>
              <w:tl2br w:val="nil"/>
              <w:tr2bl w:val="nil"/>
            </w:tcBorders>
            <w:noWrap/>
            <w:vAlign w:val="center"/>
          </w:tcPr>
          <w:p w14:paraId="3D91C88A">
            <w:pPr>
              <w:ind w:firstLine="0" w:firstLineChars="0"/>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每个厂商1套真假章使用方杆高拍仪，1套真假章使用圆杆高拍仪。在不同光线下建库和验印</w:t>
            </w:r>
          </w:p>
        </w:tc>
      </w:tr>
    </w:tbl>
    <w:p w14:paraId="4408F10B">
      <w:pPr>
        <w:ind w:firstLine="480"/>
        <w:rPr>
          <w:rFonts w:ascii="宋体" w:hAnsi="宋体" w:cs="宋体"/>
          <w:color w:val="auto"/>
          <w:szCs w:val="24"/>
          <w:highlight w:val="none"/>
          <w:shd w:val="clear" w:color="auto" w:fill="auto"/>
        </w:rPr>
      </w:pPr>
    </w:p>
    <w:p w14:paraId="291A4B0B">
      <w:pPr>
        <w:ind w:firstLine="480"/>
        <w:rPr>
          <w:rFonts w:ascii="宋体" w:hAnsi="宋体" w:cs="宋体"/>
          <w:snapToGrid w:val="0"/>
          <w:color w:val="auto"/>
          <w:szCs w:val="24"/>
          <w:highlight w:val="none"/>
          <w:shd w:val="clear" w:color="auto" w:fill="auto"/>
        </w:rPr>
      </w:pPr>
      <w:r>
        <w:rPr>
          <w:rFonts w:hint="eastAsia" w:ascii="宋体" w:hAnsi="宋体" w:cs="宋体"/>
          <w:snapToGrid w:val="0"/>
          <w:color w:val="auto"/>
          <w:szCs w:val="24"/>
          <w:highlight w:val="none"/>
          <w:shd w:val="clear" w:color="auto" w:fill="auto"/>
        </w:rPr>
        <w:t>7、系统安全与数据安全</w:t>
      </w:r>
    </w:p>
    <w:p w14:paraId="1AEAD0F7">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为了确保系统和数据的安全，将确实做好以下工作：</w:t>
      </w:r>
    </w:p>
    <w:p w14:paraId="499908D7">
      <w:pPr>
        <w:pStyle w:val="12"/>
        <w:spacing w:line="600" w:lineRule="exact"/>
        <w:ind w:firstLine="480"/>
        <w:rPr>
          <w:rFonts w:hAnsi="宋体" w:eastAsia="宋体" w:cs="宋体"/>
          <w:snapToGrid w:val="0"/>
          <w:color w:val="auto"/>
          <w:sz w:val="24"/>
          <w:szCs w:val="24"/>
          <w:highlight w:val="none"/>
          <w:shd w:val="clear" w:color="auto" w:fill="auto"/>
        </w:rPr>
      </w:pPr>
      <w:r>
        <w:rPr>
          <w:rFonts w:hint="eastAsia" w:hAnsi="宋体" w:eastAsia="宋体" w:cs="宋体"/>
          <w:snapToGrid w:val="0"/>
          <w:color w:val="auto"/>
          <w:sz w:val="24"/>
          <w:szCs w:val="24"/>
          <w:highlight w:val="none"/>
          <w:shd w:val="clear" w:color="auto" w:fill="auto"/>
        </w:rPr>
        <w:t>7.1、保密意识</w:t>
      </w:r>
    </w:p>
    <w:p w14:paraId="0C58EE69">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参加测试单位之间有共同的保密意识，明确此次测试数据只能用于该项目。测试人员不得以任何方式将数据拷贝带出，一经发现，我方将立即中断合作；</w:t>
      </w:r>
    </w:p>
    <w:p w14:paraId="5D1498E1">
      <w:pPr>
        <w:pStyle w:val="12"/>
        <w:spacing w:line="600" w:lineRule="exact"/>
        <w:ind w:firstLine="480"/>
        <w:rPr>
          <w:rFonts w:hAnsi="宋体" w:eastAsia="宋体" w:cs="宋体"/>
          <w:snapToGrid w:val="0"/>
          <w:color w:val="auto"/>
          <w:sz w:val="24"/>
          <w:szCs w:val="24"/>
          <w:highlight w:val="none"/>
          <w:shd w:val="clear" w:color="auto" w:fill="auto"/>
        </w:rPr>
      </w:pPr>
      <w:r>
        <w:rPr>
          <w:rFonts w:hint="eastAsia" w:hAnsi="宋体" w:eastAsia="宋体" w:cs="宋体"/>
          <w:snapToGrid w:val="0"/>
          <w:color w:val="auto"/>
          <w:sz w:val="24"/>
          <w:szCs w:val="24"/>
          <w:highlight w:val="none"/>
          <w:shd w:val="clear" w:color="auto" w:fill="auto"/>
        </w:rPr>
        <w:t>7.2、数据删除</w:t>
      </w:r>
    </w:p>
    <w:p w14:paraId="183BA2D0">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完成测试后，参测单位对系统内所存储的敏感数据彻底清除。</w:t>
      </w:r>
    </w:p>
    <w:p w14:paraId="1DB33130">
      <w:pPr>
        <w:spacing w:line="240" w:lineRule="auto"/>
        <w:ind w:firstLine="0" w:firstLineChars="0"/>
        <w:rPr>
          <w:rFonts w:ascii="Times New Roman" w:hAnsi="Times New Roman" w:cs="宋体"/>
          <w:snapToGrid w:val="0"/>
          <w:color w:val="auto"/>
          <w:kern w:val="0"/>
          <w:szCs w:val="24"/>
          <w:highlight w:val="none"/>
          <w:shd w:val="clear" w:color="auto" w:fill="auto"/>
        </w:rPr>
      </w:pPr>
      <w:r>
        <w:rPr>
          <w:rFonts w:ascii="Times New Roman" w:hAnsi="Times New Roman" w:cs="宋体"/>
          <w:snapToGrid w:val="0"/>
          <w:color w:val="auto"/>
          <w:kern w:val="0"/>
          <w:szCs w:val="24"/>
          <w:highlight w:val="none"/>
          <w:shd w:val="clear" w:color="auto" w:fill="auto"/>
        </w:rPr>
        <w:br w:type="page"/>
      </w:r>
    </w:p>
    <w:p w14:paraId="732F6C22">
      <w:pPr>
        <w:ind w:firstLine="480"/>
        <w:rPr>
          <w:rFonts w:ascii="Times New Roman" w:hAnsi="Times New Roman"/>
          <w:color w:val="auto"/>
          <w:highlight w:val="none"/>
          <w:shd w:val="clear" w:color="auto" w:fill="auto"/>
        </w:rPr>
      </w:pPr>
      <w:bookmarkStart w:id="168" w:name="_Toc24542"/>
      <w:bookmarkStart w:id="169" w:name="_Toc29189"/>
    </w:p>
    <w:p w14:paraId="49CD175F">
      <w:pPr>
        <w:pStyle w:val="2"/>
        <w:rPr>
          <w:rFonts w:ascii="Times New Roman" w:hAnsi="Times New Roman"/>
          <w:color w:val="auto"/>
          <w:highlight w:val="none"/>
          <w:shd w:val="clear" w:color="auto" w:fill="auto"/>
        </w:rPr>
      </w:pPr>
      <w:bookmarkStart w:id="170" w:name="_Toc25608"/>
      <w:bookmarkStart w:id="171" w:name="_Toc29272"/>
      <w:r>
        <w:rPr>
          <w:rFonts w:hint="eastAsia" w:ascii="Times New Roman" w:hAnsi="Times New Roman"/>
          <w:color w:val="auto"/>
          <w:highlight w:val="none"/>
          <w:shd w:val="clear" w:color="auto" w:fill="auto"/>
        </w:rPr>
        <w:t>第</w:t>
      </w:r>
      <w:r>
        <w:rPr>
          <w:rFonts w:ascii="Times New Roman" w:hAnsi="Times New Roman"/>
          <w:color w:val="auto"/>
          <w:highlight w:val="none"/>
          <w:shd w:val="clear" w:color="auto" w:fill="auto"/>
        </w:rPr>
        <w:t>四</w:t>
      </w:r>
      <w:r>
        <w:rPr>
          <w:rFonts w:hint="eastAsia" w:ascii="Times New Roman" w:hAnsi="Times New Roman"/>
          <w:color w:val="auto"/>
          <w:highlight w:val="none"/>
          <w:shd w:val="clear" w:color="auto" w:fill="auto"/>
        </w:rPr>
        <w:t>章 评审办法（综合评估法）</w:t>
      </w:r>
      <w:bookmarkEnd w:id="168"/>
      <w:bookmarkEnd w:id="169"/>
      <w:bookmarkEnd w:id="170"/>
      <w:bookmarkEnd w:id="171"/>
    </w:p>
    <w:p w14:paraId="4348BFEF">
      <w:pPr>
        <w:ind w:firstLine="482"/>
        <w:rPr>
          <w:rFonts w:ascii="Times New Roman" w:hAnsi="Times New Roman"/>
          <w:b/>
          <w:bCs/>
          <w:color w:val="auto"/>
          <w:highlight w:val="none"/>
          <w:shd w:val="clear" w:color="auto" w:fill="auto"/>
        </w:rPr>
      </w:pPr>
      <w:bookmarkStart w:id="172" w:name="_Toc14810"/>
      <w:bookmarkStart w:id="173" w:name="_Toc2028"/>
      <w:bookmarkStart w:id="174" w:name="_Toc27076"/>
      <w:bookmarkStart w:id="175" w:name="_Toc11471"/>
      <w:r>
        <w:rPr>
          <w:rFonts w:hint="eastAsia" w:ascii="Times New Roman" w:hAnsi="Times New Roman"/>
          <w:b/>
          <w:bCs/>
          <w:color w:val="auto"/>
          <w:highlight w:val="none"/>
          <w:shd w:val="clear" w:color="auto" w:fill="auto"/>
        </w:rPr>
        <w:t>评审办法前附表</w:t>
      </w:r>
      <w:bookmarkEnd w:id="172"/>
      <w:bookmarkEnd w:id="173"/>
      <w:bookmarkEnd w:id="174"/>
      <w:bookmarkEnd w:id="175"/>
    </w:p>
    <w:p w14:paraId="049679DC">
      <w:pPr>
        <w:spacing w:line="360" w:lineRule="auto"/>
        <w:ind w:firstLine="480"/>
        <w:rPr>
          <w:rFonts w:ascii="Times New Roman" w:hAnsi="Times New Roman"/>
          <w:color w:val="auto"/>
          <w:highlight w:val="none"/>
          <w:shd w:val="clear" w:color="auto" w:fill="auto"/>
        </w:rPr>
      </w:pPr>
      <w:r>
        <w:rPr>
          <w:rFonts w:ascii="Times New Roman" w:hAnsi="Times New Roman"/>
          <w:color w:val="auto"/>
          <w:szCs w:val="21"/>
          <w:highlight w:val="none"/>
          <w:shd w:val="clear" w:color="auto" w:fill="auto"/>
        </w:rPr>
        <w:t>若</w:t>
      </w:r>
      <w:r>
        <w:rPr>
          <w:rFonts w:hint="eastAsia" w:ascii="Times New Roman" w:hAnsi="Times New Roman"/>
          <w:color w:val="auto"/>
          <w:szCs w:val="21"/>
          <w:highlight w:val="none"/>
          <w:shd w:val="clear" w:color="auto" w:fill="auto"/>
        </w:rPr>
        <w:t>评审办法前附表</w:t>
      </w:r>
      <w:r>
        <w:rPr>
          <w:rFonts w:ascii="Times New Roman" w:hAnsi="Times New Roman"/>
          <w:color w:val="auto"/>
          <w:szCs w:val="21"/>
          <w:highlight w:val="none"/>
          <w:shd w:val="clear" w:color="auto" w:fill="auto"/>
        </w:rPr>
        <w:t>与正文不一致的地方，以</w:t>
      </w:r>
      <w:r>
        <w:rPr>
          <w:rFonts w:hint="eastAsia" w:ascii="Times New Roman" w:hAnsi="Times New Roman"/>
          <w:color w:val="auto"/>
          <w:szCs w:val="21"/>
          <w:highlight w:val="none"/>
          <w:shd w:val="clear" w:color="auto" w:fill="auto"/>
        </w:rPr>
        <w:t>评审办法前附表</w:t>
      </w:r>
      <w:r>
        <w:rPr>
          <w:rFonts w:ascii="Times New Roman" w:hAnsi="Times New Roman"/>
          <w:color w:val="auto"/>
          <w:szCs w:val="21"/>
          <w:highlight w:val="none"/>
          <w:shd w:val="clear" w:color="auto" w:fill="auto"/>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686"/>
        <w:gridCol w:w="5476"/>
      </w:tblGrid>
      <w:tr w14:paraId="5BA0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98C20AC">
            <w:pPr>
              <w:spacing w:line="360" w:lineRule="auto"/>
              <w:ind w:firstLine="0" w:firstLineChars="0"/>
              <w:jc w:val="center"/>
              <w:rPr>
                <w:rFonts w:ascii="Times New Roman" w:hAnsi="Times New Roman" w:cs="宋体"/>
                <w:b/>
                <w:color w:val="auto"/>
                <w:kern w:val="0"/>
                <w:sz w:val="21"/>
                <w:szCs w:val="21"/>
                <w:highlight w:val="none"/>
                <w:shd w:val="clear" w:color="auto" w:fill="auto"/>
              </w:rPr>
            </w:pPr>
            <w:bookmarkStart w:id="176" w:name="CQZH1_07"/>
            <w:r>
              <w:rPr>
                <w:rFonts w:hint="eastAsia" w:ascii="Times New Roman" w:hAnsi="Times New Roman" w:cs="宋体"/>
                <w:b/>
                <w:color w:val="auto"/>
                <w:kern w:val="0"/>
                <w:sz w:val="21"/>
                <w:szCs w:val="21"/>
                <w:highlight w:val="none"/>
                <w:shd w:val="clear" w:color="auto" w:fill="auto"/>
              </w:rPr>
              <w:t>条款号</w:t>
            </w:r>
          </w:p>
        </w:tc>
        <w:tc>
          <w:tcPr>
            <w:tcW w:w="1482" w:type="dxa"/>
            <w:vAlign w:val="center"/>
          </w:tcPr>
          <w:p w14:paraId="32A81AB9">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评审因素</w:t>
            </w:r>
          </w:p>
        </w:tc>
        <w:tc>
          <w:tcPr>
            <w:tcW w:w="7162" w:type="dxa"/>
            <w:gridSpan w:val="2"/>
            <w:vAlign w:val="center"/>
          </w:tcPr>
          <w:p w14:paraId="46E47F2C">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评审标准</w:t>
            </w:r>
          </w:p>
        </w:tc>
      </w:tr>
      <w:tr w14:paraId="0531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3B29678">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1</w:t>
            </w:r>
          </w:p>
        </w:tc>
        <w:tc>
          <w:tcPr>
            <w:tcW w:w="1482" w:type="dxa"/>
            <w:tcBorders>
              <w:top w:val="single" w:color="auto" w:sz="4" w:space="0"/>
              <w:left w:val="single" w:color="auto" w:sz="4" w:space="0"/>
              <w:right w:val="single" w:color="auto" w:sz="4" w:space="0"/>
            </w:tcBorders>
            <w:vAlign w:val="center"/>
          </w:tcPr>
          <w:p w14:paraId="48A99B89">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Times New Roman"/>
                <w:color w:val="auto"/>
                <w:sz w:val="21"/>
                <w:szCs w:val="21"/>
                <w:highlight w:val="none"/>
                <w:shd w:val="clear" w:color="auto" w:fill="auto"/>
              </w:rPr>
              <w:t>评审办法</w:t>
            </w:r>
          </w:p>
        </w:tc>
        <w:tc>
          <w:tcPr>
            <w:tcW w:w="7162" w:type="dxa"/>
            <w:gridSpan w:val="2"/>
            <w:vAlign w:val="center"/>
          </w:tcPr>
          <w:p w14:paraId="729BBE68">
            <w:pPr>
              <w:spacing w:line="360" w:lineRule="auto"/>
              <w:ind w:firstLine="0" w:firstLineChars="0"/>
              <w:rPr>
                <w:rFonts w:ascii="Times New Roman" w:hAnsi="Times New Roman" w:cs="宋体"/>
                <w:b/>
                <w:color w:val="auto"/>
                <w:kern w:val="0"/>
                <w:sz w:val="21"/>
                <w:szCs w:val="21"/>
                <w:highlight w:val="none"/>
                <w:shd w:val="clear" w:color="auto" w:fill="auto"/>
              </w:rPr>
            </w:pPr>
            <w:r>
              <w:rPr>
                <w:rFonts w:hint="eastAsia" w:ascii="Times New Roman" w:hAnsi="Times New Roman" w:cs="Times New Roman"/>
                <w:color w:val="auto"/>
                <w:kern w:val="0"/>
                <w:sz w:val="21"/>
                <w:szCs w:val="24"/>
                <w:highlight w:val="none"/>
                <w:shd w:val="clear" w:color="auto" w:fill="auto"/>
              </w:rPr>
              <w:t>本次评审采用综合评估法。评审委员会按照评审办法前附表第2.1 条规定进行初步评审，对初步评审合格的参选人根据2.2 条规定的详细评审评分标准进行打分，按得分由高到低顺序推荐</w:t>
            </w:r>
            <w:r>
              <w:rPr>
                <w:rFonts w:hint="eastAsia" w:ascii="Times New Roman" w:hAnsi="Times New Roman" w:cs="Times New Roman"/>
                <w:color w:val="auto"/>
                <w:kern w:val="0"/>
                <w:sz w:val="21"/>
                <w:szCs w:val="24"/>
                <w:highlight w:val="none"/>
                <w:shd w:val="clear" w:color="auto" w:fill="auto"/>
                <w:lang w:val="en-US" w:eastAsia="zh-CN"/>
              </w:rPr>
              <w:t>1-</w:t>
            </w:r>
            <w:r>
              <w:rPr>
                <w:rFonts w:hint="eastAsia" w:ascii="Times New Roman" w:hAnsi="Times New Roman" w:cs="Times New Roman"/>
                <w:color w:val="auto"/>
                <w:kern w:val="0"/>
                <w:sz w:val="21"/>
                <w:szCs w:val="24"/>
                <w:highlight w:val="none"/>
                <w:shd w:val="clear" w:color="auto" w:fill="auto"/>
              </w:rPr>
              <w:t>3名中选候选人，但参选报价低于其成本的除外。综合评分相等时，以参选报价低的优先；参选报价也相等的，由评审委员会按照验印自动通过率和产品责任险合计得分由高到低原则排序。</w:t>
            </w:r>
          </w:p>
        </w:tc>
      </w:tr>
      <w:tr w14:paraId="03DF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7457637">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2.1</w:t>
            </w:r>
          </w:p>
        </w:tc>
        <w:tc>
          <w:tcPr>
            <w:tcW w:w="1482" w:type="dxa"/>
            <w:tcBorders>
              <w:top w:val="single" w:color="auto" w:sz="4" w:space="0"/>
              <w:left w:val="single" w:color="auto" w:sz="4" w:space="0"/>
              <w:right w:val="single" w:color="auto" w:sz="4" w:space="0"/>
            </w:tcBorders>
            <w:vAlign w:val="center"/>
          </w:tcPr>
          <w:p w14:paraId="3C924DD9">
            <w:pPr>
              <w:spacing w:line="360" w:lineRule="auto"/>
              <w:ind w:firstLine="0" w:firstLineChars="0"/>
              <w:jc w:val="center"/>
              <w:rPr>
                <w:rFonts w:ascii="Times New Roman" w:hAnsi="Times New Roman" w:cs="Times New Roman"/>
                <w:color w:val="auto"/>
                <w:kern w:val="0"/>
                <w:sz w:val="21"/>
                <w:szCs w:val="24"/>
                <w:highlight w:val="none"/>
                <w:shd w:val="clear" w:color="auto" w:fill="auto"/>
              </w:rPr>
            </w:pPr>
            <w:r>
              <w:rPr>
                <w:rFonts w:hint="eastAsia" w:ascii="Times New Roman" w:hAnsi="Times New Roman" w:cs="Times New Roman"/>
                <w:color w:val="auto"/>
                <w:kern w:val="0"/>
                <w:sz w:val="21"/>
                <w:szCs w:val="24"/>
                <w:highlight w:val="none"/>
                <w:shd w:val="clear" w:color="auto" w:fill="auto"/>
              </w:rPr>
              <w:t>初步评审标准</w:t>
            </w:r>
          </w:p>
        </w:tc>
        <w:tc>
          <w:tcPr>
            <w:tcW w:w="7162" w:type="dxa"/>
            <w:gridSpan w:val="2"/>
            <w:vAlign w:val="center"/>
          </w:tcPr>
          <w:p w14:paraId="44E91C46">
            <w:pPr>
              <w:spacing w:line="360" w:lineRule="auto"/>
              <w:ind w:firstLine="0" w:firstLineChars="0"/>
              <w:rPr>
                <w:rFonts w:ascii="Times New Roman" w:hAnsi="Times New Roman" w:cs="Times New Roman"/>
                <w:color w:val="auto"/>
                <w:kern w:val="0"/>
                <w:sz w:val="21"/>
                <w:szCs w:val="24"/>
                <w:highlight w:val="none"/>
                <w:shd w:val="clear" w:color="auto" w:fill="auto"/>
              </w:rPr>
            </w:pPr>
            <w:r>
              <w:rPr>
                <w:rFonts w:hint="eastAsia" w:ascii="Times New Roman" w:hAnsi="Times New Roman" w:cs="Times New Roman"/>
                <w:color w:val="auto"/>
                <w:kern w:val="0"/>
                <w:sz w:val="21"/>
                <w:szCs w:val="24"/>
                <w:highlight w:val="none"/>
                <w:shd w:val="clear" w:color="auto" w:fill="auto"/>
              </w:rPr>
              <w:t>所有参选单位</w:t>
            </w:r>
            <w:r>
              <w:rPr>
                <w:rFonts w:hint="eastAsia" w:ascii="Times New Roman" w:hAnsi="Times New Roman" w:cs="Times New Roman"/>
                <w:color w:val="auto"/>
                <w:spacing w:val="4"/>
                <w:kern w:val="0"/>
                <w:sz w:val="21"/>
                <w:szCs w:val="21"/>
                <w:highlight w:val="none"/>
                <w:shd w:val="clear" w:color="auto" w:fill="auto"/>
              </w:rPr>
              <w:t>进行</w:t>
            </w:r>
            <w:r>
              <w:rPr>
                <w:rFonts w:hint="eastAsia" w:ascii="Times New Roman" w:hAnsi="Times New Roman" w:cs="Times New Roman"/>
                <w:color w:val="auto"/>
                <w:kern w:val="0"/>
                <w:sz w:val="21"/>
                <w:szCs w:val="24"/>
                <w:highlight w:val="none"/>
                <w:shd w:val="clear" w:color="auto" w:fill="auto"/>
              </w:rPr>
              <w:t>初步评审</w:t>
            </w:r>
            <w:r>
              <w:rPr>
                <w:rFonts w:hint="eastAsia" w:ascii="Times New Roman" w:hAnsi="Times New Roman" w:cs="Times New Roman"/>
                <w:color w:val="auto"/>
                <w:spacing w:val="4"/>
                <w:kern w:val="0"/>
                <w:sz w:val="21"/>
                <w:szCs w:val="21"/>
                <w:highlight w:val="none"/>
                <w:shd w:val="clear" w:color="auto" w:fill="auto"/>
              </w:rPr>
              <w:t>。</w:t>
            </w:r>
            <w:r>
              <w:rPr>
                <w:rFonts w:hint="eastAsia" w:ascii="Times New Roman" w:hAnsi="Times New Roman" w:cs="Times New Roman"/>
                <w:color w:val="auto"/>
                <w:kern w:val="0"/>
                <w:sz w:val="21"/>
                <w:szCs w:val="24"/>
                <w:highlight w:val="none"/>
                <w:shd w:val="clear" w:color="auto" w:fill="auto"/>
              </w:rPr>
              <w:t>初步评审</w:t>
            </w:r>
            <w:r>
              <w:rPr>
                <w:rFonts w:hint="eastAsia" w:ascii="Times New Roman" w:hAnsi="Times New Roman" w:cs="Times New Roman"/>
                <w:color w:val="auto"/>
                <w:spacing w:val="4"/>
                <w:kern w:val="0"/>
                <w:sz w:val="21"/>
                <w:szCs w:val="21"/>
                <w:highlight w:val="none"/>
                <w:shd w:val="clear" w:color="auto" w:fill="auto"/>
              </w:rPr>
              <w:t>内容：资格评审、形式评审、响应性评审。</w:t>
            </w:r>
          </w:p>
        </w:tc>
      </w:tr>
      <w:tr w14:paraId="5FC7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AC741BD">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2.1.1</w:t>
            </w:r>
          </w:p>
        </w:tc>
        <w:tc>
          <w:tcPr>
            <w:tcW w:w="1482" w:type="dxa"/>
            <w:tcBorders>
              <w:top w:val="single" w:color="auto" w:sz="4" w:space="0"/>
              <w:left w:val="single" w:color="auto" w:sz="4" w:space="0"/>
              <w:right w:val="single" w:color="auto" w:sz="4" w:space="0"/>
            </w:tcBorders>
            <w:vAlign w:val="center"/>
          </w:tcPr>
          <w:p w14:paraId="6B2C4F70">
            <w:pPr>
              <w:spacing w:line="360" w:lineRule="auto"/>
              <w:ind w:firstLine="0" w:firstLineChars="0"/>
              <w:jc w:val="center"/>
              <w:rPr>
                <w:rFonts w:ascii="Times New Roman" w:hAnsi="Times New Roman" w:cs="Times New Roman"/>
                <w:color w:val="auto"/>
                <w:kern w:val="0"/>
                <w:sz w:val="21"/>
                <w:szCs w:val="24"/>
                <w:highlight w:val="none"/>
                <w:shd w:val="clear" w:color="auto" w:fill="auto"/>
              </w:rPr>
            </w:pPr>
            <w:r>
              <w:rPr>
                <w:rFonts w:hint="eastAsia" w:ascii="Times New Roman" w:hAnsi="Times New Roman" w:cs="宋体"/>
                <w:color w:val="auto"/>
                <w:kern w:val="0"/>
                <w:sz w:val="21"/>
                <w:szCs w:val="21"/>
                <w:highlight w:val="none"/>
                <w:shd w:val="clear" w:color="auto" w:fill="auto"/>
              </w:rPr>
              <w:t>资格评审标准</w:t>
            </w:r>
          </w:p>
        </w:tc>
        <w:tc>
          <w:tcPr>
            <w:tcW w:w="1686" w:type="dxa"/>
            <w:tcBorders>
              <w:top w:val="single" w:color="auto" w:sz="4" w:space="0"/>
              <w:left w:val="single" w:color="auto" w:sz="4" w:space="0"/>
              <w:right w:val="single" w:color="auto" w:sz="4" w:space="0"/>
            </w:tcBorders>
            <w:vAlign w:val="center"/>
          </w:tcPr>
          <w:p w14:paraId="5AA56E04">
            <w:pPr>
              <w:spacing w:line="360" w:lineRule="auto"/>
              <w:ind w:firstLine="0" w:firstLineChars="0"/>
              <w:jc w:val="center"/>
              <w:rPr>
                <w:rFonts w:ascii="Times New Roman" w:hAnsi="Times New Roman" w:cs="Times New Roman"/>
                <w:color w:val="auto"/>
                <w:kern w:val="0"/>
                <w:sz w:val="21"/>
                <w:szCs w:val="24"/>
                <w:highlight w:val="none"/>
                <w:shd w:val="clear" w:color="auto" w:fill="auto"/>
              </w:rPr>
            </w:pPr>
            <w:r>
              <w:rPr>
                <w:rFonts w:hint="eastAsia" w:ascii="Times New Roman" w:hAnsi="Times New Roman" w:cs="宋体"/>
                <w:color w:val="auto"/>
                <w:kern w:val="0"/>
                <w:sz w:val="21"/>
                <w:szCs w:val="21"/>
                <w:highlight w:val="none"/>
                <w:shd w:val="clear" w:color="auto" w:fill="auto"/>
              </w:rPr>
              <w:t>资格条件要求</w:t>
            </w:r>
          </w:p>
        </w:tc>
        <w:tc>
          <w:tcPr>
            <w:tcW w:w="5476" w:type="dxa"/>
            <w:vAlign w:val="center"/>
          </w:tcPr>
          <w:p w14:paraId="7F79C96D">
            <w:pPr>
              <w:spacing w:line="360" w:lineRule="auto"/>
              <w:ind w:firstLine="0" w:firstLineChars="0"/>
              <w:rPr>
                <w:rFonts w:ascii="Times New Roman" w:hAnsi="Times New Roman" w:cs="Times New Roman"/>
                <w:color w:val="auto"/>
                <w:kern w:val="0"/>
                <w:sz w:val="21"/>
                <w:szCs w:val="24"/>
                <w:highlight w:val="none"/>
                <w:shd w:val="clear" w:color="auto" w:fill="auto"/>
              </w:rPr>
            </w:pPr>
            <w:r>
              <w:rPr>
                <w:rFonts w:hint="eastAsia" w:ascii="Times New Roman" w:hAnsi="Times New Roman" w:cs="宋体"/>
                <w:color w:val="auto"/>
                <w:kern w:val="0"/>
                <w:sz w:val="21"/>
                <w:szCs w:val="21"/>
                <w:highlight w:val="none"/>
                <w:shd w:val="clear" w:color="auto" w:fill="auto"/>
              </w:rPr>
              <w:t>符合第一章“2. 参选人资格要求”规定</w:t>
            </w:r>
          </w:p>
        </w:tc>
      </w:tr>
      <w:tr w14:paraId="69DC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700C883">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2.1.2</w:t>
            </w:r>
          </w:p>
        </w:tc>
        <w:tc>
          <w:tcPr>
            <w:tcW w:w="1482" w:type="dxa"/>
            <w:vMerge w:val="restart"/>
            <w:tcBorders>
              <w:top w:val="single" w:color="auto" w:sz="4" w:space="0"/>
              <w:left w:val="single" w:color="auto" w:sz="4" w:space="0"/>
              <w:right w:val="single" w:color="auto" w:sz="4" w:space="0"/>
            </w:tcBorders>
            <w:vAlign w:val="center"/>
          </w:tcPr>
          <w:p w14:paraId="475D107E">
            <w:pPr>
              <w:spacing w:line="360" w:lineRule="auto"/>
              <w:ind w:firstLine="0" w:firstLineChars="0"/>
              <w:jc w:val="center"/>
              <w:rPr>
                <w:rFonts w:ascii="Times New Roman" w:hAnsi="Times New Roman" w:cs="Times New Roman"/>
                <w:color w:val="auto"/>
                <w:kern w:val="0"/>
                <w:sz w:val="21"/>
                <w:szCs w:val="24"/>
                <w:highlight w:val="none"/>
                <w:shd w:val="clear" w:color="auto" w:fill="auto"/>
              </w:rPr>
            </w:pPr>
            <w:r>
              <w:rPr>
                <w:rFonts w:hint="eastAsia" w:ascii="Times New Roman" w:hAnsi="Times New Roman" w:cs="Times New Roman"/>
                <w:color w:val="auto"/>
                <w:kern w:val="0"/>
                <w:sz w:val="21"/>
                <w:szCs w:val="24"/>
                <w:highlight w:val="none"/>
                <w:shd w:val="clear" w:color="auto" w:fill="auto"/>
              </w:rPr>
              <w:t>形式评审标准</w:t>
            </w:r>
          </w:p>
        </w:tc>
        <w:tc>
          <w:tcPr>
            <w:tcW w:w="1686" w:type="dxa"/>
            <w:tcBorders>
              <w:top w:val="single" w:color="auto" w:sz="4" w:space="0"/>
              <w:left w:val="single" w:color="auto" w:sz="4" w:space="0"/>
              <w:right w:val="single" w:color="auto" w:sz="4" w:space="0"/>
            </w:tcBorders>
            <w:vAlign w:val="center"/>
          </w:tcPr>
          <w:p w14:paraId="4F7FD30D">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参选人名称</w:t>
            </w:r>
          </w:p>
        </w:tc>
        <w:tc>
          <w:tcPr>
            <w:tcW w:w="5476" w:type="dxa"/>
            <w:vAlign w:val="center"/>
          </w:tcPr>
          <w:p w14:paraId="45A68E88">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与营业执照、资格证明材料一致</w:t>
            </w:r>
          </w:p>
        </w:tc>
      </w:tr>
      <w:tr w14:paraId="0961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52DD4BA">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4A4381DD">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341CFD08">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参选文件的签字盖章</w:t>
            </w:r>
          </w:p>
        </w:tc>
        <w:tc>
          <w:tcPr>
            <w:tcW w:w="5476" w:type="dxa"/>
            <w:vAlign w:val="center"/>
          </w:tcPr>
          <w:p w14:paraId="60476AB0">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符合第二章“参选人须知”4.5 条规定</w:t>
            </w:r>
          </w:p>
        </w:tc>
      </w:tr>
      <w:tr w14:paraId="294E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7B19052">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02147F63">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619A7583">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参选文件的密封</w:t>
            </w:r>
          </w:p>
        </w:tc>
        <w:tc>
          <w:tcPr>
            <w:tcW w:w="5476" w:type="dxa"/>
            <w:vAlign w:val="center"/>
          </w:tcPr>
          <w:p w14:paraId="594C6B68">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符合第二章“参选人须知”4.6 条规定</w:t>
            </w:r>
          </w:p>
        </w:tc>
      </w:tr>
      <w:tr w14:paraId="28E4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598317">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3D8028D6">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1A9589F2">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参选文件格式</w:t>
            </w:r>
          </w:p>
        </w:tc>
        <w:tc>
          <w:tcPr>
            <w:tcW w:w="5476" w:type="dxa"/>
            <w:vAlign w:val="center"/>
          </w:tcPr>
          <w:p w14:paraId="3E527DE0">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符合第六章“参选文件格式”的要求</w:t>
            </w:r>
          </w:p>
        </w:tc>
      </w:tr>
      <w:tr w14:paraId="1E7F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B50055E">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0E951DC5">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058E5C35">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参选文件组成</w:t>
            </w:r>
          </w:p>
        </w:tc>
        <w:tc>
          <w:tcPr>
            <w:tcW w:w="5476" w:type="dxa"/>
            <w:vAlign w:val="center"/>
          </w:tcPr>
          <w:p w14:paraId="09739DBF">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符合第二章“参选人须知”4.1 条规定，</w:t>
            </w:r>
            <w:r>
              <w:rPr>
                <w:rFonts w:hint="eastAsia" w:ascii="Times New Roman" w:hAnsi="Times New Roman" w:cs="宋体"/>
                <w:color w:val="auto"/>
                <w:kern w:val="0"/>
                <w:sz w:val="20"/>
                <w:highlight w:val="none"/>
                <w:shd w:val="clear" w:color="auto" w:fill="auto"/>
              </w:rPr>
              <w:t>内容齐全、无遗漏</w:t>
            </w:r>
          </w:p>
        </w:tc>
      </w:tr>
      <w:tr w14:paraId="76B9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A6331F">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5374B68B">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7A89C931">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联合体参选</w:t>
            </w:r>
          </w:p>
        </w:tc>
        <w:tc>
          <w:tcPr>
            <w:tcW w:w="5476" w:type="dxa"/>
            <w:vAlign w:val="center"/>
          </w:tcPr>
          <w:p w14:paraId="6978B186">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符合第一章“2. 参选人资格要求”2.8 条的要求</w:t>
            </w:r>
          </w:p>
        </w:tc>
      </w:tr>
      <w:tr w14:paraId="6B16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115C21F">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2.1.3</w:t>
            </w:r>
          </w:p>
        </w:tc>
        <w:tc>
          <w:tcPr>
            <w:tcW w:w="1482" w:type="dxa"/>
            <w:vMerge w:val="restart"/>
            <w:tcBorders>
              <w:top w:val="single" w:color="auto" w:sz="4" w:space="0"/>
              <w:left w:val="single" w:color="auto" w:sz="4" w:space="0"/>
              <w:right w:val="single" w:color="auto" w:sz="4" w:space="0"/>
            </w:tcBorders>
            <w:vAlign w:val="center"/>
          </w:tcPr>
          <w:p w14:paraId="31A4CD47">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响应性评审标准</w:t>
            </w:r>
          </w:p>
        </w:tc>
        <w:tc>
          <w:tcPr>
            <w:tcW w:w="1686" w:type="dxa"/>
            <w:tcBorders>
              <w:top w:val="single" w:color="auto" w:sz="4" w:space="0"/>
              <w:left w:val="single" w:color="auto" w:sz="4" w:space="0"/>
              <w:right w:val="single" w:color="auto" w:sz="4" w:space="0"/>
            </w:tcBorders>
            <w:vAlign w:val="center"/>
          </w:tcPr>
          <w:p w14:paraId="25CA0F88">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参选内容</w:t>
            </w:r>
          </w:p>
        </w:tc>
        <w:tc>
          <w:tcPr>
            <w:tcW w:w="5476" w:type="dxa"/>
            <w:vAlign w:val="center"/>
          </w:tcPr>
          <w:p w14:paraId="1638B99C">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 在响应承诺函中对第</w:t>
            </w:r>
            <w:r>
              <w:rPr>
                <w:rFonts w:ascii="Times New Roman" w:hAnsi="Times New Roman" w:cs="宋体"/>
                <w:color w:val="auto"/>
                <w:kern w:val="0"/>
                <w:sz w:val="21"/>
                <w:szCs w:val="21"/>
                <w:highlight w:val="none"/>
                <w:shd w:val="clear" w:color="auto" w:fill="auto"/>
              </w:rPr>
              <w:t>三</w:t>
            </w:r>
            <w:r>
              <w:rPr>
                <w:rFonts w:hint="eastAsia" w:ascii="Times New Roman" w:hAnsi="Times New Roman" w:cs="宋体"/>
                <w:color w:val="auto"/>
                <w:kern w:val="0"/>
                <w:sz w:val="21"/>
                <w:szCs w:val="21"/>
                <w:highlight w:val="none"/>
                <w:shd w:val="clear" w:color="auto" w:fill="auto"/>
              </w:rPr>
              <w:t>章“项目要求”内容做出整体承诺；</w:t>
            </w:r>
          </w:p>
          <w:p w14:paraId="30C372E4">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 xml:space="preserve">2. 根据第一章“2. </w:t>
            </w:r>
            <w:r>
              <w:rPr>
                <w:rFonts w:ascii="Times New Roman" w:hAnsi="Times New Roman" w:cs="宋体"/>
                <w:color w:val="auto"/>
                <w:kern w:val="0"/>
                <w:sz w:val="21"/>
                <w:szCs w:val="21"/>
                <w:highlight w:val="none"/>
                <w:shd w:val="clear" w:color="auto" w:fill="auto"/>
              </w:rPr>
              <w:t>参选人资格要求”和第三章“项目要求”的要求规定，提供对</w:t>
            </w:r>
            <w:r>
              <w:rPr>
                <w:rFonts w:hint="eastAsia" w:ascii="Times New Roman" w:hAnsi="Times New Roman" w:cs="宋体"/>
                <w:color w:val="auto"/>
                <w:kern w:val="0"/>
                <w:sz w:val="21"/>
                <w:szCs w:val="21"/>
                <w:highlight w:val="none"/>
                <w:shd w:val="clear" w:color="auto" w:fill="auto"/>
              </w:rPr>
              <w:t>材料</w:t>
            </w:r>
            <w:r>
              <w:rPr>
                <w:rFonts w:ascii="Times New Roman" w:hAnsi="Times New Roman" w:cs="宋体"/>
                <w:color w:val="auto"/>
                <w:kern w:val="0"/>
                <w:sz w:val="21"/>
                <w:szCs w:val="21"/>
                <w:highlight w:val="none"/>
                <w:shd w:val="clear" w:color="auto" w:fill="auto"/>
              </w:rPr>
              <w:t>，内容齐全、无遗漏</w:t>
            </w:r>
            <w:r>
              <w:rPr>
                <w:rFonts w:hint="eastAsia" w:ascii="Times New Roman" w:hAnsi="Times New Roman" w:cs="宋体"/>
                <w:color w:val="auto"/>
                <w:kern w:val="0"/>
                <w:sz w:val="21"/>
                <w:szCs w:val="21"/>
                <w:highlight w:val="none"/>
                <w:shd w:val="clear" w:color="auto" w:fill="auto"/>
              </w:rPr>
              <w:t>。</w:t>
            </w:r>
          </w:p>
        </w:tc>
      </w:tr>
      <w:tr w14:paraId="705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98E409B">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cPr>
          <w:p w14:paraId="13ECD095">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17BB6BE7">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参选文件份数</w:t>
            </w:r>
          </w:p>
        </w:tc>
        <w:tc>
          <w:tcPr>
            <w:tcW w:w="5476" w:type="dxa"/>
            <w:vAlign w:val="center"/>
          </w:tcPr>
          <w:p w14:paraId="313A24E7">
            <w:pPr>
              <w:spacing w:line="24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符合第二章“参选人须知”4.5 条规定</w:t>
            </w:r>
          </w:p>
        </w:tc>
      </w:tr>
      <w:tr w14:paraId="3A51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8F95C55">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cPr>
          <w:p w14:paraId="740C6E13">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3FADF88F">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参选方案唯一</w:t>
            </w:r>
          </w:p>
        </w:tc>
        <w:tc>
          <w:tcPr>
            <w:tcW w:w="5476" w:type="dxa"/>
            <w:vAlign w:val="center"/>
          </w:tcPr>
          <w:p w14:paraId="4F86DB96">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只能有一个方案参选。</w:t>
            </w:r>
          </w:p>
        </w:tc>
      </w:tr>
      <w:tr w14:paraId="29EC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303A919">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cPr>
          <w:p w14:paraId="486C0DDD">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7D192320">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参选报价</w:t>
            </w:r>
          </w:p>
        </w:tc>
        <w:tc>
          <w:tcPr>
            <w:tcW w:w="5476" w:type="dxa"/>
            <w:vAlign w:val="center"/>
          </w:tcPr>
          <w:p w14:paraId="31457188">
            <w:pPr>
              <w:adjustRightInd w:val="0"/>
              <w:snapToGrid w:val="0"/>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符合第二章“参选人须知”4.7 条规定</w:t>
            </w:r>
          </w:p>
        </w:tc>
      </w:tr>
      <w:tr w14:paraId="6A3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D67FAD1">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cPr>
          <w:p w14:paraId="0501B586">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323198DC">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参选有效期</w:t>
            </w:r>
          </w:p>
        </w:tc>
        <w:tc>
          <w:tcPr>
            <w:tcW w:w="5476" w:type="dxa"/>
          </w:tcPr>
          <w:p w14:paraId="374770D9">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符合第二章“参选人须知”4.3 条规定</w:t>
            </w:r>
          </w:p>
        </w:tc>
      </w:tr>
      <w:tr w14:paraId="101F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0EA448C">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tcPr>
          <w:p w14:paraId="73CB8AE3">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7B35C50C">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参选保证金</w:t>
            </w:r>
          </w:p>
        </w:tc>
        <w:tc>
          <w:tcPr>
            <w:tcW w:w="5476" w:type="dxa"/>
          </w:tcPr>
          <w:p w14:paraId="7B57BC36">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符合第二章“参选人须知”4.4 条规定</w:t>
            </w:r>
          </w:p>
        </w:tc>
      </w:tr>
      <w:tr w14:paraId="79FA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820" w:type="dxa"/>
            <w:vMerge w:val="restart"/>
            <w:vAlign w:val="center"/>
          </w:tcPr>
          <w:p w14:paraId="238A190A">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2.2</w:t>
            </w:r>
          </w:p>
        </w:tc>
        <w:tc>
          <w:tcPr>
            <w:tcW w:w="1482" w:type="dxa"/>
            <w:vMerge w:val="restart"/>
            <w:tcBorders>
              <w:top w:val="single" w:color="auto" w:sz="4" w:space="0"/>
              <w:left w:val="single" w:color="auto" w:sz="4" w:space="0"/>
              <w:right w:val="single" w:color="auto" w:sz="4" w:space="0"/>
            </w:tcBorders>
            <w:vAlign w:val="center"/>
          </w:tcPr>
          <w:p w14:paraId="270F2C09">
            <w:pPr>
              <w:tabs>
                <w:tab w:val="left" w:pos="1875"/>
                <w:tab w:val="clear" w:pos="-111"/>
              </w:tabs>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详细评审</w:t>
            </w:r>
          </w:p>
          <w:p w14:paraId="6324AA3E">
            <w:pPr>
              <w:tabs>
                <w:tab w:val="left" w:pos="1875"/>
                <w:tab w:val="clear" w:pos="-111"/>
              </w:tabs>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分值构成与评分标准</w:t>
            </w:r>
          </w:p>
          <w:p w14:paraId="403897C3">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(总分1OO分)</w:t>
            </w:r>
          </w:p>
        </w:tc>
        <w:tc>
          <w:tcPr>
            <w:tcW w:w="1686" w:type="dxa"/>
            <w:tcBorders>
              <w:top w:val="single" w:color="auto" w:sz="4" w:space="0"/>
              <w:left w:val="single" w:color="auto" w:sz="4" w:space="0"/>
              <w:right w:val="single" w:color="auto" w:sz="4" w:space="0"/>
            </w:tcBorders>
            <w:vAlign w:val="center"/>
          </w:tcPr>
          <w:p w14:paraId="169D190C">
            <w:pPr>
              <w:tabs>
                <w:tab w:val="left" w:pos="1875"/>
                <w:tab w:val="clear" w:pos="-111"/>
              </w:tabs>
              <w:spacing w:line="360" w:lineRule="auto"/>
              <w:ind w:firstLine="0" w:firstLineChars="0"/>
              <w:jc w:val="center"/>
              <w:rPr>
                <w:rFonts w:ascii="宋体" w:hAnsi="宋体" w:cs="宋体"/>
                <w:color w:val="auto"/>
                <w:kern w:val="0"/>
                <w:sz w:val="20"/>
                <w:highlight w:val="none"/>
                <w:shd w:val="clear" w:color="auto" w:fill="auto"/>
              </w:rPr>
            </w:pPr>
            <w:r>
              <w:rPr>
                <w:rFonts w:hint="eastAsia" w:ascii="宋体" w:hAnsi="宋体" w:cs="宋体"/>
                <w:color w:val="auto"/>
                <w:kern w:val="0"/>
                <w:sz w:val="20"/>
                <w:highlight w:val="none"/>
                <w:shd w:val="clear" w:color="auto" w:fill="auto"/>
              </w:rPr>
              <w:t>价格评审</w:t>
            </w:r>
          </w:p>
        </w:tc>
        <w:tc>
          <w:tcPr>
            <w:tcW w:w="5476" w:type="dxa"/>
            <w:vAlign w:val="center"/>
          </w:tcPr>
          <w:p w14:paraId="469A294F">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1.以各有效报价之和的平均价格的90%作为评标基准价，基准分为</w:t>
            </w:r>
            <w:r>
              <w:rPr>
                <w:rFonts w:ascii="Times New Roman" w:hAnsi="Times New Roman" w:cs="宋体"/>
                <w:color w:val="auto"/>
                <w:kern w:val="0"/>
                <w:sz w:val="21"/>
                <w:szCs w:val="21"/>
                <w:highlight w:val="none"/>
                <w:shd w:val="clear" w:color="auto" w:fill="auto"/>
              </w:rPr>
              <w:t>5</w:t>
            </w:r>
            <w:r>
              <w:rPr>
                <w:rFonts w:hint="eastAsia" w:ascii="Times New Roman" w:hAnsi="Times New Roman" w:cs="宋体"/>
                <w:color w:val="auto"/>
                <w:kern w:val="0"/>
                <w:sz w:val="21"/>
                <w:szCs w:val="21"/>
                <w:highlight w:val="none"/>
                <w:shd w:val="clear" w:color="auto" w:fill="auto"/>
              </w:rPr>
              <w:t>5分；</w:t>
            </w:r>
          </w:p>
          <w:p w14:paraId="7581C272">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2.计算各有效报价与评标基准价的偏离度。偏离度=（有效报价/评标基准价-1）*100%；</w:t>
            </w:r>
          </w:p>
          <w:p w14:paraId="776AEB93">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3.报价向上每偏离基准价的1%扣1分，向下偏离基准价1</w:t>
            </w:r>
            <w:r>
              <w:rPr>
                <w:rFonts w:ascii="Times New Roman" w:hAnsi="Times New Roman" w:cs="宋体"/>
                <w:color w:val="auto"/>
                <w:kern w:val="0"/>
                <w:sz w:val="21"/>
                <w:szCs w:val="21"/>
                <w:highlight w:val="none"/>
                <w:shd w:val="clear" w:color="auto" w:fill="auto"/>
              </w:rPr>
              <w:t>0</w:t>
            </w:r>
            <w:r>
              <w:rPr>
                <w:rFonts w:hint="eastAsia" w:ascii="Times New Roman" w:hAnsi="Times New Roman" w:cs="宋体"/>
                <w:color w:val="auto"/>
                <w:kern w:val="0"/>
                <w:sz w:val="21"/>
                <w:szCs w:val="21"/>
                <w:highlight w:val="none"/>
                <w:shd w:val="clear" w:color="auto" w:fill="auto"/>
              </w:rPr>
              <w:t>%</w:t>
            </w:r>
            <w:r>
              <w:rPr>
                <w:rFonts w:ascii="Times New Roman" w:hAnsi="Times New Roman" w:cs="宋体"/>
                <w:color w:val="auto"/>
                <w:kern w:val="0"/>
                <w:sz w:val="21"/>
                <w:szCs w:val="21"/>
                <w:highlight w:val="none"/>
                <w:shd w:val="clear" w:color="auto" w:fill="auto"/>
              </w:rPr>
              <w:t>以内的，不扣分；向下偏离基准价超过10%的，在向下偏离基准价10%的基础上，向下偏离每多超过1%扣0.5</w:t>
            </w:r>
            <w:r>
              <w:rPr>
                <w:rFonts w:hint="eastAsia" w:ascii="Times New Roman" w:hAnsi="Times New Roman" w:cs="宋体"/>
                <w:color w:val="auto"/>
                <w:kern w:val="0"/>
                <w:sz w:val="21"/>
                <w:szCs w:val="21"/>
                <w:highlight w:val="none"/>
                <w:shd w:val="clear" w:color="auto" w:fill="auto"/>
              </w:rPr>
              <w:t>分，扣完为止，不足1%的不予扣减。</w:t>
            </w:r>
          </w:p>
        </w:tc>
      </w:tr>
      <w:tr w14:paraId="7DAE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820" w:type="dxa"/>
            <w:vMerge w:val="continue"/>
            <w:vAlign w:val="center"/>
          </w:tcPr>
          <w:p w14:paraId="1CE4665B">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vAlign w:val="center"/>
          </w:tcPr>
          <w:p w14:paraId="54495B61">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47ABBFB2">
            <w:pPr>
              <w:ind w:firstLine="0" w:firstLineChars="0"/>
              <w:jc w:val="center"/>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案例</w:t>
            </w:r>
          </w:p>
        </w:tc>
        <w:tc>
          <w:tcPr>
            <w:tcW w:w="5476" w:type="dxa"/>
            <w:vAlign w:val="center"/>
          </w:tcPr>
          <w:p w14:paraId="3EFC9CB2">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1.2021年1月1日至今（以合同签订时间为准），具有国内同业实施项目案例（需提供合同关键页复印件和项目简介，</w:t>
            </w:r>
            <w:r>
              <w:rPr>
                <w:rFonts w:ascii="Times New Roman" w:hAnsi="Times New Roman" w:cs="Times New Roman"/>
                <w:color w:val="auto"/>
                <w:kern w:val="0"/>
                <w:sz w:val="21"/>
                <w:szCs w:val="21"/>
                <w:highlight w:val="none"/>
                <w:shd w:val="clear" w:color="auto" w:fill="auto"/>
              </w:rPr>
              <w:t>合同关键页包括</w:t>
            </w:r>
            <w:r>
              <w:rPr>
                <w:rFonts w:ascii="Times New Roman" w:hAnsi="Times New Roman" w:cs="Times New Roman"/>
                <w:bCs/>
                <w:color w:val="auto"/>
                <w:kern w:val="0"/>
                <w:sz w:val="21"/>
                <w:szCs w:val="21"/>
                <w:highlight w:val="none"/>
                <w:shd w:val="clear" w:color="auto" w:fill="auto"/>
              </w:rPr>
              <w:t>甲乙双方名称、双方印章、项目/产品的名称、合同签订时间、需求内容页等。</w:t>
            </w:r>
            <w:r>
              <w:rPr>
                <w:rFonts w:hint="eastAsia" w:ascii="Times New Roman" w:hAnsi="Times New Roman" w:cs="宋体"/>
                <w:color w:val="auto"/>
                <w:kern w:val="0"/>
                <w:sz w:val="21"/>
                <w:szCs w:val="21"/>
                <w:highlight w:val="none"/>
                <w:shd w:val="clear" w:color="auto" w:fill="auto"/>
              </w:rPr>
              <w:t>），5个案例或以上得2分，否则0分。</w:t>
            </w:r>
          </w:p>
          <w:p w14:paraId="07C2DF5F">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2.2021年1月1日至今（以合同签订时间为准），实施案例（需提供合同关键页复印件和项目简介，</w:t>
            </w:r>
            <w:r>
              <w:rPr>
                <w:rFonts w:ascii="Times New Roman" w:hAnsi="Times New Roman" w:cs="Times New Roman"/>
                <w:color w:val="auto"/>
                <w:kern w:val="0"/>
                <w:sz w:val="21"/>
                <w:szCs w:val="21"/>
                <w:highlight w:val="none"/>
                <w:shd w:val="clear" w:color="auto" w:fill="auto"/>
              </w:rPr>
              <w:t>合同关键页包括</w:t>
            </w:r>
            <w:r>
              <w:rPr>
                <w:rFonts w:ascii="Times New Roman" w:hAnsi="Times New Roman" w:cs="Times New Roman"/>
                <w:bCs/>
                <w:color w:val="auto"/>
                <w:kern w:val="0"/>
                <w:sz w:val="21"/>
                <w:szCs w:val="21"/>
                <w:highlight w:val="none"/>
                <w:shd w:val="clear" w:color="auto" w:fill="auto"/>
              </w:rPr>
              <w:t>甲乙双方名称、双方印章、项目/产品的名称、合同签订时间、需求内容页等。</w:t>
            </w:r>
            <w:r>
              <w:rPr>
                <w:rFonts w:hint="eastAsia" w:ascii="Times New Roman" w:hAnsi="Times New Roman" w:cs="宋体"/>
                <w:color w:val="auto"/>
                <w:kern w:val="0"/>
                <w:sz w:val="21"/>
                <w:szCs w:val="21"/>
                <w:highlight w:val="none"/>
                <w:shd w:val="clear" w:color="auto" w:fill="auto"/>
              </w:rPr>
              <w:t>）中含有国有大型商业银行及全国性股份制商业银行的，2个案例或以上得2分，否则0分。</w:t>
            </w:r>
          </w:p>
        </w:tc>
      </w:tr>
      <w:tr w14:paraId="49EA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820" w:type="dxa"/>
            <w:vMerge w:val="continue"/>
            <w:vAlign w:val="center"/>
          </w:tcPr>
          <w:p w14:paraId="45198567">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vAlign w:val="center"/>
          </w:tcPr>
          <w:p w14:paraId="7DFD7FEC">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6ABB0F46">
            <w:pPr>
              <w:ind w:firstLine="0" w:firstLineChars="0"/>
              <w:jc w:val="center"/>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免费维保期及</w:t>
            </w:r>
            <w:r>
              <w:rPr>
                <w:rFonts w:hint="eastAsia" w:ascii="宋体" w:hAnsi="宋体" w:cs="宋体"/>
                <w:snapToGrid w:val="0"/>
                <w:color w:val="auto"/>
                <w:kern w:val="0"/>
                <w:sz w:val="20"/>
                <w:highlight w:val="none"/>
                <w:shd w:val="clear" w:color="auto" w:fill="auto"/>
              </w:rPr>
              <w:t>验印产品责任险</w:t>
            </w:r>
          </w:p>
        </w:tc>
        <w:tc>
          <w:tcPr>
            <w:tcW w:w="5476" w:type="dxa"/>
            <w:vAlign w:val="center"/>
          </w:tcPr>
          <w:p w14:paraId="729BE3AB">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1.本项目验收合格后，应提供维护至验收合格之日起两年后的12月31日。期满后，每年维护费用不高于合同价的8%。</w:t>
            </w:r>
          </w:p>
          <w:p w14:paraId="4BC203EC">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宋体" w:hAnsi="宋体" w:cs="宋体"/>
                <w:color w:val="auto"/>
                <w:sz w:val="21"/>
                <w:szCs w:val="21"/>
                <w:highlight w:val="none"/>
                <w:shd w:val="clear" w:color="auto" w:fill="auto"/>
              </w:rPr>
              <w:t>在2年的基础上，</w:t>
            </w:r>
            <w:r>
              <w:rPr>
                <w:rFonts w:hint="eastAsia" w:ascii="Times New Roman" w:hAnsi="Times New Roman" w:cs="宋体"/>
                <w:color w:val="auto"/>
                <w:kern w:val="0"/>
                <w:sz w:val="21"/>
                <w:szCs w:val="21"/>
                <w:highlight w:val="none"/>
                <w:shd w:val="clear" w:color="auto" w:fill="auto"/>
              </w:rPr>
              <w:t>免费维保期增加一年得2分，否则0分，最多得2分。</w:t>
            </w:r>
          </w:p>
          <w:p w14:paraId="7702CB77">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snapToGrid w:val="0"/>
                <w:color w:val="auto"/>
                <w:kern w:val="0"/>
                <w:sz w:val="21"/>
                <w:szCs w:val="21"/>
                <w:highlight w:val="none"/>
                <w:shd w:val="clear" w:color="auto" w:fill="auto"/>
              </w:rPr>
              <w:t>2.</w:t>
            </w:r>
            <w:r>
              <w:rPr>
                <w:rFonts w:hint="eastAsia" w:ascii="Times New Roman" w:hAnsi="Times New Roman" w:cs="宋体"/>
                <w:color w:val="auto"/>
                <w:kern w:val="0"/>
                <w:sz w:val="21"/>
                <w:szCs w:val="21"/>
                <w:highlight w:val="none"/>
                <w:shd w:val="clear" w:color="auto" w:fill="auto"/>
              </w:rPr>
              <w:t>购买</w:t>
            </w:r>
            <w:r>
              <w:rPr>
                <w:rFonts w:hint="eastAsia" w:ascii="Times New Roman" w:hAnsi="Times New Roman" w:cs="宋体"/>
                <w:snapToGrid w:val="0"/>
                <w:color w:val="auto"/>
                <w:kern w:val="0"/>
                <w:sz w:val="21"/>
                <w:szCs w:val="21"/>
                <w:highlight w:val="none"/>
                <w:shd w:val="clear" w:color="auto" w:fill="auto"/>
              </w:rPr>
              <w:t>验印产品责任险共9分，若参选单位只购买共享保险，最多得3分，购买了独享保险时仅按照第（2）、（3）条打分，不再对共享保险单独给分：</w:t>
            </w:r>
          </w:p>
          <w:p w14:paraId="3BE56458">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snapToGrid w:val="0"/>
                <w:color w:val="auto"/>
                <w:kern w:val="0"/>
                <w:sz w:val="21"/>
                <w:szCs w:val="21"/>
                <w:highlight w:val="none"/>
                <w:shd w:val="clear" w:color="auto" w:fill="auto"/>
              </w:rPr>
              <w:t>（1）不同厂商相同赔付条件下，服务期间，为我行购买共享的验印产品责任险达到单笔600万，年累计总额6000万，得</w:t>
            </w:r>
            <w:r>
              <w:rPr>
                <w:rFonts w:ascii="Times New Roman" w:hAnsi="Times New Roman" w:cs="宋体"/>
                <w:snapToGrid w:val="0"/>
                <w:color w:val="auto"/>
                <w:kern w:val="0"/>
                <w:sz w:val="21"/>
                <w:szCs w:val="21"/>
                <w:highlight w:val="none"/>
                <w:shd w:val="clear" w:color="auto" w:fill="auto"/>
              </w:rPr>
              <w:t>3</w:t>
            </w:r>
            <w:r>
              <w:rPr>
                <w:rFonts w:hint="eastAsia" w:ascii="Times New Roman" w:hAnsi="Times New Roman" w:cs="宋体"/>
                <w:snapToGrid w:val="0"/>
                <w:color w:val="auto"/>
                <w:kern w:val="0"/>
                <w:sz w:val="21"/>
                <w:szCs w:val="21"/>
                <w:highlight w:val="none"/>
                <w:shd w:val="clear" w:color="auto" w:fill="auto"/>
              </w:rPr>
              <w:t>分；</w:t>
            </w:r>
          </w:p>
          <w:p w14:paraId="66CE77D6">
            <w:pPr>
              <w:spacing w:line="360" w:lineRule="auto"/>
              <w:ind w:firstLine="0" w:firstLineChars="0"/>
              <w:rPr>
                <w:rFonts w:ascii="Times New Roman" w:hAnsi="Times New Roman" w:cs="宋体"/>
                <w:snapToGrid w:val="0"/>
                <w:color w:val="auto"/>
                <w:kern w:val="0"/>
                <w:sz w:val="21"/>
                <w:szCs w:val="21"/>
                <w:highlight w:val="none"/>
                <w:shd w:val="clear" w:color="auto" w:fill="auto"/>
              </w:rPr>
            </w:pPr>
            <w:r>
              <w:rPr>
                <w:rFonts w:hint="eastAsia" w:ascii="Times New Roman" w:hAnsi="Times New Roman" w:cs="宋体"/>
                <w:snapToGrid w:val="0"/>
                <w:color w:val="auto"/>
                <w:kern w:val="0"/>
                <w:sz w:val="21"/>
                <w:szCs w:val="21"/>
                <w:highlight w:val="none"/>
                <w:shd w:val="clear" w:color="auto" w:fill="auto"/>
              </w:rPr>
              <w:t>（2）服务期间，为我行购买独享的验印产品责任险达到单笔500万，年累计总额5000万，得5分；</w:t>
            </w:r>
          </w:p>
          <w:p w14:paraId="32016EAC">
            <w:pPr>
              <w:spacing w:line="360" w:lineRule="auto"/>
              <w:ind w:firstLine="0" w:firstLineChars="0"/>
              <w:rPr>
                <w:color w:val="auto"/>
                <w:highlight w:val="none"/>
                <w:shd w:val="clear" w:color="auto" w:fill="auto"/>
              </w:rPr>
            </w:pPr>
            <w:r>
              <w:rPr>
                <w:rFonts w:hint="eastAsia" w:ascii="Times New Roman" w:hAnsi="Times New Roman" w:cs="宋体"/>
                <w:snapToGrid w:val="0"/>
                <w:color w:val="auto"/>
                <w:kern w:val="0"/>
                <w:sz w:val="21"/>
                <w:szCs w:val="21"/>
                <w:highlight w:val="none"/>
                <w:shd w:val="clear" w:color="auto" w:fill="auto"/>
              </w:rPr>
              <w:t>（3）服务期间，为我行购买独享的验印产品责任险达到单笔600万，年累计总额6000万，得9分。</w:t>
            </w:r>
          </w:p>
        </w:tc>
      </w:tr>
      <w:tr w14:paraId="4ED2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20" w:type="dxa"/>
            <w:vMerge w:val="continue"/>
            <w:vAlign w:val="center"/>
          </w:tcPr>
          <w:p w14:paraId="56E9CBF9">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vAlign w:val="center"/>
          </w:tcPr>
          <w:p w14:paraId="52A877D0">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22ADBFC6">
            <w:pPr>
              <w:ind w:firstLine="0" w:firstLineChars="0"/>
              <w:jc w:val="center"/>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项目组成员实施经验及工作经验</w:t>
            </w:r>
          </w:p>
        </w:tc>
        <w:tc>
          <w:tcPr>
            <w:tcW w:w="5476" w:type="dxa"/>
            <w:vAlign w:val="center"/>
          </w:tcPr>
          <w:p w14:paraId="3564B701">
            <w:pPr>
              <w:spacing w:line="360" w:lineRule="auto"/>
              <w:ind w:firstLine="42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项目组成员至少5名在同类型系统方面具有3年以上的实施经验以及5年及以上工作经验。参选人提供项目成员人员简历及社保证明资料。</w:t>
            </w:r>
          </w:p>
          <w:p w14:paraId="156FA515">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项目经理须具有PMP证书或者通过软考高项考试；</w:t>
            </w:r>
          </w:p>
          <w:p w14:paraId="7771D845">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需求分析师（或者高级产品经理）具有NPDP证书或其他相关证书或从事需求分析和产品设计工作5年以上；</w:t>
            </w:r>
          </w:p>
          <w:p w14:paraId="19F38194">
            <w:pPr>
              <w:spacing w:line="360" w:lineRule="auto"/>
              <w:ind w:firstLine="0" w:firstLineChars="0"/>
              <w:rPr>
                <w:color w:val="auto"/>
                <w:highlight w:val="none"/>
                <w:shd w:val="clear" w:color="auto" w:fill="auto"/>
              </w:rPr>
            </w:pPr>
            <w:r>
              <w:rPr>
                <w:rFonts w:hint="eastAsia" w:ascii="Times New Roman" w:hAnsi="Times New Roman" w:cs="宋体"/>
                <w:color w:val="auto"/>
                <w:kern w:val="0"/>
                <w:sz w:val="21"/>
                <w:szCs w:val="21"/>
                <w:highlight w:val="none"/>
                <w:shd w:val="clear" w:color="auto" w:fill="auto"/>
              </w:rPr>
              <w:t>系统架构师具有软件架构相关专业经验或从事软件设计工作5年以上。</w:t>
            </w:r>
          </w:p>
          <w:p w14:paraId="476F88A4">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5名（含）以上得5分，否则0分。</w:t>
            </w:r>
          </w:p>
        </w:tc>
      </w:tr>
      <w:tr w14:paraId="6C9D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20" w:type="dxa"/>
            <w:vMerge w:val="continue"/>
            <w:vAlign w:val="center"/>
          </w:tcPr>
          <w:p w14:paraId="2DFE90C8">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vAlign w:val="center"/>
          </w:tcPr>
          <w:p w14:paraId="0CDE55F5">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34A5BE89">
            <w:pPr>
              <w:ind w:firstLine="0" w:firstLineChars="0"/>
              <w:jc w:val="center"/>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验印自动通过率</w:t>
            </w:r>
          </w:p>
        </w:tc>
        <w:tc>
          <w:tcPr>
            <w:tcW w:w="5476" w:type="dxa"/>
            <w:vAlign w:val="center"/>
          </w:tcPr>
          <w:p w14:paraId="733AFEA1">
            <w:pPr>
              <w:spacing w:line="360" w:lineRule="auto"/>
              <w:ind w:firstLine="0" w:firstLineChars="0"/>
              <w:rPr>
                <w:rFonts w:ascii="宋体" w:cs="Arial"/>
                <w:color w:val="auto"/>
                <w:sz w:val="20"/>
                <w:highlight w:val="none"/>
                <w:shd w:val="clear" w:color="auto" w:fill="auto"/>
              </w:rPr>
            </w:pPr>
            <w:r>
              <w:rPr>
                <w:rFonts w:hint="eastAsia" w:ascii="宋体" w:cs="Arial"/>
                <w:color w:val="auto"/>
                <w:sz w:val="20"/>
                <w:highlight w:val="none"/>
                <w:shd w:val="clear" w:color="auto" w:fill="auto"/>
              </w:rPr>
              <w:t>验印自动通过率：</w:t>
            </w:r>
          </w:p>
          <w:p w14:paraId="01D5254D">
            <w:pPr>
              <w:spacing w:line="360" w:lineRule="auto"/>
              <w:ind w:firstLine="0" w:firstLineChars="0"/>
              <w:rPr>
                <w:rFonts w:ascii="宋体" w:cs="Arial"/>
                <w:color w:val="auto"/>
                <w:sz w:val="20"/>
                <w:highlight w:val="none"/>
                <w:shd w:val="clear" w:color="auto" w:fill="auto"/>
              </w:rPr>
            </w:pPr>
            <w:r>
              <w:rPr>
                <w:rFonts w:hint="eastAsia" w:ascii="宋体" w:cs="Arial"/>
                <w:color w:val="auto"/>
                <w:sz w:val="20"/>
                <w:highlight w:val="none"/>
                <w:shd w:val="clear" w:color="auto" w:fill="auto"/>
              </w:rPr>
              <w:t>1、</w:t>
            </w:r>
            <w:r>
              <w:rPr>
                <w:rFonts w:ascii="宋体" w:hAnsi="宋体" w:cs="Arial"/>
                <w:snapToGrid w:val="0"/>
                <w:color w:val="auto"/>
                <w:sz w:val="20"/>
                <w:highlight w:val="none"/>
                <w:shd w:val="clear" w:color="auto" w:fill="auto"/>
              </w:rPr>
              <w:t>单个</w:t>
            </w:r>
            <w:r>
              <w:rPr>
                <w:rFonts w:hint="eastAsia" w:ascii="宋体" w:cs="Arial"/>
                <w:color w:val="auto"/>
                <w:sz w:val="20"/>
                <w:highlight w:val="none"/>
                <w:shd w:val="clear" w:color="auto" w:fill="auto"/>
              </w:rPr>
              <w:t>渠道无条件验印自动通过率</w:t>
            </w:r>
            <w:r>
              <w:rPr>
                <w:rFonts w:ascii="宋体" w:cs="Arial"/>
                <w:color w:val="auto"/>
                <w:sz w:val="20"/>
                <w:highlight w:val="none"/>
                <w:shd w:val="clear" w:color="auto" w:fill="auto"/>
              </w:rPr>
              <w:t>均</w:t>
            </w:r>
            <w:r>
              <w:rPr>
                <w:rFonts w:hint="eastAsia" w:ascii="宋体" w:cs="Arial"/>
                <w:color w:val="auto"/>
                <w:sz w:val="20"/>
                <w:highlight w:val="none"/>
                <w:shd w:val="clear" w:color="auto" w:fill="auto"/>
              </w:rPr>
              <w:t>不低于70%，得3分。</w:t>
            </w:r>
          </w:p>
          <w:p w14:paraId="4AEBA044">
            <w:pPr>
              <w:spacing w:line="360" w:lineRule="auto"/>
              <w:ind w:firstLine="0" w:firstLineChars="0"/>
              <w:rPr>
                <w:rFonts w:ascii="宋体" w:cs="Arial"/>
                <w:color w:val="auto"/>
                <w:sz w:val="20"/>
                <w:highlight w:val="none"/>
                <w:shd w:val="clear" w:color="auto" w:fill="auto"/>
              </w:rPr>
            </w:pPr>
            <w:r>
              <w:rPr>
                <w:rFonts w:hint="eastAsia" w:ascii="宋体" w:cs="Arial"/>
                <w:color w:val="auto"/>
                <w:sz w:val="20"/>
                <w:highlight w:val="none"/>
                <w:shd w:val="clear" w:color="auto" w:fill="auto"/>
              </w:rPr>
              <w:t>2、</w:t>
            </w:r>
            <w:r>
              <w:rPr>
                <w:rFonts w:ascii="宋体" w:hAnsi="宋体" w:cs="Arial"/>
                <w:snapToGrid w:val="0"/>
                <w:color w:val="auto"/>
                <w:sz w:val="20"/>
                <w:highlight w:val="none"/>
                <w:shd w:val="clear" w:color="auto" w:fill="auto"/>
              </w:rPr>
              <w:t>单个</w:t>
            </w:r>
            <w:r>
              <w:rPr>
                <w:rFonts w:hint="eastAsia" w:ascii="宋体" w:cs="Arial"/>
                <w:color w:val="auto"/>
                <w:sz w:val="20"/>
                <w:highlight w:val="none"/>
                <w:shd w:val="clear" w:color="auto" w:fill="auto"/>
              </w:rPr>
              <w:t>渠道无条件验印自动通过率</w:t>
            </w:r>
            <w:r>
              <w:rPr>
                <w:rFonts w:ascii="宋体" w:cs="Arial"/>
                <w:color w:val="auto"/>
                <w:sz w:val="20"/>
                <w:highlight w:val="none"/>
                <w:shd w:val="clear" w:color="auto" w:fill="auto"/>
              </w:rPr>
              <w:t>均</w:t>
            </w:r>
            <w:r>
              <w:rPr>
                <w:rFonts w:hint="eastAsia" w:ascii="宋体" w:cs="Arial"/>
                <w:color w:val="auto"/>
                <w:sz w:val="20"/>
                <w:highlight w:val="none"/>
                <w:shd w:val="clear" w:color="auto" w:fill="auto"/>
              </w:rPr>
              <w:t>不低于75%，得7分。</w:t>
            </w:r>
          </w:p>
          <w:p w14:paraId="2B95360B">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宋体" w:cs="Arial"/>
                <w:color w:val="auto"/>
                <w:sz w:val="20"/>
                <w:highlight w:val="none"/>
                <w:shd w:val="clear" w:color="auto" w:fill="auto"/>
              </w:rPr>
              <w:t>3、</w:t>
            </w:r>
            <w:r>
              <w:rPr>
                <w:rFonts w:ascii="宋体" w:hAnsi="宋体" w:cs="Arial"/>
                <w:snapToGrid w:val="0"/>
                <w:color w:val="auto"/>
                <w:sz w:val="20"/>
                <w:highlight w:val="none"/>
                <w:shd w:val="clear" w:color="auto" w:fill="auto"/>
              </w:rPr>
              <w:t>单个</w:t>
            </w:r>
            <w:r>
              <w:rPr>
                <w:rFonts w:hint="eastAsia" w:ascii="宋体" w:cs="Arial"/>
                <w:color w:val="auto"/>
                <w:sz w:val="20"/>
                <w:highlight w:val="none"/>
                <w:shd w:val="clear" w:color="auto" w:fill="auto"/>
              </w:rPr>
              <w:t>渠道无条件验印自动通过率</w:t>
            </w:r>
            <w:r>
              <w:rPr>
                <w:rFonts w:ascii="宋体" w:cs="Arial"/>
                <w:color w:val="auto"/>
                <w:sz w:val="20"/>
                <w:highlight w:val="none"/>
                <w:shd w:val="clear" w:color="auto" w:fill="auto"/>
              </w:rPr>
              <w:t>均</w:t>
            </w:r>
            <w:r>
              <w:rPr>
                <w:rFonts w:hint="eastAsia" w:ascii="宋体" w:cs="Arial"/>
                <w:color w:val="auto"/>
                <w:sz w:val="20"/>
                <w:highlight w:val="none"/>
                <w:shd w:val="clear" w:color="auto" w:fill="auto"/>
              </w:rPr>
              <w:t>不低于80%，得10分。</w:t>
            </w:r>
          </w:p>
        </w:tc>
      </w:tr>
      <w:tr w14:paraId="0902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20" w:type="dxa"/>
            <w:vMerge w:val="continue"/>
            <w:vAlign w:val="center"/>
          </w:tcPr>
          <w:p w14:paraId="7B9C8FF7">
            <w:pPr>
              <w:ind w:firstLine="480"/>
              <w:rPr>
                <w:color w:val="auto"/>
                <w:highlight w:val="none"/>
                <w:shd w:val="clear" w:color="auto" w:fill="auto"/>
              </w:rPr>
            </w:pPr>
          </w:p>
        </w:tc>
        <w:tc>
          <w:tcPr>
            <w:tcW w:w="1482" w:type="dxa"/>
            <w:vMerge w:val="continue"/>
            <w:tcBorders>
              <w:top w:val="single" w:color="auto" w:sz="4" w:space="0"/>
              <w:left w:val="single" w:color="auto" w:sz="4" w:space="0"/>
              <w:right w:val="single" w:color="auto" w:sz="4" w:space="0"/>
            </w:tcBorders>
            <w:vAlign w:val="center"/>
          </w:tcPr>
          <w:p w14:paraId="4AEBB215">
            <w:pPr>
              <w:ind w:firstLine="480"/>
              <w:rPr>
                <w:color w:val="auto"/>
                <w:highlight w:val="none"/>
                <w:shd w:val="clear" w:color="auto" w:fill="auto"/>
              </w:rPr>
            </w:pPr>
          </w:p>
        </w:tc>
        <w:tc>
          <w:tcPr>
            <w:tcW w:w="1686" w:type="dxa"/>
            <w:tcBorders>
              <w:top w:val="single" w:color="auto" w:sz="4" w:space="0"/>
              <w:left w:val="single" w:color="auto" w:sz="4" w:space="0"/>
              <w:right w:val="single" w:color="auto" w:sz="4" w:space="0"/>
            </w:tcBorders>
            <w:vAlign w:val="center"/>
          </w:tcPr>
          <w:p w14:paraId="1CAAF43F">
            <w:pPr>
              <w:ind w:firstLine="0" w:firstLineChars="0"/>
              <w:jc w:val="center"/>
              <w:rPr>
                <w:rFonts w:ascii="宋体" w:hAnsi="宋体" w:cs="宋体"/>
                <w:color w:val="auto"/>
                <w:sz w:val="20"/>
                <w:highlight w:val="none"/>
                <w:shd w:val="clear" w:color="auto" w:fill="auto"/>
              </w:rPr>
            </w:pPr>
            <w:r>
              <w:rPr>
                <w:rFonts w:hint="eastAsia" w:ascii="宋体" w:hAnsi="宋体" w:cs="宋体"/>
                <w:color w:val="auto"/>
                <w:sz w:val="20"/>
                <w:highlight w:val="none"/>
                <w:shd w:val="clear" w:color="auto" w:fill="auto"/>
              </w:rPr>
              <w:t>POC测试</w:t>
            </w:r>
          </w:p>
        </w:tc>
        <w:tc>
          <w:tcPr>
            <w:tcW w:w="5476" w:type="dxa"/>
            <w:vAlign w:val="center"/>
          </w:tcPr>
          <w:p w14:paraId="5FAB7151">
            <w:pPr>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宋体" w:cs="Arial"/>
                <w:color w:val="auto"/>
                <w:sz w:val="20"/>
                <w:highlight w:val="none"/>
                <w:shd w:val="clear" w:color="auto" w:fill="auto"/>
              </w:rPr>
              <w:t>根据POC表现情况进行打分，满分</w:t>
            </w:r>
            <w:r>
              <w:rPr>
                <w:rFonts w:ascii="宋体" w:cs="Arial"/>
                <w:color w:val="auto"/>
                <w:sz w:val="20"/>
                <w:highlight w:val="none"/>
                <w:shd w:val="clear" w:color="auto" w:fill="auto"/>
              </w:rPr>
              <w:t>15</w:t>
            </w:r>
            <w:r>
              <w:rPr>
                <w:rFonts w:hint="eastAsia" w:ascii="宋体" w:cs="Arial"/>
                <w:color w:val="auto"/>
                <w:sz w:val="20"/>
                <w:highlight w:val="none"/>
                <w:shd w:val="clear" w:color="auto" w:fill="auto"/>
              </w:rPr>
              <w:t>。项目POC评分由</w:t>
            </w:r>
            <w:r>
              <w:rPr>
                <w:rFonts w:hint="eastAsia" w:ascii="宋体" w:cs="Arial"/>
                <w:bCs/>
                <w:snapToGrid w:val="0"/>
                <w:color w:val="auto"/>
                <w:sz w:val="20"/>
                <w:highlight w:val="none"/>
                <w:shd w:val="clear" w:color="auto" w:fill="auto"/>
              </w:rPr>
              <w:t>比选</w:t>
            </w:r>
            <w:r>
              <w:rPr>
                <w:rFonts w:hint="eastAsia" w:ascii="宋体" w:cs="Arial"/>
                <w:color w:val="auto"/>
                <w:sz w:val="20"/>
                <w:highlight w:val="none"/>
                <w:shd w:val="clear" w:color="auto" w:fill="auto"/>
              </w:rPr>
              <w:t>人自主测评，在本项目POC环节将分值告知参选人。</w:t>
            </w:r>
          </w:p>
        </w:tc>
      </w:tr>
      <w:tr w14:paraId="3D55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432C210">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3</w:t>
            </w:r>
          </w:p>
        </w:tc>
        <w:tc>
          <w:tcPr>
            <w:tcW w:w="1482" w:type="dxa"/>
            <w:tcBorders>
              <w:top w:val="single" w:color="auto" w:sz="4" w:space="0"/>
              <w:left w:val="single" w:color="auto" w:sz="4" w:space="0"/>
              <w:right w:val="single" w:color="auto" w:sz="4" w:space="0"/>
            </w:tcBorders>
            <w:vAlign w:val="center"/>
          </w:tcPr>
          <w:p w14:paraId="6C90D604">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评审程序</w:t>
            </w:r>
          </w:p>
        </w:tc>
        <w:tc>
          <w:tcPr>
            <w:tcW w:w="7162" w:type="dxa"/>
            <w:gridSpan w:val="2"/>
          </w:tcPr>
          <w:p w14:paraId="1F9E5CB2">
            <w:pPr>
              <w:ind w:firstLine="420"/>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1.比选人组织</w:t>
            </w:r>
            <w:r>
              <w:rPr>
                <w:rFonts w:ascii="Times New Roman" w:hAnsi="Times New Roman" w:cs="宋体"/>
                <w:color w:val="auto"/>
                <w:sz w:val="21"/>
                <w:szCs w:val="21"/>
                <w:highlight w:val="none"/>
                <w:shd w:val="clear" w:color="auto" w:fill="auto"/>
              </w:rPr>
              <w:t>POC</w:t>
            </w:r>
            <w:r>
              <w:rPr>
                <w:rFonts w:hint="eastAsia" w:ascii="Times New Roman" w:hAnsi="Times New Roman" w:cs="宋体"/>
                <w:color w:val="auto"/>
                <w:sz w:val="21"/>
                <w:szCs w:val="21"/>
                <w:highlight w:val="none"/>
                <w:shd w:val="clear" w:color="auto" w:fill="auto"/>
              </w:rPr>
              <w:t>测试打分环节。</w:t>
            </w:r>
          </w:p>
          <w:p w14:paraId="14A15F33">
            <w:pPr>
              <w:ind w:firstLine="420"/>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3.评审委员会在初步评审前，按本章第3.1.3项的规定对参选报价有算术性错误的进行算术性错误修正。</w:t>
            </w:r>
          </w:p>
          <w:p w14:paraId="01D53061">
            <w:pPr>
              <w:ind w:firstLine="420"/>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4.评审委员会对参选文件进行初步评审。</w:t>
            </w:r>
          </w:p>
          <w:p w14:paraId="6835B1D6">
            <w:pPr>
              <w:ind w:firstLine="420" w:firstLineChars="0"/>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5.评审委员会对初步评审合格的参选文件进行详细评审。</w:t>
            </w:r>
          </w:p>
          <w:p w14:paraId="3CB3CDF4">
            <w:pPr>
              <w:ind w:firstLine="42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注：详细评审的部分打分项由比选人给出对应分值。</w:t>
            </w:r>
          </w:p>
          <w:p w14:paraId="6CD211DA">
            <w:pPr>
              <w:ind w:firstLine="420"/>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6</w:t>
            </w:r>
            <w:r>
              <w:rPr>
                <w:rFonts w:ascii="Times New Roman" w:hAnsi="Times New Roman" w:cs="宋体"/>
                <w:color w:val="auto"/>
                <w:sz w:val="21"/>
                <w:szCs w:val="21"/>
                <w:highlight w:val="none"/>
                <w:shd w:val="clear" w:color="auto" w:fill="auto"/>
              </w:rPr>
              <w:t>.</w:t>
            </w:r>
            <w:r>
              <w:rPr>
                <w:rFonts w:hint="eastAsia" w:ascii="Times New Roman" w:hAnsi="Times New Roman" w:cs="宋体"/>
                <w:color w:val="auto"/>
                <w:sz w:val="21"/>
                <w:szCs w:val="21"/>
                <w:highlight w:val="none"/>
                <w:shd w:val="clear" w:color="auto" w:fill="auto"/>
              </w:rPr>
              <w:t>评审委员会汇总详细评审得分，综合得分由高至低进行排序，推荐1-3家合格的中选候选人。并依次为第一、二、三中选候选人。</w:t>
            </w:r>
          </w:p>
        </w:tc>
      </w:tr>
      <w:bookmarkEnd w:id="176"/>
    </w:tbl>
    <w:p w14:paraId="55F9CC93">
      <w:pPr>
        <w:ind w:firstLine="420"/>
        <w:rPr>
          <w:rFonts w:ascii="Times New Roman" w:hAnsi="Times New Roman" w:cs="宋体"/>
          <w:snapToGrid w:val="0"/>
          <w:color w:val="auto"/>
          <w:sz w:val="21"/>
          <w:szCs w:val="21"/>
          <w:highlight w:val="none"/>
          <w:shd w:val="clear" w:color="auto" w:fill="auto"/>
        </w:rPr>
      </w:pPr>
      <w:bookmarkStart w:id="177" w:name="_Toc636"/>
      <w:bookmarkStart w:id="178" w:name="_Toc21111"/>
      <w:r>
        <w:rPr>
          <w:rFonts w:hint="eastAsia" w:ascii="Times New Roman" w:hAnsi="Times New Roman" w:cs="宋体"/>
          <w:snapToGrid w:val="0"/>
          <w:color w:val="auto"/>
          <w:sz w:val="21"/>
          <w:szCs w:val="21"/>
          <w:highlight w:val="none"/>
          <w:shd w:val="clear" w:color="auto" w:fill="auto"/>
        </w:rPr>
        <w:br w:type="page"/>
      </w:r>
    </w:p>
    <w:p w14:paraId="3EC51AA3">
      <w:pPr>
        <w:pStyle w:val="3"/>
        <w:rPr>
          <w:rFonts w:ascii="Times New Roman" w:hAnsi="Times New Roman"/>
          <w:color w:val="auto"/>
          <w:highlight w:val="none"/>
          <w:shd w:val="clear" w:color="auto" w:fill="auto"/>
        </w:rPr>
      </w:pPr>
      <w:bookmarkStart w:id="179" w:name="_Toc18283"/>
      <w:bookmarkStart w:id="180" w:name="_Toc22414"/>
      <w:bookmarkStart w:id="181" w:name="_Toc27234"/>
      <w:bookmarkStart w:id="182" w:name="_Toc28684"/>
      <w:r>
        <w:rPr>
          <w:rFonts w:hint="eastAsia" w:ascii="Times New Roman" w:hAnsi="Times New Roman"/>
          <w:color w:val="auto"/>
          <w:highlight w:val="none"/>
          <w:shd w:val="clear" w:color="auto" w:fill="auto"/>
        </w:rPr>
        <w:t>1. 评审方法</w:t>
      </w:r>
      <w:bookmarkEnd w:id="177"/>
      <w:bookmarkEnd w:id="178"/>
      <w:bookmarkEnd w:id="179"/>
      <w:bookmarkEnd w:id="180"/>
      <w:bookmarkEnd w:id="181"/>
      <w:bookmarkEnd w:id="182"/>
    </w:p>
    <w:p w14:paraId="27D2C408">
      <w:pPr>
        <w:ind w:firstLine="480"/>
        <w:rPr>
          <w:rFonts w:ascii="Times New Roman" w:hAnsi="Times New Roman"/>
          <w:color w:val="auto"/>
          <w:highlight w:val="none"/>
          <w:shd w:val="clear" w:color="auto" w:fill="auto"/>
        </w:rPr>
      </w:pPr>
      <w:bookmarkStart w:id="183" w:name="_Toc377067339"/>
      <w:bookmarkStart w:id="184" w:name="_Toc440022827"/>
      <w:bookmarkStart w:id="185" w:name="_Toc330569206"/>
      <w:bookmarkStart w:id="186" w:name="_Toc200513199"/>
      <w:bookmarkStart w:id="187" w:name="_Toc407195379"/>
      <w:bookmarkStart w:id="188" w:name="_Toc287620752"/>
      <w:bookmarkStart w:id="189" w:name="_Toc377115419"/>
      <w:bookmarkStart w:id="190" w:name="_Toc376114120"/>
      <w:bookmarkStart w:id="191" w:name="_Toc224103385"/>
      <w:bookmarkStart w:id="192" w:name="_Toc277082619"/>
      <w:bookmarkStart w:id="193" w:name="_Toc287607813"/>
      <w:r>
        <w:rPr>
          <w:rFonts w:hint="eastAsia" w:ascii="Times New Roman" w:hAnsi="Times New Roman"/>
          <w:color w:val="auto"/>
          <w:highlight w:val="none"/>
          <w:shd w:val="clear" w:color="auto" w:fill="auto"/>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6A8314E7">
      <w:pPr>
        <w:pStyle w:val="3"/>
        <w:rPr>
          <w:rFonts w:ascii="Times New Roman" w:hAnsi="Times New Roman"/>
          <w:color w:val="auto"/>
          <w:highlight w:val="none"/>
          <w:shd w:val="clear" w:color="auto" w:fill="auto"/>
        </w:rPr>
      </w:pPr>
      <w:bookmarkStart w:id="194" w:name="_Toc27931"/>
      <w:bookmarkStart w:id="195" w:name="_Toc23969"/>
      <w:bookmarkStart w:id="196" w:name="_Toc444155968"/>
      <w:bookmarkStart w:id="197" w:name="_Toc2274"/>
      <w:bookmarkStart w:id="198" w:name="_Toc765"/>
      <w:bookmarkStart w:id="199" w:name="_Toc24302"/>
      <w:bookmarkStart w:id="200" w:name="_Toc31615"/>
      <w:bookmarkStart w:id="201" w:name="_Toc27406"/>
      <w:bookmarkStart w:id="202" w:name="_Toc16716"/>
      <w:bookmarkStart w:id="203" w:name="_Toc5950"/>
      <w:r>
        <w:rPr>
          <w:rFonts w:hint="eastAsia" w:ascii="Times New Roman" w:hAnsi="Times New Roman"/>
          <w:color w:val="auto"/>
          <w:highlight w:val="none"/>
          <w:shd w:val="clear" w:color="auto" w:fill="auto"/>
        </w:rPr>
        <w:t>2. 评审标准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687AA38">
      <w:pPr>
        <w:pStyle w:val="4"/>
        <w:ind w:firstLine="482"/>
        <w:rPr>
          <w:rFonts w:ascii="Times New Roman" w:hAnsi="Times New Roman"/>
          <w:color w:val="auto"/>
          <w:highlight w:val="none"/>
          <w:shd w:val="clear" w:color="auto" w:fill="auto"/>
        </w:rPr>
      </w:pPr>
      <w:bookmarkStart w:id="204" w:name="_Toc277082620"/>
      <w:bookmarkStart w:id="205" w:name="_Toc200513200"/>
      <w:bookmarkStart w:id="206" w:name="_Toc287607814"/>
      <w:bookmarkStart w:id="207" w:name="_Toc377067340"/>
      <w:bookmarkStart w:id="208" w:name="_Toc16537"/>
      <w:bookmarkStart w:id="209" w:name="_Toc1358"/>
      <w:bookmarkStart w:id="210" w:name="_Toc11839"/>
      <w:bookmarkStart w:id="211" w:name="_Toc287620753"/>
      <w:bookmarkStart w:id="212" w:name="_Toc23425"/>
      <w:bookmarkStart w:id="213" w:name="_Toc10533"/>
      <w:bookmarkStart w:id="214" w:name="_Toc7584"/>
      <w:bookmarkStart w:id="215" w:name="_Toc377115420"/>
      <w:bookmarkStart w:id="216" w:name="_Toc1204"/>
      <w:bookmarkStart w:id="217" w:name="_Toc21593"/>
      <w:bookmarkStart w:id="218" w:name="_Toc224103386"/>
      <w:bookmarkStart w:id="219" w:name="_Toc407195380"/>
      <w:bookmarkStart w:id="220" w:name="_Toc440022828"/>
      <w:bookmarkStart w:id="221" w:name="_Toc376114121"/>
      <w:bookmarkStart w:id="222" w:name="_Toc444155969"/>
      <w:bookmarkStart w:id="223" w:name="_Toc330569207"/>
      <w:r>
        <w:rPr>
          <w:rFonts w:hint="eastAsia" w:ascii="Times New Roman" w:hAnsi="Times New Roman"/>
          <w:color w:val="auto"/>
          <w:highlight w:val="none"/>
          <w:shd w:val="clear" w:color="auto" w:fill="auto"/>
        </w:rPr>
        <w:t>2.1 初步评审标准</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124CF4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2.1.1 资格评审标准：见评审办法前附表。</w:t>
      </w:r>
    </w:p>
    <w:p w14:paraId="5A904E1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2.1.2 形式评审标准：见评审办法前附表。</w:t>
      </w:r>
    </w:p>
    <w:p w14:paraId="6F2E0BF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2.1.3 响应性评审标准：见评审办法前附表。</w:t>
      </w:r>
    </w:p>
    <w:p w14:paraId="4DB211CA">
      <w:pPr>
        <w:pStyle w:val="4"/>
        <w:ind w:firstLine="482"/>
        <w:rPr>
          <w:rFonts w:ascii="Times New Roman" w:hAnsi="Times New Roman"/>
          <w:color w:val="auto"/>
          <w:highlight w:val="none"/>
          <w:shd w:val="clear" w:color="auto" w:fill="auto"/>
        </w:rPr>
      </w:pPr>
      <w:bookmarkStart w:id="224" w:name="_Toc2340"/>
      <w:bookmarkStart w:id="225" w:name="_Toc377115421"/>
      <w:bookmarkStart w:id="226" w:name="_Toc1387"/>
      <w:bookmarkStart w:id="227" w:name="_Toc377067341"/>
      <w:bookmarkStart w:id="228" w:name="_Toc9090"/>
      <w:bookmarkStart w:id="229" w:name="_Toc287607815"/>
      <w:bookmarkStart w:id="230" w:name="_Toc444155970"/>
      <w:bookmarkStart w:id="231" w:name="_Toc440022829"/>
      <w:bookmarkStart w:id="232" w:name="_Toc23296"/>
      <w:bookmarkStart w:id="233" w:name="_Toc330569208"/>
      <w:bookmarkStart w:id="234" w:name="_Toc200513201"/>
      <w:bookmarkStart w:id="235" w:name="_Toc224103387"/>
      <w:bookmarkStart w:id="236" w:name="_Toc6503"/>
      <w:bookmarkStart w:id="237" w:name="_Toc31969"/>
      <w:bookmarkStart w:id="238" w:name="_Toc407195381"/>
      <w:bookmarkStart w:id="239" w:name="_Toc376114122"/>
      <w:bookmarkStart w:id="240" w:name="_Toc277082621"/>
      <w:bookmarkStart w:id="241" w:name="_Toc20840"/>
      <w:bookmarkStart w:id="242" w:name="_Toc287620754"/>
      <w:bookmarkStart w:id="243" w:name="_Toc25129"/>
      <w:r>
        <w:rPr>
          <w:rFonts w:hint="eastAsia" w:ascii="Times New Roman" w:hAnsi="Times New Roman"/>
          <w:color w:val="auto"/>
          <w:highlight w:val="none"/>
          <w:shd w:val="clear" w:color="auto" w:fill="auto"/>
        </w:rPr>
        <w:t>2.2 分值构成与评分标准</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4A5DB2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2.2.1 分值构成：见评审办法前附表。 </w:t>
      </w:r>
    </w:p>
    <w:p w14:paraId="05BF2D2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2.2.2 评审基准价计算方法：见评审办法前附表。</w:t>
      </w:r>
    </w:p>
    <w:p w14:paraId="3AF6443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2.2.3 评分标准：</w:t>
      </w:r>
    </w:p>
    <w:p w14:paraId="1434918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（1）参选报价评分标准：见评审办法前附表；</w:t>
      </w:r>
    </w:p>
    <w:p w14:paraId="1DBC5DA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（2）商务部分评分标准：见评审办法前附表；</w:t>
      </w:r>
    </w:p>
    <w:p w14:paraId="0CEB4BE1">
      <w:pPr>
        <w:pStyle w:val="3"/>
        <w:rPr>
          <w:rFonts w:ascii="Times New Roman" w:hAnsi="Times New Roman"/>
          <w:color w:val="auto"/>
          <w:highlight w:val="none"/>
          <w:shd w:val="clear" w:color="auto" w:fill="auto"/>
        </w:rPr>
      </w:pPr>
      <w:bookmarkStart w:id="244" w:name="_Toc376114123"/>
      <w:bookmarkStart w:id="245" w:name="_Toc287607816"/>
      <w:bookmarkStart w:id="246" w:name="_Toc12538"/>
      <w:bookmarkStart w:id="247" w:name="_Toc200513202"/>
      <w:bookmarkStart w:id="248" w:name="_Toc224103388"/>
      <w:bookmarkStart w:id="249" w:name="_Toc287620755"/>
      <w:bookmarkStart w:id="250" w:name="_Toc5546"/>
      <w:bookmarkStart w:id="251" w:name="_Toc15132"/>
      <w:bookmarkStart w:id="252" w:name="_Toc444155971"/>
      <w:bookmarkStart w:id="253" w:name="_Toc9488"/>
      <w:bookmarkStart w:id="254" w:name="_Toc377115422"/>
      <w:bookmarkStart w:id="255" w:name="_Toc407195382"/>
      <w:bookmarkStart w:id="256" w:name="_Toc14353"/>
      <w:bookmarkStart w:id="257" w:name="_Toc2982"/>
      <w:bookmarkStart w:id="258" w:name="_Toc330569209"/>
      <w:bookmarkStart w:id="259" w:name="_Toc440022830"/>
      <w:bookmarkStart w:id="260" w:name="_Toc16461"/>
      <w:bookmarkStart w:id="261" w:name="_Toc23633"/>
      <w:bookmarkStart w:id="262" w:name="_Toc8004"/>
      <w:bookmarkStart w:id="263" w:name="_Toc277082622"/>
      <w:bookmarkStart w:id="264" w:name="_Toc377067342"/>
      <w:r>
        <w:rPr>
          <w:rFonts w:hint="eastAsia" w:ascii="Times New Roman" w:hAnsi="Times New Roman"/>
          <w:color w:val="auto"/>
          <w:highlight w:val="none"/>
          <w:shd w:val="clear" w:color="auto" w:fill="auto"/>
        </w:rPr>
        <w:t>3. 评审程序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66E4BEE0">
      <w:pPr>
        <w:pStyle w:val="4"/>
        <w:ind w:firstLine="482"/>
        <w:rPr>
          <w:rFonts w:ascii="Times New Roman" w:hAnsi="Times New Roman"/>
          <w:color w:val="auto"/>
          <w:highlight w:val="none"/>
          <w:shd w:val="clear" w:color="auto" w:fill="auto"/>
        </w:rPr>
      </w:pPr>
      <w:bookmarkStart w:id="265" w:name="_Toc440022831"/>
      <w:bookmarkStart w:id="266" w:name="_Toc444155972"/>
      <w:bookmarkStart w:id="267" w:name="_Toc277082623"/>
      <w:bookmarkStart w:id="268" w:name="_Toc330569210"/>
      <w:bookmarkStart w:id="269" w:name="_Toc287620756"/>
      <w:bookmarkStart w:id="270" w:name="_Toc30947"/>
      <w:bookmarkStart w:id="271" w:name="_Toc22279"/>
      <w:bookmarkStart w:id="272" w:name="_Toc377115423"/>
      <w:bookmarkStart w:id="273" w:name="_Toc9683"/>
      <w:bookmarkStart w:id="274" w:name="_Toc224103389"/>
      <w:bookmarkStart w:id="275" w:name="_Toc377067343"/>
      <w:bookmarkStart w:id="276" w:name="_Toc13851"/>
      <w:bookmarkStart w:id="277" w:name="_Toc287607817"/>
      <w:bookmarkStart w:id="278" w:name="_Toc32002"/>
      <w:bookmarkStart w:id="279" w:name="_Toc5462"/>
      <w:bookmarkStart w:id="280" w:name="_Toc200513203"/>
      <w:bookmarkStart w:id="281" w:name="_Toc376114124"/>
      <w:bookmarkStart w:id="282" w:name="_Toc6448"/>
      <w:bookmarkStart w:id="283" w:name="_Toc407195383"/>
      <w:bookmarkStart w:id="284" w:name="_Toc19840"/>
      <w:r>
        <w:rPr>
          <w:rFonts w:hint="eastAsia" w:ascii="Times New Roman" w:hAnsi="Times New Roman"/>
          <w:color w:val="auto"/>
          <w:highlight w:val="none"/>
          <w:shd w:val="clear" w:color="auto" w:fill="auto"/>
        </w:rPr>
        <w:t>3.1 初步评审</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465E8D9">
      <w:pPr>
        <w:ind w:firstLine="480"/>
        <w:rPr>
          <w:rFonts w:ascii="Times New Roman" w:hAnsi="Times New Roman"/>
          <w:color w:val="auto"/>
          <w:highlight w:val="none"/>
          <w:shd w:val="clear" w:color="auto" w:fill="auto"/>
        </w:rPr>
      </w:pPr>
      <w:bookmarkStart w:id="285" w:name="_Toc331232467"/>
      <w:bookmarkStart w:id="286" w:name="_Toc331232649"/>
      <w:bookmarkStart w:id="287" w:name="_Toc440022832"/>
      <w:bookmarkStart w:id="288" w:name="_Toc334002333"/>
      <w:bookmarkStart w:id="289" w:name="_Toc332015984"/>
      <w:bookmarkStart w:id="290" w:name="_Toc356243677"/>
      <w:bookmarkStart w:id="291" w:name="_Toc377067344"/>
      <w:bookmarkStart w:id="292" w:name="_Toc332380970"/>
      <w:bookmarkStart w:id="293" w:name="_Toc444155973"/>
      <w:bookmarkStart w:id="294" w:name="_Toc373264792"/>
      <w:bookmarkStart w:id="295" w:name="_Toc330569211"/>
      <w:bookmarkStart w:id="296" w:name="_Toc373172234"/>
      <w:bookmarkStart w:id="297" w:name="_Toc332028970"/>
      <w:bookmarkStart w:id="298" w:name="_Toc407195384"/>
      <w:bookmarkStart w:id="299" w:name="_Toc354387014"/>
      <w:bookmarkStart w:id="300" w:name="_Toc376114125"/>
      <w:bookmarkStart w:id="301" w:name="_Toc377115424"/>
      <w:bookmarkStart w:id="302" w:name="_Toc356484119"/>
      <w:bookmarkStart w:id="303" w:name="_Toc27164"/>
      <w:r>
        <w:rPr>
          <w:rFonts w:hint="eastAsia" w:ascii="Times New Roman" w:hAnsi="Times New Roman"/>
          <w:color w:val="auto"/>
          <w:highlight w:val="none"/>
          <w:shd w:val="clear" w:color="auto" w:fill="auto"/>
        </w:rPr>
        <w:t>3.1.1 评审委员会依据本章第2.1 条规定的标准对参选文件进行初步评审。有一项不符合评审标准的，作否决参选处理。</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38D0E4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 参选人有以下情形之一的，其参选作否决参选处理：</w:t>
      </w:r>
    </w:p>
    <w:p w14:paraId="6ABFB22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3.1.2.1 有第二章“参选人须知”第9.条以及第11. 条规定的任何一种情形的；</w:t>
      </w:r>
    </w:p>
    <w:p w14:paraId="25E865C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3.1.2.2 有串通参选、弄虚作假等其他违反相关法律、法规行为的；</w:t>
      </w:r>
    </w:p>
    <w:p w14:paraId="266E615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3.1.2.3 不按评审委员会要求澄清、说明或补正的。</w:t>
      </w:r>
    </w:p>
    <w:p w14:paraId="328B717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3.1.2.4 本参选文件约定的其它情形。</w:t>
      </w:r>
    </w:p>
    <w:p w14:paraId="4A1B237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shd w:val="clear" w:color="auto" w:fill="auto"/>
        </w:rPr>
        <w:t>第二章“</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须知”第</w:t>
      </w:r>
      <w:r>
        <w:rPr>
          <w:rFonts w:hint="eastAsia" w:ascii="Times New Roman" w:hAnsi="Times New Roman"/>
          <w:color w:val="auto"/>
          <w:highlight w:val="none"/>
          <w:shd w:val="clear" w:color="auto" w:fill="auto"/>
        </w:rPr>
        <w:t>4.8 条。</w:t>
      </w:r>
    </w:p>
    <w:p w14:paraId="09AA15B6">
      <w:pPr>
        <w:pStyle w:val="4"/>
        <w:ind w:firstLine="482"/>
        <w:rPr>
          <w:rFonts w:ascii="Times New Roman" w:hAnsi="Times New Roman"/>
          <w:color w:val="auto"/>
          <w:highlight w:val="none"/>
          <w:shd w:val="clear" w:color="auto" w:fill="auto"/>
        </w:rPr>
      </w:pPr>
      <w:bookmarkStart w:id="304" w:name="_Toc224103390"/>
      <w:bookmarkStart w:id="305" w:name="_Toc19604"/>
      <w:bookmarkStart w:id="306" w:name="_Toc22246"/>
      <w:bookmarkStart w:id="307" w:name="_Toc444155974"/>
      <w:bookmarkStart w:id="308" w:name="_Toc440022833"/>
      <w:bookmarkStart w:id="309" w:name="_Toc407195385"/>
      <w:bookmarkStart w:id="310" w:name="_Toc377115425"/>
      <w:bookmarkStart w:id="311" w:name="_Toc287607818"/>
      <w:bookmarkStart w:id="312" w:name="_Toc29314"/>
      <w:bookmarkStart w:id="313" w:name="_Toc7832"/>
      <w:bookmarkStart w:id="314" w:name="_Toc277082624"/>
      <w:bookmarkStart w:id="315" w:name="_Toc22848"/>
      <w:bookmarkStart w:id="316" w:name="_Toc330569212"/>
      <w:bookmarkStart w:id="317" w:name="_Toc29925"/>
      <w:bookmarkStart w:id="318" w:name="_Toc10847"/>
      <w:bookmarkStart w:id="319" w:name="_Toc377067345"/>
      <w:bookmarkStart w:id="320" w:name="_Toc287620757"/>
      <w:bookmarkStart w:id="321" w:name="_Toc11246"/>
      <w:bookmarkStart w:id="322" w:name="_Toc200513204"/>
      <w:bookmarkStart w:id="323" w:name="_Toc376114126"/>
      <w:r>
        <w:rPr>
          <w:rFonts w:hint="eastAsia" w:ascii="Times New Roman" w:hAnsi="Times New Roman"/>
          <w:color w:val="auto"/>
          <w:highlight w:val="none"/>
          <w:shd w:val="clear" w:color="auto" w:fill="auto"/>
        </w:rPr>
        <w:t>3.2 详细评审</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CC9ED6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3.2.1 评审委员会按本章第2.2 条规定的量化因素和分值进行打分，并计算出综合评估得分。</w:t>
      </w:r>
    </w:p>
    <w:p w14:paraId="3B6F8C4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3.2.1.1 按本章第2.2 条规定的评审因素和分值对参选报价计算出得分；</w:t>
      </w:r>
    </w:p>
    <w:p w14:paraId="7BB12F6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3.2.1.2 按本章第2.2 条规定的评审因素和分值对商务部分计算出得分（评审委员会统一打分）；</w:t>
      </w:r>
    </w:p>
    <w:p w14:paraId="4513AA4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3.2.2 评分分值计算保留小数点后两位，小数点后第三位“四舍五入”。</w:t>
      </w:r>
    </w:p>
    <w:p w14:paraId="6C1CCB2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3.2.3 参选人得分=参选报价得分+商务部分得分。</w:t>
      </w:r>
    </w:p>
    <w:p w14:paraId="1014215A">
      <w:pPr>
        <w:pStyle w:val="4"/>
        <w:ind w:firstLine="482"/>
        <w:rPr>
          <w:rFonts w:ascii="Times New Roman" w:hAnsi="Times New Roman"/>
          <w:color w:val="auto"/>
          <w:highlight w:val="none"/>
          <w:shd w:val="clear" w:color="auto" w:fill="auto"/>
        </w:rPr>
      </w:pPr>
      <w:bookmarkStart w:id="324" w:name="_Toc22448"/>
      <w:bookmarkStart w:id="325" w:name="_Toc1080"/>
      <w:bookmarkStart w:id="326" w:name="_Toc287620758"/>
      <w:bookmarkStart w:id="327" w:name="_Toc20948"/>
      <w:bookmarkStart w:id="328" w:name="_Toc32039"/>
      <w:bookmarkStart w:id="329" w:name="_Toc287607819"/>
      <w:bookmarkStart w:id="330" w:name="_Toc376114127"/>
      <w:bookmarkStart w:id="331" w:name="_Toc224103391"/>
      <w:bookmarkStart w:id="332" w:name="_Toc377067346"/>
      <w:bookmarkStart w:id="333" w:name="_Toc377115426"/>
      <w:bookmarkStart w:id="334" w:name="_Toc440022834"/>
      <w:bookmarkStart w:id="335" w:name="_Toc7176"/>
      <w:bookmarkStart w:id="336" w:name="_Toc330569213"/>
      <w:bookmarkStart w:id="337" w:name="_Toc444155975"/>
      <w:bookmarkStart w:id="338" w:name="_Toc200513205"/>
      <w:bookmarkStart w:id="339" w:name="_Toc407195386"/>
      <w:bookmarkStart w:id="340" w:name="_Toc18708"/>
      <w:bookmarkStart w:id="341" w:name="_Toc2542"/>
      <w:bookmarkStart w:id="342" w:name="_Toc29261"/>
      <w:bookmarkStart w:id="343" w:name="_Toc277082625"/>
      <w:r>
        <w:rPr>
          <w:rFonts w:hint="eastAsia" w:ascii="Times New Roman" w:hAnsi="Times New Roman"/>
          <w:color w:val="auto"/>
          <w:highlight w:val="none"/>
          <w:shd w:val="clear" w:color="auto" w:fill="auto"/>
        </w:rPr>
        <w:t>3.3 参选文件的澄清和补正</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525A69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3.3.1 在评审过程中，评审委员会可以书面形式要求参选人对所提交参选文件中不明确的内容进行书面澄清或说明，或者对细微偏差进行补正。评审委员会不接受参选人主动提出的澄清、说明或补正。</w:t>
      </w:r>
    </w:p>
    <w:p w14:paraId="1304B19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3.3.2 澄清、说明和补正不得改变参选文件的实质性内容（算术性错误修正的除外）。参选人的书面澄清、说明和补正属于参选文件的组成部分。</w:t>
      </w:r>
    </w:p>
    <w:p w14:paraId="6255293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3.3.3 评审委员会对参选人提交的澄清、说明或补正有疑问的，可以要求参选人进一步澄清、说明或补正，直至满足评审委员会的要求。</w:t>
      </w:r>
    </w:p>
    <w:p w14:paraId="52D7FE31">
      <w:pPr>
        <w:pStyle w:val="4"/>
        <w:ind w:firstLine="482"/>
        <w:rPr>
          <w:rFonts w:ascii="Times New Roman" w:hAnsi="Times New Roman"/>
          <w:color w:val="auto"/>
          <w:highlight w:val="none"/>
          <w:shd w:val="clear" w:color="auto" w:fill="auto"/>
        </w:rPr>
      </w:pPr>
      <w:bookmarkStart w:id="344" w:name="_Toc377067347"/>
      <w:bookmarkStart w:id="345" w:name="_Toc377115427"/>
      <w:bookmarkStart w:id="346" w:name="_Toc6310"/>
      <w:bookmarkStart w:id="347" w:name="_Toc287620759"/>
      <w:bookmarkStart w:id="348" w:name="_Toc4814"/>
      <w:bookmarkStart w:id="349" w:name="_Toc407195387"/>
      <w:bookmarkStart w:id="350" w:name="_Toc200513206"/>
      <w:bookmarkStart w:id="351" w:name="_Toc224103392"/>
      <w:bookmarkStart w:id="352" w:name="_Toc330569214"/>
      <w:bookmarkStart w:id="353" w:name="_Toc440022835"/>
      <w:bookmarkStart w:id="354" w:name="_Toc19054"/>
      <w:bookmarkStart w:id="355" w:name="_Toc376114128"/>
      <w:bookmarkStart w:id="356" w:name="_Toc444155976"/>
      <w:bookmarkStart w:id="357" w:name="_Toc21450"/>
      <w:bookmarkStart w:id="358" w:name="_Toc277082626"/>
      <w:bookmarkStart w:id="359" w:name="_Toc15731"/>
      <w:bookmarkStart w:id="360" w:name="_Toc30672"/>
      <w:bookmarkStart w:id="361" w:name="_Toc287607820"/>
      <w:bookmarkStart w:id="362" w:name="_Toc14840"/>
      <w:bookmarkStart w:id="363" w:name="_Toc31270"/>
      <w:r>
        <w:rPr>
          <w:rFonts w:hint="eastAsia" w:ascii="Times New Roman" w:hAnsi="Times New Roman"/>
          <w:color w:val="auto"/>
          <w:highlight w:val="none"/>
          <w:shd w:val="clear" w:color="auto" w:fill="auto"/>
        </w:rPr>
        <w:t>3.4 评审结果</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D77761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3.4.1 评审委员会按照得分由高到低的顺序推荐中选候选人。</w:t>
      </w:r>
    </w:p>
    <w:p w14:paraId="1078FAF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3.4.2 评审委员会完成评审后，应当向比选人提交书面评审报告。</w:t>
      </w:r>
    </w:p>
    <w:p w14:paraId="1F285F6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3.4.3 有效参选不足两个的，经评审委员会判定，参选人具有相对行业竞争力的，可继续进行评审。</w:t>
      </w:r>
    </w:p>
    <w:p w14:paraId="201E1DD6">
      <w:pPr>
        <w:pStyle w:val="4"/>
        <w:ind w:firstLine="482"/>
        <w:rPr>
          <w:rFonts w:ascii="Times New Roman" w:hAnsi="Times New Roman"/>
          <w:color w:val="auto"/>
          <w:highlight w:val="none"/>
          <w:shd w:val="clear" w:color="auto" w:fill="auto"/>
        </w:rPr>
      </w:pPr>
      <w:bookmarkStart w:id="364" w:name="_Toc27128"/>
      <w:r>
        <w:rPr>
          <w:rFonts w:hint="eastAsia" w:ascii="Times New Roman" w:hAnsi="Times New Roman"/>
          <w:color w:val="auto"/>
          <w:highlight w:val="none"/>
          <w:shd w:val="clear" w:color="auto" w:fill="auto"/>
        </w:rPr>
        <w:t>3.5 对评审委员会成员的纪律要求</w:t>
      </w:r>
      <w:bookmarkEnd w:id="364"/>
    </w:p>
    <w:p w14:paraId="1789666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031FE57">
      <w:pPr>
        <w:pStyle w:val="4"/>
        <w:ind w:firstLine="482"/>
        <w:rPr>
          <w:rFonts w:ascii="Times New Roman" w:hAnsi="Times New Roman"/>
          <w:color w:val="auto"/>
          <w:highlight w:val="none"/>
          <w:shd w:val="clear" w:color="auto" w:fill="auto"/>
        </w:rPr>
      </w:pPr>
      <w:bookmarkStart w:id="365" w:name="_Toc12786"/>
      <w:r>
        <w:rPr>
          <w:rFonts w:hint="eastAsia" w:ascii="Times New Roman" w:hAnsi="Times New Roman"/>
          <w:color w:val="auto"/>
          <w:highlight w:val="none"/>
          <w:shd w:val="clear" w:color="auto" w:fill="auto"/>
        </w:rPr>
        <w:t>3.6 对与评审活动有关的工作人员的纪律要求</w:t>
      </w:r>
      <w:bookmarkEnd w:id="365"/>
    </w:p>
    <w:p w14:paraId="02DAC10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DC0C7E2">
      <w:pPr>
        <w:ind w:firstLine="480"/>
        <w:rPr>
          <w:rFonts w:ascii="Times New Roman" w:hAnsi="Times New Roman"/>
          <w:color w:val="auto"/>
          <w:highlight w:val="none"/>
          <w:shd w:val="clear" w:color="auto" w:fill="auto"/>
        </w:rPr>
      </w:pPr>
    </w:p>
    <w:p w14:paraId="4D5F8935">
      <w:pPr>
        <w:ind w:firstLine="480"/>
        <w:rPr>
          <w:rFonts w:ascii="Times New Roman" w:hAnsi="Times New Roman"/>
          <w:color w:val="auto"/>
          <w:highlight w:val="none"/>
          <w:shd w:val="clear" w:color="auto" w:fill="auto"/>
        </w:rPr>
      </w:pPr>
      <w:bookmarkStart w:id="366" w:name="_Toc150953074"/>
      <w:bookmarkStart w:id="367" w:name="_Toc89675170"/>
      <w:bookmarkStart w:id="368" w:name="_Toc303066034"/>
      <w:r>
        <w:rPr>
          <w:rFonts w:hint="eastAsia" w:ascii="Times New Roman" w:hAnsi="Times New Roman"/>
          <w:color w:val="auto"/>
          <w:highlight w:val="none"/>
          <w:shd w:val="clear" w:color="auto" w:fill="auto"/>
        </w:rPr>
        <w:br w:type="page"/>
      </w:r>
    </w:p>
    <w:p w14:paraId="4E1E0BAA">
      <w:pPr>
        <w:pStyle w:val="2"/>
        <w:rPr>
          <w:rFonts w:ascii="Times New Roman" w:hAnsi="Times New Roman"/>
          <w:color w:val="auto"/>
          <w:highlight w:val="none"/>
          <w:shd w:val="clear" w:color="auto" w:fill="auto"/>
        </w:rPr>
      </w:pPr>
      <w:bookmarkStart w:id="369" w:name="_Toc31895"/>
      <w:bookmarkStart w:id="370" w:name="_Toc8353"/>
      <w:bookmarkStart w:id="371" w:name="_Toc6341"/>
      <w:r>
        <w:rPr>
          <w:rFonts w:hint="eastAsia" w:ascii="Times New Roman" w:hAnsi="Times New Roman"/>
          <w:color w:val="auto"/>
          <w:highlight w:val="none"/>
          <w:shd w:val="clear" w:color="auto" w:fill="auto"/>
        </w:rPr>
        <w:t>第五章 合同</w:t>
      </w:r>
      <w:r>
        <w:rPr>
          <w:rFonts w:ascii="Times New Roman" w:hAnsi="Times New Roman"/>
          <w:color w:val="auto"/>
          <w:highlight w:val="none"/>
          <w:shd w:val="clear" w:color="auto" w:fill="auto"/>
        </w:rPr>
        <w:t>模板</w:t>
      </w:r>
      <w:bookmarkEnd w:id="366"/>
      <w:bookmarkEnd w:id="369"/>
      <w:bookmarkEnd w:id="370"/>
      <w:bookmarkEnd w:id="371"/>
    </w:p>
    <w:p w14:paraId="146BEE84">
      <w:pPr>
        <w:spacing w:line="360" w:lineRule="auto"/>
        <w:ind w:firstLine="480"/>
        <w:rPr>
          <w:rFonts w:ascii="宋体" w:cs="宋体"/>
          <w:snapToGrid w:val="0"/>
          <w:color w:val="auto"/>
          <w:kern w:val="0"/>
          <w:szCs w:val="24"/>
          <w:highlight w:val="none"/>
          <w:shd w:val="clear" w:color="auto" w:fill="auto"/>
        </w:rPr>
      </w:pPr>
      <w:r>
        <w:rPr>
          <w:rFonts w:ascii="宋体" w:cs="宋体"/>
          <w:snapToGrid w:val="0"/>
          <w:color w:val="auto"/>
          <w:kern w:val="0"/>
          <w:szCs w:val="24"/>
          <w:highlight w:val="none"/>
          <w:shd w:val="clear" w:color="auto" w:fill="auto"/>
        </w:rPr>
        <w:t>（</w:t>
      </w:r>
      <w:r>
        <w:rPr>
          <w:rFonts w:hint="eastAsia" w:ascii="Times New Roman" w:hAnsi="Times New Roman"/>
          <w:color w:val="auto"/>
          <w:highlight w:val="none"/>
          <w:shd w:val="clear" w:color="auto" w:fill="auto"/>
        </w:rPr>
        <w:t>本章节的合同条款及格式仅供参考，</w:t>
      </w:r>
      <w:r>
        <w:rPr>
          <w:rFonts w:ascii="宋体" w:cs="宋体"/>
          <w:snapToGrid w:val="0"/>
          <w:color w:val="auto"/>
          <w:kern w:val="0"/>
          <w:szCs w:val="24"/>
          <w:highlight w:val="none"/>
          <w:shd w:val="clear" w:color="auto" w:fill="auto"/>
        </w:rPr>
        <w:t>若比选文件与最终签订合同约定不一致，</w:t>
      </w:r>
      <w:r>
        <w:rPr>
          <w:rFonts w:hint="eastAsia" w:ascii="Times New Roman" w:hAnsi="Times New Roman"/>
          <w:color w:val="auto"/>
          <w:highlight w:val="none"/>
          <w:shd w:val="clear" w:color="auto" w:fill="auto"/>
        </w:rPr>
        <w:t>具体以合同签订时为准</w:t>
      </w:r>
      <w:r>
        <w:rPr>
          <w:rFonts w:ascii="宋体" w:cs="宋体"/>
          <w:snapToGrid w:val="0"/>
          <w:color w:val="auto"/>
          <w:kern w:val="0"/>
          <w:szCs w:val="24"/>
          <w:highlight w:val="none"/>
          <w:shd w:val="clear" w:color="auto" w:fill="auto"/>
        </w:rPr>
        <w:t>）</w:t>
      </w:r>
    </w:p>
    <w:p w14:paraId="1BC70E50">
      <w:pPr>
        <w:spacing w:line="360" w:lineRule="auto"/>
        <w:ind w:firstLine="560"/>
        <w:jc w:val="right"/>
        <w:rPr>
          <w:rStyle w:val="23"/>
          <w:rFonts w:ascii="宋体" w:hAnsi="宋体"/>
          <w:b w:val="0"/>
          <w:color w:val="auto"/>
          <w:sz w:val="28"/>
          <w:szCs w:val="28"/>
          <w:highlight w:val="none"/>
          <w:shd w:val="clear" w:color="auto" w:fill="auto"/>
        </w:rPr>
      </w:pPr>
      <w:r>
        <w:rPr>
          <w:rStyle w:val="23"/>
          <w:rFonts w:hint="eastAsia" w:ascii="宋体" w:hAnsi="宋体"/>
          <w:b w:val="0"/>
          <w:color w:val="auto"/>
          <w:sz w:val="28"/>
          <w:szCs w:val="28"/>
          <w:highlight w:val="none"/>
          <w:shd w:val="clear" w:color="auto" w:fill="auto"/>
        </w:rPr>
        <w:t>编号：SXYH202</w:t>
      </w:r>
      <w:r>
        <w:rPr>
          <w:rStyle w:val="23"/>
          <w:rFonts w:ascii="宋体" w:hAnsi="宋体"/>
          <w:b w:val="0"/>
          <w:color w:val="auto"/>
          <w:sz w:val="28"/>
          <w:szCs w:val="28"/>
          <w:highlight w:val="none"/>
          <w:shd w:val="clear" w:color="auto" w:fill="auto"/>
        </w:rPr>
        <w:t>4</w:t>
      </w:r>
      <w:r>
        <w:rPr>
          <w:rStyle w:val="23"/>
          <w:rFonts w:hint="eastAsia" w:ascii="宋体" w:hAnsi="宋体"/>
          <w:b w:val="0"/>
          <w:color w:val="auto"/>
          <w:sz w:val="28"/>
          <w:szCs w:val="28"/>
          <w:highlight w:val="none"/>
          <w:shd w:val="clear" w:color="auto" w:fill="auto"/>
        </w:rPr>
        <w:t>_______</w:t>
      </w:r>
    </w:p>
    <w:p w14:paraId="76E1CC69">
      <w:pPr>
        <w:spacing w:line="360" w:lineRule="auto"/>
        <w:ind w:firstLine="482"/>
        <w:jc w:val="center"/>
        <w:rPr>
          <w:rStyle w:val="23"/>
          <w:color w:val="auto"/>
          <w:szCs w:val="21"/>
          <w:highlight w:val="none"/>
          <w:shd w:val="clear" w:color="auto" w:fill="auto"/>
        </w:rPr>
      </w:pPr>
    </w:p>
    <w:p w14:paraId="6E191552">
      <w:pPr>
        <w:spacing w:line="360" w:lineRule="auto"/>
        <w:ind w:firstLine="482"/>
        <w:jc w:val="center"/>
        <w:rPr>
          <w:rStyle w:val="23"/>
          <w:color w:val="auto"/>
          <w:szCs w:val="21"/>
          <w:highlight w:val="none"/>
          <w:shd w:val="clear" w:color="auto" w:fill="auto"/>
        </w:rPr>
      </w:pPr>
    </w:p>
    <w:p w14:paraId="004E4746">
      <w:pPr>
        <w:spacing w:line="360" w:lineRule="auto"/>
        <w:ind w:firstLine="482"/>
        <w:jc w:val="center"/>
        <w:rPr>
          <w:rStyle w:val="23"/>
          <w:color w:val="auto"/>
          <w:szCs w:val="21"/>
          <w:highlight w:val="none"/>
          <w:shd w:val="clear" w:color="auto" w:fill="auto"/>
        </w:rPr>
      </w:pPr>
    </w:p>
    <w:p w14:paraId="02A6AE08">
      <w:pPr>
        <w:spacing w:line="360" w:lineRule="auto"/>
        <w:ind w:firstLine="482"/>
        <w:jc w:val="center"/>
        <w:rPr>
          <w:rStyle w:val="23"/>
          <w:color w:val="auto"/>
          <w:szCs w:val="21"/>
          <w:highlight w:val="none"/>
          <w:shd w:val="clear" w:color="auto" w:fill="auto"/>
        </w:rPr>
      </w:pPr>
    </w:p>
    <w:p w14:paraId="20B7C552">
      <w:pPr>
        <w:spacing w:line="360" w:lineRule="auto"/>
        <w:ind w:firstLine="1044"/>
        <w:jc w:val="center"/>
        <w:rPr>
          <w:rStyle w:val="23"/>
          <w:rFonts w:ascii="宋体" w:hAnsi="宋体"/>
          <w:color w:val="auto"/>
          <w:sz w:val="52"/>
          <w:szCs w:val="52"/>
          <w:highlight w:val="none"/>
          <w:shd w:val="clear" w:color="auto" w:fill="auto"/>
        </w:rPr>
      </w:pPr>
      <w:r>
        <w:rPr>
          <w:rStyle w:val="23"/>
          <w:rFonts w:hint="eastAsia" w:ascii="宋体" w:hAnsi="宋体"/>
          <w:color w:val="auto"/>
          <w:sz w:val="52"/>
          <w:szCs w:val="52"/>
          <w:highlight w:val="none"/>
          <w:shd w:val="clear" w:color="auto" w:fill="auto"/>
        </w:rPr>
        <w:t>重庆三峡银行</w:t>
      </w:r>
    </w:p>
    <w:p w14:paraId="5ECCEA96">
      <w:pPr>
        <w:spacing w:line="360" w:lineRule="auto"/>
        <w:ind w:firstLine="1044"/>
        <w:jc w:val="center"/>
        <w:rPr>
          <w:rFonts w:ascii="宋体"/>
          <w:color w:val="auto"/>
          <w:sz w:val="52"/>
          <w:szCs w:val="52"/>
          <w:highlight w:val="none"/>
          <w:shd w:val="clear" w:color="auto" w:fill="auto"/>
        </w:rPr>
      </w:pPr>
      <w:r>
        <w:rPr>
          <w:rStyle w:val="23"/>
          <w:rFonts w:ascii="宋体" w:hAnsi="宋体"/>
          <w:color w:val="auto"/>
          <w:sz w:val="52"/>
          <w:szCs w:val="52"/>
          <w:highlight w:val="none"/>
          <w:shd w:val="clear" w:color="auto" w:fill="auto"/>
        </w:rPr>
        <w:t>电子验印系统项目</w:t>
      </w:r>
    </w:p>
    <w:p w14:paraId="4A286725">
      <w:pPr>
        <w:spacing w:line="360" w:lineRule="auto"/>
        <w:ind w:firstLine="1044"/>
        <w:jc w:val="center"/>
        <w:rPr>
          <w:rStyle w:val="23"/>
          <w:color w:val="auto"/>
          <w:sz w:val="36"/>
          <w:szCs w:val="21"/>
          <w:highlight w:val="none"/>
          <w:shd w:val="clear" w:color="auto" w:fill="auto"/>
        </w:rPr>
      </w:pPr>
      <w:r>
        <w:rPr>
          <w:rStyle w:val="23"/>
          <w:rFonts w:hint="eastAsia" w:ascii="宋体" w:hAnsi="宋体"/>
          <w:color w:val="auto"/>
          <w:sz w:val="52"/>
          <w:szCs w:val="52"/>
          <w:highlight w:val="none"/>
          <w:shd w:val="clear" w:color="auto" w:fill="auto"/>
        </w:rPr>
        <w:t>外包开发合同</w:t>
      </w:r>
    </w:p>
    <w:p w14:paraId="03E9C2A6">
      <w:pPr>
        <w:spacing w:line="360" w:lineRule="auto"/>
        <w:ind w:firstLine="482"/>
        <w:jc w:val="center"/>
        <w:rPr>
          <w:rStyle w:val="23"/>
          <w:color w:val="auto"/>
          <w:szCs w:val="21"/>
          <w:highlight w:val="none"/>
          <w:shd w:val="clear" w:color="auto" w:fill="auto"/>
        </w:rPr>
      </w:pPr>
    </w:p>
    <w:p w14:paraId="4C02BE32">
      <w:pPr>
        <w:spacing w:line="360" w:lineRule="auto"/>
        <w:ind w:firstLine="482"/>
        <w:jc w:val="center"/>
        <w:rPr>
          <w:rStyle w:val="23"/>
          <w:color w:val="auto"/>
          <w:szCs w:val="21"/>
          <w:highlight w:val="none"/>
          <w:shd w:val="clear" w:color="auto" w:fill="auto"/>
        </w:rPr>
      </w:pPr>
    </w:p>
    <w:p w14:paraId="551CC566">
      <w:pPr>
        <w:spacing w:line="360" w:lineRule="auto"/>
        <w:ind w:firstLine="482"/>
        <w:jc w:val="center"/>
        <w:rPr>
          <w:b/>
          <w:bCs/>
          <w:color w:val="auto"/>
          <w:highlight w:val="none"/>
          <w:shd w:val="clear" w:color="auto" w:fill="auto"/>
        </w:rPr>
      </w:pPr>
    </w:p>
    <w:p w14:paraId="71D8D687">
      <w:pPr>
        <w:spacing w:line="360" w:lineRule="auto"/>
        <w:ind w:firstLine="482"/>
        <w:jc w:val="center"/>
        <w:rPr>
          <w:b/>
          <w:bCs/>
          <w:color w:val="auto"/>
          <w:highlight w:val="none"/>
          <w:shd w:val="clear" w:color="auto" w:fill="auto"/>
        </w:rPr>
      </w:pPr>
    </w:p>
    <w:p w14:paraId="046F1099">
      <w:pPr>
        <w:spacing w:line="360" w:lineRule="auto"/>
        <w:ind w:firstLine="482"/>
        <w:jc w:val="center"/>
        <w:rPr>
          <w:b/>
          <w:bCs/>
          <w:color w:val="auto"/>
          <w:highlight w:val="none"/>
          <w:shd w:val="clear" w:color="auto" w:fill="auto"/>
        </w:rPr>
      </w:pPr>
    </w:p>
    <w:p w14:paraId="64CA8950">
      <w:pPr>
        <w:spacing w:line="360" w:lineRule="auto"/>
        <w:ind w:firstLine="482"/>
        <w:rPr>
          <w:b/>
          <w:bCs/>
          <w:color w:val="auto"/>
          <w:highlight w:val="none"/>
          <w:shd w:val="clear" w:color="auto" w:fill="auto"/>
        </w:rPr>
      </w:pPr>
    </w:p>
    <w:p w14:paraId="7D18EE68">
      <w:pPr>
        <w:spacing w:line="360" w:lineRule="auto"/>
        <w:ind w:firstLine="482"/>
        <w:jc w:val="center"/>
        <w:rPr>
          <w:b/>
          <w:bCs/>
          <w:color w:val="auto"/>
          <w:highlight w:val="none"/>
          <w:shd w:val="clear" w:color="auto" w:fill="auto"/>
        </w:rPr>
      </w:pPr>
    </w:p>
    <w:p w14:paraId="4FE5095B">
      <w:pPr>
        <w:spacing w:line="360" w:lineRule="auto"/>
        <w:ind w:firstLine="482"/>
        <w:jc w:val="center"/>
        <w:rPr>
          <w:b/>
          <w:bCs/>
          <w:color w:val="auto"/>
          <w:highlight w:val="none"/>
          <w:shd w:val="clear" w:color="auto" w:fill="auto"/>
        </w:rPr>
      </w:pPr>
    </w:p>
    <w:p w14:paraId="60A18863">
      <w:pPr>
        <w:spacing w:line="360" w:lineRule="auto"/>
        <w:ind w:firstLine="482"/>
        <w:jc w:val="center"/>
        <w:rPr>
          <w:b/>
          <w:bCs/>
          <w:color w:val="auto"/>
          <w:highlight w:val="none"/>
          <w:shd w:val="clear" w:color="auto" w:fill="auto"/>
        </w:rPr>
      </w:pPr>
    </w:p>
    <w:p w14:paraId="6DA976D5">
      <w:pPr>
        <w:spacing w:line="360" w:lineRule="auto"/>
        <w:ind w:left="840" w:firstLine="420" w:firstLineChars="0"/>
        <w:rPr>
          <w:rFonts w:ascii="宋体"/>
          <w:b/>
          <w:bCs/>
          <w:color w:val="auto"/>
          <w:sz w:val="28"/>
          <w:highlight w:val="none"/>
          <w:shd w:val="clear" w:color="auto" w:fill="auto"/>
        </w:rPr>
      </w:pPr>
      <w:r>
        <w:rPr>
          <w:rFonts w:hint="eastAsia" w:ascii="宋体"/>
          <w:b/>
          <w:bCs/>
          <w:color w:val="auto"/>
          <w:sz w:val="28"/>
          <w:highlight w:val="none"/>
          <w:shd w:val="clear" w:color="auto" w:fill="auto"/>
        </w:rPr>
        <w:t>委托方（甲方）：重庆三峡银行股份有限公司</w:t>
      </w:r>
    </w:p>
    <w:p w14:paraId="33B6C5C2">
      <w:pPr>
        <w:spacing w:line="360" w:lineRule="auto"/>
        <w:ind w:left="840" w:firstLine="420" w:firstLineChars="0"/>
        <w:rPr>
          <w:rFonts w:ascii="宋体"/>
          <w:b/>
          <w:bCs/>
          <w:color w:val="auto"/>
          <w:sz w:val="28"/>
          <w:highlight w:val="none"/>
          <w:shd w:val="clear" w:color="auto" w:fill="auto"/>
        </w:rPr>
      </w:pPr>
      <w:r>
        <w:rPr>
          <w:rFonts w:hint="eastAsia" w:ascii="宋体"/>
          <w:b/>
          <w:bCs/>
          <w:color w:val="auto"/>
          <w:sz w:val="28"/>
          <w:highlight w:val="none"/>
          <w:shd w:val="clear" w:color="auto" w:fill="auto"/>
        </w:rPr>
        <w:t>受托方（乙方）：XXXXXXXXXXX</w:t>
      </w:r>
    </w:p>
    <w:p w14:paraId="0D85E42D">
      <w:pPr>
        <w:spacing w:line="360" w:lineRule="auto"/>
        <w:ind w:left="840" w:firstLine="420" w:firstLineChars="0"/>
        <w:rPr>
          <w:rFonts w:ascii="宋体"/>
          <w:b/>
          <w:color w:val="auto"/>
          <w:highlight w:val="none"/>
          <w:shd w:val="clear" w:color="auto" w:fill="auto"/>
        </w:rPr>
      </w:pPr>
      <w:r>
        <w:rPr>
          <w:rFonts w:hint="eastAsia" w:ascii="宋体"/>
          <w:b/>
          <w:bCs/>
          <w:color w:val="auto"/>
          <w:sz w:val="28"/>
          <w:highlight w:val="none"/>
          <w:shd w:val="clear" w:color="auto" w:fill="auto"/>
        </w:rPr>
        <w:t>签订地点</w:t>
      </w:r>
      <w:r>
        <w:rPr>
          <w:rFonts w:hint="eastAsia" w:ascii="宋体"/>
          <w:b/>
          <w:color w:val="auto"/>
          <w:sz w:val="28"/>
          <w:highlight w:val="none"/>
          <w:shd w:val="clear" w:color="auto" w:fill="auto"/>
        </w:rPr>
        <w:t>：</w:t>
      </w:r>
    </w:p>
    <w:p w14:paraId="786F5B77">
      <w:pPr>
        <w:spacing w:line="360" w:lineRule="auto"/>
        <w:ind w:firstLine="643"/>
        <w:rPr>
          <w:b/>
          <w:color w:val="auto"/>
          <w:sz w:val="32"/>
          <w:highlight w:val="none"/>
          <w:shd w:val="clear" w:color="auto" w:fill="auto"/>
        </w:rPr>
      </w:pPr>
    </w:p>
    <w:p w14:paraId="328670D3">
      <w:pPr>
        <w:spacing w:line="360" w:lineRule="auto"/>
        <w:ind w:firstLine="480"/>
        <w:jc w:val="center"/>
        <w:rPr>
          <w:rFonts w:ascii="宋体"/>
          <w:b/>
          <w:color w:val="auto"/>
          <w:sz w:val="32"/>
          <w:szCs w:val="32"/>
          <w:highlight w:val="none"/>
          <w:shd w:val="clear" w:color="auto" w:fill="auto"/>
        </w:rPr>
      </w:pPr>
      <w:r>
        <w:rPr>
          <w:color w:val="auto"/>
          <w:highlight w:val="none"/>
          <w:shd w:val="clear" w:color="auto" w:fill="auto"/>
        </w:rPr>
        <w:br w:type="page"/>
      </w:r>
      <w:r>
        <w:rPr>
          <w:rFonts w:hint="eastAsia" w:ascii="宋体"/>
          <w:b/>
          <w:color w:val="auto"/>
          <w:sz w:val="32"/>
          <w:szCs w:val="32"/>
          <w:highlight w:val="none"/>
          <w:shd w:val="clear" w:color="auto" w:fill="auto"/>
        </w:rPr>
        <w:t>目    录</w:t>
      </w:r>
    </w:p>
    <w:p w14:paraId="2E067D45">
      <w:pPr>
        <w:pStyle w:val="17"/>
        <w:tabs>
          <w:tab w:val="right" w:leader="dot" w:pos="10466"/>
          <w:tab w:val="clear" w:pos="-111"/>
        </w:tabs>
        <w:ind w:firstLine="480"/>
        <w:rPr>
          <w:color w:val="auto"/>
          <w:highlight w:val="none"/>
          <w:shd w:val="clear" w:color="auto" w:fill="auto"/>
        </w:rPr>
      </w:pPr>
      <w:r>
        <w:rPr>
          <w:rFonts w:hint="eastAsia" w:ascii="宋体"/>
          <w:color w:val="auto"/>
          <w:highlight w:val="none"/>
          <w:shd w:val="clear" w:color="auto" w:fill="auto"/>
        </w:rPr>
        <w:fldChar w:fldCharType="begin"/>
      </w:r>
      <w:r>
        <w:rPr>
          <w:rFonts w:hint="eastAsia" w:ascii="宋体"/>
          <w:color w:val="auto"/>
          <w:highlight w:val="none"/>
          <w:shd w:val="clear" w:color="auto" w:fill="auto"/>
        </w:rPr>
        <w:instrText xml:space="preserve"> TOC \o "1-3" \n \h \z \u </w:instrText>
      </w:r>
      <w:r>
        <w:rPr>
          <w:rFonts w:hint="eastAsia" w:ascii="宋体"/>
          <w:color w:val="auto"/>
          <w:highlight w:val="none"/>
          <w:shd w:val="clear" w:color="auto" w:fill="auto"/>
        </w:rPr>
        <w:fldChar w:fldCharType="separate"/>
      </w:r>
    </w:p>
    <w:p w14:paraId="5C4FA3F8">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"_Toc21337" </w:instrText>
      </w:r>
      <w:r>
        <w:rPr>
          <w:color w:val="auto"/>
          <w:highlight w:val="none"/>
          <w:shd w:val="clear" w:color="auto" w:fill="auto"/>
        </w:rPr>
        <w:fldChar w:fldCharType="separate"/>
      </w:r>
      <w:r>
        <w:rPr>
          <w:rFonts w:hint="eastAsia" w:ascii="宋体"/>
          <w:color w:val="auto"/>
          <w:highlight w:val="none"/>
          <w:shd w:val="clear" w:color="auto" w:fill="auto"/>
        </w:rPr>
        <w:t>第一条  定义</w:t>
      </w:r>
      <w:r>
        <w:rPr>
          <w:rFonts w:hint="eastAsia" w:ascii="宋体"/>
          <w:color w:val="auto"/>
          <w:highlight w:val="none"/>
          <w:shd w:val="clear" w:color="auto" w:fill="auto"/>
        </w:rPr>
        <w:fldChar w:fldCharType="end"/>
      </w:r>
    </w:p>
    <w:p w14:paraId="0697B858">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"_Toc4016" </w:instrText>
      </w:r>
      <w:r>
        <w:rPr>
          <w:color w:val="auto"/>
          <w:highlight w:val="none"/>
          <w:shd w:val="clear" w:color="auto" w:fill="auto"/>
        </w:rPr>
        <w:fldChar w:fldCharType="separate"/>
      </w:r>
      <w:r>
        <w:rPr>
          <w:rFonts w:hint="eastAsia" w:ascii="宋体"/>
          <w:color w:val="auto"/>
          <w:highlight w:val="none"/>
          <w:shd w:val="clear" w:color="auto" w:fill="auto"/>
        </w:rPr>
        <w:t>第二条  外包开发内容</w:t>
      </w:r>
      <w:r>
        <w:rPr>
          <w:rFonts w:hint="eastAsia" w:ascii="宋体"/>
          <w:color w:val="auto"/>
          <w:highlight w:val="none"/>
          <w:shd w:val="clear" w:color="auto" w:fill="auto"/>
        </w:rPr>
        <w:fldChar w:fldCharType="end"/>
      </w:r>
    </w:p>
    <w:p w14:paraId="1218EF90">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"_Toc10952" </w:instrText>
      </w:r>
      <w:r>
        <w:rPr>
          <w:color w:val="auto"/>
          <w:highlight w:val="none"/>
          <w:shd w:val="clear" w:color="auto" w:fill="auto"/>
        </w:rPr>
        <w:fldChar w:fldCharType="separate"/>
      </w:r>
      <w:r>
        <w:rPr>
          <w:rFonts w:hint="eastAsia" w:ascii="宋体"/>
          <w:color w:val="auto"/>
          <w:highlight w:val="none"/>
          <w:shd w:val="clear" w:color="auto" w:fill="auto"/>
        </w:rPr>
        <w:t>第三条  项目履行的进度、期限、地点、地域、方式</w:t>
      </w:r>
      <w:r>
        <w:rPr>
          <w:rFonts w:hint="eastAsia" w:ascii="宋体"/>
          <w:color w:val="auto"/>
          <w:highlight w:val="none"/>
          <w:shd w:val="clear" w:color="auto" w:fill="auto"/>
        </w:rPr>
        <w:fldChar w:fldCharType="end"/>
      </w:r>
    </w:p>
    <w:p w14:paraId="48351DAC">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"_Toc29529" </w:instrText>
      </w:r>
      <w:r>
        <w:rPr>
          <w:color w:val="auto"/>
          <w:highlight w:val="none"/>
          <w:shd w:val="clear" w:color="auto" w:fill="auto"/>
        </w:rPr>
        <w:fldChar w:fldCharType="separate"/>
      </w:r>
      <w:r>
        <w:rPr>
          <w:rFonts w:hint="eastAsia" w:ascii="宋体"/>
          <w:color w:val="auto"/>
          <w:highlight w:val="none"/>
          <w:shd w:val="clear" w:color="auto" w:fill="auto"/>
        </w:rPr>
        <w:t>第四条  方案调整</w:t>
      </w:r>
      <w:r>
        <w:rPr>
          <w:rFonts w:hint="eastAsia" w:ascii="宋体"/>
          <w:color w:val="auto"/>
          <w:highlight w:val="none"/>
          <w:shd w:val="clear" w:color="auto" w:fill="auto"/>
        </w:rPr>
        <w:fldChar w:fldCharType="end"/>
      </w:r>
    </w:p>
    <w:p w14:paraId="252449EB">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"_Toc28040" </w:instrText>
      </w:r>
      <w:r>
        <w:rPr>
          <w:color w:val="auto"/>
          <w:highlight w:val="none"/>
          <w:shd w:val="clear" w:color="auto" w:fill="auto"/>
        </w:rPr>
        <w:fldChar w:fldCharType="separate"/>
      </w:r>
      <w:r>
        <w:rPr>
          <w:rFonts w:hint="eastAsia" w:ascii="宋体"/>
          <w:color w:val="auto"/>
          <w:highlight w:val="none"/>
          <w:shd w:val="clear" w:color="auto" w:fill="auto"/>
        </w:rPr>
        <w:t>第五条  项目验收</w:t>
      </w:r>
      <w:r>
        <w:rPr>
          <w:rFonts w:hint="eastAsia" w:ascii="宋体"/>
          <w:color w:val="auto"/>
          <w:highlight w:val="none"/>
          <w:shd w:val="clear" w:color="auto" w:fill="auto"/>
        </w:rPr>
        <w:fldChar w:fldCharType="end"/>
      </w:r>
    </w:p>
    <w:p w14:paraId="6160EF2E">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"_Toc24322" </w:instrText>
      </w:r>
      <w:r>
        <w:rPr>
          <w:color w:val="auto"/>
          <w:highlight w:val="none"/>
          <w:shd w:val="clear" w:color="auto" w:fill="auto"/>
        </w:rPr>
        <w:fldChar w:fldCharType="separate"/>
      </w:r>
      <w:r>
        <w:rPr>
          <w:rFonts w:hint="eastAsia" w:ascii="宋体"/>
          <w:color w:val="auto"/>
          <w:highlight w:val="none"/>
          <w:shd w:val="clear" w:color="auto" w:fill="auto"/>
        </w:rPr>
        <w:t>第六条  交付使用后维护期、系统完善和保修维护服务</w:t>
      </w:r>
      <w:r>
        <w:rPr>
          <w:rFonts w:hint="eastAsia" w:ascii="宋体"/>
          <w:color w:val="auto"/>
          <w:highlight w:val="none"/>
          <w:shd w:val="clear" w:color="auto" w:fill="auto"/>
        </w:rPr>
        <w:fldChar w:fldCharType="end"/>
      </w:r>
    </w:p>
    <w:p w14:paraId="09AAF7AD">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"_Toc6002" </w:instrText>
      </w:r>
      <w:r>
        <w:rPr>
          <w:color w:val="auto"/>
          <w:highlight w:val="none"/>
          <w:shd w:val="clear" w:color="auto" w:fill="auto"/>
        </w:rPr>
        <w:fldChar w:fldCharType="separate"/>
      </w:r>
      <w:r>
        <w:rPr>
          <w:rFonts w:hint="eastAsia" w:ascii="宋体"/>
          <w:color w:val="auto"/>
          <w:highlight w:val="none"/>
          <w:shd w:val="clear" w:color="auto" w:fill="auto"/>
        </w:rPr>
        <w:t>第七条  技术辅导与培训</w:t>
      </w:r>
      <w:r>
        <w:rPr>
          <w:rFonts w:hint="eastAsia" w:ascii="宋体"/>
          <w:color w:val="auto"/>
          <w:highlight w:val="none"/>
          <w:shd w:val="clear" w:color="auto" w:fill="auto"/>
        </w:rPr>
        <w:fldChar w:fldCharType="end"/>
      </w:r>
    </w:p>
    <w:p w14:paraId="4B7241A1">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"_Toc189" </w:instrText>
      </w:r>
      <w:r>
        <w:rPr>
          <w:color w:val="auto"/>
          <w:highlight w:val="none"/>
          <w:shd w:val="clear" w:color="auto" w:fill="auto"/>
        </w:rPr>
        <w:fldChar w:fldCharType="separate"/>
      </w:r>
      <w:r>
        <w:rPr>
          <w:rFonts w:hint="eastAsia" w:ascii="宋体"/>
          <w:color w:val="auto"/>
          <w:highlight w:val="none"/>
          <w:shd w:val="clear" w:color="auto" w:fill="auto"/>
        </w:rPr>
        <w:t>第八条  双方的权利、义务</w:t>
      </w:r>
      <w:r>
        <w:rPr>
          <w:rFonts w:hint="eastAsia" w:ascii="宋体"/>
          <w:color w:val="auto"/>
          <w:highlight w:val="none"/>
          <w:shd w:val="clear" w:color="auto" w:fill="auto"/>
        </w:rPr>
        <w:fldChar w:fldCharType="end"/>
      </w:r>
    </w:p>
    <w:p w14:paraId="646D14E1">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"_Toc8573" </w:instrText>
      </w:r>
      <w:r>
        <w:rPr>
          <w:color w:val="auto"/>
          <w:highlight w:val="none"/>
          <w:shd w:val="clear" w:color="auto" w:fill="auto"/>
        </w:rPr>
        <w:fldChar w:fldCharType="separate"/>
      </w:r>
      <w:r>
        <w:rPr>
          <w:rFonts w:hint="eastAsia" w:ascii="宋体"/>
          <w:color w:val="auto"/>
          <w:highlight w:val="none"/>
          <w:shd w:val="clear" w:color="auto" w:fill="auto"/>
        </w:rPr>
        <w:t>第九条  乙方的声明与保证</w:t>
      </w:r>
      <w:r>
        <w:rPr>
          <w:rFonts w:hint="eastAsia" w:ascii="宋体"/>
          <w:color w:val="auto"/>
          <w:highlight w:val="none"/>
          <w:shd w:val="clear" w:color="auto" w:fill="auto"/>
        </w:rPr>
        <w:fldChar w:fldCharType="end"/>
      </w:r>
    </w:p>
    <w:p w14:paraId="4CB444EE">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"_Toc11274" </w:instrText>
      </w:r>
      <w:r>
        <w:rPr>
          <w:color w:val="auto"/>
          <w:highlight w:val="none"/>
          <w:shd w:val="clear" w:color="auto" w:fill="auto"/>
        </w:rPr>
        <w:fldChar w:fldCharType="separate"/>
      </w:r>
      <w:r>
        <w:rPr>
          <w:rFonts w:hint="eastAsia" w:ascii="宋体"/>
          <w:color w:val="auto"/>
          <w:highlight w:val="none"/>
          <w:shd w:val="clear" w:color="auto" w:fill="auto"/>
        </w:rPr>
        <w:t>第十条  知识产权</w:t>
      </w:r>
      <w:r>
        <w:rPr>
          <w:rFonts w:hint="eastAsia" w:ascii="宋体"/>
          <w:color w:val="auto"/>
          <w:highlight w:val="none"/>
          <w:shd w:val="clear" w:color="auto" w:fill="auto"/>
        </w:rPr>
        <w:fldChar w:fldCharType="end"/>
      </w:r>
    </w:p>
    <w:p w14:paraId="1507C6A1">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"_Toc32234" </w:instrText>
      </w:r>
      <w:r>
        <w:rPr>
          <w:color w:val="auto"/>
          <w:highlight w:val="none"/>
          <w:shd w:val="clear" w:color="auto" w:fill="auto"/>
        </w:rPr>
        <w:fldChar w:fldCharType="separate"/>
      </w:r>
      <w:r>
        <w:rPr>
          <w:rFonts w:hint="eastAsia" w:ascii="宋体"/>
          <w:color w:val="auto"/>
          <w:highlight w:val="none"/>
          <w:shd w:val="clear" w:color="auto" w:fill="auto"/>
        </w:rPr>
        <w:t>第十一条  第三方索赔</w:t>
      </w:r>
      <w:r>
        <w:rPr>
          <w:rFonts w:hint="eastAsia" w:ascii="宋体"/>
          <w:color w:val="auto"/>
          <w:highlight w:val="none"/>
          <w:shd w:val="clear" w:color="auto" w:fill="auto"/>
        </w:rPr>
        <w:fldChar w:fldCharType="end"/>
      </w:r>
    </w:p>
    <w:p w14:paraId="015302E7">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"_Toc19424" </w:instrText>
      </w:r>
      <w:r>
        <w:rPr>
          <w:color w:val="auto"/>
          <w:highlight w:val="none"/>
          <w:shd w:val="clear" w:color="auto" w:fill="auto"/>
        </w:rPr>
        <w:fldChar w:fldCharType="separate"/>
      </w:r>
      <w:r>
        <w:rPr>
          <w:rFonts w:hint="eastAsia" w:ascii="宋体"/>
          <w:color w:val="auto"/>
          <w:highlight w:val="none"/>
          <w:shd w:val="clear" w:color="auto" w:fill="auto"/>
        </w:rPr>
        <w:t>第十二条  保密</w:t>
      </w:r>
      <w:r>
        <w:rPr>
          <w:rFonts w:hint="eastAsia" w:ascii="宋体"/>
          <w:color w:val="auto"/>
          <w:highlight w:val="none"/>
          <w:shd w:val="clear" w:color="auto" w:fill="auto"/>
        </w:rPr>
        <w:fldChar w:fldCharType="end"/>
      </w:r>
    </w:p>
    <w:p w14:paraId="0A345640">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"_Toc3753" </w:instrText>
      </w:r>
      <w:r>
        <w:rPr>
          <w:color w:val="auto"/>
          <w:highlight w:val="none"/>
          <w:shd w:val="clear" w:color="auto" w:fill="auto"/>
        </w:rPr>
        <w:fldChar w:fldCharType="separate"/>
      </w:r>
      <w:r>
        <w:rPr>
          <w:rFonts w:hint="eastAsia" w:ascii="宋体"/>
          <w:color w:val="auto"/>
          <w:highlight w:val="none"/>
          <w:shd w:val="clear" w:color="auto" w:fill="auto"/>
        </w:rPr>
        <w:t>第十三条  价格与支付</w:t>
      </w:r>
      <w:r>
        <w:rPr>
          <w:rFonts w:hint="eastAsia" w:ascii="宋体"/>
          <w:color w:val="auto"/>
          <w:highlight w:val="none"/>
          <w:shd w:val="clear" w:color="auto" w:fill="auto"/>
        </w:rPr>
        <w:fldChar w:fldCharType="end"/>
      </w:r>
    </w:p>
    <w:p w14:paraId="5B105A43">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"_Toc6655" </w:instrText>
      </w:r>
      <w:r>
        <w:rPr>
          <w:color w:val="auto"/>
          <w:highlight w:val="none"/>
          <w:shd w:val="clear" w:color="auto" w:fill="auto"/>
        </w:rPr>
        <w:fldChar w:fldCharType="separate"/>
      </w:r>
      <w:r>
        <w:rPr>
          <w:rFonts w:hint="eastAsia" w:ascii="宋体"/>
          <w:color w:val="auto"/>
          <w:highlight w:val="none"/>
          <w:shd w:val="clear" w:color="auto" w:fill="auto"/>
        </w:rPr>
        <w:t>第十四条  风险责任的承担</w:t>
      </w:r>
      <w:r>
        <w:rPr>
          <w:rFonts w:hint="eastAsia" w:ascii="宋体"/>
          <w:color w:val="auto"/>
          <w:highlight w:val="none"/>
          <w:shd w:val="clear" w:color="auto" w:fill="auto"/>
        </w:rPr>
        <w:fldChar w:fldCharType="end"/>
      </w:r>
    </w:p>
    <w:p w14:paraId="43EF2C54">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"_Toc12254" </w:instrText>
      </w:r>
      <w:r>
        <w:rPr>
          <w:color w:val="auto"/>
          <w:highlight w:val="none"/>
          <w:shd w:val="clear" w:color="auto" w:fill="auto"/>
        </w:rPr>
        <w:fldChar w:fldCharType="separate"/>
      </w:r>
      <w:r>
        <w:rPr>
          <w:rFonts w:hint="eastAsia" w:ascii="宋体"/>
          <w:color w:val="auto"/>
          <w:highlight w:val="none"/>
          <w:shd w:val="clear" w:color="auto" w:fill="auto"/>
        </w:rPr>
        <w:t>第十五条  违约与赔偿</w:t>
      </w:r>
      <w:r>
        <w:rPr>
          <w:rFonts w:hint="eastAsia" w:ascii="宋体"/>
          <w:color w:val="auto"/>
          <w:highlight w:val="none"/>
          <w:shd w:val="clear" w:color="auto" w:fill="auto"/>
        </w:rPr>
        <w:fldChar w:fldCharType="end"/>
      </w:r>
    </w:p>
    <w:p w14:paraId="496815E1">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"_Toc28111" </w:instrText>
      </w:r>
      <w:r>
        <w:rPr>
          <w:color w:val="auto"/>
          <w:highlight w:val="none"/>
          <w:shd w:val="clear" w:color="auto" w:fill="auto"/>
        </w:rPr>
        <w:fldChar w:fldCharType="separate"/>
      </w:r>
      <w:r>
        <w:rPr>
          <w:rFonts w:hint="eastAsia" w:ascii="宋体"/>
          <w:color w:val="auto"/>
          <w:highlight w:val="none"/>
          <w:shd w:val="clear" w:color="auto" w:fill="auto"/>
        </w:rPr>
        <w:t>第十六条  合同的解除和终止</w:t>
      </w:r>
      <w:r>
        <w:rPr>
          <w:rFonts w:hint="eastAsia" w:ascii="宋体"/>
          <w:color w:val="auto"/>
          <w:highlight w:val="none"/>
          <w:shd w:val="clear" w:color="auto" w:fill="auto"/>
        </w:rPr>
        <w:fldChar w:fldCharType="end"/>
      </w:r>
    </w:p>
    <w:p w14:paraId="75500B0E">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"_Toc32700" </w:instrText>
      </w:r>
      <w:r>
        <w:rPr>
          <w:color w:val="auto"/>
          <w:highlight w:val="none"/>
          <w:shd w:val="clear" w:color="auto" w:fill="auto"/>
        </w:rPr>
        <w:fldChar w:fldCharType="separate"/>
      </w:r>
      <w:r>
        <w:rPr>
          <w:rFonts w:hint="eastAsia" w:ascii="宋体"/>
          <w:color w:val="auto"/>
          <w:highlight w:val="none"/>
          <w:shd w:val="clear" w:color="auto" w:fill="auto"/>
        </w:rPr>
        <w:t>第十七条  合同变更及转让</w:t>
      </w:r>
      <w:r>
        <w:rPr>
          <w:rFonts w:hint="eastAsia" w:ascii="宋体"/>
          <w:color w:val="auto"/>
          <w:highlight w:val="none"/>
          <w:shd w:val="clear" w:color="auto" w:fill="auto"/>
        </w:rPr>
        <w:fldChar w:fldCharType="end"/>
      </w:r>
    </w:p>
    <w:p w14:paraId="4C30ABB1">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"_Toc18277" </w:instrText>
      </w:r>
      <w:r>
        <w:rPr>
          <w:color w:val="auto"/>
          <w:highlight w:val="none"/>
          <w:shd w:val="clear" w:color="auto" w:fill="auto"/>
        </w:rPr>
        <w:fldChar w:fldCharType="separate"/>
      </w:r>
      <w:r>
        <w:rPr>
          <w:rFonts w:hint="eastAsia" w:ascii="宋体"/>
          <w:color w:val="auto"/>
          <w:highlight w:val="none"/>
          <w:shd w:val="clear" w:color="auto" w:fill="auto"/>
        </w:rPr>
        <w:t>第十八条  争议解决</w:t>
      </w:r>
      <w:r>
        <w:rPr>
          <w:rFonts w:hint="eastAsia" w:ascii="宋体"/>
          <w:color w:val="auto"/>
          <w:highlight w:val="none"/>
          <w:shd w:val="clear" w:color="auto" w:fill="auto"/>
        </w:rPr>
        <w:fldChar w:fldCharType="end"/>
      </w:r>
    </w:p>
    <w:p w14:paraId="5F35FEEA">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"_Toc5647" </w:instrText>
      </w:r>
      <w:r>
        <w:rPr>
          <w:color w:val="auto"/>
          <w:highlight w:val="none"/>
          <w:shd w:val="clear" w:color="auto" w:fill="auto"/>
        </w:rPr>
        <w:fldChar w:fldCharType="separate"/>
      </w:r>
      <w:r>
        <w:rPr>
          <w:rFonts w:hint="eastAsia" w:ascii="宋体"/>
          <w:color w:val="auto"/>
          <w:highlight w:val="none"/>
          <w:shd w:val="clear" w:color="auto" w:fill="auto"/>
        </w:rPr>
        <w:t>第十九条 通知与送达</w:t>
      </w:r>
      <w:r>
        <w:rPr>
          <w:rFonts w:hint="eastAsia" w:ascii="宋体"/>
          <w:color w:val="auto"/>
          <w:highlight w:val="none"/>
          <w:shd w:val="clear" w:color="auto" w:fill="auto"/>
        </w:rPr>
        <w:fldChar w:fldCharType="end"/>
      </w:r>
    </w:p>
    <w:p w14:paraId="0A1A21B3">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"_Toc8021" </w:instrText>
      </w:r>
      <w:r>
        <w:rPr>
          <w:color w:val="auto"/>
          <w:highlight w:val="none"/>
          <w:shd w:val="clear" w:color="auto" w:fill="auto"/>
        </w:rPr>
        <w:fldChar w:fldCharType="separate"/>
      </w:r>
      <w:r>
        <w:rPr>
          <w:rFonts w:hint="eastAsia" w:ascii="宋体"/>
          <w:color w:val="auto"/>
          <w:highlight w:val="none"/>
          <w:shd w:val="clear" w:color="auto" w:fill="auto"/>
        </w:rPr>
        <w:t>第二十条  合同生效</w:t>
      </w:r>
      <w:r>
        <w:rPr>
          <w:rFonts w:hint="eastAsia" w:ascii="宋体"/>
          <w:color w:val="auto"/>
          <w:highlight w:val="none"/>
          <w:shd w:val="clear" w:color="auto" w:fill="auto"/>
        </w:rPr>
        <w:fldChar w:fldCharType="end"/>
      </w:r>
    </w:p>
    <w:p w14:paraId="073F6B5A">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"_Toc12579" </w:instrText>
      </w:r>
      <w:r>
        <w:rPr>
          <w:color w:val="auto"/>
          <w:highlight w:val="none"/>
          <w:shd w:val="clear" w:color="auto" w:fill="auto"/>
        </w:rPr>
        <w:fldChar w:fldCharType="separate"/>
      </w:r>
      <w:r>
        <w:rPr>
          <w:rFonts w:hint="eastAsia" w:ascii="宋体"/>
          <w:color w:val="auto"/>
          <w:highlight w:val="none"/>
          <w:shd w:val="clear" w:color="auto" w:fill="auto"/>
        </w:rPr>
        <w:t>第二十一条  不可抗力</w:t>
      </w:r>
      <w:r>
        <w:rPr>
          <w:rFonts w:hint="eastAsia" w:ascii="宋体"/>
          <w:color w:val="auto"/>
          <w:highlight w:val="none"/>
          <w:shd w:val="clear" w:color="auto" w:fill="auto"/>
        </w:rPr>
        <w:fldChar w:fldCharType="end"/>
      </w:r>
    </w:p>
    <w:p w14:paraId="2E84E389">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"_Toc2691" </w:instrText>
      </w:r>
      <w:r>
        <w:rPr>
          <w:color w:val="auto"/>
          <w:highlight w:val="none"/>
          <w:shd w:val="clear" w:color="auto" w:fill="auto"/>
        </w:rPr>
        <w:fldChar w:fldCharType="separate"/>
      </w:r>
      <w:r>
        <w:rPr>
          <w:rFonts w:hint="eastAsia" w:ascii="宋体"/>
          <w:color w:val="auto"/>
          <w:highlight w:val="none"/>
          <w:shd w:val="clear" w:color="auto" w:fill="auto"/>
        </w:rPr>
        <w:t>第二十二条  反商业贿赂</w:t>
      </w:r>
      <w:r>
        <w:rPr>
          <w:rFonts w:hint="eastAsia" w:ascii="宋体"/>
          <w:color w:val="auto"/>
          <w:highlight w:val="none"/>
          <w:shd w:val="clear" w:color="auto" w:fill="auto"/>
        </w:rPr>
        <w:fldChar w:fldCharType="end"/>
      </w:r>
    </w:p>
    <w:p w14:paraId="170E70B7">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"_Toc19191" </w:instrText>
      </w:r>
      <w:r>
        <w:rPr>
          <w:color w:val="auto"/>
          <w:highlight w:val="none"/>
          <w:shd w:val="clear" w:color="auto" w:fill="auto"/>
        </w:rPr>
        <w:fldChar w:fldCharType="separate"/>
      </w:r>
      <w:r>
        <w:rPr>
          <w:rFonts w:hint="eastAsia" w:ascii="宋体"/>
          <w:color w:val="auto"/>
          <w:highlight w:val="none"/>
          <w:shd w:val="clear" w:color="auto" w:fill="auto"/>
        </w:rPr>
        <w:t>第二十三条  附件</w:t>
      </w:r>
      <w:r>
        <w:rPr>
          <w:rFonts w:hint="eastAsia" w:ascii="宋体"/>
          <w:color w:val="auto"/>
          <w:highlight w:val="none"/>
          <w:shd w:val="clear" w:color="auto" w:fill="auto"/>
        </w:rPr>
        <w:fldChar w:fldCharType="end"/>
      </w:r>
    </w:p>
    <w:p w14:paraId="12375DB2">
      <w:pPr>
        <w:pStyle w:val="17"/>
        <w:tabs>
          <w:tab w:val="right" w:leader="dot" w:pos="10466"/>
          <w:tab w:val="clear" w:pos="-111"/>
        </w:tabs>
        <w:ind w:firstLine="480"/>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"_Toc30994" </w:instrText>
      </w:r>
      <w:r>
        <w:rPr>
          <w:color w:val="auto"/>
          <w:highlight w:val="none"/>
          <w:shd w:val="clear" w:color="auto" w:fill="auto"/>
        </w:rPr>
        <w:fldChar w:fldCharType="separate"/>
      </w:r>
      <w:r>
        <w:rPr>
          <w:rFonts w:hint="eastAsia" w:ascii="宋体"/>
          <w:color w:val="auto"/>
          <w:highlight w:val="none"/>
          <w:shd w:val="clear" w:color="auto" w:fill="auto"/>
        </w:rPr>
        <w:t>第二十四条  其他</w:t>
      </w:r>
      <w:r>
        <w:rPr>
          <w:rFonts w:hint="eastAsia" w:ascii="宋体"/>
          <w:color w:val="auto"/>
          <w:highlight w:val="none"/>
          <w:shd w:val="clear" w:color="auto" w:fill="auto"/>
        </w:rPr>
        <w:fldChar w:fldCharType="end"/>
      </w:r>
    </w:p>
    <w:p w14:paraId="7801D6CB">
      <w:pPr>
        <w:pStyle w:val="17"/>
        <w:tabs>
          <w:tab w:val="right" w:leader="dot" w:pos="10466"/>
          <w:tab w:val="clear" w:pos="-111"/>
        </w:tabs>
        <w:ind w:firstLine="480"/>
        <w:rPr>
          <w:color w:val="auto"/>
          <w:highlight w:val="none"/>
          <w:shd w:val="clear" w:color="auto" w:fill="auto"/>
        </w:rPr>
      </w:pPr>
    </w:p>
    <w:p w14:paraId="17D4656C">
      <w:pPr>
        <w:pStyle w:val="17"/>
        <w:tabs>
          <w:tab w:val="right" w:leader="dot" w:pos="10466"/>
          <w:tab w:val="clear" w:pos="-111"/>
        </w:tabs>
        <w:ind w:firstLine="480"/>
        <w:rPr>
          <w:color w:val="auto"/>
          <w:highlight w:val="none"/>
          <w:shd w:val="clear" w:color="auto" w:fill="auto"/>
        </w:rPr>
      </w:pPr>
    </w:p>
    <w:p w14:paraId="77580D6F">
      <w:pPr>
        <w:pStyle w:val="17"/>
        <w:tabs>
          <w:tab w:val="right" w:leader="dot" w:pos="10466"/>
          <w:tab w:val="clear" w:pos="-111"/>
        </w:tabs>
        <w:ind w:firstLine="480"/>
        <w:rPr>
          <w:color w:val="auto"/>
          <w:highlight w:val="none"/>
          <w:shd w:val="clear" w:color="auto" w:fill="auto"/>
        </w:rPr>
      </w:pPr>
    </w:p>
    <w:p w14:paraId="2322F8C0">
      <w:pPr>
        <w:pStyle w:val="17"/>
        <w:tabs>
          <w:tab w:val="right" w:leader="dot" w:pos="8302"/>
          <w:tab w:val="clear" w:pos="-111"/>
        </w:tabs>
        <w:spacing w:line="350" w:lineRule="auto"/>
        <w:ind w:firstLine="480"/>
        <w:rPr>
          <w:rFonts w:ascii="宋体"/>
          <w:color w:val="auto"/>
          <w:highlight w:val="none"/>
          <w:shd w:val="clear" w:color="auto" w:fill="auto"/>
        </w:rPr>
      </w:pPr>
      <w:r>
        <w:rPr>
          <w:rFonts w:hint="eastAsia" w:ascii="宋体"/>
          <w:color w:val="auto"/>
          <w:highlight w:val="none"/>
          <w:shd w:val="clear" w:color="auto" w:fill="auto"/>
        </w:rPr>
        <w:fldChar w:fldCharType="end"/>
      </w:r>
    </w:p>
    <w:p w14:paraId="6C8D5C5B">
      <w:pPr>
        <w:spacing w:line="360" w:lineRule="auto"/>
        <w:ind w:firstLine="480"/>
        <w:rPr>
          <w:rFonts w:ascii="宋体"/>
          <w:color w:val="auto"/>
          <w:highlight w:val="none"/>
          <w:shd w:val="clear" w:color="auto" w:fill="auto"/>
        </w:rPr>
      </w:pPr>
    </w:p>
    <w:p w14:paraId="5A2EE92D">
      <w:pPr>
        <w:spacing w:line="360" w:lineRule="auto"/>
        <w:ind w:firstLine="480"/>
        <w:rPr>
          <w:rFonts w:ascii="宋体"/>
          <w:b/>
          <w:color w:val="auto"/>
          <w:highlight w:val="none"/>
          <w:u w:val="single"/>
          <w:shd w:val="clear" w:color="auto" w:fill="auto"/>
        </w:rPr>
      </w:pPr>
      <w:r>
        <w:rPr>
          <w:rFonts w:hint="eastAsia" w:ascii="宋体"/>
          <w:color w:val="auto"/>
          <w:highlight w:val="none"/>
          <w:shd w:val="clear" w:color="auto" w:fill="auto"/>
        </w:rPr>
        <w:br w:type="page"/>
      </w:r>
      <w:r>
        <w:rPr>
          <w:rFonts w:hint="eastAsia" w:ascii="宋体"/>
          <w:b/>
          <w:color w:val="auto"/>
          <w:highlight w:val="none"/>
          <w:shd w:val="clear" w:color="auto" w:fill="auto"/>
        </w:rPr>
        <w:t>委托方: 重庆三峡银行股份有限公司（以下简称“甲方”）</w:t>
      </w:r>
    </w:p>
    <w:p w14:paraId="5CA2A53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法定代表人：刘江桥</w:t>
      </w:r>
    </w:p>
    <w:p w14:paraId="487A99ED">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地址：</w:t>
      </w:r>
      <w:r>
        <w:rPr>
          <w:rFonts w:ascii="宋体"/>
          <w:color w:val="auto"/>
          <w:highlight w:val="none"/>
          <w:shd w:val="clear" w:color="auto" w:fill="auto"/>
        </w:rPr>
        <w:t>重庆市渝北区嘉州路88号中渝国际都会4号写字楼</w:t>
      </w:r>
    </w:p>
    <w:p w14:paraId="57E6B165">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邮政编码：</w:t>
      </w:r>
    </w:p>
    <w:p w14:paraId="39A2262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联系人： </w:t>
      </w:r>
    </w:p>
    <w:p w14:paraId="15D92011">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电话：</w:t>
      </w:r>
    </w:p>
    <w:p w14:paraId="1670679B">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传真：</w:t>
      </w:r>
    </w:p>
    <w:p w14:paraId="0344B79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电子邮箱：</w:t>
      </w:r>
    </w:p>
    <w:p w14:paraId="393D481B">
      <w:pPr>
        <w:spacing w:line="360" w:lineRule="auto"/>
        <w:ind w:firstLine="480"/>
        <w:rPr>
          <w:rFonts w:ascii="宋体"/>
          <w:color w:val="auto"/>
          <w:highlight w:val="none"/>
          <w:shd w:val="clear" w:color="auto" w:fill="auto"/>
        </w:rPr>
      </w:pPr>
    </w:p>
    <w:p w14:paraId="43EF8482">
      <w:pPr>
        <w:spacing w:line="360" w:lineRule="auto"/>
        <w:ind w:firstLine="482"/>
        <w:rPr>
          <w:rFonts w:ascii="宋体"/>
          <w:b/>
          <w:color w:val="auto"/>
          <w:highlight w:val="none"/>
          <w:shd w:val="clear" w:color="auto" w:fill="auto"/>
        </w:rPr>
      </w:pPr>
      <w:r>
        <w:rPr>
          <w:rFonts w:hint="eastAsia" w:ascii="宋体"/>
          <w:b/>
          <w:color w:val="auto"/>
          <w:highlight w:val="none"/>
          <w:shd w:val="clear" w:color="auto" w:fill="auto"/>
        </w:rPr>
        <w:t>受托方：XXXXXXXXXXXXX（以下简称“乙方”）</w:t>
      </w:r>
    </w:p>
    <w:p w14:paraId="7EF2E9E2">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法定代表人： </w:t>
      </w:r>
    </w:p>
    <w:p w14:paraId="2373AA9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地址：</w:t>
      </w:r>
    </w:p>
    <w:p w14:paraId="5B9F4E1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邮政编码：</w:t>
      </w:r>
    </w:p>
    <w:p w14:paraId="7E8E83BB">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开户银行： </w:t>
      </w:r>
    </w:p>
    <w:p w14:paraId="5B86C7B5">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账号：  </w:t>
      </w:r>
    </w:p>
    <w:p w14:paraId="2463C4B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税号：</w:t>
      </w:r>
    </w:p>
    <w:p w14:paraId="5C498B9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联系人： </w:t>
      </w:r>
    </w:p>
    <w:p w14:paraId="077AFD5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电话：</w:t>
      </w:r>
    </w:p>
    <w:p w14:paraId="4140F11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手机：</w:t>
      </w:r>
    </w:p>
    <w:p w14:paraId="0532143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传真：</w:t>
      </w:r>
    </w:p>
    <w:p w14:paraId="31E5AD30">
      <w:pPr>
        <w:spacing w:line="360" w:lineRule="auto"/>
        <w:ind w:firstLine="480"/>
        <w:rPr>
          <w:rFonts w:ascii="宋体"/>
          <w:color w:val="auto"/>
          <w:highlight w:val="none"/>
          <w:shd w:val="clear" w:color="auto" w:fill="auto"/>
          <w:lang w:val="en-GB"/>
        </w:rPr>
      </w:pPr>
      <w:r>
        <w:rPr>
          <w:rFonts w:hint="eastAsia" w:ascii="宋体"/>
          <w:color w:val="auto"/>
          <w:highlight w:val="none"/>
          <w:shd w:val="clear" w:color="auto" w:fill="auto"/>
        </w:rPr>
        <w:t>电子邮箱：</w:t>
      </w:r>
    </w:p>
    <w:p w14:paraId="0BBEE6BA">
      <w:pPr>
        <w:spacing w:line="360" w:lineRule="auto"/>
        <w:ind w:firstLine="480"/>
        <w:rPr>
          <w:rFonts w:ascii="宋体"/>
          <w:b/>
          <w:color w:val="auto"/>
          <w:highlight w:val="none"/>
          <w:shd w:val="clear" w:color="auto" w:fill="auto"/>
        </w:rPr>
      </w:pPr>
      <w:r>
        <w:rPr>
          <w:rFonts w:hint="eastAsia" w:ascii="宋体"/>
          <w:color w:val="auto"/>
          <w:highlight w:val="none"/>
          <w:shd w:val="clear" w:color="auto" w:fill="auto"/>
        </w:rPr>
        <w:br w:type="page"/>
      </w:r>
      <w:r>
        <w:rPr>
          <w:rFonts w:hint="eastAsia" w:ascii="宋体"/>
          <w:b/>
          <w:color w:val="auto"/>
          <w:highlight w:val="none"/>
          <w:shd w:val="clear" w:color="auto" w:fill="auto"/>
        </w:rPr>
        <w:t>鉴于：</w:t>
      </w:r>
    </w:p>
    <w:p w14:paraId="569D481D">
      <w:pPr>
        <w:spacing w:line="360" w:lineRule="auto"/>
        <w:ind w:firstLine="480"/>
        <w:rPr>
          <w:rFonts w:ascii="宋体"/>
          <w:color w:val="auto"/>
          <w:highlight w:val="none"/>
          <w:shd w:val="clear" w:color="auto" w:fill="auto"/>
        </w:rPr>
      </w:pPr>
      <w:r>
        <w:rPr>
          <w:rStyle w:val="39"/>
          <w:rFonts w:hint="eastAsia" w:ascii="宋体" w:hAnsi="宋体"/>
          <w:color w:val="auto"/>
          <w:kern w:val="0"/>
          <w:highlight w:val="none"/>
          <w:shd w:val="clear" w:color="auto" w:fill="auto"/>
        </w:rPr>
        <w:t>乙方具有良好的开发实施能力，甲乙双方经友好协商并达成一致，依据相关法律、法规的规定，就甲方委托乙方进行项目实施与技术支持相关事宜订立本合同，</w:t>
      </w:r>
      <w:r>
        <w:rPr>
          <w:rFonts w:hint="eastAsia" w:ascii="宋体"/>
          <w:color w:val="auto"/>
          <w:highlight w:val="none"/>
          <w:shd w:val="clear" w:color="auto" w:fill="auto"/>
        </w:rPr>
        <w:t>以资信守：</w:t>
      </w:r>
    </w:p>
    <w:p w14:paraId="6EC1BFF8">
      <w:pPr>
        <w:spacing w:line="360" w:lineRule="auto"/>
        <w:ind w:firstLine="428" w:firstLineChars="0"/>
        <w:rPr>
          <w:rFonts w:ascii="宋体"/>
          <w:color w:val="auto"/>
          <w:highlight w:val="none"/>
          <w:shd w:val="clear" w:color="auto" w:fill="auto"/>
        </w:rPr>
      </w:pPr>
    </w:p>
    <w:p w14:paraId="1B4223BD">
      <w:pPr>
        <w:spacing w:line="360" w:lineRule="auto"/>
        <w:ind w:firstLine="472" w:firstLineChars="196"/>
        <w:outlineLvl w:val="0"/>
        <w:rPr>
          <w:rFonts w:ascii="宋体"/>
          <w:b/>
          <w:color w:val="auto"/>
          <w:highlight w:val="none"/>
          <w:shd w:val="clear" w:color="auto" w:fill="auto"/>
        </w:rPr>
      </w:pPr>
      <w:bookmarkStart w:id="372" w:name="_Toc21337"/>
      <w:bookmarkStart w:id="373" w:name="_Toc26027"/>
      <w:r>
        <w:rPr>
          <w:rFonts w:hint="eastAsia" w:ascii="宋体"/>
          <w:b/>
          <w:color w:val="auto"/>
          <w:highlight w:val="none"/>
          <w:shd w:val="clear" w:color="auto" w:fill="auto"/>
        </w:rPr>
        <w:t>第一条  定义</w:t>
      </w:r>
      <w:bookmarkEnd w:id="372"/>
      <w:bookmarkEnd w:id="373"/>
    </w:p>
    <w:p w14:paraId="209F522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在本合同中，除非有相反的表述，下列术语具有如下含义：</w:t>
      </w:r>
    </w:p>
    <w:p w14:paraId="72E1E15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1.1“项目”系指乙方受甲方委托，单独为本合同目的依据合同附件一《工作（需求）说明书》的产品实施与数据迁移服务。</w:t>
      </w:r>
    </w:p>
    <w:p w14:paraId="1C5DE45B">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1.2“客户化工作”指项目交付乙方后乙方对甲方的需求进行开发实施。</w:t>
      </w:r>
    </w:p>
    <w:p w14:paraId="566911B2">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1.3“产品实施数据迁移”指乙方产品的安装配置和业务数据迁移服务。</w:t>
      </w:r>
    </w:p>
    <w:p w14:paraId="166DA6B0">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1.4“</w:t>
      </w:r>
      <w:r>
        <w:rPr>
          <w:rFonts w:hint="eastAsia" w:ascii="宋体"/>
          <w:color w:val="auto"/>
          <w:highlight w:val="none"/>
          <w:shd w:val="clear" w:color="auto" w:fill="auto"/>
          <w:lang w:val="en-GB"/>
        </w:rPr>
        <w:t>XXXXX系统</w:t>
      </w:r>
      <w:r>
        <w:rPr>
          <w:rFonts w:hint="eastAsia" w:ascii="宋体"/>
          <w:color w:val="auto"/>
          <w:highlight w:val="none"/>
          <w:shd w:val="clear" w:color="auto" w:fill="auto"/>
        </w:rPr>
        <w:t>业务”指乙方提供给甲方的附件一中所涵盖的业务功能。</w:t>
      </w:r>
    </w:p>
    <w:p w14:paraId="47F412C2">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1.5“缺陷逃逸率”：后一测试阶段测试期间发现的缺陷个数/（当前测试期间所发现的缺陷个数+后一测试期间发现的缺陷个数）。</w:t>
      </w:r>
    </w:p>
    <w:p w14:paraId="3C349B53">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1.6“试运行”：项目上线后进入试运行阶段，项目试运行至少3个月。在试运行期间，甲方随时将发现的逃逸的缺陷通知乙方，乙方在最快的时间内予以响应。</w:t>
      </w:r>
    </w:p>
    <w:p w14:paraId="437B99F9">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1.7“响应时间”：指乙方就甲方提出的问题予以答复的时间。</w:t>
      </w:r>
    </w:p>
    <w:p w14:paraId="35B2E6BA">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2F2D6AF3">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2674784C">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032D5091">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321F3F0">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1E6A799F">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5BA7D34">
      <w:pPr>
        <w:spacing w:line="360" w:lineRule="auto"/>
        <w:ind w:left="-2" w:leftChars="-1" w:firstLine="480"/>
        <w:rPr>
          <w:rFonts w:ascii="宋体" w:cs="宋体"/>
          <w:color w:val="auto"/>
          <w:szCs w:val="24"/>
          <w:highlight w:val="none"/>
          <w:shd w:val="clear" w:color="auto" w:fill="auto"/>
        </w:rPr>
      </w:pPr>
      <w:r>
        <w:rPr>
          <w:rFonts w:hint="eastAsia" w:ascii="宋体" w:cs="宋体"/>
          <w:color w:val="auto"/>
          <w:szCs w:val="24"/>
          <w:highlight w:val="none"/>
          <w:shd w:val="clear" w:color="auto" w:fill="auto"/>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32808338">
      <w:pPr>
        <w:spacing w:line="360" w:lineRule="auto"/>
        <w:ind w:left="-2" w:leftChars="-1" w:firstLine="480"/>
        <w:rPr>
          <w:rFonts w:ascii="宋体"/>
          <w:color w:val="auto"/>
          <w:szCs w:val="24"/>
          <w:highlight w:val="none"/>
          <w:shd w:val="clear" w:color="auto" w:fill="auto"/>
        </w:rPr>
      </w:pPr>
      <w:r>
        <w:rPr>
          <w:rFonts w:hint="eastAsia" w:ascii="宋体"/>
          <w:color w:val="auto"/>
          <w:szCs w:val="24"/>
          <w:highlight w:val="none"/>
          <w:shd w:val="clear" w:color="auto" w:fill="auto"/>
        </w:rPr>
        <w:t>1.15“重大缺陷”：指严重缺陷和致命缺陷。</w:t>
      </w:r>
    </w:p>
    <w:p w14:paraId="1D3213CE">
      <w:pPr>
        <w:spacing w:line="360" w:lineRule="auto"/>
        <w:ind w:left="560" w:hanging="560" w:firstLineChars="0"/>
        <w:rPr>
          <w:rFonts w:ascii="宋体"/>
          <w:color w:val="auto"/>
          <w:highlight w:val="none"/>
          <w:shd w:val="clear" w:color="auto" w:fill="auto"/>
        </w:rPr>
      </w:pPr>
    </w:p>
    <w:p w14:paraId="7AA75B27">
      <w:pPr>
        <w:spacing w:line="360" w:lineRule="auto"/>
        <w:ind w:firstLine="472" w:firstLineChars="196"/>
        <w:outlineLvl w:val="0"/>
        <w:rPr>
          <w:rFonts w:ascii="宋体"/>
          <w:b/>
          <w:color w:val="auto"/>
          <w:highlight w:val="none"/>
          <w:shd w:val="clear" w:color="auto" w:fill="auto"/>
        </w:rPr>
      </w:pPr>
      <w:bookmarkStart w:id="374" w:name="_Toc5502"/>
      <w:bookmarkStart w:id="375" w:name="_Toc4016"/>
      <w:r>
        <w:rPr>
          <w:rFonts w:hint="eastAsia" w:ascii="宋体"/>
          <w:b/>
          <w:color w:val="auto"/>
          <w:highlight w:val="none"/>
          <w:shd w:val="clear" w:color="auto" w:fill="auto"/>
        </w:rPr>
        <w:t xml:space="preserve">第二条  </w:t>
      </w:r>
      <w:bookmarkStart w:id="376" w:name="_Toc58337493"/>
      <w:r>
        <w:rPr>
          <w:rFonts w:hint="eastAsia" w:ascii="宋体"/>
          <w:b/>
          <w:color w:val="auto"/>
          <w:highlight w:val="none"/>
          <w:shd w:val="clear" w:color="auto" w:fill="auto"/>
        </w:rPr>
        <w:t>外包开发内容</w:t>
      </w:r>
      <w:bookmarkEnd w:id="374"/>
      <w:bookmarkEnd w:id="375"/>
      <w:bookmarkEnd w:id="376"/>
    </w:p>
    <w:p w14:paraId="0EBAB56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2.1本项目系由甲方委托乙方负责实施。</w:t>
      </w:r>
    </w:p>
    <w:p w14:paraId="3928A036">
      <w:pPr>
        <w:spacing w:line="360" w:lineRule="auto"/>
        <w:ind w:firstLine="480"/>
        <w:rPr>
          <w:rFonts w:ascii="宋体"/>
          <w:color w:val="auto"/>
          <w:highlight w:val="none"/>
          <w:shd w:val="clear" w:color="auto" w:fill="auto"/>
        </w:rPr>
      </w:pPr>
      <w:bookmarkStart w:id="377" w:name="_Toc58337494"/>
      <w:r>
        <w:rPr>
          <w:rFonts w:hint="eastAsia" w:ascii="宋体"/>
          <w:color w:val="auto"/>
          <w:highlight w:val="none"/>
          <w:shd w:val="clear" w:color="auto" w:fill="auto"/>
        </w:rPr>
        <w:t>2.2开发内容</w:t>
      </w:r>
      <w:bookmarkEnd w:id="377"/>
    </w:p>
    <w:p w14:paraId="1D22A59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此处扼要地阐述外包开发内容，详细内容见附件一。如果已经存在独立的外包说明书，请指明出处。</w:t>
      </w:r>
    </w:p>
    <w:p w14:paraId="3BFAAC78">
      <w:pPr>
        <w:spacing w:line="360" w:lineRule="auto"/>
        <w:ind w:firstLine="480"/>
        <w:rPr>
          <w:rFonts w:ascii="宋体"/>
          <w:color w:val="auto"/>
          <w:highlight w:val="none"/>
          <w:shd w:val="clear" w:color="auto" w:fill="auto"/>
        </w:rPr>
      </w:pPr>
      <w:bookmarkStart w:id="378" w:name="_Toc58337495"/>
      <w:r>
        <w:rPr>
          <w:rFonts w:hint="eastAsia" w:ascii="宋体"/>
          <w:color w:val="auto"/>
          <w:highlight w:val="none"/>
          <w:shd w:val="clear" w:color="auto" w:fill="auto"/>
        </w:rPr>
        <w:t>2.3技术指标和质量要求</w:t>
      </w:r>
      <w:bookmarkEnd w:id="378"/>
      <w:r>
        <w:rPr>
          <w:rFonts w:hint="eastAsia" w:ascii="宋体"/>
          <w:color w:val="auto"/>
          <w:highlight w:val="none"/>
          <w:shd w:val="clear" w:color="auto" w:fill="auto"/>
        </w:rPr>
        <w:t>。</w:t>
      </w:r>
    </w:p>
    <w:p w14:paraId="7985A3A7">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请描述。</w:t>
      </w:r>
    </w:p>
    <w:p w14:paraId="258ABCAA">
      <w:pPr>
        <w:snapToGrid w:val="0"/>
        <w:ind w:firstLine="480"/>
        <w:rPr>
          <w:rFonts w:ascii="宋体"/>
          <w:color w:val="auto"/>
          <w:highlight w:val="none"/>
          <w:shd w:val="clear" w:color="auto" w:fill="auto"/>
        </w:rPr>
      </w:pPr>
      <w:r>
        <w:rPr>
          <w:rFonts w:hint="eastAsia" w:ascii="宋体"/>
          <w:color w:val="auto"/>
          <w:highlight w:val="none"/>
          <w:shd w:val="clear" w:color="auto" w:fill="auto"/>
        </w:rPr>
        <w:t>见附件一、附件四。</w:t>
      </w:r>
    </w:p>
    <w:p w14:paraId="5DC27E54">
      <w:pPr>
        <w:spacing w:line="360" w:lineRule="auto"/>
        <w:ind w:firstLine="480"/>
        <w:rPr>
          <w:rFonts w:ascii="宋体"/>
          <w:color w:val="auto"/>
          <w:highlight w:val="none"/>
          <w:shd w:val="clear" w:color="auto" w:fill="auto"/>
        </w:rPr>
      </w:pPr>
      <w:bookmarkStart w:id="379" w:name="_Toc58337496"/>
      <w:r>
        <w:rPr>
          <w:rFonts w:hint="eastAsia" w:ascii="宋体"/>
          <w:color w:val="auto"/>
          <w:highlight w:val="none"/>
          <w:shd w:val="clear" w:color="auto" w:fill="auto"/>
        </w:rPr>
        <w:t>2.4应当遵循的标准和规范</w:t>
      </w:r>
      <w:bookmarkEnd w:id="379"/>
      <w:r>
        <w:rPr>
          <w:rFonts w:hint="eastAsia" w:ascii="宋体"/>
          <w:color w:val="auto"/>
          <w:highlight w:val="none"/>
          <w:shd w:val="clear" w:color="auto" w:fill="auto"/>
        </w:rPr>
        <w:t>。</w:t>
      </w:r>
    </w:p>
    <w:p w14:paraId="67611AB4">
      <w:pPr>
        <w:spacing w:line="360" w:lineRule="auto"/>
        <w:ind w:firstLine="420" w:firstLineChars="0"/>
        <w:rPr>
          <w:rFonts w:ascii="宋体"/>
          <w:color w:val="auto"/>
          <w:highlight w:val="none"/>
          <w:shd w:val="clear" w:color="auto" w:fill="auto"/>
        </w:rPr>
      </w:pPr>
      <w:r>
        <w:rPr>
          <w:rFonts w:hint="eastAsia" w:ascii="宋体"/>
          <w:color w:val="auto"/>
          <w:highlight w:val="none"/>
          <w:shd w:val="clear" w:color="auto" w:fill="auto"/>
          <w:lang w:val="zh-CN"/>
        </w:rPr>
        <w:t>乙方交付的XXXXX系统应当满足国家相关法律法规、监管政策和行业标准，需满足甲方各类内部管理要求，包括信息安全管理相关要求、客户信息保护相关要求、数据标准相关要求，涉及银联卡支付的需满足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color w:val="auto"/>
          <w:highlight w:val="none"/>
          <w:shd w:val="clear" w:color="auto" w:fill="auto"/>
        </w:rPr>
        <w:t>《银联卡支付信息安全管理标准》。（有国家标准、具体技术标准的可列明标准名称）</w:t>
      </w:r>
    </w:p>
    <w:p w14:paraId="1A573B05">
      <w:pPr>
        <w:spacing w:line="360" w:lineRule="auto"/>
        <w:ind w:firstLine="472" w:firstLineChars="196"/>
        <w:outlineLvl w:val="0"/>
        <w:rPr>
          <w:rFonts w:ascii="宋体"/>
          <w:b/>
          <w:color w:val="auto"/>
          <w:highlight w:val="none"/>
          <w:shd w:val="clear" w:color="auto" w:fill="auto"/>
        </w:rPr>
      </w:pPr>
      <w:bookmarkStart w:id="380" w:name="_Toc10952"/>
      <w:bookmarkStart w:id="381" w:name="_Toc31458"/>
      <w:r>
        <w:rPr>
          <w:rFonts w:hint="eastAsia" w:ascii="宋体"/>
          <w:b/>
          <w:color w:val="auto"/>
          <w:highlight w:val="none"/>
          <w:shd w:val="clear" w:color="auto" w:fill="auto"/>
        </w:rPr>
        <w:t>第三条  项目履行的进度、期限、地点、地域、方式</w:t>
      </w:r>
      <w:bookmarkEnd w:id="380"/>
      <w:bookmarkEnd w:id="381"/>
    </w:p>
    <w:p w14:paraId="608634B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shd w:val="clear" w:color="auto" w:fill="auto"/>
        </w:rPr>
        <w:t>替换人员技术水平或级别需不低于</w:t>
      </w:r>
      <w:r>
        <w:rPr>
          <w:rFonts w:hint="eastAsia" w:ascii="宋体"/>
          <w:color w:val="auto"/>
          <w:highlight w:val="none"/>
          <w:shd w:val="clear" w:color="auto" w:fill="auto"/>
        </w:rPr>
        <w:t>被替换的人员</w:t>
      </w:r>
      <w:r>
        <w:rPr>
          <w:rFonts w:hint="eastAsia" w:ascii="宋体"/>
          <w:color w:val="auto"/>
          <w:kern w:val="0"/>
          <w:highlight w:val="none"/>
          <w:shd w:val="clear" w:color="auto" w:fill="auto"/>
        </w:rPr>
        <w:t>水平或级别</w:t>
      </w:r>
      <w:r>
        <w:rPr>
          <w:rFonts w:hint="eastAsia" w:ascii="宋体"/>
          <w:color w:val="auto"/>
          <w:highlight w:val="none"/>
          <w:shd w:val="clear" w:color="auto" w:fill="auto"/>
        </w:rPr>
        <w:t>，并需通过甲方考察并取得甲方同意，否则甲方有权要求更换。</w:t>
      </w:r>
    </w:p>
    <w:p w14:paraId="56F9D96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3.2进度：乙方应严格按照3.3所列示的期限完成项目实施任务。</w:t>
      </w:r>
    </w:p>
    <w:p w14:paraId="4AE7C580">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3.3期限：上线时间为    年    月     日前</w:t>
      </w:r>
    </w:p>
    <w:p w14:paraId="7632478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3.4地点：乙方完成项目实施工作的地点为：</w:t>
      </w:r>
      <w:r>
        <w:rPr>
          <w:rFonts w:hint="eastAsia" w:ascii="宋体"/>
          <w:color w:val="auto"/>
          <w:highlight w:val="none"/>
          <w:u w:val="single"/>
          <w:shd w:val="clear" w:color="auto" w:fill="auto"/>
        </w:rPr>
        <w:t>重庆</w:t>
      </w:r>
      <w:r>
        <w:rPr>
          <w:rFonts w:hint="eastAsia" w:ascii="宋体"/>
          <w:color w:val="auto"/>
          <w:highlight w:val="none"/>
          <w:shd w:val="clear" w:color="auto" w:fill="auto"/>
        </w:rPr>
        <w:t>；【驻场/远程】实施。</w:t>
      </w:r>
    </w:p>
    <w:p w14:paraId="2C6F73E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3.5地域：本项目适用机构所在地域包括： </w:t>
      </w:r>
      <w:r>
        <w:rPr>
          <w:rFonts w:hint="eastAsia" w:ascii="宋体"/>
          <w:color w:val="auto"/>
          <w:highlight w:val="none"/>
          <w:u w:val="single"/>
          <w:shd w:val="clear" w:color="auto" w:fill="auto"/>
        </w:rPr>
        <w:t xml:space="preserve">重庆三峡银行总行各部门及辖内各经营机构 </w:t>
      </w:r>
      <w:r>
        <w:rPr>
          <w:rFonts w:hint="eastAsia" w:ascii="宋体"/>
          <w:color w:val="auto"/>
          <w:highlight w:val="none"/>
          <w:shd w:val="clear" w:color="auto" w:fill="auto"/>
        </w:rPr>
        <w:t>。</w:t>
      </w:r>
    </w:p>
    <w:p w14:paraId="4DFDC9A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3.6方式：</w:t>
      </w:r>
    </w:p>
    <w:p w14:paraId="674508DE">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1F46F88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3EF665D">
      <w:pPr>
        <w:spacing w:line="360" w:lineRule="auto"/>
        <w:ind w:left="1080" w:leftChars="200" w:hanging="600" w:hangingChars="250"/>
        <w:rPr>
          <w:rFonts w:ascii="宋体"/>
          <w:color w:val="auto"/>
          <w:highlight w:val="none"/>
          <w:shd w:val="clear" w:color="auto" w:fill="auto"/>
        </w:rPr>
      </w:pPr>
    </w:p>
    <w:p w14:paraId="1938EC49">
      <w:pPr>
        <w:spacing w:line="360" w:lineRule="auto"/>
        <w:ind w:firstLine="472" w:firstLineChars="196"/>
        <w:outlineLvl w:val="0"/>
        <w:rPr>
          <w:color w:val="auto"/>
          <w:highlight w:val="none"/>
          <w:shd w:val="clear" w:color="auto" w:fill="auto"/>
        </w:rPr>
      </w:pPr>
      <w:bookmarkStart w:id="382" w:name="_Toc22284"/>
      <w:bookmarkStart w:id="383" w:name="_Toc29529"/>
      <w:r>
        <w:rPr>
          <w:rFonts w:hint="eastAsia" w:ascii="宋体"/>
          <w:b/>
          <w:color w:val="auto"/>
          <w:highlight w:val="none"/>
          <w:shd w:val="clear" w:color="auto" w:fill="auto"/>
        </w:rPr>
        <w:t>第四条  方案调整</w:t>
      </w:r>
      <w:bookmarkEnd w:id="382"/>
      <w:bookmarkEnd w:id="383"/>
      <w:r>
        <w:rPr>
          <w:rFonts w:hint="eastAsia"/>
          <w:color w:val="auto"/>
          <w:highlight w:val="none"/>
          <w:shd w:val="clear" w:color="auto" w:fill="auto"/>
        </w:rPr>
        <w:t xml:space="preserve"> </w:t>
      </w:r>
    </w:p>
    <w:p w14:paraId="660FBE50">
      <w:pPr>
        <w:spacing w:line="360" w:lineRule="auto"/>
        <w:ind w:firstLine="480"/>
        <w:rPr>
          <w:rFonts w:ascii="宋体"/>
          <w:color w:val="auto"/>
          <w:highlight w:val="none"/>
          <w:shd w:val="clear" w:color="auto" w:fill="auto"/>
        </w:rPr>
      </w:pPr>
      <w:r>
        <w:rPr>
          <w:rStyle w:val="39"/>
          <w:rFonts w:hint="eastAsia" w:ascii="宋体" w:hAnsi="宋体"/>
          <w:color w:val="auto"/>
          <w:kern w:val="0"/>
          <w:highlight w:val="none"/>
          <w:shd w:val="clear" w:color="auto" w:fill="auto"/>
        </w:rPr>
        <w:t>4.1因甲方原因提出导致增加【 】∕人∕月以上工作量的需求变更，</w:t>
      </w:r>
      <w:r>
        <w:rPr>
          <w:rFonts w:hint="eastAsia" w:ascii="宋体"/>
          <w:color w:val="auto"/>
          <w:highlight w:val="none"/>
          <w:shd w:val="clear" w:color="auto" w:fill="auto"/>
        </w:rPr>
        <w:t>须通知乙方并由乙方确认</w:t>
      </w:r>
      <w:r>
        <w:rPr>
          <w:rStyle w:val="39"/>
          <w:rFonts w:hint="eastAsia" w:ascii="宋体" w:hAnsi="宋体"/>
          <w:color w:val="auto"/>
          <w:kern w:val="0"/>
          <w:highlight w:val="none"/>
          <w:shd w:val="clear" w:color="auto" w:fill="auto"/>
        </w:rPr>
        <w:t>，对此</w:t>
      </w:r>
      <w:r>
        <w:rPr>
          <w:rFonts w:hint="eastAsia" w:ascii="宋体"/>
          <w:color w:val="auto"/>
          <w:highlight w:val="none"/>
          <w:shd w:val="clear" w:color="auto" w:fill="auto"/>
        </w:rPr>
        <w:t>变更给乙方带来的额外劳动部分甲乙双方协商解决，由此变更导致项目进度延期不构成违约。但4.2款确认的，由乙方原因引起的工作量，甲方无需承担任何费用。</w:t>
      </w:r>
    </w:p>
    <w:p w14:paraId="636850E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4.2 方案一经双方确认，任何一方有方案调整意见，均需与对方签字确认。</w:t>
      </w:r>
    </w:p>
    <w:p w14:paraId="6CD4C2C6">
      <w:pPr>
        <w:spacing w:line="360" w:lineRule="auto"/>
        <w:ind w:left="420" w:firstLine="480"/>
        <w:rPr>
          <w:rFonts w:ascii="宋体"/>
          <w:color w:val="auto"/>
          <w:highlight w:val="none"/>
          <w:shd w:val="clear" w:color="auto" w:fill="auto"/>
        </w:rPr>
      </w:pPr>
    </w:p>
    <w:p w14:paraId="66CF2FB1">
      <w:pPr>
        <w:spacing w:line="360" w:lineRule="auto"/>
        <w:ind w:firstLine="472" w:firstLineChars="196"/>
        <w:outlineLvl w:val="0"/>
        <w:rPr>
          <w:rFonts w:ascii="宋体"/>
          <w:b/>
          <w:color w:val="auto"/>
          <w:highlight w:val="none"/>
          <w:shd w:val="clear" w:color="auto" w:fill="auto"/>
        </w:rPr>
      </w:pPr>
      <w:bookmarkStart w:id="384" w:name="_Toc7357"/>
      <w:bookmarkStart w:id="385" w:name="_Toc28040"/>
      <w:r>
        <w:rPr>
          <w:rFonts w:hint="eastAsia" w:ascii="宋体"/>
          <w:b/>
          <w:color w:val="auto"/>
          <w:highlight w:val="none"/>
          <w:shd w:val="clear" w:color="auto" w:fill="auto"/>
        </w:rPr>
        <w:t>第五条  项目验收</w:t>
      </w:r>
      <w:bookmarkEnd w:id="384"/>
      <w:bookmarkEnd w:id="385"/>
    </w:p>
    <w:p w14:paraId="4EDEDDC9">
      <w:pPr>
        <w:pStyle w:val="10"/>
        <w:spacing w:before="0" w:beforeLines="0" w:line="360" w:lineRule="auto"/>
        <w:ind w:left="0" w:leftChars="0" w:firstLine="480"/>
        <w:rPr>
          <w:rFonts w:ascii="宋体" w:eastAsia="宋体"/>
          <w:color w:val="auto"/>
          <w:spacing w:val="0"/>
          <w:kern w:val="0"/>
          <w:highlight w:val="none"/>
          <w:shd w:val="clear" w:color="auto" w:fill="auto"/>
        </w:rPr>
      </w:pPr>
      <w:r>
        <w:rPr>
          <w:rFonts w:hint="eastAsia" w:ascii="宋体" w:eastAsia="宋体"/>
          <w:color w:val="auto"/>
          <w:spacing w:val="0"/>
          <w:kern w:val="0"/>
          <w:highlight w:val="none"/>
          <w:shd w:val="clear" w:color="auto" w:fill="auto"/>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color w:val="auto"/>
          <w:spacing w:val="0"/>
          <w:kern w:val="0"/>
          <w:highlight w:val="none"/>
          <w:shd w:val="clear" w:color="auto" w:fill="auto"/>
        </w:rPr>
        <w:t>本合同中的产品出现的任何问题，乙方应及时解决，保证试运行期间的稳定运行，试运行期间若出现</w:t>
      </w:r>
      <w:r>
        <w:rPr>
          <w:rFonts w:hint="eastAsia" w:ascii="宋体" w:eastAsia="宋体" w:cs="宋体"/>
          <w:bCs/>
          <w:color w:val="auto"/>
          <w:spacing w:val="0"/>
          <w:kern w:val="0"/>
          <w:highlight w:val="none"/>
          <w:shd w:val="clear" w:color="auto" w:fill="auto"/>
        </w:rPr>
        <w:t>较大运营中断事件（III级）及以上，乙方应予以立即解决，从出现中断事件至排除故障或解决问题期间的时间不计入试运行期，系统验收时间向后顺延。</w:t>
      </w:r>
      <w:r>
        <w:rPr>
          <w:rFonts w:hint="eastAsia" w:ascii="宋体" w:eastAsia="宋体"/>
          <w:color w:val="auto"/>
          <w:spacing w:val="0"/>
          <w:kern w:val="0"/>
          <w:highlight w:val="none"/>
          <w:shd w:val="clear" w:color="auto" w:fill="auto"/>
        </w:rPr>
        <w:t>在符合甲方项目预期目标且试运行满</w:t>
      </w:r>
      <w:r>
        <w:rPr>
          <w:rFonts w:hint="eastAsia" w:ascii="宋体" w:eastAsia="宋体"/>
          <w:color w:val="auto"/>
          <w:spacing w:val="0"/>
          <w:kern w:val="0"/>
          <w:highlight w:val="none"/>
          <w:u w:val="single"/>
          <w:shd w:val="clear" w:color="auto" w:fill="auto"/>
        </w:rPr>
        <w:t>三个月</w:t>
      </w:r>
      <w:r>
        <w:rPr>
          <w:rFonts w:hint="eastAsia" w:ascii="宋体" w:eastAsia="宋体"/>
          <w:color w:val="auto"/>
          <w:spacing w:val="0"/>
          <w:kern w:val="0"/>
          <w:highlight w:val="none"/>
          <w:shd w:val="clear" w:color="auto" w:fill="auto"/>
        </w:rPr>
        <w:t>后，由甲方按照合同约定进行正式验收，验收通过后签署验收表或验收报告。</w:t>
      </w:r>
    </w:p>
    <w:p w14:paraId="6C0B4A10">
      <w:pPr>
        <w:pStyle w:val="10"/>
        <w:spacing w:before="0" w:beforeLines="0" w:line="360" w:lineRule="auto"/>
        <w:ind w:left="0" w:leftChars="0" w:firstLine="480"/>
        <w:rPr>
          <w:rFonts w:ascii="宋体" w:eastAsia="宋体"/>
          <w:color w:val="auto"/>
          <w:spacing w:val="0"/>
          <w:kern w:val="0"/>
          <w:highlight w:val="none"/>
          <w:shd w:val="clear" w:color="auto" w:fill="auto"/>
        </w:rPr>
      </w:pPr>
      <w:r>
        <w:rPr>
          <w:rFonts w:hint="eastAsia" w:ascii="宋体" w:eastAsia="宋体"/>
          <w:color w:val="auto"/>
          <w:spacing w:val="0"/>
          <w:kern w:val="0"/>
          <w:highlight w:val="none"/>
          <w:shd w:val="clear" w:color="auto" w:fill="auto"/>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1B2BFECC">
      <w:pPr>
        <w:spacing w:line="360" w:lineRule="auto"/>
        <w:ind w:firstLine="472" w:firstLineChars="196"/>
        <w:outlineLvl w:val="0"/>
        <w:rPr>
          <w:rFonts w:ascii="宋体"/>
          <w:b/>
          <w:color w:val="auto"/>
          <w:highlight w:val="none"/>
          <w:shd w:val="clear" w:color="auto" w:fill="auto"/>
        </w:rPr>
      </w:pPr>
      <w:bookmarkStart w:id="386" w:name="_Toc24322"/>
      <w:bookmarkStart w:id="387" w:name="_Toc32656"/>
      <w:r>
        <w:rPr>
          <w:rFonts w:hint="eastAsia" w:ascii="宋体"/>
          <w:b/>
          <w:color w:val="auto"/>
          <w:highlight w:val="none"/>
          <w:shd w:val="clear" w:color="auto" w:fill="auto"/>
        </w:rPr>
        <w:t>第六条  交付使用后维护期、系统完善和保修维护服务</w:t>
      </w:r>
      <w:bookmarkEnd w:id="386"/>
      <w:bookmarkEnd w:id="387"/>
    </w:p>
    <w:p w14:paraId="3F156FF5">
      <w:pPr>
        <w:tabs>
          <w:tab w:val="left" w:pos="851"/>
          <w:tab w:val="clear" w:pos="-111"/>
        </w:tabs>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6.1本合同金额包含【】年维护，维护期为自本产品</w:t>
      </w:r>
      <w:r>
        <w:rPr>
          <w:rFonts w:hint="eastAsia" w:ascii="宋体"/>
          <w:color w:val="auto"/>
          <w:kern w:val="0"/>
          <w:highlight w:val="none"/>
          <w:shd w:val="clear" w:color="auto" w:fill="auto"/>
        </w:rPr>
        <w:t>正式</w:t>
      </w:r>
      <w:r>
        <w:rPr>
          <w:rFonts w:hint="eastAsia" w:ascii="宋体"/>
          <w:color w:val="auto"/>
          <w:highlight w:val="none"/>
          <w:shd w:val="clear" w:color="auto" w:fill="auto"/>
        </w:rPr>
        <w:t>验收合格后次日至</w:t>
      </w:r>
      <w:r>
        <w:rPr>
          <w:rFonts w:ascii="宋体"/>
          <w:color w:val="auto"/>
          <w:highlight w:val="none"/>
          <w:shd w:val="clear" w:color="auto" w:fill="auto"/>
        </w:rPr>
        <w:t>承诺维护期结束日</w:t>
      </w:r>
      <w:r>
        <w:rPr>
          <w:rFonts w:hint="eastAsia" w:ascii="宋体"/>
          <w:color w:val="auto"/>
          <w:highlight w:val="none"/>
          <w:shd w:val="clear" w:color="auto" w:fill="auto"/>
        </w:rPr>
        <w:t>并延期至6月30日或12月31日中较近日期（即维保延期最长不超过半年）。</w:t>
      </w:r>
    </w:p>
    <w:p w14:paraId="540C4B54">
      <w:pPr>
        <w:tabs>
          <w:tab w:val="left" w:pos="851"/>
          <w:tab w:val="clear" w:pos="-111"/>
        </w:tabs>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6.2本合同产品的有偿技术服务期为本合同第6.1条约定的维护期到期之日起</w:t>
      </w:r>
      <w:r>
        <w:rPr>
          <w:rFonts w:hint="eastAsia" w:ascii="宋体"/>
          <w:color w:val="auto"/>
          <w:highlight w:val="none"/>
          <w:u w:val="single"/>
          <w:shd w:val="clear" w:color="auto" w:fill="auto"/>
        </w:rPr>
        <w:t>10</w:t>
      </w:r>
      <w:r>
        <w:rPr>
          <w:rFonts w:hint="eastAsia" w:ascii="宋体"/>
          <w:color w:val="auto"/>
          <w:highlight w:val="none"/>
          <w:shd w:val="clear" w:color="auto" w:fill="auto"/>
        </w:rPr>
        <w:t>年。本项目产品服务期内（包括本合同第6.1条约定的维护期与有偿技术服务期）如甲方对照附件一发现项目存在技术缺陷和隐蔽瑕疵，乙方应负责予以解决并应承担相应法律责任。</w:t>
      </w:r>
    </w:p>
    <w:p w14:paraId="1E322682">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4C22A8E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6.4本合同第6.1条约定的维护期与有偿技术服务期内，服务内容和服务方式详见附件四《维护服务条款》。</w:t>
      </w:r>
    </w:p>
    <w:p w14:paraId="13AE8A2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6.5上述服务，不包括由下列事件引起的故障：</w:t>
      </w:r>
    </w:p>
    <w:p w14:paraId="3BB7DCF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6.5.1 未能为系统提供适当的外部环境-如必要的系统环境、必要的管理体系、未能按照乙方要求配备资源等。</w:t>
      </w:r>
    </w:p>
    <w:p w14:paraId="3FC4936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6.5.2 使用并非由乙方提供的产品或服务。</w:t>
      </w:r>
    </w:p>
    <w:p w14:paraId="37D32591">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color w:val="auto"/>
          <w:highlight w:val="none"/>
          <w:u w:val="single"/>
          <w:shd w:val="clear" w:color="auto" w:fill="auto"/>
        </w:rPr>
        <w:t xml:space="preserve"> 3 </w:t>
      </w:r>
      <w:r>
        <w:rPr>
          <w:rFonts w:hint="eastAsia" w:ascii="宋体"/>
          <w:color w:val="auto"/>
          <w:highlight w:val="none"/>
          <w:shd w:val="clear" w:color="auto" w:fill="auto"/>
        </w:rPr>
        <w:t>日内不到甲方现场进行检修，或在收到甲方通知后</w:t>
      </w:r>
      <w:r>
        <w:rPr>
          <w:rFonts w:hint="eastAsia" w:ascii="宋体"/>
          <w:color w:val="auto"/>
          <w:highlight w:val="none"/>
          <w:u w:val="single"/>
          <w:shd w:val="clear" w:color="auto" w:fill="auto"/>
        </w:rPr>
        <w:t xml:space="preserve"> 10 </w:t>
      </w:r>
      <w:r>
        <w:rPr>
          <w:rFonts w:hint="eastAsia" w:ascii="宋体"/>
          <w:color w:val="auto"/>
          <w:highlight w:val="none"/>
          <w:shd w:val="clear" w:color="auto" w:fill="auto"/>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5A030EFD">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w:t>
      </w:r>
      <w:r>
        <w:rPr>
          <w:rStyle w:val="39"/>
          <w:rFonts w:hint="eastAsia" w:ascii="宋体" w:hAnsi="宋体"/>
          <w:color w:val="auto"/>
          <w:kern w:val="0"/>
          <w:highlight w:val="none"/>
          <w:shd w:val="clear" w:color="auto" w:fill="auto"/>
        </w:rPr>
        <w:t>.7</w:t>
      </w:r>
      <w:r>
        <w:rPr>
          <w:rFonts w:hint="eastAsia" w:ascii="宋体"/>
          <w:color w:val="auto"/>
          <w:highlight w:val="none"/>
          <w:shd w:val="clear" w:color="auto" w:fill="auto"/>
        </w:rPr>
        <w:t>维护期结束后的</w:t>
      </w:r>
      <w:r>
        <w:rPr>
          <w:rFonts w:hint="eastAsia" w:ascii="宋体"/>
          <w:color w:val="auto"/>
          <w:highlight w:val="none"/>
          <w:u w:val="single"/>
          <w:shd w:val="clear" w:color="auto" w:fill="auto"/>
        </w:rPr>
        <w:t>10年</w:t>
      </w:r>
      <w:r>
        <w:rPr>
          <w:rFonts w:hint="eastAsia" w:ascii="宋体"/>
          <w:color w:val="auto"/>
          <w:highlight w:val="none"/>
          <w:shd w:val="clear" w:color="auto" w:fill="auto"/>
        </w:rPr>
        <w:t>有偿技术服务期内，</w:t>
      </w:r>
      <w:r>
        <w:rPr>
          <w:rStyle w:val="39"/>
          <w:rFonts w:hint="eastAsia" w:ascii="宋体" w:hAnsi="宋体"/>
          <w:color w:val="auto"/>
          <w:kern w:val="0"/>
          <w:highlight w:val="none"/>
          <w:shd w:val="clear" w:color="auto" w:fill="auto"/>
        </w:rPr>
        <w:t>如</w:t>
      </w:r>
      <w:r>
        <w:rPr>
          <w:rFonts w:hint="eastAsia" w:ascii="宋体"/>
          <w:color w:val="auto"/>
          <w:highlight w:val="none"/>
          <w:shd w:val="clear" w:color="auto" w:fill="auto"/>
        </w:rPr>
        <w:t>甲方需要乙方提供维护服务,乙方应予提供。双方确认，甲方有权选择是否购买维护服务，乙方无权要求甲方对未使用维护服务的期间支付费用。</w:t>
      </w:r>
    </w:p>
    <w:p w14:paraId="2F9816CC">
      <w:pPr>
        <w:spacing w:line="360" w:lineRule="auto"/>
        <w:ind w:firstLine="480"/>
        <w:rPr>
          <w:rFonts w:ascii="宋体"/>
          <w:b/>
          <w:color w:val="auto"/>
          <w:highlight w:val="none"/>
          <w:shd w:val="clear" w:color="auto" w:fill="auto"/>
        </w:rPr>
      </w:pPr>
      <w:r>
        <w:rPr>
          <w:rFonts w:hint="eastAsia" w:ascii="宋体"/>
          <w:color w:val="auto"/>
          <w:highlight w:val="none"/>
          <w:shd w:val="clear" w:color="auto" w:fill="auto"/>
        </w:rPr>
        <w:t>6.8 维护期结束后</w:t>
      </w:r>
      <w:r>
        <w:rPr>
          <w:rStyle w:val="39"/>
          <w:rFonts w:hint="eastAsia" w:ascii="宋体" w:hAnsi="宋体"/>
          <w:color w:val="auto"/>
          <w:kern w:val="0"/>
          <w:highlight w:val="none"/>
          <w:shd w:val="clear" w:color="auto" w:fill="auto"/>
        </w:rPr>
        <w:t>有偿技术服务期</w:t>
      </w:r>
      <w:r>
        <w:rPr>
          <w:rFonts w:hint="eastAsia" w:ascii="宋体"/>
          <w:color w:val="auto"/>
          <w:highlight w:val="none"/>
          <w:shd w:val="clear" w:color="auto" w:fill="auto"/>
        </w:rPr>
        <w:t>每年的维护价格【不超过/为】</w:t>
      </w:r>
      <w:r>
        <w:rPr>
          <w:rFonts w:hint="eastAsia" w:ascii="宋体"/>
          <w:iCs/>
          <w:color w:val="auto"/>
          <w:highlight w:val="none"/>
          <w:u w:val="single"/>
          <w:shd w:val="clear" w:color="auto" w:fill="auto"/>
        </w:rPr>
        <w:t>合同总额的【 %】</w:t>
      </w:r>
      <w:r>
        <w:rPr>
          <w:rFonts w:hint="eastAsia" w:ascii="宋体"/>
          <w:color w:val="auto"/>
          <w:highlight w:val="none"/>
          <w:shd w:val="clear" w:color="auto" w:fill="auto"/>
        </w:rPr>
        <w:t>，具体服务内容详见附件四《维护服务条款》。有偿技术服务期的服务水平不低于附件四承诺的维护期的服务水平。</w:t>
      </w:r>
      <w:r>
        <w:rPr>
          <w:rFonts w:hint="eastAsia" w:ascii="宋体"/>
          <w:b/>
          <w:color w:val="auto"/>
          <w:highlight w:val="none"/>
          <w:shd w:val="clear" w:color="auto" w:fill="auto"/>
        </w:rPr>
        <w:t>后续改造类项目维护费用以系统首期建设合同（即本合同）约定为准，不得叠加、单独收取。</w:t>
      </w:r>
    </w:p>
    <w:p w14:paraId="023C8B8E">
      <w:pPr>
        <w:spacing w:line="360" w:lineRule="auto"/>
        <w:ind w:firstLine="482"/>
        <w:rPr>
          <w:rFonts w:ascii="宋体"/>
          <w:color w:val="auto"/>
          <w:highlight w:val="none"/>
          <w:shd w:val="clear" w:color="auto" w:fill="auto"/>
        </w:rPr>
      </w:pPr>
      <w:r>
        <w:rPr>
          <w:rFonts w:hint="eastAsia" w:ascii="宋体"/>
          <w:b/>
          <w:color w:val="auto"/>
          <w:highlight w:val="none"/>
          <w:shd w:val="clear" w:color="auto" w:fill="auto"/>
        </w:rPr>
        <w:t>本合同为改造类项目合同，后续维保费用以系统首期建设合同（可注明首期建设合同名称及编号）约定为准，不得叠加、单独收取。</w:t>
      </w:r>
    </w:p>
    <w:p w14:paraId="3D9A9AF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6.9本合同并非维护期结束后的维护服务合同，有偿技术服务的合同由双方另行签订。</w:t>
      </w:r>
    </w:p>
    <w:p w14:paraId="73962E54">
      <w:pPr>
        <w:spacing w:line="360" w:lineRule="auto"/>
        <w:ind w:firstLine="472" w:firstLineChars="196"/>
        <w:outlineLvl w:val="0"/>
        <w:rPr>
          <w:rFonts w:ascii="宋体"/>
          <w:b/>
          <w:color w:val="auto"/>
          <w:highlight w:val="none"/>
          <w:shd w:val="clear" w:color="auto" w:fill="auto"/>
        </w:rPr>
      </w:pPr>
      <w:bookmarkStart w:id="388" w:name="_Toc13331"/>
      <w:bookmarkStart w:id="389" w:name="_Toc6002"/>
      <w:r>
        <w:rPr>
          <w:rFonts w:hint="eastAsia" w:ascii="宋体"/>
          <w:b/>
          <w:color w:val="auto"/>
          <w:highlight w:val="none"/>
          <w:shd w:val="clear" w:color="auto" w:fill="auto"/>
        </w:rPr>
        <w:t>第七条  技术辅导与培训</w:t>
      </w:r>
      <w:bookmarkEnd w:id="388"/>
      <w:bookmarkEnd w:id="389"/>
    </w:p>
    <w:p w14:paraId="635BA92D">
      <w:pPr>
        <w:pStyle w:val="14"/>
        <w:spacing w:before="0" w:beforeLines="0" w:line="360" w:lineRule="auto"/>
        <w:ind w:firstLine="560" w:firstLineChars="0"/>
        <w:rPr>
          <w:rFonts w:ascii="宋体" w:eastAsia="宋体"/>
          <w:color w:val="auto"/>
          <w:spacing w:val="0"/>
          <w:highlight w:val="none"/>
          <w:shd w:val="clear" w:color="auto" w:fill="auto"/>
        </w:rPr>
      </w:pPr>
      <w:r>
        <w:rPr>
          <w:rFonts w:hint="eastAsia" w:ascii="宋体" w:eastAsia="宋体"/>
          <w:color w:val="auto"/>
          <w:spacing w:val="0"/>
          <w:highlight w:val="none"/>
          <w:shd w:val="clear" w:color="auto" w:fill="auto"/>
        </w:rPr>
        <w:t>乙方应负责向甲方提供技术辅导与培训，以使甲方人员熟练掌握该项目产品的应用和日常维护。培训内容包括：XXXXXXX</w:t>
      </w:r>
    </w:p>
    <w:p w14:paraId="01FB4EEE">
      <w:pPr>
        <w:pStyle w:val="14"/>
        <w:spacing w:before="0" w:beforeLines="0" w:line="360" w:lineRule="auto"/>
        <w:ind w:firstLine="480"/>
        <w:rPr>
          <w:rFonts w:ascii="宋体" w:eastAsia="宋体"/>
          <w:color w:val="auto"/>
          <w:spacing w:val="0"/>
          <w:highlight w:val="none"/>
          <w:shd w:val="clear" w:color="auto" w:fill="auto"/>
        </w:rPr>
      </w:pPr>
      <w:r>
        <w:rPr>
          <w:rFonts w:hint="eastAsia" w:ascii="宋体" w:eastAsia="宋体"/>
          <w:color w:val="auto"/>
          <w:spacing w:val="0"/>
          <w:highlight w:val="none"/>
          <w:shd w:val="clear" w:color="auto" w:fill="auto"/>
        </w:rPr>
        <w:t>具体培训内容由双方共同商定，并由甲方项目经理签字确认。</w:t>
      </w:r>
    </w:p>
    <w:p w14:paraId="5ECE2F28">
      <w:pPr>
        <w:pStyle w:val="14"/>
        <w:spacing w:before="0" w:beforeLines="0" w:line="360" w:lineRule="auto"/>
        <w:ind w:firstLine="480"/>
        <w:rPr>
          <w:rFonts w:ascii="宋体" w:eastAsia="宋体"/>
          <w:color w:val="auto"/>
          <w:spacing w:val="0"/>
          <w:highlight w:val="none"/>
          <w:shd w:val="clear" w:color="auto" w:fill="auto"/>
        </w:rPr>
      </w:pPr>
    </w:p>
    <w:p w14:paraId="41AD882A">
      <w:pPr>
        <w:spacing w:line="360" w:lineRule="auto"/>
        <w:ind w:firstLine="472" w:firstLineChars="196"/>
        <w:outlineLvl w:val="0"/>
        <w:rPr>
          <w:rFonts w:ascii="宋体"/>
          <w:b/>
          <w:color w:val="auto"/>
          <w:highlight w:val="none"/>
          <w:shd w:val="clear" w:color="auto" w:fill="auto"/>
        </w:rPr>
      </w:pPr>
      <w:bookmarkStart w:id="390" w:name="_Toc21892"/>
      <w:bookmarkStart w:id="391" w:name="_Toc189"/>
      <w:r>
        <w:rPr>
          <w:rFonts w:hint="eastAsia" w:ascii="宋体"/>
          <w:b/>
          <w:color w:val="auto"/>
          <w:highlight w:val="none"/>
          <w:shd w:val="clear" w:color="auto" w:fill="auto"/>
        </w:rPr>
        <w:t>第八条  双方的权利、义务</w:t>
      </w:r>
      <w:bookmarkEnd w:id="390"/>
      <w:bookmarkEnd w:id="391"/>
    </w:p>
    <w:p w14:paraId="2A1100E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8.1除本合同其他条款外，甲方应承担如下义务：</w:t>
      </w:r>
    </w:p>
    <w:p w14:paraId="03E0D08D">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8.1.1 按照本合同第十三条的规定向乙方支付报酬。</w:t>
      </w:r>
    </w:p>
    <w:p w14:paraId="1AB1A7C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8.1.2 向乙方提供本合同约定的业务协作：如参与各方的资源协调与进度管理、商务保障、项目环境保障等，确保参与各方按期、按质协同工作。</w:t>
      </w:r>
    </w:p>
    <w:p w14:paraId="741A7F4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8.1.3 指派一名项目主要负责人参加甲、乙双方为本项目召开的会议并协调相关工作和签署有关文件。</w:t>
      </w:r>
    </w:p>
    <w:p w14:paraId="3229695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8.1.4 甲方为乙方解决现场人员正常开展工作的开发测试系统环境和场地。</w:t>
      </w:r>
    </w:p>
    <w:p w14:paraId="31E9490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8.2除本合同其他条款外，乙方应承担如下义务：</w:t>
      </w:r>
    </w:p>
    <w:p w14:paraId="3B1F27C2">
      <w:pPr>
        <w:pStyle w:val="12"/>
        <w:tabs>
          <w:tab w:val="left" w:pos="0"/>
          <w:tab w:val="clear" w:pos="-111"/>
        </w:tabs>
        <w:spacing w:line="360" w:lineRule="auto"/>
        <w:ind w:left="-2" w:leftChars="-1" w:firstLine="480"/>
        <w:rPr>
          <w:color w:val="auto"/>
          <w:sz w:val="24"/>
          <w:szCs w:val="20"/>
          <w:highlight w:val="none"/>
          <w:shd w:val="clear" w:color="auto" w:fill="auto"/>
        </w:rPr>
      </w:pPr>
      <w:r>
        <w:rPr>
          <w:color w:val="auto"/>
          <w:sz w:val="24"/>
          <w:szCs w:val="20"/>
          <w:highlight w:val="none"/>
          <w:shd w:val="clear" w:color="auto" w:fill="auto"/>
        </w:rPr>
        <w:t>8.2.1 遵守法律法规及银行业金融机构内部管理制度</w:t>
      </w:r>
      <w:r>
        <w:rPr>
          <w:rFonts w:hint="eastAsia"/>
          <w:color w:val="auto"/>
          <w:sz w:val="24"/>
          <w:szCs w:val="20"/>
          <w:highlight w:val="none"/>
          <w:shd w:val="clear" w:color="auto" w:fill="auto"/>
        </w:rPr>
        <w:t>及规定</w:t>
      </w:r>
      <w:r>
        <w:rPr>
          <w:color w:val="auto"/>
          <w:sz w:val="24"/>
          <w:szCs w:val="20"/>
          <w:highlight w:val="none"/>
          <w:shd w:val="clear" w:color="auto" w:fill="auto"/>
        </w:rPr>
        <w:t>，贯彻执行相关监管政策。</w:t>
      </w:r>
    </w:p>
    <w:p w14:paraId="52763A6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8.2.2 按照本合同附件一的要求，采取一切必要的措施完成实施任务，保证项目的功能满足本项目需求，并确保在实施过程中严格执行版本过程化管理，配合甲方《软件研发项目实施细则》提供交付物。</w:t>
      </w:r>
    </w:p>
    <w:p w14:paraId="59AB621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8.2.3 负责在甲方的环境内安装并调试实施项目。</w:t>
      </w:r>
    </w:p>
    <w:p w14:paraId="151CE23E">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8.2.4 指派一名项目主要负责人参加甲、乙双方为本项目召开的会议并协调相关工作和签署有关文件。</w:t>
      </w:r>
    </w:p>
    <w:p w14:paraId="646F2BA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8.2.5 指派独立于开发团队的测试人员负责项目系统测试，并承诺按照甲方质量管理要求完成项目系统测试、性能测试、安全测试等。</w:t>
      </w:r>
    </w:p>
    <w:p w14:paraId="47B001E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8.2.6 按照本合同的约定向甲方提供相关技术资料并提供技术指导。</w:t>
      </w:r>
    </w:p>
    <w:p w14:paraId="24E8033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8.2.7乙方需为甲方提供持续的项目风险识别和控制措施，并按甲方要求提供公司财务分析报告、项目进度报告以及重大事项报告等。</w:t>
      </w:r>
    </w:p>
    <w:p w14:paraId="08560EEA">
      <w:pPr>
        <w:spacing w:line="360" w:lineRule="auto"/>
        <w:ind w:firstLine="480"/>
        <w:rPr>
          <w:rFonts w:ascii="宋体"/>
          <w:color w:val="auto"/>
          <w:highlight w:val="none"/>
          <w:shd w:val="clear" w:color="auto" w:fill="auto"/>
          <w:lang w:val="zh-CN"/>
        </w:rPr>
      </w:pPr>
      <w:r>
        <w:rPr>
          <w:rFonts w:hint="eastAsia" w:ascii="宋体"/>
          <w:color w:val="auto"/>
          <w:highlight w:val="none"/>
          <w:shd w:val="clear" w:color="auto" w:fill="auto"/>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7A3FB912">
      <w:pPr>
        <w:spacing w:line="360" w:lineRule="auto"/>
        <w:ind w:firstLine="480"/>
        <w:rPr>
          <w:rFonts w:ascii="宋体"/>
          <w:color w:val="auto"/>
          <w:highlight w:val="none"/>
          <w:shd w:val="clear" w:color="auto" w:fill="auto"/>
          <w:lang w:val="zh-CN"/>
        </w:rPr>
      </w:pPr>
      <w:r>
        <w:rPr>
          <w:rFonts w:hint="eastAsia" w:ascii="宋体"/>
          <w:color w:val="auto"/>
          <w:highlight w:val="none"/>
          <w:shd w:val="clear" w:color="auto" w:fill="auto"/>
          <w:lang w:val="zh-CN"/>
        </w:rPr>
        <w:t>8.2.9 乙方应针对服务内容为甲方制定业务连续性计划和应急计划并维护好相关资源，在服务质量不能满足合同要求时，甲方具有优先获取服务资源的权利。</w:t>
      </w:r>
    </w:p>
    <w:p w14:paraId="5513CFF5">
      <w:pPr>
        <w:spacing w:line="360" w:lineRule="auto"/>
        <w:ind w:firstLine="480"/>
        <w:rPr>
          <w:rFonts w:ascii="宋体"/>
          <w:color w:val="auto"/>
          <w:highlight w:val="none"/>
          <w:shd w:val="clear" w:color="auto" w:fill="auto"/>
          <w:lang w:val="zh-CN"/>
        </w:rPr>
      </w:pPr>
      <w:r>
        <w:rPr>
          <w:rFonts w:hint="eastAsia" w:ascii="宋体"/>
          <w:color w:val="auto"/>
          <w:highlight w:val="none"/>
          <w:shd w:val="clear" w:color="auto" w:fill="auto"/>
          <w:lang w:val="zh-CN"/>
        </w:rPr>
        <w:t>8.2.10 乙方应当自己完成本合同项下的</w:t>
      </w:r>
      <w:r>
        <w:rPr>
          <w:rFonts w:hint="eastAsia" w:ascii="宋体"/>
          <w:color w:val="auto"/>
          <w:highlight w:val="none"/>
          <w:shd w:val="clear" w:color="auto" w:fill="auto"/>
        </w:rPr>
        <w:t>开发、测试或维护</w:t>
      </w:r>
      <w:r>
        <w:rPr>
          <w:rFonts w:hint="eastAsia" w:ascii="宋体"/>
          <w:color w:val="auto"/>
          <w:highlight w:val="none"/>
          <w:shd w:val="clear" w:color="auto" w:fill="auto"/>
          <w:lang w:val="zh-CN"/>
        </w:rPr>
        <w:t>等工作，而不得分包给任何第三方，也不得进行转包或变相转包。</w:t>
      </w:r>
    </w:p>
    <w:p w14:paraId="4EE1904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8.2.11 </w:t>
      </w:r>
      <w:r>
        <w:rPr>
          <w:rFonts w:hint="eastAsia" w:ascii="宋体"/>
          <w:bCs/>
          <w:color w:val="auto"/>
          <w:highlight w:val="none"/>
          <w:shd w:val="clear" w:color="auto" w:fill="auto"/>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4BA02CE">
      <w:pPr>
        <w:spacing w:line="360" w:lineRule="auto"/>
        <w:ind w:firstLine="480"/>
        <w:rPr>
          <w:rFonts w:ascii="宋体"/>
          <w:color w:val="auto"/>
          <w:highlight w:val="none"/>
          <w:shd w:val="clear" w:color="auto" w:fill="auto"/>
        </w:rPr>
      </w:pPr>
    </w:p>
    <w:p w14:paraId="2C366BF1">
      <w:pPr>
        <w:spacing w:line="360" w:lineRule="auto"/>
        <w:ind w:firstLine="472" w:firstLineChars="196"/>
        <w:outlineLvl w:val="0"/>
        <w:rPr>
          <w:rFonts w:ascii="宋体"/>
          <w:b/>
          <w:color w:val="auto"/>
          <w:highlight w:val="none"/>
          <w:shd w:val="clear" w:color="auto" w:fill="auto"/>
        </w:rPr>
      </w:pPr>
      <w:bookmarkStart w:id="392" w:name="_Toc29300"/>
      <w:bookmarkStart w:id="393" w:name="_Toc8573"/>
      <w:r>
        <w:rPr>
          <w:rFonts w:hint="eastAsia" w:ascii="宋体"/>
          <w:b/>
          <w:color w:val="auto"/>
          <w:highlight w:val="none"/>
          <w:shd w:val="clear" w:color="auto" w:fill="auto"/>
        </w:rPr>
        <w:t>第九条  乙方的声明与保证</w:t>
      </w:r>
      <w:bookmarkEnd w:id="392"/>
      <w:bookmarkEnd w:id="393"/>
    </w:p>
    <w:p w14:paraId="65974A6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乙方向甲方做出如下声明与保证：</w:t>
      </w:r>
    </w:p>
    <w:p w14:paraId="56D0B33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9.1乙方完全具有本合同项下项目实施的技术资质与实力，包括开发技术人员、硬件设施等。</w:t>
      </w:r>
    </w:p>
    <w:p w14:paraId="5877EC6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9.2乙方已对照本合同附件一中甲方确认的需求，确认乙方的设计方案已经涵盖了设计需求的各方面，并且乙方实施的产品是先进的、适用的、兼容的，能够满足甲方核心业务扩展的需求。</w:t>
      </w:r>
    </w:p>
    <w:p w14:paraId="2F63AF1F">
      <w:pPr>
        <w:spacing w:line="360" w:lineRule="auto"/>
        <w:ind w:firstLine="480"/>
        <w:rPr>
          <w:rFonts w:ascii="宋体"/>
          <w:color w:val="auto"/>
          <w:highlight w:val="none"/>
          <w:shd w:val="clear" w:color="auto" w:fill="auto"/>
        </w:rPr>
      </w:pPr>
      <w:r>
        <w:rPr>
          <w:rStyle w:val="39"/>
          <w:rFonts w:hint="eastAsia" w:ascii="宋体" w:hAnsi="宋体"/>
          <w:color w:val="auto"/>
          <w:kern w:val="0"/>
          <w:highlight w:val="none"/>
          <w:shd w:val="clear" w:color="auto" w:fill="auto"/>
        </w:rPr>
        <w:t>9.3乙方在本项目中【使用/未使用】第三方</w:t>
      </w:r>
      <w:r>
        <w:rPr>
          <w:rStyle w:val="39"/>
          <w:rFonts w:ascii="宋体" w:hAnsi="宋体"/>
          <w:color w:val="auto"/>
          <w:kern w:val="0"/>
          <w:highlight w:val="none"/>
          <w:shd w:val="clear" w:color="auto" w:fill="auto"/>
        </w:rPr>
        <w:t>产品</w:t>
      </w:r>
      <w:r>
        <w:rPr>
          <w:rStyle w:val="39"/>
          <w:rFonts w:hint="eastAsia" w:ascii="宋体" w:hAnsi="宋体"/>
          <w:color w:val="auto"/>
          <w:kern w:val="0"/>
          <w:highlight w:val="none"/>
          <w:shd w:val="clear" w:color="auto" w:fill="auto"/>
        </w:rPr>
        <w:t>，</w:t>
      </w:r>
      <w:r>
        <w:rPr>
          <w:rStyle w:val="39"/>
          <w:rFonts w:ascii="宋体" w:hAnsi="宋体"/>
          <w:color w:val="auto"/>
          <w:kern w:val="0"/>
          <w:highlight w:val="none"/>
          <w:shd w:val="clear" w:color="auto" w:fill="auto"/>
        </w:rPr>
        <w:t>包括第三方</w:t>
      </w:r>
      <w:r>
        <w:rPr>
          <w:rStyle w:val="39"/>
          <w:rFonts w:hint="eastAsia" w:ascii="宋体" w:hAnsi="宋体"/>
          <w:color w:val="auto"/>
          <w:kern w:val="0"/>
          <w:highlight w:val="none"/>
          <w:shd w:val="clear" w:color="auto" w:fill="auto"/>
        </w:rPr>
        <w:t>SDK、小程序、软件、开源组件等，（若选择【使用】请列举）例：第三方SDK：XXXX、XXX；第三方小程序：XXX等。</w:t>
      </w:r>
      <w:r>
        <w:rPr>
          <w:rFonts w:hint="eastAsia" w:ascii="宋体"/>
          <w:color w:val="auto"/>
          <w:highlight w:val="none"/>
          <w:shd w:val="clear" w:color="auto" w:fill="auto"/>
        </w:rPr>
        <w:t>若乙方在项目中使用了第三方产品，乙方须按如下要求执行：</w:t>
      </w:r>
    </w:p>
    <w:p w14:paraId="0A36103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（1）针对第三方SDK：乙方应开展安全评估和个人信息保护评估，并提供无中高风险的评估报告；</w:t>
      </w:r>
    </w:p>
    <w:p w14:paraId="7AF6E6F1">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（2）针对第三方小程序：乙方应开展安全评估，并提供无中高风险漏洞的安全评估报告。</w:t>
      </w:r>
    </w:p>
    <w:p w14:paraId="0BC35576">
      <w:pPr>
        <w:spacing w:line="360" w:lineRule="auto"/>
        <w:ind w:firstLine="480"/>
        <w:rPr>
          <w:rStyle w:val="39"/>
          <w:rFonts w:ascii="宋体" w:hAnsi="宋体"/>
          <w:color w:val="auto"/>
          <w:kern w:val="0"/>
          <w:highlight w:val="none"/>
          <w:shd w:val="clear" w:color="auto" w:fill="auto"/>
        </w:rPr>
      </w:pPr>
      <w:r>
        <w:rPr>
          <w:rFonts w:hint="eastAsia" w:ascii="宋体"/>
          <w:color w:val="auto"/>
          <w:highlight w:val="none"/>
          <w:shd w:val="clear" w:color="auto" w:fill="auto"/>
        </w:rPr>
        <w:t>（</w:t>
      </w:r>
      <w:r>
        <w:rPr>
          <w:rFonts w:ascii="宋体"/>
          <w:color w:val="auto"/>
          <w:highlight w:val="none"/>
          <w:shd w:val="clear" w:color="auto" w:fill="auto"/>
        </w:rPr>
        <w:t>3</w:t>
      </w:r>
      <w:r>
        <w:rPr>
          <w:rFonts w:hint="eastAsia" w:ascii="宋体"/>
          <w:color w:val="auto"/>
          <w:highlight w:val="none"/>
          <w:shd w:val="clear" w:color="auto" w:fill="auto"/>
        </w:rPr>
        <w:t>）若</w:t>
      </w:r>
      <w:r>
        <w:rPr>
          <w:rStyle w:val="39"/>
          <w:rFonts w:hint="eastAsia" w:ascii="宋体" w:hAnsi="宋体"/>
          <w:color w:val="auto"/>
          <w:kern w:val="0"/>
          <w:highlight w:val="none"/>
          <w:shd w:val="clear" w:color="auto" w:fill="auto"/>
        </w:rPr>
        <w:t>第三方产品出现安全漏洞</w:t>
      </w:r>
      <w:r>
        <w:rPr>
          <w:rFonts w:hint="eastAsia" w:ascii="宋体"/>
          <w:color w:val="auto"/>
          <w:highlight w:val="none"/>
          <w:shd w:val="clear" w:color="auto" w:fill="auto"/>
        </w:rPr>
        <w:t>或违反个人信息保护相关法规，</w:t>
      </w:r>
      <w:r>
        <w:rPr>
          <w:rStyle w:val="39"/>
          <w:rFonts w:hint="eastAsia" w:ascii="宋体" w:hAnsi="宋体"/>
          <w:color w:val="auto"/>
          <w:kern w:val="0"/>
          <w:highlight w:val="none"/>
          <w:shd w:val="clear" w:color="auto" w:fill="auto"/>
        </w:rPr>
        <w:t>甲方有权要求乙方进行修复，若因此给甲方造成损失的，甲方有权随时向乙方追偿。</w:t>
      </w:r>
    </w:p>
    <w:p w14:paraId="3ED089F3">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9</w:t>
      </w:r>
      <w:r>
        <w:rPr>
          <w:rStyle w:val="39"/>
          <w:rFonts w:ascii="宋体" w:hAnsi="宋体"/>
          <w:color w:val="auto"/>
          <w:kern w:val="0"/>
          <w:highlight w:val="none"/>
          <w:shd w:val="clear" w:color="auto" w:fill="auto"/>
        </w:rPr>
        <w:t>.4</w:t>
      </w:r>
      <w:r>
        <w:rPr>
          <w:rStyle w:val="39"/>
          <w:rFonts w:hint="eastAsia" w:ascii="宋体" w:hAnsi="宋体"/>
          <w:color w:val="auto"/>
          <w:kern w:val="0"/>
          <w:highlight w:val="none"/>
          <w:shd w:val="clear" w:color="auto" w:fill="auto"/>
        </w:rPr>
        <w:t>乙方保证向甲方提供的项目产品（含第三方产品）的安全性、合规性，保证无恶意脚本、后门及恶意漏洞，不携带任何病毒，不越权收集、处理客户信息。</w:t>
      </w:r>
    </w:p>
    <w:p w14:paraId="6CF2F857">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9.5乙方向甲方提供的产品和服务不会有任何第三方主张权利，也不会侵害任何第三方的合法权益，包括知识产权。</w:t>
      </w:r>
    </w:p>
    <w:p w14:paraId="57B65A5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9.</w:t>
      </w:r>
      <w:r>
        <w:rPr>
          <w:rFonts w:ascii="宋体"/>
          <w:color w:val="auto"/>
          <w:highlight w:val="none"/>
          <w:shd w:val="clear" w:color="auto" w:fill="auto"/>
        </w:rPr>
        <w:t>6</w:t>
      </w:r>
      <w:r>
        <w:rPr>
          <w:rFonts w:hint="eastAsia" w:ascii="宋体"/>
          <w:color w:val="auto"/>
          <w:highlight w:val="none"/>
          <w:shd w:val="clear" w:color="auto" w:fill="auto"/>
        </w:rPr>
        <w:t>乙方保证遵守甲方《重庆三峡银行员工回避管理办法》中招录回避、任职回避、公务回避的相关要求。若发现乙方人员与甲方内部人员存在亲属关系，乙方应主动报告，并采取相应回避措施。</w:t>
      </w:r>
    </w:p>
    <w:p w14:paraId="74E875D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9.</w:t>
      </w:r>
      <w:r>
        <w:rPr>
          <w:rFonts w:ascii="宋体"/>
          <w:color w:val="auto"/>
          <w:highlight w:val="none"/>
          <w:shd w:val="clear" w:color="auto" w:fill="auto"/>
        </w:rPr>
        <w:t>7</w:t>
      </w:r>
      <w:r>
        <w:rPr>
          <w:rFonts w:hint="eastAsia" w:ascii="宋体"/>
          <w:color w:val="auto"/>
          <w:highlight w:val="none"/>
          <w:shd w:val="clear" w:color="auto" w:fill="auto"/>
        </w:rPr>
        <w:t xml:space="preserve"> 乙方保证其人员无不良记录，服务商与其建立合法的雇佣关系，依法履行用工管理职责。</w:t>
      </w:r>
    </w:p>
    <w:p w14:paraId="1BFAF3E7">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9.</w:t>
      </w:r>
      <w:r>
        <w:rPr>
          <w:rFonts w:ascii="宋体"/>
          <w:color w:val="auto"/>
          <w:highlight w:val="none"/>
          <w:shd w:val="clear" w:color="auto" w:fill="auto"/>
        </w:rPr>
        <w:t>8</w:t>
      </w:r>
      <w:r>
        <w:rPr>
          <w:rFonts w:hint="eastAsia" w:ascii="宋体"/>
          <w:color w:val="auto"/>
          <w:highlight w:val="none"/>
          <w:shd w:val="clear" w:color="auto" w:fill="auto"/>
        </w:rPr>
        <w:t xml:space="preserve"> 乙方定期通报外包事项，及时通报外包突发性事件及解决情况。</w:t>
      </w:r>
    </w:p>
    <w:p w14:paraId="7F487B99">
      <w:pPr>
        <w:spacing w:line="360" w:lineRule="auto"/>
        <w:ind w:left="560" w:hanging="560" w:firstLineChars="0"/>
        <w:rPr>
          <w:rFonts w:ascii="宋体"/>
          <w:color w:val="auto"/>
          <w:highlight w:val="none"/>
          <w:shd w:val="clear" w:color="auto" w:fill="auto"/>
        </w:rPr>
      </w:pPr>
    </w:p>
    <w:p w14:paraId="30EBF9B4">
      <w:pPr>
        <w:spacing w:line="360" w:lineRule="auto"/>
        <w:ind w:firstLine="472" w:firstLineChars="196"/>
        <w:outlineLvl w:val="0"/>
        <w:rPr>
          <w:rFonts w:ascii="宋体"/>
          <w:b/>
          <w:color w:val="auto"/>
          <w:highlight w:val="none"/>
          <w:shd w:val="clear" w:color="auto" w:fill="auto"/>
        </w:rPr>
      </w:pPr>
      <w:bookmarkStart w:id="394" w:name="_Toc7500"/>
      <w:bookmarkStart w:id="395" w:name="_Toc11274"/>
      <w:r>
        <w:rPr>
          <w:rFonts w:hint="eastAsia" w:ascii="宋体"/>
          <w:b/>
          <w:color w:val="auto"/>
          <w:highlight w:val="none"/>
          <w:shd w:val="clear" w:color="auto" w:fill="auto"/>
        </w:rPr>
        <w:t>第十条  知识产权</w:t>
      </w:r>
      <w:bookmarkEnd w:id="394"/>
      <w:bookmarkEnd w:id="395"/>
    </w:p>
    <w:p w14:paraId="0A0F3547">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278CF6D6">
      <w:pPr>
        <w:spacing w:line="360" w:lineRule="auto"/>
        <w:ind w:firstLine="480"/>
        <w:rPr>
          <w:rStyle w:val="39"/>
          <w:rFonts w:ascii="宋体" w:hAnsi="宋体"/>
          <w:color w:val="auto"/>
          <w:highlight w:val="none"/>
          <w:shd w:val="clear" w:color="auto" w:fill="auto"/>
        </w:rPr>
      </w:pPr>
      <w:r>
        <w:rPr>
          <w:rFonts w:ascii="宋体"/>
          <w:color w:val="auto"/>
          <w:highlight w:val="none"/>
          <w:shd w:val="clear" w:color="auto" w:fill="auto"/>
        </w:rPr>
        <w:t>10</w:t>
      </w:r>
      <w:r>
        <w:rPr>
          <w:rFonts w:hint="eastAsia" w:ascii="宋体"/>
          <w:color w:val="auto"/>
          <w:highlight w:val="none"/>
          <w:shd w:val="clear" w:color="auto" w:fill="auto"/>
        </w:rPr>
        <w:t>.</w:t>
      </w:r>
      <w:r>
        <w:rPr>
          <w:rFonts w:ascii="宋体"/>
          <w:color w:val="auto"/>
          <w:highlight w:val="none"/>
          <w:shd w:val="clear" w:color="auto" w:fill="auto"/>
        </w:rPr>
        <w:t xml:space="preserve">2 </w:t>
      </w:r>
      <w:r>
        <w:rPr>
          <w:rFonts w:hint="eastAsia" w:ascii="宋体"/>
          <w:color w:val="auto"/>
          <w:highlight w:val="none"/>
          <w:shd w:val="clear" w:color="auto" w:fill="auto"/>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22EFEE46">
      <w:pPr>
        <w:spacing w:line="360" w:lineRule="auto"/>
        <w:ind w:firstLine="480"/>
        <w:rPr>
          <w:rStyle w:val="39"/>
          <w:rFonts w:ascii="宋体" w:hAnsi="宋体"/>
          <w:color w:val="auto"/>
          <w:highlight w:val="none"/>
          <w:shd w:val="clear" w:color="auto" w:fill="auto"/>
        </w:rPr>
      </w:pPr>
      <w:r>
        <w:rPr>
          <w:rFonts w:hint="eastAsia" w:ascii="宋体"/>
          <w:color w:val="auto"/>
          <w:highlight w:val="none"/>
          <w:shd w:val="clear" w:color="auto" w:fill="auto"/>
        </w:rPr>
        <w:t>10.</w:t>
      </w:r>
      <w:r>
        <w:rPr>
          <w:rFonts w:ascii="宋体"/>
          <w:color w:val="auto"/>
          <w:highlight w:val="none"/>
          <w:shd w:val="clear" w:color="auto" w:fill="auto"/>
        </w:rPr>
        <w:t>3</w:t>
      </w:r>
      <w:r>
        <w:rPr>
          <w:rFonts w:hint="eastAsia" w:ascii="宋体"/>
          <w:color w:val="auto"/>
          <w:highlight w:val="none"/>
          <w:shd w:val="clear" w:color="auto" w:fill="auto"/>
        </w:rPr>
        <w:t>乙方应将有关资料（数据库设计文件、技术文件和用户手册等全部资料）在甲方要求期限内，按国家有关项目开发标准以文字等载体的形式交给甲方，甲方拥有永久的使用权。</w:t>
      </w:r>
      <w:r>
        <w:rPr>
          <w:rStyle w:val="39"/>
          <w:rFonts w:hint="eastAsia" w:ascii="宋体" w:hAnsi="宋体"/>
          <w:color w:val="auto"/>
          <w:highlight w:val="none"/>
          <w:shd w:val="clear" w:color="auto" w:fill="auto"/>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7D332AE9">
      <w:pPr>
        <w:spacing w:line="360" w:lineRule="auto"/>
        <w:ind w:firstLine="480"/>
        <w:rPr>
          <w:rStyle w:val="39"/>
          <w:rFonts w:ascii="宋体" w:hAnsi="宋体"/>
          <w:color w:val="auto"/>
          <w:highlight w:val="none"/>
          <w:shd w:val="clear" w:color="auto" w:fill="auto"/>
        </w:rPr>
      </w:pPr>
      <w:r>
        <w:rPr>
          <w:rStyle w:val="39"/>
          <w:rFonts w:hint="eastAsia" w:ascii="宋体" w:hAnsi="宋体"/>
          <w:color w:val="auto"/>
          <w:highlight w:val="none"/>
          <w:shd w:val="clear" w:color="auto" w:fill="auto"/>
        </w:rPr>
        <w:t>1</w:t>
      </w:r>
      <w:r>
        <w:rPr>
          <w:rStyle w:val="39"/>
          <w:rFonts w:ascii="宋体" w:hAnsi="宋体"/>
          <w:color w:val="auto"/>
          <w:highlight w:val="none"/>
          <w:shd w:val="clear" w:color="auto" w:fill="auto"/>
        </w:rPr>
        <w:t>0.4本项目</w:t>
      </w:r>
      <w:r>
        <w:rPr>
          <w:rStyle w:val="39"/>
          <w:rFonts w:hint="eastAsia" w:ascii="宋体" w:hAnsi="宋体"/>
          <w:color w:val="auto"/>
          <w:highlight w:val="none"/>
          <w:shd w:val="clear" w:color="auto" w:fill="auto"/>
        </w:rPr>
        <w:t>客户化源代码的知识产权归甲方单独所有，其余部分归双方共有。</w:t>
      </w:r>
    </w:p>
    <w:p w14:paraId="3EB90506">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highlight w:val="none"/>
          <w:shd w:val="clear" w:color="auto" w:fill="auto"/>
        </w:rPr>
        <w:t>1</w:t>
      </w:r>
      <w:r>
        <w:rPr>
          <w:rStyle w:val="39"/>
          <w:rFonts w:ascii="宋体" w:hAnsi="宋体"/>
          <w:color w:val="auto"/>
          <w:highlight w:val="none"/>
          <w:shd w:val="clear" w:color="auto" w:fill="auto"/>
        </w:rPr>
        <w:t>0.4.1</w:t>
      </w:r>
      <w:r>
        <w:rPr>
          <w:rStyle w:val="39"/>
          <w:rFonts w:hint="eastAsia" w:ascii="宋体" w:hAnsi="宋体"/>
          <w:color w:val="auto"/>
          <w:kern w:val="0"/>
          <w:highlight w:val="none"/>
          <w:shd w:val="clear" w:color="auto" w:fill="auto"/>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B57278C">
      <w:pPr>
        <w:spacing w:line="360" w:lineRule="auto"/>
        <w:ind w:firstLine="480"/>
        <w:rPr>
          <w:rStyle w:val="39"/>
          <w:rFonts w:ascii="宋体" w:hAnsi="宋体"/>
          <w:color w:val="auto"/>
          <w:highlight w:val="none"/>
          <w:shd w:val="clear" w:color="auto" w:fill="auto"/>
        </w:rPr>
      </w:pPr>
      <w:r>
        <w:rPr>
          <w:rStyle w:val="39"/>
          <w:rFonts w:ascii="宋体" w:hAnsi="宋体"/>
          <w:color w:val="auto"/>
          <w:highlight w:val="none"/>
          <w:shd w:val="clear" w:color="auto" w:fill="auto"/>
        </w:rPr>
        <w:t>10.4.2</w:t>
      </w:r>
      <w:r>
        <w:rPr>
          <w:rStyle w:val="39"/>
          <w:rFonts w:hint="eastAsia" w:ascii="宋体" w:hAnsi="宋体"/>
          <w:color w:val="auto"/>
          <w:highlight w:val="none"/>
          <w:shd w:val="clear" w:color="auto" w:fill="auto"/>
        </w:rPr>
        <w:t>针对共有部分，甲方拥有在甲方及其分支机构使用及后续开发的权利，</w:t>
      </w:r>
      <w:r>
        <w:rPr>
          <w:rFonts w:hint="eastAsia" w:ascii="宋体"/>
          <w:color w:val="auto"/>
          <w:highlight w:val="none"/>
          <w:shd w:val="clear" w:color="auto" w:fill="auto"/>
        </w:rPr>
        <w:t>甲方在乙方交付的系统版本上进行自主开发或交由第三方公司开发，开发成果的知识产权归甲方所有。</w:t>
      </w:r>
      <w:r>
        <w:rPr>
          <w:rStyle w:val="39"/>
          <w:rFonts w:hint="eastAsia" w:ascii="宋体" w:hAnsi="宋体"/>
          <w:color w:val="auto"/>
          <w:highlight w:val="none"/>
          <w:shd w:val="clear" w:color="auto" w:fill="auto"/>
        </w:rPr>
        <w:t>乙方拥有在其公司和其他组织范围内使用的权利，但乙方使用时不得侵犯甲方利益。</w:t>
      </w:r>
    </w:p>
    <w:p w14:paraId="395BA082">
      <w:pPr>
        <w:spacing w:line="360" w:lineRule="auto"/>
        <w:ind w:firstLine="480"/>
        <w:rPr>
          <w:rStyle w:val="39"/>
          <w:rFonts w:ascii="宋体" w:hAnsi="宋体"/>
          <w:color w:val="auto"/>
          <w:highlight w:val="none"/>
          <w:shd w:val="clear" w:color="auto" w:fill="auto"/>
        </w:rPr>
      </w:pPr>
      <w:r>
        <w:rPr>
          <w:rStyle w:val="39"/>
          <w:rFonts w:ascii="宋体" w:hAnsi="宋体"/>
          <w:color w:val="auto"/>
          <w:highlight w:val="none"/>
          <w:shd w:val="clear" w:color="auto" w:fill="auto"/>
        </w:rPr>
        <w:t>10.4.</w:t>
      </w:r>
      <w:r>
        <w:rPr>
          <w:rStyle w:val="39"/>
          <w:rFonts w:hint="eastAsia" w:ascii="宋体" w:hAnsi="宋体"/>
          <w:color w:val="auto"/>
          <w:highlight w:val="none"/>
          <w:shd w:val="clear" w:color="auto" w:fill="auto"/>
        </w:rPr>
        <w:t>3</w:t>
      </w:r>
      <w:r>
        <w:rPr>
          <w:rStyle w:val="39"/>
          <w:rFonts w:hint="eastAsia"/>
          <w:color w:val="auto"/>
          <w:highlight w:val="none"/>
          <w:shd w:val="clear" w:color="auto" w:fill="auto"/>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230881B">
      <w:pPr>
        <w:spacing w:line="360" w:lineRule="auto"/>
        <w:ind w:firstLine="480"/>
        <w:rPr>
          <w:rFonts w:ascii="宋体"/>
          <w:color w:val="auto"/>
          <w:kern w:val="0"/>
          <w:highlight w:val="none"/>
          <w:shd w:val="clear" w:color="auto" w:fill="auto"/>
        </w:rPr>
      </w:pPr>
    </w:p>
    <w:p w14:paraId="6E52795A">
      <w:pPr>
        <w:spacing w:line="360" w:lineRule="auto"/>
        <w:ind w:firstLine="482"/>
        <w:rPr>
          <w:rFonts w:ascii="宋体"/>
          <w:b/>
          <w:color w:val="auto"/>
          <w:highlight w:val="none"/>
          <w:shd w:val="clear" w:color="auto" w:fill="auto"/>
        </w:rPr>
      </w:pPr>
    </w:p>
    <w:p w14:paraId="4B3B1E91">
      <w:pPr>
        <w:spacing w:line="360" w:lineRule="auto"/>
        <w:ind w:firstLine="472" w:firstLineChars="196"/>
        <w:outlineLvl w:val="0"/>
        <w:rPr>
          <w:rFonts w:ascii="宋体"/>
          <w:b/>
          <w:color w:val="auto"/>
          <w:highlight w:val="none"/>
          <w:shd w:val="clear" w:color="auto" w:fill="auto"/>
        </w:rPr>
      </w:pPr>
      <w:bookmarkStart w:id="396" w:name="_Toc32234"/>
      <w:bookmarkStart w:id="397" w:name="_Toc18300"/>
      <w:r>
        <w:rPr>
          <w:rFonts w:hint="eastAsia" w:ascii="宋体"/>
          <w:b/>
          <w:color w:val="auto"/>
          <w:highlight w:val="none"/>
          <w:shd w:val="clear" w:color="auto" w:fill="auto"/>
        </w:rPr>
        <w:t>第十一条  第三方索赔</w:t>
      </w:r>
      <w:bookmarkEnd w:id="396"/>
      <w:bookmarkEnd w:id="397"/>
    </w:p>
    <w:p w14:paraId="2C8CF97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460EAAA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11.2对于第11.1条涉及的侵权索赔，乙方将承担全部费用，包括</w:t>
      </w:r>
      <w:r>
        <w:rPr>
          <w:rStyle w:val="39"/>
          <w:rFonts w:hint="eastAsia" w:ascii="宋体" w:hAnsi="宋体"/>
          <w:color w:val="auto"/>
          <w:kern w:val="0"/>
          <w:highlight w:val="none"/>
          <w:shd w:val="clear" w:color="auto" w:fill="auto"/>
        </w:rPr>
        <w:t>诉讼费、仲裁费、甲方支付的律师费、差旅住宿费、公证费、鉴定费、调解费及仲裁裁决、法院判决或调解协议中由甲方承担的赔偿金。</w:t>
      </w:r>
    </w:p>
    <w:p w14:paraId="35AF650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39"/>
          <w:rFonts w:hint="eastAsia" w:ascii="宋体" w:hAnsi="宋体"/>
          <w:color w:val="auto"/>
          <w:kern w:val="0"/>
          <w:highlight w:val="none"/>
          <w:shd w:val="clear" w:color="auto" w:fill="auto"/>
        </w:rPr>
        <w:t>部损失</w:t>
      </w:r>
      <w:r>
        <w:rPr>
          <w:rFonts w:hint="eastAsia" w:ascii="宋体"/>
          <w:color w:val="auto"/>
          <w:highlight w:val="none"/>
          <w:shd w:val="clear" w:color="auto" w:fill="auto"/>
        </w:rPr>
        <w:t>。</w:t>
      </w:r>
    </w:p>
    <w:p w14:paraId="0D898CA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11.4乙方对由以下非乙方的过错引起的侵权索赔不承担责任：</w:t>
      </w:r>
    </w:p>
    <w:p w14:paraId="2AA4CD01">
      <w:pPr>
        <w:spacing w:line="360" w:lineRule="auto"/>
        <w:ind w:firstLine="480"/>
        <w:rPr>
          <w:rFonts w:ascii="宋体"/>
          <w:color w:val="auto"/>
          <w:highlight w:val="none"/>
          <w:shd w:val="clear" w:color="auto" w:fill="auto"/>
        </w:rPr>
      </w:pPr>
      <w:r>
        <w:rPr>
          <w:rStyle w:val="39"/>
          <w:rFonts w:hint="eastAsia" w:ascii="宋体" w:hAnsi="宋体"/>
          <w:color w:val="auto"/>
          <w:kern w:val="0"/>
          <w:highlight w:val="none"/>
          <w:shd w:val="clear" w:color="auto" w:fill="auto"/>
        </w:rPr>
        <w:t>11.4.1 甲方使用不当所造成的侵权。</w:t>
      </w:r>
    </w:p>
    <w:p w14:paraId="14662FC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11.4.2 因甲方或第三方对开发软件或资料进行修改所直接造成的侵权。</w:t>
      </w:r>
    </w:p>
    <w:p w14:paraId="317E68CF">
      <w:pPr>
        <w:spacing w:line="360" w:lineRule="auto"/>
        <w:ind w:left="840" w:hanging="840" w:firstLineChars="0"/>
        <w:rPr>
          <w:rFonts w:ascii="宋体"/>
          <w:color w:val="auto"/>
          <w:highlight w:val="none"/>
          <w:shd w:val="clear" w:color="auto" w:fill="auto"/>
        </w:rPr>
      </w:pPr>
    </w:p>
    <w:p w14:paraId="74EDC989">
      <w:pPr>
        <w:spacing w:line="360" w:lineRule="auto"/>
        <w:ind w:firstLine="472" w:firstLineChars="196"/>
        <w:outlineLvl w:val="0"/>
        <w:rPr>
          <w:rFonts w:ascii="宋体"/>
          <w:b/>
          <w:color w:val="auto"/>
          <w:highlight w:val="none"/>
          <w:shd w:val="clear" w:color="auto" w:fill="auto"/>
        </w:rPr>
      </w:pPr>
      <w:bookmarkStart w:id="398" w:name="_Toc31158"/>
      <w:bookmarkStart w:id="399" w:name="_Toc19424"/>
      <w:r>
        <w:rPr>
          <w:rFonts w:hint="eastAsia" w:ascii="宋体"/>
          <w:b/>
          <w:color w:val="auto"/>
          <w:highlight w:val="none"/>
          <w:shd w:val="clear" w:color="auto" w:fill="auto"/>
        </w:rPr>
        <w:t>第十二条  保密</w:t>
      </w:r>
      <w:bookmarkEnd w:id="398"/>
      <w:bookmarkEnd w:id="399"/>
    </w:p>
    <w:p w14:paraId="7584FDF2">
      <w:pPr>
        <w:spacing w:line="360" w:lineRule="auto"/>
        <w:ind w:firstLine="480"/>
        <w:rPr>
          <w:rFonts w:ascii="宋体"/>
          <w:bCs/>
          <w:color w:val="auto"/>
          <w:kern w:val="0"/>
          <w:highlight w:val="none"/>
          <w:shd w:val="clear" w:color="auto" w:fill="auto"/>
        </w:rPr>
      </w:pPr>
      <w:r>
        <w:rPr>
          <w:rFonts w:hint="eastAsia" w:ascii="宋体"/>
          <w:bCs/>
          <w:color w:val="auto"/>
          <w:kern w:val="0"/>
          <w:highlight w:val="none"/>
          <w:shd w:val="clear" w:color="auto" w:fill="auto"/>
        </w:rPr>
        <w:t>12.1乙方须对本合同项下的所有条款保密。乙方人员入场前须与甲方签订相应诚信安全承诺书。</w:t>
      </w:r>
    </w:p>
    <w:p w14:paraId="407C54E0">
      <w:pPr>
        <w:tabs>
          <w:tab w:val="left" w:pos="1134"/>
          <w:tab w:val="clear" w:pos="-111"/>
        </w:tabs>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w:t>
      </w:r>
      <w:r>
        <w:rPr>
          <w:rFonts w:ascii="宋体"/>
          <w:color w:val="auto"/>
          <w:kern w:val="0"/>
          <w:highlight w:val="none"/>
          <w:shd w:val="clear" w:color="auto" w:fill="auto"/>
        </w:rPr>
        <w:t>2</w:t>
      </w:r>
      <w:r>
        <w:rPr>
          <w:rFonts w:hint="eastAsia" w:ascii="宋体"/>
          <w:color w:val="auto"/>
          <w:kern w:val="0"/>
          <w:highlight w:val="none"/>
          <w:shd w:val="clear" w:color="auto" w:fill="auto"/>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75D21CD4">
      <w:pPr>
        <w:spacing w:line="360" w:lineRule="auto"/>
        <w:ind w:firstLine="480"/>
        <w:rPr>
          <w:rFonts w:ascii="宋体"/>
          <w:bCs/>
          <w:color w:val="auto"/>
          <w:kern w:val="0"/>
          <w:highlight w:val="none"/>
          <w:shd w:val="clear" w:color="auto" w:fill="auto"/>
        </w:rPr>
      </w:pPr>
      <w:r>
        <w:rPr>
          <w:rFonts w:hint="eastAsia" w:ascii="宋体"/>
          <w:bCs/>
          <w:color w:val="auto"/>
          <w:kern w:val="0"/>
          <w:highlight w:val="none"/>
          <w:shd w:val="clear" w:color="auto" w:fill="auto"/>
        </w:rPr>
        <w:t>12.</w:t>
      </w:r>
      <w:r>
        <w:rPr>
          <w:rFonts w:ascii="宋体"/>
          <w:bCs/>
          <w:color w:val="auto"/>
          <w:kern w:val="0"/>
          <w:highlight w:val="none"/>
          <w:shd w:val="clear" w:color="auto" w:fill="auto"/>
        </w:rPr>
        <w:t>3</w:t>
      </w:r>
      <w:r>
        <w:rPr>
          <w:rFonts w:hint="eastAsia" w:ascii="宋体"/>
          <w:bCs/>
          <w:color w:val="auto"/>
          <w:kern w:val="0"/>
          <w:highlight w:val="none"/>
          <w:shd w:val="clear" w:color="auto" w:fill="auto"/>
        </w:rPr>
        <w:t xml:space="preserve"> 乙方不得以甲方名义开展活动，不得将甲方数据、信息以任何形式转移、挪用或谋取合同约定以外的利益。</w:t>
      </w:r>
    </w:p>
    <w:p w14:paraId="00114857">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12.4乙方知道违反本条规定将给甲方客户权利以及甲方造成难以弥补的损失，为此同意承担由此产生的经济上和法律上的责任和损失。</w:t>
      </w:r>
    </w:p>
    <w:p w14:paraId="40A07A14">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12.5乙方承认本合同中的技术资料和技术秘密为甲方所专有，将其对乙方进行披露并不意味着任何所有权、专利权的转让。</w:t>
      </w:r>
    </w:p>
    <w:p w14:paraId="2FFC28F6">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0CE200C">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FB0AC58">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12.8除非甲方特别声明，乙方对于保密信息的保密义务为无限期保密，直至甲方宣布解密或者保密信息实际上已经公开。</w:t>
      </w:r>
    </w:p>
    <w:p w14:paraId="01390B06">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12.9 本合同项下乙方人员行为视为乙方行为，乙方应承担全部责任及损失。当客户信息不安全或客户权利受到重大不利影响时，甲方有权随时终止合同。</w:t>
      </w:r>
    </w:p>
    <w:p w14:paraId="28EE33AC">
      <w:pPr>
        <w:spacing w:line="360" w:lineRule="auto"/>
        <w:ind w:left="1440" w:leftChars="200" w:hanging="960" w:hangingChars="400"/>
        <w:rPr>
          <w:rFonts w:ascii="宋体"/>
          <w:color w:val="auto"/>
          <w:highlight w:val="none"/>
          <w:shd w:val="clear" w:color="auto" w:fill="auto"/>
        </w:rPr>
      </w:pPr>
    </w:p>
    <w:p w14:paraId="4FE386C2">
      <w:pPr>
        <w:spacing w:line="360" w:lineRule="auto"/>
        <w:ind w:firstLine="472" w:firstLineChars="196"/>
        <w:outlineLvl w:val="0"/>
        <w:rPr>
          <w:rFonts w:ascii="宋体"/>
          <w:b/>
          <w:color w:val="auto"/>
          <w:highlight w:val="none"/>
          <w:shd w:val="clear" w:color="auto" w:fill="auto"/>
        </w:rPr>
      </w:pPr>
      <w:bookmarkStart w:id="400" w:name="_Toc3753"/>
      <w:bookmarkStart w:id="401" w:name="_Toc32218"/>
      <w:r>
        <w:rPr>
          <w:rFonts w:hint="eastAsia" w:ascii="宋体"/>
          <w:b/>
          <w:color w:val="auto"/>
          <w:highlight w:val="none"/>
          <w:shd w:val="clear" w:color="auto" w:fill="auto"/>
        </w:rPr>
        <w:t>第十三条  价格与支付</w:t>
      </w:r>
      <w:bookmarkEnd w:id="400"/>
      <w:bookmarkEnd w:id="401"/>
    </w:p>
    <w:p w14:paraId="0C7E8A92">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13.1本项目产品实施总金额（价税合计）为</w:t>
      </w:r>
      <w:r>
        <w:rPr>
          <w:rStyle w:val="39"/>
          <w:rFonts w:hint="eastAsia" w:ascii="宋体" w:hAnsi="宋体"/>
          <w:color w:val="auto"/>
          <w:kern w:val="0"/>
          <w:highlight w:val="none"/>
          <w:u w:val="single"/>
          <w:shd w:val="clear" w:color="auto" w:fill="auto"/>
        </w:rPr>
        <w:t xml:space="preserve">       </w:t>
      </w:r>
      <w:r>
        <w:rPr>
          <w:rStyle w:val="39"/>
          <w:rFonts w:hint="eastAsia" w:ascii="宋体" w:hAnsi="宋体"/>
          <w:color w:val="auto"/>
          <w:szCs w:val="2"/>
          <w:highlight w:val="none"/>
          <w:u w:val="single"/>
          <w:shd w:val="clear" w:color="auto" w:fill="auto"/>
        </w:rPr>
        <w:t>元</w:t>
      </w:r>
      <w:r>
        <w:rPr>
          <w:rStyle w:val="39"/>
          <w:rFonts w:hint="eastAsia" w:ascii="宋体" w:hAnsi="宋体"/>
          <w:color w:val="auto"/>
          <w:kern w:val="0"/>
          <w:highlight w:val="none"/>
          <w:u w:val="single"/>
          <w:shd w:val="clear" w:color="auto" w:fill="auto"/>
        </w:rPr>
        <w:t>（大写：         元整）</w:t>
      </w:r>
      <w:r>
        <w:rPr>
          <w:rStyle w:val="39"/>
          <w:rFonts w:hint="eastAsia" w:ascii="宋体" w:hAnsi="宋体"/>
          <w:color w:val="auto"/>
          <w:kern w:val="0"/>
          <w:highlight w:val="none"/>
          <w:shd w:val="clear" w:color="auto" w:fill="auto"/>
        </w:rPr>
        <w:t>。</w:t>
      </w:r>
      <w:r>
        <w:rPr>
          <w:rStyle w:val="39"/>
          <w:rFonts w:hint="eastAsia" w:ascii="宋体" w:hAnsi="宋体"/>
          <w:color w:val="auto"/>
          <w:szCs w:val="2"/>
          <w:highlight w:val="none"/>
          <w:shd w:val="clear" w:color="auto" w:fill="auto"/>
        </w:rPr>
        <w:t>不含税价为：</w:t>
      </w:r>
      <w:r>
        <w:rPr>
          <w:rStyle w:val="39"/>
          <w:rFonts w:hint="eastAsia" w:ascii="宋体" w:hAnsi="宋体"/>
          <w:color w:val="auto"/>
          <w:szCs w:val="2"/>
          <w:highlight w:val="none"/>
          <w:u w:val="single"/>
          <w:shd w:val="clear" w:color="auto" w:fill="auto"/>
        </w:rPr>
        <w:t xml:space="preserve">       元</w:t>
      </w:r>
      <w:r>
        <w:rPr>
          <w:rStyle w:val="39"/>
          <w:rFonts w:hint="eastAsia" w:ascii="宋体" w:hAnsi="宋体"/>
          <w:color w:val="auto"/>
          <w:szCs w:val="2"/>
          <w:highlight w:val="none"/>
          <w:shd w:val="clear" w:color="auto" w:fill="auto"/>
        </w:rPr>
        <w:t>（</w:t>
      </w:r>
      <w:r>
        <w:rPr>
          <w:rStyle w:val="39"/>
          <w:rFonts w:hint="eastAsia" w:ascii="宋体" w:hAnsi="宋体"/>
          <w:color w:val="auto"/>
          <w:szCs w:val="2"/>
          <w:highlight w:val="none"/>
          <w:u w:val="single"/>
          <w:shd w:val="clear" w:color="auto" w:fill="auto"/>
        </w:rPr>
        <w:t>大写：         整）</w:t>
      </w:r>
      <w:r>
        <w:rPr>
          <w:rStyle w:val="39"/>
          <w:rFonts w:hint="eastAsia" w:ascii="宋体" w:hAnsi="宋体"/>
          <w:color w:val="auto"/>
          <w:szCs w:val="2"/>
          <w:highlight w:val="none"/>
          <w:shd w:val="clear" w:color="auto" w:fill="auto"/>
        </w:rPr>
        <w:t>,税额为：</w:t>
      </w:r>
      <w:r>
        <w:rPr>
          <w:rStyle w:val="39"/>
          <w:rFonts w:hint="eastAsia" w:ascii="宋体" w:hAnsi="宋体"/>
          <w:color w:val="auto"/>
          <w:szCs w:val="2"/>
          <w:highlight w:val="none"/>
          <w:u w:val="single"/>
          <w:shd w:val="clear" w:color="auto" w:fill="auto"/>
        </w:rPr>
        <w:t xml:space="preserve">       元</w:t>
      </w:r>
      <w:r>
        <w:rPr>
          <w:rStyle w:val="39"/>
          <w:rFonts w:hint="eastAsia" w:ascii="宋体" w:hAnsi="宋体"/>
          <w:color w:val="auto"/>
          <w:szCs w:val="2"/>
          <w:highlight w:val="none"/>
          <w:shd w:val="clear" w:color="auto" w:fill="auto"/>
        </w:rPr>
        <w:t>（</w:t>
      </w:r>
      <w:r>
        <w:rPr>
          <w:rStyle w:val="39"/>
          <w:rFonts w:hint="eastAsia" w:ascii="宋体" w:hAnsi="宋体"/>
          <w:color w:val="auto"/>
          <w:szCs w:val="2"/>
          <w:highlight w:val="none"/>
          <w:u w:val="single"/>
          <w:shd w:val="clear" w:color="auto" w:fill="auto"/>
        </w:rPr>
        <w:t>大写：         整）</w:t>
      </w:r>
      <w:r>
        <w:rPr>
          <w:rStyle w:val="39"/>
          <w:rFonts w:hint="eastAsia" w:ascii="宋体" w:hAnsi="宋体"/>
          <w:color w:val="auto"/>
          <w:szCs w:val="2"/>
          <w:highlight w:val="none"/>
          <w:shd w:val="clear" w:color="auto" w:fill="auto"/>
        </w:rPr>
        <w:t>；不含税价格不因国家税率变化而变化，若在合同履行期间，如遇国家的税率调整，则价税合计应相应调整，以开具发票的时间为准。</w:t>
      </w:r>
      <w:r>
        <w:rPr>
          <w:rStyle w:val="39"/>
          <w:rFonts w:hint="eastAsia" w:ascii="宋体" w:hAnsi="宋体"/>
          <w:color w:val="auto"/>
          <w:kern w:val="0"/>
          <w:highlight w:val="none"/>
          <w:shd w:val="clear" w:color="auto" w:fill="auto"/>
        </w:rPr>
        <w:t>该金额为本合同约定项目的全部费用，除双方另有约定外，甲方无须向乙方支付其他任何费用。</w:t>
      </w:r>
    </w:p>
    <w:p w14:paraId="3CA1BEFD">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13.2支付方式：</w:t>
      </w:r>
    </w:p>
    <w:p w14:paraId="591BD11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本合同实施款项采用分期付款：</w:t>
      </w:r>
    </w:p>
    <w:p w14:paraId="2D43BDD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13.2.1项目安装、调试并投入试运行后30个工作日内,乙方向甲方提供合法足额的增值税专用发票，甲方向乙方支付合同总额的60％，即</w:t>
      </w:r>
      <w:r>
        <w:rPr>
          <w:rFonts w:hint="eastAsia" w:ascii="宋体"/>
          <w:color w:val="auto"/>
          <w:highlight w:val="none"/>
          <w:u w:val="single"/>
          <w:shd w:val="clear" w:color="auto" w:fill="auto"/>
        </w:rPr>
        <w:t xml:space="preserve">       </w:t>
      </w:r>
      <w:r>
        <w:rPr>
          <w:rFonts w:hint="eastAsia" w:ascii="宋体"/>
          <w:color w:val="auto"/>
          <w:highlight w:val="none"/>
          <w:shd w:val="clear" w:color="auto" w:fill="auto"/>
        </w:rPr>
        <w:t>元（大写：</w:t>
      </w:r>
      <w:r>
        <w:rPr>
          <w:rFonts w:hint="eastAsia" w:ascii="宋体"/>
          <w:color w:val="auto"/>
          <w:highlight w:val="none"/>
          <w:u w:val="single"/>
          <w:shd w:val="clear" w:color="auto" w:fill="auto"/>
        </w:rPr>
        <w:t xml:space="preserve">      元整 </w:t>
      </w:r>
      <w:r>
        <w:rPr>
          <w:rFonts w:hint="eastAsia" w:ascii="宋体"/>
          <w:color w:val="auto"/>
          <w:highlight w:val="none"/>
          <w:shd w:val="clear" w:color="auto" w:fill="auto"/>
        </w:rPr>
        <w:t>）。</w:t>
      </w:r>
    </w:p>
    <w:p w14:paraId="6032592E">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kern w:val="0"/>
          <w:highlight w:val="none"/>
          <w:shd w:val="clear" w:color="auto" w:fill="auto"/>
        </w:rPr>
        <w:t>，</w:t>
      </w:r>
      <w:r>
        <w:rPr>
          <w:rFonts w:hint="eastAsia" w:ascii="宋体"/>
          <w:color w:val="auto"/>
          <w:highlight w:val="none"/>
          <w:shd w:val="clear" w:color="auto" w:fill="auto"/>
        </w:rPr>
        <w:t>即</w:t>
      </w:r>
      <w:r>
        <w:rPr>
          <w:rFonts w:hint="eastAsia" w:ascii="宋体"/>
          <w:color w:val="auto"/>
          <w:highlight w:val="none"/>
          <w:u w:val="single"/>
          <w:shd w:val="clear" w:color="auto" w:fill="auto"/>
        </w:rPr>
        <w:t xml:space="preserve">        </w:t>
      </w:r>
      <w:r>
        <w:rPr>
          <w:rFonts w:hint="eastAsia" w:ascii="宋体"/>
          <w:color w:val="auto"/>
          <w:highlight w:val="none"/>
          <w:shd w:val="clear" w:color="auto" w:fill="auto"/>
        </w:rPr>
        <w:t>元（大写：</w:t>
      </w:r>
      <w:r>
        <w:rPr>
          <w:rFonts w:hint="eastAsia" w:ascii="宋体"/>
          <w:color w:val="auto"/>
          <w:highlight w:val="none"/>
          <w:u w:val="single"/>
          <w:shd w:val="clear" w:color="auto" w:fill="auto"/>
        </w:rPr>
        <w:t xml:space="preserve">          元整 </w:t>
      </w:r>
      <w:r>
        <w:rPr>
          <w:rFonts w:hint="eastAsia" w:ascii="宋体"/>
          <w:color w:val="auto"/>
          <w:highlight w:val="none"/>
          <w:shd w:val="clear" w:color="auto" w:fill="auto"/>
        </w:rPr>
        <w:t>），否则按《服务水平协议（SLA）》进行相应金额扣除。</w:t>
      </w:r>
    </w:p>
    <w:p w14:paraId="6F48B6B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color w:val="auto"/>
          <w:highlight w:val="none"/>
          <w:u w:val="single"/>
          <w:shd w:val="clear" w:color="auto" w:fill="auto"/>
        </w:rPr>
        <w:t xml:space="preserve">      </w:t>
      </w:r>
      <w:r>
        <w:rPr>
          <w:rFonts w:hint="eastAsia" w:ascii="宋体"/>
          <w:color w:val="auto"/>
          <w:highlight w:val="none"/>
          <w:shd w:val="clear" w:color="auto" w:fill="auto"/>
        </w:rPr>
        <w:t>元（大写：</w:t>
      </w:r>
      <w:r>
        <w:rPr>
          <w:rFonts w:hint="eastAsia" w:ascii="宋体"/>
          <w:color w:val="auto"/>
          <w:highlight w:val="none"/>
          <w:u w:val="single"/>
          <w:shd w:val="clear" w:color="auto" w:fill="auto"/>
        </w:rPr>
        <w:t xml:space="preserve">      元整 </w:t>
      </w:r>
      <w:r>
        <w:rPr>
          <w:rFonts w:hint="eastAsia" w:ascii="宋体"/>
          <w:color w:val="auto"/>
          <w:highlight w:val="none"/>
          <w:shd w:val="clear" w:color="auto" w:fill="auto"/>
        </w:rPr>
        <w:t>），否则按《服务水平协议（SLA）》进行相应金额扣除（13.2.2中已扣除部分，本条不重复扣减）。</w:t>
      </w:r>
    </w:p>
    <w:p w14:paraId="7A739E15">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13.3发票要求：</w:t>
      </w:r>
    </w:p>
    <w:p w14:paraId="396E4A7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乙方须严格按照合同内容开具税率为</w:t>
      </w:r>
      <w:r>
        <w:rPr>
          <w:rFonts w:hint="eastAsia" w:ascii="宋体"/>
          <w:b/>
          <w:color w:val="auto"/>
          <w:highlight w:val="none"/>
          <w:shd w:val="clear" w:color="auto" w:fill="auto"/>
        </w:rPr>
        <w:t>6%</w:t>
      </w:r>
      <w:r>
        <w:rPr>
          <w:rFonts w:hint="eastAsia" w:ascii="宋体"/>
          <w:color w:val="auto"/>
          <w:highlight w:val="none"/>
          <w:shd w:val="clear" w:color="auto" w:fill="auto"/>
        </w:rPr>
        <w:t>的增值税专用发票（若遇国家税率调整另议），乙方在甲方每次付款前30个工作日需向甲方交付合法足额发票，否则甲方有权拒绝支付任何费用且不承担逾期付款违约责任。</w:t>
      </w:r>
    </w:p>
    <w:p w14:paraId="04140D07">
      <w:pPr>
        <w:spacing w:line="360" w:lineRule="auto"/>
        <w:ind w:firstLine="480"/>
        <w:rPr>
          <w:rFonts w:ascii="宋体"/>
          <w:color w:val="auto"/>
          <w:highlight w:val="none"/>
          <w:shd w:val="clear" w:color="auto" w:fill="auto"/>
        </w:rPr>
      </w:pPr>
    </w:p>
    <w:p w14:paraId="0D4EDE6C">
      <w:pPr>
        <w:spacing w:line="360" w:lineRule="auto"/>
        <w:ind w:firstLine="472" w:firstLineChars="196"/>
        <w:outlineLvl w:val="0"/>
        <w:rPr>
          <w:rFonts w:ascii="宋体"/>
          <w:b/>
          <w:color w:val="auto"/>
          <w:highlight w:val="none"/>
          <w:shd w:val="clear" w:color="auto" w:fill="auto"/>
        </w:rPr>
      </w:pPr>
      <w:bookmarkStart w:id="402" w:name="_Toc6655"/>
      <w:bookmarkStart w:id="403" w:name="_Toc22884"/>
      <w:r>
        <w:rPr>
          <w:rFonts w:hint="eastAsia" w:ascii="宋体"/>
          <w:b/>
          <w:color w:val="auto"/>
          <w:highlight w:val="none"/>
          <w:shd w:val="clear" w:color="auto" w:fill="auto"/>
        </w:rPr>
        <w:t>第十四条  风险责任的承担</w:t>
      </w:r>
      <w:bookmarkEnd w:id="402"/>
      <w:bookmarkEnd w:id="403"/>
    </w:p>
    <w:p w14:paraId="51E889EB">
      <w:pPr>
        <w:tabs>
          <w:tab w:val="left" w:pos="6020"/>
          <w:tab w:val="clear" w:pos="-111"/>
        </w:tabs>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7915F877">
      <w:pPr>
        <w:tabs>
          <w:tab w:val="left" w:pos="6020"/>
          <w:tab w:val="clear" w:pos="-111"/>
        </w:tabs>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14.2乙方发现可能导致实施项目失败或者部分失败的情况时，应当及时通知甲方并采取适当措施减少损失；乙方没有及时通知甲方并采取适当措施致使措施扩大的，应当就扩大的损失承担责任。</w:t>
      </w:r>
    </w:p>
    <w:p w14:paraId="3130E42C">
      <w:pPr>
        <w:tabs>
          <w:tab w:val="left" w:pos="6020"/>
          <w:tab w:val="clear" w:pos="-111"/>
        </w:tabs>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4AF2BB92">
      <w:pPr>
        <w:tabs>
          <w:tab w:val="left" w:pos="6020"/>
          <w:tab w:val="clear" w:pos="-111"/>
        </w:tabs>
        <w:spacing w:line="360" w:lineRule="auto"/>
        <w:ind w:firstLine="560" w:firstLineChars="0"/>
        <w:rPr>
          <w:rFonts w:ascii="宋体"/>
          <w:color w:val="auto"/>
          <w:highlight w:val="none"/>
          <w:shd w:val="clear" w:color="auto" w:fill="auto"/>
        </w:rPr>
      </w:pPr>
      <w:r>
        <w:rPr>
          <w:rFonts w:hint="eastAsia" w:ascii="宋体"/>
          <w:color w:val="auto"/>
          <w:highlight w:val="none"/>
          <w:shd w:val="clear" w:color="auto" w:fill="auto"/>
        </w:rPr>
        <w:t>14.4乙方应确保提供的软件系统满足甲方的业务要求，如因乙方软件设计缺陷、瑕疵，或乙方开发的软件功能达不到甲方业务要求（例如在甲方业务开展过程中，出现不合规印章、或印章与预留不一致等情况，系统仍然判断为自动通过，导致甲方业务风险防控失效），因此给甲方带来损失的，乙方应当赔偿甲方因此遭受的损失。</w:t>
      </w:r>
      <w:bookmarkStart w:id="404" w:name="_Toc12254"/>
      <w:bookmarkStart w:id="405" w:name="_Toc9619"/>
    </w:p>
    <w:p w14:paraId="01ED51ED">
      <w:pPr>
        <w:spacing w:line="360" w:lineRule="auto"/>
        <w:ind w:firstLine="472" w:firstLineChars="196"/>
        <w:outlineLvl w:val="0"/>
        <w:rPr>
          <w:rFonts w:ascii="宋体"/>
          <w:b/>
          <w:color w:val="auto"/>
          <w:highlight w:val="none"/>
          <w:shd w:val="clear" w:color="auto" w:fill="auto"/>
        </w:rPr>
      </w:pPr>
      <w:r>
        <w:rPr>
          <w:rFonts w:hint="eastAsia" w:ascii="宋体"/>
          <w:b/>
          <w:color w:val="auto"/>
          <w:highlight w:val="none"/>
          <w:shd w:val="clear" w:color="auto" w:fill="auto"/>
        </w:rPr>
        <w:t xml:space="preserve">第十五条  </w:t>
      </w:r>
      <w:bookmarkStart w:id="406" w:name="_Toc58337511"/>
      <w:r>
        <w:rPr>
          <w:rFonts w:hint="eastAsia" w:ascii="宋体"/>
          <w:b/>
          <w:color w:val="auto"/>
          <w:highlight w:val="none"/>
          <w:shd w:val="clear" w:color="auto" w:fill="auto"/>
        </w:rPr>
        <w:t>违约与赔偿</w:t>
      </w:r>
      <w:bookmarkEnd w:id="404"/>
      <w:bookmarkEnd w:id="405"/>
      <w:bookmarkEnd w:id="406"/>
    </w:p>
    <w:p w14:paraId="7733E1EE">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15.1因甲方原因未按本合同规定支付第一期研究开发报酬，且经乙方合理催告后，仍无正当理由并逾期支付达【30】个工作日以上的，乙方有权解除合同。</w:t>
      </w:r>
    </w:p>
    <w:p w14:paraId="6C753B71">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15.2因甲方原因逾期支付第二期或第三期研究开发报酬的，自逾期一个月后的第二天起，每逾期一天支付应付逾期付款金额的万分之五的违约金，违约金总额不超过应付款额的5%。</w:t>
      </w:r>
    </w:p>
    <w:p w14:paraId="64CE5D8D">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26C21F7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15.4乙方应按本合同规定的研究开发进程完成开发项目。若因乙方自身原因未按时完成开发项目，则按照附件五《服务水平协议（SLA）》扣除延期违约金。</w:t>
      </w:r>
    </w:p>
    <w:p w14:paraId="20946F15">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15.5乙方未能完成甲方委托的开发项目或开发成果不符合本合同约定的要求，乙方承担本合同总额20%的违约金，并返还甲方已支付的研究开发费用。</w:t>
      </w:r>
    </w:p>
    <w:p w14:paraId="10C35C0E">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15.6乙方将甲方支付的研发经费用于履行合同以外的目的，甲方有权制止并要求其纠正。如因此造成本合同研究开发项目停滞、延误或失败的，乙方应当承担给甲方造成的损失赔偿责任。</w:t>
      </w:r>
    </w:p>
    <w:p w14:paraId="7205B9C0">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15.7除本条、附件五《服务水平协议（SLA）》及</w:t>
      </w:r>
      <w:r>
        <w:rPr>
          <w:rFonts w:ascii="宋体"/>
          <w:color w:val="auto"/>
          <w:highlight w:val="none"/>
          <w:shd w:val="clear" w:color="auto" w:fill="auto"/>
        </w:rPr>
        <w:t>其他条款</w:t>
      </w:r>
      <w:r>
        <w:rPr>
          <w:rFonts w:hint="eastAsia" w:ascii="宋体"/>
          <w:color w:val="auto"/>
          <w:highlight w:val="none"/>
          <w:shd w:val="clear" w:color="auto" w:fill="auto"/>
        </w:rPr>
        <w:t>另有约定外，乙方违反本合同任一条款的，应向甲方支付合同总额</w:t>
      </w:r>
      <w:r>
        <w:rPr>
          <w:rFonts w:ascii="宋体"/>
          <w:color w:val="auto"/>
          <w:highlight w:val="none"/>
          <w:shd w:val="clear" w:color="auto" w:fill="auto"/>
        </w:rPr>
        <w:t>5</w:t>
      </w:r>
      <w:r>
        <w:rPr>
          <w:rFonts w:hint="eastAsia" w:ascii="宋体"/>
          <w:color w:val="auto"/>
          <w:highlight w:val="none"/>
          <w:shd w:val="clear" w:color="auto" w:fill="auto"/>
        </w:rPr>
        <w:t>%的违约金并赔偿甲方产生的损失。</w:t>
      </w:r>
    </w:p>
    <w:p w14:paraId="612B2D7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15.8本合同项下乙方应支付的违约金、赔偿金等，甲方均有权从应支付给乙方的款项中优先扣除，若有不足，乙方应另行筹措资金补足。</w:t>
      </w:r>
    </w:p>
    <w:p w14:paraId="33CA5D05">
      <w:pPr>
        <w:spacing w:line="360" w:lineRule="auto"/>
        <w:ind w:left="1200" w:leftChars="200" w:hanging="720" w:hangingChars="300"/>
        <w:rPr>
          <w:rFonts w:ascii="宋体"/>
          <w:color w:val="auto"/>
          <w:highlight w:val="none"/>
          <w:shd w:val="clear" w:color="auto" w:fill="auto"/>
        </w:rPr>
      </w:pPr>
    </w:p>
    <w:p w14:paraId="25EF06FC">
      <w:pPr>
        <w:spacing w:line="360" w:lineRule="auto"/>
        <w:ind w:firstLine="472" w:firstLineChars="196"/>
        <w:outlineLvl w:val="0"/>
        <w:rPr>
          <w:rFonts w:ascii="宋体"/>
          <w:b/>
          <w:color w:val="auto"/>
          <w:highlight w:val="none"/>
          <w:shd w:val="clear" w:color="auto" w:fill="auto"/>
        </w:rPr>
      </w:pPr>
      <w:bookmarkStart w:id="407" w:name="_Toc28111"/>
      <w:bookmarkStart w:id="408" w:name="_Toc8332"/>
      <w:r>
        <w:rPr>
          <w:rFonts w:hint="eastAsia" w:ascii="宋体"/>
          <w:b/>
          <w:color w:val="auto"/>
          <w:highlight w:val="none"/>
          <w:shd w:val="clear" w:color="auto" w:fill="auto"/>
        </w:rPr>
        <w:t>第十六条  合同的解除和终止</w:t>
      </w:r>
      <w:bookmarkEnd w:id="407"/>
      <w:bookmarkEnd w:id="408"/>
    </w:p>
    <w:p w14:paraId="7CED8B5B">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16.1如果满足以下条件，任一方在通知对方后，都可以解除本合同。</w:t>
      </w:r>
    </w:p>
    <w:p w14:paraId="1701140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40CA11B">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（2）当一方按正常程序停止经营业务、破产、处于付款拖欠、延期偿付、公司重组或倒闭状况，或全部转让利润与债权人、书面承认无力偿还到期债务、委派清算人清算其业务或财产。</w:t>
      </w:r>
    </w:p>
    <w:p w14:paraId="5D653FC5">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16.2除本合同约定的情形外，甲方若认为乙方无法胜任本合同项下工作的，有权随时通知乙方后解除本合同。甲方除据实与乙方结算费用外，不承担其他违约责任。</w:t>
      </w:r>
    </w:p>
    <w:p w14:paraId="4968E808">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13757941">
      <w:pPr>
        <w:spacing w:line="360" w:lineRule="auto"/>
        <w:ind w:firstLine="482"/>
        <w:rPr>
          <w:rFonts w:ascii="宋体"/>
          <w:b/>
          <w:color w:val="auto"/>
          <w:highlight w:val="none"/>
          <w:shd w:val="clear" w:color="auto" w:fill="auto"/>
        </w:rPr>
      </w:pPr>
    </w:p>
    <w:p w14:paraId="20C933E7">
      <w:pPr>
        <w:spacing w:line="360" w:lineRule="auto"/>
        <w:ind w:firstLine="472" w:firstLineChars="196"/>
        <w:outlineLvl w:val="0"/>
        <w:rPr>
          <w:rFonts w:ascii="宋体"/>
          <w:b/>
          <w:color w:val="auto"/>
          <w:highlight w:val="none"/>
          <w:shd w:val="clear" w:color="auto" w:fill="auto"/>
        </w:rPr>
      </w:pPr>
      <w:bookmarkStart w:id="409" w:name="_Toc23873"/>
      <w:bookmarkStart w:id="410" w:name="_Toc32700"/>
      <w:r>
        <w:rPr>
          <w:rFonts w:hint="eastAsia" w:ascii="宋体"/>
          <w:b/>
          <w:color w:val="auto"/>
          <w:highlight w:val="none"/>
          <w:shd w:val="clear" w:color="auto" w:fill="auto"/>
        </w:rPr>
        <w:t>第十七条  合同变更及转让</w:t>
      </w:r>
      <w:bookmarkEnd w:id="409"/>
      <w:bookmarkEnd w:id="410"/>
    </w:p>
    <w:p w14:paraId="3EEC5A6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17.1对本合同及其附件的内容进行变更，必须经双方协商一致并签订补充协议，方能生效，本合同另有约定的除外。</w:t>
      </w:r>
    </w:p>
    <w:p w14:paraId="2FD99587">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17.2本合同双方在未取得对方事先书面同意的前提下，均不得将各自本合同项下的任何权利或义务转让给第三方。</w:t>
      </w:r>
    </w:p>
    <w:p w14:paraId="21C49A1D">
      <w:pPr>
        <w:spacing w:line="360" w:lineRule="auto"/>
        <w:ind w:firstLine="482"/>
        <w:rPr>
          <w:rFonts w:ascii="宋体"/>
          <w:b/>
          <w:color w:val="auto"/>
          <w:highlight w:val="none"/>
          <w:shd w:val="clear" w:color="auto" w:fill="auto"/>
        </w:rPr>
      </w:pPr>
    </w:p>
    <w:p w14:paraId="3A3BF8BB">
      <w:pPr>
        <w:spacing w:line="360" w:lineRule="auto"/>
        <w:ind w:firstLine="472" w:firstLineChars="196"/>
        <w:outlineLvl w:val="0"/>
        <w:rPr>
          <w:rFonts w:ascii="宋体"/>
          <w:b/>
          <w:color w:val="auto"/>
          <w:highlight w:val="none"/>
          <w:shd w:val="clear" w:color="auto" w:fill="auto"/>
        </w:rPr>
      </w:pPr>
      <w:bookmarkStart w:id="411" w:name="_Toc18277"/>
      <w:bookmarkStart w:id="412" w:name="_Toc31156"/>
      <w:r>
        <w:rPr>
          <w:rFonts w:hint="eastAsia" w:ascii="宋体"/>
          <w:b/>
          <w:color w:val="auto"/>
          <w:highlight w:val="none"/>
          <w:shd w:val="clear" w:color="auto" w:fill="auto"/>
        </w:rPr>
        <w:t>第十八条  争议解决</w:t>
      </w:r>
      <w:bookmarkEnd w:id="411"/>
      <w:bookmarkEnd w:id="412"/>
    </w:p>
    <w:p w14:paraId="002998A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或向本合同首部载明的甲方地址所在地有管辖权的人民法院起诉。</w:t>
      </w:r>
    </w:p>
    <w:p w14:paraId="47026B7A">
      <w:pPr>
        <w:spacing w:line="360" w:lineRule="auto"/>
        <w:ind w:firstLine="480"/>
        <w:rPr>
          <w:rFonts w:ascii="宋体"/>
          <w:color w:val="auto"/>
          <w:highlight w:val="none"/>
          <w:shd w:val="clear" w:color="auto" w:fill="auto"/>
        </w:rPr>
      </w:pPr>
    </w:p>
    <w:p w14:paraId="08860DC1">
      <w:pPr>
        <w:spacing w:line="360" w:lineRule="auto"/>
        <w:ind w:firstLine="472" w:firstLineChars="196"/>
        <w:outlineLvl w:val="0"/>
        <w:rPr>
          <w:rFonts w:ascii="宋体"/>
          <w:b/>
          <w:color w:val="auto"/>
          <w:highlight w:val="none"/>
          <w:shd w:val="clear" w:color="auto" w:fill="auto"/>
        </w:rPr>
      </w:pPr>
      <w:bookmarkStart w:id="413" w:name="_Toc23131"/>
      <w:bookmarkStart w:id="414" w:name="_Toc5647"/>
      <w:r>
        <w:rPr>
          <w:rFonts w:hint="eastAsia" w:ascii="宋体"/>
          <w:b/>
          <w:color w:val="auto"/>
          <w:highlight w:val="none"/>
          <w:shd w:val="clear" w:color="auto" w:fill="auto"/>
        </w:rPr>
        <w:t>第十九条 通知与送达</w:t>
      </w:r>
      <w:bookmarkEnd w:id="413"/>
      <w:bookmarkEnd w:id="414"/>
    </w:p>
    <w:p w14:paraId="58A34187">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38E6756">
      <w:pPr>
        <w:adjustRightInd w:val="0"/>
        <w:spacing w:line="336" w:lineRule="auto"/>
        <w:ind w:firstLine="537" w:firstLineChars="224"/>
        <w:rPr>
          <w:rFonts w:ascii="宋体"/>
          <w:color w:val="auto"/>
          <w:highlight w:val="none"/>
          <w:shd w:val="clear" w:color="auto" w:fill="auto"/>
        </w:rPr>
      </w:pPr>
      <w:r>
        <w:rPr>
          <w:rFonts w:hint="eastAsia" w:ascii="宋体"/>
          <w:color w:val="auto"/>
          <w:highlight w:val="none"/>
          <w:shd w:val="clear" w:color="auto" w:fill="auto"/>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2B0190EB">
      <w:pPr>
        <w:spacing w:line="360" w:lineRule="auto"/>
        <w:ind w:firstLine="480"/>
        <w:rPr>
          <w:rFonts w:ascii="宋体"/>
          <w:color w:val="auto"/>
          <w:highlight w:val="none"/>
          <w:shd w:val="clear" w:color="auto" w:fill="auto"/>
          <w:lang w:val="zh-CN"/>
        </w:rPr>
      </w:pPr>
    </w:p>
    <w:p w14:paraId="7885A0ED">
      <w:pPr>
        <w:spacing w:line="360" w:lineRule="auto"/>
        <w:ind w:firstLine="472" w:firstLineChars="196"/>
        <w:outlineLvl w:val="0"/>
        <w:rPr>
          <w:rFonts w:ascii="宋体"/>
          <w:b/>
          <w:color w:val="auto"/>
          <w:highlight w:val="none"/>
          <w:shd w:val="clear" w:color="auto" w:fill="auto"/>
        </w:rPr>
      </w:pPr>
      <w:bookmarkStart w:id="415" w:name="_Toc19794"/>
      <w:bookmarkStart w:id="416" w:name="_Toc8021"/>
      <w:r>
        <w:rPr>
          <w:rFonts w:hint="eastAsia" w:ascii="宋体"/>
          <w:b/>
          <w:color w:val="auto"/>
          <w:highlight w:val="none"/>
          <w:shd w:val="clear" w:color="auto" w:fill="auto"/>
        </w:rPr>
        <w:t>第二十条  合同生效</w:t>
      </w:r>
      <w:bookmarkEnd w:id="415"/>
      <w:bookmarkEnd w:id="416"/>
    </w:p>
    <w:p w14:paraId="5A06E4F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本合同自下列条件全部满足之日起生效：</w:t>
      </w:r>
    </w:p>
    <w:p w14:paraId="46F6F3F5">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双方对本合同及其全部附件内容达成一致并加盖公章。</w:t>
      </w:r>
    </w:p>
    <w:p w14:paraId="1FDB1E5D">
      <w:pPr>
        <w:spacing w:line="360" w:lineRule="auto"/>
        <w:ind w:firstLine="482"/>
        <w:rPr>
          <w:rFonts w:ascii="宋体"/>
          <w:b/>
          <w:color w:val="auto"/>
          <w:highlight w:val="none"/>
          <w:shd w:val="clear" w:color="auto" w:fill="auto"/>
        </w:rPr>
      </w:pPr>
    </w:p>
    <w:p w14:paraId="1E6773E1">
      <w:pPr>
        <w:spacing w:line="360" w:lineRule="auto"/>
        <w:ind w:firstLine="472" w:firstLineChars="196"/>
        <w:outlineLvl w:val="0"/>
        <w:rPr>
          <w:rFonts w:ascii="宋体"/>
          <w:b/>
          <w:color w:val="auto"/>
          <w:highlight w:val="none"/>
          <w:shd w:val="clear" w:color="auto" w:fill="auto"/>
        </w:rPr>
      </w:pPr>
      <w:bookmarkStart w:id="417" w:name="_Toc12579"/>
      <w:bookmarkStart w:id="418" w:name="_Toc20694"/>
      <w:r>
        <w:rPr>
          <w:rFonts w:hint="eastAsia" w:ascii="宋体"/>
          <w:b/>
          <w:color w:val="auto"/>
          <w:highlight w:val="none"/>
          <w:shd w:val="clear" w:color="auto" w:fill="auto"/>
        </w:rPr>
        <w:t>第二十一条  不可抗力</w:t>
      </w:r>
      <w:bookmarkEnd w:id="417"/>
      <w:bookmarkEnd w:id="418"/>
    </w:p>
    <w:p w14:paraId="56B57DB8">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21.1不可抗力是指本合同生效后，发生不能预见并且对其发生和后果不能防止或避免的事件，如地震、台风、水灾、火灾、战争、传染病等，致使直接影响本合同的履行或不能按约定的条件履行。</w:t>
      </w:r>
    </w:p>
    <w:p w14:paraId="4302D0D3">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21.2发生不可抗力的一方应立即通知对方，并在十五天内提供不可抗力的详情及将有关证明文件送交对方。</w:t>
      </w:r>
    </w:p>
    <w:p w14:paraId="23A115F9">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21.3发生不可抗力事件时，甲乙双方应协商以寻找一个合理的解决方法，并尽一切努力减轻不可抗力产生的后果。</w:t>
      </w:r>
    </w:p>
    <w:p w14:paraId="2F202623">
      <w:pPr>
        <w:spacing w:line="360" w:lineRule="auto"/>
        <w:ind w:firstLine="480"/>
        <w:rPr>
          <w:rFonts w:ascii="宋体"/>
          <w:color w:val="auto"/>
          <w:kern w:val="0"/>
          <w:highlight w:val="none"/>
          <w:shd w:val="clear" w:color="auto" w:fill="auto"/>
        </w:rPr>
      </w:pPr>
      <w:r>
        <w:rPr>
          <w:rFonts w:hint="eastAsia" w:ascii="宋体"/>
          <w:color w:val="auto"/>
          <w:kern w:val="0"/>
          <w:highlight w:val="none"/>
          <w:shd w:val="clear" w:color="auto" w:fill="auto"/>
        </w:rPr>
        <w:t>21.4如不可抗力事件持续三十天时，甲乙双方应友好协商解决本合同是否继续履行或终止的问题。</w:t>
      </w:r>
    </w:p>
    <w:p w14:paraId="52CB0BE1">
      <w:pPr>
        <w:spacing w:line="360" w:lineRule="auto"/>
        <w:ind w:firstLine="482"/>
        <w:rPr>
          <w:rFonts w:ascii="宋体"/>
          <w:b/>
          <w:color w:val="auto"/>
          <w:highlight w:val="none"/>
          <w:shd w:val="clear" w:color="auto" w:fill="auto"/>
        </w:rPr>
      </w:pPr>
    </w:p>
    <w:p w14:paraId="3D4D1474">
      <w:pPr>
        <w:spacing w:line="360" w:lineRule="auto"/>
        <w:ind w:firstLine="472" w:firstLineChars="196"/>
        <w:outlineLvl w:val="0"/>
        <w:rPr>
          <w:rFonts w:ascii="宋体"/>
          <w:b/>
          <w:color w:val="auto"/>
          <w:highlight w:val="none"/>
          <w:shd w:val="clear" w:color="auto" w:fill="auto"/>
        </w:rPr>
      </w:pPr>
      <w:bookmarkStart w:id="419" w:name="_Toc8063"/>
      <w:bookmarkStart w:id="420" w:name="_Toc2691"/>
      <w:r>
        <w:rPr>
          <w:rFonts w:hint="eastAsia" w:ascii="宋体"/>
          <w:b/>
          <w:color w:val="auto"/>
          <w:highlight w:val="none"/>
          <w:shd w:val="clear" w:color="auto" w:fill="auto"/>
        </w:rPr>
        <w:t>第二十二条  反商业贿赂</w:t>
      </w:r>
      <w:bookmarkEnd w:id="419"/>
      <w:bookmarkEnd w:id="420"/>
    </w:p>
    <w:p w14:paraId="15C210F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乙方不得对甲方或甲方任何员工有任何商业贿赂的行为，否则经查证属实后，乙方应对甲方赔付相当于合同总额50%的赔偿金。该条在法律允许的范围内，不受任何免责或限制责任的条款制约。</w:t>
      </w:r>
    </w:p>
    <w:p w14:paraId="26D29FF3">
      <w:pPr>
        <w:spacing w:line="360" w:lineRule="auto"/>
        <w:ind w:firstLine="482"/>
        <w:rPr>
          <w:rFonts w:ascii="宋体"/>
          <w:b/>
          <w:color w:val="auto"/>
          <w:highlight w:val="none"/>
          <w:shd w:val="clear" w:color="auto" w:fill="auto"/>
        </w:rPr>
      </w:pPr>
    </w:p>
    <w:p w14:paraId="082AFB16">
      <w:pPr>
        <w:spacing w:line="360" w:lineRule="auto"/>
        <w:ind w:firstLine="472" w:firstLineChars="196"/>
        <w:outlineLvl w:val="0"/>
        <w:rPr>
          <w:rFonts w:ascii="宋体"/>
          <w:b/>
          <w:color w:val="auto"/>
          <w:highlight w:val="none"/>
          <w:shd w:val="clear" w:color="auto" w:fill="auto"/>
        </w:rPr>
      </w:pPr>
      <w:bookmarkStart w:id="421" w:name="_Toc7316"/>
      <w:bookmarkStart w:id="422" w:name="_Toc19191"/>
      <w:r>
        <w:rPr>
          <w:rFonts w:hint="eastAsia" w:ascii="宋体"/>
          <w:b/>
          <w:color w:val="auto"/>
          <w:highlight w:val="none"/>
          <w:shd w:val="clear" w:color="auto" w:fill="auto"/>
        </w:rPr>
        <w:t>第二十三条  附件</w:t>
      </w:r>
      <w:bookmarkEnd w:id="421"/>
      <w:bookmarkEnd w:id="422"/>
    </w:p>
    <w:p w14:paraId="39D28D40">
      <w:pPr>
        <w:spacing w:line="360" w:lineRule="auto"/>
        <w:ind w:firstLine="559" w:firstLineChars="233"/>
        <w:rPr>
          <w:rFonts w:ascii="宋体"/>
          <w:color w:val="auto"/>
          <w:highlight w:val="none"/>
          <w:shd w:val="clear" w:color="auto" w:fill="auto"/>
        </w:rPr>
      </w:pPr>
      <w:r>
        <w:rPr>
          <w:rFonts w:hint="eastAsia" w:ascii="宋体"/>
          <w:color w:val="auto"/>
          <w:highlight w:val="none"/>
          <w:shd w:val="clear" w:color="auto" w:fill="auto"/>
        </w:rPr>
        <w:t>本合同的附件与合同正本具有同等法律效力，主合同与附件如有冲突，以主合同为准。本合同附件如下：</w:t>
      </w:r>
    </w:p>
    <w:p w14:paraId="42AE746D">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附件一：工作（需求）说明书</w:t>
      </w:r>
    </w:p>
    <w:p w14:paraId="4E1EA7D2">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附件二：项目人员名单及人员应急退出机制</w:t>
      </w:r>
    </w:p>
    <w:p w14:paraId="705A2C59">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附件三：验收标准及流程</w:t>
      </w:r>
    </w:p>
    <w:p w14:paraId="4405453F">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附件四：维护服务条款</w:t>
      </w:r>
    </w:p>
    <w:p w14:paraId="72DBB6C3">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附件五：服务水平协议（SLA）</w:t>
      </w:r>
    </w:p>
    <w:p w14:paraId="1A8DB48A">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附件六：服务连续性预案</w:t>
      </w:r>
    </w:p>
    <w:p w14:paraId="4804BDB9">
      <w:pPr>
        <w:spacing w:line="360" w:lineRule="auto"/>
        <w:ind w:left="560" w:firstLine="480"/>
        <w:rPr>
          <w:rFonts w:ascii="宋体"/>
          <w:color w:val="auto"/>
          <w:highlight w:val="none"/>
          <w:shd w:val="clear" w:color="auto" w:fill="auto"/>
        </w:rPr>
      </w:pPr>
      <w:r>
        <w:rPr>
          <w:rFonts w:ascii="宋体"/>
          <w:color w:val="auto"/>
          <w:highlight w:val="none"/>
          <w:shd w:val="clear" w:color="auto" w:fill="auto"/>
        </w:rPr>
        <w:t>附件七：保险赔付协议。</w:t>
      </w:r>
    </w:p>
    <w:p w14:paraId="7443DC17">
      <w:pPr>
        <w:spacing w:line="360" w:lineRule="auto"/>
        <w:ind w:firstLine="470" w:firstLineChars="196"/>
        <w:outlineLvl w:val="0"/>
        <w:rPr>
          <w:rFonts w:ascii="宋体"/>
          <w:b/>
          <w:color w:val="auto"/>
          <w:highlight w:val="none"/>
          <w:shd w:val="clear" w:color="auto" w:fill="auto"/>
        </w:rPr>
      </w:pPr>
      <w:bookmarkStart w:id="423" w:name="_Toc19480"/>
      <w:bookmarkStart w:id="424" w:name="_Toc30994"/>
      <w:r>
        <w:rPr>
          <w:rFonts w:hint="eastAsia" w:ascii="Times New Roman" w:hAnsi="Times New Roman" w:cs="宋体"/>
          <w:color w:val="auto"/>
          <w:highlight w:val="none"/>
          <w:shd w:val="clear" w:color="auto" w:fill="auto"/>
        </w:rPr>
        <w:br w:type="page"/>
      </w:r>
      <w:r>
        <w:rPr>
          <w:rFonts w:hint="eastAsia" w:ascii="宋体"/>
          <w:b/>
          <w:color w:val="auto"/>
          <w:highlight w:val="none"/>
          <w:shd w:val="clear" w:color="auto" w:fill="auto"/>
        </w:rPr>
        <w:t>第二十四条  其他</w:t>
      </w:r>
      <w:bookmarkEnd w:id="423"/>
      <w:bookmarkEnd w:id="424"/>
    </w:p>
    <w:p w14:paraId="3466ECDB">
      <w:pPr>
        <w:pStyle w:val="14"/>
        <w:spacing w:before="0" w:beforeLines="0" w:line="360" w:lineRule="auto"/>
        <w:ind w:firstLine="480"/>
        <w:rPr>
          <w:rFonts w:ascii="宋体" w:eastAsia="宋体"/>
          <w:color w:val="auto"/>
          <w:spacing w:val="0"/>
          <w:highlight w:val="none"/>
          <w:shd w:val="clear" w:color="auto" w:fill="auto"/>
        </w:rPr>
      </w:pPr>
      <w:r>
        <w:rPr>
          <w:rStyle w:val="39"/>
          <w:rFonts w:hint="eastAsia" w:ascii="宋体" w:eastAsia="宋体"/>
          <w:color w:val="auto"/>
          <w:spacing w:val="0"/>
          <w:kern w:val="0"/>
          <w:highlight w:val="none"/>
          <w:shd w:val="clear" w:color="auto" w:fill="auto"/>
        </w:rPr>
        <w:t>24.1除本</w:t>
      </w:r>
      <w:r>
        <w:rPr>
          <w:rFonts w:hint="eastAsia" w:ascii="宋体" w:eastAsia="宋体"/>
          <w:color w:val="auto"/>
          <w:spacing w:val="0"/>
          <w:highlight w:val="none"/>
          <w:shd w:val="clear" w:color="auto" w:fill="auto"/>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FD5C0A8">
      <w:pPr>
        <w:pStyle w:val="14"/>
        <w:spacing w:before="0" w:beforeLines="0" w:line="360" w:lineRule="auto"/>
        <w:ind w:firstLine="480"/>
        <w:rPr>
          <w:rFonts w:ascii="宋体" w:eastAsia="宋体"/>
          <w:color w:val="auto"/>
          <w:spacing w:val="0"/>
          <w:highlight w:val="none"/>
          <w:shd w:val="clear" w:color="auto" w:fill="auto"/>
        </w:rPr>
      </w:pPr>
      <w:r>
        <w:rPr>
          <w:rFonts w:hint="eastAsia" w:ascii="宋体" w:eastAsia="宋体"/>
          <w:color w:val="auto"/>
          <w:spacing w:val="0"/>
          <w:highlight w:val="none"/>
          <w:shd w:val="clear" w:color="auto" w:fill="auto"/>
        </w:rPr>
        <w:t>24.</w:t>
      </w:r>
      <w:r>
        <w:rPr>
          <w:rStyle w:val="39"/>
          <w:rFonts w:hint="eastAsia" w:ascii="宋体" w:eastAsia="宋体"/>
          <w:color w:val="auto"/>
          <w:spacing w:val="0"/>
          <w:kern w:val="0"/>
          <w:highlight w:val="none"/>
          <w:shd w:val="clear" w:color="auto" w:fill="auto"/>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color w:val="auto"/>
          <w:spacing w:val="0"/>
          <w:highlight w:val="none"/>
          <w:shd w:val="clear" w:color="auto" w:fill="auto"/>
        </w:rPr>
        <w:t>同其他条款或内容的合法性、有效性和可执行性不受影响。</w:t>
      </w:r>
    </w:p>
    <w:p w14:paraId="7DDCD8E1">
      <w:pPr>
        <w:spacing w:line="360" w:lineRule="auto"/>
        <w:ind w:firstLine="480"/>
        <w:rPr>
          <w:rFonts w:ascii="宋体"/>
          <w:color w:val="auto"/>
          <w:highlight w:val="none"/>
          <w:shd w:val="clear" w:color="auto" w:fill="auto"/>
        </w:rPr>
      </w:pPr>
      <w:r>
        <w:rPr>
          <w:rStyle w:val="39"/>
          <w:rFonts w:hint="eastAsia" w:ascii="宋体" w:hAnsi="宋体"/>
          <w:color w:val="auto"/>
          <w:kern w:val="0"/>
          <w:highlight w:val="none"/>
          <w:shd w:val="clear" w:color="auto" w:fill="auto"/>
        </w:rPr>
        <w:t>24.3本</w:t>
      </w:r>
      <w:r>
        <w:rPr>
          <w:rFonts w:hint="eastAsia" w:ascii="宋体"/>
          <w:color w:val="auto"/>
          <w:highlight w:val="none"/>
          <w:shd w:val="clear" w:color="auto" w:fill="auto"/>
        </w:rPr>
        <w:t>合同签订后，如需要就与合同执行有关的事项签订补充合同，应由双方加盖公章后，补充合同即生效。主合同与附件如有冲突，以主合同为准。</w:t>
      </w:r>
    </w:p>
    <w:p w14:paraId="472881A6">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24.4本合同以中文版本为准，除非本合同明确规定或双方另有约定，为履行本合同的所有文件及信函均以中文书写。</w:t>
      </w:r>
    </w:p>
    <w:p w14:paraId="0AAD7B47">
      <w:pPr>
        <w:spacing w:line="360" w:lineRule="auto"/>
        <w:ind w:firstLine="480"/>
        <w:rPr>
          <w:rFonts w:ascii="宋体"/>
          <w:color w:val="auto"/>
          <w:highlight w:val="none"/>
          <w:shd w:val="clear" w:color="auto" w:fill="auto"/>
        </w:rPr>
      </w:pPr>
      <w:r>
        <w:rPr>
          <w:rStyle w:val="39"/>
          <w:rFonts w:hint="eastAsia" w:ascii="宋体" w:hAnsi="宋体"/>
          <w:color w:val="auto"/>
          <w:kern w:val="0"/>
          <w:highlight w:val="none"/>
          <w:shd w:val="clear" w:color="auto" w:fill="auto"/>
        </w:rPr>
        <w:t>24.5本合同一式肆份，甲方执贰份，乙方执贰份，每份具有同等法律</w:t>
      </w:r>
      <w:r>
        <w:rPr>
          <w:rFonts w:hint="eastAsia" w:ascii="宋体"/>
          <w:color w:val="auto"/>
          <w:highlight w:val="none"/>
          <w:shd w:val="clear" w:color="auto" w:fill="auto"/>
        </w:rPr>
        <w:t>效力。</w:t>
      </w:r>
    </w:p>
    <w:p w14:paraId="42182406">
      <w:pPr>
        <w:spacing w:line="360" w:lineRule="auto"/>
        <w:ind w:firstLine="482"/>
        <w:rPr>
          <w:rFonts w:ascii="宋体"/>
          <w:b/>
          <w:iCs/>
          <w:color w:val="auto"/>
          <w:highlight w:val="none"/>
          <w:shd w:val="clear" w:color="auto" w:fill="auto"/>
        </w:rPr>
      </w:pPr>
      <w:r>
        <w:rPr>
          <w:rFonts w:hint="eastAsia" w:ascii="宋体"/>
          <w:b/>
          <w:iCs/>
          <w:color w:val="auto"/>
          <w:highlight w:val="none"/>
          <w:shd w:val="clear" w:color="auto" w:fill="auto"/>
        </w:rPr>
        <w:t>本合同由各方于本合同签署页所述日期正式签署，以昭信守。</w:t>
      </w:r>
    </w:p>
    <w:p w14:paraId="1B79D4FA">
      <w:pPr>
        <w:spacing w:line="360" w:lineRule="auto"/>
        <w:ind w:firstLine="482"/>
        <w:rPr>
          <w:rFonts w:ascii="宋体"/>
          <w:b/>
          <w:iCs/>
          <w:color w:val="auto"/>
          <w:highlight w:val="none"/>
          <w:shd w:val="clear" w:color="auto" w:fill="auto"/>
        </w:rPr>
      </w:pPr>
      <w:r>
        <w:rPr>
          <w:rFonts w:hint="eastAsia" w:ascii="宋体"/>
          <w:b/>
          <w:iCs/>
          <w:color w:val="auto"/>
          <w:highlight w:val="none"/>
          <w:shd w:val="clear" w:color="auto" w:fill="auto"/>
        </w:rPr>
        <w:t>（以下无正文）</w:t>
      </w:r>
    </w:p>
    <w:p w14:paraId="29098DA8">
      <w:pPr>
        <w:spacing w:line="360" w:lineRule="auto"/>
        <w:ind w:firstLine="482"/>
        <w:rPr>
          <w:rFonts w:ascii="宋体"/>
          <w:b/>
          <w:iCs/>
          <w:color w:val="auto"/>
          <w:highlight w:val="none"/>
          <w:shd w:val="clear" w:color="auto" w:fill="auto"/>
        </w:rPr>
      </w:pPr>
      <w:r>
        <w:rPr>
          <w:rFonts w:hint="eastAsia" w:ascii="宋体"/>
          <w:b/>
          <w:color w:val="auto"/>
          <w:highlight w:val="none"/>
          <w:shd w:val="clear" w:color="auto" w:fill="auto"/>
        </w:rPr>
        <w:br w:type="page"/>
      </w:r>
      <w:r>
        <w:rPr>
          <w:rFonts w:hint="eastAsia" w:ascii="宋体"/>
          <w:b/>
          <w:iCs/>
          <w:color w:val="auto"/>
          <w:highlight w:val="none"/>
          <w:shd w:val="clear" w:color="auto" w:fill="auto"/>
        </w:rPr>
        <w:t>（本页无正文，为编号XXXXXXXXX《XXX合同》的签署页）</w:t>
      </w:r>
    </w:p>
    <w:p w14:paraId="4A515451">
      <w:pPr>
        <w:spacing w:line="360" w:lineRule="auto"/>
        <w:ind w:firstLine="482"/>
        <w:rPr>
          <w:rFonts w:ascii="宋体"/>
          <w:b/>
          <w:color w:val="auto"/>
          <w:highlight w:val="none"/>
          <w:shd w:val="clear" w:color="auto" w:fill="auto"/>
        </w:rPr>
      </w:pPr>
    </w:p>
    <w:p w14:paraId="30990DAC">
      <w:pPr>
        <w:spacing w:line="360" w:lineRule="auto"/>
        <w:ind w:firstLine="482"/>
        <w:rPr>
          <w:rFonts w:ascii="宋体"/>
          <w:b/>
          <w:color w:val="auto"/>
          <w:highlight w:val="none"/>
          <w:shd w:val="clear" w:color="auto" w:fill="auto"/>
        </w:rPr>
      </w:pPr>
    </w:p>
    <w:p w14:paraId="133AE266">
      <w:pPr>
        <w:tabs>
          <w:tab w:val="left" w:pos="851"/>
          <w:tab w:val="clear" w:pos="-111"/>
        </w:tabs>
        <w:adjustRightInd w:val="0"/>
        <w:spacing w:line="360" w:lineRule="auto"/>
        <w:ind w:firstLine="480"/>
        <w:textAlignment w:val="baseline"/>
        <w:rPr>
          <w:rFonts w:ascii="宋体"/>
          <w:color w:val="auto"/>
          <w:kern w:val="0"/>
          <w:highlight w:val="none"/>
          <w:shd w:val="clear" w:color="auto" w:fill="auto"/>
        </w:rPr>
      </w:pPr>
      <w:r>
        <w:rPr>
          <w:rFonts w:hint="eastAsia" w:ascii="宋体"/>
          <w:color w:val="auto"/>
          <w:kern w:val="0"/>
          <w:highlight w:val="none"/>
          <w:shd w:val="clear" w:color="auto" w:fill="auto"/>
        </w:rPr>
        <w:t>甲方：</w:t>
      </w:r>
      <w:r>
        <w:rPr>
          <w:rFonts w:hint="eastAsia" w:ascii="宋体"/>
          <w:b/>
          <w:color w:val="auto"/>
          <w:highlight w:val="none"/>
          <w:shd w:val="clear" w:color="auto" w:fill="auto"/>
        </w:rPr>
        <w:t>重庆三峡银行股份有限公司</w:t>
      </w:r>
      <w:r>
        <w:rPr>
          <w:rFonts w:hint="eastAsia" w:ascii="宋体"/>
          <w:color w:val="auto"/>
          <w:kern w:val="0"/>
          <w:highlight w:val="none"/>
          <w:shd w:val="clear" w:color="auto" w:fill="auto"/>
        </w:rPr>
        <w:t xml:space="preserve">     （公章）</w:t>
      </w:r>
    </w:p>
    <w:p w14:paraId="49182857">
      <w:pPr>
        <w:spacing w:line="360" w:lineRule="auto"/>
        <w:ind w:firstLine="480"/>
        <w:rPr>
          <w:rFonts w:ascii="宋体"/>
          <w:color w:val="auto"/>
          <w:highlight w:val="none"/>
          <w:shd w:val="clear" w:color="auto" w:fill="auto"/>
        </w:rPr>
      </w:pPr>
    </w:p>
    <w:p w14:paraId="0E1E65A6">
      <w:pPr>
        <w:tabs>
          <w:tab w:val="left" w:pos="851"/>
          <w:tab w:val="clear" w:pos="-111"/>
        </w:tabs>
        <w:adjustRightInd w:val="0"/>
        <w:spacing w:line="360" w:lineRule="auto"/>
        <w:ind w:firstLine="720" w:firstLineChars="300"/>
        <w:textAlignment w:val="baseline"/>
        <w:rPr>
          <w:rFonts w:ascii="宋体"/>
          <w:color w:val="auto"/>
          <w:kern w:val="0"/>
          <w:highlight w:val="none"/>
          <w:shd w:val="clear" w:color="auto" w:fill="auto"/>
        </w:rPr>
      </w:pPr>
      <w:r>
        <w:rPr>
          <w:rFonts w:hint="eastAsia" w:ascii="宋体"/>
          <w:color w:val="auto"/>
          <w:kern w:val="0"/>
          <w:highlight w:val="none"/>
          <w:shd w:val="clear" w:color="auto" w:fill="auto"/>
        </w:rPr>
        <w:t>经办人：</w:t>
      </w:r>
    </w:p>
    <w:p w14:paraId="450C2FD4">
      <w:pPr>
        <w:tabs>
          <w:tab w:val="left" w:pos="851"/>
          <w:tab w:val="clear" w:pos="-111"/>
        </w:tabs>
        <w:adjustRightInd w:val="0"/>
        <w:spacing w:line="360" w:lineRule="auto"/>
        <w:ind w:firstLine="720" w:firstLineChars="300"/>
        <w:textAlignment w:val="baseline"/>
        <w:rPr>
          <w:rFonts w:ascii="宋体"/>
          <w:color w:val="auto"/>
          <w:kern w:val="0"/>
          <w:highlight w:val="none"/>
          <w:shd w:val="clear" w:color="auto" w:fill="auto"/>
        </w:rPr>
      </w:pPr>
    </w:p>
    <w:p w14:paraId="5AC55F09">
      <w:pPr>
        <w:spacing w:line="360" w:lineRule="auto"/>
        <w:ind w:firstLine="480"/>
        <w:rPr>
          <w:rFonts w:ascii="宋体"/>
          <w:color w:val="auto"/>
          <w:highlight w:val="none"/>
          <w:shd w:val="clear" w:color="auto" w:fill="auto"/>
        </w:rPr>
      </w:pPr>
    </w:p>
    <w:p w14:paraId="1BD72D22">
      <w:pPr>
        <w:spacing w:line="360" w:lineRule="auto"/>
        <w:ind w:firstLine="480"/>
        <w:rPr>
          <w:rFonts w:ascii="宋体"/>
          <w:color w:val="auto"/>
          <w:highlight w:val="none"/>
          <w:shd w:val="clear" w:color="auto" w:fill="auto"/>
        </w:rPr>
      </w:pPr>
    </w:p>
    <w:p w14:paraId="174A4E92">
      <w:pPr>
        <w:spacing w:line="360" w:lineRule="auto"/>
        <w:ind w:firstLine="480"/>
        <w:rPr>
          <w:rFonts w:ascii="宋体"/>
          <w:color w:val="auto"/>
          <w:highlight w:val="none"/>
          <w:shd w:val="clear" w:color="auto" w:fill="auto"/>
        </w:rPr>
      </w:pPr>
    </w:p>
    <w:p w14:paraId="082C9140">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乙方：</w:t>
      </w:r>
      <w:r>
        <w:rPr>
          <w:rFonts w:hint="eastAsia" w:ascii="宋体"/>
          <w:b/>
          <w:color w:val="auto"/>
          <w:highlight w:val="none"/>
          <w:shd w:val="clear" w:color="auto" w:fill="auto"/>
        </w:rPr>
        <w:t>XXXXXXXXXXXXXXXXXXXXXXX</w:t>
      </w:r>
      <w:r>
        <w:rPr>
          <w:rFonts w:hint="eastAsia" w:ascii="宋体"/>
          <w:color w:val="auto"/>
          <w:highlight w:val="none"/>
          <w:shd w:val="clear" w:color="auto" w:fill="auto"/>
        </w:rPr>
        <w:t>（公章）</w:t>
      </w:r>
    </w:p>
    <w:p w14:paraId="40581462">
      <w:pPr>
        <w:spacing w:line="360" w:lineRule="auto"/>
        <w:ind w:firstLine="480"/>
        <w:rPr>
          <w:rFonts w:ascii="宋体"/>
          <w:color w:val="auto"/>
          <w:highlight w:val="none"/>
          <w:shd w:val="clear" w:color="auto" w:fill="auto"/>
        </w:rPr>
      </w:pPr>
    </w:p>
    <w:p w14:paraId="5E6F02E1">
      <w:pPr>
        <w:spacing w:line="360" w:lineRule="auto"/>
        <w:ind w:firstLine="720" w:firstLineChars="300"/>
        <w:rPr>
          <w:rFonts w:ascii="宋体"/>
          <w:color w:val="auto"/>
          <w:highlight w:val="none"/>
          <w:shd w:val="clear" w:color="auto" w:fill="auto"/>
        </w:rPr>
      </w:pPr>
      <w:r>
        <w:rPr>
          <w:rFonts w:hint="eastAsia" w:ascii="宋体"/>
          <w:color w:val="auto"/>
          <w:highlight w:val="none"/>
          <w:shd w:val="clear" w:color="auto" w:fill="auto"/>
        </w:rPr>
        <w:t>经办人：</w:t>
      </w:r>
    </w:p>
    <w:p w14:paraId="30116770">
      <w:pPr>
        <w:spacing w:line="360" w:lineRule="auto"/>
        <w:ind w:firstLine="480"/>
        <w:rPr>
          <w:rFonts w:ascii="宋体"/>
          <w:color w:val="auto"/>
          <w:highlight w:val="none"/>
          <w:shd w:val="clear" w:color="auto" w:fill="auto"/>
        </w:rPr>
      </w:pPr>
    </w:p>
    <w:p w14:paraId="624DF676">
      <w:pPr>
        <w:spacing w:line="360" w:lineRule="auto"/>
        <w:ind w:firstLine="5040" w:firstLineChars="2100"/>
        <w:rPr>
          <w:rFonts w:ascii="宋体"/>
          <w:color w:val="auto"/>
          <w:highlight w:val="none"/>
          <w:shd w:val="clear" w:color="auto" w:fill="auto"/>
        </w:rPr>
      </w:pPr>
    </w:p>
    <w:p w14:paraId="76E235B1">
      <w:pPr>
        <w:spacing w:line="360" w:lineRule="auto"/>
        <w:ind w:firstLine="5040" w:firstLineChars="2100"/>
        <w:rPr>
          <w:rFonts w:ascii="宋体"/>
          <w:color w:val="auto"/>
          <w:highlight w:val="none"/>
          <w:shd w:val="clear" w:color="auto" w:fill="auto"/>
        </w:rPr>
      </w:pPr>
    </w:p>
    <w:p w14:paraId="11E7F68F">
      <w:pPr>
        <w:spacing w:line="360" w:lineRule="auto"/>
        <w:ind w:firstLine="5040" w:firstLineChars="2100"/>
        <w:rPr>
          <w:rFonts w:ascii="宋体"/>
          <w:color w:val="auto"/>
          <w:highlight w:val="none"/>
          <w:shd w:val="clear" w:color="auto" w:fill="auto"/>
        </w:rPr>
      </w:pPr>
      <w:r>
        <w:rPr>
          <w:rFonts w:hint="eastAsia" w:ascii="宋体"/>
          <w:color w:val="auto"/>
          <w:highlight w:val="none"/>
          <w:shd w:val="clear" w:color="auto" w:fill="auto"/>
        </w:rPr>
        <w:t>日期：    年    月    日</w:t>
      </w:r>
    </w:p>
    <w:p w14:paraId="0DEAA51F">
      <w:pPr>
        <w:pStyle w:val="12"/>
        <w:ind w:firstLine="420"/>
        <w:rPr>
          <w:rStyle w:val="39"/>
          <w:rFonts w:eastAsia="宋体"/>
          <w:color w:val="auto"/>
          <w:sz w:val="30"/>
          <w:highlight w:val="none"/>
          <w:shd w:val="clear" w:color="auto" w:fill="auto"/>
        </w:rPr>
      </w:pPr>
      <w:r>
        <w:rPr>
          <w:color w:val="auto"/>
          <w:highlight w:val="none"/>
          <w:shd w:val="clear" w:color="auto" w:fill="auto"/>
        </w:rPr>
        <w:br w:type="page"/>
      </w:r>
      <w:bookmarkStart w:id="425" w:name="_Toc63757481"/>
      <w:r>
        <w:rPr>
          <w:rFonts w:hint="eastAsia" w:hAnsi="宋体" w:eastAsia="宋体" w:cs="宋体"/>
          <w:color w:val="auto"/>
          <w:sz w:val="28"/>
          <w:szCs w:val="28"/>
          <w:highlight w:val="none"/>
          <w:shd w:val="clear" w:color="auto" w:fill="auto"/>
        </w:rPr>
        <w:t>附件一：工作（需求）说明书</w:t>
      </w:r>
      <w:bookmarkEnd w:id="425"/>
    </w:p>
    <w:p w14:paraId="24277DDA">
      <w:pPr>
        <w:spacing w:line="360" w:lineRule="auto"/>
        <w:ind w:firstLine="480"/>
        <w:rPr>
          <w:rStyle w:val="39"/>
          <w:rFonts w:ascii="宋体" w:hAnsi="宋体"/>
          <w:color w:val="auto"/>
          <w:kern w:val="0"/>
          <w:sz w:val="30"/>
          <w:highlight w:val="none"/>
          <w:shd w:val="clear" w:color="auto" w:fill="auto"/>
        </w:rPr>
      </w:pPr>
      <w:r>
        <w:rPr>
          <w:rStyle w:val="39"/>
          <w:rFonts w:hint="eastAsia" w:ascii="宋体" w:hAnsi="宋体"/>
          <w:bCs/>
          <w:color w:val="auto"/>
          <w:kern w:val="0"/>
          <w:highlight w:val="none"/>
          <w:shd w:val="clear" w:color="auto" w:fill="auto"/>
        </w:rPr>
        <w:t>请将安全需求纳入合同条款，账号口令管控功能要作为系统基础功能强制项进行验收。</w:t>
      </w:r>
      <w:r>
        <w:rPr>
          <w:rStyle w:val="39"/>
          <w:rFonts w:hint="eastAsia" w:ascii="宋体" w:hAnsi="宋体"/>
          <w:b/>
          <w:color w:val="auto"/>
          <w:kern w:val="0"/>
          <w:sz w:val="30"/>
          <w:highlight w:val="none"/>
          <w:shd w:val="clear" w:color="auto" w:fill="auto"/>
        </w:rPr>
        <w:br w:type="page"/>
      </w:r>
      <w:bookmarkStart w:id="426" w:name="_Toc63757482"/>
      <w:r>
        <w:rPr>
          <w:rFonts w:hint="eastAsia" w:ascii="宋体" w:hAnsi="宋体" w:cs="宋体"/>
          <w:color w:val="auto"/>
          <w:kern w:val="0"/>
          <w:szCs w:val="28"/>
          <w:highlight w:val="none"/>
          <w:shd w:val="clear" w:color="auto" w:fill="auto"/>
        </w:rPr>
        <w:t>附件二：项目人员名单及人员应急退出机制</w:t>
      </w:r>
      <w:bookmarkEnd w:id="426"/>
    </w:p>
    <w:p w14:paraId="57D190B6">
      <w:pPr>
        <w:spacing w:line="360" w:lineRule="auto"/>
        <w:ind w:firstLine="480"/>
        <w:rPr>
          <w:rStyle w:val="39"/>
          <w:rFonts w:ascii="宋体" w:hAnsi="宋体"/>
          <w:color w:val="auto"/>
          <w:kern w:val="0"/>
          <w:highlight w:val="none"/>
          <w:shd w:val="clear" w:color="auto" w:fill="auto"/>
        </w:rPr>
      </w:pPr>
    </w:p>
    <w:p w14:paraId="5328648A">
      <w:pPr>
        <w:spacing w:line="360" w:lineRule="auto"/>
        <w:ind w:firstLine="482"/>
        <w:rPr>
          <w:rStyle w:val="39"/>
          <w:rFonts w:ascii="宋体" w:hAnsi="宋体" w:eastAsia="等线" w:cs="Courier New"/>
          <w:b/>
          <w:color w:val="auto"/>
          <w:kern w:val="0"/>
          <w:sz w:val="21"/>
          <w:szCs w:val="21"/>
          <w:highlight w:val="none"/>
          <w:shd w:val="clear" w:color="auto" w:fill="auto"/>
        </w:rPr>
      </w:pPr>
      <w:r>
        <w:rPr>
          <w:rStyle w:val="39"/>
          <w:rFonts w:hint="eastAsia" w:ascii="宋体" w:hAnsi="宋体"/>
          <w:b/>
          <w:color w:val="auto"/>
          <w:kern w:val="0"/>
          <w:highlight w:val="none"/>
          <w:shd w:val="clear" w:color="auto" w:fill="auto"/>
        </w:rPr>
        <w:t>一、项目人员名单</w:t>
      </w:r>
    </w:p>
    <w:p w14:paraId="02EC1418">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 xml:space="preserve">项目经理： </w:t>
      </w:r>
    </w:p>
    <w:p w14:paraId="7FB949D3">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技术骨干：</w:t>
      </w:r>
    </w:p>
    <w:p w14:paraId="74E59A2E">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 xml:space="preserve">项目组成员： </w:t>
      </w:r>
    </w:p>
    <w:p w14:paraId="040A1346">
      <w:pPr>
        <w:spacing w:line="360" w:lineRule="auto"/>
        <w:ind w:firstLine="480"/>
        <w:rPr>
          <w:rStyle w:val="39"/>
          <w:rFonts w:ascii="宋体" w:hAnsi="宋体"/>
          <w:color w:val="auto"/>
          <w:kern w:val="0"/>
          <w:highlight w:val="none"/>
          <w:shd w:val="clear" w:color="auto" w:fill="auto"/>
        </w:rPr>
      </w:pPr>
    </w:p>
    <w:p w14:paraId="3D56C0EA">
      <w:pPr>
        <w:spacing w:line="360" w:lineRule="auto"/>
        <w:ind w:firstLine="482"/>
        <w:rPr>
          <w:rStyle w:val="39"/>
          <w:rFonts w:ascii="宋体" w:hAnsi="宋体"/>
          <w:b/>
          <w:color w:val="auto"/>
          <w:kern w:val="0"/>
          <w:highlight w:val="none"/>
          <w:shd w:val="clear" w:color="auto" w:fill="auto"/>
        </w:rPr>
      </w:pPr>
      <w:r>
        <w:rPr>
          <w:rStyle w:val="39"/>
          <w:rFonts w:hint="eastAsia" w:ascii="宋体" w:hAnsi="宋体"/>
          <w:b/>
          <w:color w:val="auto"/>
          <w:kern w:val="0"/>
          <w:highlight w:val="none"/>
          <w:shd w:val="clear" w:color="auto" w:fill="auto"/>
        </w:rPr>
        <w:t>二、人员应急退出机制</w:t>
      </w:r>
    </w:p>
    <w:p w14:paraId="50B8453B">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763A47B7">
      <w:pPr>
        <w:spacing w:line="360" w:lineRule="auto"/>
        <w:ind w:firstLine="465" w:firstLineChars="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备用项目经理：</w:t>
      </w:r>
    </w:p>
    <w:p w14:paraId="6168D1D8">
      <w:pPr>
        <w:spacing w:line="360" w:lineRule="auto"/>
        <w:ind w:firstLine="465" w:firstLineChars="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备用技术骨干：</w:t>
      </w:r>
    </w:p>
    <w:p w14:paraId="315B19D7">
      <w:pPr>
        <w:ind w:firstLine="480"/>
        <w:rPr>
          <w:rStyle w:val="39"/>
          <w:rFonts w:ascii="宋体" w:hAnsi="宋体"/>
          <w:color w:val="auto"/>
          <w:kern w:val="0"/>
          <w:sz w:val="30"/>
          <w:highlight w:val="none"/>
          <w:shd w:val="clear" w:color="auto" w:fill="auto"/>
        </w:rPr>
      </w:pPr>
      <w:r>
        <w:rPr>
          <w:rFonts w:hint="eastAsia"/>
          <w:color w:val="auto"/>
          <w:highlight w:val="none"/>
          <w:shd w:val="clear" w:color="auto" w:fill="auto"/>
        </w:rPr>
        <w:br w:type="page"/>
      </w:r>
      <w:bookmarkStart w:id="427" w:name="_Toc63757483"/>
      <w:r>
        <w:rPr>
          <w:rFonts w:hint="eastAsia"/>
          <w:color w:val="auto"/>
          <w:highlight w:val="none"/>
          <w:shd w:val="clear" w:color="auto" w:fill="auto"/>
        </w:rPr>
        <w:t>附件三：验收标准及流程</w:t>
      </w:r>
      <w:bookmarkEnd w:id="427"/>
    </w:p>
    <w:p w14:paraId="2D335F54">
      <w:pPr>
        <w:spacing w:line="360" w:lineRule="auto"/>
        <w:ind w:firstLine="482"/>
        <w:rPr>
          <w:rStyle w:val="39"/>
          <w:rFonts w:ascii="宋体" w:hAnsi="宋体"/>
          <w:color w:val="auto"/>
          <w:kern w:val="0"/>
          <w:highlight w:val="none"/>
          <w:shd w:val="clear" w:color="auto" w:fill="auto"/>
        </w:rPr>
      </w:pPr>
      <w:r>
        <w:rPr>
          <w:rStyle w:val="39"/>
          <w:rFonts w:hint="eastAsia" w:ascii="宋体" w:hAnsi="宋体"/>
          <w:b/>
          <w:color w:val="auto"/>
          <w:kern w:val="0"/>
          <w:highlight w:val="none"/>
          <w:shd w:val="clear" w:color="auto" w:fill="auto"/>
        </w:rPr>
        <w:t>一、验收标准</w:t>
      </w:r>
    </w:p>
    <w:p w14:paraId="6CDFEC61">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验收系统须满足试运行期内项目产品运行稳定、无遗留问题。</w:t>
      </w:r>
    </w:p>
    <w:p w14:paraId="6943DF71">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ascii="宋体" w:hAnsi="宋体"/>
          <w:color w:val="auto"/>
          <w:kern w:val="0"/>
          <w:highlight w:val="none"/>
          <w:shd w:val="clear" w:color="auto" w:fill="auto"/>
        </w:rPr>
        <w:t>单个渠道无条件验印自动通过率均不低于70%。</w:t>
      </w:r>
    </w:p>
    <w:p w14:paraId="2071360C">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项目知识及文档已全部完成转移。</w:t>
      </w:r>
    </w:p>
    <w:p w14:paraId="1538DB50">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hint="eastAsia" w:ascii="宋体" w:hAnsi="宋体" w:cs="Times New Roman"/>
          <w:snapToGrid w:val="0"/>
          <w:color w:val="auto"/>
          <w:kern w:val="0"/>
          <w:highlight w:val="none"/>
          <w:shd w:val="clear" w:color="auto" w:fill="auto"/>
        </w:rPr>
        <w:t>对验印系统进行检查，包含检查全行关联硬件设备（如高拍仪、扫描仪）采集图像的可用性，并对影像采集的精度进行调节。</w:t>
      </w:r>
    </w:p>
    <w:p w14:paraId="030C197C">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hint="eastAsia" w:ascii="宋体" w:hAnsi="宋体" w:cs="Times New Roman"/>
          <w:snapToGrid w:val="0"/>
          <w:color w:val="auto"/>
          <w:kern w:val="0"/>
          <w:highlight w:val="none"/>
          <w:shd w:val="clear" w:color="auto" w:fill="auto"/>
        </w:rPr>
        <w:t>售后服务后评估评分合格。内容包含对生产问题、缺陷及后续完善性需求、监管需求响应的及时性、有效性。</w:t>
      </w:r>
    </w:p>
    <w:p w14:paraId="238E30E8">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hint="eastAsia" w:ascii="宋体" w:hAnsi="宋体" w:cs="Times New Roman"/>
          <w:snapToGrid w:val="0"/>
          <w:color w:val="auto"/>
          <w:kern w:val="0"/>
          <w:highlight w:val="none"/>
          <w:shd w:val="clear" w:color="auto" w:fill="auto"/>
        </w:rPr>
        <w:t>针对重大生产故障，15分钟内响应，30分钟内提供临时解决方案并恢复生产服务；</w:t>
      </w:r>
      <w:r>
        <w:rPr>
          <w:rStyle w:val="39"/>
          <w:rFonts w:hint="eastAsia" w:ascii="宋体" w:hAnsi="宋体"/>
          <w:color w:val="auto"/>
          <w:kern w:val="0"/>
          <w:highlight w:val="none"/>
          <w:shd w:val="clear" w:color="auto" w:fill="auto"/>
        </w:rPr>
        <w:t>针对一般性</w:t>
      </w:r>
      <w:r>
        <w:rPr>
          <w:rStyle w:val="39"/>
          <w:rFonts w:hint="eastAsia" w:ascii="宋体" w:hAnsi="宋体" w:cs="Times New Roman"/>
          <w:snapToGrid w:val="0"/>
          <w:color w:val="auto"/>
          <w:kern w:val="0"/>
          <w:highlight w:val="none"/>
          <w:shd w:val="clear" w:color="auto" w:fill="auto"/>
        </w:rPr>
        <w:t>生产问题或风险事件，在24小时内及时响应并出具解决方案。</w:t>
      </w:r>
    </w:p>
    <w:p w14:paraId="5BCF3F4B">
      <w:pPr>
        <w:spacing w:line="360" w:lineRule="auto"/>
        <w:ind w:firstLine="480"/>
        <w:rPr>
          <w:rStyle w:val="39"/>
          <w:rFonts w:ascii="宋体" w:hAnsi="宋体"/>
          <w:color w:val="auto"/>
          <w:kern w:val="0"/>
          <w:highlight w:val="none"/>
          <w:shd w:val="clear" w:color="auto" w:fill="auto"/>
        </w:rPr>
      </w:pPr>
      <w:r>
        <w:rPr>
          <w:rStyle w:val="39"/>
          <w:rFonts w:hint="eastAsia" w:ascii="宋体" w:hAnsi="宋体"/>
          <w:snapToGrid w:val="0"/>
          <w:color w:val="auto"/>
          <w:kern w:val="0"/>
          <w:highlight w:val="none"/>
          <w:shd w:val="clear" w:color="auto" w:fill="auto"/>
        </w:rPr>
        <w:t>已购买共享验印产品责任险（至少单笔600万元，年累计总额6000万元）</w:t>
      </w:r>
      <w:r>
        <w:rPr>
          <w:rFonts w:hint="eastAsia" w:ascii="宋体" w:hAnsi="宋体" w:cs="Times New Roman"/>
          <w:snapToGrid w:val="0"/>
          <w:color w:val="auto"/>
          <w:kern w:val="0"/>
          <w:szCs w:val="24"/>
          <w:highlight w:val="none"/>
          <w:shd w:val="clear" w:color="auto" w:fill="auto"/>
        </w:rPr>
        <w:t>或独享验印产品责任险至少单笔500万，年累计总额5000万。</w:t>
      </w:r>
    </w:p>
    <w:p w14:paraId="756D5B4A">
      <w:pPr>
        <w:numPr>
          <w:ilvl w:val="0"/>
          <w:numId w:val="5"/>
        </w:numPr>
        <w:tabs>
          <w:tab w:val="clear" w:pos="0"/>
        </w:tabs>
        <w:spacing w:line="360" w:lineRule="auto"/>
        <w:ind w:firstLineChars="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验收交付物包括：</w:t>
      </w:r>
    </w:p>
    <w:p w14:paraId="674BB3F1">
      <w:pPr>
        <w:spacing w:line="360" w:lineRule="auto"/>
        <w:ind w:firstLine="48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《项目需求分析说明书》、《概要设计说明书》、《详细设计说明书》、《数据库设计说明书》、《系统安装部署手册》、《系统运行维护手册》、《用户操作手册》、《试运行报告》、《验收报告》</w:t>
      </w:r>
    </w:p>
    <w:p w14:paraId="170F75E2">
      <w:pPr>
        <w:spacing w:line="360" w:lineRule="auto"/>
        <w:ind w:firstLine="480"/>
        <w:rPr>
          <w:rStyle w:val="39"/>
          <w:rFonts w:ascii="宋体" w:hAnsi="宋体"/>
          <w:color w:val="auto"/>
          <w:kern w:val="0"/>
          <w:highlight w:val="none"/>
          <w:shd w:val="clear" w:color="auto" w:fill="auto"/>
          <w:lang w:val="zh-CN"/>
        </w:rPr>
      </w:pPr>
      <w:r>
        <w:rPr>
          <w:rStyle w:val="39"/>
          <w:rFonts w:hint="eastAsia" w:ascii="宋体" w:hAnsi="宋体"/>
          <w:color w:val="auto"/>
          <w:kern w:val="0"/>
          <w:highlight w:val="none"/>
          <w:shd w:val="clear" w:color="auto" w:fill="auto"/>
          <w:lang w:val="zh-CN"/>
        </w:rPr>
        <w:t>涉及数据迁移的，准备《数据迁移方案》；涉及兼容性方面的，准备《软件兼容性方案》；项目自负系统测试的，准备《系统测试计划》、《系统测试报告》、《性能测试报告》、《安全测试报告》</w:t>
      </w:r>
    </w:p>
    <w:p w14:paraId="1CC2923C">
      <w:pPr>
        <w:spacing w:line="360" w:lineRule="auto"/>
        <w:ind w:firstLine="482"/>
        <w:rPr>
          <w:rStyle w:val="39"/>
          <w:rFonts w:ascii="宋体" w:hAnsi="宋体"/>
          <w:b/>
          <w:color w:val="auto"/>
          <w:kern w:val="0"/>
          <w:highlight w:val="none"/>
          <w:shd w:val="clear" w:color="auto" w:fill="auto"/>
        </w:rPr>
      </w:pPr>
      <w:r>
        <w:rPr>
          <w:rStyle w:val="39"/>
          <w:rFonts w:hint="eastAsia" w:ascii="宋体" w:hAnsi="宋体"/>
          <w:b/>
          <w:color w:val="auto"/>
          <w:kern w:val="0"/>
          <w:highlight w:val="none"/>
          <w:shd w:val="clear" w:color="auto" w:fill="auto"/>
        </w:rPr>
        <w:t>二、验收流程</w:t>
      </w:r>
    </w:p>
    <w:p w14:paraId="3799360A">
      <w:pPr>
        <w:spacing w:line="360" w:lineRule="auto"/>
        <w:ind w:left="2" w:leftChars="1" w:firstLine="360" w:firstLineChars="15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549AB939">
      <w:pPr>
        <w:spacing w:line="360" w:lineRule="auto"/>
        <w:ind w:left="-358" w:firstLine="480"/>
        <w:rPr>
          <w:rStyle w:val="39"/>
          <w:rFonts w:ascii="宋体" w:hAnsi="宋体"/>
          <w:color w:val="auto"/>
          <w:kern w:val="0"/>
          <w:highlight w:val="none"/>
          <w:shd w:val="clear" w:color="auto" w:fill="auto"/>
        </w:rPr>
      </w:pPr>
    </w:p>
    <w:p w14:paraId="593B1A4C">
      <w:pPr>
        <w:ind w:firstLine="480"/>
        <w:rPr>
          <w:rStyle w:val="39"/>
          <w:rFonts w:ascii="宋体" w:hAnsi="宋体"/>
          <w:color w:val="auto"/>
          <w:kern w:val="0"/>
          <w:sz w:val="30"/>
          <w:highlight w:val="none"/>
          <w:shd w:val="clear" w:color="auto" w:fill="auto"/>
        </w:rPr>
      </w:pPr>
      <w:r>
        <w:rPr>
          <w:rFonts w:hint="eastAsia"/>
          <w:color w:val="auto"/>
          <w:highlight w:val="none"/>
          <w:shd w:val="clear" w:color="auto" w:fill="auto"/>
        </w:rPr>
        <w:br w:type="page"/>
      </w:r>
      <w:bookmarkStart w:id="428" w:name="_Toc63757484"/>
      <w:r>
        <w:rPr>
          <w:rFonts w:hint="eastAsia"/>
          <w:color w:val="auto"/>
          <w:highlight w:val="none"/>
          <w:shd w:val="clear" w:color="auto" w:fill="auto"/>
        </w:rPr>
        <w:t>附件四：维护服务条款</w:t>
      </w:r>
      <w:bookmarkEnd w:id="428"/>
    </w:p>
    <w:p w14:paraId="67C40B34">
      <w:pPr>
        <w:ind w:firstLine="480"/>
        <w:rPr>
          <w:color w:val="auto"/>
          <w:highlight w:val="none"/>
          <w:shd w:val="clear" w:color="auto" w:fill="auto"/>
          <w:lang w:val="zh-CN"/>
        </w:rPr>
      </w:pPr>
      <w:r>
        <w:rPr>
          <w:rFonts w:hint="eastAsia"/>
          <w:color w:val="auto"/>
          <w:highlight w:val="none"/>
          <w:shd w:val="clear" w:color="auto" w:fill="auto"/>
          <w:lang w:val="zh-CN"/>
        </w:rPr>
        <w:t>（请根据</w:t>
      </w:r>
      <w:r>
        <w:rPr>
          <w:color w:val="auto"/>
          <w:highlight w:val="none"/>
          <w:shd w:val="clear" w:color="auto" w:fill="auto"/>
          <w:lang w:val="zh-CN"/>
        </w:rPr>
        <w:t>项目要求及采购文件</w:t>
      </w:r>
      <w:r>
        <w:rPr>
          <w:rFonts w:hint="eastAsia"/>
          <w:color w:val="auto"/>
          <w:highlight w:val="none"/>
          <w:shd w:val="clear" w:color="auto" w:fill="auto"/>
          <w:lang w:val="zh-CN"/>
        </w:rPr>
        <w:t>、</w:t>
      </w:r>
      <w:r>
        <w:rPr>
          <w:color w:val="auto"/>
          <w:highlight w:val="none"/>
          <w:shd w:val="clear" w:color="auto" w:fill="auto"/>
          <w:lang w:val="zh-CN"/>
        </w:rPr>
        <w:t>谈判文件等进行</w:t>
      </w:r>
      <w:r>
        <w:rPr>
          <w:rFonts w:hint="eastAsia"/>
          <w:color w:val="auto"/>
          <w:highlight w:val="none"/>
          <w:shd w:val="clear" w:color="auto" w:fill="auto"/>
          <w:lang w:val="zh-CN"/>
        </w:rPr>
        <w:t>修订</w:t>
      </w:r>
      <w:r>
        <w:rPr>
          <w:color w:val="auto"/>
          <w:highlight w:val="none"/>
          <w:shd w:val="clear" w:color="auto" w:fill="auto"/>
          <w:lang w:val="zh-CN"/>
        </w:rPr>
        <w:t>）</w:t>
      </w:r>
    </w:p>
    <w:p w14:paraId="32193F34">
      <w:pPr>
        <w:spacing w:line="360" w:lineRule="auto"/>
        <w:ind w:firstLine="480" w:firstLineChars="0"/>
        <w:rPr>
          <w:rStyle w:val="39"/>
          <w:rFonts w:ascii="宋体" w:hAnsi="宋体"/>
          <w:color w:val="auto"/>
          <w:kern w:val="0"/>
          <w:highlight w:val="none"/>
          <w:shd w:val="clear" w:color="auto" w:fill="auto"/>
        </w:rPr>
      </w:pPr>
      <w:r>
        <w:rPr>
          <w:rStyle w:val="39"/>
          <w:rFonts w:hint="eastAsia" w:ascii="宋体" w:hAnsi="宋体"/>
          <w:color w:val="auto"/>
          <w:kern w:val="0"/>
          <w:highlight w:val="none"/>
          <w:shd w:val="clear" w:color="auto" w:fill="auto"/>
        </w:rPr>
        <w:t>乙方业务代表作为技术服务的第一联系人，项目经理作为该项目的技术服务第二联系人，随时接受客户的电话服务支持，并申请调配相关资源为客户提供及时服务。</w:t>
      </w:r>
    </w:p>
    <w:p w14:paraId="17FF9B0C">
      <w:pPr>
        <w:numPr>
          <w:ilvl w:val="0"/>
          <w:numId w:val="6"/>
        </w:numPr>
        <w:spacing w:line="360" w:lineRule="auto"/>
        <w:ind w:firstLineChars="0"/>
        <w:rPr>
          <w:rStyle w:val="39"/>
          <w:rFonts w:ascii="宋体" w:hAnsi="宋体"/>
          <w:color w:val="auto"/>
          <w:highlight w:val="none"/>
          <w:shd w:val="clear" w:color="auto" w:fill="auto"/>
        </w:rPr>
      </w:pPr>
      <w:r>
        <w:rPr>
          <w:rStyle w:val="39"/>
          <w:rFonts w:hint="eastAsia" w:ascii="宋体" w:hAnsi="宋体"/>
          <w:color w:val="auto"/>
          <w:highlight w:val="none"/>
          <w:shd w:val="clear" w:color="auto" w:fill="auto"/>
        </w:rPr>
        <w:t>系统正式验收通过，上线后提供三个月免费人员现场驻场维护，</w:t>
      </w:r>
      <w:r>
        <w:rPr>
          <w:rFonts w:hint="eastAsia" w:ascii="宋体"/>
          <w:color w:val="auto"/>
          <w:kern w:val="0"/>
          <w:highlight w:val="none"/>
          <w:shd w:val="clear" w:color="auto" w:fill="auto"/>
        </w:rPr>
        <w:t>正式</w:t>
      </w:r>
      <w:r>
        <w:rPr>
          <w:rFonts w:hint="eastAsia" w:ascii="宋体"/>
          <w:color w:val="auto"/>
          <w:highlight w:val="none"/>
          <w:shd w:val="clear" w:color="auto" w:fill="auto"/>
        </w:rPr>
        <w:t>验收合格次日</w:t>
      </w:r>
      <w:r>
        <w:rPr>
          <w:rStyle w:val="39"/>
          <w:rFonts w:hint="eastAsia" w:ascii="宋体" w:hAnsi="宋体"/>
          <w:color w:val="auto"/>
          <w:highlight w:val="none"/>
          <w:shd w:val="clear" w:color="auto" w:fill="auto"/>
        </w:rPr>
        <w:t>至</w:t>
      </w:r>
      <w:r>
        <w:rPr>
          <w:rStyle w:val="39"/>
          <w:rFonts w:ascii="宋体" w:hAnsi="宋体"/>
          <w:color w:val="auto"/>
          <w:highlight w:val="none"/>
          <w:shd w:val="clear" w:color="auto" w:fill="auto"/>
        </w:rPr>
        <w:t>承诺维护期结束日</w:t>
      </w:r>
      <w:r>
        <w:rPr>
          <w:rFonts w:hint="eastAsia" w:ascii="宋体"/>
          <w:color w:val="auto"/>
          <w:highlight w:val="none"/>
          <w:shd w:val="clear" w:color="auto" w:fill="auto"/>
        </w:rPr>
        <w:t>并延期至6月30日或12月31日中较近日期（即维保延期最长不超过半年）</w:t>
      </w:r>
      <w:r>
        <w:rPr>
          <w:rStyle w:val="39"/>
          <w:rFonts w:hint="eastAsia" w:ascii="宋体" w:hAnsi="宋体"/>
          <w:color w:val="auto"/>
          <w:highlight w:val="none"/>
          <w:shd w:val="clear" w:color="auto" w:fill="auto"/>
        </w:rPr>
        <w:t>提供支持和服务。</w:t>
      </w:r>
    </w:p>
    <w:p w14:paraId="1E1F6BB5">
      <w:pPr>
        <w:numPr>
          <w:ilvl w:val="0"/>
          <w:numId w:val="6"/>
        </w:numPr>
        <w:spacing w:line="360" w:lineRule="auto"/>
        <w:ind w:firstLineChars="0"/>
        <w:rPr>
          <w:rStyle w:val="39"/>
          <w:rFonts w:ascii="宋体" w:hAnsi="宋体"/>
          <w:color w:val="auto"/>
          <w:highlight w:val="none"/>
          <w:shd w:val="clear" w:color="auto" w:fill="auto"/>
        </w:rPr>
      </w:pPr>
      <w:r>
        <w:rPr>
          <w:rStyle w:val="39"/>
          <w:rFonts w:hint="eastAsia" w:ascii="宋体" w:hAnsi="宋体"/>
          <w:color w:val="auto"/>
          <w:highlight w:val="none"/>
          <w:shd w:val="clear" w:color="auto" w:fill="auto"/>
        </w:rPr>
        <w:t>维护期内，提供平台升级及优化服务。</w:t>
      </w:r>
    </w:p>
    <w:p w14:paraId="794857B8">
      <w:pPr>
        <w:numPr>
          <w:ilvl w:val="0"/>
          <w:numId w:val="6"/>
        </w:numPr>
        <w:spacing w:line="360" w:lineRule="auto"/>
        <w:ind w:firstLineChars="0"/>
        <w:rPr>
          <w:rStyle w:val="39"/>
          <w:rFonts w:ascii="宋体" w:hAnsi="宋体"/>
          <w:color w:val="auto"/>
          <w:highlight w:val="none"/>
          <w:shd w:val="clear" w:color="auto" w:fill="auto"/>
        </w:rPr>
      </w:pPr>
      <w:r>
        <w:rPr>
          <w:rStyle w:val="39"/>
          <w:rFonts w:hint="eastAsia" w:ascii="宋体" w:hAnsi="宋体"/>
          <w:color w:val="auto"/>
          <w:highlight w:val="none"/>
          <w:shd w:val="clear" w:color="auto" w:fill="auto"/>
        </w:rPr>
        <w:t>系统上线后，提供二次系统和产品的培训，时间为每次1天。在维护期内，也可以根据用户需求，随时到客户现场进行系统和产品的培训。</w:t>
      </w:r>
    </w:p>
    <w:p w14:paraId="734F3966">
      <w:pPr>
        <w:numPr>
          <w:ilvl w:val="0"/>
          <w:numId w:val="6"/>
        </w:numPr>
        <w:spacing w:line="360" w:lineRule="auto"/>
        <w:ind w:firstLineChars="0"/>
        <w:rPr>
          <w:rFonts w:ascii="宋体"/>
          <w:color w:val="auto"/>
          <w:highlight w:val="none"/>
          <w:shd w:val="clear" w:color="auto" w:fill="auto"/>
        </w:rPr>
      </w:pPr>
      <w:r>
        <w:rPr>
          <w:rStyle w:val="39"/>
          <w:rFonts w:hint="eastAsia" w:ascii="宋体" w:hAnsi="宋体"/>
          <w:color w:val="auto"/>
          <w:highlight w:val="none"/>
          <w:shd w:val="clear" w:color="auto" w:fill="auto"/>
        </w:rPr>
        <w:t>维护期内，每季度</w:t>
      </w:r>
      <w:r>
        <w:rPr>
          <w:rStyle w:val="39"/>
          <w:rFonts w:hint="eastAsia" w:ascii="宋体" w:hAnsi="宋体"/>
          <w:snapToGrid w:val="0"/>
          <w:color w:val="auto"/>
          <w:highlight w:val="none"/>
          <w:shd w:val="clear" w:color="auto" w:fill="auto"/>
        </w:rPr>
        <w:t>对系统数据</w:t>
      </w:r>
      <w:r>
        <w:rPr>
          <w:rStyle w:val="39"/>
          <w:rFonts w:ascii="宋体" w:hAnsi="宋体"/>
          <w:snapToGrid w:val="0"/>
          <w:color w:val="auto"/>
          <w:highlight w:val="none"/>
          <w:shd w:val="clear" w:color="auto" w:fill="auto"/>
        </w:rPr>
        <w:t>进行分析，并</w:t>
      </w:r>
      <w:r>
        <w:rPr>
          <w:rStyle w:val="39"/>
          <w:rFonts w:hint="eastAsia" w:ascii="宋体" w:hAnsi="宋体"/>
          <w:snapToGrid w:val="0"/>
          <w:color w:val="auto"/>
          <w:highlight w:val="none"/>
          <w:shd w:val="clear" w:color="auto" w:fill="auto"/>
        </w:rPr>
        <w:t>出具分析报告</w:t>
      </w:r>
      <w:r>
        <w:rPr>
          <w:rStyle w:val="39"/>
          <w:rFonts w:ascii="宋体" w:hAnsi="宋体"/>
          <w:snapToGrid w:val="0"/>
          <w:color w:val="auto"/>
          <w:highlight w:val="none"/>
          <w:shd w:val="clear" w:color="auto" w:fill="auto"/>
        </w:rPr>
        <w:t>，内容包含不同维度验印通过率、潜在风险、验印效率等。根据发现的问题立即组织整改。每半年</w:t>
      </w:r>
      <w:r>
        <w:rPr>
          <w:rStyle w:val="39"/>
          <w:rFonts w:hint="eastAsia" w:ascii="宋体" w:hAnsi="宋体"/>
          <w:color w:val="auto"/>
          <w:highlight w:val="none"/>
          <w:shd w:val="clear" w:color="auto" w:fill="auto"/>
        </w:rPr>
        <w:t>派工程师现场巡检一次，</w:t>
      </w:r>
      <w:r>
        <w:rPr>
          <w:rFonts w:ascii="宋体" w:hAnsi="宋体" w:cs="Times New Roman"/>
          <w:snapToGrid w:val="0"/>
          <w:color w:val="auto"/>
          <w:kern w:val="0"/>
          <w:szCs w:val="28"/>
          <w:highlight w:val="none"/>
          <w:shd w:val="clear" w:color="auto" w:fill="auto"/>
        </w:rPr>
        <w:t>包含检查全行</w:t>
      </w:r>
      <w:r>
        <w:rPr>
          <w:rFonts w:hint="eastAsia" w:ascii="宋体" w:hAnsi="宋体" w:cs="Times New Roman"/>
          <w:snapToGrid w:val="0"/>
          <w:color w:val="auto"/>
          <w:kern w:val="0"/>
          <w:szCs w:val="28"/>
          <w:highlight w:val="none"/>
          <w:shd w:val="clear" w:color="auto" w:fill="auto"/>
        </w:rPr>
        <w:t>关联硬件设备（如高拍仪、扫描仪）</w:t>
      </w:r>
      <w:r>
        <w:rPr>
          <w:rFonts w:ascii="宋体" w:hAnsi="宋体" w:cs="Times New Roman"/>
          <w:snapToGrid w:val="0"/>
          <w:color w:val="auto"/>
          <w:kern w:val="0"/>
          <w:szCs w:val="28"/>
          <w:highlight w:val="none"/>
          <w:shd w:val="clear" w:color="auto" w:fill="auto"/>
        </w:rPr>
        <w:t>采集图像的可用性</w:t>
      </w:r>
      <w:r>
        <w:rPr>
          <w:rFonts w:hint="eastAsia" w:ascii="宋体" w:hAnsi="宋体" w:cs="Times New Roman"/>
          <w:snapToGrid w:val="0"/>
          <w:color w:val="auto"/>
          <w:kern w:val="0"/>
          <w:szCs w:val="28"/>
          <w:highlight w:val="none"/>
          <w:shd w:val="clear" w:color="auto" w:fill="auto"/>
        </w:rPr>
        <w:t>，</w:t>
      </w:r>
      <w:r>
        <w:rPr>
          <w:rFonts w:ascii="宋体" w:hAnsi="宋体" w:cs="Times New Roman"/>
          <w:snapToGrid w:val="0"/>
          <w:color w:val="auto"/>
          <w:kern w:val="0"/>
          <w:szCs w:val="28"/>
          <w:highlight w:val="none"/>
          <w:shd w:val="clear" w:color="auto" w:fill="auto"/>
        </w:rPr>
        <w:t>并</w:t>
      </w:r>
      <w:r>
        <w:rPr>
          <w:rFonts w:hint="eastAsia" w:ascii="宋体" w:hAnsi="宋体" w:cs="Times New Roman"/>
          <w:snapToGrid w:val="0"/>
          <w:color w:val="auto"/>
          <w:kern w:val="0"/>
          <w:szCs w:val="28"/>
          <w:highlight w:val="none"/>
          <w:shd w:val="clear" w:color="auto" w:fill="auto"/>
        </w:rPr>
        <w:t>对影像采集</w:t>
      </w:r>
      <w:r>
        <w:rPr>
          <w:rFonts w:ascii="宋体" w:hAnsi="宋体" w:cs="Times New Roman"/>
          <w:snapToGrid w:val="0"/>
          <w:color w:val="auto"/>
          <w:kern w:val="0"/>
          <w:szCs w:val="28"/>
          <w:highlight w:val="none"/>
          <w:shd w:val="clear" w:color="auto" w:fill="auto"/>
        </w:rPr>
        <w:t>的</w:t>
      </w:r>
      <w:r>
        <w:rPr>
          <w:rFonts w:hint="eastAsia" w:ascii="宋体" w:hAnsi="宋体" w:cs="Times New Roman"/>
          <w:snapToGrid w:val="0"/>
          <w:color w:val="auto"/>
          <w:kern w:val="0"/>
          <w:szCs w:val="28"/>
          <w:highlight w:val="none"/>
          <w:shd w:val="clear" w:color="auto" w:fill="auto"/>
        </w:rPr>
        <w:t>精度</w:t>
      </w:r>
      <w:r>
        <w:rPr>
          <w:rFonts w:ascii="宋体" w:hAnsi="宋体" w:cs="Times New Roman"/>
          <w:snapToGrid w:val="0"/>
          <w:color w:val="auto"/>
          <w:kern w:val="0"/>
          <w:szCs w:val="28"/>
          <w:highlight w:val="none"/>
          <w:shd w:val="clear" w:color="auto" w:fill="auto"/>
        </w:rPr>
        <w:t>进行</w:t>
      </w:r>
      <w:r>
        <w:rPr>
          <w:rFonts w:hint="eastAsia" w:ascii="宋体" w:hAnsi="宋体" w:cs="Times New Roman"/>
          <w:snapToGrid w:val="0"/>
          <w:color w:val="auto"/>
          <w:kern w:val="0"/>
          <w:szCs w:val="28"/>
          <w:highlight w:val="none"/>
          <w:shd w:val="clear" w:color="auto" w:fill="auto"/>
        </w:rPr>
        <w:t>调节和维护</w:t>
      </w:r>
      <w:r>
        <w:rPr>
          <w:rFonts w:ascii="宋体" w:hAnsi="宋体" w:cs="Times New Roman"/>
          <w:snapToGrid w:val="0"/>
          <w:color w:val="auto"/>
          <w:kern w:val="0"/>
          <w:szCs w:val="28"/>
          <w:highlight w:val="none"/>
          <w:shd w:val="clear" w:color="auto" w:fill="auto"/>
        </w:rPr>
        <w:t>。</w:t>
      </w:r>
      <w:r>
        <w:rPr>
          <w:rStyle w:val="39"/>
          <w:rFonts w:hint="eastAsia" w:ascii="宋体" w:hAnsi="宋体"/>
          <w:color w:val="auto"/>
          <w:highlight w:val="none"/>
          <w:shd w:val="clear" w:color="auto" w:fill="auto"/>
        </w:rPr>
        <w:t>并在巡检后提交巡检报告，针对巡检中发现的问题立即组织整改。</w:t>
      </w:r>
      <w:bookmarkStart w:id="429" w:name="_Toc87509290"/>
      <w:bookmarkStart w:id="430" w:name="_Toc131174383"/>
      <w:bookmarkStart w:id="431" w:name="_Toc85087070"/>
    </w:p>
    <w:p w14:paraId="0182DDA0">
      <w:pPr>
        <w:numPr>
          <w:ilvl w:val="0"/>
          <w:numId w:val="6"/>
        </w:numPr>
        <w:spacing w:line="360" w:lineRule="auto"/>
        <w:ind w:firstLineChars="0"/>
        <w:rPr>
          <w:rFonts w:ascii="宋体" w:hAnsi="宋体" w:cs="Times New Roman"/>
          <w:snapToGrid w:val="0"/>
          <w:color w:val="auto"/>
          <w:kern w:val="0"/>
          <w:szCs w:val="28"/>
          <w:highlight w:val="none"/>
          <w:shd w:val="clear" w:color="auto" w:fill="auto"/>
        </w:rPr>
      </w:pPr>
      <w:r>
        <w:rPr>
          <w:rFonts w:hint="eastAsia" w:ascii="宋体" w:hAnsi="宋体" w:cs="Times New Roman"/>
          <w:snapToGrid w:val="0"/>
          <w:color w:val="auto"/>
          <w:kern w:val="0"/>
          <w:szCs w:val="28"/>
          <w:highlight w:val="none"/>
          <w:shd w:val="clear" w:color="auto" w:fill="auto"/>
        </w:rPr>
        <w:t>维护期内，</w:t>
      </w:r>
      <w:r>
        <w:rPr>
          <w:rFonts w:ascii="宋体" w:hAnsi="宋体" w:cs="Times New Roman"/>
          <w:snapToGrid w:val="0"/>
          <w:color w:val="auto"/>
          <w:kern w:val="0"/>
          <w:szCs w:val="28"/>
          <w:highlight w:val="none"/>
          <w:shd w:val="clear" w:color="auto" w:fill="auto"/>
        </w:rPr>
        <w:t>单个</w:t>
      </w:r>
      <w:r>
        <w:rPr>
          <w:rFonts w:hint="eastAsia" w:ascii="宋体" w:hAnsi="宋体" w:cs="Times New Roman"/>
          <w:snapToGrid w:val="0"/>
          <w:color w:val="auto"/>
          <w:kern w:val="0"/>
          <w:szCs w:val="28"/>
          <w:highlight w:val="none"/>
          <w:shd w:val="clear" w:color="auto" w:fill="auto"/>
        </w:rPr>
        <w:t>渠道验印自动通过率若低于验收标准要求的，厂商须及时排查原因并配合解决，否则不予支付合同尾款。</w:t>
      </w:r>
    </w:p>
    <w:p w14:paraId="7D5B8E29">
      <w:pPr>
        <w:numPr>
          <w:ilvl w:val="0"/>
          <w:numId w:val="6"/>
        </w:numPr>
        <w:spacing w:line="360" w:lineRule="auto"/>
        <w:ind w:firstLineChars="0"/>
        <w:rPr>
          <w:rFonts w:ascii="宋体"/>
          <w:color w:val="auto"/>
          <w:highlight w:val="none"/>
          <w:shd w:val="clear" w:color="auto" w:fill="auto"/>
        </w:rPr>
      </w:pPr>
      <w:r>
        <w:rPr>
          <w:rFonts w:ascii="宋体" w:hAnsi="宋体" w:cs="Times New Roman"/>
          <w:snapToGrid w:val="0"/>
          <w:color w:val="auto"/>
          <w:kern w:val="0"/>
          <w:szCs w:val="28"/>
          <w:highlight w:val="none"/>
          <w:shd w:val="clear" w:color="auto" w:fill="auto"/>
        </w:rPr>
        <w:t>针对重大生产故障，须在</w:t>
      </w:r>
      <w:r>
        <w:rPr>
          <w:rFonts w:hint="eastAsia" w:ascii="宋体" w:hAnsi="宋体" w:cs="Times New Roman"/>
          <w:snapToGrid w:val="0"/>
          <w:color w:val="auto"/>
          <w:kern w:val="0"/>
          <w:szCs w:val="28"/>
          <w:highlight w:val="none"/>
          <w:shd w:val="clear" w:color="auto" w:fill="auto"/>
        </w:rPr>
        <w:t>15分钟内响应，30分钟内提供临时解决方案并恢复生产服务</w:t>
      </w:r>
      <w:r>
        <w:rPr>
          <w:rFonts w:ascii="宋体" w:hAnsi="宋体" w:cs="Times New Roman"/>
          <w:snapToGrid w:val="0"/>
          <w:color w:val="auto"/>
          <w:kern w:val="0"/>
          <w:szCs w:val="28"/>
          <w:highlight w:val="none"/>
          <w:shd w:val="clear" w:color="auto" w:fill="auto"/>
        </w:rPr>
        <w:t>；</w:t>
      </w:r>
      <w:r>
        <w:rPr>
          <w:rStyle w:val="39"/>
          <w:rFonts w:ascii="宋体" w:hAnsi="宋体"/>
          <w:color w:val="auto"/>
          <w:kern w:val="0"/>
          <w:szCs w:val="28"/>
          <w:highlight w:val="none"/>
          <w:shd w:val="clear" w:color="auto" w:fill="auto"/>
        </w:rPr>
        <w:t>针对一般性</w:t>
      </w:r>
      <w:r>
        <w:rPr>
          <w:rFonts w:ascii="宋体" w:hAnsi="宋体" w:cs="Times New Roman"/>
          <w:snapToGrid w:val="0"/>
          <w:color w:val="auto"/>
          <w:kern w:val="0"/>
          <w:szCs w:val="28"/>
          <w:highlight w:val="none"/>
          <w:shd w:val="clear" w:color="auto" w:fill="auto"/>
        </w:rPr>
        <w:t>生产问题或风险事件，须在</w:t>
      </w:r>
      <w:r>
        <w:rPr>
          <w:rFonts w:hint="eastAsia" w:ascii="宋体" w:hAnsi="宋体" w:cs="Times New Roman"/>
          <w:snapToGrid w:val="0"/>
          <w:color w:val="auto"/>
          <w:kern w:val="0"/>
          <w:szCs w:val="28"/>
          <w:highlight w:val="none"/>
          <w:shd w:val="clear" w:color="auto" w:fill="auto"/>
        </w:rPr>
        <w:t>24小时内及时响应并出具解决方案</w:t>
      </w:r>
      <w:r>
        <w:rPr>
          <w:rFonts w:ascii="宋体" w:hAnsi="宋体" w:cs="Times New Roman"/>
          <w:snapToGrid w:val="0"/>
          <w:color w:val="auto"/>
          <w:kern w:val="0"/>
          <w:szCs w:val="28"/>
          <w:highlight w:val="none"/>
          <w:shd w:val="clear" w:color="auto" w:fill="auto"/>
        </w:rPr>
        <w:t>。</w:t>
      </w:r>
    </w:p>
    <w:p w14:paraId="7AB3E8A0">
      <w:pPr>
        <w:numPr>
          <w:ilvl w:val="0"/>
          <w:numId w:val="6"/>
        </w:numPr>
        <w:spacing w:line="360" w:lineRule="auto"/>
        <w:ind w:firstLineChars="0"/>
        <w:rPr>
          <w:rStyle w:val="39"/>
          <w:rFonts w:ascii="宋体" w:hAnsi="宋体"/>
          <w:color w:val="auto"/>
          <w:highlight w:val="none"/>
          <w:shd w:val="clear" w:color="auto" w:fill="auto"/>
        </w:rPr>
      </w:pPr>
      <w:r>
        <w:rPr>
          <w:rStyle w:val="39"/>
          <w:rFonts w:hint="eastAsia" w:ascii="宋体" w:hAnsi="宋体" w:cs="宋体"/>
          <w:snapToGrid w:val="0"/>
          <w:color w:val="auto"/>
          <w:highlight w:val="none"/>
          <w:shd w:val="clear" w:color="auto" w:fill="auto"/>
        </w:rPr>
        <w:t>维护期内，参选人必须对所有软件和系统免费提供定期的预防性维护和临时性紧急维护服务。比选人随时提出紧急维护要求，参选人必须承诺做出回应，并派出工程师进行现场支持。</w:t>
      </w:r>
    </w:p>
    <w:p w14:paraId="7CAB5834">
      <w:pPr>
        <w:numPr>
          <w:ilvl w:val="0"/>
          <w:numId w:val="6"/>
        </w:numPr>
        <w:spacing w:line="360" w:lineRule="auto"/>
        <w:ind w:firstLineChars="0"/>
        <w:rPr>
          <w:rStyle w:val="39"/>
          <w:rFonts w:ascii="宋体" w:hAnsi="宋体"/>
          <w:color w:val="auto"/>
          <w:highlight w:val="none"/>
          <w:shd w:val="clear" w:color="auto" w:fill="auto"/>
        </w:rPr>
      </w:pPr>
      <w:r>
        <w:rPr>
          <w:rStyle w:val="39"/>
          <w:rFonts w:hint="eastAsia" w:ascii="宋体" w:hAnsi="宋体" w:cs="宋体"/>
          <w:snapToGrid w:val="0"/>
          <w:color w:val="auto"/>
          <w:highlight w:val="none"/>
          <w:shd w:val="clear" w:color="auto" w:fill="auto"/>
        </w:rPr>
        <w:t>维护期内，如果参选人对比选人购买的软件有了升级版本，参选人应及时通知比选人。如果比选人有要求，参选人应向比选人免费提供软件升级（即无软件许可费）。</w:t>
      </w:r>
    </w:p>
    <w:p w14:paraId="72E53212">
      <w:pPr>
        <w:numPr>
          <w:ilvl w:val="0"/>
          <w:numId w:val="6"/>
        </w:numPr>
        <w:spacing w:line="360" w:lineRule="auto"/>
        <w:ind w:firstLineChars="0"/>
        <w:rPr>
          <w:rStyle w:val="39"/>
          <w:rFonts w:ascii="宋体" w:hAnsi="宋体"/>
          <w:color w:val="auto"/>
          <w:highlight w:val="none"/>
          <w:shd w:val="clear" w:color="auto" w:fill="auto"/>
        </w:rPr>
      </w:pPr>
      <w:r>
        <w:rPr>
          <w:rStyle w:val="39"/>
          <w:rFonts w:hint="eastAsia" w:ascii="宋体" w:hAnsi="宋体" w:cs="宋体"/>
          <w:snapToGrid w:val="0"/>
          <w:color w:val="auto"/>
          <w:highlight w:val="none"/>
          <w:shd w:val="clear" w:color="auto" w:fill="auto"/>
        </w:rPr>
        <w:t>参选人有责任在维护期内提供以下形式的技术支持服务：</w:t>
      </w:r>
    </w:p>
    <w:p w14:paraId="118FA435">
      <w:pPr>
        <w:numPr>
          <w:ilvl w:val="0"/>
          <w:numId w:val="7"/>
        </w:numPr>
        <w:spacing w:line="360" w:lineRule="auto"/>
        <w:ind w:firstLineChars="0"/>
        <w:rPr>
          <w:rFonts w:ascii="Lucida Sans" w:hAnsi="Lucida Sans" w:cs="宋体"/>
          <w:snapToGrid w:val="0"/>
          <w:color w:val="auto"/>
          <w:kern w:val="0"/>
          <w:szCs w:val="28"/>
          <w:highlight w:val="none"/>
          <w:shd w:val="clear" w:color="auto" w:fill="auto"/>
        </w:rPr>
      </w:pPr>
      <w:r>
        <w:rPr>
          <w:rFonts w:ascii="Lucida Sans" w:hAnsi="Lucida Sans" w:cs="宋体"/>
          <w:snapToGrid w:val="0"/>
          <w:color w:val="auto"/>
          <w:kern w:val="0"/>
          <w:szCs w:val="28"/>
          <w:highlight w:val="none"/>
          <w:shd w:val="clear" w:color="auto" w:fill="auto"/>
        </w:rPr>
        <w:t>远程支持。参选人必须为用户提供技术援助电话或电子邮件，解答用户在系统使用中遇到的问题，及时提出解决问题的建议和操作方法。</w:t>
      </w:r>
    </w:p>
    <w:p w14:paraId="3F8F2229">
      <w:pPr>
        <w:numPr>
          <w:ilvl w:val="0"/>
          <w:numId w:val="7"/>
        </w:numPr>
        <w:spacing w:line="360" w:lineRule="auto"/>
        <w:ind w:firstLineChars="0"/>
        <w:rPr>
          <w:rFonts w:cs="宋体"/>
          <w:snapToGrid w:val="0"/>
          <w:color w:val="auto"/>
          <w:kern w:val="0"/>
          <w:szCs w:val="28"/>
          <w:highlight w:val="none"/>
          <w:shd w:val="clear" w:color="auto" w:fill="auto"/>
        </w:rPr>
      </w:pPr>
      <w:r>
        <w:rPr>
          <w:rFonts w:ascii="Lucida Sans" w:hAnsi="Lucida Sans" w:cs="宋体"/>
          <w:snapToGrid w:val="0"/>
          <w:color w:val="auto"/>
          <w:kern w:val="0"/>
          <w:szCs w:val="28"/>
          <w:highlight w:val="none"/>
          <w:shd w:val="clear" w:color="auto" w:fill="auto"/>
        </w:rPr>
        <w:t>应急现场支持。对于用户工作时间的突发性故障，参选人</w:t>
      </w:r>
      <w:r>
        <w:rPr>
          <w:rFonts w:hint="eastAsia" w:ascii="宋体" w:hAnsi="宋体" w:cs="Times New Roman"/>
          <w:snapToGrid w:val="0"/>
          <w:color w:val="auto"/>
          <w:kern w:val="0"/>
          <w:szCs w:val="28"/>
          <w:highlight w:val="none"/>
          <w:shd w:val="clear" w:color="auto" w:fill="auto"/>
        </w:rPr>
        <w:t>需15分钟内响应，30分钟内提供临时解决方案并能恢复生产服务，并</w:t>
      </w:r>
      <w:r>
        <w:rPr>
          <w:rFonts w:ascii="宋体" w:hAnsi="宋体" w:cs="Times New Roman"/>
          <w:snapToGrid w:val="0"/>
          <w:color w:val="auto"/>
          <w:kern w:val="0"/>
          <w:szCs w:val="28"/>
          <w:highlight w:val="none"/>
          <w:shd w:val="clear" w:color="auto" w:fill="auto"/>
        </w:rPr>
        <w:t>立即安排专家于2小时内抵达现场，提供技术支持</w:t>
      </w:r>
      <w:r>
        <w:rPr>
          <w:rFonts w:hint="eastAsia" w:ascii="宋体" w:hAnsi="宋体" w:cs="Times New Roman"/>
          <w:snapToGrid w:val="0"/>
          <w:color w:val="auto"/>
          <w:kern w:val="0"/>
          <w:szCs w:val="28"/>
          <w:highlight w:val="none"/>
          <w:shd w:val="clear" w:color="auto" w:fill="auto"/>
        </w:rPr>
        <w:t>。</w:t>
      </w:r>
    </w:p>
    <w:p w14:paraId="0CAE5C70">
      <w:pPr>
        <w:numPr>
          <w:ilvl w:val="0"/>
          <w:numId w:val="6"/>
        </w:numPr>
        <w:spacing w:line="360" w:lineRule="auto"/>
        <w:ind w:firstLineChars="0"/>
        <w:rPr>
          <w:rStyle w:val="39"/>
          <w:rFonts w:ascii="宋体" w:hAnsi="宋体" w:cs="宋体"/>
          <w:snapToGrid w:val="0"/>
          <w:color w:val="auto"/>
          <w:highlight w:val="none"/>
          <w:shd w:val="clear" w:color="auto" w:fill="auto"/>
        </w:rPr>
      </w:pPr>
      <w:r>
        <w:rPr>
          <w:rStyle w:val="39"/>
          <w:rFonts w:hint="eastAsia" w:ascii="宋体" w:hAnsi="宋体" w:cs="宋体"/>
          <w:snapToGrid w:val="0"/>
          <w:color w:val="auto"/>
          <w:highlight w:val="none"/>
          <w:shd w:val="clear" w:color="auto" w:fill="auto"/>
        </w:rPr>
        <w:t>维护期满将对服务厂商进行售后服务后评估评分，内容包含对生产问题、缺陷及后续完善性需求、监管需求响应的及时性、有效性。评分不合格的，将影响验收及相应款项支付。</w:t>
      </w:r>
    </w:p>
    <w:p w14:paraId="6AF87249">
      <w:pPr>
        <w:numPr>
          <w:ilvl w:val="0"/>
          <w:numId w:val="6"/>
        </w:numPr>
        <w:spacing w:line="360" w:lineRule="auto"/>
        <w:ind w:firstLineChars="0"/>
        <w:rPr>
          <w:rStyle w:val="39"/>
          <w:rFonts w:ascii="宋体" w:hAnsi="宋体" w:cs="宋体"/>
          <w:snapToGrid w:val="0"/>
          <w:color w:val="auto"/>
          <w:highlight w:val="none"/>
          <w:shd w:val="clear" w:color="auto" w:fill="auto"/>
        </w:rPr>
        <w:sectPr>
          <w:footerReference r:id="rId7" w:type="default"/>
          <w:pgSz w:w="11906" w:h="16838"/>
          <w:pgMar w:top="720" w:right="720" w:bottom="720" w:left="720" w:header="851" w:footer="992" w:gutter="0"/>
          <w:pgNumType w:fmt="decimal"/>
          <w:cols w:space="425" w:num="1"/>
          <w:docGrid w:type="lines" w:linePitch="326" w:charSpace="3271"/>
        </w:sectPr>
      </w:pPr>
      <w:r>
        <w:rPr>
          <w:rStyle w:val="39"/>
          <w:rFonts w:hint="eastAsia" w:ascii="宋体" w:hAnsi="宋体" w:cs="宋体"/>
          <w:snapToGrid w:val="0"/>
          <w:color w:val="auto"/>
          <w:highlight w:val="none"/>
          <w:shd w:val="clear" w:color="auto" w:fill="auto"/>
        </w:rPr>
        <w:t>维护期后参选人有义务在本系统的维护、运行管理和开发方面继续给予比选人技术协作和咨询。</w:t>
      </w:r>
    </w:p>
    <w:p w14:paraId="0229025F">
      <w:pPr>
        <w:spacing w:line="360" w:lineRule="auto"/>
        <w:ind w:firstLine="0" w:firstLineChars="0"/>
        <w:rPr>
          <w:rFonts w:ascii="宋体"/>
          <w:color w:val="auto"/>
          <w:highlight w:val="none"/>
          <w:shd w:val="clear" w:color="auto" w:fill="auto"/>
        </w:rPr>
      </w:pPr>
    </w:p>
    <w:p w14:paraId="6EDF174D">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支持方式和手段</w:t>
      </w:r>
      <w:bookmarkEnd w:id="429"/>
      <w:bookmarkEnd w:id="430"/>
      <w:bookmarkEnd w:id="431"/>
    </w:p>
    <w:p w14:paraId="78B45B7B">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热线电话</w:t>
      </w:r>
    </w:p>
    <w:p w14:paraId="74CA449B">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针对具体业务过程中产生的各种技术咨询，开设专线，提供7*24小时的技术服务支持。</w:t>
      </w:r>
    </w:p>
    <w:p w14:paraId="77397AFC">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E-mail</w:t>
      </w:r>
    </w:p>
    <w:p w14:paraId="7618FFC5">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客户建议、意见及技术支持同样可以通过</w:t>
      </w:r>
      <w:r>
        <w:rPr>
          <w:rFonts w:hint="eastAsia" w:ascii="宋体"/>
          <w:color w:val="auto"/>
          <w:highlight w:val="none"/>
          <w:u w:val="single"/>
          <w:shd w:val="clear" w:color="auto" w:fill="auto"/>
        </w:rPr>
        <w:t xml:space="preserve">    XXXXX公司（乙方）  </w:t>
      </w:r>
      <w:r>
        <w:rPr>
          <w:rFonts w:hint="eastAsia" w:ascii="宋体"/>
          <w:color w:val="auto"/>
          <w:highlight w:val="none"/>
          <w:shd w:val="clear" w:color="auto" w:fill="auto"/>
        </w:rPr>
        <w:t>提供的服务支持电子信箱获得响应，我们将做出详细、全面的服务解答，在半天内给予E-mail回复。</w:t>
      </w:r>
    </w:p>
    <w:p w14:paraId="085E4384">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远程登录</w:t>
      </w:r>
    </w:p>
    <w:p w14:paraId="08256F09">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对客户所遇到技术问题可以在客户条件许可的情况下进行远程访问排除故障，以方便客户能够及时解决疑难杂症。</w:t>
      </w:r>
    </w:p>
    <w:p w14:paraId="5CB1C642">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现场支持</w:t>
      </w:r>
    </w:p>
    <w:p w14:paraId="60D7E20B">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对于重大故障或者无法通过远程登录排除的故障，将安排工程师前往现场进行处理，使客户在最短的时间内解决故障，减少故障历时，从而最大限度地减少客户损失，保证在2小时内到现场。</w:t>
      </w:r>
    </w:p>
    <w:p w14:paraId="46C85327">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运行日志定期检查</w:t>
      </w:r>
    </w:p>
    <w:p w14:paraId="5B735DE9">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最好的服务方式是提前发现问题，将问题解决于发生前，在</w:t>
      </w:r>
      <w:r>
        <w:rPr>
          <w:rStyle w:val="39"/>
          <w:rFonts w:hint="eastAsia" w:ascii="宋体" w:hAnsi="宋体"/>
          <w:color w:val="auto"/>
          <w:kern w:val="0"/>
          <w:highlight w:val="none"/>
          <w:shd w:val="clear" w:color="auto" w:fill="auto"/>
        </w:rPr>
        <w:t>乙方</w:t>
      </w:r>
      <w:r>
        <w:rPr>
          <w:rFonts w:hint="eastAsia" w:ascii="宋体"/>
          <w:color w:val="auto"/>
          <w:highlight w:val="none"/>
          <w:shd w:val="clear" w:color="auto" w:fill="auto"/>
        </w:rPr>
        <w:t>实施的系统中，提供了相关的运行日志，通过和客户的协商，通过客户定期提供的运行日志，可实现定期的日志检查，可以提前发现系统的运行问题，以起到防患于未然的效果。</w:t>
      </w:r>
    </w:p>
    <w:p w14:paraId="636684E1">
      <w:pPr>
        <w:numPr>
          <w:ilvl w:val="0"/>
          <w:numId w:val="8"/>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故障处理流程</w:t>
      </w:r>
    </w:p>
    <w:p w14:paraId="42081BD2">
      <w:pPr>
        <w:spacing w:line="360" w:lineRule="auto"/>
        <w:ind w:left="420" w:firstLine="480"/>
        <w:rPr>
          <w:rFonts w:ascii="宋体"/>
          <w:color w:val="auto"/>
          <w:highlight w:val="none"/>
          <w:shd w:val="clear" w:color="auto" w:fill="auto"/>
        </w:rPr>
      </w:pPr>
      <w:r>
        <w:rPr>
          <w:rFonts w:hint="eastAsia" w:ascii="宋体"/>
          <w:color w:val="auto"/>
          <w:highlight w:val="none"/>
          <w:shd w:val="clear" w:color="auto" w:fill="auto"/>
        </w:rPr>
        <w:t>通过现象定位错误原因，编写处理说明书（包含处理完成时间）。</w:t>
      </w:r>
    </w:p>
    <w:p w14:paraId="04678DF6">
      <w:pPr>
        <w:spacing w:line="360" w:lineRule="auto"/>
        <w:ind w:firstLine="0" w:firstLineChars="0"/>
        <w:rPr>
          <w:rFonts w:ascii="宋体" w:hAnsi="宋体" w:cs="Times New Roman"/>
          <w:snapToGrid w:val="0"/>
          <w:color w:val="auto"/>
          <w:kern w:val="0"/>
          <w:szCs w:val="24"/>
          <w:highlight w:val="none"/>
          <w:shd w:val="clear" w:color="auto" w:fill="auto"/>
        </w:rPr>
      </w:pPr>
    </w:p>
    <w:p w14:paraId="03F70034">
      <w:pPr>
        <w:spacing w:line="360" w:lineRule="auto"/>
        <w:ind w:firstLine="0" w:firstLineChars="0"/>
        <w:rPr>
          <w:rFonts w:ascii="宋体" w:hAnsi="宋体" w:cs="Times New Roman"/>
          <w:snapToGrid w:val="0"/>
          <w:color w:val="auto"/>
          <w:kern w:val="0"/>
          <w:szCs w:val="24"/>
          <w:highlight w:val="none"/>
          <w:shd w:val="clear" w:color="auto" w:fill="auto"/>
        </w:rPr>
      </w:pPr>
    </w:p>
    <w:p w14:paraId="58D10301">
      <w:pPr>
        <w:spacing w:line="360" w:lineRule="auto"/>
        <w:ind w:firstLine="0" w:firstLineChars="0"/>
        <w:rPr>
          <w:rFonts w:ascii="宋体" w:hAnsi="宋体" w:cs="Times New Roman"/>
          <w:snapToGrid w:val="0"/>
          <w:color w:val="auto"/>
          <w:kern w:val="0"/>
          <w:szCs w:val="24"/>
          <w:highlight w:val="none"/>
          <w:shd w:val="clear" w:color="auto" w:fill="auto"/>
        </w:rPr>
      </w:pPr>
    </w:p>
    <w:p w14:paraId="1EB14215">
      <w:pPr>
        <w:spacing w:line="360" w:lineRule="auto"/>
        <w:ind w:firstLine="0" w:firstLineChars="0"/>
        <w:rPr>
          <w:rFonts w:ascii="宋体" w:hAnsi="宋体" w:cs="Times New Roman"/>
          <w:snapToGrid w:val="0"/>
          <w:color w:val="auto"/>
          <w:kern w:val="0"/>
          <w:szCs w:val="24"/>
          <w:highlight w:val="none"/>
          <w:shd w:val="clear" w:color="auto" w:fill="auto"/>
        </w:rPr>
      </w:pPr>
    </w:p>
    <w:p w14:paraId="1B9816BA">
      <w:pPr>
        <w:spacing w:line="360" w:lineRule="auto"/>
        <w:ind w:firstLine="0" w:firstLineChars="0"/>
        <w:rPr>
          <w:rFonts w:ascii="宋体" w:hAnsi="宋体" w:cs="Times New Roman"/>
          <w:snapToGrid w:val="0"/>
          <w:color w:val="auto"/>
          <w:kern w:val="0"/>
          <w:szCs w:val="24"/>
          <w:highlight w:val="none"/>
          <w:shd w:val="clear" w:color="auto" w:fill="auto"/>
        </w:rPr>
      </w:pPr>
    </w:p>
    <w:p w14:paraId="574F10F6">
      <w:pPr>
        <w:spacing w:line="360" w:lineRule="auto"/>
        <w:ind w:firstLine="0" w:firstLineChars="0"/>
        <w:rPr>
          <w:rFonts w:ascii="宋体" w:hAnsi="宋体" w:cs="Times New Roman"/>
          <w:snapToGrid w:val="0"/>
          <w:color w:val="auto"/>
          <w:kern w:val="0"/>
          <w:szCs w:val="24"/>
          <w:highlight w:val="none"/>
          <w:shd w:val="clear" w:color="auto" w:fill="auto"/>
        </w:rPr>
      </w:pPr>
    </w:p>
    <w:p w14:paraId="429529BA">
      <w:pPr>
        <w:ind w:firstLine="480"/>
        <w:rPr>
          <w:color w:val="auto"/>
          <w:highlight w:val="none"/>
          <w:shd w:val="clear" w:color="auto" w:fill="auto"/>
        </w:rPr>
      </w:pPr>
      <w:bookmarkStart w:id="432" w:name="_Toc63757485"/>
      <w:r>
        <w:rPr>
          <w:rFonts w:hint="eastAsia"/>
          <w:color w:val="auto"/>
          <w:highlight w:val="none"/>
          <w:shd w:val="clear" w:color="auto" w:fill="auto"/>
        </w:rPr>
        <w:t>附件五：服务水平协议（SLA）</w:t>
      </w:r>
      <w:bookmarkEnd w:id="432"/>
    </w:p>
    <w:p w14:paraId="22BA7216">
      <w:pPr>
        <w:ind w:firstLine="482"/>
        <w:rPr>
          <w:rFonts w:ascii="宋体"/>
          <w:b/>
          <w:bCs/>
          <w:color w:val="auto"/>
          <w:szCs w:val="24"/>
          <w:highlight w:val="none"/>
          <w:shd w:val="clear" w:color="auto" w:fill="auto"/>
        </w:rPr>
      </w:pPr>
      <w:bookmarkStart w:id="433" w:name="_Toc254884639"/>
      <w:r>
        <w:rPr>
          <w:rFonts w:hint="eastAsia" w:ascii="宋体"/>
          <w:b/>
          <w:bCs/>
          <w:color w:val="auto"/>
          <w:kern w:val="32"/>
          <w:szCs w:val="24"/>
          <w:highlight w:val="none"/>
          <w:shd w:val="clear" w:color="auto" w:fill="auto"/>
        </w:rPr>
        <w:t>1. 目标</w:t>
      </w:r>
      <w:bookmarkEnd w:id="433"/>
    </w:p>
    <w:p w14:paraId="61F5B7FA">
      <w:pPr>
        <w:spacing w:line="360" w:lineRule="auto"/>
        <w:ind w:firstLine="480"/>
        <w:rPr>
          <w:rFonts w:ascii="宋体"/>
          <w:color w:val="auto"/>
          <w:szCs w:val="24"/>
          <w:highlight w:val="none"/>
          <w:shd w:val="clear" w:color="auto" w:fill="auto"/>
        </w:rPr>
      </w:pPr>
      <w:r>
        <w:rPr>
          <w:rFonts w:hint="eastAsia" w:ascii="宋体"/>
          <w:color w:val="auto"/>
          <w:szCs w:val="24"/>
          <w:highlight w:val="none"/>
          <w:shd w:val="clear" w:color="auto" w:fill="auto"/>
        </w:rPr>
        <w:t>本服务水平协议（SLA）的目标是为了清晰地定义由xxxxxx公司（乙方）在本项目中为重庆三峡银行（甲方）提供的服务水平，本SLA主要：</w:t>
      </w:r>
    </w:p>
    <w:p w14:paraId="0FBE8CD8">
      <w:pPr>
        <w:widowControl/>
        <w:numPr>
          <w:ilvl w:val="0"/>
          <w:numId w:val="9"/>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明确甲方对外包乙方所提供服务水平的期望</w:t>
      </w:r>
    </w:p>
    <w:p w14:paraId="37F3B818">
      <w:pPr>
        <w:widowControl/>
        <w:numPr>
          <w:ilvl w:val="0"/>
          <w:numId w:val="9"/>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规范和加强甲方对乙方所提供服务水平的控制</w:t>
      </w:r>
    </w:p>
    <w:p w14:paraId="72684858">
      <w:pPr>
        <w:spacing w:line="360" w:lineRule="auto"/>
        <w:ind w:firstLine="480"/>
        <w:rPr>
          <w:rFonts w:ascii="宋体"/>
          <w:color w:val="auto"/>
          <w:szCs w:val="24"/>
          <w:highlight w:val="none"/>
          <w:shd w:val="clear" w:color="auto" w:fill="auto"/>
        </w:rPr>
      </w:pPr>
      <w:r>
        <w:rPr>
          <w:rFonts w:hint="eastAsia" w:ascii="宋体"/>
          <w:color w:val="auto"/>
          <w:szCs w:val="24"/>
          <w:highlight w:val="none"/>
          <w:shd w:val="clear" w:color="auto" w:fill="auto"/>
        </w:rPr>
        <w:t>双方将针对本项目制定明确的职责分工表用来确定计划和管理服务水平协议的角色和职责。</w:t>
      </w:r>
    </w:p>
    <w:p w14:paraId="69C420F8">
      <w:pPr>
        <w:ind w:firstLine="482"/>
        <w:rPr>
          <w:rFonts w:ascii="宋体"/>
          <w:b/>
          <w:bCs/>
          <w:color w:val="auto"/>
          <w:kern w:val="32"/>
          <w:szCs w:val="24"/>
          <w:highlight w:val="none"/>
          <w:shd w:val="clear" w:color="auto" w:fill="auto"/>
        </w:rPr>
      </w:pPr>
      <w:bookmarkStart w:id="434" w:name="_Toc254884640"/>
      <w:r>
        <w:rPr>
          <w:rFonts w:hint="eastAsia" w:ascii="宋体"/>
          <w:b/>
          <w:bCs/>
          <w:color w:val="auto"/>
          <w:kern w:val="32"/>
          <w:szCs w:val="24"/>
          <w:highlight w:val="none"/>
          <w:shd w:val="clear" w:color="auto" w:fill="auto"/>
        </w:rPr>
        <w:t>2. 协议期限</w:t>
      </w:r>
      <w:bookmarkEnd w:id="434"/>
    </w:p>
    <w:p w14:paraId="654A143C">
      <w:pPr>
        <w:spacing w:line="360" w:lineRule="auto"/>
        <w:ind w:firstLine="424" w:firstLineChars="177"/>
        <w:rPr>
          <w:rFonts w:ascii="宋体"/>
          <w:color w:val="auto"/>
          <w:szCs w:val="24"/>
          <w:highlight w:val="none"/>
          <w:shd w:val="clear" w:color="auto" w:fill="auto"/>
        </w:rPr>
      </w:pPr>
      <w:r>
        <w:rPr>
          <w:rFonts w:hint="eastAsia" w:ascii="宋体"/>
          <w:color w:val="auto"/>
          <w:szCs w:val="24"/>
          <w:highlight w:val="none"/>
          <w:shd w:val="clear" w:color="auto" w:fill="auto"/>
        </w:rPr>
        <w:t>根据双方达成的一致要求，本协议的有效期从本项目实施之日起到合同正文</w:t>
      </w:r>
      <w:r>
        <w:rPr>
          <w:rFonts w:hint="eastAsia" w:ascii="宋体"/>
          <w:color w:val="auto"/>
          <w:highlight w:val="none"/>
          <w:shd w:val="clear" w:color="auto" w:fill="auto"/>
        </w:rPr>
        <w:t>6.1承诺的</w:t>
      </w:r>
      <w:r>
        <w:rPr>
          <w:rFonts w:hint="eastAsia" w:ascii="宋体"/>
          <w:color w:val="auto"/>
          <w:szCs w:val="24"/>
          <w:highlight w:val="none"/>
          <w:shd w:val="clear" w:color="auto" w:fill="auto"/>
        </w:rPr>
        <w:t>维护期结束。</w:t>
      </w:r>
    </w:p>
    <w:p w14:paraId="7618CB5B">
      <w:pPr>
        <w:ind w:firstLine="482"/>
        <w:rPr>
          <w:rFonts w:ascii="宋体"/>
          <w:b/>
          <w:bCs/>
          <w:color w:val="auto"/>
          <w:kern w:val="32"/>
          <w:szCs w:val="24"/>
          <w:highlight w:val="none"/>
          <w:shd w:val="clear" w:color="auto" w:fill="auto"/>
        </w:rPr>
      </w:pPr>
      <w:bookmarkStart w:id="435" w:name="_Toc254884641"/>
      <w:r>
        <w:rPr>
          <w:rFonts w:hint="eastAsia" w:ascii="宋体"/>
          <w:b/>
          <w:bCs/>
          <w:color w:val="auto"/>
          <w:kern w:val="32"/>
          <w:szCs w:val="24"/>
          <w:highlight w:val="none"/>
          <w:shd w:val="clear" w:color="auto" w:fill="auto"/>
        </w:rPr>
        <w:t>3. 双方职责</w:t>
      </w:r>
      <w:bookmarkEnd w:id="435"/>
    </w:p>
    <w:p w14:paraId="5CD80304">
      <w:pPr>
        <w:ind w:firstLine="482"/>
        <w:rPr>
          <w:rFonts w:ascii="宋体"/>
          <w:b/>
          <w:bCs/>
          <w:color w:val="auto"/>
          <w:kern w:val="32"/>
          <w:szCs w:val="24"/>
          <w:highlight w:val="none"/>
          <w:shd w:val="clear" w:color="auto" w:fill="auto"/>
        </w:rPr>
      </w:pPr>
      <w:bookmarkStart w:id="436" w:name="_Toc254884642"/>
      <w:r>
        <w:rPr>
          <w:rFonts w:hint="eastAsia" w:ascii="宋体"/>
          <w:b/>
          <w:bCs/>
          <w:color w:val="auto"/>
          <w:kern w:val="32"/>
          <w:szCs w:val="24"/>
          <w:highlight w:val="none"/>
          <w:shd w:val="clear" w:color="auto" w:fill="auto"/>
        </w:rPr>
        <w:t>3.1乙方</w:t>
      </w:r>
      <w:bookmarkEnd w:id="436"/>
    </w:p>
    <w:p w14:paraId="70A56802">
      <w:pPr>
        <w:spacing w:line="360" w:lineRule="auto"/>
        <w:ind w:firstLine="480"/>
        <w:rPr>
          <w:rFonts w:ascii="宋体"/>
          <w:color w:val="auto"/>
          <w:szCs w:val="24"/>
          <w:highlight w:val="none"/>
          <w:shd w:val="clear" w:color="auto" w:fill="auto"/>
        </w:rPr>
      </w:pPr>
      <w:r>
        <w:rPr>
          <w:rFonts w:hint="eastAsia" w:ascii="宋体"/>
          <w:color w:val="auto"/>
          <w:szCs w:val="24"/>
          <w:highlight w:val="none"/>
          <w:shd w:val="clear" w:color="auto" w:fill="auto"/>
        </w:rPr>
        <w:t>除本协议第7条描述的服务水平衡量和目标外，乙方还应：</w:t>
      </w:r>
    </w:p>
    <w:p w14:paraId="7B73396B">
      <w:pPr>
        <w:widowControl/>
        <w:numPr>
          <w:ilvl w:val="0"/>
          <w:numId w:val="9"/>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尽快向甲方管理层汇报发现的问题；</w:t>
      </w:r>
    </w:p>
    <w:p w14:paraId="4AADB6E0">
      <w:pPr>
        <w:widowControl/>
        <w:numPr>
          <w:ilvl w:val="0"/>
          <w:numId w:val="9"/>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任何可能影响SLA中规定服务的服务能力的事件，乙方应尽早向甲方提供预警信息，以及可能的影响和处置措施。事件包括：</w:t>
      </w:r>
    </w:p>
    <w:p w14:paraId="26C56F62">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组织架构变更</w:t>
      </w:r>
    </w:p>
    <w:p w14:paraId="61F62CEC">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技术变更</w:t>
      </w:r>
    </w:p>
    <w:p w14:paraId="40875E67">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职能变更</w:t>
      </w:r>
    </w:p>
    <w:p w14:paraId="74ECB073">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其他可能影响对甲方服务的突发事件</w:t>
      </w:r>
    </w:p>
    <w:p w14:paraId="3A25C58E">
      <w:pPr>
        <w:widowControl/>
        <w:numPr>
          <w:ilvl w:val="0"/>
          <w:numId w:val="9"/>
        </w:numPr>
        <w:tabs>
          <w:tab w:val="clear" w:pos="0"/>
        </w:tabs>
        <w:spacing w:line="360" w:lineRule="auto"/>
        <w:ind w:left="709" w:hanging="229" w:firstLineChars="0"/>
        <w:rPr>
          <w:rFonts w:ascii="宋体"/>
          <w:color w:val="auto"/>
          <w:szCs w:val="24"/>
          <w:highlight w:val="none"/>
          <w:shd w:val="clear" w:color="auto" w:fill="auto"/>
        </w:rPr>
      </w:pPr>
      <w:r>
        <w:rPr>
          <w:rFonts w:hint="eastAsia" w:ascii="宋体"/>
          <w:color w:val="auto"/>
          <w:szCs w:val="24"/>
          <w:highlight w:val="none"/>
          <w:shd w:val="clear" w:color="auto" w:fill="auto"/>
        </w:rPr>
        <w:t xml:space="preserve"> 协助甲方及时解决生产事件。当问题产生时，应尽快采取适当的措施识别并修复问题。</w:t>
      </w:r>
    </w:p>
    <w:p w14:paraId="173A7DF1">
      <w:pPr>
        <w:ind w:firstLine="482"/>
        <w:rPr>
          <w:rFonts w:ascii="宋体"/>
          <w:b/>
          <w:bCs/>
          <w:color w:val="auto"/>
          <w:kern w:val="32"/>
          <w:szCs w:val="24"/>
          <w:highlight w:val="none"/>
          <w:shd w:val="clear" w:color="auto" w:fill="auto"/>
        </w:rPr>
      </w:pPr>
      <w:r>
        <w:rPr>
          <w:rFonts w:hint="eastAsia" w:ascii="宋体"/>
          <w:b/>
          <w:bCs/>
          <w:color w:val="auto"/>
          <w:kern w:val="32"/>
          <w:szCs w:val="24"/>
          <w:highlight w:val="none"/>
          <w:shd w:val="clear" w:color="auto" w:fill="auto"/>
        </w:rPr>
        <w:t>3.2甲方</w:t>
      </w:r>
    </w:p>
    <w:p w14:paraId="148779BB">
      <w:pPr>
        <w:widowControl/>
        <w:numPr>
          <w:ilvl w:val="0"/>
          <w:numId w:val="9"/>
        </w:numPr>
        <w:tabs>
          <w:tab w:val="clear" w:pos="0"/>
        </w:tabs>
        <w:spacing w:line="360" w:lineRule="auto"/>
        <w:ind w:left="709" w:hanging="229" w:firstLineChars="0"/>
        <w:rPr>
          <w:rFonts w:ascii="宋体"/>
          <w:color w:val="auto"/>
          <w:szCs w:val="24"/>
          <w:highlight w:val="none"/>
          <w:shd w:val="clear" w:color="auto" w:fill="auto"/>
        </w:rPr>
      </w:pPr>
      <w:r>
        <w:rPr>
          <w:rFonts w:hint="eastAsia" w:ascii="宋体"/>
          <w:color w:val="auto"/>
          <w:szCs w:val="24"/>
          <w:highlight w:val="none"/>
          <w:shd w:val="clear" w:color="auto" w:fill="auto"/>
        </w:rPr>
        <w:t>甲方将尽快将问题汇报给乙方管理层；</w:t>
      </w:r>
    </w:p>
    <w:p w14:paraId="597D6AD7">
      <w:pPr>
        <w:widowControl/>
        <w:numPr>
          <w:ilvl w:val="0"/>
          <w:numId w:val="9"/>
        </w:numPr>
        <w:tabs>
          <w:tab w:val="clear" w:pos="0"/>
        </w:tabs>
        <w:spacing w:line="360" w:lineRule="auto"/>
        <w:ind w:left="709" w:hanging="229"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提供任何可能影响乙方向甲方提供SLA中规定服务的服务能力的事件信息，包括：</w:t>
      </w:r>
    </w:p>
    <w:p w14:paraId="425A56CD">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组织架构变更</w:t>
      </w:r>
    </w:p>
    <w:p w14:paraId="0553DF34">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技术变更</w:t>
      </w:r>
    </w:p>
    <w:p w14:paraId="5A110990">
      <w:pPr>
        <w:widowControl/>
        <w:numPr>
          <w:ilvl w:val="0"/>
          <w:numId w:val="10"/>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职能变更</w:t>
      </w:r>
    </w:p>
    <w:p w14:paraId="33D33FD3">
      <w:pPr>
        <w:ind w:firstLine="482"/>
        <w:rPr>
          <w:rFonts w:ascii="宋体"/>
          <w:b/>
          <w:bCs/>
          <w:color w:val="auto"/>
          <w:kern w:val="32"/>
          <w:szCs w:val="24"/>
          <w:highlight w:val="none"/>
          <w:shd w:val="clear" w:color="auto" w:fill="auto"/>
        </w:rPr>
      </w:pPr>
      <w:bookmarkStart w:id="437" w:name="_Toc254884644"/>
      <w:r>
        <w:rPr>
          <w:rFonts w:hint="eastAsia" w:ascii="宋体"/>
          <w:b/>
          <w:bCs/>
          <w:color w:val="auto"/>
          <w:kern w:val="32"/>
          <w:szCs w:val="24"/>
          <w:highlight w:val="none"/>
          <w:shd w:val="clear" w:color="auto" w:fill="auto"/>
        </w:rPr>
        <w:t>4. 服务内容</w:t>
      </w:r>
      <w:bookmarkEnd w:id="437"/>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116A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24DA157B">
            <w:pPr>
              <w:spacing w:line="240" w:lineRule="auto"/>
              <w:ind w:firstLine="0" w:firstLineChars="0"/>
              <w:rPr>
                <w:rFonts w:ascii="宋体"/>
                <w:color w:val="auto"/>
                <w:szCs w:val="24"/>
                <w:highlight w:val="none"/>
                <w:shd w:val="clear" w:color="auto" w:fill="auto"/>
              </w:rPr>
            </w:pPr>
            <w:r>
              <w:rPr>
                <w:rFonts w:hint="eastAsia" w:ascii="宋体"/>
                <w:b/>
                <w:bCs/>
                <w:color w:val="auto"/>
                <w:kern w:val="32"/>
                <w:szCs w:val="24"/>
                <w:highlight w:val="none"/>
                <w:shd w:val="clear" w:color="auto" w:fill="auto"/>
              </w:rPr>
              <w:t>4.1技术管理</w:t>
            </w:r>
          </w:p>
        </w:tc>
      </w:tr>
      <w:tr w14:paraId="784A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70C96E5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4.1.1</w:t>
            </w:r>
          </w:p>
        </w:tc>
        <w:tc>
          <w:tcPr>
            <w:tcW w:w="2022" w:type="dxa"/>
            <w:tcBorders>
              <w:tl2br w:val="nil"/>
              <w:tr2bl w:val="nil"/>
            </w:tcBorders>
            <w:vAlign w:val="center"/>
          </w:tcPr>
          <w:p w14:paraId="5180CF50">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项目执行控制</w:t>
            </w:r>
          </w:p>
        </w:tc>
        <w:tc>
          <w:tcPr>
            <w:tcW w:w="6059" w:type="dxa"/>
            <w:tcBorders>
              <w:tl2br w:val="nil"/>
              <w:tr2bl w:val="nil"/>
            </w:tcBorders>
            <w:vAlign w:val="center"/>
          </w:tcPr>
          <w:p w14:paraId="1431826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管理目标、沟通和范围</w:t>
            </w:r>
          </w:p>
        </w:tc>
      </w:tr>
      <w:tr w14:paraId="1A15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36D858D">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4.1.2</w:t>
            </w:r>
          </w:p>
        </w:tc>
        <w:tc>
          <w:tcPr>
            <w:tcW w:w="2022" w:type="dxa"/>
            <w:tcBorders>
              <w:tl2br w:val="nil"/>
              <w:tr2bl w:val="nil"/>
            </w:tcBorders>
            <w:vAlign w:val="center"/>
          </w:tcPr>
          <w:p w14:paraId="6361E0D6">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系统部署</w:t>
            </w:r>
          </w:p>
        </w:tc>
        <w:tc>
          <w:tcPr>
            <w:tcW w:w="6059" w:type="dxa"/>
            <w:tcBorders>
              <w:tl2br w:val="nil"/>
              <w:tr2bl w:val="nil"/>
            </w:tcBorders>
            <w:vAlign w:val="center"/>
          </w:tcPr>
          <w:p w14:paraId="535AEAFF">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在甲方所提供的技术环境内配置和部署系统接入所需的资源</w:t>
            </w:r>
          </w:p>
        </w:tc>
      </w:tr>
      <w:tr w14:paraId="4C0F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3CE00D0D">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4.1.3</w:t>
            </w:r>
          </w:p>
        </w:tc>
        <w:tc>
          <w:tcPr>
            <w:tcW w:w="2022" w:type="dxa"/>
            <w:tcBorders>
              <w:tl2br w:val="nil"/>
              <w:tr2bl w:val="nil"/>
            </w:tcBorders>
            <w:vAlign w:val="center"/>
          </w:tcPr>
          <w:p w14:paraId="4657F73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管理系统</w:t>
            </w:r>
          </w:p>
        </w:tc>
        <w:tc>
          <w:tcPr>
            <w:tcW w:w="6059" w:type="dxa"/>
            <w:tcBorders>
              <w:tl2br w:val="nil"/>
              <w:tr2bl w:val="nil"/>
            </w:tcBorders>
            <w:vAlign w:val="center"/>
          </w:tcPr>
          <w:p w14:paraId="55070302">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管理运行过程中的各个环节和环境（如测试、培训、维护等）</w:t>
            </w:r>
          </w:p>
        </w:tc>
      </w:tr>
      <w:tr w14:paraId="1D71F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A0491BF">
            <w:pPr>
              <w:spacing w:line="240" w:lineRule="auto"/>
              <w:ind w:firstLine="0" w:firstLineChars="0"/>
              <w:rPr>
                <w:rFonts w:ascii="宋体"/>
                <w:b/>
                <w:color w:val="auto"/>
                <w:szCs w:val="24"/>
                <w:highlight w:val="none"/>
                <w:shd w:val="clear" w:color="auto" w:fill="auto"/>
              </w:rPr>
            </w:pPr>
            <w:r>
              <w:rPr>
                <w:rFonts w:hint="eastAsia" w:ascii="宋体"/>
                <w:b/>
                <w:color w:val="auto"/>
                <w:szCs w:val="24"/>
                <w:highlight w:val="none"/>
                <w:shd w:val="clear" w:color="auto" w:fill="auto"/>
              </w:rPr>
              <w:t>4.2系统处理</w:t>
            </w:r>
          </w:p>
        </w:tc>
      </w:tr>
      <w:tr w14:paraId="7E58F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73604606">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4.2.1</w:t>
            </w:r>
          </w:p>
        </w:tc>
        <w:tc>
          <w:tcPr>
            <w:tcW w:w="2022" w:type="dxa"/>
            <w:tcBorders>
              <w:tl2br w:val="nil"/>
              <w:tr2bl w:val="nil"/>
            </w:tcBorders>
            <w:vAlign w:val="center"/>
          </w:tcPr>
          <w:p w14:paraId="605CF2DF">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备份</w:t>
            </w:r>
          </w:p>
        </w:tc>
        <w:tc>
          <w:tcPr>
            <w:tcW w:w="6059" w:type="dxa"/>
            <w:tcBorders>
              <w:tl2br w:val="nil"/>
              <w:tr2bl w:val="nil"/>
            </w:tcBorders>
            <w:vAlign w:val="center"/>
          </w:tcPr>
          <w:p w14:paraId="670341E0">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提供数据容量规划咨询，设计系统的备份策略，完成其有效性验证</w:t>
            </w:r>
          </w:p>
        </w:tc>
      </w:tr>
      <w:tr w14:paraId="10D2C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5576636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4.2.2</w:t>
            </w:r>
          </w:p>
        </w:tc>
        <w:tc>
          <w:tcPr>
            <w:tcW w:w="2022" w:type="dxa"/>
            <w:tcBorders>
              <w:tl2br w:val="nil"/>
              <w:tr2bl w:val="nil"/>
            </w:tcBorders>
            <w:vAlign w:val="center"/>
          </w:tcPr>
          <w:p w14:paraId="55051DCC">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恢复</w:t>
            </w:r>
          </w:p>
        </w:tc>
        <w:tc>
          <w:tcPr>
            <w:tcW w:w="6059" w:type="dxa"/>
            <w:tcBorders>
              <w:tl2br w:val="nil"/>
              <w:tr2bl w:val="nil"/>
            </w:tcBorders>
            <w:vAlign w:val="center"/>
          </w:tcPr>
          <w:p w14:paraId="029D62C5">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设计系统的恢复策略，完成其有效性验证</w:t>
            </w:r>
          </w:p>
        </w:tc>
      </w:tr>
      <w:tr w14:paraId="6A967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17273616">
            <w:pPr>
              <w:spacing w:line="240" w:lineRule="auto"/>
              <w:ind w:firstLine="0" w:firstLineChars="0"/>
              <w:rPr>
                <w:rFonts w:ascii="宋体"/>
                <w:b/>
                <w:color w:val="auto"/>
                <w:szCs w:val="24"/>
                <w:highlight w:val="none"/>
                <w:shd w:val="clear" w:color="auto" w:fill="auto"/>
              </w:rPr>
            </w:pPr>
            <w:r>
              <w:rPr>
                <w:rFonts w:hint="eastAsia" w:ascii="宋体"/>
                <w:b/>
                <w:color w:val="auto"/>
                <w:szCs w:val="24"/>
                <w:highlight w:val="none"/>
                <w:shd w:val="clear" w:color="auto" w:fill="auto"/>
              </w:rPr>
              <w:t>4.3软件开发及测试</w:t>
            </w:r>
          </w:p>
        </w:tc>
      </w:tr>
      <w:tr w14:paraId="2D7BE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79D2658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4.3.1</w:t>
            </w:r>
          </w:p>
        </w:tc>
        <w:tc>
          <w:tcPr>
            <w:tcW w:w="2022" w:type="dxa"/>
            <w:tcBorders>
              <w:tl2br w:val="nil"/>
              <w:tr2bl w:val="nil"/>
            </w:tcBorders>
            <w:vAlign w:val="center"/>
          </w:tcPr>
          <w:p w14:paraId="1E0E97B9">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软件管理</w:t>
            </w:r>
          </w:p>
        </w:tc>
        <w:tc>
          <w:tcPr>
            <w:tcW w:w="6059" w:type="dxa"/>
            <w:tcBorders>
              <w:tl2br w:val="nil"/>
              <w:tr2bl w:val="nil"/>
            </w:tcBorders>
            <w:vAlign w:val="center"/>
          </w:tcPr>
          <w:p w14:paraId="3F0E343F">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负责管理和设计应用软件，配合进行软件过程开发管理</w:t>
            </w:r>
          </w:p>
        </w:tc>
      </w:tr>
      <w:tr w14:paraId="482E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21C65DE0">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4.3.2</w:t>
            </w:r>
          </w:p>
        </w:tc>
        <w:tc>
          <w:tcPr>
            <w:tcW w:w="2022" w:type="dxa"/>
            <w:tcBorders>
              <w:tl2br w:val="nil"/>
              <w:tr2bl w:val="nil"/>
            </w:tcBorders>
            <w:vAlign w:val="center"/>
          </w:tcPr>
          <w:p w14:paraId="3058061A">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系统接口开发</w:t>
            </w:r>
          </w:p>
        </w:tc>
        <w:tc>
          <w:tcPr>
            <w:tcW w:w="6059" w:type="dxa"/>
            <w:tcBorders>
              <w:tl2br w:val="nil"/>
              <w:tr2bl w:val="nil"/>
            </w:tcBorders>
            <w:vAlign w:val="center"/>
          </w:tcPr>
          <w:p w14:paraId="23040A79">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设计和开发系统内部各模块的接口以及与外部系统进行数据交互的接口</w:t>
            </w:r>
          </w:p>
        </w:tc>
      </w:tr>
      <w:tr w14:paraId="3F996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1A848DBD">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4.3.3</w:t>
            </w:r>
          </w:p>
        </w:tc>
        <w:tc>
          <w:tcPr>
            <w:tcW w:w="2022" w:type="dxa"/>
            <w:tcBorders>
              <w:tl2br w:val="nil"/>
              <w:tr2bl w:val="nil"/>
            </w:tcBorders>
            <w:vAlign w:val="center"/>
          </w:tcPr>
          <w:p w14:paraId="5FF1FFA3">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代码开发和测试</w:t>
            </w:r>
          </w:p>
        </w:tc>
        <w:tc>
          <w:tcPr>
            <w:tcW w:w="6059" w:type="dxa"/>
            <w:tcBorders>
              <w:tl2br w:val="nil"/>
              <w:tr2bl w:val="nil"/>
            </w:tcBorders>
            <w:vAlign w:val="center"/>
          </w:tcPr>
          <w:p w14:paraId="5B384B76">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编写代码并且完成开发自测与系统测试</w:t>
            </w:r>
          </w:p>
        </w:tc>
      </w:tr>
      <w:tr w14:paraId="4FE5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6443905F">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4.3.4</w:t>
            </w:r>
          </w:p>
        </w:tc>
        <w:tc>
          <w:tcPr>
            <w:tcW w:w="2022" w:type="dxa"/>
            <w:tcBorders>
              <w:tl2br w:val="nil"/>
              <w:tr2bl w:val="nil"/>
            </w:tcBorders>
            <w:vAlign w:val="center"/>
          </w:tcPr>
          <w:p w14:paraId="48A60CA1">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知识转移</w:t>
            </w:r>
          </w:p>
        </w:tc>
        <w:tc>
          <w:tcPr>
            <w:tcW w:w="6059" w:type="dxa"/>
            <w:tcBorders>
              <w:tl2br w:val="nil"/>
              <w:tr2bl w:val="nil"/>
            </w:tcBorders>
            <w:vAlign w:val="center"/>
          </w:tcPr>
          <w:p w14:paraId="10E8AFBA">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负责现场培训</w:t>
            </w:r>
          </w:p>
        </w:tc>
      </w:tr>
      <w:tr w14:paraId="7170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041D8AFD">
            <w:pPr>
              <w:spacing w:line="240" w:lineRule="auto"/>
              <w:ind w:firstLine="0" w:firstLineChars="0"/>
              <w:rPr>
                <w:rFonts w:ascii="宋体"/>
                <w:b/>
                <w:color w:val="auto"/>
                <w:szCs w:val="24"/>
                <w:highlight w:val="none"/>
                <w:shd w:val="clear" w:color="auto" w:fill="auto"/>
              </w:rPr>
            </w:pPr>
            <w:r>
              <w:rPr>
                <w:rFonts w:hint="eastAsia" w:ascii="宋体"/>
                <w:b/>
                <w:color w:val="auto"/>
                <w:szCs w:val="24"/>
                <w:highlight w:val="none"/>
                <w:shd w:val="clear" w:color="auto" w:fill="auto"/>
              </w:rPr>
              <w:t>4.4 支持和维护</w:t>
            </w:r>
          </w:p>
        </w:tc>
      </w:tr>
      <w:tr w14:paraId="6B98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7BCA64FD">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4.4.1</w:t>
            </w:r>
          </w:p>
        </w:tc>
        <w:tc>
          <w:tcPr>
            <w:tcW w:w="2022" w:type="dxa"/>
            <w:tcBorders>
              <w:tl2br w:val="nil"/>
              <w:tr2bl w:val="nil"/>
            </w:tcBorders>
            <w:vAlign w:val="center"/>
          </w:tcPr>
          <w:p w14:paraId="48510303">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变更管理</w:t>
            </w:r>
          </w:p>
        </w:tc>
        <w:tc>
          <w:tcPr>
            <w:tcW w:w="6059" w:type="dxa"/>
            <w:tcBorders>
              <w:tl2br w:val="nil"/>
              <w:tr2bl w:val="nil"/>
            </w:tcBorders>
            <w:vAlign w:val="center"/>
          </w:tcPr>
          <w:p w14:paraId="3D79C552">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根据变更需求在甲方的技术环境内设计并且执行所有平台和应用软件变更程序</w:t>
            </w:r>
          </w:p>
        </w:tc>
      </w:tr>
      <w:tr w14:paraId="5156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56CDDEF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4.4.2</w:t>
            </w:r>
          </w:p>
        </w:tc>
        <w:tc>
          <w:tcPr>
            <w:tcW w:w="2022" w:type="dxa"/>
            <w:tcBorders>
              <w:tl2br w:val="nil"/>
              <w:tr2bl w:val="nil"/>
            </w:tcBorders>
            <w:vAlign w:val="center"/>
          </w:tcPr>
          <w:p w14:paraId="1C34996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系统监控</w:t>
            </w:r>
          </w:p>
        </w:tc>
        <w:tc>
          <w:tcPr>
            <w:tcW w:w="6059" w:type="dxa"/>
            <w:tcBorders>
              <w:tl2br w:val="nil"/>
              <w:tr2bl w:val="nil"/>
            </w:tcBorders>
            <w:vAlign w:val="center"/>
          </w:tcPr>
          <w:p w14:paraId="51C5CEB5">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提供对系统监控的支持，包括专有硬件设备（如有）、应用系统进程、日志、连接等</w:t>
            </w:r>
          </w:p>
        </w:tc>
      </w:tr>
      <w:tr w14:paraId="4EEF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5E6D0DAA">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4.4.3</w:t>
            </w:r>
          </w:p>
        </w:tc>
        <w:tc>
          <w:tcPr>
            <w:tcW w:w="2022" w:type="dxa"/>
            <w:tcBorders>
              <w:tl2br w:val="nil"/>
              <w:tr2bl w:val="nil"/>
            </w:tcBorders>
            <w:vAlign w:val="center"/>
          </w:tcPr>
          <w:p w14:paraId="537E0362">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发布管理</w:t>
            </w:r>
          </w:p>
        </w:tc>
        <w:tc>
          <w:tcPr>
            <w:tcW w:w="6059" w:type="dxa"/>
            <w:tcBorders>
              <w:tl2br w:val="nil"/>
              <w:tr2bl w:val="nil"/>
            </w:tcBorders>
            <w:vAlign w:val="center"/>
          </w:tcPr>
          <w:p w14:paraId="36602535">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制定测试环境发布方案，协助将具体的目标系统从测试环境移植到生产的上线方案</w:t>
            </w:r>
          </w:p>
        </w:tc>
      </w:tr>
      <w:tr w14:paraId="75B3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F80F51A">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4.4.4</w:t>
            </w:r>
          </w:p>
        </w:tc>
        <w:tc>
          <w:tcPr>
            <w:tcW w:w="2022" w:type="dxa"/>
            <w:tcBorders>
              <w:tl2br w:val="nil"/>
              <w:tr2bl w:val="nil"/>
            </w:tcBorders>
            <w:vAlign w:val="center"/>
          </w:tcPr>
          <w:p w14:paraId="2E7E9686">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安全管理</w:t>
            </w:r>
          </w:p>
        </w:tc>
        <w:tc>
          <w:tcPr>
            <w:tcW w:w="6059" w:type="dxa"/>
            <w:tcBorders>
              <w:tl2br w:val="nil"/>
              <w:tr2bl w:val="nil"/>
            </w:tcBorders>
            <w:vAlign w:val="center"/>
          </w:tcPr>
          <w:p w14:paraId="4FF35B9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配合甲方完成上线前的漏洞扫描、渗透测试等安全评估工作，根据甲方要求完成发现漏洞的整改工作</w:t>
            </w:r>
          </w:p>
        </w:tc>
      </w:tr>
      <w:tr w14:paraId="296C7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224FE59C">
            <w:pPr>
              <w:spacing w:line="240" w:lineRule="auto"/>
              <w:ind w:firstLine="0" w:firstLineChars="0"/>
              <w:rPr>
                <w:rFonts w:ascii="宋体"/>
                <w:b/>
                <w:color w:val="auto"/>
                <w:szCs w:val="24"/>
                <w:highlight w:val="none"/>
                <w:shd w:val="clear" w:color="auto" w:fill="auto"/>
              </w:rPr>
            </w:pPr>
            <w:r>
              <w:rPr>
                <w:rFonts w:hint="eastAsia" w:ascii="宋体"/>
                <w:b/>
                <w:color w:val="auto"/>
                <w:szCs w:val="24"/>
                <w:highlight w:val="none"/>
                <w:shd w:val="clear" w:color="auto" w:fill="auto"/>
              </w:rPr>
              <w:t>4.5 后续支持</w:t>
            </w:r>
          </w:p>
        </w:tc>
      </w:tr>
      <w:tr w14:paraId="5388E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27DAD563">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4.5.1</w:t>
            </w:r>
          </w:p>
        </w:tc>
        <w:tc>
          <w:tcPr>
            <w:tcW w:w="2022" w:type="dxa"/>
            <w:tcBorders>
              <w:tl2br w:val="nil"/>
              <w:tr2bl w:val="nil"/>
            </w:tcBorders>
            <w:vAlign w:val="center"/>
          </w:tcPr>
          <w:p w14:paraId="11B1C79B">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版本安装、更新和升级</w:t>
            </w:r>
          </w:p>
        </w:tc>
        <w:tc>
          <w:tcPr>
            <w:tcW w:w="6059" w:type="dxa"/>
            <w:tcBorders>
              <w:tl2br w:val="nil"/>
              <w:tr2bl w:val="nil"/>
            </w:tcBorders>
            <w:vAlign w:val="center"/>
          </w:tcPr>
          <w:p w14:paraId="05786B4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提供系统版本安装和升级支持，包括响应甲方对生产、测试、开发、培训环境的安装和升级要求；提供硬件更换服务</w:t>
            </w:r>
          </w:p>
        </w:tc>
      </w:tr>
      <w:tr w14:paraId="7195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816" w:type="dxa"/>
            <w:tcBorders>
              <w:tl2br w:val="nil"/>
              <w:tr2bl w:val="nil"/>
            </w:tcBorders>
            <w:vAlign w:val="center"/>
          </w:tcPr>
          <w:p w14:paraId="56197200">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4.5.2</w:t>
            </w:r>
          </w:p>
        </w:tc>
        <w:tc>
          <w:tcPr>
            <w:tcW w:w="2022" w:type="dxa"/>
            <w:tcBorders>
              <w:tl2br w:val="nil"/>
              <w:tr2bl w:val="nil"/>
            </w:tcBorders>
            <w:vAlign w:val="center"/>
          </w:tcPr>
          <w:p w14:paraId="43C87A0D">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安全漏洞整改</w:t>
            </w:r>
          </w:p>
        </w:tc>
        <w:tc>
          <w:tcPr>
            <w:tcW w:w="6059" w:type="dxa"/>
            <w:tcBorders>
              <w:tl2br w:val="nil"/>
              <w:tr2bl w:val="nil"/>
            </w:tcBorders>
            <w:vAlign w:val="center"/>
          </w:tcPr>
          <w:p w14:paraId="79F0CE1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针对系统运行过程中发现的安全漏洞，根据甲方要求完成整改工作</w:t>
            </w:r>
          </w:p>
        </w:tc>
      </w:tr>
      <w:tr w14:paraId="4C79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0D31C38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4.5.3</w:t>
            </w:r>
          </w:p>
        </w:tc>
        <w:tc>
          <w:tcPr>
            <w:tcW w:w="2022" w:type="dxa"/>
            <w:tcBorders>
              <w:tl2br w:val="nil"/>
              <w:tr2bl w:val="nil"/>
            </w:tcBorders>
            <w:vAlign w:val="center"/>
          </w:tcPr>
          <w:p w14:paraId="43A00F4B">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服务台支持</w:t>
            </w:r>
          </w:p>
        </w:tc>
        <w:tc>
          <w:tcPr>
            <w:tcW w:w="6059" w:type="dxa"/>
            <w:tcBorders>
              <w:tl2br w:val="nil"/>
              <w:tr2bl w:val="nil"/>
            </w:tcBorders>
            <w:vAlign w:val="center"/>
          </w:tcPr>
          <w:p w14:paraId="36428811">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提供7×24小时的技术支持服务</w:t>
            </w:r>
          </w:p>
        </w:tc>
      </w:tr>
      <w:tr w14:paraId="33BD7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5C6736FC">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4.5.4</w:t>
            </w:r>
          </w:p>
        </w:tc>
        <w:tc>
          <w:tcPr>
            <w:tcW w:w="2022" w:type="dxa"/>
            <w:tcBorders>
              <w:tl2br w:val="nil"/>
              <w:tr2bl w:val="nil"/>
            </w:tcBorders>
            <w:vAlign w:val="center"/>
          </w:tcPr>
          <w:p w14:paraId="379EADE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巡检服务</w:t>
            </w:r>
          </w:p>
        </w:tc>
        <w:tc>
          <w:tcPr>
            <w:tcW w:w="6059" w:type="dxa"/>
            <w:tcBorders>
              <w:tl2br w:val="nil"/>
              <w:tr2bl w:val="nil"/>
            </w:tcBorders>
            <w:vAlign w:val="center"/>
          </w:tcPr>
          <w:p w14:paraId="296ADC21">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提供系统运行状况报告</w:t>
            </w:r>
          </w:p>
        </w:tc>
      </w:tr>
      <w:tr w14:paraId="4815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53D238F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4.5.5</w:t>
            </w:r>
          </w:p>
        </w:tc>
        <w:tc>
          <w:tcPr>
            <w:tcW w:w="2022" w:type="dxa"/>
            <w:tcBorders>
              <w:tl2br w:val="nil"/>
              <w:tr2bl w:val="nil"/>
            </w:tcBorders>
            <w:vAlign w:val="center"/>
          </w:tcPr>
          <w:p w14:paraId="442C8D3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现场问题解决</w:t>
            </w:r>
          </w:p>
        </w:tc>
        <w:tc>
          <w:tcPr>
            <w:tcW w:w="6059" w:type="dxa"/>
            <w:tcBorders>
              <w:tl2br w:val="nil"/>
              <w:tr2bl w:val="nil"/>
            </w:tcBorders>
            <w:vAlign w:val="center"/>
          </w:tcPr>
          <w:p w14:paraId="3D2867E9">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提供重大问题现场解决，提供系统性能、容量、问题报告</w:t>
            </w:r>
          </w:p>
        </w:tc>
      </w:tr>
      <w:tr w14:paraId="363F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047418F0">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4.5.6</w:t>
            </w:r>
          </w:p>
        </w:tc>
        <w:tc>
          <w:tcPr>
            <w:tcW w:w="2022" w:type="dxa"/>
            <w:tcBorders>
              <w:tl2br w:val="nil"/>
              <w:tr2bl w:val="nil"/>
            </w:tcBorders>
            <w:vAlign w:val="center"/>
          </w:tcPr>
          <w:p w14:paraId="0C817FC8">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响应要求</w:t>
            </w:r>
          </w:p>
        </w:tc>
        <w:tc>
          <w:tcPr>
            <w:tcW w:w="6059" w:type="dxa"/>
            <w:tcBorders>
              <w:tl2br w:val="nil"/>
              <w:tr2bl w:val="nil"/>
            </w:tcBorders>
            <w:vAlign w:val="center"/>
          </w:tcPr>
          <w:p w14:paraId="6BB5F414">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要求按服务水平和指标及时响应：</w:t>
            </w:r>
          </w:p>
          <w:p w14:paraId="496B46FA">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3304D212">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二级响应：系统的运行性能严重下降，或性能明显下降，对业务运作产生明显影响。响应时间1小时内，必要时4小时到达，8小时内排除问题；</w:t>
            </w:r>
          </w:p>
          <w:p w14:paraId="53F6D321">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三级响应：系统的运作性能受损，但业务仍可正常运行，响应时间12小时内，必要时24小时到达，1周内排除问题；</w:t>
            </w:r>
          </w:p>
          <w:p w14:paraId="32BCC75C">
            <w:pPr>
              <w:spacing w:line="240" w:lineRule="auto"/>
              <w:ind w:firstLine="0" w:firstLineChars="0"/>
              <w:rPr>
                <w:rFonts w:ascii="宋体"/>
                <w:color w:val="auto"/>
                <w:szCs w:val="24"/>
                <w:highlight w:val="none"/>
                <w:shd w:val="clear" w:color="auto" w:fill="auto"/>
              </w:rPr>
            </w:pPr>
            <w:r>
              <w:rPr>
                <w:rFonts w:hint="eastAsia" w:ascii="宋体"/>
                <w:color w:val="auto"/>
                <w:szCs w:val="24"/>
                <w:highlight w:val="none"/>
                <w:shd w:val="clear" w:color="auto" w:fill="auto"/>
              </w:rPr>
              <w:t>四级响应：对系统安装或配置方面需要咨询或支援，很显然对业务运作几乎无影响，或根本没有影响。响应时间24小时内，必要时48小时到达，2周内排除问题。</w:t>
            </w:r>
          </w:p>
        </w:tc>
      </w:tr>
    </w:tbl>
    <w:p w14:paraId="79893115">
      <w:pPr>
        <w:ind w:firstLine="482"/>
        <w:rPr>
          <w:rFonts w:ascii="宋体"/>
          <w:b/>
          <w:bCs/>
          <w:color w:val="auto"/>
          <w:kern w:val="32"/>
          <w:szCs w:val="24"/>
          <w:highlight w:val="none"/>
          <w:shd w:val="clear" w:color="auto" w:fill="auto"/>
        </w:rPr>
      </w:pPr>
      <w:bookmarkStart w:id="438" w:name="_Toc254884645"/>
      <w:r>
        <w:rPr>
          <w:rFonts w:hint="eastAsia" w:ascii="宋体"/>
          <w:b/>
          <w:bCs/>
          <w:color w:val="auto"/>
          <w:kern w:val="32"/>
          <w:szCs w:val="24"/>
          <w:highlight w:val="none"/>
          <w:shd w:val="clear" w:color="auto" w:fill="auto"/>
        </w:rPr>
        <w:t>5. 问题管理流程</w:t>
      </w:r>
      <w:bookmarkEnd w:id="438"/>
    </w:p>
    <w:p w14:paraId="046117D2">
      <w:pPr>
        <w:ind w:firstLine="482"/>
        <w:rPr>
          <w:rFonts w:ascii="宋体"/>
          <w:b/>
          <w:bCs/>
          <w:color w:val="auto"/>
          <w:kern w:val="32"/>
          <w:szCs w:val="24"/>
          <w:highlight w:val="none"/>
          <w:shd w:val="clear" w:color="auto" w:fill="auto"/>
        </w:rPr>
      </w:pPr>
      <w:bookmarkStart w:id="439" w:name="_Toc254884646"/>
      <w:r>
        <w:rPr>
          <w:rFonts w:hint="eastAsia" w:ascii="宋体"/>
          <w:b/>
          <w:bCs/>
          <w:color w:val="auto"/>
          <w:kern w:val="32"/>
          <w:szCs w:val="24"/>
          <w:highlight w:val="none"/>
          <w:shd w:val="clear" w:color="auto" w:fill="auto"/>
        </w:rPr>
        <w:t>5.1问题处理流程</w:t>
      </w:r>
      <w:bookmarkEnd w:id="439"/>
    </w:p>
    <w:p w14:paraId="40067B82">
      <w:pPr>
        <w:widowControl/>
        <w:numPr>
          <w:ilvl w:val="0"/>
          <w:numId w:val="11"/>
        </w:numPr>
        <w:spacing w:line="360" w:lineRule="auto"/>
        <w:ind w:left="0" w:firstLine="648" w:firstLineChars="270"/>
        <w:rPr>
          <w:rFonts w:ascii="宋体"/>
          <w:color w:val="auto"/>
          <w:szCs w:val="24"/>
          <w:highlight w:val="none"/>
          <w:shd w:val="clear" w:color="auto" w:fill="auto"/>
        </w:rPr>
      </w:pPr>
      <w:r>
        <w:rPr>
          <w:rFonts w:hint="eastAsia" w:ascii="宋体"/>
          <w:color w:val="auto"/>
          <w:szCs w:val="24"/>
          <w:highlight w:val="none"/>
          <w:shd w:val="clear" w:color="auto" w:fill="auto"/>
        </w:rPr>
        <w:t>甲方或乙方均可以首先提出对问题解决方案有不同意见的看法；</w:t>
      </w:r>
    </w:p>
    <w:p w14:paraId="5B84AF8F">
      <w:pPr>
        <w:widowControl/>
        <w:numPr>
          <w:ilvl w:val="0"/>
          <w:numId w:val="11"/>
        </w:numPr>
        <w:spacing w:line="360" w:lineRule="auto"/>
        <w:ind w:left="0" w:firstLine="648" w:firstLineChars="270"/>
        <w:rPr>
          <w:rFonts w:ascii="宋体"/>
          <w:color w:val="auto"/>
          <w:szCs w:val="24"/>
          <w:highlight w:val="none"/>
          <w:shd w:val="clear" w:color="auto" w:fill="auto"/>
        </w:rPr>
      </w:pPr>
      <w:r>
        <w:rPr>
          <w:rFonts w:hint="eastAsia" w:ascii="宋体"/>
          <w:color w:val="auto"/>
          <w:szCs w:val="24"/>
          <w:highlight w:val="none"/>
          <w:shd w:val="clear" w:color="auto" w:fill="auto"/>
        </w:rPr>
        <w:t>甲方管理层和乙方管理层将决定问题是否需要提升到更高的管理层；</w:t>
      </w:r>
    </w:p>
    <w:p w14:paraId="01580071">
      <w:pPr>
        <w:widowControl/>
        <w:numPr>
          <w:ilvl w:val="0"/>
          <w:numId w:val="11"/>
        </w:numPr>
        <w:spacing w:line="360" w:lineRule="auto"/>
        <w:ind w:left="0" w:firstLine="648" w:firstLineChars="270"/>
        <w:rPr>
          <w:rFonts w:ascii="宋体"/>
          <w:color w:val="auto"/>
          <w:szCs w:val="24"/>
          <w:highlight w:val="none"/>
          <w:shd w:val="clear" w:color="auto" w:fill="auto"/>
        </w:rPr>
      </w:pPr>
      <w:r>
        <w:rPr>
          <w:rFonts w:hint="eastAsia" w:ascii="宋体"/>
          <w:color w:val="auto"/>
          <w:szCs w:val="24"/>
          <w:highlight w:val="none"/>
          <w:shd w:val="clear" w:color="auto" w:fill="auto"/>
        </w:rPr>
        <w:t>及时召开相关的会议讨论和解决问题，问题的相关文档应提前一天发送到与会者；</w:t>
      </w:r>
    </w:p>
    <w:p w14:paraId="743AAA7F">
      <w:pPr>
        <w:widowControl/>
        <w:numPr>
          <w:ilvl w:val="0"/>
          <w:numId w:val="11"/>
        </w:numPr>
        <w:spacing w:line="360" w:lineRule="auto"/>
        <w:ind w:left="0" w:firstLine="648" w:firstLineChars="270"/>
        <w:rPr>
          <w:rFonts w:ascii="宋体"/>
          <w:color w:val="auto"/>
          <w:szCs w:val="24"/>
          <w:highlight w:val="none"/>
          <w:shd w:val="clear" w:color="auto" w:fill="auto"/>
        </w:rPr>
      </w:pPr>
      <w:r>
        <w:rPr>
          <w:rFonts w:hint="eastAsia" w:ascii="宋体"/>
          <w:color w:val="auto"/>
          <w:szCs w:val="24"/>
          <w:highlight w:val="none"/>
          <w:shd w:val="clear" w:color="auto" w:fill="auto"/>
        </w:rPr>
        <w:t>如有必要，甲方和乙方管理层在永久性解决方案出台之前可以先共同达成一套临时性的解决方案。乙方可以在会后与各利益相关方沟通并达成永久性的解决方案；</w:t>
      </w:r>
    </w:p>
    <w:p w14:paraId="4168948C">
      <w:pPr>
        <w:widowControl/>
        <w:numPr>
          <w:ilvl w:val="0"/>
          <w:numId w:val="11"/>
        </w:numPr>
        <w:spacing w:line="360" w:lineRule="auto"/>
        <w:ind w:left="0" w:firstLine="648" w:firstLineChars="270"/>
        <w:rPr>
          <w:rFonts w:ascii="宋体"/>
          <w:color w:val="auto"/>
          <w:szCs w:val="24"/>
          <w:highlight w:val="none"/>
          <w:shd w:val="clear" w:color="auto" w:fill="auto"/>
        </w:rPr>
      </w:pPr>
      <w:r>
        <w:rPr>
          <w:rFonts w:hint="eastAsia" w:ascii="宋体"/>
          <w:color w:val="auto"/>
          <w:szCs w:val="24"/>
          <w:highlight w:val="none"/>
          <w:shd w:val="clear" w:color="auto" w:fill="auto"/>
        </w:rPr>
        <w:t>如果问题最终仍没解决，甲方和乙方双方可以申请仲裁来达成最终的一致方案。</w:t>
      </w:r>
    </w:p>
    <w:p w14:paraId="460877E6">
      <w:pPr>
        <w:ind w:firstLine="482"/>
        <w:rPr>
          <w:rFonts w:ascii="宋体"/>
          <w:b/>
          <w:bCs/>
          <w:color w:val="auto"/>
          <w:kern w:val="32"/>
          <w:szCs w:val="24"/>
          <w:highlight w:val="none"/>
          <w:shd w:val="clear" w:color="auto" w:fill="auto"/>
        </w:rPr>
      </w:pPr>
      <w:bookmarkStart w:id="440" w:name="_Toc254884647"/>
      <w:r>
        <w:rPr>
          <w:rFonts w:hint="eastAsia" w:ascii="宋体"/>
          <w:b/>
          <w:bCs/>
          <w:color w:val="auto"/>
          <w:kern w:val="32"/>
          <w:szCs w:val="24"/>
          <w:highlight w:val="none"/>
          <w:shd w:val="clear" w:color="auto" w:fill="auto"/>
        </w:rPr>
        <w:t>5.2问题升级流程</w:t>
      </w:r>
      <w:bookmarkEnd w:id="440"/>
    </w:p>
    <w:p w14:paraId="0E33620D">
      <w:pPr>
        <w:widowControl/>
        <w:numPr>
          <w:ilvl w:val="0"/>
          <w:numId w:val="12"/>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甲方或者乙方都有可能首先提出该流程；</w:t>
      </w:r>
    </w:p>
    <w:p w14:paraId="6BD5D110">
      <w:pPr>
        <w:widowControl/>
        <w:numPr>
          <w:ilvl w:val="0"/>
          <w:numId w:val="12"/>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首先提出的一方应及时通知对方问题升级流程已经启动；</w:t>
      </w:r>
    </w:p>
    <w:p w14:paraId="1C518DFE">
      <w:pPr>
        <w:widowControl/>
        <w:numPr>
          <w:ilvl w:val="0"/>
          <w:numId w:val="12"/>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问题升级到的管理层应当事先定义在联络人表中；</w:t>
      </w:r>
    </w:p>
    <w:p w14:paraId="12041252">
      <w:pPr>
        <w:widowControl/>
        <w:numPr>
          <w:ilvl w:val="0"/>
          <w:numId w:val="12"/>
        </w:numPr>
        <w:tabs>
          <w:tab w:val="clear" w:pos="0"/>
        </w:tabs>
        <w:spacing w:line="360" w:lineRule="auto"/>
        <w:ind w:firstLineChars="0"/>
        <w:rPr>
          <w:rFonts w:ascii="宋体"/>
          <w:color w:val="auto"/>
          <w:szCs w:val="24"/>
          <w:highlight w:val="none"/>
          <w:shd w:val="clear" w:color="auto" w:fill="auto"/>
        </w:rPr>
      </w:pPr>
      <w:r>
        <w:rPr>
          <w:rFonts w:hint="eastAsia" w:ascii="宋体"/>
          <w:color w:val="auto"/>
          <w:szCs w:val="24"/>
          <w:highlight w:val="none"/>
          <w:shd w:val="clear" w:color="auto" w:fill="auto"/>
        </w:rPr>
        <w:t>问题升级的层次在甲方和乙方之间应当保持一致，直至解决该问题。</w:t>
      </w:r>
    </w:p>
    <w:p w14:paraId="783F6EF3">
      <w:pPr>
        <w:ind w:firstLine="482"/>
        <w:rPr>
          <w:rFonts w:ascii="宋体"/>
          <w:b/>
          <w:bCs/>
          <w:color w:val="auto"/>
          <w:kern w:val="32"/>
          <w:szCs w:val="24"/>
          <w:highlight w:val="none"/>
          <w:shd w:val="clear" w:color="auto" w:fill="auto"/>
        </w:rPr>
      </w:pPr>
      <w:bookmarkStart w:id="441" w:name="_Toc254884648"/>
      <w:r>
        <w:rPr>
          <w:rFonts w:hint="eastAsia" w:ascii="宋体"/>
          <w:b/>
          <w:bCs/>
          <w:color w:val="auto"/>
          <w:kern w:val="32"/>
          <w:szCs w:val="24"/>
          <w:highlight w:val="none"/>
          <w:shd w:val="clear" w:color="auto" w:fill="auto"/>
        </w:rPr>
        <w:t>5.3联络表</w:t>
      </w:r>
      <w:bookmarkEnd w:id="441"/>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233DD8E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E03DE42">
            <w:pPr>
              <w:spacing w:line="360" w:lineRule="auto"/>
              <w:ind w:firstLine="482"/>
              <w:jc w:val="center"/>
              <w:rPr>
                <w:rFonts w:ascii="宋体"/>
                <w:color w:val="auto"/>
                <w:szCs w:val="24"/>
                <w:highlight w:val="none"/>
                <w:shd w:val="clear" w:color="auto" w:fill="auto"/>
              </w:rPr>
            </w:pPr>
            <w:r>
              <w:rPr>
                <w:rFonts w:hint="eastAsia" w:ascii="宋体"/>
                <w:b/>
                <w:color w:val="auto"/>
                <w:szCs w:val="24"/>
                <w:highlight w:val="none"/>
                <w:shd w:val="clear" w:color="auto" w:fill="auto"/>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8396E41">
            <w:pPr>
              <w:spacing w:line="360" w:lineRule="auto"/>
              <w:ind w:firstLine="482"/>
              <w:jc w:val="center"/>
              <w:rPr>
                <w:rFonts w:ascii="宋体"/>
                <w:b/>
                <w:color w:val="auto"/>
                <w:szCs w:val="24"/>
                <w:highlight w:val="none"/>
                <w:shd w:val="clear" w:color="auto" w:fill="auto"/>
              </w:rPr>
            </w:pPr>
            <w:r>
              <w:rPr>
                <w:rFonts w:hint="eastAsia" w:ascii="宋体"/>
                <w:b/>
                <w:color w:val="auto"/>
                <w:szCs w:val="24"/>
                <w:highlight w:val="none"/>
                <w:shd w:val="clear" w:color="auto" w:fill="auto"/>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F7D4FC8">
            <w:pPr>
              <w:spacing w:line="360" w:lineRule="auto"/>
              <w:ind w:firstLine="482"/>
              <w:jc w:val="center"/>
              <w:rPr>
                <w:rFonts w:ascii="宋体"/>
                <w:b/>
                <w:color w:val="auto"/>
                <w:szCs w:val="24"/>
                <w:highlight w:val="none"/>
                <w:shd w:val="clear" w:color="auto" w:fill="auto"/>
              </w:rPr>
            </w:pPr>
            <w:r>
              <w:rPr>
                <w:rFonts w:hint="eastAsia" w:ascii="宋体"/>
                <w:b/>
                <w:color w:val="auto"/>
                <w:szCs w:val="24"/>
                <w:highlight w:val="none"/>
                <w:shd w:val="clear" w:color="auto" w:fill="auto"/>
              </w:rPr>
              <w:t>电话</w:t>
            </w:r>
          </w:p>
        </w:tc>
      </w:tr>
      <w:tr w14:paraId="2922E1B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9DA2D48">
            <w:pPr>
              <w:spacing w:line="360" w:lineRule="auto"/>
              <w:ind w:firstLine="480"/>
              <w:jc w:val="center"/>
              <w:rPr>
                <w:rFonts w:ascii="宋体"/>
                <w:color w:val="auto"/>
                <w:szCs w:val="24"/>
                <w:highlight w:val="none"/>
                <w:shd w:val="clear" w:color="auto" w:fill="auto"/>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44C2E8D">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DC67C05">
            <w:pPr>
              <w:spacing w:line="360" w:lineRule="auto"/>
              <w:ind w:firstLine="480"/>
              <w:jc w:val="center"/>
              <w:rPr>
                <w:rFonts w:ascii="宋体"/>
                <w:color w:val="auto"/>
                <w:szCs w:val="24"/>
                <w:highlight w:val="none"/>
                <w:shd w:val="clear" w:color="auto" w:fill="auto"/>
              </w:rPr>
            </w:pPr>
          </w:p>
        </w:tc>
      </w:tr>
      <w:tr w14:paraId="7AA0C3D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1B5D252">
            <w:pPr>
              <w:spacing w:line="360" w:lineRule="auto"/>
              <w:ind w:firstLine="480"/>
              <w:jc w:val="center"/>
              <w:rPr>
                <w:rFonts w:ascii="宋体"/>
                <w:color w:val="auto"/>
                <w:szCs w:val="24"/>
                <w:highlight w:val="none"/>
                <w:shd w:val="clear" w:color="auto" w:fill="auto"/>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45736E1">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AD8C566">
            <w:pPr>
              <w:spacing w:line="360" w:lineRule="auto"/>
              <w:ind w:firstLine="480"/>
              <w:jc w:val="center"/>
              <w:rPr>
                <w:rFonts w:ascii="宋体"/>
                <w:color w:val="auto"/>
                <w:szCs w:val="24"/>
                <w:highlight w:val="none"/>
                <w:shd w:val="clear" w:color="auto" w:fill="auto"/>
              </w:rPr>
            </w:pPr>
          </w:p>
        </w:tc>
      </w:tr>
      <w:tr w14:paraId="5E64D21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2B8A4A7">
            <w:pPr>
              <w:spacing w:line="360" w:lineRule="auto"/>
              <w:ind w:firstLine="480"/>
              <w:jc w:val="center"/>
              <w:rPr>
                <w:rFonts w:ascii="宋体"/>
                <w:color w:val="auto"/>
                <w:szCs w:val="24"/>
                <w:highlight w:val="none"/>
                <w:shd w:val="clear" w:color="auto" w:fill="auto"/>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CDA1323">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12D47E0">
            <w:pPr>
              <w:spacing w:line="360" w:lineRule="auto"/>
              <w:ind w:firstLine="480"/>
              <w:jc w:val="center"/>
              <w:rPr>
                <w:rFonts w:ascii="宋体"/>
                <w:color w:val="auto"/>
                <w:szCs w:val="24"/>
                <w:highlight w:val="none"/>
                <w:shd w:val="clear" w:color="auto" w:fill="auto"/>
              </w:rPr>
            </w:pPr>
          </w:p>
        </w:tc>
      </w:tr>
      <w:tr w14:paraId="0D2EBF0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66F3CD9">
            <w:pPr>
              <w:spacing w:line="360" w:lineRule="auto"/>
              <w:ind w:firstLine="480"/>
              <w:jc w:val="center"/>
              <w:rPr>
                <w:rFonts w:ascii="宋体"/>
                <w:color w:val="auto"/>
                <w:szCs w:val="24"/>
                <w:highlight w:val="none"/>
                <w:shd w:val="clear" w:color="auto" w:fill="auto"/>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6123449">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61C1852">
            <w:pPr>
              <w:spacing w:line="360" w:lineRule="auto"/>
              <w:ind w:firstLine="480"/>
              <w:jc w:val="center"/>
              <w:rPr>
                <w:rFonts w:ascii="宋体"/>
                <w:color w:val="auto"/>
                <w:szCs w:val="24"/>
                <w:highlight w:val="none"/>
                <w:shd w:val="clear" w:color="auto" w:fill="auto"/>
              </w:rPr>
            </w:pPr>
          </w:p>
        </w:tc>
      </w:tr>
    </w:tbl>
    <w:p w14:paraId="66033931">
      <w:pPr>
        <w:ind w:firstLine="482"/>
        <w:rPr>
          <w:rFonts w:ascii="宋体"/>
          <w:b/>
          <w:bCs/>
          <w:color w:val="auto"/>
          <w:kern w:val="32"/>
          <w:szCs w:val="24"/>
          <w:highlight w:val="none"/>
          <w:shd w:val="clear" w:color="auto" w:fill="auto"/>
        </w:rPr>
      </w:pPr>
      <w:bookmarkStart w:id="442" w:name="_Toc254884649"/>
      <w:r>
        <w:rPr>
          <w:rFonts w:hint="eastAsia" w:ascii="宋体"/>
          <w:b/>
          <w:bCs/>
          <w:color w:val="auto"/>
          <w:kern w:val="32"/>
          <w:szCs w:val="24"/>
          <w:highlight w:val="none"/>
          <w:shd w:val="clear" w:color="auto" w:fill="auto"/>
        </w:rPr>
        <w:t>6. 汇报内容及流程</w:t>
      </w:r>
      <w:bookmarkEnd w:id="442"/>
    </w:p>
    <w:p w14:paraId="3C8F9461">
      <w:pPr>
        <w:spacing w:line="360" w:lineRule="auto"/>
        <w:ind w:firstLine="480"/>
        <w:rPr>
          <w:rFonts w:ascii="宋体"/>
          <w:color w:val="auto"/>
          <w:szCs w:val="24"/>
          <w:highlight w:val="none"/>
          <w:shd w:val="clear" w:color="auto" w:fill="auto"/>
        </w:rPr>
      </w:pPr>
      <w:r>
        <w:rPr>
          <w:rFonts w:hint="eastAsia" w:ascii="宋体"/>
          <w:color w:val="auto"/>
          <w:szCs w:val="24"/>
          <w:highlight w:val="none"/>
          <w:shd w:val="clear" w:color="auto" w:fill="auto"/>
        </w:rPr>
        <w:t>乙方应当在每星期五向甲方提交工作周报，包括项目情况跟踪及问题报告等，附带的性能报告（如有）也将递交给甲方项目经理。如发生突发事件，乙方也应第一时间向甲方项目经理报告。</w:t>
      </w:r>
    </w:p>
    <w:p w14:paraId="789A87F8">
      <w:pPr>
        <w:ind w:firstLine="482"/>
        <w:rPr>
          <w:rFonts w:ascii="宋体"/>
          <w:b/>
          <w:bCs/>
          <w:color w:val="auto"/>
          <w:kern w:val="32"/>
          <w:szCs w:val="24"/>
          <w:highlight w:val="none"/>
          <w:shd w:val="clear" w:color="auto" w:fill="auto"/>
        </w:rPr>
      </w:pPr>
      <w:bookmarkStart w:id="443" w:name="_Toc254884650"/>
      <w:r>
        <w:rPr>
          <w:rFonts w:hint="eastAsia" w:ascii="宋体"/>
          <w:b/>
          <w:bCs/>
          <w:color w:val="auto"/>
          <w:kern w:val="32"/>
          <w:szCs w:val="24"/>
          <w:highlight w:val="none"/>
          <w:shd w:val="clear" w:color="auto" w:fill="auto"/>
        </w:rPr>
        <w:t>7. 服务水平和指标</w:t>
      </w:r>
      <w:bookmarkEnd w:id="443"/>
    </w:p>
    <w:p w14:paraId="40EE78BC">
      <w:pPr>
        <w:widowControl/>
        <w:numPr>
          <w:ilvl w:val="0"/>
          <w:numId w:val="13"/>
        </w:numPr>
        <w:tabs>
          <w:tab w:val="clear" w:pos="0"/>
        </w:tabs>
        <w:spacing w:line="360" w:lineRule="auto"/>
        <w:ind w:left="0" w:hanging="2" w:firstLineChars="0"/>
        <w:rPr>
          <w:rFonts w:ascii="宋体"/>
          <w:color w:val="auto"/>
          <w:szCs w:val="24"/>
          <w:highlight w:val="none"/>
          <w:shd w:val="clear" w:color="auto" w:fill="auto"/>
        </w:rPr>
      </w:pPr>
      <w:r>
        <w:rPr>
          <w:rFonts w:hint="eastAsia" w:ascii="宋体"/>
          <w:color w:val="auto"/>
          <w:szCs w:val="24"/>
          <w:highlight w:val="none"/>
          <w:shd w:val="clear" w:color="auto" w:fill="auto"/>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1"/>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417"/>
        <w:gridCol w:w="1701"/>
        <w:gridCol w:w="1843"/>
        <w:gridCol w:w="1984"/>
        <w:gridCol w:w="709"/>
      </w:tblGrid>
      <w:tr w14:paraId="311A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l2br w:val="nil"/>
              <w:tr2bl w:val="nil"/>
            </w:tcBorders>
            <w:shd w:val="clear" w:color="auto" w:fill="auto"/>
            <w:vAlign w:val="center"/>
          </w:tcPr>
          <w:p w14:paraId="45F17A07">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序号</w:t>
            </w:r>
          </w:p>
        </w:tc>
        <w:tc>
          <w:tcPr>
            <w:tcW w:w="710" w:type="dxa"/>
            <w:tcBorders>
              <w:tl2br w:val="nil"/>
              <w:tr2bl w:val="nil"/>
            </w:tcBorders>
            <w:shd w:val="clear" w:color="auto" w:fill="auto"/>
            <w:vAlign w:val="center"/>
          </w:tcPr>
          <w:p w14:paraId="2CBF419B">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服务内容</w:t>
            </w:r>
          </w:p>
        </w:tc>
        <w:tc>
          <w:tcPr>
            <w:tcW w:w="1134" w:type="dxa"/>
            <w:tcBorders>
              <w:tl2br w:val="nil"/>
              <w:tr2bl w:val="nil"/>
            </w:tcBorders>
            <w:shd w:val="clear" w:color="auto" w:fill="auto"/>
            <w:vAlign w:val="center"/>
          </w:tcPr>
          <w:p w14:paraId="07E78E22">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服务定义</w:t>
            </w:r>
          </w:p>
        </w:tc>
        <w:tc>
          <w:tcPr>
            <w:tcW w:w="1417" w:type="dxa"/>
            <w:tcBorders>
              <w:tl2br w:val="nil"/>
              <w:tr2bl w:val="nil"/>
            </w:tcBorders>
            <w:shd w:val="clear" w:color="auto" w:fill="auto"/>
            <w:vAlign w:val="center"/>
          </w:tcPr>
          <w:p w14:paraId="3B1FB19D">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服务标准</w:t>
            </w:r>
          </w:p>
        </w:tc>
        <w:tc>
          <w:tcPr>
            <w:tcW w:w="1701" w:type="dxa"/>
            <w:tcBorders>
              <w:tl2br w:val="nil"/>
              <w:tr2bl w:val="nil"/>
            </w:tcBorders>
            <w:shd w:val="clear" w:color="auto" w:fill="auto"/>
            <w:vAlign w:val="center"/>
          </w:tcPr>
          <w:p w14:paraId="74F49271">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指标计算</w:t>
            </w:r>
          </w:p>
        </w:tc>
        <w:tc>
          <w:tcPr>
            <w:tcW w:w="1843" w:type="dxa"/>
            <w:tcBorders>
              <w:tl2br w:val="nil"/>
              <w:tr2bl w:val="nil"/>
            </w:tcBorders>
            <w:shd w:val="clear" w:color="auto" w:fill="auto"/>
            <w:vAlign w:val="center"/>
          </w:tcPr>
          <w:p w14:paraId="02D38A10">
            <w:pPr>
              <w:widowControl/>
              <w:ind w:firstLine="0" w:firstLineChars="0"/>
              <w:jc w:val="center"/>
              <w:rPr>
                <w:rFonts w:ascii="宋体"/>
                <w:b/>
                <w:bCs/>
                <w:color w:val="auto"/>
                <w:sz w:val="21"/>
                <w:szCs w:val="21"/>
                <w:highlight w:val="none"/>
                <w:shd w:val="clear" w:color="auto" w:fill="auto"/>
              </w:rPr>
            </w:pPr>
            <w:r>
              <w:rPr>
                <w:rFonts w:hint="eastAsia" w:ascii="宋体"/>
                <w:b/>
                <w:bCs/>
                <w:color w:val="auto"/>
                <w:sz w:val="21"/>
                <w:szCs w:val="21"/>
                <w:highlight w:val="none"/>
                <w:shd w:val="clear" w:color="auto" w:fill="auto"/>
              </w:rPr>
              <w:t>服务水平要求</w:t>
            </w:r>
          </w:p>
        </w:tc>
        <w:tc>
          <w:tcPr>
            <w:tcW w:w="1984" w:type="dxa"/>
            <w:tcBorders>
              <w:tl2br w:val="nil"/>
              <w:tr2bl w:val="nil"/>
            </w:tcBorders>
            <w:shd w:val="clear" w:color="auto" w:fill="auto"/>
            <w:vAlign w:val="center"/>
          </w:tcPr>
          <w:p w14:paraId="743808BE">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违约金标准</w:t>
            </w:r>
          </w:p>
        </w:tc>
        <w:tc>
          <w:tcPr>
            <w:tcW w:w="709" w:type="dxa"/>
            <w:tcBorders>
              <w:tl2br w:val="nil"/>
              <w:tr2bl w:val="nil"/>
            </w:tcBorders>
          </w:tcPr>
          <w:p w14:paraId="69151EB8">
            <w:pPr>
              <w:widowControl/>
              <w:ind w:firstLine="0" w:firstLineChars="0"/>
              <w:jc w:val="center"/>
              <w:rPr>
                <w:rFonts w:ascii="宋体"/>
                <w:b/>
                <w:color w:val="auto"/>
                <w:sz w:val="21"/>
                <w:szCs w:val="21"/>
                <w:highlight w:val="none"/>
                <w:shd w:val="clear" w:color="auto" w:fill="auto"/>
              </w:rPr>
            </w:pPr>
            <w:r>
              <w:rPr>
                <w:rFonts w:hint="eastAsia" w:ascii="宋体"/>
                <w:b/>
                <w:color w:val="auto"/>
                <w:sz w:val="21"/>
                <w:szCs w:val="21"/>
                <w:highlight w:val="none"/>
                <w:shd w:val="clear" w:color="auto" w:fill="auto"/>
              </w:rPr>
              <w:t>是否满足</w:t>
            </w:r>
          </w:p>
        </w:tc>
      </w:tr>
      <w:tr w14:paraId="4019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122C6567">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1</w:t>
            </w:r>
          </w:p>
        </w:tc>
        <w:tc>
          <w:tcPr>
            <w:tcW w:w="710" w:type="dxa"/>
            <w:tcBorders>
              <w:tl2br w:val="nil"/>
              <w:tr2bl w:val="nil"/>
            </w:tcBorders>
            <w:shd w:val="clear" w:color="auto" w:fill="auto"/>
            <w:vAlign w:val="center"/>
          </w:tcPr>
          <w:p w14:paraId="7F88072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任务响应</w:t>
            </w:r>
          </w:p>
        </w:tc>
        <w:tc>
          <w:tcPr>
            <w:tcW w:w="1134" w:type="dxa"/>
            <w:tcBorders>
              <w:tl2br w:val="nil"/>
              <w:tr2bl w:val="nil"/>
            </w:tcBorders>
            <w:shd w:val="clear" w:color="auto" w:fill="auto"/>
            <w:vAlign w:val="center"/>
          </w:tcPr>
          <w:p w14:paraId="42AC74AE">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衡量乙方在需求与问题响应方面的能力</w:t>
            </w:r>
          </w:p>
        </w:tc>
        <w:tc>
          <w:tcPr>
            <w:tcW w:w="1417" w:type="dxa"/>
            <w:tcBorders>
              <w:tl2br w:val="nil"/>
              <w:tr2bl w:val="nil"/>
            </w:tcBorders>
            <w:shd w:val="clear" w:color="auto" w:fill="auto"/>
            <w:vAlign w:val="center"/>
          </w:tcPr>
          <w:p w14:paraId="55B8F4B8">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乙方在收到甲方任务后2个工作日内，向甲方反馈确认任务的实施方案、计划和工作量等</w:t>
            </w:r>
          </w:p>
        </w:tc>
        <w:tc>
          <w:tcPr>
            <w:tcW w:w="1701" w:type="dxa"/>
            <w:tcBorders>
              <w:tl2br w:val="nil"/>
              <w:tr2bl w:val="nil"/>
            </w:tcBorders>
            <w:shd w:val="clear" w:color="auto" w:fill="auto"/>
            <w:vAlign w:val="center"/>
          </w:tcPr>
          <w:p w14:paraId="59A4F23E">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甲方应当明确任务提出时间，乙方应当向甲方发出一个确认任务响应信息</w:t>
            </w:r>
          </w:p>
        </w:tc>
        <w:tc>
          <w:tcPr>
            <w:tcW w:w="1843" w:type="dxa"/>
            <w:tcBorders>
              <w:tl2br w:val="nil"/>
              <w:tr2bl w:val="nil"/>
            </w:tcBorders>
            <w:shd w:val="clear" w:color="auto" w:fill="auto"/>
            <w:vAlign w:val="center"/>
          </w:tcPr>
          <w:p w14:paraId="73702578">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乙方不得违反承诺响应时间</w:t>
            </w:r>
          </w:p>
        </w:tc>
        <w:tc>
          <w:tcPr>
            <w:tcW w:w="1984" w:type="dxa"/>
            <w:tcBorders>
              <w:tl2br w:val="nil"/>
              <w:tr2bl w:val="nil"/>
            </w:tcBorders>
            <w:shd w:val="clear" w:color="auto" w:fill="auto"/>
            <w:vAlign w:val="center"/>
          </w:tcPr>
          <w:p w14:paraId="1C9C9EBE">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如违反承诺的响应时间要求，每次扣除1000元违约金</w:t>
            </w:r>
          </w:p>
        </w:tc>
        <w:tc>
          <w:tcPr>
            <w:tcW w:w="709" w:type="dxa"/>
            <w:tcBorders>
              <w:tl2br w:val="nil"/>
              <w:tr2bl w:val="nil"/>
            </w:tcBorders>
          </w:tcPr>
          <w:p w14:paraId="13F65787">
            <w:pPr>
              <w:widowControl/>
              <w:ind w:firstLine="0" w:firstLineChars="0"/>
              <w:rPr>
                <w:rFonts w:ascii="宋体"/>
                <w:color w:val="auto"/>
                <w:sz w:val="21"/>
                <w:szCs w:val="24"/>
                <w:highlight w:val="none"/>
                <w:shd w:val="clear" w:color="auto" w:fill="auto"/>
              </w:rPr>
            </w:pPr>
          </w:p>
        </w:tc>
      </w:tr>
      <w:tr w14:paraId="15E1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l2br w:val="nil"/>
              <w:tr2bl w:val="nil"/>
            </w:tcBorders>
            <w:shd w:val="clear" w:color="auto" w:fill="auto"/>
            <w:vAlign w:val="center"/>
          </w:tcPr>
          <w:p w14:paraId="0552D541">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2</w:t>
            </w:r>
          </w:p>
        </w:tc>
        <w:tc>
          <w:tcPr>
            <w:tcW w:w="710" w:type="dxa"/>
            <w:tcBorders>
              <w:tl2br w:val="nil"/>
              <w:tr2bl w:val="nil"/>
            </w:tcBorders>
            <w:shd w:val="clear" w:color="auto" w:fill="auto"/>
            <w:vAlign w:val="center"/>
          </w:tcPr>
          <w:p w14:paraId="0619934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项目延期</w:t>
            </w:r>
          </w:p>
        </w:tc>
        <w:tc>
          <w:tcPr>
            <w:tcW w:w="1134" w:type="dxa"/>
            <w:tcBorders>
              <w:tl2br w:val="nil"/>
              <w:tr2bl w:val="nil"/>
            </w:tcBorders>
            <w:shd w:val="clear" w:color="auto" w:fill="auto"/>
            <w:vAlign w:val="center"/>
          </w:tcPr>
          <w:p w14:paraId="1F60E0B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衡量乙方对项目整体实施进度的控制能力</w:t>
            </w:r>
          </w:p>
        </w:tc>
        <w:tc>
          <w:tcPr>
            <w:tcW w:w="1417" w:type="dxa"/>
            <w:tcBorders>
              <w:tl2br w:val="nil"/>
              <w:tr2bl w:val="nil"/>
            </w:tcBorders>
            <w:shd w:val="clear" w:color="auto" w:fill="auto"/>
            <w:vAlign w:val="center"/>
          </w:tcPr>
          <w:p w14:paraId="7C15B019">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乙方原因导致的项目进度偏差</w:t>
            </w:r>
          </w:p>
        </w:tc>
        <w:tc>
          <w:tcPr>
            <w:tcW w:w="1701" w:type="dxa"/>
            <w:tcBorders>
              <w:tl2br w:val="nil"/>
              <w:tr2bl w:val="nil"/>
            </w:tcBorders>
            <w:shd w:val="clear" w:color="auto" w:fill="auto"/>
            <w:vAlign w:val="center"/>
          </w:tcPr>
          <w:p w14:paraId="1DE27C0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按项目计划为基准计算进度偏差天数（进度偏差率≤20%）</w:t>
            </w:r>
          </w:p>
        </w:tc>
        <w:tc>
          <w:tcPr>
            <w:tcW w:w="1843" w:type="dxa"/>
            <w:tcBorders>
              <w:tl2br w:val="nil"/>
              <w:tr2bl w:val="nil"/>
            </w:tcBorders>
            <w:shd w:val="clear" w:color="auto" w:fill="auto"/>
            <w:vAlign w:val="center"/>
          </w:tcPr>
          <w:p w14:paraId="6B53977C">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进度偏差率=进度偏差天数/项目计划中进度天数（进度偏差率≤20%）</w:t>
            </w:r>
          </w:p>
        </w:tc>
        <w:tc>
          <w:tcPr>
            <w:tcW w:w="1984" w:type="dxa"/>
            <w:tcBorders>
              <w:tl2br w:val="nil"/>
              <w:tr2bl w:val="nil"/>
            </w:tcBorders>
            <w:shd w:val="clear" w:color="auto" w:fill="auto"/>
            <w:vAlign w:val="center"/>
          </w:tcPr>
          <w:p w14:paraId="44F666F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20%＜进度偏差率≤30%，每偏差一天按合同总金额的0.1%计违约金，进度偏差率＞30%并且延期3个月以上，违约金为合同总金额的10%</w:t>
            </w:r>
          </w:p>
        </w:tc>
        <w:tc>
          <w:tcPr>
            <w:tcW w:w="709" w:type="dxa"/>
            <w:tcBorders>
              <w:tl2br w:val="nil"/>
              <w:tr2bl w:val="nil"/>
            </w:tcBorders>
          </w:tcPr>
          <w:p w14:paraId="107A851A">
            <w:pPr>
              <w:widowControl/>
              <w:ind w:firstLine="0" w:firstLineChars="0"/>
              <w:rPr>
                <w:rFonts w:ascii="宋体"/>
                <w:color w:val="auto"/>
                <w:sz w:val="21"/>
                <w:szCs w:val="24"/>
                <w:highlight w:val="none"/>
                <w:shd w:val="clear" w:color="auto" w:fill="auto"/>
              </w:rPr>
            </w:pPr>
          </w:p>
        </w:tc>
      </w:tr>
      <w:tr w14:paraId="50F7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l2br w:val="nil"/>
              <w:tr2bl w:val="nil"/>
            </w:tcBorders>
            <w:shd w:val="clear" w:color="auto" w:fill="auto"/>
            <w:vAlign w:val="center"/>
          </w:tcPr>
          <w:p w14:paraId="3241FD6C">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3</w:t>
            </w:r>
          </w:p>
        </w:tc>
        <w:tc>
          <w:tcPr>
            <w:tcW w:w="710" w:type="dxa"/>
            <w:tcBorders>
              <w:tl2br w:val="nil"/>
              <w:tr2bl w:val="nil"/>
            </w:tcBorders>
            <w:shd w:val="clear" w:color="auto" w:fill="auto"/>
            <w:vAlign w:val="center"/>
          </w:tcPr>
          <w:p w14:paraId="439B53A9">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任务完成情况</w:t>
            </w:r>
          </w:p>
        </w:tc>
        <w:tc>
          <w:tcPr>
            <w:tcW w:w="1134" w:type="dxa"/>
            <w:tcBorders>
              <w:tl2br w:val="nil"/>
              <w:tr2bl w:val="nil"/>
            </w:tcBorders>
            <w:shd w:val="clear" w:color="auto" w:fill="auto"/>
            <w:vAlign w:val="center"/>
          </w:tcPr>
          <w:p w14:paraId="4C953D41">
            <w:pPr>
              <w:widowControl/>
              <w:snapToGrid w:val="0"/>
              <w:spacing w:line="320" w:lineRule="exact"/>
              <w:ind w:firstLine="0" w:firstLineChars="0"/>
              <w:rPr>
                <w:rFonts w:ascii="宋体" w:hAnsi="宋体"/>
                <w:color w:val="auto"/>
                <w:highlight w:val="none"/>
                <w:shd w:val="clear" w:color="auto" w:fill="auto"/>
              </w:rPr>
            </w:pPr>
            <w:r>
              <w:rPr>
                <w:rFonts w:hint="eastAsia" w:ascii="宋体"/>
                <w:color w:val="auto"/>
                <w:sz w:val="21"/>
                <w:szCs w:val="24"/>
                <w:highlight w:val="none"/>
                <w:shd w:val="clear" w:color="auto" w:fill="auto"/>
              </w:rPr>
              <w:t>衡量乙方按计划完成任务的能力</w:t>
            </w:r>
          </w:p>
        </w:tc>
        <w:tc>
          <w:tcPr>
            <w:tcW w:w="1417" w:type="dxa"/>
            <w:tcBorders>
              <w:tl2br w:val="nil"/>
              <w:tr2bl w:val="nil"/>
            </w:tcBorders>
            <w:shd w:val="clear" w:color="auto" w:fill="auto"/>
            <w:vAlign w:val="center"/>
          </w:tcPr>
          <w:p w14:paraId="63EA6151">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乙方应当在双方确认的时间内完成任务</w:t>
            </w:r>
          </w:p>
        </w:tc>
        <w:tc>
          <w:tcPr>
            <w:tcW w:w="1701" w:type="dxa"/>
            <w:tcBorders>
              <w:tl2br w:val="nil"/>
              <w:tr2bl w:val="nil"/>
            </w:tcBorders>
            <w:shd w:val="clear" w:color="auto" w:fill="auto"/>
            <w:vAlign w:val="center"/>
          </w:tcPr>
          <w:p w14:paraId="2068B262">
            <w:pPr>
              <w:widowControl/>
              <w:ind w:firstLine="0" w:firstLineChars="0"/>
              <w:rPr>
                <w:rFonts w:ascii="宋体"/>
                <w:color w:val="auto"/>
                <w:sz w:val="21"/>
                <w:szCs w:val="24"/>
                <w:highlight w:val="none"/>
                <w:shd w:val="clear" w:color="auto" w:fill="auto"/>
              </w:rPr>
            </w:pPr>
          </w:p>
          <w:p w14:paraId="7667B40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甲方标识出每一项任务完成的具体时间，对比乙方给出的任务完成计划时间</w:t>
            </w:r>
          </w:p>
        </w:tc>
        <w:tc>
          <w:tcPr>
            <w:tcW w:w="1843" w:type="dxa"/>
            <w:tcBorders>
              <w:tl2br w:val="nil"/>
              <w:tr2bl w:val="nil"/>
            </w:tcBorders>
            <w:shd w:val="clear" w:color="auto" w:fill="auto"/>
            <w:vAlign w:val="center"/>
          </w:tcPr>
          <w:p w14:paraId="4BA0901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1.需求分析说明、概要设计、详细设计100%完成；</w:t>
            </w:r>
          </w:p>
          <w:p w14:paraId="6C7D54C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2.软件编码100%完成；</w:t>
            </w:r>
          </w:p>
          <w:p w14:paraId="7E7F214C">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3.测试案例需求覆盖率100%，且测试案例执行率100%</w:t>
            </w:r>
          </w:p>
        </w:tc>
        <w:tc>
          <w:tcPr>
            <w:tcW w:w="1984" w:type="dxa"/>
            <w:tcBorders>
              <w:tl2br w:val="nil"/>
              <w:tr2bl w:val="nil"/>
            </w:tcBorders>
            <w:shd w:val="clear" w:color="auto" w:fill="auto"/>
            <w:vAlign w:val="center"/>
          </w:tcPr>
          <w:p w14:paraId="3322F751">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以上三个指标之一低于90%甲方有权终止合同，追回支付款项，要求赔偿损失</w:t>
            </w:r>
          </w:p>
        </w:tc>
        <w:tc>
          <w:tcPr>
            <w:tcW w:w="709" w:type="dxa"/>
            <w:tcBorders>
              <w:tl2br w:val="nil"/>
              <w:tr2bl w:val="nil"/>
            </w:tcBorders>
          </w:tcPr>
          <w:p w14:paraId="0F35E843">
            <w:pPr>
              <w:widowControl/>
              <w:ind w:firstLine="0" w:firstLineChars="0"/>
              <w:rPr>
                <w:rFonts w:ascii="宋体"/>
                <w:color w:val="auto"/>
                <w:sz w:val="21"/>
                <w:szCs w:val="24"/>
                <w:highlight w:val="none"/>
                <w:shd w:val="clear" w:color="auto" w:fill="auto"/>
              </w:rPr>
            </w:pPr>
          </w:p>
        </w:tc>
      </w:tr>
      <w:tr w14:paraId="2B5D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41D54E89">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4</w:t>
            </w:r>
          </w:p>
        </w:tc>
        <w:tc>
          <w:tcPr>
            <w:tcW w:w="710" w:type="dxa"/>
            <w:tcBorders>
              <w:tl2br w:val="nil"/>
              <w:tr2bl w:val="nil"/>
            </w:tcBorders>
            <w:shd w:val="clear" w:color="auto" w:fill="auto"/>
            <w:vAlign w:val="center"/>
          </w:tcPr>
          <w:p w14:paraId="62B911D9">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上线后重大质量缺陷</w:t>
            </w:r>
          </w:p>
        </w:tc>
        <w:tc>
          <w:tcPr>
            <w:tcW w:w="1134" w:type="dxa"/>
            <w:tcBorders>
              <w:tl2br w:val="nil"/>
              <w:tr2bl w:val="nil"/>
            </w:tcBorders>
            <w:shd w:val="clear" w:color="auto" w:fill="auto"/>
            <w:vAlign w:val="center"/>
          </w:tcPr>
          <w:p w14:paraId="5B3D62A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衡量乙方在系统上线运行后的稳定性</w:t>
            </w:r>
          </w:p>
        </w:tc>
        <w:tc>
          <w:tcPr>
            <w:tcW w:w="1417" w:type="dxa"/>
            <w:tcBorders>
              <w:tl2br w:val="nil"/>
              <w:tr2bl w:val="nil"/>
            </w:tcBorders>
            <w:shd w:val="clear" w:color="auto" w:fill="auto"/>
            <w:vAlign w:val="center"/>
          </w:tcPr>
          <w:p w14:paraId="54067DDA">
            <w:pPr>
              <w:widowControl/>
              <w:ind w:firstLine="0" w:firstLineChars="0"/>
              <w:rPr>
                <w:rFonts w:ascii="宋体"/>
                <w:color w:val="auto"/>
                <w:sz w:val="21"/>
                <w:szCs w:val="24"/>
                <w:highlight w:val="none"/>
                <w:shd w:val="clear" w:color="auto" w:fill="auto"/>
              </w:rPr>
            </w:pPr>
            <w:r>
              <w:rPr>
                <w:rFonts w:hint="eastAsia" w:ascii="宋体" w:cs="宋体"/>
                <w:color w:val="auto"/>
                <w:sz w:val="21"/>
                <w:szCs w:val="24"/>
                <w:highlight w:val="none"/>
                <w:shd w:val="clear" w:color="auto" w:fill="auto"/>
              </w:rPr>
              <w:t>系统上线后不能发生较大运营中断事件和重大质量缺陷</w:t>
            </w:r>
          </w:p>
        </w:tc>
        <w:tc>
          <w:tcPr>
            <w:tcW w:w="1701" w:type="dxa"/>
            <w:tcBorders>
              <w:tl2br w:val="nil"/>
              <w:tr2bl w:val="nil"/>
            </w:tcBorders>
            <w:shd w:val="clear" w:color="auto" w:fill="auto"/>
            <w:vAlign w:val="center"/>
          </w:tcPr>
          <w:p w14:paraId="227083C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甲方根据系统</w:t>
            </w:r>
            <w:r>
              <w:rPr>
                <w:rFonts w:hint="eastAsia" w:ascii="宋体" w:cs="宋体"/>
                <w:color w:val="auto"/>
                <w:sz w:val="21"/>
                <w:szCs w:val="24"/>
                <w:highlight w:val="none"/>
                <w:shd w:val="clear" w:color="auto" w:fill="auto"/>
              </w:rPr>
              <w:t>生产缺陷程度</w:t>
            </w:r>
            <w:r>
              <w:rPr>
                <w:rFonts w:hint="eastAsia" w:ascii="宋体"/>
                <w:color w:val="auto"/>
                <w:sz w:val="21"/>
                <w:szCs w:val="24"/>
                <w:highlight w:val="none"/>
                <w:shd w:val="clear" w:color="auto" w:fill="auto"/>
              </w:rPr>
              <w:t>和数量判定</w:t>
            </w:r>
          </w:p>
        </w:tc>
        <w:tc>
          <w:tcPr>
            <w:tcW w:w="1843" w:type="dxa"/>
            <w:tcBorders>
              <w:tl2br w:val="nil"/>
              <w:tr2bl w:val="nil"/>
            </w:tcBorders>
            <w:shd w:val="clear" w:color="auto" w:fill="auto"/>
            <w:vAlign w:val="center"/>
          </w:tcPr>
          <w:p w14:paraId="4F07DC4E">
            <w:pPr>
              <w:ind w:firstLine="0" w:firstLineChars="0"/>
              <w:rPr>
                <w:rFonts w:ascii="宋体" w:cs="宋体"/>
                <w:color w:val="auto"/>
                <w:sz w:val="21"/>
                <w:szCs w:val="24"/>
                <w:highlight w:val="none"/>
                <w:shd w:val="clear" w:color="auto" w:fill="auto"/>
              </w:rPr>
            </w:pPr>
            <w:r>
              <w:rPr>
                <w:rFonts w:hint="eastAsia" w:ascii="宋体" w:cs="宋体"/>
                <w:color w:val="auto"/>
                <w:sz w:val="21"/>
                <w:szCs w:val="24"/>
                <w:highlight w:val="none"/>
                <w:shd w:val="clear" w:color="auto" w:fill="auto"/>
              </w:rPr>
              <w:t>1、应用软件未出现III级(含)以上的运营中断事件；</w:t>
            </w:r>
          </w:p>
          <w:p w14:paraId="4CBC41D9">
            <w:pPr>
              <w:ind w:firstLine="0" w:firstLineChars="0"/>
              <w:rPr>
                <w:rFonts w:ascii="宋体" w:cs="宋体"/>
                <w:color w:val="auto"/>
                <w:sz w:val="21"/>
                <w:szCs w:val="24"/>
                <w:highlight w:val="none"/>
                <w:shd w:val="clear" w:color="auto" w:fill="auto"/>
              </w:rPr>
            </w:pPr>
            <w:r>
              <w:rPr>
                <w:rFonts w:hint="eastAsia" w:ascii="宋体" w:cs="宋体"/>
                <w:color w:val="auto"/>
                <w:sz w:val="21"/>
                <w:szCs w:val="24"/>
                <w:highlight w:val="none"/>
                <w:shd w:val="clear" w:color="auto" w:fill="auto"/>
              </w:rPr>
              <w:t>2、应用软件未出现严重缺陷和致命缺陷；</w:t>
            </w:r>
          </w:p>
          <w:p w14:paraId="0BB5388E">
            <w:pPr>
              <w:widowControl/>
              <w:ind w:firstLine="0" w:firstLineChars="0"/>
              <w:rPr>
                <w:rFonts w:ascii="宋体"/>
                <w:color w:val="auto"/>
                <w:sz w:val="21"/>
                <w:szCs w:val="24"/>
                <w:highlight w:val="none"/>
                <w:shd w:val="clear" w:color="auto" w:fill="auto"/>
              </w:rPr>
            </w:pPr>
            <w:r>
              <w:rPr>
                <w:rFonts w:hint="eastAsia" w:ascii="宋体" w:cs="宋体"/>
                <w:color w:val="auto"/>
                <w:sz w:val="21"/>
                <w:szCs w:val="24"/>
                <w:highlight w:val="none"/>
                <w:shd w:val="clear" w:color="auto" w:fill="auto"/>
              </w:rPr>
              <w:t xml:space="preserve">3、一般和微小缺陷逃逸率≤4.5% </w:t>
            </w:r>
          </w:p>
        </w:tc>
        <w:tc>
          <w:tcPr>
            <w:tcW w:w="1984" w:type="dxa"/>
            <w:tcBorders>
              <w:tl2br w:val="nil"/>
              <w:tr2bl w:val="nil"/>
            </w:tcBorders>
            <w:shd w:val="clear" w:color="auto" w:fill="auto"/>
            <w:vAlign w:val="center"/>
          </w:tcPr>
          <w:p w14:paraId="01CBD84B">
            <w:pPr>
              <w:ind w:firstLine="0" w:firstLineChars="0"/>
              <w:rPr>
                <w:rFonts w:ascii="宋体"/>
                <w:color w:val="auto"/>
                <w:sz w:val="21"/>
                <w:szCs w:val="24"/>
                <w:highlight w:val="none"/>
                <w:shd w:val="clear" w:color="auto" w:fill="auto"/>
              </w:rPr>
            </w:pPr>
            <w:r>
              <w:rPr>
                <w:rFonts w:hint="eastAsia" w:ascii="宋体" w:cs="宋体"/>
                <w:color w:val="auto"/>
                <w:sz w:val="21"/>
                <w:szCs w:val="24"/>
                <w:highlight w:val="none"/>
                <w:shd w:val="clear" w:color="auto" w:fill="auto"/>
              </w:rPr>
              <w:t>不满足该项任一标准扣除2万元违约金并要求乙方赔偿损失</w:t>
            </w:r>
          </w:p>
        </w:tc>
        <w:tc>
          <w:tcPr>
            <w:tcW w:w="709" w:type="dxa"/>
            <w:tcBorders>
              <w:tl2br w:val="nil"/>
              <w:tr2bl w:val="nil"/>
            </w:tcBorders>
          </w:tcPr>
          <w:p w14:paraId="46649E85">
            <w:pPr>
              <w:ind w:firstLine="0" w:firstLineChars="0"/>
              <w:rPr>
                <w:rFonts w:ascii="宋体" w:cs="宋体"/>
                <w:color w:val="auto"/>
                <w:sz w:val="21"/>
                <w:szCs w:val="24"/>
                <w:highlight w:val="none"/>
                <w:shd w:val="clear" w:color="auto" w:fill="auto"/>
              </w:rPr>
            </w:pPr>
          </w:p>
        </w:tc>
      </w:tr>
      <w:tr w14:paraId="1D26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l2br w:val="nil"/>
              <w:tr2bl w:val="nil"/>
            </w:tcBorders>
            <w:shd w:val="clear" w:color="auto" w:fill="auto"/>
            <w:vAlign w:val="center"/>
          </w:tcPr>
          <w:p w14:paraId="6D7E1982">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5</w:t>
            </w:r>
          </w:p>
        </w:tc>
        <w:tc>
          <w:tcPr>
            <w:tcW w:w="710" w:type="dxa"/>
            <w:tcBorders>
              <w:tl2br w:val="nil"/>
              <w:tr2bl w:val="nil"/>
            </w:tcBorders>
            <w:shd w:val="clear" w:color="auto" w:fill="auto"/>
            <w:vAlign w:val="center"/>
          </w:tcPr>
          <w:p w14:paraId="24C62A1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上线后重大问题处理</w:t>
            </w:r>
          </w:p>
        </w:tc>
        <w:tc>
          <w:tcPr>
            <w:tcW w:w="1134" w:type="dxa"/>
            <w:tcBorders>
              <w:tl2br w:val="nil"/>
              <w:tr2bl w:val="nil"/>
            </w:tcBorders>
            <w:shd w:val="clear" w:color="auto" w:fill="auto"/>
            <w:vAlign w:val="center"/>
          </w:tcPr>
          <w:p w14:paraId="04138D1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衡量乙方在系统上线运行后及时处理重大问题的能力</w:t>
            </w:r>
          </w:p>
        </w:tc>
        <w:tc>
          <w:tcPr>
            <w:tcW w:w="1417" w:type="dxa"/>
            <w:tcBorders>
              <w:tl2br w:val="nil"/>
              <w:tr2bl w:val="nil"/>
            </w:tcBorders>
            <w:shd w:val="clear" w:color="auto" w:fill="auto"/>
            <w:vAlign w:val="center"/>
          </w:tcPr>
          <w:p w14:paraId="11B53E31">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上线后遗留问题或生产缺陷解决的及时性</w:t>
            </w:r>
          </w:p>
        </w:tc>
        <w:tc>
          <w:tcPr>
            <w:tcW w:w="1701" w:type="dxa"/>
            <w:tcBorders>
              <w:tl2br w:val="nil"/>
              <w:tr2bl w:val="nil"/>
            </w:tcBorders>
            <w:shd w:val="clear" w:color="auto" w:fill="auto"/>
            <w:vAlign w:val="center"/>
          </w:tcPr>
          <w:p w14:paraId="777DD3D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甲方根据系统上线运行后的重大问题处理情况判定</w:t>
            </w:r>
          </w:p>
        </w:tc>
        <w:tc>
          <w:tcPr>
            <w:tcW w:w="1843" w:type="dxa"/>
            <w:tcBorders>
              <w:tl2br w:val="nil"/>
              <w:tr2bl w:val="nil"/>
            </w:tcBorders>
            <w:shd w:val="clear" w:color="auto" w:fill="auto"/>
            <w:vAlign w:val="center"/>
          </w:tcPr>
          <w:p w14:paraId="751E6E3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生产缺陷解决及时率=100%</w:t>
            </w:r>
          </w:p>
        </w:tc>
        <w:tc>
          <w:tcPr>
            <w:tcW w:w="1984" w:type="dxa"/>
            <w:tcBorders>
              <w:tl2br w:val="nil"/>
              <w:tr2bl w:val="nil"/>
            </w:tcBorders>
            <w:shd w:val="clear" w:color="auto" w:fill="auto"/>
            <w:vAlign w:val="center"/>
          </w:tcPr>
          <w:p w14:paraId="3F2B26F5">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重大生产缺陷、问题不能得到及时解决，每次按合同总金额的5%计违约金</w:t>
            </w:r>
          </w:p>
        </w:tc>
        <w:tc>
          <w:tcPr>
            <w:tcW w:w="709" w:type="dxa"/>
            <w:tcBorders>
              <w:tl2br w:val="nil"/>
              <w:tr2bl w:val="nil"/>
            </w:tcBorders>
          </w:tcPr>
          <w:p w14:paraId="21A6337F">
            <w:pPr>
              <w:widowControl/>
              <w:ind w:firstLine="0" w:firstLineChars="0"/>
              <w:rPr>
                <w:rFonts w:ascii="宋体"/>
                <w:color w:val="auto"/>
                <w:sz w:val="21"/>
                <w:szCs w:val="24"/>
                <w:highlight w:val="none"/>
                <w:shd w:val="clear" w:color="auto" w:fill="auto"/>
              </w:rPr>
            </w:pPr>
          </w:p>
        </w:tc>
      </w:tr>
      <w:tr w14:paraId="4D85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l2br w:val="nil"/>
              <w:tr2bl w:val="nil"/>
            </w:tcBorders>
            <w:shd w:val="clear" w:color="auto" w:fill="auto"/>
            <w:vAlign w:val="center"/>
          </w:tcPr>
          <w:p w14:paraId="6173FC93">
            <w:pPr>
              <w:widowControl/>
              <w:snapToGrid w:val="0"/>
              <w:spacing w:line="320" w:lineRule="exact"/>
              <w:ind w:firstLine="0" w:firstLineChars="0"/>
              <w:jc w:val="center"/>
              <w:rPr>
                <w:rFonts w:ascii="宋体" w:hAnsi="宋体"/>
                <w:color w:val="auto"/>
                <w:highlight w:val="none"/>
                <w:shd w:val="clear" w:color="auto" w:fill="auto"/>
              </w:rPr>
            </w:pPr>
            <w:r>
              <w:rPr>
                <w:rFonts w:hint="eastAsia" w:ascii="宋体" w:hAnsi="宋体"/>
                <w:color w:val="auto"/>
                <w:highlight w:val="none"/>
                <w:shd w:val="clear" w:color="auto" w:fill="auto"/>
              </w:rPr>
              <w:t>6</w:t>
            </w:r>
          </w:p>
        </w:tc>
        <w:tc>
          <w:tcPr>
            <w:tcW w:w="710" w:type="dxa"/>
            <w:tcBorders>
              <w:tl2br w:val="nil"/>
              <w:tr2bl w:val="nil"/>
            </w:tcBorders>
            <w:shd w:val="clear" w:color="auto" w:fill="auto"/>
            <w:vAlign w:val="center"/>
          </w:tcPr>
          <w:p w14:paraId="74DE389E">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人力资源投入及人员稳定性</w:t>
            </w:r>
          </w:p>
        </w:tc>
        <w:tc>
          <w:tcPr>
            <w:tcW w:w="1134" w:type="dxa"/>
            <w:tcBorders>
              <w:tl2br w:val="nil"/>
              <w:tr2bl w:val="nil"/>
            </w:tcBorders>
            <w:shd w:val="clear" w:color="auto" w:fill="auto"/>
            <w:vAlign w:val="center"/>
          </w:tcPr>
          <w:p w14:paraId="2947A28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衡量乙方人员服务的符合度及人员稳定性</w:t>
            </w:r>
          </w:p>
        </w:tc>
        <w:tc>
          <w:tcPr>
            <w:tcW w:w="1417" w:type="dxa"/>
            <w:tcBorders>
              <w:tl2br w:val="nil"/>
              <w:tr2bl w:val="nil"/>
            </w:tcBorders>
            <w:shd w:val="clear" w:color="auto" w:fill="auto"/>
            <w:vAlign w:val="center"/>
          </w:tcPr>
          <w:p w14:paraId="60C14E8B">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投入人员情况符合投标文件或合同要求，乙方项目组人员变动比例不得高于30%</w:t>
            </w:r>
          </w:p>
        </w:tc>
        <w:tc>
          <w:tcPr>
            <w:tcW w:w="1701" w:type="dxa"/>
            <w:tcBorders>
              <w:tl2br w:val="nil"/>
              <w:tr2bl w:val="nil"/>
            </w:tcBorders>
            <w:shd w:val="clear" w:color="auto" w:fill="auto"/>
            <w:vAlign w:val="center"/>
          </w:tcPr>
          <w:p w14:paraId="1BB2A2E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甲方按合同要求判定乙方人员投入及变动情况</w:t>
            </w:r>
          </w:p>
        </w:tc>
        <w:tc>
          <w:tcPr>
            <w:tcW w:w="1843" w:type="dxa"/>
            <w:tcBorders>
              <w:tl2br w:val="nil"/>
              <w:tr2bl w:val="nil"/>
            </w:tcBorders>
            <w:shd w:val="clear" w:color="auto" w:fill="auto"/>
            <w:vAlign w:val="center"/>
          </w:tcPr>
          <w:p w14:paraId="3FDFEB2F">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人员数量差异=承诺人数-实际人数</w:t>
            </w:r>
          </w:p>
          <w:p w14:paraId="7072460E">
            <w:pPr>
              <w:widowControl/>
              <w:ind w:firstLine="0" w:firstLineChars="0"/>
              <w:rPr>
                <w:rFonts w:hint="eastAsia" w:ascii="宋体" w:eastAsia="宋体"/>
                <w:color w:val="auto"/>
                <w:sz w:val="21"/>
                <w:szCs w:val="24"/>
                <w:highlight w:val="none"/>
                <w:shd w:val="clear" w:color="auto" w:fill="auto"/>
                <w:lang w:eastAsia="zh-CN"/>
              </w:rPr>
            </w:pPr>
            <w:r>
              <w:rPr>
                <w:rFonts w:hint="eastAsia" w:ascii="宋体"/>
                <w:color w:val="auto"/>
                <w:sz w:val="21"/>
                <w:szCs w:val="24"/>
                <w:highlight w:val="none"/>
                <w:shd w:val="clear" w:color="auto" w:fill="auto"/>
              </w:rPr>
              <w:t>人员变动率=人员变动人数/原项目组人员总人数</w:t>
            </w:r>
          </w:p>
          <w:p w14:paraId="61CA9FF9">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（人员数量差异≤2；技术骨干及项目经理不得变动；技术人员变动率≤30%）</w:t>
            </w:r>
          </w:p>
        </w:tc>
        <w:tc>
          <w:tcPr>
            <w:tcW w:w="1984" w:type="dxa"/>
            <w:tcBorders>
              <w:tl2br w:val="nil"/>
              <w:tr2bl w:val="nil"/>
            </w:tcBorders>
            <w:shd w:val="clear" w:color="auto" w:fill="auto"/>
            <w:vAlign w:val="center"/>
          </w:tcPr>
          <w:p w14:paraId="69AE92B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技术骨干及项目经理变动扣除技术骨干人月单价（至少不低于3万元），技术人员变动超过30%，扣除合同总金额10%</w:t>
            </w:r>
          </w:p>
        </w:tc>
        <w:tc>
          <w:tcPr>
            <w:tcW w:w="709" w:type="dxa"/>
            <w:tcBorders>
              <w:tl2br w:val="nil"/>
              <w:tr2bl w:val="nil"/>
            </w:tcBorders>
          </w:tcPr>
          <w:p w14:paraId="6989E4F2">
            <w:pPr>
              <w:widowControl/>
              <w:ind w:firstLine="0" w:firstLineChars="0"/>
              <w:rPr>
                <w:rFonts w:ascii="宋体"/>
                <w:color w:val="auto"/>
                <w:sz w:val="21"/>
                <w:szCs w:val="24"/>
                <w:highlight w:val="none"/>
                <w:shd w:val="clear" w:color="auto" w:fill="auto"/>
              </w:rPr>
            </w:pPr>
          </w:p>
        </w:tc>
      </w:tr>
      <w:tr w14:paraId="20F0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l2br w:val="nil"/>
              <w:tr2bl w:val="nil"/>
            </w:tcBorders>
            <w:shd w:val="clear" w:color="auto" w:fill="auto"/>
            <w:vAlign w:val="center"/>
          </w:tcPr>
          <w:p w14:paraId="6042C914">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7</w:t>
            </w:r>
          </w:p>
        </w:tc>
        <w:tc>
          <w:tcPr>
            <w:tcW w:w="710" w:type="dxa"/>
            <w:tcBorders>
              <w:tl2br w:val="nil"/>
              <w:tr2bl w:val="nil"/>
            </w:tcBorders>
            <w:shd w:val="clear" w:color="auto" w:fill="auto"/>
            <w:vAlign w:val="center"/>
          </w:tcPr>
          <w:p w14:paraId="6BC8CF4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测试人员配置</w:t>
            </w:r>
          </w:p>
        </w:tc>
        <w:tc>
          <w:tcPr>
            <w:tcW w:w="1134" w:type="dxa"/>
            <w:tcBorders>
              <w:tl2br w:val="nil"/>
              <w:tr2bl w:val="nil"/>
            </w:tcBorders>
            <w:shd w:val="clear" w:color="auto" w:fill="auto"/>
            <w:vAlign w:val="center"/>
          </w:tcPr>
          <w:p w14:paraId="4DB8100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衡量乙方投入系统测试人员的符合度</w:t>
            </w:r>
          </w:p>
        </w:tc>
        <w:tc>
          <w:tcPr>
            <w:tcW w:w="1417" w:type="dxa"/>
            <w:tcBorders>
              <w:tl2br w:val="nil"/>
              <w:tr2bl w:val="nil"/>
            </w:tcBorders>
            <w:shd w:val="clear" w:color="auto" w:fill="auto"/>
            <w:vAlign w:val="center"/>
          </w:tcPr>
          <w:p w14:paraId="1B1F06A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投入系统测试人员情况符合投标文件或合同要求</w:t>
            </w:r>
          </w:p>
        </w:tc>
        <w:tc>
          <w:tcPr>
            <w:tcW w:w="1701" w:type="dxa"/>
            <w:tcBorders>
              <w:tl2br w:val="nil"/>
              <w:tr2bl w:val="nil"/>
            </w:tcBorders>
            <w:shd w:val="clear" w:color="auto" w:fill="auto"/>
            <w:vAlign w:val="center"/>
          </w:tcPr>
          <w:p w14:paraId="1223438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甲方按照合同或标书要求判定乙方测试人员投入情况</w:t>
            </w:r>
          </w:p>
        </w:tc>
        <w:tc>
          <w:tcPr>
            <w:tcW w:w="1843" w:type="dxa"/>
            <w:tcBorders>
              <w:tl2br w:val="nil"/>
              <w:tr2bl w:val="nil"/>
            </w:tcBorders>
            <w:shd w:val="clear" w:color="auto" w:fill="auto"/>
            <w:vAlign w:val="center"/>
          </w:tcPr>
          <w:p w14:paraId="068BBAD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人员重合率=测试人员/开发人员（人员重合率=0）</w:t>
            </w:r>
          </w:p>
        </w:tc>
        <w:tc>
          <w:tcPr>
            <w:tcW w:w="1984" w:type="dxa"/>
            <w:tcBorders>
              <w:tl2br w:val="nil"/>
              <w:tr2bl w:val="nil"/>
            </w:tcBorders>
            <w:shd w:val="clear" w:color="auto" w:fill="auto"/>
            <w:vAlign w:val="center"/>
          </w:tcPr>
          <w:p w14:paraId="6682B836">
            <w:pPr>
              <w:widowControl/>
              <w:ind w:firstLine="0" w:firstLineChars="0"/>
              <w:rPr>
                <w:rFonts w:ascii="宋体"/>
                <w:color w:val="auto"/>
                <w:sz w:val="21"/>
                <w:szCs w:val="24"/>
                <w:highlight w:val="none"/>
                <w:shd w:val="clear" w:color="auto" w:fill="auto"/>
              </w:rPr>
            </w:pPr>
          </w:p>
        </w:tc>
        <w:tc>
          <w:tcPr>
            <w:tcW w:w="709" w:type="dxa"/>
            <w:tcBorders>
              <w:tl2br w:val="nil"/>
              <w:tr2bl w:val="nil"/>
            </w:tcBorders>
          </w:tcPr>
          <w:p w14:paraId="3FA72C2F">
            <w:pPr>
              <w:widowControl/>
              <w:ind w:firstLine="0" w:firstLineChars="0"/>
              <w:rPr>
                <w:rFonts w:ascii="宋体"/>
                <w:color w:val="auto"/>
                <w:sz w:val="21"/>
                <w:szCs w:val="24"/>
                <w:highlight w:val="none"/>
                <w:shd w:val="clear" w:color="auto" w:fill="auto"/>
              </w:rPr>
            </w:pPr>
          </w:p>
        </w:tc>
      </w:tr>
      <w:tr w14:paraId="3140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l2br w:val="nil"/>
              <w:tr2bl w:val="nil"/>
            </w:tcBorders>
            <w:shd w:val="clear" w:color="auto" w:fill="auto"/>
            <w:vAlign w:val="center"/>
          </w:tcPr>
          <w:p w14:paraId="69E93992">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8</w:t>
            </w:r>
          </w:p>
        </w:tc>
        <w:tc>
          <w:tcPr>
            <w:tcW w:w="710" w:type="dxa"/>
            <w:tcBorders>
              <w:tl2br w:val="nil"/>
              <w:tr2bl w:val="nil"/>
            </w:tcBorders>
            <w:shd w:val="clear" w:color="auto" w:fill="auto"/>
            <w:vAlign w:val="center"/>
          </w:tcPr>
          <w:p w14:paraId="32800C88">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人员异常退出</w:t>
            </w:r>
          </w:p>
        </w:tc>
        <w:tc>
          <w:tcPr>
            <w:tcW w:w="1134" w:type="dxa"/>
            <w:tcBorders>
              <w:tl2br w:val="nil"/>
              <w:tr2bl w:val="nil"/>
            </w:tcBorders>
            <w:shd w:val="clear" w:color="auto" w:fill="auto"/>
            <w:vAlign w:val="center"/>
          </w:tcPr>
          <w:p w14:paraId="4A655418">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衡量乙方人员是否提供持续服务</w:t>
            </w:r>
          </w:p>
        </w:tc>
        <w:tc>
          <w:tcPr>
            <w:tcW w:w="1417" w:type="dxa"/>
            <w:tcBorders>
              <w:tl2br w:val="nil"/>
              <w:tr2bl w:val="nil"/>
            </w:tcBorders>
            <w:shd w:val="clear" w:color="auto" w:fill="auto"/>
            <w:vAlign w:val="center"/>
          </w:tcPr>
          <w:p w14:paraId="2CD9630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未经甲方同意，乙方人员辞职和离职或无计划的调离项目组</w:t>
            </w:r>
          </w:p>
        </w:tc>
        <w:tc>
          <w:tcPr>
            <w:tcW w:w="1701" w:type="dxa"/>
            <w:tcBorders>
              <w:tl2br w:val="nil"/>
              <w:tr2bl w:val="nil"/>
            </w:tcBorders>
            <w:shd w:val="clear" w:color="auto" w:fill="auto"/>
            <w:vAlign w:val="center"/>
          </w:tcPr>
          <w:p w14:paraId="42C39E2B">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甲方根据乙方人员退出的具体时间和原因测算</w:t>
            </w:r>
          </w:p>
        </w:tc>
        <w:tc>
          <w:tcPr>
            <w:tcW w:w="1843" w:type="dxa"/>
            <w:tcBorders>
              <w:tl2br w:val="nil"/>
              <w:tr2bl w:val="nil"/>
            </w:tcBorders>
            <w:shd w:val="clear" w:color="auto" w:fill="auto"/>
            <w:vAlign w:val="center"/>
          </w:tcPr>
          <w:p w14:paraId="6C66C18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人员异常退出次数=0</w:t>
            </w:r>
          </w:p>
        </w:tc>
        <w:tc>
          <w:tcPr>
            <w:tcW w:w="1984" w:type="dxa"/>
            <w:tcBorders>
              <w:tl2br w:val="nil"/>
              <w:tr2bl w:val="nil"/>
            </w:tcBorders>
            <w:shd w:val="clear" w:color="auto" w:fill="auto"/>
            <w:vAlign w:val="center"/>
          </w:tcPr>
          <w:p w14:paraId="5D37A57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每次人员异常退出扣除乙方金额人民币1000元</w:t>
            </w:r>
          </w:p>
        </w:tc>
        <w:tc>
          <w:tcPr>
            <w:tcW w:w="709" w:type="dxa"/>
            <w:tcBorders>
              <w:tl2br w:val="nil"/>
              <w:tr2bl w:val="nil"/>
            </w:tcBorders>
          </w:tcPr>
          <w:p w14:paraId="70746A8B">
            <w:pPr>
              <w:widowControl/>
              <w:ind w:firstLine="0" w:firstLineChars="0"/>
              <w:rPr>
                <w:rFonts w:ascii="宋体"/>
                <w:color w:val="auto"/>
                <w:sz w:val="21"/>
                <w:szCs w:val="24"/>
                <w:highlight w:val="none"/>
                <w:shd w:val="clear" w:color="auto" w:fill="auto"/>
              </w:rPr>
            </w:pPr>
          </w:p>
        </w:tc>
      </w:tr>
      <w:tr w14:paraId="0008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6200E306">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9</w:t>
            </w:r>
          </w:p>
        </w:tc>
        <w:tc>
          <w:tcPr>
            <w:tcW w:w="710" w:type="dxa"/>
            <w:tcBorders>
              <w:tl2br w:val="nil"/>
              <w:tr2bl w:val="nil"/>
            </w:tcBorders>
            <w:shd w:val="clear" w:color="auto" w:fill="auto"/>
            <w:vAlign w:val="center"/>
          </w:tcPr>
          <w:p w14:paraId="4238FF4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人员纪律性</w:t>
            </w:r>
          </w:p>
        </w:tc>
        <w:tc>
          <w:tcPr>
            <w:tcW w:w="1134" w:type="dxa"/>
            <w:tcBorders>
              <w:tl2br w:val="nil"/>
              <w:tr2bl w:val="nil"/>
            </w:tcBorders>
            <w:shd w:val="clear" w:color="auto" w:fill="auto"/>
            <w:vAlign w:val="center"/>
          </w:tcPr>
          <w:p w14:paraId="3002B31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衡量乙方人员是否遵守甲方的日常规章和操作规范</w:t>
            </w:r>
          </w:p>
        </w:tc>
        <w:tc>
          <w:tcPr>
            <w:tcW w:w="1417" w:type="dxa"/>
            <w:tcBorders>
              <w:tl2br w:val="nil"/>
              <w:tr2bl w:val="nil"/>
            </w:tcBorders>
            <w:shd w:val="clear" w:color="auto" w:fill="auto"/>
            <w:vAlign w:val="center"/>
          </w:tcPr>
          <w:p w14:paraId="134E6DA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乙方人员不得违反甲方的各项规章制度和操作规范</w:t>
            </w:r>
          </w:p>
        </w:tc>
        <w:tc>
          <w:tcPr>
            <w:tcW w:w="1701" w:type="dxa"/>
            <w:tcBorders>
              <w:tl2br w:val="nil"/>
              <w:tr2bl w:val="nil"/>
            </w:tcBorders>
            <w:shd w:val="clear" w:color="auto" w:fill="auto"/>
            <w:vAlign w:val="center"/>
          </w:tcPr>
          <w:p w14:paraId="5E3D1E11">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甲方根据自身检查及其他管理部门的检查结果为依据统计乙方人员违规次数。</w:t>
            </w:r>
          </w:p>
        </w:tc>
        <w:tc>
          <w:tcPr>
            <w:tcW w:w="1843" w:type="dxa"/>
            <w:tcBorders>
              <w:tl2br w:val="nil"/>
              <w:tr2bl w:val="nil"/>
            </w:tcBorders>
            <w:shd w:val="clear" w:color="auto" w:fill="auto"/>
            <w:vAlign w:val="center"/>
          </w:tcPr>
          <w:p w14:paraId="5231955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人员违规次数=0次</w:t>
            </w:r>
          </w:p>
        </w:tc>
        <w:tc>
          <w:tcPr>
            <w:tcW w:w="1984" w:type="dxa"/>
            <w:tcBorders>
              <w:tl2br w:val="nil"/>
              <w:tr2bl w:val="nil"/>
            </w:tcBorders>
            <w:shd w:val="clear" w:color="auto" w:fill="auto"/>
            <w:vAlign w:val="center"/>
          </w:tcPr>
          <w:p w14:paraId="7DC9C44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乙方人员违反甲方规章制度或操作规范，每次扣除乙方金额人民币500元</w:t>
            </w:r>
          </w:p>
        </w:tc>
        <w:tc>
          <w:tcPr>
            <w:tcW w:w="709" w:type="dxa"/>
            <w:tcBorders>
              <w:tl2br w:val="nil"/>
              <w:tr2bl w:val="nil"/>
            </w:tcBorders>
          </w:tcPr>
          <w:p w14:paraId="5DD090D0">
            <w:pPr>
              <w:widowControl/>
              <w:ind w:firstLine="0" w:firstLineChars="0"/>
              <w:rPr>
                <w:rFonts w:ascii="宋体"/>
                <w:color w:val="auto"/>
                <w:sz w:val="21"/>
                <w:szCs w:val="24"/>
                <w:highlight w:val="none"/>
                <w:shd w:val="clear" w:color="auto" w:fill="auto"/>
              </w:rPr>
            </w:pPr>
          </w:p>
        </w:tc>
      </w:tr>
      <w:tr w14:paraId="56C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30F4A2F9">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10</w:t>
            </w:r>
          </w:p>
        </w:tc>
        <w:tc>
          <w:tcPr>
            <w:tcW w:w="710" w:type="dxa"/>
            <w:tcBorders>
              <w:tl2br w:val="nil"/>
              <w:tr2bl w:val="nil"/>
            </w:tcBorders>
            <w:shd w:val="clear" w:color="auto" w:fill="auto"/>
            <w:vAlign w:val="center"/>
          </w:tcPr>
          <w:p w14:paraId="2FB7CB3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安全管理</w:t>
            </w:r>
          </w:p>
        </w:tc>
        <w:tc>
          <w:tcPr>
            <w:tcW w:w="1134" w:type="dxa"/>
            <w:tcBorders>
              <w:tl2br w:val="nil"/>
              <w:tr2bl w:val="nil"/>
            </w:tcBorders>
            <w:shd w:val="clear" w:color="auto" w:fill="auto"/>
            <w:vAlign w:val="center"/>
          </w:tcPr>
          <w:p w14:paraId="5F4A5275">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衡量乙方网络和信息安全服务的管理能力</w:t>
            </w:r>
          </w:p>
        </w:tc>
        <w:tc>
          <w:tcPr>
            <w:tcW w:w="1417" w:type="dxa"/>
            <w:tcBorders>
              <w:tl2br w:val="nil"/>
              <w:tr2bl w:val="nil"/>
            </w:tcBorders>
            <w:shd w:val="clear" w:color="auto" w:fill="auto"/>
            <w:vAlign w:val="center"/>
          </w:tcPr>
          <w:p w14:paraId="536E33C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针对发现的安全漏洞及安全缺陷（包括源代码、第三方SDK或第三方小程序、第三方软件产品及开源组件等），须按甲方要求完成整改。</w:t>
            </w:r>
          </w:p>
        </w:tc>
        <w:tc>
          <w:tcPr>
            <w:tcW w:w="1701" w:type="dxa"/>
            <w:tcBorders>
              <w:tl2br w:val="nil"/>
              <w:tr2bl w:val="nil"/>
            </w:tcBorders>
            <w:shd w:val="clear" w:color="auto" w:fill="auto"/>
            <w:vAlign w:val="center"/>
          </w:tcPr>
          <w:p w14:paraId="032262D9">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甲方根据整改情况统计整改及时性及整改通过率。</w:t>
            </w:r>
          </w:p>
        </w:tc>
        <w:tc>
          <w:tcPr>
            <w:tcW w:w="1843" w:type="dxa"/>
            <w:tcBorders>
              <w:tl2br w:val="nil"/>
              <w:tr2bl w:val="nil"/>
            </w:tcBorders>
            <w:shd w:val="clear" w:color="auto" w:fill="auto"/>
            <w:vAlign w:val="center"/>
          </w:tcPr>
          <w:p w14:paraId="6CBF6BF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互联网或电子银行类系统：</w:t>
            </w:r>
          </w:p>
          <w:p w14:paraId="012949D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1.安全漏洞及安全缺陷整改及时率=100%</w:t>
            </w:r>
          </w:p>
          <w:p w14:paraId="4E9CE704">
            <w:pPr>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2.安全漏洞及安全缺陷整改通过率=100%</w:t>
            </w:r>
          </w:p>
          <w:p w14:paraId="52C1BF5E">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非互联网或电子银行类系统：</w:t>
            </w:r>
          </w:p>
          <w:p w14:paraId="07ECA16B">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1.中高危安全漏洞及安全缺陷整改及时率=100%</w:t>
            </w:r>
          </w:p>
          <w:p w14:paraId="180E6C37">
            <w:pPr>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2.中高危安全漏洞及安全缺陷整改通过率=100%</w:t>
            </w:r>
          </w:p>
        </w:tc>
        <w:tc>
          <w:tcPr>
            <w:tcW w:w="1984" w:type="dxa"/>
            <w:tcBorders>
              <w:tl2br w:val="nil"/>
              <w:tr2bl w:val="nil"/>
            </w:tcBorders>
            <w:shd w:val="clear" w:color="auto" w:fill="auto"/>
            <w:vAlign w:val="center"/>
          </w:tcPr>
          <w:p w14:paraId="30EAE7F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不满足该项任一标准扣除2万元违约金并要求乙方赔偿损失</w:t>
            </w:r>
          </w:p>
        </w:tc>
        <w:tc>
          <w:tcPr>
            <w:tcW w:w="709" w:type="dxa"/>
            <w:tcBorders>
              <w:tl2br w:val="nil"/>
              <w:tr2bl w:val="nil"/>
            </w:tcBorders>
          </w:tcPr>
          <w:p w14:paraId="392F7D45">
            <w:pPr>
              <w:widowControl/>
              <w:ind w:firstLine="0" w:firstLineChars="0"/>
              <w:rPr>
                <w:rFonts w:ascii="宋体"/>
                <w:color w:val="auto"/>
                <w:sz w:val="21"/>
                <w:szCs w:val="24"/>
                <w:highlight w:val="none"/>
                <w:shd w:val="clear" w:color="auto" w:fill="auto"/>
              </w:rPr>
            </w:pPr>
          </w:p>
        </w:tc>
      </w:tr>
      <w:tr w14:paraId="0F9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3AF21CFD">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11</w:t>
            </w:r>
          </w:p>
        </w:tc>
        <w:tc>
          <w:tcPr>
            <w:tcW w:w="710" w:type="dxa"/>
            <w:tcBorders>
              <w:tl2br w:val="nil"/>
              <w:tr2bl w:val="nil"/>
            </w:tcBorders>
            <w:shd w:val="clear" w:color="auto" w:fill="auto"/>
            <w:vAlign w:val="center"/>
          </w:tcPr>
          <w:p w14:paraId="022888EF">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网络安全事件</w:t>
            </w:r>
          </w:p>
        </w:tc>
        <w:tc>
          <w:tcPr>
            <w:tcW w:w="1134" w:type="dxa"/>
            <w:tcBorders>
              <w:tl2br w:val="nil"/>
              <w:tr2bl w:val="nil"/>
            </w:tcBorders>
            <w:shd w:val="clear" w:color="auto" w:fill="auto"/>
            <w:vAlign w:val="center"/>
          </w:tcPr>
          <w:p w14:paraId="2560A49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控制网络安全风险</w:t>
            </w:r>
          </w:p>
        </w:tc>
        <w:tc>
          <w:tcPr>
            <w:tcW w:w="1417" w:type="dxa"/>
            <w:tcBorders>
              <w:tl2br w:val="nil"/>
              <w:tr2bl w:val="nil"/>
            </w:tcBorders>
            <w:shd w:val="clear" w:color="auto" w:fill="auto"/>
            <w:vAlign w:val="center"/>
          </w:tcPr>
          <w:p w14:paraId="561BADEC">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不得因乙方原因（含乙方合作的第三方）导致甲方发生网络安全事件</w:t>
            </w:r>
          </w:p>
        </w:tc>
        <w:tc>
          <w:tcPr>
            <w:tcW w:w="1701" w:type="dxa"/>
            <w:tcBorders>
              <w:tl2br w:val="nil"/>
              <w:tr2bl w:val="nil"/>
            </w:tcBorders>
            <w:shd w:val="clear" w:color="auto" w:fill="auto"/>
            <w:vAlign w:val="center"/>
          </w:tcPr>
          <w:p w14:paraId="2E0DACD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甲方根据监管及本行要求及事件危害程度判定。</w:t>
            </w:r>
          </w:p>
        </w:tc>
        <w:tc>
          <w:tcPr>
            <w:tcW w:w="1843" w:type="dxa"/>
            <w:tcBorders>
              <w:tl2br w:val="nil"/>
              <w:tr2bl w:val="nil"/>
            </w:tcBorders>
            <w:shd w:val="clear" w:color="auto" w:fill="auto"/>
            <w:vAlign w:val="center"/>
          </w:tcPr>
          <w:p w14:paraId="21A4EDEC">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网络安全事件=0</w:t>
            </w:r>
          </w:p>
        </w:tc>
        <w:tc>
          <w:tcPr>
            <w:tcW w:w="1984" w:type="dxa"/>
            <w:tcBorders>
              <w:tl2br w:val="nil"/>
              <w:tr2bl w:val="nil"/>
            </w:tcBorders>
            <w:shd w:val="clear" w:color="auto" w:fill="auto"/>
            <w:vAlign w:val="center"/>
          </w:tcPr>
          <w:p w14:paraId="13C13C20">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每发生一次网络安全事件扣除乙方合同金额不低于3%,并要求乙方赔偿实际损失。</w:t>
            </w:r>
          </w:p>
        </w:tc>
        <w:tc>
          <w:tcPr>
            <w:tcW w:w="709" w:type="dxa"/>
            <w:tcBorders>
              <w:tl2br w:val="nil"/>
              <w:tr2bl w:val="nil"/>
            </w:tcBorders>
          </w:tcPr>
          <w:p w14:paraId="5463A24A">
            <w:pPr>
              <w:widowControl/>
              <w:ind w:firstLine="0" w:firstLineChars="0"/>
              <w:rPr>
                <w:rFonts w:ascii="宋体"/>
                <w:color w:val="auto"/>
                <w:sz w:val="21"/>
                <w:szCs w:val="24"/>
                <w:highlight w:val="none"/>
                <w:shd w:val="clear" w:color="auto" w:fill="auto"/>
              </w:rPr>
            </w:pPr>
          </w:p>
        </w:tc>
      </w:tr>
      <w:tr w14:paraId="55CE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546D0CF4">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12</w:t>
            </w:r>
          </w:p>
        </w:tc>
        <w:tc>
          <w:tcPr>
            <w:tcW w:w="710" w:type="dxa"/>
            <w:tcBorders>
              <w:tl2br w:val="nil"/>
              <w:tr2bl w:val="nil"/>
            </w:tcBorders>
            <w:shd w:val="clear" w:color="auto" w:fill="auto"/>
            <w:vAlign w:val="center"/>
          </w:tcPr>
          <w:p w14:paraId="51A2524B">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外包安全事件</w:t>
            </w:r>
          </w:p>
        </w:tc>
        <w:tc>
          <w:tcPr>
            <w:tcW w:w="1134" w:type="dxa"/>
            <w:tcBorders>
              <w:tl2br w:val="nil"/>
              <w:tr2bl w:val="nil"/>
            </w:tcBorders>
            <w:shd w:val="clear" w:color="auto" w:fill="auto"/>
            <w:vAlign w:val="center"/>
          </w:tcPr>
          <w:p w14:paraId="4F195C3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控制外包操作风险</w:t>
            </w:r>
          </w:p>
        </w:tc>
        <w:tc>
          <w:tcPr>
            <w:tcW w:w="1417" w:type="dxa"/>
            <w:tcBorders>
              <w:tl2br w:val="nil"/>
              <w:tr2bl w:val="nil"/>
            </w:tcBorders>
            <w:shd w:val="clear" w:color="auto" w:fill="auto"/>
            <w:vAlign w:val="center"/>
          </w:tcPr>
          <w:p w14:paraId="78799BC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乙方不得出现危害甲方生产运行安全、数据安全等并造成后果的外包安全事件。</w:t>
            </w:r>
          </w:p>
        </w:tc>
        <w:tc>
          <w:tcPr>
            <w:tcW w:w="1701" w:type="dxa"/>
            <w:tcBorders>
              <w:tl2br w:val="nil"/>
              <w:tr2bl w:val="nil"/>
            </w:tcBorders>
            <w:shd w:val="clear" w:color="auto" w:fill="auto"/>
            <w:vAlign w:val="center"/>
          </w:tcPr>
          <w:p w14:paraId="7EADEBC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l2br w:val="nil"/>
              <w:tr2bl w:val="nil"/>
            </w:tcBorders>
            <w:shd w:val="clear" w:color="auto" w:fill="auto"/>
            <w:vAlign w:val="center"/>
          </w:tcPr>
          <w:p w14:paraId="28C78A9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外包安全事件=0</w:t>
            </w:r>
          </w:p>
        </w:tc>
        <w:tc>
          <w:tcPr>
            <w:tcW w:w="1984" w:type="dxa"/>
            <w:tcBorders>
              <w:tl2br w:val="nil"/>
              <w:tr2bl w:val="nil"/>
            </w:tcBorders>
            <w:shd w:val="clear" w:color="auto" w:fill="auto"/>
            <w:vAlign w:val="center"/>
          </w:tcPr>
          <w:p w14:paraId="638ECF1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每次事件扣罚乙方金额不低于人民币1000元，并要求乙方赔偿实际损失。</w:t>
            </w:r>
          </w:p>
        </w:tc>
        <w:tc>
          <w:tcPr>
            <w:tcW w:w="709" w:type="dxa"/>
            <w:tcBorders>
              <w:tl2br w:val="nil"/>
              <w:tr2bl w:val="nil"/>
            </w:tcBorders>
          </w:tcPr>
          <w:p w14:paraId="227539F7">
            <w:pPr>
              <w:widowControl/>
              <w:ind w:firstLine="0" w:firstLineChars="0"/>
              <w:rPr>
                <w:rFonts w:ascii="宋体"/>
                <w:color w:val="auto"/>
                <w:sz w:val="21"/>
                <w:szCs w:val="24"/>
                <w:highlight w:val="none"/>
                <w:shd w:val="clear" w:color="auto" w:fill="auto"/>
              </w:rPr>
            </w:pPr>
          </w:p>
        </w:tc>
      </w:tr>
      <w:tr w14:paraId="322E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5A3BA48D">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13</w:t>
            </w:r>
          </w:p>
        </w:tc>
        <w:tc>
          <w:tcPr>
            <w:tcW w:w="710" w:type="dxa"/>
            <w:tcBorders>
              <w:tl2br w:val="nil"/>
              <w:tr2bl w:val="nil"/>
            </w:tcBorders>
            <w:shd w:val="clear" w:color="auto" w:fill="auto"/>
            <w:vAlign w:val="center"/>
          </w:tcPr>
          <w:p w14:paraId="082DF9A4">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交付文档数量及质量</w:t>
            </w:r>
          </w:p>
        </w:tc>
        <w:tc>
          <w:tcPr>
            <w:tcW w:w="1134" w:type="dxa"/>
            <w:tcBorders>
              <w:tl2br w:val="nil"/>
              <w:tr2bl w:val="nil"/>
            </w:tcBorders>
            <w:shd w:val="clear" w:color="auto" w:fill="auto"/>
            <w:vAlign w:val="center"/>
          </w:tcPr>
          <w:p w14:paraId="4C22ED3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衡量甲方内部人员对乙方所提供文档的满意情况</w:t>
            </w:r>
          </w:p>
        </w:tc>
        <w:tc>
          <w:tcPr>
            <w:tcW w:w="1417" w:type="dxa"/>
            <w:tcBorders>
              <w:tl2br w:val="nil"/>
              <w:tr2bl w:val="nil"/>
            </w:tcBorders>
            <w:shd w:val="clear" w:color="auto" w:fill="auto"/>
            <w:vAlign w:val="center"/>
          </w:tcPr>
          <w:p w14:paraId="22BAC1F5">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交付文档数量及质量满足甲方要求</w:t>
            </w:r>
          </w:p>
        </w:tc>
        <w:tc>
          <w:tcPr>
            <w:tcW w:w="1701" w:type="dxa"/>
            <w:tcBorders>
              <w:tl2br w:val="nil"/>
              <w:tr2bl w:val="nil"/>
            </w:tcBorders>
            <w:shd w:val="clear" w:color="auto" w:fill="auto"/>
            <w:vAlign w:val="center"/>
          </w:tcPr>
          <w:p w14:paraId="7ED7E6FC">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甲方根据乙方实际交付的文档数量及文档质量计算</w:t>
            </w:r>
          </w:p>
        </w:tc>
        <w:tc>
          <w:tcPr>
            <w:tcW w:w="1843" w:type="dxa"/>
            <w:tcBorders>
              <w:tl2br w:val="nil"/>
              <w:tr2bl w:val="nil"/>
            </w:tcBorders>
            <w:shd w:val="clear" w:color="auto" w:fill="auto"/>
            <w:vAlign w:val="center"/>
          </w:tcPr>
          <w:p w14:paraId="00308535">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14:paraId="44CB5F6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文档每缺少一个扣除合同金额2000元；每有一个文档质量不合格扣除合同金额2000元</w:t>
            </w:r>
          </w:p>
        </w:tc>
        <w:tc>
          <w:tcPr>
            <w:tcW w:w="709" w:type="dxa"/>
            <w:tcBorders>
              <w:tl2br w:val="nil"/>
              <w:tr2bl w:val="nil"/>
            </w:tcBorders>
          </w:tcPr>
          <w:p w14:paraId="351B9FB6">
            <w:pPr>
              <w:widowControl/>
              <w:ind w:firstLine="0" w:firstLineChars="0"/>
              <w:rPr>
                <w:rFonts w:ascii="宋体"/>
                <w:color w:val="auto"/>
                <w:sz w:val="21"/>
                <w:szCs w:val="24"/>
                <w:highlight w:val="none"/>
                <w:shd w:val="clear" w:color="auto" w:fill="auto"/>
              </w:rPr>
            </w:pPr>
          </w:p>
        </w:tc>
      </w:tr>
      <w:tr w14:paraId="16F4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l2br w:val="nil"/>
              <w:tr2bl w:val="nil"/>
            </w:tcBorders>
            <w:shd w:val="clear" w:color="auto" w:fill="auto"/>
            <w:vAlign w:val="center"/>
          </w:tcPr>
          <w:p w14:paraId="6FE95FDE">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14</w:t>
            </w:r>
          </w:p>
        </w:tc>
        <w:tc>
          <w:tcPr>
            <w:tcW w:w="710" w:type="dxa"/>
            <w:tcBorders>
              <w:tl2br w:val="nil"/>
              <w:tr2bl w:val="nil"/>
            </w:tcBorders>
            <w:shd w:val="clear" w:color="auto" w:fill="auto"/>
            <w:vAlign w:val="center"/>
          </w:tcPr>
          <w:p w14:paraId="6736860C">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服务满意度</w:t>
            </w:r>
          </w:p>
        </w:tc>
        <w:tc>
          <w:tcPr>
            <w:tcW w:w="1134" w:type="dxa"/>
            <w:tcBorders>
              <w:tl2br w:val="nil"/>
              <w:tr2bl w:val="nil"/>
            </w:tcBorders>
            <w:shd w:val="clear" w:color="auto" w:fill="auto"/>
            <w:vAlign w:val="center"/>
          </w:tcPr>
          <w:p w14:paraId="1CB93C6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衡量甲方内部人员对乙方所提供服务的满意情况</w:t>
            </w:r>
          </w:p>
        </w:tc>
        <w:tc>
          <w:tcPr>
            <w:tcW w:w="1417" w:type="dxa"/>
            <w:tcBorders>
              <w:tl2br w:val="nil"/>
              <w:tr2bl w:val="nil"/>
            </w:tcBorders>
            <w:shd w:val="clear" w:color="auto" w:fill="auto"/>
            <w:vAlign w:val="center"/>
          </w:tcPr>
          <w:p w14:paraId="0879F8D0">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服务满意度指标</w:t>
            </w:r>
          </w:p>
        </w:tc>
        <w:tc>
          <w:tcPr>
            <w:tcW w:w="1701" w:type="dxa"/>
            <w:tcBorders>
              <w:tl2br w:val="nil"/>
              <w:tr2bl w:val="nil"/>
            </w:tcBorders>
            <w:shd w:val="clear" w:color="auto" w:fill="auto"/>
            <w:vAlign w:val="center"/>
          </w:tcPr>
          <w:p w14:paraId="323B32AA">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服务满意度评级判定</w:t>
            </w:r>
          </w:p>
        </w:tc>
        <w:tc>
          <w:tcPr>
            <w:tcW w:w="1843" w:type="dxa"/>
            <w:tcBorders>
              <w:tl2br w:val="nil"/>
              <w:tr2bl w:val="nil"/>
            </w:tcBorders>
            <w:shd w:val="clear" w:color="auto" w:fill="auto"/>
            <w:vAlign w:val="center"/>
          </w:tcPr>
          <w:p w14:paraId="3D2A1E52">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客户满意度级别为：1级（非常不满意）；2级（不满意）；3级（一般满意）；4级（满意）；5级（非常满意）（服务满意不低于3级）</w:t>
            </w:r>
          </w:p>
        </w:tc>
        <w:tc>
          <w:tcPr>
            <w:tcW w:w="1984" w:type="dxa"/>
            <w:tcBorders>
              <w:tl2br w:val="nil"/>
              <w:tr2bl w:val="nil"/>
            </w:tcBorders>
            <w:shd w:val="clear" w:color="auto" w:fill="auto"/>
            <w:vAlign w:val="center"/>
          </w:tcPr>
          <w:p w14:paraId="5CCEB960">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　</w:t>
            </w:r>
          </w:p>
        </w:tc>
        <w:tc>
          <w:tcPr>
            <w:tcW w:w="709" w:type="dxa"/>
            <w:tcBorders>
              <w:tl2br w:val="nil"/>
              <w:tr2bl w:val="nil"/>
            </w:tcBorders>
          </w:tcPr>
          <w:p w14:paraId="27634EDA">
            <w:pPr>
              <w:widowControl/>
              <w:ind w:firstLine="0" w:firstLineChars="0"/>
              <w:rPr>
                <w:rFonts w:ascii="宋体"/>
                <w:color w:val="auto"/>
                <w:sz w:val="21"/>
                <w:szCs w:val="24"/>
                <w:highlight w:val="none"/>
                <w:shd w:val="clear" w:color="auto" w:fill="auto"/>
              </w:rPr>
            </w:pPr>
          </w:p>
        </w:tc>
      </w:tr>
      <w:tr w14:paraId="0BDF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l2br w:val="nil"/>
              <w:tr2bl w:val="nil"/>
            </w:tcBorders>
            <w:shd w:val="clear" w:color="auto" w:fill="auto"/>
            <w:noWrap/>
            <w:vAlign w:val="center"/>
          </w:tcPr>
          <w:p w14:paraId="254D65E8">
            <w:pPr>
              <w:widowControl/>
              <w:ind w:firstLine="0" w:firstLineChars="0"/>
              <w:jc w:val="center"/>
              <w:rPr>
                <w:rFonts w:ascii="宋体"/>
                <w:color w:val="auto"/>
                <w:szCs w:val="24"/>
                <w:highlight w:val="none"/>
                <w:shd w:val="clear" w:color="auto" w:fill="auto"/>
              </w:rPr>
            </w:pPr>
            <w:r>
              <w:rPr>
                <w:rFonts w:hint="eastAsia" w:ascii="宋体"/>
                <w:color w:val="auto"/>
                <w:szCs w:val="24"/>
                <w:highlight w:val="none"/>
                <w:shd w:val="clear" w:color="auto" w:fill="auto"/>
              </w:rPr>
              <w:t>合计</w:t>
            </w:r>
          </w:p>
        </w:tc>
        <w:tc>
          <w:tcPr>
            <w:tcW w:w="710" w:type="dxa"/>
            <w:tcBorders>
              <w:tl2br w:val="nil"/>
              <w:tr2bl w:val="nil"/>
            </w:tcBorders>
            <w:shd w:val="clear" w:color="auto" w:fill="auto"/>
            <w:noWrap/>
            <w:vAlign w:val="center"/>
          </w:tcPr>
          <w:p w14:paraId="548D7833">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SLA满足率</w:t>
            </w:r>
          </w:p>
        </w:tc>
        <w:tc>
          <w:tcPr>
            <w:tcW w:w="1134" w:type="dxa"/>
            <w:tcBorders>
              <w:tl2br w:val="nil"/>
              <w:tr2bl w:val="nil"/>
            </w:tcBorders>
            <w:shd w:val="clear" w:color="auto" w:fill="auto"/>
            <w:noWrap/>
            <w:vAlign w:val="center"/>
          </w:tcPr>
          <w:p w14:paraId="664B9DB7">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此数据是衡量满足要求的SLA个数与整体SLA个数的百分之整体的比率</w:t>
            </w:r>
          </w:p>
        </w:tc>
        <w:tc>
          <w:tcPr>
            <w:tcW w:w="1417" w:type="dxa"/>
            <w:tcBorders>
              <w:tl2br w:val="nil"/>
              <w:tr2bl w:val="nil"/>
            </w:tcBorders>
            <w:shd w:val="clear" w:color="auto" w:fill="auto"/>
            <w:noWrap/>
            <w:vAlign w:val="center"/>
          </w:tcPr>
          <w:p w14:paraId="7820C85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衡量乙方达到要求的SLA占全部SLA的百分比。</w:t>
            </w:r>
          </w:p>
        </w:tc>
        <w:tc>
          <w:tcPr>
            <w:tcW w:w="1701" w:type="dxa"/>
            <w:tcBorders>
              <w:tl2br w:val="nil"/>
              <w:tr2bl w:val="nil"/>
            </w:tcBorders>
            <w:shd w:val="clear" w:color="auto" w:fill="auto"/>
            <w:noWrap/>
            <w:vAlign w:val="center"/>
          </w:tcPr>
          <w:p w14:paraId="5FB25D0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为了这个度量报告，需要持续汇报SOW中所有SLA情况。</w:t>
            </w:r>
          </w:p>
        </w:tc>
        <w:tc>
          <w:tcPr>
            <w:tcW w:w="1843" w:type="dxa"/>
            <w:tcBorders>
              <w:tl2br w:val="nil"/>
              <w:tr2bl w:val="nil"/>
            </w:tcBorders>
            <w:shd w:val="clear" w:color="auto" w:fill="auto"/>
            <w:noWrap/>
            <w:vAlign w:val="center"/>
          </w:tcPr>
          <w:p w14:paraId="1581D836">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SLA满足率＝（满足SLA的个数/总体SLA的个数）×100%（SLA满足率≥70%）</w:t>
            </w:r>
          </w:p>
        </w:tc>
        <w:tc>
          <w:tcPr>
            <w:tcW w:w="1984" w:type="dxa"/>
            <w:tcBorders>
              <w:tl2br w:val="nil"/>
              <w:tr2bl w:val="nil"/>
            </w:tcBorders>
            <w:shd w:val="clear" w:color="auto" w:fill="auto"/>
            <w:noWrap/>
            <w:vAlign w:val="center"/>
          </w:tcPr>
          <w:p w14:paraId="1ADD3D9D">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SLA满足率每低于标准5%，扣除合同总金额的1%</w:t>
            </w:r>
          </w:p>
        </w:tc>
        <w:tc>
          <w:tcPr>
            <w:tcW w:w="709" w:type="dxa"/>
            <w:tcBorders>
              <w:tl2br w:val="nil"/>
              <w:tr2bl w:val="nil"/>
            </w:tcBorders>
          </w:tcPr>
          <w:p w14:paraId="4CF51AE9">
            <w:pPr>
              <w:widowControl/>
              <w:ind w:firstLine="0" w:firstLineChars="0"/>
              <w:rPr>
                <w:rFonts w:ascii="宋体"/>
                <w:color w:val="auto"/>
                <w:sz w:val="21"/>
                <w:szCs w:val="24"/>
                <w:highlight w:val="none"/>
                <w:shd w:val="clear" w:color="auto" w:fill="auto"/>
              </w:rPr>
            </w:pPr>
          </w:p>
        </w:tc>
      </w:tr>
      <w:tr w14:paraId="67DF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65" w:type="dxa"/>
            <w:gridSpan w:val="8"/>
            <w:tcBorders>
              <w:tl2br w:val="nil"/>
              <w:tr2bl w:val="nil"/>
            </w:tcBorders>
            <w:shd w:val="clear" w:color="auto" w:fill="auto"/>
            <w:noWrap/>
            <w:vAlign w:val="center"/>
          </w:tcPr>
          <w:p w14:paraId="48A866C5">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综合评价：</w:t>
            </w:r>
          </w:p>
          <w:p w14:paraId="5EC69BEE">
            <w:pPr>
              <w:widowControl/>
              <w:ind w:firstLine="0" w:firstLineChars="0"/>
              <w:rPr>
                <w:rFonts w:ascii="宋体"/>
                <w:color w:val="auto"/>
                <w:sz w:val="21"/>
                <w:szCs w:val="24"/>
                <w:highlight w:val="none"/>
                <w:shd w:val="clear" w:color="auto" w:fill="auto"/>
              </w:rPr>
            </w:pPr>
          </w:p>
          <w:p w14:paraId="0F878D5E">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 xml:space="preserve">                                                             </w:t>
            </w:r>
          </w:p>
          <w:p w14:paraId="5DAD4E0E">
            <w:pPr>
              <w:widowControl/>
              <w:ind w:firstLine="0" w:firstLineChars="0"/>
              <w:rPr>
                <w:rFonts w:ascii="宋体"/>
                <w:color w:val="auto"/>
                <w:sz w:val="21"/>
                <w:szCs w:val="24"/>
                <w:highlight w:val="none"/>
                <w:shd w:val="clear" w:color="auto" w:fill="auto"/>
              </w:rPr>
            </w:pPr>
          </w:p>
          <w:p w14:paraId="42B591C5">
            <w:pPr>
              <w:widowControl/>
              <w:ind w:firstLine="0" w:firstLineChars="0"/>
              <w:rPr>
                <w:rFonts w:ascii="宋体"/>
                <w:color w:val="auto"/>
                <w:sz w:val="21"/>
                <w:szCs w:val="24"/>
                <w:highlight w:val="none"/>
                <w:shd w:val="clear" w:color="auto" w:fill="auto"/>
              </w:rPr>
            </w:pPr>
            <w:r>
              <w:rPr>
                <w:rFonts w:hint="eastAsia" w:ascii="宋体"/>
                <w:color w:val="auto"/>
                <w:sz w:val="21"/>
                <w:szCs w:val="24"/>
                <w:highlight w:val="none"/>
                <w:shd w:val="clear" w:color="auto" w:fill="auto"/>
              </w:rPr>
              <w:t xml:space="preserve">评价人：                 </w:t>
            </w:r>
          </w:p>
        </w:tc>
      </w:tr>
    </w:tbl>
    <w:p w14:paraId="23B74A7B">
      <w:pPr>
        <w:spacing w:line="360" w:lineRule="auto"/>
        <w:ind w:firstLine="480"/>
        <w:rPr>
          <w:rFonts w:ascii="宋体" w:hAnsi="宋体" w:cs="宋体"/>
          <w:color w:val="auto"/>
          <w:kern w:val="0"/>
          <w:szCs w:val="28"/>
          <w:highlight w:val="none"/>
          <w:shd w:val="clear" w:color="auto" w:fill="auto"/>
        </w:rPr>
      </w:pPr>
    </w:p>
    <w:p w14:paraId="4F6799CD">
      <w:pPr>
        <w:spacing w:line="360" w:lineRule="auto"/>
        <w:ind w:firstLine="480"/>
        <w:rPr>
          <w:rFonts w:ascii="宋体" w:hAnsi="宋体" w:cs="宋体"/>
          <w:color w:val="auto"/>
          <w:kern w:val="0"/>
          <w:szCs w:val="28"/>
          <w:highlight w:val="none"/>
          <w:shd w:val="clear" w:color="auto" w:fill="auto"/>
        </w:rPr>
      </w:pPr>
    </w:p>
    <w:p w14:paraId="58E4A394">
      <w:pPr>
        <w:spacing w:line="360" w:lineRule="auto"/>
        <w:ind w:firstLine="480"/>
        <w:rPr>
          <w:rFonts w:ascii="宋体" w:hAnsi="宋体" w:cs="宋体"/>
          <w:color w:val="auto"/>
          <w:kern w:val="0"/>
          <w:szCs w:val="28"/>
          <w:highlight w:val="none"/>
          <w:shd w:val="clear" w:color="auto" w:fill="auto"/>
        </w:rPr>
      </w:pPr>
    </w:p>
    <w:p w14:paraId="0ED2D763">
      <w:pPr>
        <w:spacing w:line="360" w:lineRule="auto"/>
        <w:ind w:firstLine="480"/>
        <w:rPr>
          <w:rFonts w:ascii="宋体" w:hAnsi="宋体" w:cs="宋体"/>
          <w:color w:val="auto"/>
          <w:kern w:val="0"/>
          <w:szCs w:val="28"/>
          <w:highlight w:val="none"/>
          <w:shd w:val="clear" w:color="auto" w:fill="auto"/>
        </w:rPr>
      </w:pPr>
    </w:p>
    <w:p w14:paraId="000CE936">
      <w:pPr>
        <w:spacing w:line="360" w:lineRule="auto"/>
        <w:ind w:firstLine="480"/>
        <w:rPr>
          <w:rFonts w:ascii="宋体" w:hAnsi="宋体" w:cs="宋体"/>
          <w:color w:val="auto"/>
          <w:kern w:val="0"/>
          <w:szCs w:val="28"/>
          <w:highlight w:val="none"/>
          <w:shd w:val="clear" w:color="auto" w:fill="auto"/>
        </w:rPr>
      </w:pPr>
    </w:p>
    <w:p w14:paraId="5513A741">
      <w:pPr>
        <w:spacing w:line="360" w:lineRule="auto"/>
        <w:ind w:firstLine="480"/>
        <w:rPr>
          <w:rFonts w:ascii="宋体" w:hAnsi="宋体" w:cs="宋体"/>
          <w:color w:val="auto"/>
          <w:kern w:val="0"/>
          <w:szCs w:val="28"/>
          <w:highlight w:val="none"/>
          <w:shd w:val="clear" w:color="auto" w:fill="auto"/>
        </w:rPr>
      </w:pPr>
    </w:p>
    <w:p w14:paraId="383BDB73">
      <w:pPr>
        <w:spacing w:line="360" w:lineRule="auto"/>
        <w:ind w:firstLine="480"/>
        <w:rPr>
          <w:rFonts w:ascii="宋体" w:hAnsi="宋体" w:cs="宋体"/>
          <w:color w:val="auto"/>
          <w:kern w:val="0"/>
          <w:szCs w:val="28"/>
          <w:highlight w:val="none"/>
          <w:shd w:val="clear" w:color="auto" w:fill="auto"/>
        </w:rPr>
      </w:pPr>
    </w:p>
    <w:p w14:paraId="5B3DD6A5">
      <w:pPr>
        <w:spacing w:line="360" w:lineRule="auto"/>
        <w:ind w:firstLine="480"/>
        <w:rPr>
          <w:rFonts w:ascii="宋体" w:hAnsi="宋体" w:cs="宋体"/>
          <w:color w:val="auto"/>
          <w:kern w:val="0"/>
          <w:szCs w:val="28"/>
          <w:highlight w:val="none"/>
          <w:shd w:val="clear" w:color="auto" w:fill="auto"/>
        </w:rPr>
      </w:pPr>
    </w:p>
    <w:p w14:paraId="79DB406E">
      <w:pPr>
        <w:spacing w:line="360" w:lineRule="auto"/>
        <w:ind w:firstLine="480"/>
        <w:rPr>
          <w:rFonts w:ascii="宋体" w:hAnsi="宋体" w:cs="宋体"/>
          <w:color w:val="auto"/>
          <w:kern w:val="0"/>
          <w:szCs w:val="28"/>
          <w:highlight w:val="none"/>
          <w:shd w:val="clear" w:color="auto" w:fill="auto"/>
        </w:rPr>
      </w:pPr>
    </w:p>
    <w:p w14:paraId="31439682">
      <w:pPr>
        <w:spacing w:line="360" w:lineRule="auto"/>
        <w:ind w:firstLine="480"/>
        <w:rPr>
          <w:rFonts w:ascii="宋体" w:hAnsi="宋体" w:cs="宋体"/>
          <w:color w:val="auto"/>
          <w:kern w:val="0"/>
          <w:szCs w:val="28"/>
          <w:highlight w:val="none"/>
          <w:shd w:val="clear" w:color="auto" w:fill="auto"/>
        </w:rPr>
      </w:pPr>
    </w:p>
    <w:p w14:paraId="2596B7BF">
      <w:pPr>
        <w:spacing w:line="360" w:lineRule="auto"/>
        <w:ind w:firstLine="480"/>
        <w:rPr>
          <w:rFonts w:ascii="宋体" w:hAnsi="宋体" w:cs="宋体"/>
          <w:color w:val="auto"/>
          <w:kern w:val="0"/>
          <w:szCs w:val="28"/>
          <w:highlight w:val="none"/>
          <w:shd w:val="clear" w:color="auto" w:fill="auto"/>
        </w:rPr>
      </w:pPr>
    </w:p>
    <w:p w14:paraId="721EE086">
      <w:pPr>
        <w:ind w:firstLine="480"/>
        <w:rPr>
          <w:color w:val="auto"/>
          <w:highlight w:val="none"/>
          <w:shd w:val="clear" w:color="auto" w:fill="auto"/>
        </w:rPr>
      </w:pPr>
      <w:r>
        <w:rPr>
          <w:rFonts w:hint="eastAsia"/>
          <w:color w:val="auto"/>
          <w:highlight w:val="none"/>
          <w:shd w:val="clear" w:color="auto" w:fill="auto"/>
        </w:rPr>
        <w:t>附件六：服务连续性预案</w:t>
      </w:r>
    </w:p>
    <w:p w14:paraId="470EEDAE">
      <w:pPr>
        <w:ind w:firstLine="480"/>
        <w:rPr>
          <w:rFonts w:ascii="方正小标宋_GBK" w:eastAsia="方正小标宋_GBK"/>
          <w:color w:val="auto"/>
          <w:highlight w:val="none"/>
          <w:shd w:val="clear" w:color="auto" w:fill="auto"/>
        </w:rPr>
      </w:pPr>
      <w:r>
        <w:rPr>
          <w:rFonts w:hint="eastAsia" w:ascii="方正小标宋_GBK" w:eastAsia="方正小标宋_GBK"/>
          <w:color w:val="auto"/>
          <w:highlight w:val="none"/>
          <w:shd w:val="clear" w:color="auto" w:fill="auto"/>
        </w:rPr>
        <w:t>（应考虑供应链风险产生的影响）</w:t>
      </w:r>
    </w:p>
    <w:p w14:paraId="18845679">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一、目的</w:t>
      </w:r>
    </w:p>
    <w:p w14:paraId="6ABE890D">
      <w:pPr>
        <w:spacing w:line="360" w:lineRule="auto"/>
        <w:ind w:firstLine="559" w:firstLineChars="233"/>
        <w:rPr>
          <w:color w:val="auto"/>
          <w:szCs w:val="24"/>
          <w:highlight w:val="none"/>
          <w:shd w:val="clear" w:color="auto" w:fill="auto"/>
        </w:rPr>
      </w:pPr>
      <w:r>
        <w:rPr>
          <w:rFonts w:hint="eastAsia" w:ascii="宋体"/>
          <w:color w:val="auto"/>
          <w:szCs w:val="24"/>
          <w:highlight w:val="none"/>
          <w:shd w:val="clear" w:color="auto" w:fill="auto"/>
        </w:rPr>
        <w:t>为保证甲方项目实施的及时性、连续性和稳定性，避免由于外包服务中断而引起项目中断、项目目标无法达成，故拟定本外包服务中断场景时的应急方案，作为突发外包服务中断事件时的服务恢复依据。</w:t>
      </w:r>
    </w:p>
    <w:p w14:paraId="3210DE3D">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二、应急组织架构及职责</w:t>
      </w:r>
    </w:p>
    <w:p w14:paraId="5DD19143">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FA3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5099942">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A64D446">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3E3005A">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7D395E2">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职责</w:t>
            </w:r>
          </w:p>
        </w:tc>
      </w:tr>
      <w:tr w14:paraId="45FF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28A5028">
            <w:pPr>
              <w:widowControl/>
              <w:ind w:firstLine="420"/>
              <w:jc w:val="center"/>
              <w:rPr>
                <w:rFonts w:ascii="宋体"/>
                <w:color w:val="auto"/>
                <w:sz w:val="21"/>
                <w:szCs w:val="24"/>
                <w:highlight w:val="none"/>
                <w:shd w:val="clear" w:color="auto" w:fill="auto"/>
              </w:rPr>
            </w:pPr>
          </w:p>
        </w:tc>
        <w:tc>
          <w:tcPr>
            <w:tcW w:w="1230" w:type="dxa"/>
            <w:tcBorders>
              <w:top w:val="single" w:color="auto" w:sz="4" w:space="0"/>
              <w:left w:val="nil"/>
              <w:bottom w:val="single" w:color="auto" w:sz="4" w:space="0"/>
              <w:right w:val="single" w:color="auto" w:sz="4" w:space="0"/>
              <w:tl2br w:val="nil"/>
              <w:tr2bl w:val="nil"/>
            </w:tcBorders>
            <w:vAlign w:val="center"/>
          </w:tcPr>
          <w:p w14:paraId="1BBDA058">
            <w:pPr>
              <w:widowControl/>
              <w:ind w:firstLine="420"/>
              <w:jc w:val="center"/>
              <w:rPr>
                <w:rFonts w:ascii="宋体"/>
                <w:color w:val="auto"/>
                <w:sz w:val="21"/>
                <w:szCs w:val="24"/>
                <w:highlight w:val="none"/>
                <w:shd w:val="clear" w:color="auto" w:fill="auto"/>
              </w:rPr>
            </w:pPr>
          </w:p>
        </w:tc>
        <w:tc>
          <w:tcPr>
            <w:tcW w:w="1830" w:type="dxa"/>
            <w:tcBorders>
              <w:top w:val="single" w:color="auto" w:sz="4" w:space="0"/>
              <w:left w:val="nil"/>
              <w:bottom w:val="single" w:color="auto" w:sz="4" w:space="0"/>
              <w:right w:val="single" w:color="auto" w:sz="4" w:space="0"/>
              <w:tl2br w:val="nil"/>
              <w:tr2bl w:val="nil"/>
            </w:tcBorders>
            <w:vAlign w:val="center"/>
          </w:tcPr>
          <w:p w14:paraId="6F73EE92">
            <w:pPr>
              <w:widowControl/>
              <w:ind w:firstLine="420"/>
              <w:jc w:val="center"/>
              <w:rPr>
                <w:rFonts w:ascii="宋体"/>
                <w:color w:val="auto"/>
                <w:sz w:val="21"/>
                <w:szCs w:val="24"/>
                <w:highlight w:val="none"/>
                <w:shd w:val="clear" w:color="auto" w:fill="auto"/>
              </w:rPr>
            </w:pPr>
          </w:p>
        </w:tc>
        <w:tc>
          <w:tcPr>
            <w:tcW w:w="4066" w:type="dxa"/>
            <w:tcBorders>
              <w:top w:val="single" w:color="auto" w:sz="4" w:space="0"/>
              <w:left w:val="nil"/>
              <w:bottom w:val="single" w:color="auto" w:sz="4" w:space="0"/>
              <w:right w:val="single" w:color="auto" w:sz="4" w:space="0"/>
              <w:tl2br w:val="nil"/>
              <w:tr2bl w:val="nil"/>
            </w:tcBorders>
          </w:tcPr>
          <w:p w14:paraId="37C9B065">
            <w:pPr>
              <w:widowControl/>
              <w:ind w:firstLine="420"/>
              <w:jc w:val="center"/>
              <w:rPr>
                <w:rFonts w:ascii="宋体"/>
                <w:color w:val="auto"/>
                <w:sz w:val="21"/>
                <w:szCs w:val="24"/>
                <w:highlight w:val="none"/>
                <w:shd w:val="clear" w:color="auto" w:fill="auto"/>
              </w:rPr>
            </w:pPr>
          </w:p>
        </w:tc>
      </w:tr>
      <w:tr w14:paraId="4BF1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E9C98FC">
            <w:pPr>
              <w:widowControl/>
              <w:ind w:firstLine="420"/>
              <w:jc w:val="center"/>
              <w:rPr>
                <w:rFonts w:ascii="宋体"/>
                <w:color w:val="auto"/>
                <w:sz w:val="21"/>
                <w:szCs w:val="24"/>
                <w:highlight w:val="none"/>
                <w:shd w:val="clear" w:color="auto" w:fill="auto"/>
              </w:rPr>
            </w:pPr>
          </w:p>
        </w:tc>
        <w:tc>
          <w:tcPr>
            <w:tcW w:w="1230" w:type="dxa"/>
            <w:tcBorders>
              <w:top w:val="single" w:color="auto" w:sz="4" w:space="0"/>
              <w:left w:val="nil"/>
              <w:bottom w:val="single" w:color="auto" w:sz="4" w:space="0"/>
              <w:right w:val="single" w:color="auto" w:sz="4" w:space="0"/>
              <w:tl2br w:val="nil"/>
              <w:tr2bl w:val="nil"/>
            </w:tcBorders>
            <w:vAlign w:val="center"/>
          </w:tcPr>
          <w:p w14:paraId="1D856C4A">
            <w:pPr>
              <w:widowControl/>
              <w:ind w:firstLine="420"/>
              <w:jc w:val="center"/>
              <w:rPr>
                <w:rFonts w:ascii="宋体"/>
                <w:color w:val="auto"/>
                <w:sz w:val="21"/>
                <w:szCs w:val="24"/>
                <w:highlight w:val="none"/>
                <w:shd w:val="clear" w:color="auto" w:fill="auto"/>
              </w:rPr>
            </w:pPr>
          </w:p>
        </w:tc>
        <w:tc>
          <w:tcPr>
            <w:tcW w:w="1830" w:type="dxa"/>
            <w:tcBorders>
              <w:top w:val="single" w:color="auto" w:sz="4" w:space="0"/>
              <w:left w:val="nil"/>
              <w:bottom w:val="single" w:color="auto" w:sz="4" w:space="0"/>
              <w:right w:val="single" w:color="auto" w:sz="4" w:space="0"/>
              <w:tl2br w:val="nil"/>
              <w:tr2bl w:val="nil"/>
            </w:tcBorders>
            <w:vAlign w:val="center"/>
          </w:tcPr>
          <w:p w14:paraId="1E0128FA">
            <w:pPr>
              <w:widowControl/>
              <w:ind w:firstLine="420"/>
              <w:jc w:val="center"/>
              <w:rPr>
                <w:rFonts w:ascii="宋体"/>
                <w:color w:val="auto"/>
                <w:sz w:val="21"/>
                <w:szCs w:val="24"/>
                <w:highlight w:val="none"/>
                <w:shd w:val="clear" w:color="auto" w:fill="auto"/>
              </w:rPr>
            </w:pPr>
          </w:p>
        </w:tc>
        <w:tc>
          <w:tcPr>
            <w:tcW w:w="4066" w:type="dxa"/>
            <w:tcBorders>
              <w:top w:val="single" w:color="auto" w:sz="4" w:space="0"/>
              <w:left w:val="nil"/>
              <w:bottom w:val="single" w:color="auto" w:sz="4" w:space="0"/>
              <w:right w:val="single" w:color="auto" w:sz="4" w:space="0"/>
              <w:tl2br w:val="nil"/>
              <w:tr2bl w:val="nil"/>
            </w:tcBorders>
          </w:tcPr>
          <w:p w14:paraId="34CC5CA5">
            <w:pPr>
              <w:widowControl/>
              <w:ind w:firstLine="420"/>
              <w:jc w:val="center"/>
              <w:rPr>
                <w:rFonts w:ascii="宋体"/>
                <w:color w:val="auto"/>
                <w:sz w:val="21"/>
                <w:szCs w:val="24"/>
                <w:highlight w:val="none"/>
                <w:shd w:val="clear" w:color="auto" w:fill="auto"/>
              </w:rPr>
            </w:pPr>
          </w:p>
        </w:tc>
      </w:tr>
      <w:tr w14:paraId="79F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F7E66AA">
            <w:pPr>
              <w:widowControl/>
              <w:ind w:firstLine="420"/>
              <w:jc w:val="center"/>
              <w:rPr>
                <w:rFonts w:ascii="宋体"/>
                <w:color w:val="auto"/>
                <w:sz w:val="21"/>
                <w:szCs w:val="24"/>
                <w:highlight w:val="none"/>
                <w:shd w:val="clear" w:color="auto" w:fill="auto"/>
              </w:rPr>
            </w:pPr>
          </w:p>
        </w:tc>
        <w:tc>
          <w:tcPr>
            <w:tcW w:w="1230" w:type="dxa"/>
            <w:tcBorders>
              <w:top w:val="single" w:color="auto" w:sz="4" w:space="0"/>
              <w:left w:val="nil"/>
              <w:bottom w:val="single" w:color="auto" w:sz="4" w:space="0"/>
              <w:right w:val="single" w:color="auto" w:sz="4" w:space="0"/>
              <w:tl2br w:val="nil"/>
              <w:tr2bl w:val="nil"/>
            </w:tcBorders>
            <w:vAlign w:val="center"/>
          </w:tcPr>
          <w:p w14:paraId="67C5ED37">
            <w:pPr>
              <w:widowControl/>
              <w:ind w:firstLine="420"/>
              <w:jc w:val="center"/>
              <w:rPr>
                <w:rFonts w:ascii="宋体"/>
                <w:color w:val="auto"/>
                <w:sz w:val="21"/>
                <w:szCs w:val="24"/>
                <w:highlight w:val="none"/>
                <w:shd w:val="clear" w:color="auto" w:fill="auto"/>
              </w:rPr>
            </w:pPr>
          </w:p>
        </w:tc>
        <w:tc>
          <w:tcPr>
            <w:tcW w:w="1830" w:type="dxa"/>
            <w:tcBorders>
              <w:top w:val="single" w:color="auto" w:sz="4" w:space="0"/>
              <w:left w:val="nil"/>
              <w:bottom w:val="single" w:color="auto" w:sz="4" w:space="0"/>
              <w:right w:val="single" w:color="auto" w:sz="4" w:space="0"/>
              <w:tl2br w:val="nil"/>
              <w:tr2bl w:val="nil"/>
            </w:tcBorders>
            <w:vAlign w:val="center"/>
          </w:tcPr>
          <w:p w14:paraId="01D0BC46">
            <w:pPr>
              <w:widowControl/>
              <w:ind w:firstLine="420"/>
              <w:jc w:val="center"/>
              <w:rPr>
                <w:rFonts w:ascii="宋体"/>
                <w:color w:val="auto"/>
                <w:sz w:val="21"/>
                <w:szCs w:val="24"/>
                <w:highlight w:val="none"/>
                <w:shd w:val="clear" w:color="auto" w:fill="auto"/>
              </w:rPr>
            </w:pPr>
          </w:p>
        </w:tc>
        <w:tc>
          <w:tcPr>
            <w:tcW w:w="4066" w:type="dxa"/>
            <w:tcBorders>
              <w:top w:val="single" w:color="auto" w:sz="4" w:space="0"/>
              <w:left w:val="nil"/>
              <w:bottom w:val="single" w:color="auto" w:sz="4" w:space="0"/>
              <w:right w:val="single" w:color="auto" w:sz="4" w:space="0"/>
              <w:tl2br w:val="nil"/>
              <w:tr2bl w:val="nil"/>
            </w:tcBorders>
          </w:tcPr>
          <w:p w14:paraId="7CB20C4C">
            <w:pPr>
              <w:widowControl/>
              <w:ind w:firstLine="420"/>
              <w:jc w:val="center"/>
              <w:rPr>
                <w:rFonts w:ascii="宋体"/>
                <w:color w:val="auto"/>
                <w:sz w:val="21"/>
                <w:szCs w:val="24"/>
                <w:highlight w:val="none"/>
                <w:shd w:val="clear" w:color="auto" w:fill="auto"/>
              </w:rPr>
            </w:pPr>
          </w:p>
        </w:tc>
      </w:tr>
    </w:tbl>
    <w:p w14:paraId="5CA5B888">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36B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B92E365">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B951940">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05E26AA">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313D4F46">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职责</w:t>
            </w:r>
          </w:p>
        </w:tc>
      </w:tr>
      <w:tr w14:paraId="5E81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BD41C5D">
            <w:pPr>
              <w:widowControl/>
              <w:ind w:firstLine="420"/>
              <w:jc w:val="center"/>
              <w:rPr>
                <w:rFonts w:ascii="宋体"/>
                <w:color w:val="auto"/>
                <w:sz w:val="21"/>
                <w:szCs w:val="24"/>
                <w:highlight w:val="none"/>
                <w:shd w:val="clear" w:color="auto" w:fill="auto"/>
              </w:rPr>
            </w:pPr>
          </w:p>
        </w:tc>
        <w:tc>
          <w:tcPr>
            <w:tcW w:w="1215" w:type="dxa"/>
            <w:tcBorders>
              <w:top w:val="single" w:color="auto" w:sz="4" w:space="0"/>
              <w:left w:val="nil"/>
              <w:bottom w:val="single" w:color="auto" w:sz="4" w:space="0"/>
              <w:right w:val="single" w:color="auto" w:sz="4" w:space="0"/>
              <w:tl2br w:val="nil"/>
              <w:tr2bl w:val="nil"/>
            </w:tcBorders>
            <w:vAlign w:val="center"/>
          </w:tcPr>
          <w:p w14:paraId="5F6B6489">
            <w:pPr>
              <w:widowControl/>
              <w:ind w:firstLine="420"/>
              <w:jc w:val="center"/>
              <w:rPr>
                <w:rFonts w:ascii="宋体"/>
                <w:color w:val="auto"/>
                <w:sz w:val="21"/>
                <w:szCs w:val="24"/>
                <w:highlight w:val="none"/>
                <w:shd w:val="clear" w:color="auto" w:fill="auto"/>
              </w:rPr>
            </w:pPr>
          </w:p>
        </w:tc>
        <w:tc>
          <w:tcPr>
            <w:tcW w:w="1845" w:type="dxa"/>
            <w:tcBorders>
              <w:top w:val="single" w:color="auto" w:sz="4" w:space="0"/>
              <w:left w:val="nil"/>
              <w:bottom w:val="single" w:color="auto" w:sz="4" w:space="0"/>
              <w:right w:val="single" w:color="auto" w:sz="4" w:space="0"/>
              <w:tl2br w:val="nil"/>
              <w:tr2bl w:val="nil"/>
            </w:tcBorders>
            <w:vAlign w:val="center"/>
          </w:tcPr>
          <w:p w14:paraId="366E8077">
            <w:pPr>
              <w:widowControl/>
              <w:ind w:firstLine="420"/>
              <w:jc w:val="center"/>
              <w:rPr>
                <w:rFonts w:ascii="宋体"/>
                <w:color w:val="auto"/>
                <w:sz w:val="21"/>
                <w:szCs w:val="24"/>
                <w:highlight w:val="none"/>
                <w:shd w:val="clear" w:color="auto" w:fill="auto"/>
              </w:rPr>
            </w:pPr>
          </w:p>
        </w:tc>
        <w:tc>
          <w:tcPr>
            <w:tcW w:w="4067" w:type="dxa"/>
            <w:tcBorders>
              <w:top w:val="single" w:color="auto" w:sz="4" w:space="0"/>
              <w:left w:val="nil"/>
              <w:bottom w:val="single" w:color="auto" w:sz="4" w:space="0"/>
              <w:right w:val="single" w:color="auto" w:sz="4" w:space="0"/>
              <w:tl2br w:val="nil"/>
              <w:tr2bl w:val="nil"/>
            </w:tcBorders>
          </w:tcPr>
          <w:p w14:paraId="40304FD0">
            <w:pPr>
              <w:widowControl/>
              <w:ind w:firstLine="420"/>
              <w:jc w:val="center"/>
              <w:rPr>
                <w:rFonts w:ascii="宋体"/>
                <w:color w:val="auto"/>
                <w:sz w:val="21"/>
                <w:szCs w:val="24"/>
                <w:highlight w:val="none"/>
                <w:shd w:val="clear" w:color="auto" w:fill="auto"/>
              </w:rPr>
            </w:pPr>
          </w:p>
        </w:tc>
      </w:tr>
      <w:tr w14:paraId="23D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8FD425C">
            <w:pPr>
              <w:widowControl/>
              <w:ind w:firstLine="420"/>
              <w:jc w:val="center"/>
              <w:rPr>
                <w:rFonts w:ascii="宋体"/>
                <w:color w:val="auto"/>
                <w:sz w:val="21"/>
                <w:szCs w:val="24"/>
                <w:highlight w:val="none"/>
                <w:shd w:val="clear" w:color="auto" w:fill="auto"/>
              </w:rPr>
            </w:pPr>
          </w:p>
        </w:tc>
        <w:tc>
          <w:tcPr>
            <w:tcW w:w="1215" w:type="dxa"/>
            <w:tcBorders>
              <w:top w:val="single" w:color="auto" w:sz="4" w:space="0"/>
              <w:left w:val="nil"/>
              <w:bottom w:val="single" w:color="auto" w:sz="4" w:space="0"/>
              <w:right w:val="single" w:color="auto" w:sz="4" w:space="0"/>
              <w:tl2br w:val="nil"/>
              <w:tr2bl w:val="nil"/>
            </w:tcBorders>
            <w:vAlign w:val="center"/>
          </w:tcPr>
          <w:p w14:paraId="39648BDA">
            <w:pPr>
              <w:widowControl/>
              <w:ind w:firstLine="420"/>
              <w:jc w:val="center"/>
              <w:rPr>
                <w:rFonts w:ascii="宋体"/>
                <w:color w:val="auto"/>
                <w:sz w:val="21"/>
                <w:szCs w:val="24"/>
                <w:highlight w:val="none"/>
                <w:shd w:val="clear" w:color="auto" w:fill="auto"/>
              </w:rPr>
            </w:pPr>
          </w:p>
        </w:tc>
        <w:tc>
          <w:tcPr>
            <w:tcW w:w="1845" w:type="dxa"/>
            <w:tcBorders>
              <w:top w:val="single" w:color="auto" w:sz="4" w:space="0"/>
              <w:left w:val="nil"/>
              <w:bottom w:val="single" w:color="auto" w:sz="4" w:space="0"/>
              <w:right w:val="single" w:color="auto" w:sz="4" w:space="0"/>
              <w:tl2br w:val="nil"/>
              <w:tr2bl w:val="nil"/>
            </w:tcBorders>
            <w:vAlign w:val="center"/>
          </w:tcPr>
          <w:p w14:paraId="0A22C07F">
            <w:pPr>
              <w:widowControl/>
              <w:ind w:firstLine="420"/>
              <w:jc w:val="center"/>
              <w:rPr>
                <w:rFonts w:ascii="宋体"/>
                <w:color w:val="auto"/>
                <w:sz w:val="21"/>
                <w:szCs w:val="24"/>
                <w:highlight w:val="none"/>
                <w:shd w:val="clear" w:color="auto" w:fill="auto"/>
              </w:rPr>
            </w:pPr>
          </w:p>
        </w:tc>
        <w:tc>
          <w:tcPr>
            <w:tcW w:w="4067" w:type="dxa"/>
            <w:tcBorders>
              <w:top w:val="single" w:color="auto" w:sz="4" w:space="0"/>
              <w:left w:val="nil"/>
              <w:bottom w:val="single" w:color="auto" w:sz="4" w:space="0"/>
              <w:right w:val="single" w:color="auto" w:sz="4" w:space="0"/>
              <w:tl2br w:val="nil"/>
              <w:tr2bl w:val="nil"/>
            </w:tcBorders>
          </w:tcPr>
          <w:p w14:paraId="6D296A39">
            <w:pPr>
              <w:widowControl/>
              <w:ind w:firstLine="420"/>
              <w:jc w:val="center"/>
              <w:rPr>
                <w:rFonts w:ascii="宋体"/>
                <w:color w:val="auto"/>
                <w:sz w:val="21"/>
                <w:szCs w:val="24"/>
                <w:highlight w:val="none"/>
                <w:shd w:val="clear" w:color="auto" w:fill="auto"/>
              </w:rPr>
            </w:pPr>
          </w:p>
        </w:tc>
      </w:tr>
    </w:tbl>
    <w:p w14:paraId="6127E741">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E45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81E7FDF">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F92DC11">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06680B7">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EC11635">
            <w:pPr>
              <w:spacing w:line="360" w:lineRule="auto"/>
              <w:ind w:firstLine="480"/>
              <w:jc w:val="center"/>
              <w:rPr>
                <w:rFonts w:ascii="宋体"/>
                <w:color w:val="auto"/>
                <w:szCs w:val="24"/>
                <w:highlight w:val="none"/>
                <w:shd w:val="clear" w:color="auto" w:fill="auto"/>
              </w:rPr>
            </w:pPr>
            <w:r>
              <w:rPr>
                <w:rFonts w:hint="eastAsia" w:ascii="宋体"/>
                <w:color w:val="auto"/>
                <w:szCs w:val="24"/>
                <w:highlight w:val="none"/>
                <w:shd w:val="clear" w:color="auto" w:fill="auto"/>
              </w:rPr>
              <w:t>职责</w:t>
            </w:r>
          </w:p>
        </w:tc>
      </w:tr>
      <w:tr w14:paraId="59B5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F139572">
            <w:pPr>
              <w:widowControl/>
              <w:ind w:firstLine="420"/>
              <w:jc w:val="center"/>
              <w:rPr>
                <w:rFonts w:ascii="宋体"/>
                <w:color w:val="auto"/>
                <w:sz w:val="21"/>
                <w:szCs w:val="24"/>
                <w:highlight w:val="none"/>
                <w:shd w:val="clear" w:color="auto" w:fill="auto"/>
              </w:rPr>
            </w:pPr>
          </w:p>
        </w:tc>
        <w:tc>
          <w:tcPr>
            <w:tcW w:w="1215" w:type="dxa"/>
            <w:tcBorders>
              <w:top w:val="single" w:color="auto" w:sz="4" w:space="0"/>
              <w:left w:val="nil"/>
              <w:bottom w:val="single" w:color="auto" w:sz="4" w:space="0"/>
              <w:right w:val="single" w:color="auto" w:sz="4" w:space="0"/>
              <w:tl2br w:val="nil"/>
              <w:tr2bl w:val="nil"/>
            </w:tcBorders>
            <w:vAlign w:val="center"/>
          </w:tcPr>
          <w:p w14:paraId="0C3E45A4">
            <w:pPr>
              <w:widowControl/>
              <w:ind w:firstLine="420"/>
              <w:jc w:val="center"/>
              <w:rPr>
                <w:rFonts w:ascii="宋体"/>
                <w:color w:val="auto"/>
                <w:sz w:val="21"/>
                <w:szCs w:val="24"/>
                <w:highlight w:val="none"/>
                <w:shd w:val="clear" w:color="auto" w:fill="auto"/>
              </w:rPr>
            </w:pPr>
          </w:p>
        </w:tc>
        <w:tc>
          <w:tcPr>
            <w:tcW w:w="1845" w:type="dxa"/>
            <w:tcBorders>
              <w:top w:val="single" w:color="auto" w:sz="4" w:space="0"/>
              <w:left w:val="nil"/>
              <w:bottom w:val="single" w:color="auto" w:sz="4" w:space="0"/>
              <w:right w:val="single" w:color="auto" w:sz="4" w:space="0"/>
              <w:tl2br w:val="nil"/>
              <w:tr2bl w:val="nil"/>
            </w:tcBorders>
            <w:vAlign w:val="center"/>
          </w:tcPr>
          <w:p w14:paraId="4E268431">
            <w:pPr>
              <w:widowControl/>
              <w:ind w:firstLine="420"/>
              <w:rPr>
                <w:rFonts w:ascii="宋体"/>
                <w:color w:val="auto"/>
                <w:sz w:val="21"/>
                <w:szCs w:val="24"/>
                <w:highlight w:val="none"/>
                <w:shd w:val="clear" w:color="auto" w:fill="auto"/>
              </w:rPr>
            </w:pPr>
          </w:p>
        </w:tc>
        <w:tc>
          <w:tcPr>
            <w:tcW w:w="4066" w:type="dxa"/>
            <w:tcBorders>
              <w:top w:val="single" w:color="auto" w:sz="4" w:space="0"/>
              <w:left w:val="nil"/>
              <w:bottom w:val="single" w:color="auto" w:sz="4" w:space="0"/>
              <w:right w:val="single" w:color="auto" w:sz="4" w:space="0"/>
              <w:tl2br w:val="nil"/>
              <w:tr2bl w:val="nil"/>
            </w:tcBorders>
          </w:tcPr>
          <w:p w14:paraId="3D332B33">
            <w:pPr>
              <w:widowControl/>
              <w:ind w:firstLine="420"/>
              <w:jc w:val="center"/>
              <w:rPr>
                <w:rFonts w:ascii="宋体"/>
                <w:color w:val="auto"/>
                <w:sz w:val="21"/>
                <w:szCs w:val="24"/>
                <w:highlight w:val="none"/>
                <w:shd w:val="clear" w:color="auto" w:fill="auto"/>
              </w:rPr>
            </w:pPr>
          </w:p>
        </w:tc>
      </w:tr>
      <w:tr w14:paraId="160C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D62EFFA">
            <w:pPr>
              <w:widowControl/>
              <w:ind w:firstLine="420"/>
              <w:jc w:val="center"/>
              <w:rPr>
                <w:rFonts w:ascii="宋体"/>
                <w:color w:val="auto"/>
                <w:sz w:val="21"/>
                <w:szCs w:val="24"/>
                <w:highlight w:val="none"/>
                <w:shd w:val="clear" w:color="auto" w:fill="auto"/>
              </w:rPr>
            </w:pPr>
          </w:p>
        </w:tc>
        <w:tc>
          <w:tcPr>
            <w:tcW w:w="1215" w:type="dxa"/>
            <w:tcBorders>
              <w:top w:val="single" w:color="auto" w:sz="4" w:space="0"/>
              <w:left w:val="nil"/>
              <w:bottom w:val="single" w:color="auto" w:sz="4" w:space="0"/>
              <w:right w:val="single" w:color="auto" w:sz="4" w:space="0"/>
              <w:tl2br w:val="nil"/>
              <w:tr2bl w:val="nil"/>
            </w:tcBorders>
            <w:vAlign w:val="center"/>
          </w:tcPr>
          <w:p w14:paraId="14B0D03E">
            <w:pPr>
              <w:widowControl/>
              <w:ind w:firstLine="420"/>
              <w:jc w:val="center"/>
              <w:rPr>
                <w:rFonts w:ascii="宋体"/>
                <w:color w:val="auto"/>
                <w:sz w:val="21"/>
                <w:szCs w:val="24"/>
                <w:highlight w:val="none"/>
                <w:shd w:val="clear" w:color="auto" w:fill="auto"/>
              </w:rPr>
            </w:pPr>
          </w:p>
        </w:tc>
        <w:tc>
          <w:tcPr>
            <w:tcW w:w="1845" w:type="dxa"/>
            <w:tcBorders>
              <w:top w:val="single" w:color="auto" w:sz="4" w:space="0"/>
              <w:left w:val="nil"/>
              <w:bottom w:val="single" w:color="auto" w:sz="4" w:space="0"/>
              <w:right w:val="single" w:color="auto" w:sz="4" w:space="0"/>
              <w:tl2br w:val="nil"/>
              <w:tr2bl w:val="nil"/>
            </w:tcBorders>
            <w:vAlign w:val="center"/>
          </w:tcPr>
          <w:p w14:paraId="2492AAB8">
            <w:pPr>
              <w:widowControl/>
              <w:ind w:firstLine="420"/>
              <w:rPr>
                <w:rFonts w:ascii="宋体"/>
                <w:color w:val="auto"/>
                <w:sz w:val="21"/>
                <w:szCs w:val="24"/>
                <w:highlight w:val="none"/>
                <w:shd w:val="clear" w:color="auto" w:fill="auto"/>
              </w:rPr>
            </w:pPr>
          </w:p>
        </w:tc>
        <w:tc>
          <w:tcPr>
            <w:tcW w:w="4066" w:type="dxa"/>
            <w:tcBorders>
              <w:top w:val="single" w:color="auto" w:sz="4" w:space="0"/>
              <w:left w:val="nil"/>
              <w:bottom w:val="single" w:color="auto" w:sz="4" w:space="0"/>
              <w:right w:val="single" w:color="auto" w:sz="4" w:space="0"/>
              <w:tl2br w:val="nil"/>
              <w:tr2bl w:val="nil"/>
            </w:tcBorders>
          </w:tcPr>
          <w:p w14:paraId="2B3D6FD7">
            <w:pPr>
              <w:widowControl/>
              <w:ind w:firstLine="420"/>
              <w:jc w:val="center"/>
              <w:rPr>
                <w:rFonts w:ascii="宋体"/>
                <w:color w:val="auto"/>
                <w:sz w:val="21"/>
                <w:szCs w:val="24"/>
                <w:highlight w:val="none"/>
                <w:shd w:val="clear" w:color="auto" w:fill="auto"/>
              </w:rPr>
            </w:pPr>
          </w:p>
        </w:tc>
      </w:tr>
    </w:tbl>
    <w:p w14:paraId="58FF915E">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（四）应急领导小组职责</w:t>
      </w:r>
    </w:p>
    <w:p w14:paraId="215C2FD8">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w:t>
      </w:r>
      <w:r>
        <w:rPr>
          <w:rFonts w:ascii="宋体"/>
          <w:color w:val="auto"/>
          <w:szCs w:val="24"/>
          <w:highlight w:val="none"/>
          <w:shd w:val="clear" w:color="auto" w:fill="auto"/>
        </w:rPr>
        <w:t>.</w:t>
      </w:r>
      <w:r>
        <w:rPr>
          <w:rFonts w:hint="eastAsia" w:ascii="宋体"/>
          <w:color w:val="auto"/>
          <w:szCs w:val="24"/>
          <w:highlight w:val="none"/>
          <w:shd w:val="clear" w:color="auto" w:fill="auto"/>
        </w:rPr>
        <w:t>启动应急预案</w:t>
      </w:r>
    </w:p>
    <w:p w14:paraId="39C28D52">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对突发事件进行处置，确保业务的持续性；对项目突发事件业务影响情况进行分析和评估；收集分析项目突发事件应急处置过程中的业务信息、数据、日志；向甲方报告应急处置进展情况和事态发展情况。</w:t>
      </w:r>
    </w:p>
    <w:p w14:paraId="7DEF0274">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w:t>
      </w:r>
      <w:r>
        <w:rPr>
          <w:rFonts w:ascii="宋体"/>
          <w:color w:val="auto"/>
          <w:szCs w:val="24"/>
          <w:highlight w:val="none"/>
          <w:shd w:val="clear" w:color="auto" w:fill="auto"/>
        </w:rPr>
        <w:t>.</w:t>
      </w:r>
      <w:r>
        <w:rPr>
          <w:rFonts w:hint="eastAsia" w:ascii="宋体"/>
          <w:color w:val="auto"/>
          <w:szCs w:val="24"/>
          <w:highlight w:val="none"/>
          <w:shd w:val="clear" w:color="auto" w:fill="auto"/>
        </w:rPr>
        <w:t>应急事件处理</w:t>
      </w:r>
    </w:p>
    <w:p w14:paraId="19131685">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A2164B4">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3</w:t>
      </w:r>
      <w:r>
        <w:rPr>
          <w:rFonts w:ascii="宋体"/>
          <w:color w:val="auto"/>
          <w:szCs w:val="24"/>
          <w:highlight w:val="none"/>
          <w:shd w:val="clear" w:color="auto" w:fill="auto"/>
        </w:rPr>
        <w:t>.</w:t>
      </w:r>
      <w:r>
        <w:rPr>
          <w:rFonts w:hint="eastAsia" w:ascii="宋体"/>
          <w:color w:val="auto"/>
          <w:szCs w:val="24"/>
          <w:highlight w:val="none"/>
          <w:shd w:val="clear" w:color="auto" w:fill="auto"/>
        </w:rPr>
        <w:t>业务持续性计划及应急预案优化</w:t>
      </w:r>
    </w:p>
    <w:p w14:paraId="7D7B2DE2">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7AC63799">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三、应急场景</w:t>
      </w:r>
    </w:p>
    <w:p w14:paraId="65959128">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（一）单个核心成员或某个角色无法提供正常服务</w:t>
      </w:r>
    </w:p>
    <w:p w14:paraId="20D61DC9">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1.影响程度：外包服务部分中断</w:t>
      </w:r>
    </w:p>
    <w:p w14:paraId="471BAEA3">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2.规避措施：</w:t>
      </w:r>
    </w:p>
    <w:p w14:paraId="22610CE5">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1</w:t>
      </w:r>
      <w:r>
        <w:rPr>
          <w:rFonts w:hint="eastAsia" w:ascii="宋体"/>
          <w:color w:val="auto"/>
          <w:szCs w:val="24"/>
          <w:highlight w:val="none"/>
          <w:shd w:val="clear" w:color="auto" w:fill="auto"/>
        </w:rPr>
        <w:t>）乙方在2小时内协调重庆本地高于该成员资历水平的的员工来厂商现场进行顶替，直到合适的补充人员入场能够接替该成员的工作为止，否则按照SLA第6调更换人员的相关条款进行罚款。</w:t>
      </w:r>
    </w:p>
    <w:p w14:paraId="68261F95">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2</w:t>
      </w:r>
      <w:r>
        <w:rPr>
          <w:rFonts w:hint="eastAsia" w:ascii="宋体"/>
          <w:color w:val="auto"/>
          <w:szCs w:val="24"/>
          <w:highlight w:val="none"/>
          <w:shd w:val="clear" w:color="auto" w:fill="auto"/>
        </w:rPr>
        <w:t>）乙方服务团队在合同有效期内，建立人才储备机制和培训机制，同时由A角和B角对项目进行支持工作。</w:t>
      </w:r>
      <w:r>
        <w:rPr>
          <w:rFonts w:ascii="宋体"/>
          <w:color w:val="auto"/>
          <w:szCs w:val="24"/>
          <w:highlight w:val="none"/>
          <w:shd w:val="clear" w:color="auto" w:fill="auto"/>
        </w:rPr>
        <w:t>因</w:t>
      </w:r>
      <w:r>
        <w:rPr>
          <w:rFonts w:hint="eastAsia" w:ascii="宋体"/>
          <w:color w:val="auto"/>
          <w:szCs w:val="24"/>
          <w:highlight w:val="none"/>
          <w:shd w:val="clear" w:color="auto" w:fill="auto"/>
        </w:rPr>
        <w:t>乙方原因</w:t>
      </w:r>
      <w:r>
        <w:rPr>
          <w:rFonts w:ascii="宋体"/>
          <w:color w:val="auto"/>
          <w:szCs w:val="24"/>
          <w:highlight w:val="none"/>
          <w:shd w:val="clear" w:color="auto" w:fill="auto"/>
        </w:rPr>
        <w:t>造成甲方损失的，乙方</w:t>
      </w:r>
      <w:r>
        <w:rPr>
          <w:rFonts w:hint="eastAsia" w:ascii="宋体"/>
          <w:color w:val="auto"/>
          <w:szCs w:val="24"/>
          <w:highlight w:val="none"/>
          <w:shd w:val="clear" w:color="auto" w:fill="auto"/>
        </w:rPr>
        <w:t>按照SLA进行</w:t>
      </w:r>
      <w:r>
        <w:rPr>
          <w:rFonts w:ascii="宋体"/>
          <w:color w:val="auto"/>
          <w:szCs w:val="24"/>
          <w:highlight w:val="none"/>
          <w:shd w:val="clear" w:color="auto" w:fill="auto"/>
        </w:rPr>
        <w:t>赔偿。</w:t>
      </w:r>
    </w:p>
    <w:p w14:paraId="38A1D7E8">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（二）乙方服务团队无法提供正常服务，但乙方仍具备履约能力</w:t>
      </w:r>
    </w:p>
    <w:p w14:paraId="61C37FD3">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1.影响程度：外包服务完全中断</w:t>
      </w:r>
    </w:p>
    <w:p w14:paraId="4274039D">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2.规避措施：</w:t>
      </w:r>
    </w:p>
    <w:p w14:paraId="2F7F6609">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1）乙方服务团队需按时按照甲方流程及制度规范提交项目各类文档；</w:t>
      </w:r>
    </w:p>
    <w:p w14:paraId="5F917E90">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2）乙方服务团队需制定合理的培训计划和培训内容，加强知识转移；</w:t>
      </w:r>
    </w:p>
    <w:p w14:paraId="48F4169E">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3）如遇类似事件乙方提前10个工作日书面通知甲方项目经理；</w:t>
      </w:r>
    </w:p>
    <w:p w14:paraId="4E44A126">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4</w:t>
      </w:r>
      <w:r>
        <w:rPr>
          <w:rFonts w:hint="eastAsia" w:ascii="宋体"/>
          <w:color w:val="auto"/>
          <w:szCs w:val="24"/>
          <w:highlight w:val="none"/>
          <w:shd w:val="clear" w:color="auto" w:fill="auto"/>
        </w:rPr>
        <w:t>）乙方负责提前协调备用团队，并协调相应角色做好交接工作，协调方案经过甲方认可后，在10个工作日内将补充团队派驻入场，保障工作连续开展。</w:t>
      </w:r>
      <w:r>
        <w:rPr>
          <w:rFonts w:ascii="宋体"/>
          <w:color w:val="auto"/>
          <w:szCs w:val="24"/>
          <w:highlight w:val="none"/>
          <w:shd w:val="clear" w:color="auto" w:fill="auto"/>
        </w:rPr>
        <w:t>因</w:t>
      </w:r>
      <w:r>
        <w:rPr>
          <w:rFonts w:hint="eastAsia" w:ascii="宋体"/>
          <w:color w:val="auto"/>
          <w:szCs w:val="24"/>
          <w:highlight w:val="none"/>
          <w:shd w:val="clear" w:color="auto" w:fill="auto"/>
        </w:rPr>
        <w:t>乙方原因</w:t>
      </w:r>
      <w:r>
        <w:rPr>
          <w:rFonts w:ascii="宋体"/>
          <w:color w:val="auto"/>
          <w:szCs w:val="24"/>
          <w:highlight w:val="none"/>
          <w:shd w:val="clear" w:color="auto" w:fill="auto"/>
        </w:rPr>
        <w:t>造成甲方损失的，乙方在双方协商后做出赔偿。</w:t>
      </w:r>
    </w:p>
    <w:p w14:paraId="61D226C9">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（三）乙方服务团队无法提供正常服务且乙方不具备恢复服务能力或意愿</w:t>
      </w:r>
    </w:p>
    <w:p w14:paraId="591AF036">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1.影响程度：外包服务完全中断</w:t>
      </w:r>
    </w:p>
    <w:p w14:paraId="561299FD">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2.规避措施：</w:t>
      </w:r>
    </w:p>
    <w:p w14:paraId="705E975B">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1）如遇类似事件乙方提前15个工作日书面通知甲方项目经理；</w:t>
      </w:r>
    </w:p>
    <w:p w14:paraId="14FCBDFC">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2</w:t>
      </w:r>
      <w:r>
        <w:rPr>
          <w:rFonts w:hint="eastAsia" w:ascii="宋体"/>
          <w:color w:val="auto"/>
          <w:szCs w:val="24"/>
          <w:highlight w:val="none"/>
          <w:shd w:val="clear" w:color="auto" w:fill="auto"/>
        </w:rPr>
        <w:t>）乙方保证提前沟通协调人力资源，于10个工作日内提交所有阶段性项目文档，并完成甲方认可的所有工作交接和知识转移，包括不限于对替代供应商进行培训；</w:t>
      </w:r>
    </w:p>
    <w:p w14:paraId="0CFB4B64">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3</w:t>
      </w:r>
      <w:r>
        <w:rPr>
          <w:rFonts w:hint="eastAsia" w:ascii="宋体"/>
          <w:color w:val="auto"/>
          <w:szCs w:val="24"/>
          <w:highlight w:val="none"/>
          <w:shd w:val="clear" w:color="auto" w:fill="auto"/>
        </w:rPr>
        <w:t>）允许推荐项目成员到与甲方合作良好的其他供应商任职或由甲方直接聘用。</w:t>
      </w:r>
      <w:r>
        <w:rPr>
          <w:rFonts w:ascii="宋体"/>
          <w:color w:val="auto"/>
          <w:szCs w:val="24"/>
          <w:highlight w:val="none"/>
          <w:shd w:val="clear" w:color="auto" w:fill="auto"/>
        </w:rPr>
        <w:t>因</w:t>
      </w:r>
      <w:r>
        <w:rPr>
          <w:rFonts w:hint="eastAsia" w:ascii="宋体"/>
          <w:color w:val="auto"/>
          <w:szCs w:val="24"/>
          <w:highlight w:val="none"/>
          <w:shd w:val="clear" w:color="auto" w:fill="auto"/>
        </w:rPr>
        <w:t>乙方原因</w:t>
      </w:r>
      <w:r>
        <w:rPr>
          <w:rFonts w:ascii="宋体"/>
          <w:color w:val="auto"/>
          <w:szCs w:val="24"/>
          <w:highlight w:val="none"/>
          <w:shd w:val="clear" w:color="auto" w:fill="auto"/>
        </w:rPr>
        <w:t>造成甲方损失的，乙方在双方协商后做出赔偿</w:t>
      </w:r>
      <w:r>
        <w:rPr>
          <w:rFonts w:hint="eastAsia" w:ascii="宋体"/>
          <w:color w:val="auto"/>
          <w:szCs w:val="24"/>
          <w:highlight w:val="none"/>
          <w:shd w:val="clear" w:color="auto" w:fill="auto"/>
        </w:rPr>
        <w:t>。</w:t>
      </w:r>
    </w:p>
    <w:p w14:paraId="416FB8D6">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（四）乙方因资质变更、被收购、兼并或破产等原因致使其无法继续提供服务</w:t>
      </w:r>
    </w:p>
    <w:p w14:paraId="4822606A">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1.影响程度：外包服务完全中断</w:t>
      </w:r>
    </w:p>
    <w:p w14:paraId="5E0C58C7">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2.规避措施：</w:t>
      </w:r>
    </w:p>
    <w:p w14:paraId="43C502B7">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1）如遇类似事件乙方提前20个工作日通知甲方项目经理；</w:t>
      </w:r>
    </w:p>
    <w:p w14:paraId="5CDEA659">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2</w:t>
      </w:r>
      <w:r>
        <w:rPr>
          <w:rFonts w:hint="eastAsia" w:ascii="宋体"/>
          <w:color w:val="auto"/>
          <w:szCs w:val="24"/>
          <w:highlight w:val="none"/>
          <w:shd w:val="clear" w:color="auto" w:fill="auto"/>
        </w:rPr>
        <w:t>）根据开发合同约定提前与甲方进行沟通协商，做好代码、文档、服务等交接工作，减少对甲方的影响；</w:t>
      </w:r>
    </w:p>
    <w:p w14:paraId="75BB0449">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3</w:t>
      </w:r>
      <w:r>
        <w:rPr>
          <w:rFonts w:hint="eastAsia" w:ascii="宋体"/>
          <w:color w:val="auto"/>
          <w:szCs w:val="24"/>
          <w:highlight w:val="none"/>
          <w:shd w:val="clear" w:color="auto" w:fill="auto"/>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shd w:val="clear" w:color="auto" w:fill="auto"/>
        </w:rPr>
        <w:t>因</w:t>
      </w:r>
      <w:r>
        <w:rPr>
          <w:rFonts w:hint="eastAsia" w:ascii="宋体"/>
          <w:color w:val="auto"/>
          <w:szCs w:val="24"/>
          <w:highlight w:val="none"/>
          <w:shd w:val="clear" w:color="auto" w:fill="auto"/>
        </w:rPr>
        <w:t>乙方原因</w:t>
      </w:r>
      <w:r>
        <w:rPr>
          <w:rFonts w:ascii="宋体"/>
          <w:color w:val="auto"/>
          <w:szCs w:val="24"/>
          <w:highlight w:val="none"/>
          <w:shd w:val="clear" w:color="auto" w:fill="auto"/>
        </w:rPr>
        <w:t>造成甲方损失的，乙方在双方协商后做出赔偿</w:t>
      </w:r>
      <w:r>
        <w:rPr>
          <w:rFonts w:hint="eastAsia" w:ascii="宋体"/>
          <w:color w:val="auto"/>
          <w:szCs w:val="24"/>
          <w:highlight w:val="none"/>
          <w:shd w:val="clear" w:color="auto" w:fill="auto"/>
        </w:rPr>
        <w:t>；</w:t>
      </w:r>
    </w:p>
    <w:p w14:paraId="6EC42B0E">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4</w:t>
      </w:r>
      <w:r>
        <w:rPr>
          <w:rFonts w:hint="eastAsia" w:ascii="宋体"/>
          <w:color w:val="auto"/>
          <w:szCs w:val="24"/>
          <w:highlight w:val="none"/>
          <w:shd w:val="clear" w:color="auto" w:fill="auto"/>
        </w:rPr>
        <w:t>）允许推荐项目成员到与甲方合作良好的其他供应商任职或由甲方直接聘用。</w:t>
      </w:r>
    </w:p>
    <w:p w14:paraId="2EDAF8FF">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（五）乙方因不可抗力导致其主动退出（国家相关法律法规调整、遭受大规模自然灾害等）</w:t>
      </w:r>
    </w:p>
    <w:p w14:paraId="431E4F9E">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1.影响程度：外包服务完全中断</w:t>
      </w:r>
    </w:p>
    <w:p w14:paraId="5CDC7941">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2.规避措施：</w:t>
      </w:r>
    </w:p>
    <w:p w14:paraId="1333DC57">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1）如遇类似事件乙方应立即通知甲方项目经理。</w:t>
      </w:r>
    </w:p>
    <w:p w14:paraId="1AFF2E7E">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2</w:t>
      </w:r>
      <w:r>
        <w:rPr>
          <w:rFonts w:hint="eastAsia" w:ascii="宋体"/>
          <w:color w:val="auto"/>
          <w:szCs w:val="24"/>
          <w:highlight w:val="none"/>
          <w:shd w:val="clear" w:color="auto" w:fill="auto"/>
        </w:rPr>
        <w:t>）乙方与甲方及时进行协商，得出一致性解决方案，于15个工作日内提交所有阶段性项目文档，并完成甲方认可的所有工作交接和知识转移，降低突发事件的影响；</w:t>
      </w:r>
    </w:p>
    <w:p w14:paraId="1BA8AF3B">
      <w:pPr>
        <w:spacing w:line="360" w:lineRule="auto"/>
        <w:ind w:firstLine="559" w:firstLineChars="233"/>
        <w:rPr>
          <w:rFonts w:ascii="宋体"/>
          <w:color w:val="auto"/>
          <w:szCs w:val="24"/>
          <w:highlight w:val="none"/>
          <w:shd w:val="clear" w:color="auto" w:fill="auto"/>
        </w:rPr>
      </w:pPr>
      <w:r>
        <w:rPr>
          <w:rFonts w:ascii="宋体"/>
          <w:color w:val="auto"/>
          <w:szCs w:val="24"/>
          <w:highlight w:val="none"/>
          <w:shd w:val="clear" w:color="auto" w:fill="auto"/>
        </w:rPr>
        <w:t>3</w:t>
      </w:r>
      <w:r>
        <w:rPr>
          <w:rFonts w:hint="eastAsia" w:ascii="宋体"/>
          <w:color w:val="auto"/>
          <w:szCs w:val="24"/>
          <w:highlight w:val="none"/>
          <w:shd w:val="clear" w:color="auto" w:fill="auto"/>
        </w:rPr>
        <w:t>）允许推荐项目成员到与甲方合作良好的其他供应商任职或由甲方直接聘用。</w:t>
      </w:r>
      <w:r>
        <w:rPr>
          <w:rFonts w:ascii="宋体"/>
          <w:color w:val="auto"/>
          <w:szCs w:val="24"/>
          <w:highlight w:val="none"/>
          <w:shd w:val="clear" w:color="auto" w:fill="auto"/>
        </w:rPr>
        <w:t>因</w:t>
      </w:r>
      <w:r>
        <w:rPr>
          <w:rFonts w:hint="eastAsia" w:ascii="宋体"/>
          <w:color w:val="auto"/>
          <w:szCs w:val="24"/>
          <w:highlight w:val="none"/>
          <w:shd w:val="clear" w:color="auto" w:fill="auto"/>
        </w:rPr>
        <w:t>乙方原因</w:t>
      </w:r>
      <w:r>
        <w:rPr>
          <w:rFonts w:ascii="宋体"/>
          <w:color w:val="auto"/>
          <w:szCs w:val="24"/>
          <w:highlight w:val="none"/>
          <w:shd w:val="clear" w:color="auto" w:fill="auto"/>
        </w:rPr>
        <w:t>造成甲方损失的，乙方在双方协商后做出赔偿。</w:t>
      </w:r>
    </w:p>
    <w:p w14:paraId="5AC79239">
      <w:pPr>
        <w:ind w:firstLine="482"/>
        <w:rPr>
          <w:rFonts w:ascii="宋体" w:hAnsi="宋体"/>
          <w:color w:val="auto"/>
          <w:szCs w:val="24"/>
          <w:highlight w:val="none"/>
          <w:shd w:val="clear" w:color="auto" w:fill="auto"/>
        </w:rPr>
      </w:pPr>
      <w:r>
        <w:rPr>
          <w:rFonts w:hint="eastAsia" w:ascii="宋体" w:hAnsi="宋体"/>
          <w:b/>
          <w:color w:val="auto"/>
          <w:szCs w:val="24"/>
          <w:highlight w:val="none"/>
          <w:shd w:val="clear" w:color="auto" w:fill="auto"/>
        </w:rPr>
        <w:t>四、应急处理阶段</w:t>
      </w:r>
    </w:p>
    <w:p w14:paraId="2847221C">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（一）项目实施过程中应急服务</w:t>
      </w:r>
    </w:p>
    <w:p w14:paraId="7FD8B074">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EE2A543">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在应急事件处理完毕后，由乙方应急小组</w:t>
      </w:r>
      <w:r>
        <w:rPr>
          <w:rFonts w:ascii="宋体"/>
          <w:color w:val="auto"/>
          <w:szCs w:val="24"/>
          <w:highlight w:val="none"/>
          <w:shd w:val="clear" w:color="auto" w:fill="auto"/>
        </w:rPr>
        <w:t>对事件发生原因、性质、影响、后果、责任及应急处置能力、恢复重建等问题进行全面调查评估，总结经验教训，完善应急处理预案，整改</w:t>
      </w:r>
      <w:r>
        <w:rPr>
          <w:rFonts w:hint="eastAsia" w:ascii="宋体"/>
          <w:color w:val="auto"/>
          <w:szCs w:val="24"/>
          <w:highlight w:val="none"/>
          <w:shd w:val="clear" w:color="auto" w:fill="auto"/>
        </w:rPr>
        <w:t>项目服务过程中</w:t>
      </w:r>
      <w:r>
        <w:rPr>
          <w:rFonts w:ascii="宋体"/>
          <w:color w:val="auto"/>
          <w:szCs w:val="24"/>
          <w:highlight w:val="none"/>
          <w:shd w:val="clear" w:color="auto" w:fill="auto"/>
        </w:rPr>
        <w:t>存在的隐患</w:t>
      </w:r>
      <w:r>
        <w:rPr>
          <w:rFonts w:hint="eastAsia" w:ascii="宋体"/>
          <w:color w:val="auto"/>
          <w:szCs w:val="24"/>
          <w:highlight w:val="none"/>
          <w:shd w:val="clear" w:color="auto" w:fill="auto"/>
        </w:rPr>
        <w:t>问题</w:t>
      </w:r>
      <w:r>
        <w:rPr>
          <w:rFonts w:ascii="宋体"/>
          <w:color w:val="auto"/>
          <w:szCs w:val="24"/>
          <w:highlight w:val="none"/>
          <w:shd w:val="clear" w:color="auto" w:fill="auto"/>
        </w:rPr>
        <w:t>。</w:t>
      </w:r>
    </w:p>
    <w:p w14:paraId="6F464F1B">
      <w:pPr>
        <w:ind w:firstLine="482"/>
        <w:rPr>
          <w:rFonts w:ascii="宋体" w:hAnsi="宋体"/>
          <w:b/>
          <w:color w:val="auto"/>
          <w:szCs w:val="24"/>
          <w:highlight w:val="none"/>
          <w:shd w:val="clear" w:color="auto" w:fill="auto"/>
        </w:rPr>
      </w:pPr>
      <w:r>
        <w:rPr>
          <w:rFonts w:hint="eastAsia" w:ascii="宋体" w:hAnsi="宋体"/>
          <w:b/>
          <w:color w:val="auto"/>
          <w:szCs w:val="24"/>
          <w:highlight w:val="none"/>
          <w:shd w:val="clear" w:color="auto" w:fill="auto"/>
        </w:rPr>
        <w:t>（二）系统上线后应急服务</w:t>
      </w:r>
    </w:p>
    <w:p w14:paraId="07BC202A">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64468CD">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姓名:        手机号码：        邮箱：</w:t>
      </w:r>
    </w:p>
    <w:p w14:paraId="393B5F5F">
      <w:pPr>
        <w:spacing w:line="360" w:lineRule="auto"/>
        <w:ind w:firstLine="559" w:firstLineChars="233"/>
        <w:rPr>
          <w:rFonts w:ascii="宋体"/>
          <w:color w:val="auto"/>
          <w:szCs w:val="24"/>
          <w:highlight w:val="none"/>
          <w:shd w:val="clear" w:color="auto" w:fill="auto"/>
        </w:rPr>
      </w:pPr>
      <w:r>
        <w:rPr>
          <w:rFonts w:hint="eastAsia" w:ascii="宋体"/>
          <w:color w:val="auto"/>
          <w:szCs w:val="24"/>
          <w:highlight w:val="none"/>
          <w:shd w:val="clear" w:color="auto" w:fill="auto"/>
        </w:rPr>
        <w:t>姓名:        手机号码：        邮箱：</w:t>
      </w:r>
    </w:p>
    <w:p w14:paraId="35F1A31E">
      <w:pPr>
        <w:spacing w:line="360" w:lineRule="auto"/>
        <w:ind w:firstLine="559" w:firstLineChars="233"/>
        <w:rPr>
          <w:rFonts w:ascii="宋体"/>
          <w:color w:val="auto"/>
          <w:szCs w:val="24"/>
          <w:highlight w:val="none"/>
          <w:shd w:val="clear" w:color="auto" w:fill="auto"/>
        </w:rPr>
      </w:pPr>
    </w:p>
    <w:p w14:paraId="17B23F0C">
      <w:pPr>
        <w:spacing w:line="360" w:lineRule="auto"/>
        <w:ind w:firstLine="559" w:firstLineChars="233"/>
        <w:rPr>
          <w:rFonts w:ascii="宋体"/>
          <w:color w:val="auto"/>
          <w:szCs w:val="24"/>
          <w:highlight w:val="none"/>
          <w:shd w:val="clear" w:color="auto" w:fill="auto"/>
        </w:rPr>
      </w:pPr>
    </w:p>
    <w:p w14:paraId="7C8CD5DD">
      <w:pPr>
        <w:spacing w:line="360" w:lineRule="auto"/>
        <w:ind w:firstLine="559" w:firstLineChars="233"/>
        <w:rPr>
          <w:rFonts w:ascii="宋体"/>
          <w:color w:val="auto"/>
          <w:szCs w:val="24"/>
          <w:highlight w:val="none"/>
          <w:shd w:val="clear" w:color="auto" w:fill="auto"/>
        </w:rPr>
      </w:pPr>
    </w:p>
    <w:p w14:paraId="49EBC0A6">
      <w:pPr>
        <w:spacing w:line="360" w:lineRule="auto"/>
        <w:ind w:firstLine="559" w:firstLineChars="233"/>
        <w:rPr>
          <w:rFonts w:ascii="宋体"/>
          <w:color w:val="auto"/>
          <w:szCs w:val="24"/>
          <w:highlight w:val="none"/>
          <w:shd w:val="clear" w:color="auto" w:fill="auto"/>
        </w:rPr>
      </w:pPr>
    </w:p>
    <w:p w14:paraId="0969E5E6">
      <w:pPr>
        <w:spacing w:line="360" w:lineRule="auto"/>
        <w:ind w:firstLine="559" w:firstLineChars="233"/>
        <w:rPr>
          <w:rFonts w:ascii="宋体"/>
          <w:color w:val="auto"/>
          <w:szCs w:val="24"/>
          <w:highlight w:val="none"/>
          <w:shd w:val="clear" w:color="auto" w:fill="auto"/>
        </w:rPr>
      </w:pPr>
    </w:p>
    <w:p w14:paraId="695CF144">
      <w:pPr>
        <w:spacing w:line="360" w:lineRule="auto"/>
        <w:ind w:firstLine="559" w:firstLineChars="233"/>
        <w:rPr>
          <w:rFonts w:ascii="宋体"/>
          <w:color w:val="auto"/>
          <w:szCs w:val="24"/>
          <w:highlight w:val="none"/>
          <w:shd w:val="clear" w:color="auto" w:fill="auto"/>
        </w:rPr>
      </w:pPr>
    </w:p>
    <w:p w14:paraId="6430A8A4">
      <w:pPr>
        <w:spacing w:line="360" w:lineRule="auto"/>
        <w:ind w:firstLine="559" w:firstLineChars="233"/>
        <w:rPr>
          <w:rFonts w:ascii="宋体"/>
          <w:color w:val="auto"/>
          <w:szCs w:val="24"/>
          <w:highlight w:val="none"/>
          <w:shd w:val="clear" w:color="auto" w:fill="auto"/>
        </w:rPr>
      </w:pPr>
    </w:p>
    <w:p w14:paraId="5019E88E">
      <w:pPr>
        <w:spacing w:line="360" w:lineRule="auto"/>
        <w:ind w:firstLine="559" w:firstLineChars="233"/>
        <w:rPr>
          <w:rFonts w:ascii="宋体"/>
          <w:color w:val="auto"/>
          <w:szCs w:val="24"/>
          <w:highlight w:val="none"/>
          <w:shd w:val="clear" w:color="auto" w:fill="auto"/>
        </w:rPr>
      </w:pPr>
    </w:p>
    <w:p w14:paraId="3B25983D">
      <w:pPr>
        <w:spacing w:line="360" w:lineRule="auto"/>
        <w:ind w:firstLine="559" w:firstLineChars="233"/>
        <w:rPr>
          <w:rFonts w:ascii="宋体"/>
          <w:color w:val="auto"/>
          <w:szCs w:val="24"/>
          <w:highlight w:val="none"/>
          <w:shd w:val="clear" w:color="auto" w:fill="auto"/>
        </w:rPr>
      </w:pPr>
    </w:p>
    <w:p w14:paraId="3AC2BBEF">
      <w:pPr>
        <w:pStyle w:val="2"/>
        <w:rPr>
          <w:rFonts w:ascii="Times New Roman" w:hAnsi="Times New Roman"/>
          <w:color w:val="auto"/>
          <w:highlight w:val="none"/>
          <w:shd w:val="clear" w:color="auto" w:fill="auto"/>
        </w:rPr>
      </w:pPr>
      <w:bookmarkStart w:id="444" w:name="_Toc25465"/>
      <w:bookmarkStart w:id="445" w:name="_Toc7021"/>
      <w:bookmarkStart w:id="446" w:name="_Toc24783"/>
      <w:r>
        <w:rPr>
          <w:rFonts w:hint="eastAsia" w:ascii="Times New Roman" w:hAnsi="Times New Roman"/>
          <w:color w:val="auto"/>
          <w:highlight w:val="none"/>
          <w:shd w:val="clear" w:color="auto" w:fill="auto"/>
        </w:rPr>
        <w:t>第六章 参选文件</w:t>
      </w:r>
      <w:bookmarkEnd w:id="367"/>
      <w:bookmarkEnd w:id="368"/>
      <w:bookmarkStart w:id="447" w:name="_Toc303066035"/>
      <w:r>
        <w:rPr>
          <w:rFonts w:hint="eastAsia" w:ascii="Times New Roman" w:hAnsi="Times New Roman"/>
          <w:color w:val="auto"/>
          <w:highlight w:val="none"/>
          <w:shd w:val="clear" w:color="auto" w:fill="auto"/>
        </w:rPr>
        <w:t>格式</w:t>
      </w:r>
      <w:bookmarkEnd w:id="444"/>
      <w:bookmarkEnd w:id="445"/>
      <w:bookmarkEnd w:id="446"/>
    </w:p>
    <w:bookmarkEnd w:id="447"/>
    <w:p w14:paraId="6F45887C">
      <w:pPr>
        <w:tabs>
          <w:tab w:val="left" w:pos="6516"/>
          <w:tab w:val="clear" w:pos="-111"/>
        </w:tabs>
        <w:adjustRightInd w:val="0"/>
        <w:snapToGrid w:val="0"/>
        <w:spacing w:line="360" w:lineRule="auto"/>
        <w:ind w:firstLine="0" w:firstLineChars="0"/>
        <w:jc w:val="center"/>
        <w:rPr>
          <w:rFonts w:ascii="Times New Roman" w:hAnsi="Times New Roman"/>
          <w:b/>
          <w:color w:val="auto"/>
          <w:kern w:val="0"/>
          <w:highlight w:val="none"/>
          <w:u w:val="single"/>
          <w:shd w:val="clear" w:color="auto" w:fill="auto"/>
        </w:rPr>
      </w:pPr>
    </w:p>
    <w:p w14:paraId="355B5C39">
      <w:pPr>
        <w:tabs>
          <w:tab w:val="left" w:pos="3600"/>
          <w:tab w:val="left" w:pos="4480"/>
          <w:tab w:val="left" w:pos="5360"/>
          <w:tab w:val="clear" w:pos="-111"/>
        </w:tabs>
        <w:adjustRightInd w:val="0"/>
        <w:snapToGrid w:val="0"/>
        <w:spacing w:line="360" w:lineRule="auto"/>
        <w:ind w:firstLine="0" w:firstLineChars="0"/>
        <w:jc w:val="center"/>
        <w:rPr>
          <w:rFonts w:ascii="Times New Roman" w:hAnsi="Times New Roman"/>
          <w:color w:val="auto"/>
          <w:kern w:val="0"/>
          <w:sz w:val="44"/>
          <w:highlight w:val="none"/>
          <w:u w:val="single"/>
          <w:shd w:val="clear" w:color="auto" w:fill="auto"/>
        </w:rPr>
      </w:pPr>
      <w:r>
        <w:rPr>
          <w:rFonts w:hint="eastAsia" w:ascii="Times New Roman" w:hAnsi="Times New Roman"/>
          <w:color w:val="auto"/>
          <w:kern w:val="0"/>
          <w:sz w:val="44"/>
          <w:highlight w:val="none"/>
          <w:u w:val="single"/>
          <w:shd w:val="clear" w:color="auto" w:fill="auto"/>
        </w:rPr>
        <w:t>重庆三峡银行</w:t>
      </w:r>
    </w:p>
    <w:p w14:paraId="3C1E0A0B">
      <w:pPr>
        <w:tabs>
          <w:tab w:val="left" w:pos="3600"/>
          <w:tab w:val="left" w:pos="4480"/>
          <w:tab w:val="left" w:pos="5360"/>
          <w:tab w:val="clear" w:pos="-111"/>
        </w:tabs>
        <w:adjustRightInd w:val="0"/>
        <w:snapToGrid w:val="0"/>
        <w:spacing w:line="360" w:lineRule="auto"/>
        <w:ind w:firstLine="0" w:firstLineChars="0"/>
        <w:jc w:val="center"/>
        <w:rPr>
          <w:rFonts w:ascii="Times New Roman" w:hAnsi="Times New Roman"/>
          <w:color w:val="auto"/>
          <w:kern w:val="0"/>
          <w:sz w:val="44"/>
          <w:highlight w:val="none"/>
          <w:u w:val="single"/>
          <w:shd w:val="clear" w:color="auto" w:fill="auto"/>
        </w:rPr>
      </w:pPr>
      <w:r>
        <w:rPr>
          <w:rFonts w:hint="eastAsia" w:ascii="Times New Roman" w:hAnsi="Times New Roman"/>
          <w:color w:val="auto"/>
          <w:kern w:val="0"/>
          <w:sz w:val="44"/>
          <w:highlight w:val="none"/>
          <w:u w:val="single"/>
          <w:shd w:val="clear" w:color="auto" w:fill="auto"/>
        </w:rPr>
        <w:t>电子验印系统项目</w:t>
      </w:r>
    </w:p>
    <w:p w14:paraId="3109FCAB">
      <w:pPr>
        <w:tabs>
          <w:tab w:val="left" w:pos="3600"/>
          <w:tab w:val="left" w:pos="4480"/>
          <w:tab w:val="left" w:pos="5360"/>
          <w:tab w:val="clear" w:pos="-111"/>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14:paraId="3E4C300D">
      <w:pPr>
        <w:tabs>
          <w:tab w:val="left" w:pos="3600"/>
          <w:tab w:val="left" w:pos="4480"/>
          <w:tab w:val="left" w:pos="5360"/>
          <w:tab w:val="clear" w:pos="-111"/>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14:paraId="4C10940C">
      <w:pPr>
        <w:tabs>
          <w:tab w:val="left" w:pos="3600"/>
          <w:tab w:val="left" w:pos="4480"/>
          <w:tab w:val="left" w:pos="5360"/>
          <w:tab w:val="clear" w:pos="-111"/>
        </w:tabs>
        <w:adjustRightInd w:val="0"/>
        <w:snapToGrid w:val="0"/>
        <w:spacing w:line="360" w:lineRule="auto"/>
        <w:ind w:firstLine="0" w:firstLineChars="0"/>
        <w:jc w:val="center"/>
        <w:rPr>
          <w:rFonts w:ascii="Times New Roman" w:hAnsi="Times New Roman"/>
          <w:b/>
          <w:color w:val="auto"/>
          <w:kern w:val="0"/>
          <w:sz w:val="84"/>
          <w:highlight w:val="none"/>
          <w:shd w:val="clear" w:color="auto" w:fill="auto"/>
        </w:rPr>
      </w:pPr>
      <w:r>
        <w:rPr>
          <w:rFonts w:hint="eastAsia" w:ascii="Times New Roman" w:hAnsi="Times New Roman"/>
          <w:b/>
          <w:color w:val="auto"/>
          <w:kern w:val="0"/>
          <w:sz w:val="84"/>
          <w:highlight w:val="none"/>
          <w:shd w:val="clear" w:color="auto" w:fill="auto"/>
        </w:rPr>
        <w:t>参  选  文  件</w:t>
      </w:r>
    </w:p>
    <w:p w14:paraId="44537C93">
      <w:pPr>
        <w:adjustRightInd w:val="0"/>
        <w:snapToGrid w:val="0"/>
        <w:spacing w:line="360" w:lineRule="auto"/>
        <w:ind w:firstLine="0" w:firstLineChars="0"/>
        <w:jc w:val="center"/>
        <w:rPr>
          <w:rFonts w:ascii="Times New Roman" w:hAnsi="Times New Roman"/>
          <w:color w:val="auto"/>
          <w:kern w:val="0"/>
          <w:sz w:val="16"/>
          <w:highlight w:val="none"/>
          <w:shd w:val="clear" w:color="auto" w:fill="auto"/>
        </w:rPr>
      </w:pPr>
    </w:p>
    <w:p w14:paraId="10F9F8BB">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2B46C9D">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438CFF4D">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A661B9F">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24DE7AB0">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7654860">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4AD3AC1A">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B84803F">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4A4AE73B">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0EE84F31">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（盖单位公章）</w:t>
      </w:r>
    </w:p>
    <w:p w14:paraId="5E11645B">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t>法定代表人</w:t>
      </w:r>
      <w:r>
        <w:rPr>
          <w:rFonts w:hint="eastAsia" w:ascii="Times New Roman" w:hAnsi="Times New Roman"/>
          <w:color w:val="auto"/>
          <w:highlight w:val="none"/>
          <w:shd w:val="clear" w:color="auto" w:fill="auto"/>
        </w:rPr>
        <w:t>/分支机构负责人/委托代理人：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（签字或盖章）</w:t>
      </w:r>
    </w:p>
    <w:p w14:paraId="5BFA7146">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14:paraId="45336039">
      <w:pPr>
        <w:tabs>
          <w:tab w:val="left" w:pos="3280"/>
          <w:tab w:val="left" w:pos="4680"/>
          <w:tab w:val="left" w:pos="6080"/>
          <w:tab w:val="clear" w:pos="-111"/>
        </w:tabs>
        <w:adjustRightInd w:val="0"/>
        <w:snapToGrid w:val="0"/>
        <w:spacing w:line="360" w:lineRule="auto"/>
        <w:ind w:firstLine="0" w:firstLineChars="0"/>
        <w:jc w:val="center"/>
        <w:rPr>
          <w:rFonts w:ascii="Times New Roman" w:hAnsi="Times New Roman"/>
          <w:b/>
          <w:color w:val="auto"/>
          <w:kern w:val="0"/>
          <w:highlight w:val="none"/>
          <w:shd w:val="clear" w:color="auto" w:fill="auto"/>
        </w:rPr>
      </w:pPr>
    </w:p>
    <w:p w14:paraId="2707C212">
      <w:pPr>
        <w:tabs>
          <w:tab w:val="left" w:pos="6300"/>
          <w:tab w:val="clear" w:pos="-111"/>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14:paraId="0702FF3F">
      <w:pPr>
        <w:tabs>
          <w:tab w:val="left" w:pos="6300"/>
          <w:tab w:val="clear" w:pos="-111"/>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14:paraId="543ECCD1">
      <w:pPr>
        <w:tabs>
          <w:tab w:val="left" w:pos="6300"/>
          <w:tab w:val="clear" w:pos="-111"/>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sectPr>
          <w:headerReference r:id="rId9" w:type="first"/>
          <w:footerReference r:id="rId12" w:type="first"/>
          <w:headerReference r:id="rId8" w:type="default"/>
          <w:footerReference r:id="rId10" w:type="default"/>
          <w:footerReference r:id="rId11" w:type="even"/>
          <w:pgSz w:w="11906" w:h="16838"/>
          <w:pgMar w:top="1440" w:right="1800" w:bottom="1440" w:left="1800" w:header="851" w:footer="992" w:gutter="0"/>
          <w:pgNumType w:fmt="decimal"/>
          <w:cols w:space="720" w:num="1"/>
          <w:docGrid w:type="lines" w:linePitch="312" w:charSpace="0"/>
        </w:sectPr>
      </w:pPr>
    </w:p>
    <w:p w14:paraId="4CC04E35">
      <w:pPr>
        <w:tabs>
          <w:tab w:val="left" w:pos="6300"/>
          <w:tab w:val="clear" w:pos="-111"/>
        </w:tabs>
        <w:snapToGrid w:val="0"/>
        <w:spacing w:line="360" w:lineRule="auto"/>
        <w:ind w:firstLine="0" w:firstLineChars="0"/>
        <w:jc w:val="center"/>
        <w:outlineLvl w:val="1"/>
        <w:rPr>
          <w:rFonts w:ascii="Times New Roman" w:hAnsi="Times New Roman"/>
          <w:b/>
          <w:snapToGrid w:val="0"/>
          <w:color w:val="auto"/>
          <w:kern w:val="0"/>
          <w:sz w:val="36"/>
          <w:szCs w:val="28"/>
          <w:highlight w:val="none"/>
          <w:shd w:val="clear" w:color="auto" w:fill="auto"/>
        </w:rPr>
      </w:pPr>
      <w:bookmarkStart w:id="448" w:name="_Toc21016"/>
      <w:r>
        <w:rPr>
          <w:rFonts w:hint="eastAsia" w:ascii="Times New Roman" w:hAnsi="Times New Roman"/>
          <w:b/>
          <w:snapToGrid w:val="0"/>
          <w:color w:val="auto"/>
          <w:kern w:val="0"/>
          <w:sz w:val="36"/>
          <w:szCs w:val="28"/>
          <w:highlight w:val="none"/>
          <w:shd w:val="clear" w:color="auto" w:fill="auto"/>
        </w:rPr>
        <w:t>目  录</w:t>
      </w:r>
    </w:p>
    <w:p w14:paraId="772518F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一、参选函</w:t>
      </w:r>
    </w:p>
    <w:p w14:paraId="611BB24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二、分项报价明细表</w:t>
      </w:r>
    </w:p>
    <w:p w14:paraId="7593985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三、资格性文件</w:t>
      </w:r>
    </w:p>
    <w:p w14:paraId="0A8C29B9">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（一）参选人基本情况介绍，资质证明等</w:t>
      </w:r>
    </w:p>
    <w:p w14:paraId="1FCA7F1E">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（二）法定代表人</w:t>
      </w:r>
      <w:r>
        <w:rPr>
          <w:rFonts w:hint="eastAsia" w:ascii="Times New Roman" w:hAnsi="Times New Roman"/>
          <w:color w:val="auto"/>
          <w:highlight w:val="none"/>
          <w:shd w:val="clear" w:color="auto" w:fill="auto"/>
        </w:rPr>
        <w:t>/分支机构负责人</w:t>
      </w:r>
      <w:r>
        <w:rPr>
          <w:rFonts w:ascii="Times New Roman" w:hAnsi="Times New Roman"/>
          <w:color w:val="auto"/>
          <w:highlight w:val="none"/>
          <w:shd w:val="clear" w:color="auto" w:fill="auto"/>
        </w:rPr>
        <w:t>身份证明及授权委托书</w:t>
      </w:r>
    </w:p>
    <w:p w14:paraId="4197081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（三）书面声明</w:t>
      </w:r>
    </w:p>
    <w:p w14:paraId="011C2AD7">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p>
    <w:p w14:paraId="1079AB9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p>
    <w:p w14:paraId="4C3271F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四、响应性文件</w:t>
      </w:r>
    </w:p>
    <w:p w14:paraId="6D98C25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（一）响应承诺函</w:t>
      </w:r>
    </w:p>
    <w:p w14:paraId="310985F0">
      <w:pPr>
        <w:ind w:firstLine="480"/>
        <w:rPr>
          <w:rFonts w:ascii="Times New Roman" w:hAnsi="Times New Roman" w:cs="Times New Roman"/>
          <w:color w:val="auto"/>
          <w:highlight w:val="none"/>
          <w:shd w:val="clear" w:color="auto" w:fill="auto"/>
        </w:rPr>
      </w:pPr>
      <w:r>
        <w:rPr>
          <w:rFonts w:hint="eastAsia" w:ascii="Times New Roman" w:hAnsi="Times New Roman"/>
          <w:color w:val="auto"/>
          <w:highlight w:val="none"/>
          <w:shd w:val="clear" w:color="auto" w:fill="auto"/>
        </w:rPr>
        <w:t>（二）</w:t>
      </w:r>
      <w:r>
        <w:rPr>
          <w:rFonts w:ascii="Times New Roman" w:hAnsi="Times New Roman" w:cs="Times New Roman"/>
          <w:color w:val="auto"/>
          <w:highlight w:val="none"/>
          <w:shd w:val="clear" w:color="auto" w:fill="auto"/>
        </w:rPr>
        <w:t>近半年公司为项目组成员缴纳社保的证明材料</w:t>
      </w:r>
    </w:p>
    <w:p w14:paraId="32DED80E">
      <w:pPr>
        <w:ind w:firstLine="480"/>
        <w:rPr>
          <w:rFonts w:ascii="Times New Roman" w:hAnsi="Times New Roman" w:cs="Times New Roman"/>
          <w:color w:val="auto"/>
          <w:highlight w:val="none"/>
          <w:shd w:val="clear" w:color="auto" w:fill="auto"/>
        </w:rPr>
      </w:pPr>
      <w:r>
        <w:rPr>
          <w:rFonts w:ascii="Times New Roman" w:hAnsi="Times New Roman" w:cs="Times New Roman"/>
          <w:color w:val="auto"/>
          <w:highlight w:val="none"/>
          <w:shd w:val="clear" w:color="auto" w:fill="auto"/>
        </w:rPr>
        <w:t>（三）项目组成员简历信息</w:t>
      </w:r>
    </w:p>
    <w:p w14:paraId="1C81800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（四）维保期服务方案</w:t>
      </w:r>
    </w:p>
    <w:p w14:paraId="6E7CFDD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（五）服务连续性预案</w:t>
      </w:r>
    </w:p>
    <w:p w14:paraId="40383050">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六</w:t>
      </w: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项目实施方案</w:t>
      </w:r>
    </w:p>
    <w:p w14:paraId="1C339E9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（七）参选保证金</w:t>
      </w:r>
    </w:p>
    <w:p w14:paraId="6C36041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五、服务水平协议（SLA）</w:t>
      </w:r>
    </w:p>
    <w:p w14:paraId="698BF961">
      <w:pPr>
        <w:ind w:firstLine="480"/>
        <w:rPr>
          <w:rFonts w:ascii="宋体"/>
          <w:color w:val="auto"/>
          <w:highlight w:val="none"/>
          <w:shd w:val="clear" w:color="auto" w:fill="auto"/>
        </w:rPr>
      </w:pPr>
      <w:r>
        <w:rPr>
          <w:rFonts w:hint="eastAsia" w:ascii="Times New Roman" w:hAnsi="Times New Roman"/>
          <w:color w:val="auto"/>
          <w:highlight w:val="none"/>
          <w:shd w:val="clear" w:color="auto" w:fill="auto"/>
        </w:rPr>
        <w:t>六、</w:t>
      </w:r>
      <w:r>
        <w:rPr>
          <w:rFonts w:ascii="宋体"/>
          <w:color w:val="auto"/>
          <w:highlight w:val="none"/>
          <w:shd w:val="clear" w:color="auto" w:fill="auto"/>
        </w:rPr>
        <w:t>保险赔付协议</w:t>
      </w:r>
    </w:p>
    <w:p w14:paraId="0D57E32E">
      <w:pPr>
        <w:ind w:firstLine="480"/>
        <w:rPr>
          <w:rFonts w:ascii="Times New Roman" w:hAnsi="Times New Roman"/>
          <w:color w:val="auto"/>
          <w:highlight w:val="none"/>
          <w:shd w:val="clear" w:color="auto" w:fill="auto"/>
        </w:rPr>
      </w:pPr>
      <w:r>
        <w:rPr>
          <w:rFonts w:hint="eastAsia" w:ascii="宋体"/>
          <w:color w:val="auto"/>
          <w:highlight w:val="none"/>
          <w:shd w:val="clear" w:color="auto" w:fill="auto"/>
        </w:rPr>
        <w:t>七、</w:t>
      </w:r>
      <w:r>
        <w:rPr>
          <w:rFonts w:hint="eastAsia" w:ascii="Times New Roman" w:hAnsi="Times New Roman"/>
          <w:color w:val="auto"/>
          <w:highlight w:val="none"/>
          <w:shd w:val="clear" w:color="auto" w:fill="auto"/>
        </w:rPr>
        <w:t>其他（如有）</w:t>
      </w:r>
    </w:p>
    <w:p w14:paraId="5924947C">
      <w:pPr>
        <w:spacing w:line="360" w:lineRule="auto"/>
        <w:ind w:firstLine="480"/>
        <w:rPr>
          <w:rFonts w:ascii="Times New Roman" w:hAnsi="Times New Roman" w:cs="宋体"/>
          <w:color w:val="auto"/>
          <w:highlight w:val="none"/>
          <w:shd w:val="clear" w:color="auto" w:fill="auto"/>
        </w:rPr>
      </w:pPr>
    </w:p>
    <w:p w14:paraId="1A8A3BC3">
      <w:pPr>
        <w:spacing w:line="360" w:lineRule="auto"/>
        <w:ind w:firstLine="480"/>
        <w:rPr>
          <w:rFonts w:ascii="Times New Roman" w:hAnsi="Times New Roman" w:cs="宋体"/>
          <w:color w:val="auto"/>
          <w:highlight w:val="none"/>
          <w:shd w:val="clear" w:color="auto" w:fill="auto"/>
        </w:rPr>
      </w:pPr>
    </w:p>
    <w:p w14:paraId="3811FA96">
      <w:pPr>
        <w:snapToGrid/>
        <w:spacing w:line="240" w:lineRule="auto"/>
        <w:ind w:firstLine="0" w:firstLineChars="0"/>
        <w:jc w:val="left"/>
        <w:outlineLvl w:val="9"/>
        <w:rPr>
          <w:rFonts w:ascii="Times New Roman" w:hAnsi="Times New Roman"/>
          <w:b/>
          <w:snapToGrid w:val="0"/>
          <w:color w:val="auto"/>
          <w:kern w:val="0"/>
          <w:sz w:val="36"/>
          <w:szCs w:val="28"/>
          <w:highlight w:val="none"/>
          <w:shd w:val="clear" w:color="auto" w:fill="auto"/>
        </w:rPr>
      </w:pPr>
      <w:r>
        <w:rPr>
          <w:rFonts w:hint="eastAsia" w:ascii="Times New Roman" w:hAnsi="Times New Roman"/>
          <w:b/>
          <w:snapToGrid w:val="0"/>
          <w:color w:val="auto"/>
          <w:kern w:val="0"/>
          <w:sz w:val="36"/>
          <w:szCs w:val="28"/>
          <w:highlight w:val="none"/>
          <w:shd w:val="clear" w:color="auto" w:fill="auto"/>
        </w:rPr>
        <w:br w:type="page"/>
      </w:r>
    </w:p>
    <w:bookmarkEnd w:id="448"/>
    <w:p w14:paraId="0DBD3932">
      <w:pPr>
        <w:spacing w:line="360" w:lineRule="auto"/>
        <w:ind w:firstLine="0" w:firstLineChars="0"/>
        <w:jc w:val="center"/>
        <w:outlineLvl w:val="1"/>
        <w:rPr>
          <w:rStyle w:val="28"/>
          <w:rFonts w:ascii="Times New Roman" w:hAnsi="Times New Roman"/>
          <w:color w:val="auto"/>
          <w:highlight w:val="none"/>
          <w:shd w:val="clear" w:color="auto" w:fill="auto"/>
        </w:rPr>
      </w:pPr>
      <w:bookmarkStart w:id="449" w:name="_Toc18606"/>
      <w:r>
        <w:rPr>
          <w:rStyle w:val="28"/>
          <w:rFonts w:hint="eastAsia" w:ascii="Times New Roman" w:hAnsi="Times New Roman"/>
          <w:color w:val="auto"/>
          <w:highlight w:val="none"/>
          <w:shd w:val="clear" w:color="auto" w:fill="auto"/>
        </w:rPr>
        <w:t>一、参选函</w:t>
      </w:r>
      <w:bookmarkEnd w:id="449"/>
    </w:p>
    <w:p w14:paraId="5876B241">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u w:val="single"/>
          <w:shd w:val="clear" w:color="auto" w:fill="auto"/>
        </w:rPr>
      </w:pPr>
    </w:p>
    <w:p w14:paraId="4BA15247">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u w:val="single"/>
          <w:shd w:val="clear" w:color="auto" w:fill="auto"/>
        </w:rPr>
        <w:t>重庆三峡银行股份有限公司</w:t>
      </w:r>
      <w:r>
        <w:rPr>
          <w:rFonts w:hint="eastAsia" w:ascii="Times New Roman" w:hAnsi="Times New Roman"/>
          <w:snapToGrid w:val="0"/>
          <w:color w:val="auto"/>
          <w:kern w:val="0"/>
          <w:szCs w:val="24"/>
          <w:highlight w:val="none"/>
          <w:shd w:val="clear" w:color="auto" w:fill="auto"/>
        </w:rPr>
        <w:t>：</w:t>
      </w:r>
    </w:p>
    <w:p w14:paraId="19B3CA07">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我方收到___________________比选文件，经详细研究，决定参加该比选项目的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w:t>
      </w:r>
    </w:p>
    <w:p w14:paraId="3B45D56A">
      <w:pPr>
        <w:tabs>
          <w:tab w:val="left" w:pos="6300"/>
          <w:tab w:val="clear" w:pos="-111"/>
        </w:tabs>
        <w:snapToGrid w:val="0"/>
        <w:spacing w:line="360" w:lineRule="auto"/>
        <w:ind w:right="-34" w:rightChars="-14" w:firstLine="573" w:firstLineChars="0"/>
        <w:rPr>
          <w:rFonts w:ascii="宋体" w:hAnsi="宋体" w:cs="宋体"/>
          <w:snapToGrid w:val="0"/>
          <w:color w:val="auto"/>
          <w:kern w:val="0"/>
          <w:szCs w:val="24"/>
          <w:highlight w:val="none"/>
          <w:shd w:val="clear" w:color="auto" w:fill="auto"/>
        </w:rPr>
      </w:pPr>
      <w:r>
        <w:rPr>
          <w:rFonts w:hint="eastAsia" w:ascii="宋体" w:hAnsi="宋体" w:cs="宋体"/>
          <w:snapToGrid w:val="0"/>
          <w:color w:val="auto"/>
          <w:kern w:val="0"/>
          <w:szCs w:val="24"/>
          <w:highlight w:val="none"/>
          <w:shd w:val="clear" w:color="auto" w:fill="auto"/>
        </w:rPr>
        <w:t>1、愿意按照比选文件中的一切要求，以人民币小写：</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，人民币大写：</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的参选总价（含税）承担和完成本项目。免费维保期：本项目验收合格后，提供维护至验收合格之日起</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年后的12月31日；免费维保期后的维保费率：</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。单个渠道无条件验印自动通过率均不低于</w:t>
      </w:r>
      <w:r>
        <w:rPr>
          <w:rFonts w:ascii="宋体" w:hAnsi="宋体" w:cs="宋体"/>
          <w:snapToGrid w:val="0"/>
          <w:color w:val="auto"/>
          <w:kern w:val="0"/>
          <w:szCs w:val="24"/>
          <w:highlight w:val="none"/>
          <w:u w:val="single"/>
          <w:shd w:val="clear" w:color="auto" w:fill="auto"/>
        </w:rPr>
        <w:t xml:space="preserve">          </w:t>
      </w:r>
      <w:r>
        <w:rPr>
          <w:rFonts w:ascii="宋体" w:hAnsi="宋体" w:cs="宋体"/>
          <w:snapToGrid w:val="0"/>
          <w:color w:val="auto"/>
          <w:kern w:val="0"/>
          <w:szCs w:val="24"/>
          <w:highlight w:val="none"/>
          <w:shd w:val="clear" w:color="auto" w:fill="auto"/>
        </w:rPr>
        <w:t xml:space="preserve"> %</w:t>
      </w:r>
      <w:r>
        <w:rPr>
          <w:rFonts w:hint="eastAsia" w:ascii="宋体" w:hAnsi="宋体" w:cs="宋体"/>
          <w:snapToGrid w:val="0"/>
          <w:color w:val="auto"/>
          <w:kern w:val="0"/>
          <w:szCs w:val="24"/>
          <w:highlight w:val="none"/>
          <w:shd w:val="clear" w:color="auto" w:fill="auto"/>
        </w:rPr>
        <w:t>。不同厂商相同赔付条件下，服务期间，为贵行购买</w:t>
      </w:r>
      <w:r>
        <w:rPr>
          <w:rStyle w:val="35"/>
          <w:rFonts w:hint="eastAsia" w:ascii="Times New Roman" w:hAnsi="Times New Roman"/>
          <w:color w:val="auto"/>
          <w:highlight w:val="none"/>
          <w:shd w:val="clear" w:color="auto" w:fill="auto"/>
        </w:rPr>
        <w:t>□</w:t>
      </w:r>
      <w:r>
        <w:rPr>
          <w:rFonts w:hint="eastAsia" w:ascii="宋体" w:hAnsi="宋体" w:cs="宋体"/>
          <w:snapToGrid w:val="0"/>
          <w:color w:val="auto"/>
          <w:kern w:val="0"/>
          <w:szCs w:val="24"/>
          <w:highlight w:val="none"/>
          <w:u w:val="single"/>
          <w:shd w:val="clear" w:color="auto" w:fill="auto"/>
        </w:rPr>
        <w:t>共享</w:t>
      </w:r>
      <w:r>
        <w:rPr>
          <w:rFonts w:hint="eastAsia" w:ascii="宋体" w:hAnsi="宋体" w:cs="宋体"/>
          <w:snapToGrid w:val="0"/>
          <w:color w:val="auto"/>
          <w:kern w:val="0"/>
          <w:szCs w:val="24"/>
          <w:highlight w:val="none"/>
          <w:shd w:val="clear" w:color="auto" w:fill="auto"/>
        </w:rPr>
        <w:t>验印产品责任险达到单笔</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万，年累计总额</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万；</w:t>
      </w:r>
      <w:r>
        <w:rPr>
          <w:rStyle w:val="35"/>
          <w:rFonts w:hint="eastAsia" w:ascii="Times New Roman" w:hAnsi="Times New Roman"/>
          <w:color w:val="auto"/>
          <w:highlight w:val="none"/>
          <w:shd w:val="clear" w:color="auto" w:fill="auto"/>
        </w:rPr>
        <w:t>□</w:t>
      </w:r>
      <w:r>
        <w:rPr>
          <w:rFonts w:hint="eastAsia" w:ascii="宋体" w:hAnsi="宋体" w:cs="宋体"/>
          <w:snapToGrid w:val="0"/>
          <w:color w:val="auto"/>
          <w:kern w:val="0"/>
          <w:szCs w:val="24"/>
          <w:highlight w:val="none"/>
          <w:u w:val="single"/>
          <w:shd w:val="clear" w:color="auto" w:fill="auto"/>
        </w:rPr>
        <w:t>独享</w:t>
      </w:r>
      <w:r>
        <w:rPr>
          <w:rFonts w:hint="eastAsia" w:ascii="宋体" w:hAnsi="宋体" w:cs="宋体"/>
          <w:snapToGrid w:val="0"/>
          <w:color w:val="auto"/>
          <w:kern w:val="0"/>
          <w:szCs w:val="24"/>
          <w:highlight w:val="none"/>
          <w:shd w:val="clear" w:color="auto" w:fill="auto"/>
        </w:rPr>
        <w:t>验印产品责任险达到单笔</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万，年累计总额</w:t>
      </w:r>
      <w:r>
        <w:rPr>
          <w:rFonts w:ascii="宋体" w:hAnsi="宋体" w:cs="宋体"/>
          <w:snapToGrid w:val="0"/>
          <w:color w:val="auto"/>
          <w:kern w:val="0"/>
          <w:szCs w:val="24"/>
          <w:highlight w:val="none"/>
          <w:u w:val="single"/>
          <w:shd w:val="clear" w:color="auto" w:fill="auto"/>
        </w:rPr>
        <w:t xml:space="preserve">     </w:t>
      </w:r>
      <w:r>
        <w:rPr>
          <w:rFonts w:hint="eastAsia" w:ascii="宋体" w:hAnsi="宋体" w:cs="宋体"/>
          <w:snapToGrid w:val="0"/>
          <w:color w:val="auto"/>
          <w:kern w:val="0"/>
          <w:szCs w:val="24"/>
          <w:highlight w:val="none"/>
          <w:shd w:val="clear" w:color="auto" w:fill="auto"/>
        </w:rPr>
        <w:t>万。</w:t>
      </w:r>
    </w:p>
    <w:p w14:paraId="1991B2DB">
      <w:pPr>
        <w:tabs>
          <w:tab w:val="left" w:pos="6300"/>
          <w:tab w:val="clear" w:pos="-111"/>
        </w:tabs>
        <w:snapToGrid w:val="0"/>
        <w:spacing w:line="360" w:lineRule="auto"/>
        <w:ind w:right="-34" w:rightChars="-14" w:firstLine="573" w:firstLineChars="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2、我方现提交的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文件正本一份，副本一份，电子文件一份。</w:t>
      </w:r>
    </w:p>
    <w:p w14:paraId="47147A6E">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3、如果我方</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文件被接受，我方将履行比选文件中规定的各项要求，按相关法律法规和合同约定条款承担我方的责任。</w:t>
      </w:r>
    </w:p>
    <w:p w14:paraId="6DF37A0A">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4、我方愿意提供比选文件中要求的所有资料，并对其真实性负责。</w:t>
      </w:r>
    </w:p>
    <w:p w14:paraId="6B41C8DE">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5、我方理解最低价格不是中选的唯一条件。</w:t>
      </w:r>
    </w:p>
    <w:p w14:paraId="1316A6CE">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6、</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有效期为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截止日期后90天内。</w:t>
      </w:r>
    </w:p>
    <w:p w14:paraId="6AEE5AE3">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7、若我方中选，我方开具税率为______%的增值税专用发票。</w:t>
      </w:r>
    </w:p>
    <w:p w14:paraId="25E9B977">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p>
    <w:p w14:paraId="62C03140">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人（公章）：</w:t>
      </w:r>
    </w:p>
    <w:p w14:paraId="3712ADE1">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地址：  </w:t>
      </w:r>
    </w:p>
    <w:p w14:paraId="4E8812D4">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电话：                           传真：</w:t>
      </w:r>
    </w:p>
    <w:p w14:paraId="535FFA33">
      <w:pPr>
        <w:tabs>
          <w:tab w:val="left" w:pos="6300"/>
          <w:tab w:val="clear" w:pos="-111"/>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网址：                         </w:t>
      </w:r>
    </w:p>
    <w:p w14:paraId="5949C238">
      <w:pPr>
        <w:tabs>
          <w:tab w:val="left" w:pos="6300"/>
          <w:tab w:val="clear" w:pos="-111"/>
        </w:tabs>
        <w:snapToGrid w:val="0"/>
        <w:spacing w:line="360" w:lineRule="auto"/>
        <w:ind w:right="-34" w:rightChars="-14" w:firstLine="6540" w:firstLineChars="2725"/>
        <w:rPr>
          <w:rFonts w:ascii="Times New Roman" w:hAnsi="Times New Roman"/>
          <w:snapToGrid w:val="0"/>
          <w:color w:val="auto"/>
          <w:kern w:val="0"/>
          <w:szCs w:val="24"/>
          <w:highlight w:val="none"/>
          <w:shd w:val="clear" w:color="auto" w:fill="auto"/>
        </w:rPr>
      </w:pPr>
    </w:p>
    <w:p w14:paraId="14941B96">
      <w:pPr>
        <w:tabs>
          <w:tab w:val="left" w:pos="6300"/>
          <w:tab w:val="clear" w:pos="-111"/>
        </w:tabs>
        <w:snapToGrid w:val="0"/>
        <w:spacing w:line="360" w:lineRule="auto"/>
        <w:ind w:right="-34" w:rightChars="-14" w:firstLine="5400" w:firstLineChars="225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年     月     日</w:t>
      </w:r>
    </w:p>
    <w:p w14:paraId="1B4568BF">
      <w:pPr>
        <w:widowControl/>
        <w:spacing w:line="360" w:lineRule="auto"/>
        <w:ind w:firstLine="480"/>
        <w:rPr>
          <w:rFonts w:ascii="Times New Roman" w:hAnsi="Times New Roman"/>
          <w:snapToGrid w:val="0"/>
          <w:color w:val="auto"/>
          <w:kern w:val="0"/>
          <w:szCs w:val="24"/>
          <w:highlight w:val="none"/>
          <w:shd w:val="clear" w:color="auto" w:fill="auto"/>
        </w:rPr>
      </w:pPr>
    </w:p>
    <w:p w14:paraId="05394845">
      <w:pPr>
        <w:tabs>
          <w:tab w:val="left" w:pos="6300"/>
          <w:tab w:val="clear" w:pos="-111"/>
        </w:tabs>
        <w:snapToGrid w:val="0"/>
        <w:spacing w:line="360" w:lineRule="auto"/>
        <w:ind w:firstLine="480"/>
        <w:rPr>
          <w:rFonts w:ascii="Times New Roman" w:hAnsi="Times New Roman"/>
          <w:snapToGrid w:val="0"/>
          <w:color w:val="auto"/>
          <w:kern w:val="0"/>
          <w:szCs w:val="24"/>
          <w:highlight w:val="none"/>
          <w:shd w:val="clear" w:color="auto" w:fill="auto"/>
        </w:rPr>
      </w:pPr>
    </w:p>
    <w:p w14:paraId="1A79F089">
      <w:pPr>
        <w:snapToGrid w:val="0"/>
        <w:spacing w:line="360" w:lineRule="auto"/>
        <w:ind w:firstLine="480"/>
        <w:rPr>
          <w:rFonts w:ascii="Times New Roman" w:hAnsi="Times New Roman"/>
          <w:snapToGrid w:val="0"/>
          <w:color w:val="auto"/>
          <w:kern w:val="0"/>
          <w:szCs w:val="24"/>
          <w:highlight w:val="none"/>
          <w:shd w:val="clear" w:color="auto" w:fill="auto"/>
        </w:rPr>
      </w:pPr>
      <w:r>
        <w:rPr>
          <w:rFonts w:hint="eastAsia" w:ascii="Times New Roman" w:hAnsi="Times New Roman"/>
          <w:color w:val="auto"/>
          <w:kern w:val="0"/>
          <w:highlight w:val="none"/>
          <w:shd w:val="clear" w:color="auto" w:fill="auto"/>
        </w:rPr>
        <w:br w:type="page"/>
      </w:r>
    </w:p>
    <w:p w14:paraId="64FDE7C3">
      <w:pPr>
        <w:pStyle w:val="29"/>
        <w:rPr>
          <w:rFonts w:ascii="Times New Roman" w:hAnsi="Times New Roman"/>
          <w:color w:val="auto"/>
          <w:highlight w:val="none"/>
          <w:shd w:val="clear" w:color="auto" w:fill="auto"/>
        </w:rPr>
      </w:pPr>
      <w:bookmarkStart w:id="450" w:name="_Toc31181"/>
      <w:r>
        <w:rPr>
          <w:rFonts w:ascii="Times New Roman" w:hAnsi="Times New Roman"/>
          <w:color w:val="auto"/>
          <w:highlight w:val="none"/>
          <w:shd w:val="clear" w:color="auto" w:fill="auto"/>
        </w:rPr>
        <w:t>二、分项报价明细表</w:t>
      </w:r>
      <w:bookmarkEnd w:id="450"/>
    </w:p>
    <w:p w14:paraId="1D04C868">
      <w:pPr>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（自定义表格形式，格式自拟）</w:t>
      </w:r>
    </w:p>
    <w:p w14:paraId="57FFE3F0">
      <w:pPr>
        <w:ind w:firstLine="482"/>
        <w:rPr>
          <w:rStyle w:val="27"/>
          <w:rFonts w:ascii="Times New Roman" w:hAnsi="Times New Roman"/>
          <w:b/>
          <w:color w:val="auto"/>
          <w:highlight w:val="none"/>
          <w:shd w:val="clear" w:color="auto" w:fill="auto"/>
        </w:rPr>
      </w:pPr>
      <w:r>
        <w:rPr>
          <w:rStyle w:val="27"/>
          <w:rFonts w:hint="eastAsia" w:ascii="Times New Roman" w:hAnsi="Times New Roman"/>
          <w:b/>
          <w:color w:val="auto"/>
          <w:highlight w:val="none"/>
          <w:shd w:val="clear" w:color="auto" w:fill="auto"/>
        </w:rPr>
        <w:br w:type="page"/>
      </w:r>
    </w:p>
    <w:p w14:paraId="49329FFC">
      <w:pPr>
        <w:pStyle w:val="29"/>
        <w:rPr>
          <w:rFonts w:ascii="Times New Roman" w:hAnsi="Times New Roman"/>
          <w:color w:val="auto"/>
          <w:highlight w:val="none"/>
          <w:shd w:val="clear" w:color="auto" w:fill="auto"/>
        </w:rPr>
      </w:pPr>
      <w:bookmarkStart w:id="451" w:name="_Toc2873"/>
      <w:r>
        <w:rPr>
          <w:rFonts w:ascii="Times New Roman" w:hAnsi="Times New Roman"/>
          <w:color w:val="auto"/>
          <w:highlight w:val="none"/>
          <w:shd w:val="clear" w:color="auto" w:fill="auto"/>
        </w:rPr>
        <w:t>三、资格性文件</w:t>
      </w:r>
      <w:bookmarkEnd w:id="451"/>
    </w:p>
    <w:p w14:paraId="4F05856B">
      <w:pPr>
        <w:pStyle w:val="31"/>
        <w:rPr>
          <w:rFonts w:ascii="Times New Roman" w:hAnsi="Times New Roman"/>
          <w:color w:val="auto"/>
          <w:highlight w:val="none"/>
          <w:shd w:val="clear" w:color="auto" w:fill="auto"/>
        </w:rPr>
      </w:pPr>
      <w:bookmarkStart w:id="452" w:name="_Toc32330"/>
      <w:r>
        <w:rPr>
          <w:rFonts w:ascii="Times New Roman" w:hAnsi="Times New Roman"/>
          <w:color w:val="auto"/>
          <w:highlight w:val="none"/>
          <w:shd w:val="clear" w:color="auto" w:fill="auto"/>
        </w:rPr>
        <w:t>（一）参选人基本情况介绍，资质证明等</w:t>
      </w:r>
      <w:bookmarkEnd w:id="452"/>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2FB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A959C3C">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参选人名称</w:t>
            </w:r>
          </w:p>
        </w:tc>
        <w:tc>
          <w:tcPr>
            <w:tcW w:w="7114" w:type="dxa"/>
            <w:gridSpan w:val="8"/>
          </w:tcPr>
          <w:p w14:paraId="06F444F5">
            <w:pPr>
              <w:spacing w:line="360" w:lineRule="auto"/>
              <w:ind w:firstLine="0" w:firstLineChars="0"/>
              <w:jc w:val="center"/>
              <w:rPr>
                <w:rFonts w:ascii="Times New Roman" w:hAnsi="Times New Roman"/>
                <w:color w:val="auto"/>
                <w:sz w:val="22"/>
                <w:szCs w:val="24"/>
                <w:highlight w:val="none"/>
                <w:shd w:val="clear" w:color="auto" w:fill="auto"/>
              </w:rPr>
            </w:pPr>
          </w:p>
        </w:tc>
      </w:tr>
      <w:tr w14:paraId="3B30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5EF163B">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注册地址</w:t>
            </w:r>
          </w:p>
        </w:tc>
        <w:tc>
          <w:tcPr>
            <w:tcW w:w="4132" w:type="dxa"/>
            <w:gridSpan w:val="4"/>
            <w:tcBorders>
              <w:top w:val="single" w:color="auto" w:sz="4" w:space="0"/>
              <w:left w:val="single" w:color="auto" w:sz="4" w:space="0"/>
              <w:right w:val="single" w:color="auto" w:sz="4" w:space="0"/>
            </w:tcBorders>
          </w:tcPr>
          <w:p w14:paraId="730C760D">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6B226B41">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邮政编码</w:t>
            </w:r>
          </w:p>
        </w:tc>
        <w:tc>
          <w:tcPr>
            <w:tcW w:w="1657" w:type="dxa"/>
            <w:gridSpan w:val="3"/>
          </w:tcPr>
          <w:p w14:paraId="44E7B93E">
            <w:pPr>
              <w:spacing w:line="360" w:lineRule="auto"/>
              <w:ind w:firstLine="0" w:firstLineChars="0"/>
              <w:jc w:val="center"/>
              <w:rPr>
                <w:rFonts w:ascii="Times New Roman" w:hAnsi="Times New Roman"/>
                <w:color w:val="auto"/>
                <w:sz w:val="22"/>
                <w:szCs w:val="24"/>
                <w:highlight w:val="none"/>
                <w:shd w:val="clear" w:color="auto" w:fill="auto"/>
              </w:rPr>
            </w:pPr>
          </w:p>
        </w:tc>
      </w:tr>
      <w:tr w14:paraId="241C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5CEBE2">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联系方式</w:t>
            </w:r>
          </w:p>
        </w:tc>
        <w:tc>
          <w:tcPr>
            <w:tcW w:w="1077" w:type="dxa"/>
            <w:tcBorders>
              <w:top w:val="single" w:color="auto" w:sz="4" w:space="0"/>
              <w:left w:val="single" w:color="auto" w:sz="4" w:space="0"/>
              <w:right w:val="single" w:color="auto" w:sz="4" w:space="0"/>
            </w:tcBorders>
            <w:vAlign w:val="center"/>
          </w:tcPr>
          <w:p w14:paraId="2EFE3865">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联系人</w:t>
            </w:r>
          </w:p>
        </w:tc>
        <w:tc>
          <w:tcPr>
            <w:tcW w:w="3055" w:type="dxa"/>
            <w:gridSpan w:val="3"/>
            <w:tcBorders>
              <w:top w:val="single" w:color="auto" w:sz="4" w:space="0"/>
              <w:left w:val="single" w:color="auto" w:sz="4" w:space="0"/>
              <w:right w:val="single" w:color="auto" w:sz="4" w:space="0"/>
            </w:tcBorders>
          </w:tcPr>
          <w:p w14:paraId="6ACAA77D">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7D7B5E55">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1657" w:type="dxa"/>
            <w:gridSpan w:val="3"/>
          </w:tcPr>
          <w:p w14:paraId="664068C8">
            <w:pPr>
              <w:spacing w:line="360" w:lineRule="auto"/>
              <w:ind w:firstLine="0" w:firstLineChars="0"/>
              <w:jc w:val="center"/>
              <w:rPr>
                <w:rFonts w:ascii="Times New Roman" w:hAnsi="Times New Roman"/>
                <w:color w:val="auto"/>
                <w:sz w:val="22"/>
                <w:szCs w:val="24"/>
                <w:highlight w:val="none"/>
                <w:shd w:val="clear" w:color="auto" w:fill="auto"/>
              </w:rPr>
            </w:pPr>
          </w:p>
        </w:tc>
      </w:tr>
      <w:tr w14:paraId="2B78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B876982">
            <w:pPr>
              <w:ind w:firstLine="480"/>
              <w:rPr>
                <w:color w:val="auto"/>
                <w:highlight w:val="none"/>
                <w:shd w:val="clear" w:color="auto" w:fill="auto"/>
              </w:rPr>
            </w:pPr>
          </w:p>
        </w:tc>
        <w:tc>
          <w:tcPr>
            <w:tcW w:w="1077" w:type="dxa"/>
            <w:tcBorders>
              <w:top w:val="single" w:color="auto" w:sz="4" w:space="0"/>
              <w:left w:val="single" w:color="auto" w:sz="4" w:space="0"/>
              <w:right w:val="single" w:color="auto" w:sz="4" w:space="0"/>
            </w:tcBorders>
            <w:vAlign w:val="center"/>
          </w:tcPr>
          <w:p w14:paraId="7867317D">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传真</w:t>
            </w:r>
          </w:p>
        </w:tc>
        <w:tc>
          <w:tcPr>
            <w:tcW w:w="3055" w:type="dxa"/>
            <w:gridSpan w:val="3"/>
            <w:tcBorders>
              <w:top w:val="single" w:color="auto" w:sz="4" w:space="0"/>
              <w:left w:val="single" w:color="auto" w:sz="4" w:space="0"/>
              <w:right w:val="single" w:color="auto" w:sz="4" w:space="0"/>
            </w:tcBorders>
          </w:tcPr>
          <w:p w14:paraId="529E0756">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757735D7">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网址</w:t>
            </w:r>
          </w:p>
        </w:tc>
        <w:tc>
          <w:tcPr>
            <w:tcW w:w="1657" w:type="dxa"/>
            <w:gridSpan w:val="3"/>
          </w:tcPr>
          <w:p w14:paraId="06EB71FA">
            <w:pPr>
              <w:spacing w:line="360" w:lineRule="auto"/>
              <w:ind w:firstLine="0" w:firstLineChars="0"/>
              <w:jc w:val="center"/>
              <w:rPr>
                <w:rFonts w:ascii="Times New Roman" w:hAnsi="Times New Roman"/>
                <w:color w:val="auto"/>
                <w:sz w:val="22"/>
                <w:szCs w:val="24"/>
                <w:highlight w:val="none"/>
                <w:shd w:val="clear" w:color="auto" w:fill="auto"/>
              </w:rPr>
            </w:pPr>
          </w:p>
        </w:tc>
      </w:tr>
      <w:tr w14:paraId="6D7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5C36390">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组织结构</w:t>
            </w:r>
          </w:p>
        </w:tc>
        <w:tc>
          <w:tcPr>
            <w:tcW w:w="7114" w:type="dxa"/>
            <w:gridSpan w:val="8"/>
            <w:vAlign w:val="center"/>
          </w:tcPr>
          <w:p w14:paraId="5A451621">
            <w:pPr>
              <w:spacing w:line="360" w:lineRule="auto"/>
              <w:ind w:firstLine="0" w:firstLineChars="0"/>
              <w:jc w:val="center"/>
              <w:rPr>
                <w:rFonts w:ascii="Times New Roman" w:hAnsi="Times New Roman"/>
                <w:color w:val="auto"/>
                <w:sz w:val="22"/>
                <w:szCs w:val="24"/>
                <w:highlight w:val="none"/>
                <w:shd w:val="clear" w:color="auto" w:fill="auto"/>
              </w:rPr>
            </w:pPr>
          </w:p>
        </w:tc>
      </w:tr>
      <w:tr w14:paraId="510E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FB0CF6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法定代表人/分支机构负责人</w:t>
            </w:r>
          </w:p>
        </w:tc>
        <w:tc>
          <w:tcPr>
            <w:tcW w:w="1077" w:type="dxa"/>
            <w:tcBorders>
              <w:top w:val="single" w:color="auto" w:sz="4" w:space="0"/>
              <w:left w:val="single" w:color="auto" w:sz="4" w:space="0"/>
              <w:right w:val="single" w:color="auto" w:sz="4" w:space="0"/>
            </w:tcBorders>
            <w:vAlign w:val="center"/>
          </w:tcPr>
          <w:p w14:paraId="437FB00C">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姓名</w:t>
            </w:r>
          </w:p>
        </w:tc>
        <w:tc>
          <w:tcPr>
            <w:tcW w:w="1803" w:type="dxa"/>
            <w:tcBorders>
              <w:top w:val="single" w:color="auto" w:sz="4" w:space="0"/>
              <w:left w:val="single" w:color="auto" w:sz="4" w:space="0"/>
              <w:right w:val="single" w:color="auto" w:sz="4" w:space="0"/>
            </w:tcBorders>
          </w:tcPr>
          <w:p w14:paraId="5829F366">
            <w:pPr>
              <w:spacing w:line="360" w:lineRule="auto"/>
              <w:ind w:firstLine="0" w:firstLineChars="0"/>
              <w:jc w:val="center"/>
              <w:rPr>
                <w:rFonts w:ascii="Times New Roman" w:hAnsi="Times New Roman"/>
                <w:color w:val="auto"/>
                <w:sz w:val="22"/>
                <w:szCs w:val="24"/>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4DCBBCBE">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0F2E3A0F">
            <w:pPr>
              <w:spacing w:line="360" w:lineRule="auto"/>
              <w:ind w:firstLine="0" w:firstLineChars="0"/>
              <w:jc w:val="center"/>
              <w:rPr>
                <w:rFonts w:ascii="Times New Roman" w:hAnsi="Times New Roman"/>
                <w:color w:val="auto"/>
                <w:sz w:val="22"/>
                <w:szCs w:val="24"/>
                <w:highlight w:val="none"/>
                <w:shd w:val="clear" w:color="auto" w:fill="auto"/>
              </w:rPr>
            </w:pPr>
          </w:p>
        </w:tc>
        <w:tc>
          <w:tcPr>
            <w:tcW w:w="723" w:type="dxa"/>
            <w:tcBorders>
              <w:top w:val="single" w:color="auto" w:sz="4" w:space="0"/>
              <w:left w:val="single" w:color="auto" w:sz="4" w:space="0"/>
              <w:right w:val="single" w:color="auto" w:sz="4" w:space="0"/>
            </w:tcBorders>
            <w:vAlign w:val="center"/>
          </w:tcPr>
          <w:p w14:paraId="699C0E31">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758" w:type="dxa"/>
          </w:tcPr>
          <w:p w14:paraId="4BE7A491">
            <w:pPr>
              <w:spacing w:line="360" w:lineRule="auto"/>
              <w:ind w:firstLine="0" w:firstLineChars="0"/>
              <w:jc w:val="center"/>
              <w:rPr>
                <w:rFonts w:ascii="Times New Roman" w:hAnsi="Times New Roman"/>
                <w:color w:val="auto"/>
                <w:sz w:val="22"/>
                <w:szCs w:val="24"/>
                <w:highlight w:val="none"/>
                <w:shd w:val="clear" w:color="auto" w:fill="auto"/>
              </w:rPr>
            </w:pPr>
          </w:p>
        </w:tc>
      </w:tr>
      <w:tr w14:paraId="3F22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6539BDF">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技术负责人</w:t>
            </w:r>
          </w:p>
        </w:tc>
        <w:tc>
          <w:tcPr>
            <w:tcW w:w="1077" w:type="dxa"/>
            <w:tcBorders>
              <w:top w:val="single" w:color="auto" w:sz="4" w:space="0"/>
              <w:left w:val="single" w:color="auto" w:sz="4" w:space="0"/>
              <w:right w:val="single" w:color="auto" w:sz="4" w:space="0"/>
            </w:tcBorders>
            <w:vAlign w:val="center"/>
          </w:tcPr>
          <w:p w14:paraId="17A3E747">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姓名</w:t>
            </w:r>
          </w:p>
        </w:tc>
        <w:tc>
          <w:tcPr>
            <w:tcW w:w="1803" w:type="dxa"/>
            <w:tcBorders>
              <w:top w:val="single" w:color="auto" w:sz="4" w:space="0"/>
              <w:left w:val="single" w:color="auto" w:sz="4" w:space="0"/>
              <w:right w:val="single" w:color="auto" w:sz="4" w:space="0"/>
            </w:tcBorders>
          </w:tcPr>
          <w:p w14:paraId="1FBE7B4B">
            <w:pPr>
              <w:spacing w:line="360" w:lineRule="auto"/>
              <w:ind w:firstLine="0" w:firstLineChars="0"/>
              <w:jc w:val="center"/>
              <w:rPr>
                <w:rFonts w:ascii="Times New Roman" w:hAnsi="Times New Roman"/>
                <w:color w:val="auto"/>
                <w:sz w:val="22"/>
                <w:szCs w:val="24"/>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70B2984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6A589E20">
            <w:pPr>
              <w:spacing w:line="360" w:lineRule="auto"/>
              <w:ind w:firstLine="0" w:firstLineChars="0"/>
              <w:jc w:val="center"/>
              <w:rPr>
                <w:rFonts w:ascii="Times New Roman" w:hAnsi="Times New Roman"/>
                <w:color w:val="auto"/>
                <w:sz w:val="22"/>
                <w:szCs w:val="24"/>
                <w:highlight w:val="none"/>
                <w:shd w:val="clear" w:color="auto" w:fill="auto"/>
              </w:rPr>
            </w:pPr>
          </w:p>
        </w:tc>
        <w:tc>
          <w:tcPr>
            <w:tcW w:w="723" w:type="dxa"/>
            <w:tcBorders>
              <w:top w:val="single" w:color="auto" w:sz="4" w:space="0"/>
              <w:left w:val="single" w:color="auto" w:sz="4" w:space="0"/>
              <w:right w:val="single" w:color="auto" w:sz="4" w:space="0"/>
            </w:tcBorders>
            <w:vAlign w:val="center"/>
          </w:tcPr>
          <w:p w14:paraId="2CC1B20B">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758" w:type="dxa"/>
          </w:tcPr>
          <w:p w14:paraId="66C46769">
            <w:pPr>
              <w:spacing w:line="360" w:lineRule="auto"/>
              <w:ind w:firstLine="0" w:firstLineChars="0"/>
              <w:jc w:val="center"/>
              <w:rPr>
                <w:rFonts w:ascii="Times New Roman" w:hAnsi="Times New Roman"/>
                <w:color w:val="auto"/>
                <w:sz w:val="22"/>
                <w:szCs w:val="24"/>
                <w:highlight w:val="none"/>
                <w:shd w:val="clear" w:color="auto" w:fill="auto"/>
              </w:rPr>
            </w:pPr>
          </w:p>
        </w:tc>
      </w:tr>
      <w:tr w14:paraId="5AA4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44C1419">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成立时间</w:t>
            </w:r>
          </w:p>
        </w:tc>
        <w:tc>
          <w:tcPr>
            <w:tcW w:w="2880" w:type="dxa"/>
            <w:gridSpan w:val="2"/>
            <w:tcBorders>
              <w:top w:val="single" w:color="auto" w:sz="4" w:space="0"/>
              <w:left w:val="single" w:color="auto" w:sz="4" w:space="0"/>
              <w:right w:val="single" w:color="auto" w:sz="4" w:space="0"/>
            </w:tcBorders>
          </w:tcPr>
          <w:p w14:paraId="36E781E6">
            <w:pPr>
              <w:spacing w:line="360" w:lineRule="auto"/>
              <w:ind w:firstLine="0" w:firstLineChars="0"/>
              <w:jc w:val="center"/>
              <w:rPr>
                <w:rFonts w:ascii="Times New Roman" w:hAnsi="Times New Roman"/>
                <w:color w:val="auto"/>
                <w:sz w:val="22"/>
                <w:szCs w:val="24"/>
                <w:highlight w:val="none"/>
                <w:shd w:val="clear" w:color="auto" w:fill="auto"/>
              </w:rPr>
            </w:pPr>
          </w:p>
        </w:tc>
        <w:tc>
          <w:tcPr>
            <w:tcW w:w="4234" w:type="dxa"/>
            <w:gridSpan w:val="6"/>
          </w:tcPr>
          <w:p w14:paraId="5038BA91">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员工总人数：</w:t>
            </w:r>
          </w:p>
        </w:tc>
      </w:tr>
      <w:tr w14:paraId="754C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B11F091">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企业资质等级</w:t>
            </w:r>
          </w:p>
        </w:tc>
        <w:tc>
          <w:tcPr>
            <w:tcW w:w="2880" w:type="dxa"/>
            <w:gridSpan w:val="2"/>
            <w:tcBorders>
              <w:top w:val="single" w:color="auto" w:sz="4" w:space="0"/>
              <w:left w:val="single" w:color="auto" w:sz="4" w:space="0"/>
              <w:right w:val="single" w:color="auto" w:sz="4" w:space="0"/>
            </w:tcBorders>
          </w:tcPr>
          <w:p w14:paraId="2C21765B">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restart"/>
            <w:tcBorders>
              <w:top w:val="single" w:color="auto" w:sz="4" w:space="0"/>
              <w:left w:val="single" w:color="auto" w:sz="4" w:space="0"/>
              <w:right w:val="single" w:color="auto" w:sz="4" w:space="0"/>
            </w:tcBorders>
            <w:vAlign w:val="center"/>
          </w:tcPr>
          <w:p w14:paraId="6669CCC9">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其中</w:t>
            </w:r>
          </w:p>
        </w:tc>
        <w:tc>
          <w:tcPr>
            <w:tcW w:w="2039" w:type="dxa"/>
            <w:gridSpan w:val="3"/>
            <w:tcBorders>
              <w:top w:val="single" w:color="auto" w:sz="4" w:space="0"/>
              <w:left w:val="single" w:color="auto" w:sz="4" w:space="0"/>
              <w:right w:val="single" w:color="auto" w:sz="4" w:space="0"/>
            </w:tcBorders>
            <w:vAlign w:val="center"/>
          </w:tcPr>
          <w:p w14:paraId="569B266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项目经理</w:t>
            </w:r>
          </w:p>
        </w:tc>
        <w:tc>
          <w:tcPr>
            <w:tcW w:w="1481" w:type="dxa"/>
            <w:gridSpan w:val="2"/>
          </w:tcPr>
          <w:p w14:paraId="12AFBFA0">
            <w:pPr>
              <w:spacing w:line="360" w:lineRule="auto"/>
              <w:ind w:firstLine="0" w:firstLineChars="0"/>
              <w:jc w:val="center"/>
              <w:rPr>
                <w:rFonts w:ascii="Times New Roman" w:hAnsi="Times New Roman"/>
                <w:color w:val="auto"/>
                <w:sz w:val="22"/>
                <w:szCs w:val="24"/>
                <w:highlight w:val="none"/>
                <w:shd w:val="clear" w:color="auto" w:fill="auto"/>
              </w:rPr>
            </w:pPr>
          </w:p>
        </w:tc>
      </w:tr>
      <w:tr w14:paraId="1B74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7DABA17">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营业执照号</w:t>
            </w:r>
          </w:p>
        </w:tc>
        <w:tc>
          <w:tcPr>
            <w:tcW w:w="2880" w:type="dxa"/>
            <w:gridSpan w:val="2"/>
            <w:tcBorders>
              <w:top w:val="single" w:color="auto" w:sz="4" w:space="0"/>
              <w:left w:val="single" w:color="auto" w:sz="4" w:space="0"/>
              <w:right w:val="single" w:color="auto" w:sz="4" w:space="0"/>
            </w:tcBorders>
          </w:tcPr>
          <w:p w14:paraId="5D8CD13C">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475BDA36">
            <w:pPr>
              <w:ind w:firstLine="480"/>
              <w:rPr>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7FC16A86">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高级职称人员</w:t>
            </w:r>
          </w:p>
        </w:tc>
        <w:tc>
          <w:tcPr>
            <w:tcW w:w="1481" w:type="dxa"/>
            <w:gridSpan w:val="2"/>
          </w:tcPr>
          <w:p w14:paraId="38E932E3">
            <w:pPr>
              <w:spacing w:line="360" w:lineRule="auto"/>
              <w:ind w:firstLine="0" w:firstLineChars="0"/>
              <w:jc w:val="center"/>
              <w:rPr>
                <w:rFonts w:ascii="Times New Roman" w:hAnsi="Times New Roman"/>
                <w:color w:val="auto"/>
                <w:sz w:val="22"/>
                <w:szCs w:val="24"/>
                <w:highlight w:val="none"/>
                <w:shd w:val="clear" w:color="auto" w:fill="auto"/>
              </w:rPr>
            </w:pPr>
          </w:p>
        </w:tc>
      </w:tr>
      <w:tr w14:paraId="01E5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A3A0F4">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注册资金</w:t>
            </w:r>
          </w:p>
        </w:tc>
        <w:tc>
          <w:tcPr>
            <w:tcW w:w="2880" w:type="dxa"/>
            <w:gridSpan w:val="2"/>
            <w:tcBorders>
              <w:top w:val="single" w:color="auto" w:sz="4" w:space="0"/>
              <w:left w:val="single" w:color="auto" w:sz="4" w:space="0"/>
              <w:right w:val="single" w:color="auto" w:sz="4" w:space="0"/>
            </w:tcBorders>
          </w:tcPr>
          <w:p w14:paraId="44A5E37B">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6B971B77">
            <w:pPr>
              <w:ind w:firstLine="480"/>
              <w:rPr>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57BBD57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中级职称人员</w:t>
            </w:r>
          </w:p>
        </w:tc>
        <w:tc>
          <w:tcPr>
            <w:tcW w:w="1481" w:type="dxa"/>
            <w:gridSpan w:val="2"/>
          </w:tcPr>
          <w:p w14:paraId="56737C95">
            <w:pPr>
              <w:spacing w:line="360" w:lineRule="auto"/>
              <w:ind w:firstLine="0" w:firstLineChars="0"/>
              <w:jc w:val="center"/>
              <w:rPr>
                <w:rFonts w:ascii="Times New Roman" w:hAnsi="Times New Roman"/>
                <w:color w:val="auto"/>
                <w:sz w:val="22"/>
                <w:szCs w:val="24"/>
                <w:highlight w:val="none"/>
                <w:shd w:val="clear" w:color="auto" w:fill="auto"/>
              </w:rPr>
            </w:pPr>
          </w:p>
        </w:tc>
      </w:tr>
      <w:tr w14:paraId="75D2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F5385BD">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开户银行</w:t>
            </w:r>
          </w:p>
        </w:tc>
        <w:tc>
          <w:tcPr>
            <w:tcW w:w="2880" w:type="dxa"/>
            <w:gridSpan w:val="2"/>
            <w:tcBorders>
              <w:top w:val="single" w:color="auto" w:sz="4" w:space="0"/>
              <w:left w:val="single" w:color="auto" w:sz="4" w:space="0"/>
              <w:right w:val="single" w:color="auto" w:sz="4" w:space="0"/>
            </w:tcBorders>
          </w:tcPr>
          <w:p w14:paraId="79A70F15">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013804EB">
            <w:pPr>
              <w:ind w:firstLine="480"/>
              <w:rPr>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7AE54E8D">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初级职称人员</w:t>
            </w:r>
          </w:p>
        </w:tc>
        <w:tc>
          <w:tcPr>
            <w:tcW w:w="1481" w:type="dxa"/>
            <w:gridSpan w:val="2"/>
          </w:tcPr>
          <w:p w14:paraId="3A57FE74">
            <w:pPr>
              <w:spacing w:line="360" w:lineRule="auto"/>
              <w:ind w:firstLine="0" w:firstLineChars="0"/>
              <w:jc w:val="center"/>
              <w:rPr>
                <w:rFonts w:ascii="Times New Roman" w:hAnsi="Times New Roman"/>
                <w:color w:val="auto"/>
                <w:sz w:val="22"/>
                <w:szCs w:val="24"/>
                <w:highlight w:val="none"/>
                <w:shd w:val="clear" w:color="auto" w:fill="auto"/>
              </w:rPr>
            </w:pPr>
          </w:p>
        </w:tc>
      </w:tr>
      <w:tr w14:paraId="55B5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E285925">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账号</w:t>
            </w:r>
          </w:p>
        </w:tc>
        <w:tc>
          <w:tcPr>
            <w:tcW w:w="2880" w:type="dxa"/>
            <w:gridSpan w:val="2"/>
            <w:tcBorders>
              <w:top w:val="single" w:color="auto" w:sz="4" w:space="0"/>
              <w:left w:val="single" w:color="auto" w:sz="4" w:space="0"/>
              <w:right w:val="single" w:color="auto" w:sz="4" w:space="0"/>
            </w:tcBorders>
          </w:tcPr>
          <w:p w14:paraId="7A72D5E5">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1F74FC90">
            <w:pPr>
              <w:ind w:firstLine="480"/>
              <w:rPr>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6D1032BC">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技工</w:t>
            </w:r>
          </w:p>
        </w:tc>
        <w:tc>
          <w:tcPr>
            <w:tcW w:w="1481" w:type="dxa"/>
            <w:gridSpan w:val="2"/>
          </w:tcPr>
          <w:p w14:paraId="7A098274">
            <w:pPr>
              <w:spacing w:line="360" w:lineRule="auto"/>
              <w:ind w:firstLine="0" w:firstLineChars="0"/>
              <w:jc w:val="center"/>
              <w:rPr>
                <w:rFonts w:ascii="Times New Roman" w:hAnsi="Times New Roman"/>
                <w:color w:val="auto"/>
                <w:sz w:val="22"/>
                <w:szCs w:val="24"/>
                <w:highlight w:val="none"/>
                <w:shd w:val="clear" w:color="auto" w:fill="auto"/>
              </w:rPr>
            </w:pPr>
          </w:p>
        </w:tc>
      </w:tr>
      <w:tr w14:paraId="25DA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B4FBD8C">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经营范围</w:t>
            </w:r>
          </w:p>
        </w:tc>
        <w:tc>
          <w:tcPr>
            <w:tcW w:w="7114" w:type="dxa"/>
            <w:gridSpan w:val="8"/>
          </w:tcPr>
          <w:p w14:paraId="2C10794B">
            <w:pPr>
              <w:spacing w:line="360" w:lineRule="auto"/>
              <w:ind w:firstLine="0" w:firstLineChars="0"/>
              <w:jc w:val="center"/>
              <w:rPr>
                <w:rFonts w:ascii="Times New Roman" w:hAnsi="Times New Roman"/>
                <w:color w:val="auto"/>
                <w:sz w:val="22"/>
                <w:szCs w:val="24"/>
                <w:highlight w:val="none"/>
                <w:shd w:val="clear" w:color="auto" w:fill="auto"/>
              </w:rPr>
            </w:pPr>
          </w:p>
        </w:tc>
      </w:tr>
      <w:tr w14:paraId="7BC2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9173748">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备注</w:t>
            </w:r>
          </w:p>
        </w:tc>
        <w:tc>
          <w:tcPr>
            <w:tcW w:w="7114" w:type="dxa"/>
            <w:gridSpan w:val="8"/>
          </w:tcPr>
          <w:p w14:paraId="54D3E143">
            <w:pPr>
              <w:spacing w:line="360" w:lineRule="auto"/>
              <w:ind w:firstLine="0" w:firstLineChars="0"/>
              <w:jc w:val="center"/>
              <w:rPr>
                <w:rFonts w:ascii="Times New Roman" w:hAnsi="Times New Roman"/>
                <w:color w:val="auto"/>
                <w:sz w:val="22"/>
                <w:szCs w:val="24"/>
                <w:highlight w:val="none"/>
                <w:shd w:val="clear" w:color="auto" w:fill="auto"/>
              </w:rPr>
            </w:pPr>
          </w:p>
        </w:tc>
      </w:tr>
    </w:tbl>
    <w:p w14:paraId="04BBA7FA">
      <w:pPr>
        <w:widowControl/>
        <w:spacing w:line="360" w:lineRule="auto"/>
        <w:ind w:firstLine="400"/>
        <w:rPr>
          <w:rFonts w:ascii="Times New Roman" w:hAnsi="Times New Roman"/>
          <w:color w:val="auto"/>
          <w:sz w:val="20"/>
          <w:szCs w:val="21"/>
          <w:highlight w:val="none"/>
          <w:shd w:val="clear" w:color="auto" w:fill="auto"/>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shd w:val="clear" w:color="auto" w:fill="auto"/>
        </w:rPr>
        <w:t>注：附营业执照（副本）、总公司授权委托书、资质证明复印件等。</w:t>
      </w:r>
    </w:p>
    <w:p w14:paraId="0FD60472">
      <w:pPr>
        <w:pStyle w:val="31"/>
        <w:rPr>
          <w:rFonts w:ascii="Times New Roman" w:hAnsi="Times New Roman"/>
          <w:color w:val="auto"/>
          <w:highlight w:val="none"/>
          <w:shd w:val="clear" w:color="auto" w:fill="auto"/>
        </w:rPr>
      </w:pPr>
      <w:bookmarkStart w:id="453" w:name="_Toc11790"/>
      <w:bookmarkStart w:id="454" w:name="_Toc478054435"/>
      <w:bookmarkStart w:id="455" w:name="_Toc378234770"/>
      <w:bookmarkStart w:id="456" w:name="_Toc472780356"/>
      <w:bookmarkStart w:id="457" w:name="_Toc478053903"/>
      <w:bookmarkStart w:id="458" w:name="_Toc378234584"/>
      <w:r>
        <w:rPr>
          <w:rFonts w:ascii="Times New Roman" w:hAnsi="Times New Roman"/>
          <w:color w:val="auto"/>
          <w:highlight w:val="none"/>
          <w:shd w:val="clear" w:color="auto" w:fill="auto"/>
        </w:rPr>
        <w:t>（二）法定代表人</w:t>
      </w:r>
      <w:r>
        <w:rPr>
          <w:rFonts w:hint="eastAsia" w:ascii="Times New Roman" w:hAnsi="Times New Roman"/>
          <w:snapToGrid w:val="0"/>
          <w:color w:val="auto"/>
          <w:kern w:val="0"/>
          <w:highlight w:val="none"/>
          <w:shd w:val="clear" w:color="auto" w:fill="auto"/>
        </w:rPr>
        <w:t>/</w:t>
      </w:r>
      <w:r>
        <w:rPr>
          <w:rFonts w:hint="eastAsia" w:ascii="Times New Roman" w:hAnsi="Times New Roman"/>
          <w:color w:val="auto"/>
          <w:highlight w:val="none"/>
          <w:shd w:val="clear" w:color="auto" w:fill="auto"/>
        </w:rPr>
        <w:t>分支机构负责人</w:t>
      </w:r>
      <w:r>
        <w:rPr>
          <w:rFonts w:ascii="Times New Roman" w:hAnsi="Times New Roman"/>
          <w:color w:val="auto"/>
          <w:highlight w:val="none"/>
          <w:shd w:val="clear" w:color="auto" w:fill="auto"/>
        </w:rPr>
        <w:t>身份证明及授权委托书</w:t>
      </w:r>
      <w:bookmarkEnd w:id="453"/>
      <w:bookmarkEnd w:id="454"/>
      <w:bookmarkEnd w:id="455"/>
      <w:bookmarkEnd w:id="456"/>
      <w:bookmarkEnd w:id="457"/>
      <w:bookmarkEnd w:id="458"/>
    </w:p>
    <w:p w14:paraId="5030C257">
      <w:pPr>
        <w:pStyle w:val="32"/>
        <w:rPr>
          <w:rFonts w:ascii="Times New Roman" w:hAnsi="Times New Roman"/>
          <w:color w:val="auto"/>
          <w:highlight w:val="none"/>
          <w:shd w:val="clear" w:color="auto" w:fill="auto"/>
        </w:rPr>
      </w:pPr>
      <w:r>
        <w:rPr>
          <w:rFonts w:ascii="Times New Roman" w:hAnsi="Times New Roman"/>
          <w:color w:val="auto"/>
          <w:highlight w:val="none"/>
          <w:shd w:val="clear" w:color="auto" w:fill="auto"/>
        </w:rPr>
        <w:t>法定代表人/分支机构负责人身份证明书</w:t>
      </w:r>
    </w:p>
    <w:p w14:paraId="6347A64A">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2B9E7495">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项目名称：</w:t>
      </w:r>
      <w:r>
        <w:rPr>
          <w:rFonts w:hint="eastAsia" w:ascii="Times New Roman" w:hAnsi="Times New Roman"/>
          <w:snapToGrid w:val="0"/>
          <w:color w:val="auto"/>
          <w:kern w:val="0"/>
          <w:highlight w:val="none"/>
          <w:u w:val="single"/>
          <w:shd w:val="clear" w:color="auto" w:fill="auto"/>
        </w:rPr>
        <w:t>____________________</w:t>
      </w:r>
    </w:p>
    <w:p w14:paraId="5B9DBA9F">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4E85D0A8">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 xml:space="preserve"> 重庆三峡银行股份有限公司  </w:t>
      </w:r>
      <w:r>
        <w:rPr>
          <w:rFonts w:hint="eastAsia" w:ascii="Times New Roman" w:hAnsi="Times New Roman"/>
          <w:snapToGrid w:val="0"/>
          <w:color w:val="auto"/>
          <w:kern w:val="0"/>
          <w:highlight w:val="none"/>
          <w:shd w:val="clear" w:color="auto" w:fill="auto"/>
        </w:rPr>
        <w:t>：</w:t>
      </w:r>
    </w:p>
    <w:p w14:paraId="3AFBAAE3">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姓名）在</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（参选人名称）任</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（职务名称）职务，是（参</w:t>
      </w:r>
      <w:r>
        <w:rPr>
          <w:rFonts w:hint="eastAsia" w:ascii="Times New Roman" w:hAnsi="Times New Roman" w:cs="Cambria"/>
          <w:snapToGrid w:val="0"/>
          <w:color w:val="auto"/>
          <w:kern w:val="0"/>
          <w:szCs w:val="24"/>
          <w:highlight w:val="none"/>
          <w:shd w:val="clear" w:color="auto" w:fill="auto"/>
        </w:rPr>
        <w:t>选</w:t>
      </w:r>
      <w:r>
        <w:rPr>
          <w:rFonts w:hint="eastAsia" w:ascii="Times New Roman" w:hAnsi="Times New Roman"/>
          <w:snapToGrid w:val="0"/>
          <w:color w:val="auto"/>
          <w:kern w:val="0"/>
          <w:highlight w:val="none"/>
          <w:shd w:val="clear" w:color="auto" w:fill="auto"/>
        </w:rPr>
        <w:t>人名称）</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的法定代表人/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w:t>
      </w:r>
    </w:p>
    <w:p w14:paraId="4BEE13EC">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6F0137EC">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特此证明。</w:t>
      </w:r>
    </w:p>
    <w:p w14:paraId="15B2EE46">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39FA2D85">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55E0C2F1">
      <w:pPr>
        <w:tabs>
          <w:tab w:val="left" w:pos="6300"/>
          <w:tab w:val="clear" w:pos="-111"/>
        </w:tabs>
        <w:snapToGrid w:val="0"/>
        <w:spacing w:line="360" w:lineRule="auto"/>
        <w:ind w:firstLine="6000" w:firstLineChars="25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参选人：</w:t>
      </w:r>
    </w:p>
    <w:p w14:paraId="5B4D4DED">
      <w:pPr>
        <w:tabs>
          <w:tab w:val="left" w:pos="6300"/>
          <w:tab w:val="clear" w:pos="-111"/>
        </w:tabs>
        <w:snapToGrid w:val="0"/>
        <w:spacing w:line="360" w:lineRule="auto"/>
        <w:ind w:firstLine="5760" w:firstLineChars="24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人公章）</w:t>
      </w:r>
    </w:p>
    <w:p w14:paraId="01DA724F">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0E0C7D8D">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 xml:space="preserve">                                             年   月   日</w:t>
      </w:r>
    </w:p>
    <w:p w14:paraId="584FB405">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24889CA1">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身份证正反面复印件）</w:t>
      </w:r>
    </w:p>
    <w:p w14:paraId="6E162D16">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707B2F2F">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652DDCA3">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1096BD0E">
      <w:pPr>
        <w:ind w:firstLine="480"/>
        <w:jc w:val="center"/>
        <w:rPr>
          <w:rStyle w:val="33"/>
          <w:rFonts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br w:type="column"/>
      </w:r>
      <w:r>
        <w:rPr>
          <w:rStyle w:val="33"/>
          <w:rFonts w:ascii="Times New Roman" w:hAnsi="Times New Roman"/>
          <w:color w:val="auto"/>
          <w:highlight w:val="none"/>
          <w:shd w:val="clear" w:color="auto" w:fill="auto"/>
        </w:rPr>
        <w:t>法定代表人</w:t>
      </w:r>
      <w:r>
        <w:rPr>
          <w:rFonts w:hint="eastAsia" w:ascii="Times New Roman" w:hAnsi="Times New Roman"/>
          <w:b/>
          <w:bCs/>
          <w:snapToGrid w:val="0"/>
          <w:color w:val="auto"/>
          <w:highlight w:val="none"/>
          <w:shd w:val="clear" w:color="auto" w:fill="auto"/>
        </w:rPr>
        <w:t>（分支机构负责人）</w:t>
      </w:r>
      <w:r>
        <w:rPr>
          <w:rStyle w:val="33"/>
          <w:rFonts w:ascii="Times New Roman" w:hAnsi="Times New Roman"/>
          <w:color w:val="auto"/>
          <w:highlight w:val="none"/>
          <w:shd w:val="clear" w:color="auto" w:fill="auto"/>
        </w:rPr>
        <w:t>授权委托书</w:t>
      </w:r>
    </w:p>
    <w:p w14:paraId="2A64F526">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28926BA9">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项目名称</w:t>
      </w:r>
      <w:r>
        <w:rPr>
          <w:rFonts w:hint="eastAsia" w:ascii="Times New Roman" w:hAnsi="Times New Roman"/>
          <w:snapToGrid w:val="0"/>
          <w:color w:val="auto"/>
          <w:kern w:val="0"/>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___________________</w:t>
      </w:r>
    </w:p>
    <w:p w14:paraId="6AC053BA">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481CB352">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snapToGrid w:val="0"/>
          <w:color w:val="auto"/>
          <w:kern w:val="0"/>
          <w:highlight w:val="none"/>
          <w:shd w:val="clear" w:color="auto" w:fill="auto"/>
        </w:rPr>
        <w:t>：</w:t>
      </w:r>
    </w:p>
    <w:p w14:paraId="541D82DC">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名称）是</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人名称）的法定代表人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，特授权</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（被授权人姓名及身份证代码）代表我单位全权办理上述项目的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、谈判、签约等具体工作，并签署全部有关文件、协议及合同。</w:t>
      </w:r>
    </w:p>
    <w:p w14:paraId="6B5CFB67">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我单位对被授权人的签字负全部责任。</w:t>
      </w:r>
    </w:p>
    <w:p w14:paraId="22D95BB6">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在撤消授权的书面通知以前，本授权书一直有效。被授权人在授权书有效期内签署的所有文件不因授权的撤消而失效。</w:t>
      </w:r>
    </w:p>
    <w:p w14:paraId="67F20A3B">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D3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6998A2C">
            <w:pPr>
              <w:tabs>
                <w:tab w:val="left" w:pos="6300"/>
                <w:tab w:val="clear" w:pos="-111"/>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被授权人</w:t>
            </w:r>
          </w:p>
        </w:tc>
        <w:tc>
          <w:tcPr>
            <w:tcW w:w="4261" w:type="dxa"/>
            <w:tcBorders>
              <w:top w:val="nil"/>
              <w:left w:val="nil"/>
              <w:bottom w:val="nil"/>
              <w:right w:val="nil"/>
            </w:tcBorders>
          </w:tcPr>
          <w:p w14:paraId="01D3B190">
            <w:pPr>
              <w:tabs>
                <w:tab w:val="left" w:pos="6300"/>
                <w:tab w:val="clear" w:pos="-111"/>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名称：</w:t>
            </w:r>
          </w:p>
        </w:tc>
      </w:tr>
      <w:tr w14:paraId="578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26E243F">
            <w:pPr>
              <w:tabs>
                <w:tab w:val="left" w:pos="6300"/>
                <w:tab w:val="clear" w:pos="-111"/>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c>
          <w:tcPr>
            <w:tcW w:w="4261" w:type="dxa"/>
            <w:tcBorders>
              <w:top w:val="nil"/>
              <w:left w:val="nil"/>
              <w:bottom w:val="nil"/>
              <w:right w:val="nil"/>
            </w:tcBorders>
          </w:tcPr>
          <w:p w14:paraId="749C62F8">
            <w:pPr>
              <w:tabs>
                <w:tab w:val="left" w:pos="6300"/>
                <w:tab w:val="clear" w:pos="-111"/>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r>
    </w:tbl>
    <w:p w14:paraId="0F7B96A0">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5B76C924">
      <w:pPr>
        <w:tabs>
          <w:tab w:val="left" w:pos="6300"/>
          <w:tab w:val="clear" w:pos="-111"/>
        </w:tabs>
        <w:snapToGrid w:val="0"/>
        <w:spacing w:line="360" w:lineRule="auto"/>
        <w:ind w:firstLine="480"/>
        <w:rPr>
          <w:rFonts w:ascii="Times New Roman" w:hAnsi="Times New Roman"/>
          <w:snapToGrid w:val="0"/>
          <w:color w:val="auto"/>
          <w:kern w:val="0"/>
          <w:szCs w:val="28"/>
          <w:highlight w:val="none"/>
          <w:shd w:val="clear" w:color="auto" w:fill="auto"/>
        </w:rPr>
      </w:pPr>
    </w:p>
    <w:p w14:paraId="6A544645">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5EBEFAF2">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（附：被授权人身份证正反面复印件）</w:t>
      </w:r>
    </w:p>
    <w:p w14:paraId="1DDFDD93">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5D16D6E5">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4C673EF9">
      <w:pPr>
        <w:tabs>
          <w:tab w:val="left" w:pos="6300"/>
          <w:tab w:val="clear" w:pos="-111"/>
        </w:tabs>
        <w:snapToGrid w:val="0"/>
        <w:spacing w:line="360" w:lineRule="auto"/>
        <w:ind w:right="480" w:firstLine="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人公章）</w:t>
      </w:r>
    </w:p>
    <w:p w14:paraId="75F1FFC3">
      <w:pPr>
        <w:tabs>
          <w:tab w:val="left" w:pos="6300"/>
          <w:tab w:val="clear" w:pos="-111"/>
        </w:tabs>
        <w:snapToGrid w:val="0"/>
        <w:spacing w:line="360" w:lineRule="auto"/>
        <w:ind w:right="480" w:firstLine="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年   月   日</w:t>
      </w:r>
    </w:p>
    <w:p w14:paraId="52A61D3F">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p>
    <w:p w14:paraId="1A14DA4A">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注：1.若为法定代表人（分支机构负责人）办理并签署参选文件的，不提供此文件。</w:t>
      </w:r>
    </w:p>
    <w:p w14:paraId="2C8A1575">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2.若为联合体参选的，法定代表人授权委托书由联合体主办方（主体）出具。</w:t>
      </w:r>
    </w:p>
    <w:p w14:paraId="1B340DB9">
      <w:pPr>
        <w:ind w:firstLine="480"/>
        <w:rPr>
          <w:rFonts w:ascii="Times New Roman" w:hAnsi="Times New Roman"/>
          <w:color w:val="auto"/>
          <w:highlight w:val="none"/>
          <w:shd w:val="clear" w:color="auto" w:fill="auto"/>
        </w:rPr>
      </w:pPr>
    </w:p>
    <w:p w14:paraId="7ECC44A2">
      <w:pPr>
        <w:ind w:firstLine="480"/>
        <w:rPr>
          <w:rFonts w:ascii="Times New Roman" w:hAnsi="Times New Roman"/>
          <w:color w:val="auto"/>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623E2D24">
      <w:pPr>
        <w:pStyle w:val="31"/>
        <w:rPr>
          <w:rFonts w:ascii="Times New Roman" w:hAnsi="Times New Roman"/>
          <w:color w:val="auto"/>
          <w:highlight w:val="none"/>
          <w:shd w:val="clear" w:color="auto" w:fill="auto"/>
        </w:rPr>
      </w:pPr>
      <w:bookmarkStart w:id="459" w:name="_Toc18188"/>
      <w:r>
        <w:rPr>
          <w:rFonts w:hint="eastAsia" w:ascii="Times New Roman" w:hAnsi="Times New Roman"/>
          <w:color w:val="auto"/>
          <w:highlight w:val="none"/>
          <w:shd w:val="clear" w:color="auto" w:fill="auto"/>
        </w:rPr>
        <w:t>（三）书面声明</w:t>
      </w:r>
      <w:bookmarkEnd w:id="459"/>
    </w:p>
    <w:p w14:paraId="7FBCFDC2">
      <w:pPr>
        <w:tabs>
          <w:tab w:val="left" w:pos="6300"/>
          <w:tab w:val="clear" w:pos="-111"/>
        </w:tabs>
        <w:snapToGrid w:val="0"/>
        <w:spacing w:line="360" w:lineRule="auto"/>
        <w:ind w:firstLine="480"/>
        <w:rPr>
          <w:rFonts w:ascii="Times New Roman" w:hAnsi="Times New Roman"/>
          <w:color w:val="auto"/>
          <w:highlight w:val="none"/>
          <w:shd w:val="clear" w:color="auto" w:fill="auto"/>
        </w:rPr>
      </w:pPr>
    </w:p>
    <w:p w14:paraId="36C35CF8">
      <w:pPr>
        <w:tabs>
          <w:tab w:val="left" w:pos="6300"/>
          <w:tab w:val="clear" w:pos="-111"/>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szCs w:val="28"/>
          <w:highlight w:val="none"/>
          <w:shd w:val="clear" w:color="auto" w:fill="auto"/>
        </w:rPr>
        <w:t>项目名称</w:t>
      </w:r>
      <w:r>
        <w:rPr>
          <w:rFonts w:hint="eastAsia" w:ascii="Times New Roman" w:hAnsi="Times New Roman"/>
          <w:color w:val="auto"/>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w:t>
      </w:r>
    </w:p>
    <w:p w14:paraId="524657D2">
      <w:pPr>
        <w:tabs>
          <w:tab w:val="left" w:pos="6300"/>
          <w:tab w:val="clear" w:pos="-111"/>
        </w:tabs>
        <w:snapToGrid w:val="0"/>
        <w:spacing w:line="360" w:lineRule="auto"/>
        <w:ind w:firstLine="480"/>
        <w:rPr>
          <w:rFonts w:ascii="Times New Roman" w:hAnsi="Times New Roman"/>
          <w:color w:val="auto"/>
          <w:highlight w:val="none"/>
          <w:shd w:val="clear" w:color="auto" w:fill="auto"/>
        </w:rPr>
      </w:pPr>
    </w:p>
    <w:p w14:paraId="04C16D12">
      <w:pPr>
        <w:tabs>
          <w:tab w:val="left" w:pos="6300"/>
          <w:tab w:val="clear" w:pos="-111"/>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color w:val="auto"/>
          <w:highlight w:val="none"/>
          <w:shd w:val="clear" w:color="auto" w:fill="auto"/>
        </w:rPr>
        <w:t>：</w:t>
      </w:r>
    </w:p>
    <w:p w14:paraId="5775880F">
      <w:pPr>
        <w:tabs>
          <w:tab w:val="left" w:pos="6300"/>
          <w:tab w:val="clear" w:pos="-111"/>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人资格条件；</w:t>
      </w:r>
      <w:r>
        <w:rPr>
          <w:rFonts w:hint="eastAsia" w:ascii="Times New Roman" w:hAnsi="Times New Roman" w:cs="Cambria"/>
          <w:color w:val="auto"/>
          <w:szCs w:val="24"/>
          <w:highlight w:val="none"/>
          <w:shd w:val="clear" w:color="auto" w:fill="auto"/>
        </w:rPr>
        <w:t>我公司本次如若中选，中选后不会对项目进行转包</w:t>
      </w:r>
      <w:r>
        <w:rPr>
          <w:rFonts w:hint="eastAsia" w:ascii="Times New Roman" w:hAnsi="Times New Roman"/>
          <w:color w:val="auto"/>
          <w:highlight w:val="none"/>
          <w:shd w:val="clear" w:color="auto" w:fill="auto"/>
        </w:rPr>
        <w:t>。我方对以上声明负全部法律责任。</w:t>
      </w:r>
    </w:p>
    <w:p w14:paraId="109E1AFC">
      <w:pPr>
        <w:tabs>
          <w:tab w:val="left" w:pos="6300"/>
          <w:tab w:val="clear" w:pos="-111"/>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特此声明。</w:t>
      </w:r>
    </w:p>
    <w:p w14:paraId="4DEA2168">
      <w:pPr>
        <w:tabs>
          <w:tab w:val="left" w:pos="6300"/>
          <w:tab w:val="clear" w:pos="-111"/>
        </w:tabs>
        <w:snapToGrid w:val="0"/>
        <w:spacing w:line="360" w:lineRule="auto"/>
        <w:ind w:firstLine="480"/>
        <w:rPr>
          <w:rFonts w:ascii="Times New Roman" w:hAnsi="Times New Roman"/>
          <w:color w:val="auto"/>
          <w:highlight w:val="none"/>
          <w:shd w:val="clear" w:color="auto" w:fill="auto"/>
        </w:rPr>
      </w:pPr>
    </w:p>
    <w:p w14:paraId="78A0B51E">
      <w:pPr>
        <w:tabs>
          <w:tab w:val="left" w:pos="6300"/>
          <w:tab w:val="clear" w:pos="-111"/>
        </w:tabs>
        <w:snapToGrid w:val="0"/>
        <w:spacing w:line="360" w:lineRule="auto"/>
        <w:ind w:firstLine="480"/>
        <w:rPr>
          <w:rFonts w:ascii="Times New Roman" w:hAnsi="Times New Roman"/>
          <w:color w:val="auto"/>
          <w:highlight w:val="none"/>
          <w:shd w:val="clear" w:color="auto" w:fill="auto"/>
        </w:rPr>
      </w:pPr>
    </w:p>
    <w:p w14:paraId="72045B30">
      <w:pPr>
        <w:tabs>
          <w:tab w:val="left" w:pos="6300"/>
          <w:tab w:val="clear" w:pos="-111"/>
        </w:tabs>
        <w:snapToGrid w:val="0"/>
        <w:spacing w:line="360" w:lineRule="auto"/>
        <w:ind w:firstLine="480"/>
        <w:rPr>
          <w:rFonts w:ascii="Times New Roman" w:hAnsi="Times New Roman"/>
          <w:color w:val="auto"/>
          <w:highlight w:val="none"/>
          <w:shd w:val="clear" w:color="auto" w:fill="auto"/>
        </w:rPr>
      </w:pPr>
    </w:p>
    <w:p w14:paraId="44FFE513">
      <w:pPr>
        <w:tabs>
          <w:tab w:val="left" w:pos="6300"/>
          <w:tab w:val="clear" w:pos="-111"/>
        </w:tabs>
        <w:snapToGrid w:val="0"/>
        <w:spacing w:line="360" w:lineRule="auto"/>
        <w:ind w:right="424" w:firstLine="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人公章）</w:t>
      </w:r>
    </w:p>
    <w:p w14:paraId="6EC0F79A">
      <w:pPr>
        <w:tabs>
          <w:tab w:val="left" w:pos="6300"/>
          <w:tab w:val="clear" w:pos="-111"/>
        </w:tabs>
        <w:snapToGrid w:val="0"/>
        <w:spacing w:line="360" w:lineRule="auto"/>
        <w:ind w:right="480" w:firstLine="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14:paraId="43CBF64A">
      <w:pPr>
        <w:spacing w:line="360" w:lineRule="auto"/>
        <w:ind w:firstLine="480"/>
        <w:rPr>
          <w:rFonts w:ascii="Times New Roman" w:hAnsi="Times New Roman" w:cs="等线 Light"/>
          <w:snapToGrid w:val="0"/>
          <w:color w:val="auto"/>
          <w:kern w:val="0"/>
          <w:szCs w:val="24"/>
          <w:highlight w:val="none"/>
          <w:shd w:val="clear" w:color="auto" w:fill="auto"/>
        </w:rPr>
      </w:pPr>
    </w:p>
    <w:p w14:paraId="2708E8BD">
      <w:pPr>
        <w:spacing w:line="360" w:lineRule="auto"/>
        <w:ind w:firstLine="480"/>
        <w:rPr>
          <w:rFonts w:ascii="Times New Roman" w:hAnsi="Times New Roman" w:cs="等线 Light"/>
          <w:snapToGrid w:val="0"/>
          <w:color w:val="auto"/>
          <w:kern w:val="0"/>
          <w:szCs w:val="24"/>
          <w:highlight w:val="none"/>
          <w:shd w:val="clear" w:color="auto" w:fill="auto"/>
        </w:rPr>
      </w:pPr>
    </w:p>
    <w:p w14:paraId="4E1B29B7">
      <w:pPr>
        <w:spacing w:line="360" w:lineRule="auto"/>
        <w:ind w:firstLine="480"/>
        <w:rPr>
          <w:rFonts w:ascii="Times New Roman" w:hAnsi="Times New Roman" w:cs="等线 Light"/>
          <w:snapToGrid w:val="0"/>
          <w:color w:val="auto"/>
          <w:kern w:val="0"/>
          <w:szCs w:val="24"/>
          <w:highlight w:val="none"/>
          <w:shd w:val="clear" w:color="auto" w:fill="auto"/>
        </w:rPr>
      </w:pPr>
    </w:p>
    <w:p w14:paraId="347F6632">
      <w:pPr>
        <w:spacing w:line="360" w:lineRule="auto"/>
        <w:ind w:firstLine="480"/>
        <w:rPr>
          <w:rFonts w:ascii="Times New Roman" w:hAnsi="Times New Roman" w:cs="等线 Light"/>
          <w:snapToGrid w:val="0"/>
          <w:color w:val="auto"/>
          <w:kern w:val="0"/>
          <w:szCs w:val="24"/>
          <w:highlight w:val="none"/>
          <w:shd w:val="clear" w:color="auto" w:fill="auto"/>
        </w:rPr>
      </w:pPr>
    </w:p>
    <w:p w14:paraId="35E1751F">
      <w:pPr>
        <w:spacing w:line="360" w:lineRule="auto"/>
        <w:ind w:firstLine="480"/>
        <w:rPr>
          <w:rFonts w:ascii="Times New Roman" w:hAnsi="Times New Roman" w:cs="等线 Light"/>
          <w:snapToGrid w:val="0"/>
          <w:color w:val="auto"/>
          <w:kern w:val="0"/>
          <w:szCs w:val="24"/>
          <w:highlight w:val="none"/>
          <w:shd w:val="clear" w:color="auto" w:fill="auto"/>
        </w:rPr>
      </w:pPr>
    </w:p>
    <w:p w14:paraId="22992690">
      <w:pPr>
        <w:spacing w:line="360" w:lineRule="auto"/>
        <w:ind w:firstLine="480"/>
        <w:rPr>
          <w:rFonts w:ascii="Times New Roman" w:hAnsi="Times New Roman" w:cs="等线 Light"/>
          <w:snapToGrid w:val="0"/>
          <w:color w:val="auto"/>
          <w:kern w:val="0"/>
          <w:szCs w:val="24"/>
          <w:highlight w:val="none"/>
          <w:shd w:val="clear" w:color="auto" w:fill="auto"/>
        </w:rPr>
      </w:pPr>
    </w:p>
    <w:p w14:paraId="78AFBDCB">
      <w:pPr>
        <w:spacing w:line="360" w:lineRule="auto"/>
        <w:ind w:firstLine="480"/>
        <w:rPr>
          <w:rFonts w:ascii="Times New Roman" w:hAnsi="Times New Roman" w:cs="等线 Light"/>
          <w:snapToGrid w:val="0"/>
          <w:color w:val="auto"/>
          <w:kern w:val="0"/>
          <w:szCs w:val="24"/>
          <w:highlight w:val="none"/>
          <w:shd w:val="clear" w:color="auto" w:fill="auto"/>
        </w:rPr>
      </w:pPr>
    </w:p>
    <w:p w14:paraId="3D66C38E">
      <w:pPr>
        <w:ind w:firstLine="480"/>
        <w:rPr>
          <w:rFonts w:ascii="Times New Roman" w:hAnsi="Times New Roman"/>
          <w:b/>
          <w:bCs/>
          <w:color w:val="auto"/>
          <w:highlight w:val="none"/>
          <w:shd w:val="clear" w:color="auto" w:fill="auto"/>
        </w:rPr>
      </w:pPr>
      <w:r>
        <w:rPr>
          <w:rFonts w:hint="eastAsia" w:ascii="Times New Roman" w:hAnsi="Times New Roman"/>
          <w:color w:val="auto"/>
          <w:kern w:val="0"/>
          <w:highlight w:val="none"/>
          <w:shd w:val="clear" w:color="auto" w:fill="auto"/>
        </w:rPr>
        <w:br w:type="page"/>
      </w:r>
    </w:p>
    <w:p w14:paraId="5D2D4F89">
      <w:pPr>
        <w:pStyle w:val="31"/>
        <w:rPr>
          <w:rFonts w:ascii="Times New Roman" w:hAnsi="Times New Roman"/>
          <w:color w:val="auto"/>
          <w:highlight w:val="none"/>
          <w:shd w:val="clear" w:color="auto" w:fill="auto"/>
        </w:rPr>
      </w:pPr>
      <w:bookmarkStart w:id="460" w:name="_Toc31139"/>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bookmarkEnd w:id="460"/>
    </w:p>
    <w:p w14:paraId="02770210">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1.</w:t>
      </w:r>
      <w:r>
        <w:rPr>
          <w:rFonts w:hint="eastAsia" w:ascii="Times New Roman" w:hAnsi="Times New Roman"/>
          <w:color w:val="auto"/>
          <w:highlight w:val="none"/>
          <w:shd w:val="clear" w:color="auto" w:fill="auto"/>
        </w:rPr>
        <w:t>法人中国执行信息公开网截图</w:t>
      </w:r>
    </w:p>
    <w:p w14:paraId="4973492B">
      <w:pPr>
        <w:rPr>
          <w:rFonts w:hint="default"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2.</w:t>
      </w:r>
      <w:r>
        <w:rPr>
          <w:rFonts w:hint="eastAsia" w:ascii="Times New Roman" w:hAnsi="Times New Roman"/>
          <w:color w:val="auto"/>
          <w:highlight w:val="none"/>
          <w:shd w:val="clear" w:color="auto" w:fill="auto"/>
        </w:rPr>
        <w:t>法定代表人中国执行信息公开网截图</w:t>
      </w:r>
    </w:p>
    <w:p w14:paraId="234D29B5">
      <w:pPr>
        <w:ind w:firstLine="480"/>
        <w:rPr>
          <w:rFonts w:ascii="Times New Roman" w:hAnsi="Times New Roman"/>
          <w:color w:val="auto"/>
          <w:highlight w:val="none"/>
          <w:shd w:val="clear" w:color="auto" w:fill="auto"/>
        </w:rPr>
      </w:pPr>
    </w:p>
    <w:p w14:paraId="451DB57E">
      <w:pPr>
        <w:ind w:firstLine="480"/>
        <w:rPr>
          <w:rFonts w:ascii="Times New Roman" w:hAnsi="Times New Roman"/>
          <w:color w:val="auto"/>
          <w:highlight w:val="none"/>
          <w:shd w:val="clear" w:color="auto" w:fill="auto"/>
        </w:rPr>
      </w:pPr>
    </w:p>
    <w:p w14:paraId="3FCE3E75">
      <w:pPr>
        <w:ind w:firstLine="480"/>
        <w:rPr>
          <w:rFonts w:ascii="Times New Roman" w:hAnsi="Times New Roman"/>
          <w:color w:val="auto"/>
          <w:highlight w:val="none"/>
          <w:shd w:val="clear" w:color="auto" w:fill="auto"/>
        </w:rPr>
      </w:pPr>
    </w:p>
    <w:p w14:paraId="752FFE4B">
      <w:pPr>
        <w:ind w:firstLine="480"/>
        <w:rPr>
          <w:rFonts w:ascii="Times New Roman" w:hAnsi="Times New Roman"/>
          <w:color w:val="auto"/>
          <w:highlight w:val="none"/>
          <w:shd w:val="clear" w:color="auto" w:fill="auto"/>
        </w:rPr>
      </w:pPr>
    </w:p>
    <w:p w14:paraId="4D2A1FCF">
      <w:pPr>
        <w:ind w:firstLine="480"/>
        <w:rPr>
          <w:rFonts w:ascii="Times New Roman" w:hAnsi="Times New Roman"/>
          <w:color w:val="auto"/>
          <w:highlight w:val="none"/>
          <w:shd w:val="clear" w:color="auto" w:fill="auto"/>
        </w:rPr>
      </w:pPr>
    </w:p>
    <w:p w14:paraId="0699D97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1644DC5C">
      <w:pPr>
        <w:pStyle w:val="31"/>
        <w:rPr>
          <w:rFonts w:ascii="Times New Roman" w:hAnsi="Times New Roman"/>
          <w:color w:val="auto"/>
          <w:highlight w:val="none"/>
          <w:shd w:val="clear" w:color="auto" w:fill="auto"/>
        </w:rPr>
      </w:pPr>
      <w:bookmarkStart w:id="461" w:name="_Toc17887"/>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bookmarkEnd w:id="461"/>
    </w:p>
    <w:p w14:paraId="5F01208F">
      <w:pPr>
        <w:ind w:firstLine="480"/>
        <w:rPr>
          <w:rFonts w:ascii="Times New Roman" w:hAnsi="Times New Roman"/>
          <w:color w:val="auto"/>
          <w:highlight w:val="none"/>
          <w:shd w:val="clear" w:color="auto" w:fill="auto"/>
          <w:lang w:val="zh-CN"/>
        </w:rPr>
      </w:pPr>
    </w:p>
    <w:p w14:paraId="3EA1FF47">
      <w:pPr>
        <w:ind w:firstLine="480"/>
        <w:rPr>
          <w:rFonts w:ascii="Times New Roman" w:hAnsi="Times New Roman"/>
          <w:color w:val="auto"/>
          <w:highlight w:val="none"/>
          <w:shd w:val="clear" w:color="auto" w:fill="auto"/>
          <w:lang w:val="zh-CN"/>
        </w:rPr>
      </w:pPr>
    </w:p>
    <w:p w14:paraId="6FB0FEBC">
      <w:pPr>
        <w:ind w:firstLine="480"/>
        <w:rPr>
          <w:rFonts w:ascii="Times New Roman" w:hAnsi="Times New Roman"/>
          <w:color w:val="auto"/>
          <w:highlight w:val="none"/>
          <w:shd w:val="clear" w:color="auto" w:fill="auto"/>
          <w:lang w:val="zh-CN"/>
        </w:rPr>
        <w:sectPr>
          <w:pgSz w:w="11906" w:h="16838"/>
          <w:pgMar w:top="1440" w:right="1800" w:bottom="1440" w:left="1800" w:header="851" w:footer="992" w:gutter="0"/>
          <w:pgNumType w:fmt="decimal"/>
          <w:cols w:space="720" w:num="1"/>
          <w:docGrid w:type="lines" w:linePitch="312" w:charSpace="0"/>
        </w:sectPr>
      </w:pPr>
    </w:p>
    <w:p w14:paraId="0B4EB72A">
      <w:pPr>
        <w:pStyle w:val="29"/>
        <w:rPr>
          <w:rFonts w:ascii="Times New Roman" w:hAnsi="Times New Roman"/>
          <w:color w:val="auto"/>
          <w:highlight w:val="none"/>
          <w:shd w:val="clear" w:color="auto" w:fill="auto"/>
        </w:rPr>
      </w:pPr>
      <w:bookmarkStart w:id="462" w:name="_Toc24342"/>
      <w:r>
        <w:rPr>
          <w:rFonts w:ascii="Times New Roman" w:hAnsi="Times New Roman"/>
          <w:color w:val="auto"/>
          <w:highlight w:val="none"/>
          <w:shd w:val="clear" w:color="auto" w:fill="auto"/>
        </w:rPr>
        <w:t>四、响应</w:t>
      </w:r>
      <w:r>
        <w:rPr>
          <w:rFonts w:hint="eastAsia" w:ascii="Times New Roman" w:hAnsi="Times New Roman"/>
          <w:color w:val="auto"/>
          <w:highlight w:val="none"/>
          <w:shd w:val="clear" w:color="auto" w:fill="auto"/>
        </w:rPr>
        <w:t>性文件</w:t>
      </w:r>
      <w:bookmarkEnd w:id="462"/>
    </w:p>
    <w:p w14:paraId="4A5D0CAC">
      <w:pPr>
        <w:pStyle w:val="31"/>
        <w:rPr>
          <w:rFonts w:ascii="Times New Roman" w:hAnsi="Times New Roman" w:cs="Times New Roman"/>
          <w:color w:val="auto"/>
          <w:highlight w:val="none"/>
          <w:shd w:val="clear" w:color="auto" w:fill="auto"/>
        </w:rPr>
      </w:pPr>
      <w:bookmarkStart w:id="463" w:name="_Toc32355"/>
      <w:bookmarkStart w:id="464" w:name="_Toc5108"/>
      <w:bookmarkStart w:id="465" w:name="_Toc23408"/>
      <w:r>
        <w:rPr>
          <w:rFonts w:ascii="Times New Roman" w:hAnsi="Times New Roman" w:cs="Times New Roman"/>
          <w:color w:val="auto"/>
          <w:highlight w:val="none"/>
          <w:shd w:val="clear" w:color="auto" w:fill="auto"/>
        </w:rPr>
        <w:t>（一）响应承诺函</w:t>
      </w:r>
      <w:bookmarkEnd w:id="463"/>
      <w:bookmarkEnd w:id="464"/>
      <w:bookmarkEnd w:id="465"/>
    </w:p>
    <w:p w14:paraId="372F1921">
      <w:pPr>
        <w:ind w:firstLine="480"/>
        <w:rPr>
          <w:color w:val="auto"/>
          <w:highlight w:val="none"/>
          <w:shd w:val="clear" w:color="auto" w:fill="auto"/>
        </w:rPr>
      </w:pPr>
      <w:r>
        <w:rPr>
          <w:rFonts w:hint="eastAsia" w:ascii="宋体"/>
          <w:color w:val="auto"/>
          <w:szCs w:val="28"/>
          <w:highlight w:val="none"/>
          <w:shd w:val="clear" w:color="auto" w:fill="auto"/>
        </w:rPr>
        <w:t>项目名称</w:t>
      </w:r>
      <w:r>
        <w:rPr>
          <w:rFonts w:hint="eastAsia" w:ascii="宋体"/>
          <w:color w:val="auto"/>
          <w:highlight w:val="none"/>
          <w:shd w:val="clear" w:color="auto" w:fill="auto"/>
        </w:rPr>
        <w:t>：</w:t>
      </w:r>
    </w:p>
    <w:p w14:paraId="2801149D">
      <w:pPr>
        <w:ind w:firstLine="480"/>
        <w:rPr>
          <w:color w:val="auto"/>
          <w:highlight w:val="none"/>
          <w:shd w:val="clear" w:color="auto" w:fill="auto"/>
        </w:rPr>
      </w:pPr>
    </w:p>
    <w:p w14:paraId="7B266958">
      <w:pPr>
        <w:spacing w:line="480" w:lineRule="exact"/>
        <w:ind w:firstLine="0" w:firstLineChars="0"/>
        <w:rPr>
          <w:color w:val="auto"/>
          <w:highlight w:val="none"/>
          <w:shd w:val="clear" w:color="auto" w:fill="auto"/>
        </w:rPr>
      </w:pPr>
      <w:r>
        <w:rPr>
          <w:rFonts w:hint="eastAsia"/>
          <w:color w:val="auto"/>
          <w:highlight w:val="none"/>
          <w:shd w:val="clear" w:color="auto" w:fill="auto"/>
        </w:rPr>
        <w:t>致：重庆三峡银行股份有限公司：</w:t>
      </w:r>
    </w:p>
    <w:p w14:paraId="18D36D0D">
      <w:pPr>
        <w:ind w:firstLine="480"/>
        <w:rPr>
          <w:color w:val="auto"/>
          <w:highlight w:val="none"/>
          <w:shd w:val="clear" w:color="auto" w:fill="auto"/>
        </w:rPr>
      </w:pPr>
    </w:p>
    <w:p w14:paraId="54570691">
      <w:pPr>
        <w:ind w:firstLine="480"/>
        <w:rPr>
          <w:color w:val="auto"/>
          <w:highlight w:val="none"/>
          <w:shd w:val="clear" w:color="auto" w:fill="auto"/>
        </w:rPr>
      </w:pPr>
      <w:r>
        <w:rPr>
          <w:rFonts w:hint="eastAsia"/>
          <w:color w:val="auto"/>
          <w:highlight w:val="none"/>
          <w:shd w:val="clear" w:color="auto" w:fill="auto"/>
        </w:rPr>
        <w:t>我公司郑重承诺，完全满足第三章“项目要求”所有内容。</w:t>
      </w:r>
    </w:p>
    <w:p w14:paraId="7102A905">
      <w:pPr>
        <w:ind w:firstLine="480"/>
        <w:rPr>
          <w:rFonts w:ascii="Times New Roman" w:hAnsi="Times New Roman" w:cs="Times New Roman"/>
          <w:color w:val="auto"/>
          <w:highlight w:val="none"/>
          <w:shd w:val="clear" w:color="auto" w:fill="auto"/>
        </w:rPr>
      </w:pPr>
      <w:r>
        <w:rPr>
          <w:rFonts w:hint="eastAsia"/>
          <w:color w:val="auto"/>
          <w:highlight w:val="none"/>
          <w:shd w:val="clear" w:color="auto" w:fill="auto"/>
        </w:rPr>
        <w:t>我公司中选后，</w:t>
      </w:r>
      <w:r>
        <w:rPr>
          <w:rFonts w:ascii="Times New Roman" w:hAnsi="Times New Roman" w:cs="Times New Roman"/>
          <w:color w:val="auto"/>
          <w:highlight w:val="none"/>
          <w:shd w:val="clear" w:color="auto" w:fill="auto"/>
        </w:rPr>
        <w:t>未征得比选人书面同意的情况下不得更换项目成员</w:t>
      </w:r>
      <w:r>
        <w:rPr>
          <w:rFonts w:hint="eastAsia" w:ascii="Times New Roman" w:hAnsi="Times New Roman" w:cs="Times New Roman"/>
          <w:color w:val="auto"/>
          <w:highlight w:val="none"/>
          <w:shd w:val="clear" w:color="auto" w:fill="auto"/>
        </w:rPr>
        <w:t>。</w:t>
      </w:r>
    </w:p>
    <w:p w14:paraId="33981FCC">
      <w:pPr>
        <w:ind w:firstLine="480"/>
        <w:rPr>
          <w:color w:val="auto"/>
          <w:highlight w:val="none"/>
          <w:shd w:val="clear" w:color="auto" w:fill="auto"/>
        </w:rPr>
      </w:pPr>
      <w:r>
        <w:rPr>
          <w:rFonts w:hint="eastAsia"/>
          <w:color w:val="auto"/>
          <w:highlight w:val="none"/>
          <w:shd w:val="clear" w:color="auto" w:fill="auto"/>
        </w:rPr>
        <w:t>我公司中选后，将根据</w:t>
      </w:r>
      <w:r>
        <w:rPr>
          <w:color w:val="auto"/>
          <w:highlight w:val="none"/>
          <w:shd w:val="clear" w:color="auto" w:fill="auto"/>
        </w:rPr>
        <w:t>比选人要求</w:t>
      </w:r>
      <w:r>
        <w:rPr>
          <w:rFonts w:hint="eastAsia" w:ascii="Times New Roman" w:hAnsi="Times New Roman" w:cs="Times New Roman"/>
          <w:color w:val="auto"/>
          <w:highlight w:val="none"/>
          <w:shd w:val="clear" w:color="auto" w:fill="auto"/>
        </w:rPr>
        <w:t>提供</w:t>
      </w:r>
      <w:r>
        <w:rPr>
          <w:rFonts w:hint="eastAsia" w:ascii="Times New Roman" w:hAnsi="Times New Roman"/>
          <w:color w:val="auto"/>
          <w:highlight w:val="none"/>
          <w:shd w:val="clear" w:color="auto" w:fill="auto"/>
        </w:rPr>
        <w:t>维保期服务方案</w:t>
      </w:r>
      <w:r>
        <w:rPr>
          <w:rFonts w:hint="eastAsia" w:ascii="Times New Roman" w:hAnsi="Times New Roman" w:cs="Times New Roman"/>
          <w:color w:val="auto"/>
          <w:highlight w:val="none"/>
          <w:shd w:val="clear" w:color="auto" w:fill="auto"/>
        </w:rPr>
        <w:t>进行售后服务和培训。</w:t>
      </w:r>
    </w:p>
    <w:p w14:paraId="39229716">
      <w:pPr>
        <w:ind w:firstLine="480"/>
        <w:rPr>
          <w:color w:val="auto"/>
          <w:highlight w:val="none"/>
          <w:shd w:val="clear" w:color="auto" w:fill="auto"/>
        </w:rPr>
      </w:pPr>
    </w:p>
    <w:p w14:paraId="40B9B2B6">
      <w:pPr>
        <w:spacing w:line="480" w:lineRule="exact"/>
        <w:ind w:firstLine="0" w:firstLineChars="0"/>
        <w:rPr>
          <w:color w:val="auto"/>
          <w:highlight w:val="none"/>
          <w:shd w:val="clear" w:color="auto" w:fill="auto"/>
        </w:rPr>
      </w:pPr>
      <w:r>
        <w:rPr>
          <w:rFonts w:hint="eastAsia"/>
          <w:color w:val="auto"/>
          <w:highlight w:val="none"/>
          <w:shd w:val="clear" w:color="auto" w:fill="auto"/>
        </w:rPr>
        <w:t>特此承诺。</w:t>
      </w:r>
    </w:p>
    <w:p w14:paraId="21741D5A">
      <w:pPr>
        <w:tabs>
          <w:tab w:val="left" w:pos="6300"/>
          <w:tab w:val="clear" w:pos="-111"/>
        </w:tabs>
        <w:snapToGrid w:val="0"/>
        <w:spacing w:line="480" w:lineRule="exact"/>
        <w:ind w:firstLine="480"/>
        <w:rPr>
          <w:rFonts w:ascii="宋体"/>
          <w:color w:val="auto"/>
          <w:highlight w:val="none"/>
          <w:shd w:val="clear" w:color="auto" w:fill="auto"/>
        </w:rPr>
      </w:pPr>
    </w:p>
    <w:p w14:paraId="328EFD59">
      <w:pPr>
        <w:tabs>
          <w:tab w:val="left" w:pos="6300"/>
        </w:tabs>
        <w:snapToGrid w:val="0"/>
        <w:spacing w:line="480" w:lineRule="exact"/>
        <w:ind w:firstLine="480"/>
        <w:rPr>
          <w:rFonts w:ascii="宋体"/>
          <w:color w:val="auto"/>
          <w:highlight w:val="none"/>
          <w:shd w:val="clear" w:color="auto" w:fill="auto"/>
        </w:rPr>
      </w:pPr>
    </w:p>
    <w:p w14:paraId="69B426CF">
      <w:pPr>
        <w:tabs>
          <w:tab w:val="left" w:pos="6300"/>
        </w:tabs>
        <w:snapToGrid w:val="0"/>
        <w:spacing w:line="480" w:lineRule="exact"/>
        <w:ind w:right="424" w:firstLine="480"/>
        <w:jc w:val="right"/>
        <w:rPr>
          <w:rFonts w:ascii="宋体"/>
          <w:color w:val="auto"/>
          <w:highlight w:val="none"/>
          <w:shd w:val="clear" w:color="auto" w:fill="auto"/>
        </w:rPr>
      </w:pPr>
      <w:r>
        <w:rPr>
          <w:rFonts w:hint="eastAsia" w:ascii="宋体"/>
          <w:color w:val="auto"/>
          <w:highlight w:val="none"/>
          <w:shd w:val="clear" w:color="auto" w:fill="auto"/>
        </w:rPr>
        <w:t>（</w:t>
      </w:r>
      <w:r>
        <w:rPr>
          <w:rFonts w:hint="eastAsia" w:ascii="宋体" w:cs="等线 Light"/>
          <w:snapToGrid w:val="0"/>
          <w:color w:val="auto"/>
          <w:kern w:val="0"/>
          <w:szCs w:val="24"/>
          <w:highlight w:val="none"/>
          <w:shd w:val="clear" w:color="auto" w:fill="auto"/>
        </w:rPr>
        <w:t>参选</w:t>
      </w:r>
      <w:r>
        <w:rPr>
          <w:rFonts w:hint="eastAsia" w:ascii="宋体"/>
          <w:color w:val="auto"/>
          <w:highlight w:val="none"/>
          <w:shd w:val="clear" w:color="auto" w:fill="auto"/>
        </w:rPr>
        <w:t>人公章）</w:t>
      </w:r>
    </w:p>
    <w:p w14:paraId="5CBA1B93">
      <w:pPr>
        <w:tabs>
          <w:tab w:val="left" w:pos="6300"/>
        </w:tabs>
        <w:snapToGrid w:val="0"/>
        <w:spacing w:line="480" w:lineRule="exact"/>
        <w:ind w:right="480" w:firstLine="480"/>
        <w:jc w:val="right"/>
        <w:rPr>
          <w:rFonts w:ascii="宋体"/>
          <w:color w:val="auto"/>
          <w:highlight w:val="none"/>
          <w:shd w:val="clear" w:color="auto" w:fill="auto"/>
        </w:rPr>
      </w:pPr>
      <w:r>
        <w:rPr>
          <w:rFonts w:hint="eastAsia" w:ascii="宋体"/>
          <w:color w:val="auto"/>
          <w:highlight w:val="none"/>
          <w:shd w:val="clear" w:color="auto" w:fill="auto"/>
        </w:rPr>
        <w:t>年   月   日</w:t>
      </w:r>
    </w:p>
    <w:p w14:paraId="6F7397D8">
      <w:pPr>
        <w:spacing w:line="240" w:lineRule="auto"/>
        <w:ind w:firstLine="480"/>
        <w:rPr>
          <w:rFonts w:ascii="宋体"/>
          <w:color w:val="auto"/>
          <w:highlight w:val="none"/>
          <w:shd w:val="clear" w:color="auto" w:fill="auto"/>
        </w:rPr>
      </w:pPr>
      <w:r>
        <w:rPr>
          <w:rFonts w:hint="eastAsia" w:ascii="宋体"/>
          <w:color w:val="auto"/>
          <w:highlight w:val="none"/>
          <w:shd w:val="clear" w:color="auto" w:fill="auto"/>
        </w:rPr>
        <w:br w:type="page"/>
      </w:r>
    </w:p>
    <w:p w14:paraId="7BC5B2D8">
      <w:pPr>
        <w:ind w:firstLine="0" w:firstLineChars="0"/>
        <w:jc w:val="center"/>
        <w:outlineLvl w:val="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（二）近半年公司为项目组成员缴纳社保的证明材料</w:t>
      </w:r>
    </w:p>
    <w:p w14:paraId="04D31DC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7D6B632C">
      <w:pPr>
        <w:ind w:firstLine="0" w:firstLineChars="0"/>
        <w:jc w:val="center"/>
        <w:outlineLvl w:val="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（三）项目组成员简历信息</w:t>
      </w:r>
    </w:p>
    <w:p w14:paraId="484D4BD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6B2917F4">
      <w:pPr>
        <w:ind w:firstLine="0" w:firstLineChars="0"/>
        <w:jc w:val="center"/>
        <w:outlineLvl w:val="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（四）维保期服务方案</w:t>
      </w:r>
    </w:p>
    <w:p w14:paraId="43EC560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18FABBCA">
      <w:pPr>
        <w:numPr>
          <w:ilvl w:val="0"/>
          <w:numId w:val="14"/>
        </w:numPr>
        <w:ind w:firstLine="0" w:firstLineChars="0"/>
        <w:jc w:val="center"/>
        <w:outlineLvl w:val="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服务连续性预案</w:t>
      </w:r>
    </w:p>
    <w:p w14:paraId="11475103">
      <w:pPr>
        <w:numPr>
          <w:ilvl w:val="255"/>
          <w:numId w:val="0"/>
        </w:numPr>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（应考虑供应链风险产生的影响）</w:t>
      </w:r>
    </w:p>
    <w:p w14:paraId="4B7F8E1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783F7F33">
      <w:pPr>
        <w:ind w:firstLine="0" w:firstLineChars="0"/>
        <w:jc w:val="center"/>
        <w:outlineLvl w:val="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（六）项目实施方案</w:t>
      </w:r>
    </w:p>
    <w:p w14:paraId="6DC7373D">
      <w:pPr>
        <w:ind w:firstLine="0" w:firstLineChars="0"/>
        <w:jc w:val="center"/>
        <w:rPr>
          <w:rFonts w:ascii="Times New Roman" w:hAnsi="Times New Roman"/>
          <w:color w:val="auto"/>
          <w:highlight w:val="none"/>
          <w:shd w:val="clear" w:color="auto" w:fill="auto"/>
        </w:rPr>
      </w:pPr>
      <w:r>
        <w:rPr>
          <w:rFonts w:hint="eastAsia" w:ascii="Times New Roman" w:hAnsi="Times New Roman"/>
          <w:snapToGrid w:val="0"/>
          <w:color w:val="auto"/>
          <w:kern w:val="0"/>
          <w:szCs w:val="24"/>
          <w:highlight w:val="none"/>
          <w:shd w:val="clear" w:color="auto" w:fill="auto"/>
        </w:rPr>
        <w:t>（实施方案包括履行合同的时间计划、提交资料、人员安排等）</w:t>
      </w:r>
    </w:p>
    <w:p w14:paraId="6AB0BCD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288039DE">
      <w:pPr>
        <w:ind w:firstLine="0" w:firstLineChars="0"/>
        <w:jc w:val="center"/>
        <w:outlineLvl w:val="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（七）参选保证金</w:t>
      </w:r>
    </w:p>
    <w:p w14:paraId="70F0E243">
      <w:pPr>
        <w:spacing w:line="360" w:lineRule="auto"/>
        <w:ind w:firstLine="480"/>
        <w:rPr>
          <w:rFonts w:ascii="Times New Roman" w:hAnsi="Times New Roman" w:cs="等线 Light"/>
          <w:color w:val="auto"/>
          <w:highlight w:val="none"/>
          <w:shd w:val="clear" w:color="auto" w:fill="auto"/>
        </w:rPr>
      </w:pPr>
    </w:p>
    <w:p w14:paraId="68A8F44F">
      <w:pPr>
        <w:spacing w:line="360" w:lineRule="auto"/>
        <w:ind w:firstLine="480"/>
        <w:rPr>
          <w:rFonts w:ascii="Times New Roman" w:hAnsi="Times New Roman" w:cs="等线 Light"/>
          <w:color w:val="auto"/>
          <w:highlight w:val="none"/>
          <w:shd w:val="clear" w:color="auto" w:fill="auto"/>
        </w:rPr>
      </w:pPr>
    </w:p>
    <w:p w14:paraId="60E86EAE">
      <w:pPr>
        <w:spacing w:line="360" w:lineRule="auto"/>
        <w:ind w:firstLine="480"/>
        <w:rPr>
          <w:rFonts w:ascii="Times New Roman" w:hAnsi="Times New Roman" w:cs="等线 Light"/>
          <w:color w:val="auto"/>
          <w:highlight w:val="none"/>
          <w:shd w:val="clear" w:color="auto" w:fill="auto"/>
        </w:rPr>
      </w:pPr>
    </w:p>
    <w:p w14:paraId="597A191A">
      <w:pPr>
        <w:spacing w:line="360" w:lineRule="auto"/>
        <w:ind w:firstLine="480"/>
        <w:rPr>
          <w:rFonts w:ascii="Times New Roman" w:hAnsi="Times New Roman" w:cs="等线 Light"/>
          <w:color w:val="auto"/>
          <w:highlight w:val="none"/>
          <w:shd w:val="clear" w:color="auto" w:fill="auto"/>
        </w:rPr>
      </w:pPr>
    </w:p>
    <w:p w14:paraId="22467ABF">
      <w:pPr>
        <w:spacing w:line="360" w:lineRule="auto"/>
        <w:ind w:firstLine="480"/>
        <w:rPr>
          <w:rFonts w:ascii="Times New Roman" w:hAnsi="Times New Roman" w:cs="等线 Light"/>
          <w:color w:val="auto"/>
          <w:highlight w:val="none"/>
          <w:shd w:val="clear" w:color="auto" w:fill="auto"/>
        </w:rPr>
      </w:pPr>
    </w:p>
    <w:p w14:paraId="0ECD872F">
      <w:pPr>
        <w:spacing w:line="360" w:lineRule="auto"/>
        <w:ind w:firstLine="480"/>
        <w:rPr>
          <w:rFonts w:ascii="Times New Roman" w:hAnsi="Times New Roman" w:cs="等线 Light"/>
          <w:color w:val="auto"/>
          <w:highlight w:val="none"/>
          <w:shd w:val="clear" w:color="auto" w:fill="auto"/>
        </w:rPr>
      </w:pPr>
    </w:p>
    <w:p w14:paraId="1AD0E3A5">
      <w:pPr>
        <w:spacing w:line="360" w:lineRule="auto"/>
        <w:ind w:firstLine="480"/>
        <w:rPr>
          <w:rFonts w:ascii="Times New Roman" w:hAnsi="Times New Roman" w:cs="等线 Light"/>
          <w:color w:val="auto"/>
          <w:highlight w:val="none"/>
          <w:shd w:val="clear" w:color="auto" w:fill="auto"/>
        </w:rPr>
      </w:pPr>
    </w:p>
    <w:p w14:paraId="07346F67">
      <w:pPr>
        <w:spacing w:line="360" w:lineRule="auto"/>
        <w:ind w:firstLine="480"/>
        <w:rPr>
          <w:rFonts w:ascii="Times New Roman" w:hAnsi="Times New Roman" w:cs="等线 Light"/>
          <w:color w:val="auto"/>
          <w:highlight w:val="none"/>
          <w:shd w:val="clear" w:color="auto" w:fill="auto"/>
        </w:rPr>
      </w:pPr>
    </w:p>
    <w:p w14:paraId="792E2991">
      <w:pPr>
        <w:spacing w:line="360" w:lineRule="auto"/>
        <w:ind w:firstLine="480"/>
        <w:rPr>
          <w:rFonts w:ascii="Times New Roman" w:hAnsi="Times New Roman" w:cs="等线 Light"/>
          <w:color w:val="auto"/>
          <w:highlight w:val="none"/>
          <w:shd w:val="clear" w:color="auto" w:fill="auto"/>
        </w:rPr>
      </w:pPr>
    </w:p>
    <w:p w14:paraId="61E1B84C">
      <w:pPr>
        <w:spacing w:line="360" w:lineRule="auto"/>
        <w:ind w:firstLine="480"/>
        <w:rPr>
          <w:rFonts w:ascii="Times New Roman" w:hAnsi="Times New Roman" w:cs="等线 Light"/>
          <w:color w:val="auto"/>
          <w:highlight w:val="none"/>
          <w:shd w:val="clear" w:color="auto" w:fill="auto"/>
        </w:rPr>
      </w:pPr>
    </w:p>
    <w:p w14:paraId="4B3D4999">
      <w:pPr>
        <w:spacing w:line="360" w:lineRule="auto"/>
        <w:ind w:firstLine="480"/>
        <w:rPr>
          <w:rFonts w:ascii="Times New Roman" w:hAnsi="Times New Roman" w:cs="等线 Light"/>
          <w:color w:val="auto"/>
          <w:highlight w:val="none"/>
          <w:shd w:val="clear" w:color="auto" w:fill="auto"/>
        </w:rPr>
      </w:pPr>
    </w:p>
    <w:p w14:paraId="7A812F30">
      <w:pPr>
        <w:spacing w:line="360" w:lineRule="auto"/>
        <w:ind w:firstLine="480"/>
        <w:rPr>
          <w:rFonts w:ascii="Times New Roman" w:hAnsi="Times New Roman" w:cs="等线 Light"/>
          <w:color w:val="auto"/>
          <w:highlight w:val="none"/>
          <w:shd w:val="clear" w:color="auto" w:fill="auto"/>
        </w:rPr>
      </w:pPr>
    </w:p>
    <w:p w14:paraId="3BFF337E">
      <w:pPr>
        <w:spacing w:line="360" w:lineRule="auto"/>
        <w:ind w:firstLine="480"/>
        <w:rPr>
          <w:rFonts w:ascii="Times New Roman" w:hAnsi="Times New Roman" w:cs="等线 Light"/>
          <w:color w:val="auto"/>
          <w:highlight w:val="none"/>
          <w:shd w:val="clear" w:color="auto" w:fill="auto"/>
        </w:rPr>
      </w:pPr>
    </w:p>
    <w:p w14:paraId="24C1C2D4">
      <w:pPr>
        <w:spacing w:line="360" w:lineRule="auto"/>
        <w:ind w:firstLine="480"/>
        <w:rPr>
          <w:rFonts w:ascii="Times New Roman" w:hAnsi="Times New Roman" w:cs="等线 Light"/>
          <w:color w:val="auto"/>
          <w:highlight w:val="none"/>
          <w:shd w:val="clear" w:color="auto" w:fill="auto"/>
        </w:rPr>
      </w:pPr>
    </w:p>
    <w:p w14:paraId="565E04F0">
      <w:pPr>
        <w:spacing w:line="360" w:lineRule="auto"/>
        <w:ind w:firstLine="480"/>
        <w:rPr>
          <w:rFonts w:ascii="Times New Roman" w:hAnsi="Times New Roman" w:cs="等线 Light"/>
          <w:color w:val="auto"/>
          <w:highlight w:val="none"/>
          <w:shd w:val="clear" w:color="auto" w:fill="auto"/>
        </w:rPr>
      </w:pPr>
    </w:p>
    <w:p w14:paraId="5C75C66D">
      <w:pPr>
        <w:spacing w:line="360" w:lineRule="auto"/>
        <w:ind w:firstLine="480"/>
        <w:rPr>
          <w:rFonts w:ascii="Times New Roman" w:hAnsi="Times New Roman" w:cs="等线 Light"/>
          <w:color w:val="auto"/>
          <w:highlight w:val="none"/>
          <w:shd w:val="clear" w:color="auto" w:fill="auto"/>
        </w:rPr>
      </w:pPr>
    </w:p>
    <w:p w14:paraId="7DF7083F">
      <w:pPr>
        <w:spacing w:line="360" w:lineRule="auto"/>
        <w:ind w:firstLine="480"/>
        <w:rPr>
          <w:rFonts w:ascii="Times New Roman" w:hAnsi="Times New Roman" w:cs="等线 Light"/>
          <w:color w:val="auto"/>
          <w:highlight w:val="none"/>
          <w:shd w:val="clear" w:color="auto" w:fill="auto"/>
        </w:rPr>
      </w:pPr>
    </w:p>
    <w:p w14:paraId="59731F6B">
      <w:pPr>
        <w:spacing w:line="360" w:lineRule="auto"/>
        <w:ind w:firstLine="480"/>
        <w:rPr>
          <w:rFonts w:ascii="Times New Roman" w:hAnsi="Times New Roman" w:cs="等线 Light"/>
          <w:color w:val="auto"/>
          <w:highlight w:val="none"/>
          <w:shd w:val="clear" w:color="auto" w:fill="auto"/>
        </w:rPr>
      </w:pPr>
    </w:p>
    <w:p w14:paraId="08EDD0C7">
      <w:pPr>
        <w:adjustRightInd w:val="0"/>
        <w:snapToGrid w:val="0"/>
        <w:spacing w:line="360" w:lineRule="auto"/>
        <w:ind w:firstLine="480"/>
        <w:rPr>
          <w:rFonts w:ascii="Times New Roman" w:hAnsi="Times New Roman"/>
          <w:color w:val="auto"/>
          <w:kern w:val="0"/>
          <w:highlight w:val="none"/>
          <w:shd w:val="clear" w:color="auto" w:fill="auto"/>
        </w:rPr>
      </w:pPr>
      <w:r>
        <w:rPr>
          <w:rFonts w:ascii="Times New Roman" w:hAnsi="Times New Roman"/>
          <w:color w:val="auto"/>
          <w:highlight w:val="none"/>
          <w:shd w:val="clear" w:color="auto" w:fill="auto"/>
        </w:rPr>
        <mc:AlternateContent>
          <mc:Choice Requires="wps">
            <w:drawing>
              <wp:anchor distT="0" distB="0" distL="113665" distR="113665" simplePos="0" relativeHeight="251661312" behindDoc="0" locked="0" layoutInCell="1" allowOverlap="1">
                <wp:simplePos x="0" y="0"/>
                <wp:positionH relativeFrom="column">
                  <wp:posOffset>-27940</wp:posOffset>
                </wp:positionH>
                <wp:positionV relativeFrom="paragraph">
                  <wp:posOffset>235585</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pt;margin-top:18.55pt;height:0pt;width:222.75pt;z-index:251661312;mso-width-relative:page;mso-height-relative:page;" filled="f" stroked="t" coordsize="21600,21600" o:gfxdata="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I4fTd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09D616C4">
      <w:pPr>
        <w:tabs>
          <w:tab w:val="left" w:pos="6300"/>
          <w:tab w:val="clear" w:pos="-111"/>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保证金交款凭据复印件</w:t>
      </w:r>
    </w:p>
    <w:p w14:paraId="3B72B48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35B55019">
      <w:pPr>
        <w:pStyle w:val="29"/>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五、服务水平协议（SLA）</w:t>
      </w:r>
    </w:p>
    <w:p w14:paraId="0A0425E9">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br w:type="page"/>
      </w:r>
    </w:p>
    <w:p w14:paraId="15512B6F">
      <w:pPr>
        <w:pStyle w:val="29"/>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六</w:t>
      </w:r>
      <w:r>
        <w:rPr>
          <w:rFonts w:ascii="Times New Roman" w:hAnsi="Times New Roman"/>
          <w:color w:val="auto"/>
          <w:highlight w:val="none"/>
          <w:shd w:val="clear" w:color="auto" w:fill="auto"/>
        </w:rPr>
        <w:t>、保险赔付协议</w:t>
      </w:r>
    </w:p>
    <w:p w14:paraId="1421AF41">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br w:type="page"/>
      </w:r>
    </w:p>
    <w:p w14:paraId="79D517DA">
      <w:pPr>
        <w:ind w:firstLine="480"/>
        <w:rPr>
          <w:color w:val="auto"/>
          <w:highlight w:val="none"/>
          <w:shd w:val="clear" w:color="auto" w:fill="auto"/>
        </w:rPr>
      </w:pPr>
    </w:p>
    <w:p w14:paraId="678BFCBE">
      <w:pPr>
        <w:pStyle w:val="29"/>
        <w:rPr>
          <w:rFonts w:ascii="Times New Roman" w:hAnsi="Times New Roman"/>
          <w:color w:val="auto"/>
          <w:highlight w:val="none"/>
          <w:shd w:val="clear" w:color="auto" w:fill="auto"/>
        </w:rPr>
      </w:pPr>
      <w:bookmarkStart w:id="466" w:name="_Toc12006"/>
      <w:r>
        <w:rPr>
          <w:rFonts w:ascii="Times New Roman" w:hAnsi="Times New Roman"/>
          <w:color w:val="auto"/>
          <w:highlight w:val="none"/>
          <w:shd w:val="clear" w:color="auto" w:fill="auto"/>
        </w:rPr>
        <w:t>七、其他（如有）</w:t>
      </w:r>
      <w:bookmarkEnd w:id="466"/>
    </w:p>
    <w:p w14:paraId="12A42CBA">
      <w:pPr>
        <w:ind w:firstLine="0" w:firstLineChars="0"/>
        <w:rPr>
          <w:rFonts w:ascii="Times New Roman" w:hAnsi="Times New Roman"/>
          <w:color w:val="auto"/>
          <w:highlight w:val="none"/>
          <w:shd w:val="clear" w:color="auto" w:fil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swiss"/>
    <w:pitch w:val="default"/>
    <w:sig w:usb0="00000003" w:usb1="00000000" w:usb2="00000000" w:usb3="00000000" w:csb0="2000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758">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0ED7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E0ED7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0CB4">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1B237">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41B237">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AB50">
    <w:pPr>
      <w:pStyle w:val="1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FCCD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8FCCD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B6F1A">
    <w:pPr>
      <w:pStyle w:val="16"/>
      <w:framePr w:wrap="around" w:vAnchor="text" w:hAnchor="margin" w:xAlign="center" w:y="1"/>
      <w:ind w:firstLine="560"/>
      <w:rPr>
        <w:rStyle w:val="24"/>
      </w:rPr>
    </w:pPr>
    <w:r>
      <w:rPr>
        <w:rStyle w:val="24"/>
      </w:rPr>
      <w:fldChar w:fldCharType="begin"/>
    </w:r>
    <w:r>
      <w:rPr>
        <w:rStyle w:val="24"/>
      </w:rPr>
      <w:instrText xml:space="preserve">PAGE  </w:instrText>
    </w:r>
    <w:r>
      <w:fldChar w:fldCharType="separate"/>
    </w:r>
    <w:r>
      <w:t xml:space="preserve"> </w:t>
    </w:r>
    <w:r>
      <w:fldChar w:fldCharType="end"/>
    </w:r>
  </w:p>
  <w:p w14:paraId="017A5DE7">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76BD">
    <w:pPr>
      <w:ind w:firstLine="48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AEA48">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86AB">
    <w:pPr>
      <w:pStyle w:val="13"/>
      <w:ind w:firstLine="360"/>
    </w:pPr>
    <w:r>
      <w:rPr>
        <w:rFonts w:hint="eastAsia" w:ascii="宋体"/>
      </w:rPr>
      <w:t>重庆三峡银行</w:t>
    </w:r>
    <w:r>
      <w:rPr>
        <w:rFonts w:ascii="宋体"/>
      </w:rPr>
      <w:t>电子验印系统项目比选文件</w:t>
    </w:r>
    <w:r>
      <w:rPr>
        <w:rFonts w:hint="eastAsia"/>
      </w:rPr>
      <w:t xml:space="preserve">                              </w:t>
    </w:r>
    <w:r>
      <w:rPr>
        <w:rFonts w:hint="eastAsia" w:ascii="宋体"/>
      </w:rPr>
      <w:t>商业秘密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E636">
    <w:pPr>
      <w:pStyle w:val="13"/>
      <w:ind w:firstLine="360"/>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31C26"/>
    <w:multiLevelType w:val="singleLevel"/>
    <w:tmpl w:val="82D31C26"/>
    <w:lvl w:ilvl="0" w:tentative="0">
      <w:start w:val="5"/>
      <w:numFmt w:val="chineseCounting"/>
      <w:suff w:val="nothing"/>
      <w:lvlText w:val="（%1）"/>
      <w:lvlJc w:val="left"/>
      <w:rPr>
        <w:rFonts w:hint="eastAsia"/>
      </w:rPr>
    </w:lvl>
  </w:abstractNum>
  <w:abstractNum w:abstractNumId="1">
    <w:nsid w:val="FFFFFFFE"/>
    <w:multiLevelType w:val="singleLevel"/>
    <w:tmpl w:val="FFFFFFFE"/>
    <w:lvl w:ilvl="0" w:tentative="0">
      <w:start w:val="0"/>
      <w:numFmt w:val="decimal"/>
      <w:lvlText w:val="*"/>
      <w:lvlJc w:val="left"/>
      <w:pPr>
        <w:tabs>
          <w:tab w:val="left" w:pos="0"/>
        </w:tabs>
        <w:ind w:left="0" w:firstLine="0"/>
      </w:pPr>
    </w:lvl>
  </w:abstractNum>
  <w:abstractNum w:abstractNumId="2">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7">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8">
    <w:nsid w:val="27C57A05"/>
    <w:multiLevelType w:val="multilevel"/>
    <w:tmpl w:val="27C57A05"/>
    <w:lvl w:ilvl="0" w:tentative="0">
      <w:start w:val="1"/>
      <w:numFmt w:val="bullet"/>
      <w:suff w:val="space"/>
      <w:lvlText w:val=""/>
      <w:lvlJc w:val="left"/>
      <w:pPr>
        <w:ind w:left="900" w:hanging="420"/>
      </w:pPr>
      <w:rPr>
        <w:rFonts w:hint="default" w:ascii="Wingdings" w:hAnsi="Wingdings"/>
      </w:rPr>
    </w:lvl>
    <w:lvl w:ilvl="1" w:tentative="0">
      <w:start w:val="1"/>
      <w:numFmt w:val="bullet"/>
      <w:lvlRestart w:val="0"/>
      <w:lvlText w:val=""/>
      <w:lvlJc w:val="left"/>
      <w:pPr>
        <w:ind w:left="1320" w:hanging="420"/>
      </w:pPr>
      <w:rPr>
        <w:rFonts w:hint="default" w:ascii="Wingdings" w:hAnsi="Wingdings"/>
      </w:rPr>
    </w:lvl>
    <w:lvl w:ilvl="2" w:tentative="0">
      <w:start w:val="1"/>
      <w:numFmt w:val="bullet"/>
      <w:lvlRestart w:val="0"/>
      <w:lvlText w:val=""/>
      <w:lvlJc w:val="left"/>
      <w:pPr>
        <w:ind w:left="1740" w:hanging="420"/>
      </w:pPr>
      <w:rPr>
        <w:rFonts w:hint="default" w:ascii="Wingdings" w:hAnsi="Wingdings"/>
      </w:rPr>
    </w:lvl>
    <w:lvl w:ilvl="3" w:tentative="0">
      <w:start w:val="1"/>
      <w:numFmt w:val="bullet"/>
      <w:lvlRestart w:val="0"/>
      <w:lvlText w:val=""/>
      <w:lvlJc w:val="left"/>
      <w:pPr>
        <w:ind w:left="2160" w:hanging="420"/>
      </w:pPr>
      <w:rPr>
        <w:rFonts w:hint="default" w:ascii="Wingdings" w:hAnsi="Wingdings"/>
      </w:rPr>
    </w:lvl>
    <w:lvl w:ilvl="4" w:tentative="0">
      <w:start w:val="1"/>
      <w:numFmt w:val="bullet"/>
      <w:lvlRestart w:val="0"/>
      <w:lvlText w:val=""/>
      <w:lvlJc w:val="left"/>
      <w:pPr>
        <w:ind w:left="2580" w:hanging="420"/>
      </w:pPr>
      <w:rPr>
        <w:rFonts w:hint="default" w:ascii="Wingdings" w:hAnsi="Wingdings"/>
      </w:rPr>
    </w:lvl>
    <w:lvl w:ilvl="5" w:tentative="0">
      <w:start w:val="1"/>
      <w:numFmt w:val="bullet"/>
      <w:lvlRestart w:val="0"/>
      <w:lvlText w:val=""/>
      <w:lvlJc w:val="left"/>
      <w:pPr>
        <w:ind w:left="3000" w:hanging="420"/>
      </w:pPr>
      <w:rPr>
        <w:rFonts w:hint="default" w:ascii="Wingdings" w:hAnsi="Wingdings"/>
      </w:rPr>
    </w:lvl>
    <w:lvl w:ilvl="6" w:tentative="0">
      <w:start w:val="1"/>
      <w:numFmt w:val="bullet"/>
      <w:lvlRestart w:val="0"/>
      <w:lvlText w:val=""/>
      <w:lvlJc w:val="left"/>
      <w:pPr>
        <w:ind w:left="3420" w:hanging="420"/>
      </w:pPr>
      <w:rPr>
        <w:rFonts w:hint="default" w:ascii="Wingdings" w:hAnsi="Wingdings"/>
      </w:rPr>
    </w:lvl>
    <w:lvl w:ilvl="7" w:tentative="0">
      <w:start w:val="1"/>
      <w:numFmt w:val="bullet"/>
      <w:lvlRestart w:val="0"/>
      <w:lvlText w:val=""/>
      <w:lvlJc w:val="left"/>
      <w:pPr>
        <w:ind w:left="3840" w:hanging="420"/>
      </w:pPr>
      <w:rPr>
        <w:rFonts w:hint="default" w:ascii="Wingdings" w:hAnsi="Wingdings"/>
      </w:rPr>
    </w:lvl>
    <w:lvl w:ilvl="8" w:tentative="0">
      <w:start w:val="1"/>
      <w:numFmt w:val="bullet"/>
      <w:lvlRestart w:val="0"/>
      <w:lvlText w:val=""/>
      <w:lvlJc w:val="left"/>
      <w:pPr>
        <w:ind w:left="4260" w:hanging="420"/>
      </w:pPr>
      <w:rPr>
        <w:rFonts w:hint="default" w:ascii="Wingdings" w:hAnsi="Wingdings"/>
      </w:rPr>
    </w:lvl>
  </w:abstractNum>
  <w:abstractNum w:abstractNumId="9">
    <w:nsid w:val="29D51809"/>
    <w:multiLevelType w:val="multilevel"/>
    <w:tmpl w:val="29D51809"/>
    <w:lvl w:ilvl="0" w:tentative="0">
      <w:start w:val="1"/>
      <w:numFmt w:val="decimal"/>
      <w:lvlText w:val="（%1）"/>
      <w:lvlJc w:val="left"/>
      <w:pPr>
        <w:tabs>
          <w:tab w:val="left" w:pos="0"/>
        </w:tabs>
        <w:ind w:left="1200" w:hanging="720"/>
      </w:pPr>
      <w:rPr>
        <w:rFonts w:hint="default"/>
      </w:rPr>
    </w:lvl>
    <w:lvl w:ilvl="1" w:tentative="0">
      <w:start w:val="1"/>
      <w:numFmt w:val="lowerLetter"/>
      <w:lvlText w:val="%2)"/>
      <w:lvlJc w:val="left"/>
      <w:pPr>
        <w:tabs>
          <w:tab w:val="left" w:pos="0"/>
        </w:tabs>
        <w:ind w:left="1360" w:hanging="440"/>
      </w:pPr>
    </w:lvl>
    <w:lvl w:ilvl="2" w:tentative="0">
      <w:start w:val="1"/>
      <w:numFmt w:val="lowerRoman"/>
      <w:lvlText w:val="%3."/>
      <w:lvlJc w:val="right"/>
      <w:pPr>
        <w:tabs>
          <w:tab w:val="left" w:pos="0"/>
        </w:tabs>
        <w:ind w:left="1800" w:hanging="440"/>
      </w:pPr>
    </w:lvl>
    <w:lvl w:ilvl="3" w:tentative="0">
      <w:start w:val="1"/>
      <w:numFmt w:val="decimal"/>
      <w:lvlText w:val="%4."/>
      <w:lvlJc w:val="left"/>
      <w:pPr>
        <w:tabs>
          <w:tab w:val="left" w:pos="0"/>
        </w:tabs>
        <w:ind w:left="2240" w:hanging="440"/>
      </w:pPr>
    </w:lvl>
    <w:lvl w:ilvl="4" w:tentative="0">
      <w:start w:val="1"/>
      <w:numFmt w:val="lowerLetter"/>
      <w:lvlText w:val="%5)"/>
      <w:lvlJc w:val="left"/>
      <w:pPr>
        <w:tabs>
          <w:tab w:val="left" w:pos="0"/>
        </w:tabs>
        <w:ind w:left="2680" w:hanging="440"/>
      </w:pPr>
    </w:lvl>
    <w:lvl w:ilvl="5" w:tentative="0">
      <w:start w:val="1"/>
      <w:numFmt w:val="lowerRoman"/>
      <w:lvlText w:val="%6."/>
      <w:lvlJc w:val="right"/>
      <w:pPr>
        <w:tabs>
          <w:tab w:val="left" w:pos="0"/>
        </w:tabs>
        <w:ind w:left="3120" w:hanging="440"/>
      </w:pPr>
    </w:lvl>
    <w:lvl w:ilvl="6" w:tentative="0">
      <w:start w:val="1"/>
      <w:numFmt w:val="decimal"/>
      <w:lvlText w:val="%7."/>
      <w:lvlJc w:val="left"/>
      <w:pPr>
        <w:tabs>
          <w:tab w:val="left" w:pos="0"/>
        </w:tabs>
        <w:ind w:left="3560" w:hanging="440"/>
      </w:pPr>
    </w:lvl>
    <w:lvl w:ilvl="7" w:tentative="0">
      <w:start w:val="1"/>
      <w:numFmt w:val="lowerLetter"/>
      <w:lvlText w:val="%8)"/>
      <w:lvlJc w:val="left"/>
      <w:pPr>
        <w:tabs>
          <w:tab w:val="left" w:pos="0"/>
        </w:tabs>
        <w:ind w:left="4000" w:hanging="440"/>
      </w:pPr>
    </w:lvl>
    <w:lvl w:ilvl="8" w:tentative="0">
      <w:start w:val="1"/>
      <w:numFmt w:val="lowerRoman"/>
      <w:lvlText w:val="%9."/>
      <w:lvlJc w:val="right"/>
      <w:pPr>
        <w:tabs>
          <w:tab w:val="left" w:pos="0"/>
        </w:tabs>
        <w:ind w:left="4440" w:hanging="440"/>
      </w:pPr>
    </w:lvl>
  </w:abstractNum>
  <w:abstractNum w:abstractNumId="10">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1">
    <w:nsid w:val="503D223B"/>
    <w:multiLevelType w:val="multilevel"/>
    <w:tmpl w:val="503D223B"/>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0EED0AF"/>
    <w:multiLevelType w:val="multilevel"/>
    <w:tmpl w:val="60EED0AF"/>
    <w:lvl w:ilvl="0" w:tentative="0">
      <w:start w:val="1"/>
      <w:numFmt w:val="upperLetter"/>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5"/>
  </w:num>
  <w:num w:numId="2">
    <w:abstractNumId w:val="8"/>
  </w:num>
  <w:num w:numId="3">
    <w:abstractNumId w:val="11"/>
  </w:num>
  <w:num w:numId="4">
    <w:abstractNumId w:val="9"/>
  </w:num>
  <w:num w:numId="5">
    <w:abstractNumId w:val="6"/>
  </w:num>
  <w:num w:numId="6">
    <w:abstractNumId w:val="3"/>
  </w:num>
  <w:num w:numId="7">
    <w:abstractNumId w:val="12"/>
  </w:num>
  <w:num w:numId="8">
    <w:abstractNumId w:val="2"/>
  </w:num>
  <w:num w:numId="9">
    <w:abstractNumId w:val="4"/>
  </w:num>
  <w:num w:numId="10">
    <w:abstractNumId w:val="10"/>
  </w:num>
  <w:num w:numId="11">
    <w:abstractNumId w:val="7"/>
  </w:num>
  <w:num w:numId="12">
    <w:abstractNumId w:val="1"/>
    <w:lvlOverride w:ilvl="0">
      <w:startOverride w:val="1"/>
      <w:lvl w:ilvl="0" w:tentative="1">
        <w:start w:val="1"/>
        <w:numFmt w:val="chineseCountingThousand"/>
        <w:suff w:val="space"/>
        <w:lvlText w:val="(%1)"/>
        <w:lvlJc w:val="left"/>
        <w:pPr>
          <w:tabs>
            <w:tab w:val="left" w:pos="0"/>
          </w:tabs>
          <w:ind w:left="900" w:hanging="420"/>
        </w:pPr>
        <w:rPr>
          <w:color w:val="000000"/>
        </w:rPr>
      </w:lvl>
    </w:lvlOverride>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2A58AC"/>
    <w:rsid w:val="000364DA"/>
    <w:rsid w:val="0007704A"/>
    <w:rsid w:val="0011164D"/>
    <w:rsid w:val="001A0A30"/>
    <w:rsid w:val="00285208"/>
    <w:rsid w:val="00287C76"/>
    <w:rsid w:val="002A58AC"/>
    <w:rsid w:val="002B167A"/>
    <w:rsid w:val="002C1FB6"/>
    <w:rsid w:val="00312838"/>
    <w:rsid w:val="00322E5E"/>
    <w:rsid w:val="00350000"/>
    <w:rsid w:val="003C4A4D"/>
    <w:rsid w:val="003D28E9"/>
    <w:rsid w:val="003F732A"/>
    <w:rsid w:val="004954BE"/>
    <w:rsid w:val="004A72CC"/>
    <w:rsid w:val="005D6BFB"/>
    <w:rsid w:val="00633F1B"/>
    <w:rsid w:val="00757ED0"/>
    <w:rsid w:val="008274B8"/>
    <w:rsid w:val="00853DDC"/>
    <w:rsid w:val="00937225"/>
    <w:rsid w:val="00976D9A"/>
    <w:rsid w:val="009C30CE"/>
    <w:rsid w:val="009C3529"/>
    <w:rsid w:val="00A82D51"/>
    <w:rsid w:val="00B64C09"/>
    <w:rsid w:val="00BA0E69"/>
    <w:rsid w:val="00BF42FB"/>
    <w:rsid w:val="00CE495D"/>
    <w:rsid w:val="00D3305A"/>
    <w:rsid w:val="00E316AD"/>
    <w:rsid w:val="01AB71A3"/>
    <w:rsid w:val="05127C6A"/>
    <w:rsid w:val="097924AD"/>
    <w:rsid w:val="0BA50C29"/>
    <w:rsid w:val="0FA97102"/>
    <w:rsid w:val="0FDF1A48"/>
    <w:rsid w:val="10C761F4"/>
    <w:rsid w:val="1336140F"/>
    <w:rsid w:val="141D000D"/>
    <w:rsid w:val="17923CF3"/>
    <w:rsid w:val="1B2235A6"/>
    <w:rsid w:val="1B29116A"/>
    <w:rsid w:val="1CC61D22"/>
    <w:rsid w:val="279F3552"/>
    <w:rsid w:val="28311F21"/>
    <w:rsid w:val="286E6AFD"/>
    <w:rsid w:val="2CA62D0A"/>
    <w:rsid w:val="2D5E6CC7"/>
    <w:rsid w:val="2D990AC0"/>
    <w:rsid w:val="2EDC696B"/>
    <w:rsid w:val="2EE34C63"/>
    <w:rsid w:val="319575B2"/>
    <w:rsid w:val="32C24615"/>
    <w:rsid w:val="32CB6763"/>
    <w:rsid w:val="39DB775C"/>
    <w:rsid w:val="3BC1190E"/>
    <w:rsid w:val="3BD918BF"/>
    <w:rsid w:val="43776D56"/>
    <w:rsid w:val="45A560D2"/>
    <w:rsid w:val="475A762C"/>
    <w:rsid w:val="4A955EEB"/>
    <w:rsid w:val="4A973CFC"/>
    <w:rsid w:val="4ADC40E1"/>
    <w:rsid w:val="4E8F31A6"/>
    <w:rsid w:val="52666914"/>
    <w:rsid w:val="52704D94"/>
    <w:rsid w:val="52E837CD"/>
    <w:rsid w:val="53E47AF0"/>
    <w:rsid w:val="550F5041"/>
    <w:rsid w:val="554C0043"/>
    <w:rsid w:val="55E27CA4"/>
    <w:rsid w:val="58EA7F1E"/>
    <w:rsid w:val="5C7F0769"/>
    <w:rsid w:val="5D9803FD"/>
    <w:rsid w:val="5EB6477F"/>
    <w:rsid w:val="5F9C1BC7"/>
    <w:rsid w:val="62770E84"/>
    <w:rsid w:val="62A212A2"/>
    <w:rsid w:val="65FF09F1"/>
    <w:rsid w:val="664A412A"/>
    <w:rsid w:val="67100DF0"/>
    <w:rsid w:val="68A17800"/>
    <w:rsid w:val="6CD04C5E"/>
    <w:rsid w:val="702605B1"/>
    <w:rsid w:val="713752AB"/>
    <w:rsid w:val="793D18CD"/>
    <w:rsid w:val="79BE60F3"/>
    <w:rsid w:val="7C8E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111"/>
      </w:tabs>
      <w:autoSpaceDE w:val="0"/>
      <w:autoSpaceDN w:val="0"/>
      <w:spacing w:line="600" w:lineRule="exact"/>
      <w:ind w:firstLine="200" w:firstLineChars="200"/>
    </w:pPr>
    <w:rPr>
      <w:rFonts w:ascii="Cambria Math" w:hAnsi="Cambria Math" w:eastAsia="宋体" w:cs="Cambria Math"/>
      <w:color w:val="000000"/>
      <w:kern w:val="2"/>
      <w:sz w:val="24"/>
      <w:lang w:val="en-US" w:eastAsia="zh-CN" w:bidi="ar-SA"/>
    </w:rPr>
  </w:style>
  <w:style w:type="paragraph" w:styleId="2">
    <w:name w:val="heading 1"/>
    <w:basedOn w:val="1"/>
    <w:next w:val="1"/>
    <w:autoRedefine/>
    <w:qFormat/>
    <w:uiPriority w:val="0"/>
    <w:pPr>
      <w:tabs>
        <w:tab w:val="left" w:pos="3360"/>
        <w:tab w:val="clear" w:pos="-111"/>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7"/>
    <w:autoRedefine/>
    <w:qFormat/>
    <w:uiPriority w:val="0"/>
    <w:pPr>
      <w:outlineLvl w:val="3"/>
    </w:pPr>
    <w:rPr>
      <w:rFonts w:ascii="Calibri Light" w:hAnsi="Calibri Light" w:cs="Times New Roman"/>
      <w:bCs/>
      <w:szCs w:val="28"/>
    </w:rPr>
  </w:style>
  <w:style w:type="paragraph" w:styleId="6">
    <w:name w:val="heading 5"/>
    <w:basedOn w:val="1"/>
    <w:next w:val="1"/>
    <w:link w:val="28"/>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spacing w:before="240" w:after="64" w:line="317" w:lineRule="auto"/>
      <w:outlineLvl w:val="5"/>
    </w:pPr>
    <w:rPr>
      <w:rFonts w:ascii="Arial" w:hAnsi="Arial" w:eastAsia="黑体"/>
      <w:b/>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style>
  <w:style w:type="paragraph" w:styleId="9">
    <w:name w:val="Body Text"/>
    <w:basedOn w:val="1"/>
    <w:next w:val="1"/>
    <w:autoRedefine/>
    <w:qFormat/>
    <w:uiPriority w:val="0"/>
    <w:pPr>
      <w:spacing w:before="100" w:beforeAutospacing="1" w:after="120"/>
    </w:pPr>
  </w:style>
  <w:style w:type="paragraph" w:styleId="10">
    <w:name w:val="Body Text Indent"/>
    <w:basedOn w:val="1"/>
    <w:autoRedefine/>
    <w:qFormat/>
    <w:uiPriority w:val="0"/>
    <w:pPr>
      <w:spacing w:before="50" w:beforeLines="50" w:line="400" w:lineRule="exact"/>
      <w:ind w:left="150" w:leftChars="150"/>
      <w:jc w:val="both"/>
    </w:pPr>
    <w:rPr>
      <w:rFonts w:ascii="Times New Roman" w:hAnsi="Times New Roman" w:eastAsia="楷体_GB2312" w:cs="Times New Roman"/>
      <w:spacing w:val="20"/>
    </w:rPr>
  </w:style>
  <w:style w:type="paragraph" w:styleId="11">
    <w:name w:val="toc 3"/>
    <w:basedOn w:val="1"/>
    <w:next w:val="1"/>
    <w:qFormat/>
    <w:uiPriority w:val="0"/>
    <w:pPr>
      <w:ind w:left="840" w:leftChars="400"/>
    </w:pPr>
  </w:style>
  <w:style w:type="paragraph" w:styleId="12">
    <w:name w:val="Plain Text"/>
    <w:basedOn w:val="1"/>
    <w:next w:val="13"/>
    <w:autoRedefine/>
    <w:qFormat/>
    <w:uiPriority w:val="0"/>
    <w:pPr>
      <w:adjustRightInd w:val="0"/>
      <w:spacing w:line="360" w:lineRule="atLeast"/>
      <w:textAlignment w:val="baseline"/>
    </w:pPr>
    <w:rPr>
      <w:rFonts w:ascii="宋体" w:hAnsi="Courier New" w:eastAsia="等线" w:cs="Courier New"/>
      <w:kern w:val="0"/>
      <w:sz w:val="21"/>
      <w:szCs w:val="21"/>
    </w:rPr>
  </w:style>
  <w:style w:type="paragraph" w:styleId="13">
    <w:name w:val="header"/>
    <w:basedOn w:val="1"/>
    <w:autoRedefine/>
    <w:qFormat/>
    <w:uiPriority w:val="0"/>
    <w:pPr>
      <w:tabs>
        <w:tab w:val="center" w:pos="4153"/>
        <w:tab w:val="right" w:pos="8306"/>
        <w:tab w:val="clear" w:pos="-111"/>
      </w:tabs>
      <w:snapToGrid w:val="0"/>
      <w:spacing w:line="240" w:lineRule="auto"/>
    </w:pPr>
    <w:rPr>
      <w:sz w:val="18"/>
    </w:rPr>
  </w:style>
  <w:style w:type="paragraph" w:styleId="14">
    <w:name w:val="Body Text Indent 2"/>
    <w:basedOn w:val="1"/>
    <w:autoRedefine/>
    <w:qFormat/>
    <w:uiPriority w:val="0"/>
    <w:pPr>
      <w:spacing w:before="50" w:beforeLines="50" w:line="400" w:lineRule="exact"/>
      <w:jc w:val="both"/>
    </w:pPr>
    <w:rPr>
      <w:rFonts w:ascii="Times New Roman" w:hAnsi="Times New Roman" w:eastAsia="楷体_GB2312" w:cs="Times New Roman"/>
      <w:spacing w:val="20"/>
    </w:rPr>
  </w:style>
  <w:style w:type="paragraph" w:styleId="15">
    <w:name w:val="Balloon Text"/>
    <w:basedOn w:val="1"/>
    <w:autoRedefine/>
    <w:qFormat/>
    <w:uiPriority w:val="0"/>
    <w:pPr>
      <w:spacing w:line="240" w:lineRule="auto"/>
    </w:pPr>
    <w:rPr>
      <w:sz w:val="18"/>
      <w:szCs w:val="18"/>
    </w:rPr>
  </w:style>
  <w:style w:type="paragraph" w:styleId="16">
    <w:name w:val="footer"/>
    <w:basedOn w:val="1"/>
    <w:autoRedefine/>
    <w:qFormat/>
    <w:uiPriority w:val="0"/>
    <w:pPr>
      <w:tabs>
        <w:tab w:val="center" w:pos="4153"/>
        <w:tab w:val="right" w:pos="8306"/>
        <w:tab w:val="clear" w:pos="-111"/>
      </w:tabs>
      <w:snapToGrid w:val="0"/>
    </w:pPr>
    <w:rPr>
      <w:sz w:val="18"/>
    </w:rPr>
  </w:style>
  <w:style w:type="paragraph" w:styleId="17">
    <w:name w:val="toc 1"/>
    <w:basedOn w:val="1"/>
    <w:next w:val="1"/>
    <w:autoRedefine/>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toc 2"/>
    <w:basedOn w:val="1"/>
    <w:next w:val="1"/>
    <w:qFormat/>
    <w:uiPriority w:val="0"/>
    <w:pPr>
      <w:ind w:left="420" w:leftChars="200"/>
    </w:pPr>
  </w:style>
  <w:style w:type="paragraph" w:styleId="20">
    <w:name w:val="annotation subject"/>
    <w:basedOn w:val="8"/>
    <w:next w:val="8"/>
    <w:autoRedefine/>
    <w:qFormat/>
    <w:uiPriority w:val="0"/>
    <w:rPr>
      <w:b/>
      <w:bCs/>
    </w:rPr>
  </w:style>
  <w:style w:type="character" w:styleId="23">
    <w:name w:val="Strong"/>
    <w:autoRedefine/>
    <w:qFormat/>
    <w:uiPriority w:val="0"/>
    <w:rPr>
      <w:b/>
      <w:bCs/>
    </w:rPr>
  </w:style>
  <w:style w:type="character" w:styleId="24">
    <w:name w:val="page number"/>
    <w:autoRedefine/>
    <w:qFormat/>
    <w:uiPriority w:val="0"/>
    <w:rPr>
      <w:rFonts w:ascii="Cambria Math" w:hAnsi="Cambria Math" w:eastAsia="宋体" w:cs="Cambria Math"/>
      <w:kern w:val="2"/>
      <w:sz w:val="28"/>
      <w:szCs w:val="20"/>
      <w:lang w:val="en-US" w:eastAsia="zh-CN" w:bidi="ar-SA"/>
    </w:rPr>
  </w:style>
  <w:style w:type="character" w:styleId="25">
    <w:name w:val="Hyperlink"/>
    <w:autoRedefine/>
    <w:qFormat/>
    <w:uiPriority w:val="0"/>
    <w:rPr>
      <w:color w:val="0563C1"/>
      <w:u w:val="single"/>
    </w:rPr>
  </w:style>
  <w:style w:type="character" w:styleId="26">
    <w:name w:val="annotation reference"/>
    <w:basedOn w:val="22"/>
    <w:autoRedefine/>
    <w:qFormat/>
    <w:uiPriority w:val="0"/>
    <w:rPr>
      <w:sz w:val="21"/>
      <w:szCs w:val="21"/>
    </w:rPr>
  </w:style>
  <w:style w:type="character" w:customStyle="1" w:styleId="27">
    <w:name w:val="标题 4 Char"/>
    <w:basedOn w:val="22"/>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28">
    <w:name w:val="标题 5 Char"/>
    <w:basedOn w:val="22"/>
    <w:link w:val="6"/>
    <w:autoRedefine/>
    <w:qFormat/>
    <w:uiPriority w:val="0"/>
    <w:rPr>
      <w:rFonts w:ascii="Cambria Math" w:hAnsi="Cambria Math" w:eastAsia="宋体" w:cs="Cambria Math"/>
      <w:b/>
      <w:color w:val="000000"/>
      <w:kern w:val="2"/>
      <w:sz w:val="28"/>
      <w:szCs w:val="20"/>
      <w:lang w:val="en-US" w:eastAsia="zh-CN" w:bidi="ar-SA"/>
    </w:rPr>
  </w:style>
  <w:style w:type="paragraph" w:customStyle="1" w:styleId="29">
    <w:name w:val="参选文件格式1"/>
    <w:basedOn w:val="1"/>
    <w:next w:val="1"/>
    <w:link w:val="30"/>
    <w:autoRedefine/>
    <w:qFormat/>
    <w:uiPriority w:val="0"/>
    <w:pPr>
      <w:spacing w:line="360" w:lineRule="auto"/>
      <w:ind w:firstLine="0" w:firstLineChars="0"/>
      <w:jc w:val="center"/>
      <w:outlineLvl w:val="1"/>
    </w:pPr>
    <w:rPr>
      <w:b/>
      <w:sz w:val="28"/>
    </w:rPr>
  </w:style>
  <w:style w:type="character" w:customStyle="1" w:styleId="30">
    <w:name w:val="参选文件格式1 Char"/>
    <w:basedOn w:val="22"/>
    <w:link w:val="29"/>
    <w:autoRedefine/>
    <w:qFormat/>
    <w:uiPriority w:val="0"/>
    <w:rPr>
      <w:rFonts w:ascii="Cambria Math" w:hAnsi="Cambria Math" w:eastAsia="宋体" w:cs="Cambria Math"/>
      <w:b/>
      <w:color w:val="000000"/>
      <w:kern w:val="2"/>
      <w:sz w:val="28"/>
      <w:szCs w:val="20"/>
      <w:lang w:val="en-US" w:eastAsia="zh-CN" w:bidi="ar-SA"/>
    </w:rPr>
  </w:style>
  <w:style w:type="paragraph" w:customStyle="1" w:styleId="31">
    <w:name w:val="参选文件格式2"/>
    <w:basedOn w:val="1"/>
    <w:next w:val="1"/>
    <w:autoRedefine/>
    <w:qFormat/>
    <w:uiPriority w:val="0"/>
    <w:pPr>
      <w:ind w:firstLine="0" w:firstLineChars="0"/>
      <w:jc w:val="center"/>
      <w:outlineLvl w:val="2"/>
    </w:pPr>
    <w:rPr>
      <w:bCs/>
      <w:szCs w:val="32"/>
    </w:rPr>
  </w:style>
  <w:style w:type="paragraph" w:customStyle="1" w:styleId="32">
    <w:name w:val="参选文件格式3"/>
    <w:basedOn w:val="1"/>
    <w:link w:val="33"/>
    <w:autoRedefine/>
    <w:qFormat/>
    <w:uiPriority w:val="0"/>
    <w:pPr>
      <w:tabs>
        <w:tab w:val="left" w:pos="6300"/>
        <w:tab w:val="clear" w:pos="-111"/>
      </w:tabs>
      <w:snapToGrid w:val="0"/>
      <w:ind w:firstLine="0" w:firstLineChars="0"/>
      <w:jc w:val="center"/>
    </w:pPr>
    <w:rPr>
      <w:rFonts w:ascii="宋体" w:hAnsi="宋体"/>
      <w:b/>
      <w:snapToGrid w:val="0"/>
      <w:kern w:val="0"/>
    </w:rPr>
  </w:style>
  <w:style w:type="character" w:customStyle="1" w:styleId="33">
    <w:name w:val="参选文件格式3 Char"/>
    <w:basedOn w:val="22"/>
    <w:link w:val="32"/>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4">
    <w:name w:val="font11"/>
    <w:basedOn w:val="22"/>
    <w:autoRedefine/>
    <w:qFormat/>
    <w:uiPriority w:val="0"/>
    <w:rPr>
      <w:rFonts w:ascii="宋体" w:hAnsi="宋体" w:eastAsia="宋体" w:cs="宋体"/>
      <w:b/>
      <w:bCs/>
      <w:color w:val="000000"/>
      <w:sz w:val="21"/>
      <w:szCs w:val="21"/>
      <w:u w:val="none"/>
    </w:rPr>
  </w:style>
  <w:style w:type="character" w:customStyle="1" w:styleId="35">
    <w:name w:val="font21"/>
    <w:basedOn w:val="22"/>
    <w:autoRedefine/>
    <w:qFormat/>
    <w:uiPriority w:val="0"/>
    <w:rPr>
      <w:rFonts w:ascii="宋体" w:hAnsi="宋体" w:eastAsia="宋体" w:cs="宋体"/>
      <w:color w:val="000000"/>
      <w:sz w:val="21"/>
      <w:szCs w:val="21"/>
      <w:u w:val="none"/>
    </w:rPr>
  </w:style>
  <w:style w:type="character" w:customStyle="1" w:styleId="36">
    <w:name w:val="font31"/>
    <w:basedOn w:val="22"/>
    <w:autoRedefine/>
    <w:qFormat/>
    <w:uiPriority w:val="0"/>
    <w:rPr>
      <w:rFonts w:ascii="宋体" w:hAnsi="宋体" w:eastAsia="宋体" w:cs="宋体"/>
      <w:color w:val="FF0000"/>
      <w:sz w:val="21"/>
      <w:szCs w:val="21"/>
      <w:u w:val="none"/>
    </w:rPr>
  </w:style>
  <w:style w:type="paragraph" w:styleId="37">
    <w:name w:val="List Paragraph"/>
    <w:basedOn w:val="1"/>
    <w:autoRedefine/>
    <w:qFormat/>
    <w:uiPriority w:val="0"/>
  </w:style>
  <w:style w:type="paragraph" w:customStyle="1" w:styleId="38">
    <w:name w:val="样式 正文缩进 + 小四 左侧:  2 字符"/>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lang w:val="en-US" w:eastAsia="zh-CN" w:bidi="ar-SA"/>
    </w:rPr>
  </w:style>
  <w:style w:type="character" w:customStyle="1" w:styleId="39">
    <w:name w:val="font_text_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8ACBE-17AA-4720-B78E-42C91270807C}">
  <ds:schemaRefs/>
</ds:datastoreItem>
</file>

<file path=docProps/app.xml><?xml version="1.0" encoding="utf-8"?>
<Properties xmlns="http://schemas.openxmlformats.org/officeDocument/2006/extended-properties" xmlns:vt="http://schemas.openxmlformats.org/officeDocument/2006/docPropsVTypes">
  <Template>Normal</Template>
  <Pages>106</Pages>
  <Words>45391</Words>
  <Characters>47811</Characters>
  <Lines>428</Lines>
  <Paragraphs>120</Paragraphs>
  <TotalTime>18</TotalTime>
  <ScaleCrop>false</ScaleCrop>
  <LinksUpToDate>false</LinksUpToDate>
  <CharactersWithSpaces>48995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2024-07-18T10:00:00Z</dcterms:created>
  <dc:creator>admin</dc:creator>
  <cp:lastModifiedBy>交易中心-罗</cp:lastModifiedBy>
  <cp:lastPrinted>2024-03-11T07:59:00Z</cp:lastPrinted>
  <dcterms:modified xsi:type="dcterms:W3CDTF">2024-08-13T07:12:58Z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E5ABA559FB9846AB9AABCA8B9EC4948C_13</vt:lpwstr>
  </property>
</Properties>
</file>