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B79B">
      <w:pPr>
        <w:tabs>
          <w:tab w:val="center" w:pos="4201"/>
          <w:tab w:val="right" w:leader="dot" w:pos="9298"/>
        </w:tabs>
        <w:spacing w:line="360" w:lineRule="auto"/>
        <w:ind w:firstLine="0" w:firstLineChars="0"/>
        <w:rPr>
          <w:rFonts w:ascii="Times New Roman" w:hAnsi="Times New Roman"/>
          <w:color w:val="auto"/>
          <w:highlight w:val="none"/>
        </w:rPr>
      </w:pPr>
    </w:p>
    <w:p w14:paraId="67E56855">
      <w:pPr>
        <w:spacing w:line="360" w:lineRule="auto"/>
        <w:ind w:firstLine="0" w:firstLineChars="0"/>
        <w:rPr>
          <w:rFonts w:ascii="Times New Roman" w:hAnsi="Times New Roman" w:cs="Cambria"/>
          <w:b/>
          <w:snapToGrid w:val="0"/>
          <w:color w:val="auto"/>
          <w:kern w:val="0"/>
          <w:sz w:val="52"/>
          <w:szCs w:val="84"/>
          <w:highlight w:val="none"/>
        </w:rPr>
      </w:pPr>
    </w:p>
    <w:p w14:paraId="66E0797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4CA0BC59">
      <w:pPr>
        <w:spacing w:line="360" w:lineRule="auto"/>
        <w:ind w:firstLine="0" w:firstLineChars="0"/>
        <w:jc w:val="center"/>
        <w:rPr>
          <w:rFonts w:ascii="Times New Roman" w:hAnsi="Times New Roman" w:cs="Times New Roman"/>
          <w:b/>
          <w:snapToGrid w:val="0"/>
          <w:color w:val="auto"/>
          <w:kern w:val="0"/>
          <w:sz w:val="48"/>
          <w:szCs w:val="84"/>
          <w:highlight w:val="none"/>
          <w:u w:val="none"/>
        </w:rPr>
      </w:pPr>
      <w:r>
        <w:rPr>
          <w:rFonts w:hint="eastAsia" w:ascii="Times New Roman" w:hAnsi="Times New Roman" w:cs="Times New Roman"/>
          <w:b/>
          <w:snapToGrid w:val="0"/>
          <w:color w:val="auto"/>
          <w:kern w:val="0"/>
          <w:sz w:val="48"/>
          <w:szCs w:val="84"/>
          <w:highlight w:val="none"/>
          <w:u w:val="none"/>
          <w:lang w:eastAsia="zh-CN"/>
        </w:rPr>
        <w:t>《</w:t>
      </w:r>
      <w:r>
        <w:rPr>
          <w:rFonts w:hint="eastAsia" w:ascii="Times New Roman" w:hAnsi="Times New Roman" w:cs="Times New Roman"/>
          <w:b/>
          <w:snapToGrid w:val="0"/>
          <w:color w:val="auto"/>
          <w:kern w:val="0"/>
          <w:sz w:val="48"/>
          <w:szCs w:val="84"/>
          <w:highlight w:val="none"/>
          <w:u w:val="none"/>
          <w:lang w:val="en-US" w:eastAsia="zh-CN"/>
        </w:rPr>
        <w:t>数据管理能力成熟度评估模型》贯标评估</w:t>
      </w:r>
      <w:r>
        <w:rPr>
          <w:rFonts w:hint="eastAsia" w:ascii="Times New Roman" w:hAnsi="Times New Roman" w:cs="Times New Roman"/>
          <w:b/>
          <w:snapToGrid w:val="0"/>
          <w:color w:val="auto"/>
          <w:kern w:val="0"/>
          <w:sz w:val="48"/>
          <w:szCs w:val="84"/>
          <w:highlight w:val="none"/>
          <w:u w:val="none"/>
        </w:rPr>
        <w:t>项目</w:t>
      </w:r>
    </w:p>
    <w:p w14:paraId="4D666E4F">
      <w:pPr>
        <w:spacing w:line="360" w:lineRule="auto"/>
        <w:ind w:firstLine="0" w:firstLineChars="0"/>
        <w:jc w:val="left"/>
        <w:rPr>
          <w:rFonts w:ascii="Times New Roman" w:hAnsi="Times New Roman" w:cs="Times New Roman"/>
          <w:snapToGrid w:val="0"/>
          <w:color w:val="auto"/>
          <w:kern w:val="0"/>
          <w:sz w:val="18"/>
          <w:highlight w:val="none"/>
        </w:rPr>
      </w:pPr>
    </w:p>
    <w:p w14:paraId="6DA2AD94">
      <w:pPr>
        <w:spacing w:line="360" w:lineRule="auto"/>
        <w:ind w:firstLine="0" w:firstLineChars="0"/>
        <w:jc w:val="left"/>
        <w:rPr>
          <w:rFonts w:ascii="Times New Roman" w:hAnsi="Times New Roman" w:cs="Times New Roman"/>
          <w:snapToGrid w:val="0"/>
          <w:color w:val="auto"/>
          <w:kern w:val="0"/>
          <w:sz w:val="20"/>
          <w:highlight w:val="none"/>
        </w:rPr>
      </w:pPr>
    </w:p>
    <w:p w14:paraId="14EA01A7">
      <w:pPr>
        <w:spacing w:line="360" w:lineRule="auto"/>
        <w:ind w:firstLine="0" w:firstLineChars="0"/>
        <w:jc w:val="left"/>
        <w:rPr>
          <w:rFonts w:ascii="Times New Roman" w:hAnsi="Times New Roman" w:cs="Times New Roman"/>
          <w:snapToGrid w:val="0"/>
          <w:color w:val="auto"/>
          <w:kern w:val="0"/>
          <w:sz w:val="20"/>
          <w:highlight w:val="none"/>
        </w:rPr>
      </w:pPr>
    </w:p>
    <w:p w14:paraId="704E12F2">
      <w:pPr>
        <w:spacing w:line="360" w:lineRule="auto"/>
        <w:ind w:firstLine="0" w:firstLineChars="0"/>
        <w:jc w:val="left"/>
        <w:rPr>
          <w:rFonts w:ascii="Times New Roman" w:hAnsi="Times New Roman" w:cs="Times New Roman"/>
          <w:snapToGrid w:val="0"/>
          <w:color w:val="auto"/>
          <w:kern w:val="0"/>
          <w:sz w:val="20"/>
          <w:highlight w:val="none"/>
        </w:rPr>
      </w:pPr>
    </w:p>
    <w:p w14:paraId="7E39BF5A">
      <w:pPr>
        <w:spacing w:line="360" w:lineRule="auto"/>
        <w:ind w:firstLine="0" w:firstLineChars="0"/>
        <w:jc w:val="left"/>
        <w:rPr>
          <w:rFonts w:ascii="Times New Roman" w:hAnsi="Times New Roman" w:cs="Times New Roman"/>
          <w:snapToGrid w:val="0"/>
          <w:color w:val="auto"/>
          <w:kern w:val="0"/>
          <w:sz w:val="20"/>
          <w:highlight w:val="none"/>
        </w:rPr>
      </w:pPr>
    </w:p>
    <w:p w14:paraId="086EE033">
      <w:pPr>
        <w:spacing w:line="360" w:lineRule="auto"/>
        <w:ind w:firstLine="0" w:firstLineChars="0"/>
        <w:jc w:val="left"/>
        <w:rPr>
          <w:rFonts w:ascii="Times New Roman" w:hAnsi="Times New Roman" w:cs="Times New Roman"/>
          <w:snapToGrid w:val="0"/>
          <w:color w:val="auto"/>
          <w:kern w:val="0"/>
          <w:sz w:val="20"/>
          <w:highlight w:val="none"/>
        </w:rPr>
      </w:pPr>
    </w:p>
    <w:p w14:paraId="209BCBC9">
      <w:pPr>
        <w:spacing w:line="360" w:lineRule="auto"/>
        <w:ind w:firstLine="0" w:firstLineChars="0"/>
        <w:jc w:val="left"/>
        <w:rPr>
          <w:rFonts w:ascii="Times New Roman" w:hAnsi="Times New Roman" w:cs="Times New Roman"/>
          <w:snapToGrid w:val="0"/>
          <w:color w:val="auto"/>
          <w:kern w:val="0"/>
          <w:sz w:val="20"/>
          <w:highlight w:val="none"/>
        </w:rPr>
      </w:pPr>
    </w:p>
    <w:p w14:paraId="13E5ADE5">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6D4CF5CB">
      <w:pPr>
        <w:spacing w:line="360" w:lineRule="auto"/>
        <w:ind w:firstLine="0" w:firstLineChars="0"/>
        <w:jc w:val="center"/>
        <w:rPr>
          <w:rFonts w:ascii="Times New Roman" w:hAnsi="Times New Roman" w:cs="Times New Roman"/>
          <w:b/>
          <w:snapToGrid w:val="0"/>
          <w:color w:val="auto"/>
          <w:kern w:val="0"/>
          <w:szCs w:val="28"/>
          <w:highlight w:val="none"/>
        </w:rPr>
      </w:pPr>
    </w:p>
    <w:p w14:paraId="3C7E5127">
      <w:pPr>
        <w:spacing w:line="360" w:lineRule="auto"/>
        <w:ind w:firstLine="0" w:firstLineChars="0"/>
        <w:jc w:val="center"/>
        <w:rPr>
          <w:rFonts w:ascii="Times New Roman" w:hAnsi="Times New Roman" w:cs="Times New Roman"/>
          <w:b/>
          <w:snapToGrid w:val="0"/>
          <w:color w:val="auto"/>
          <w:kern w:val="0"/>
          <w:szCs w:val="28"/>
          <w:highlight w:val="none"/>
        </w:rPr>
      </w:pPr>
    </w:p>
    <w:p w14:paraId="54FC07EE">
      <w:pPr>
        <w:spacing w:line="360" w:lineRule="auto"/>
        <w:ind w:firstLine="0" w:firstLineChars="0"/>
        <w:jc w:val="center"/>
        <w:rPr>
          <w:rFonts w:ascii="Times New Roman" w:hAnsi="Times New Roman" w:cs="Times New Roman"/>
          <w:b/>
          <w:snapToGrid w:val="0"/>
          <w:color w:val="auto"/>
          <w:kern w:val="0"/>
          <w:szCs w:val="28"/>
          <w:highlight w:val="none"/>
        </w:rPr>
      </w:pPr>
    </w:p>
    <w:p w14:paraId="63C9093B">
      <w:pPr>
        <w:ind w:firstLine="0" w:firstLineChars="0"/>
        <w:rPr>
          <w:rFonts w:ascii="Times New Roman" w:hAnsi="Times New Roman"/>
          <w:color w:val="auto"/>
          <w:highlight w:val="none"/>
        </w:rPr>
      </w:pPr>
    </w:p>
    <w:p w14:paraId="3273F91F">
      <w:pPr>
        <w:pStyle w:val="9"/>
        <w:ind w:firstLine="480"/>
        <w:rPr>
          <w:rFonts w:ascii="Times New Roman" w:hAnsi="Times New Roman"/>
          <w:color w:val="auto"/>
          <w:highlight w:val="none"/>
        </w:rPr>
      </w:pPr>
    </w:p>
    <w:p w14:paraId="2628E830">
      <w:pPr>
        <w:ind w:firstLine="480"/>
        <w:rPr>
          <w:rFonts w:ascii="Times New Roman" w:hAnsi="Times New Roman"/>
          <w:color w:val="auto"/>
          <w:highlight w:val="none"/>
        </w:rPr>
      </w:pPr>
    </w:p>
    <w:p w14:paraId="0A604FAF">
      <w:pPr>
        <w:ind w:firstLine="480"/>
        <w:rPr>
          <w:rFonts w:ascii="Times New Roman" w:hAnsi="Times New Roman"/>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8</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14:paraId="0FAFCF87">
      <w:pPr>
        <w:ind w:firstLine="480"/>
        <w:rPr>
          <w:rFonts w:ascii="Times New Roman" w:hAnsi="Times New Roman"/>
          <w:color w:val="auto"/>
          <w:highlight w:val="none"/>
        </w:rPr>
      </w:pPr>
    </w:p>
    <w:p w14:paraId="05152FE4">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6882FBD6">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_Toc25567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_Toc25567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snapToGrid w:val="0"/>
          <w:color w:val="auto"/>
          <w:kern w:val="0"/>
          <w:szCs w:val="24"/>
          <w:highlight w:val="none"/>
        </w:rPr>
        <w:fldChar w:fldCharType="end"/>
      </w:r>
    </w:p>
    <w:p w14:paraId="24829053">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_Toc10030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_Toc10030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snapToGrid w:val="0"/>
          <w:color w:val="auto"/>
          <w:kern w:val="0"/>
          <w:szCs w:val="24"/>
          <w:highlight w:val="none"/>
        </w:rPr>
        <w:fldChar w:fldCharType="end"/>
      </w:r>
    </w:p>
    <w:p w14:paraId="58E3F905">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_Toc28105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_Toc28105 \h </w:instrText>
      </w:r>
      <w:r>
        <w:rPr>
          <w:color w:val="auto"/>
          <w:highlight w:val="none"/>
        </w:rPr>
        <w:fldChar w:fldCharType="separate"/>
      </w:r>
      <w:r>
        <w:rPr>
          <w:color w:val="auto"/>
          <w:highlight w:val="none"/>
        </w:rPr>
        <w:t>14</w:t>
      </w:r>
      <w:r>
        <w:rPr>
          <w:color w:val="auto"/>
          <w:highlight w:val="none"/>
        </w:rPr>
        <w:fldChar w:fldCharType="end"/>
      </w:r>
      <w:r>
        <w:rPr>
          <w:rFonts w:ascii="Times New Roman" w:hAnsi="Times New Roman"/>
          <w:snapToGrid w:val="0"/>
          <w:color w:val="auto"/>
          <w:kern w:val="0"/>
          <w:szCs w:val="24"/>
          <w:highlight w:val="none"/>
        </w:rPr>
        <w:fldChar w:fldCharType="end"/>
      </w:r>
    </w:p>
    <w:p w14:paraId="79EC7F11">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_Toc8148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_Toc8148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snapToGrid w:val="0"/>
          <w:color w:val="auto"/>
          <w:kern w:val="0"/>
          <w:szCs w:val="24"/>
          <w:highlight w:val="none"/>
        </w:rPr>
        <w:fldChar w:fldCharType="end"/>
      </w:r>
    </w:p>
    <w:p w14:paraId="741C71ED">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_Toc4562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_Toc4562 \h </w:instrText>
      </w:r>
      <w:r>
        <w:rPr>
          <w:color w:val="auto"/>
          <w:highlight w:val="none"/>
        </w:rPr>
        <w:fldChar w:fldCharType="separate"/>
      </w:r>
      <w:r>
        <w:rPr>
          <w:color w:val="auto"/>
          <w:highlight w:val="none"/>
        </w:rPr>
        <w:t>29</w:t>
      </w:r>
      <w:r>
        <w:rPr>
          <w:color w:val="auto"/>
          <w:highlight w:val="none"/>
        </w:rPr>
        <w:fldChar w:fldCharType="end"/>
      </w:r>
      <w:r>
        <w:rPr>
          <w:rFonts w:ascii="Times New Roman" w:hAnsi="Times New Roman"/>
          <w:snapToGrid w:val="0"/>
          <w:color w:val="auto"/>
          <w:kern w:val="0"/>
          <w:szCs w:val="24"/>
          <w:highlight w:val="none"/>
        </w:rPr>
        <w:fldChar w:fldCharType="end"/>
      </w:r>
    </w:p>
    <w:p w14:paraId="1BB0D4E2">
      <w:pPr>
        <w:pStyle w:val="15"/>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_Toc5735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_Toc5735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snapToGrid w:val="0"/>
          <w:color w:val="auto"/>
          <w:kern w:val="0"/>
          <w:szCs w:val="24"/>
          <w:highlight w:val="none"/>
        </w:rPr>
        <w:fldChar w:fldCharType="end"/>
      </w:r>
    </w:p>
    <w:p w14:paraId="704EE958">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4A3773F">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690EEC">
      <w:pPr>
        <w:pStyle w:val="2"/>
        <w:rPr>
          <w:rFonts w:ascii="Times New Roman" w:hAnsi="Times New Roman"/>
          <w:color w:val="auto"/>
          <w:highlight w:val="none"/>
        </w:rPr>
      </w:pPr>
      <w:bookmarkStart w:id="0" w:name="_Toc440628903"/>
      <w:bookmarkStart w:id="1" w:name="_Toc6745"/>
      <w:bookmarkStart w:id="2" w:name="_Toc25567"/>
      <w:bookmarkStart w:id="3" w:name="_Toc678"/>
      <w:bookmarkStart w:id="4" w:name="_Toc469574661"/>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p>
    <w:p w14:paraId="460AA470">
      <w:pPr>
        <w:ind w:firstLine="480"/>
        <w:rPr>
          <w:rFonts w:ascii="Times New Roman" w:hAnsi="Times New Roman"/>
          <w:color w:val="auto"/>
          <w:highlight w:val="none"/>
        </w:rPr>
      </w:pPr>
      <w:bookmarkStart w:id="5" w:name="_Toc55379218"/>
      <w:bookmarkStart w:id="6" w:name="_Toc89675127"/>
      <w:r>
        <w:rPr>
          <w:rFonts w:hint="eastAsia"/>
          <w:color w:val="auto"/>
          <w:highlight w:val="none"/>
          <w:lang w:val="en-US" w:eastAsia="zh-CN"/>
        </w:rPr>
        <w:t>我行计划开展数据管理能力成熟度评估（以下简称DCMM评估）贯标工作，通过完善数据管理能力评估体系，带动我行数据管理能力全面提升，推动数据“高质量”治理，</w:t>
      </w:r>
      <w:r>
        <w:rPr>
          <w:rFonts w:hint="eastAsia"/>
          <w:color w:val="auto"/>
          <w:highlight w:val="none"/>
        </w:rPr>
        <w:t>使我行数据管理能力达到稳健级（</w:t>
      </w:r>
      <w:r>
        <w:rPr>
          <w:rFonts w:hint="eastAsia"/>
          <w:color w:val="auto"/>
          <w:highlight w:val="none"/>
          <w:lang w:eastAsia="zh-CN"/>
        </w:rPr>
        <w:t>三级</w:t>
      </w:r>
      <w:r>
        <w:rPr>
          <w:rFonts w:hint="eastAsia"/>
          <w:color w:val="auto"/>
          <w:highlight w:val="none"/>
        </w:rPr>
        <w:t>）</w:t>
      </w:r>
      <w:r>
        <w:rPr>
          <w:rFonts w:hint="eastAsia" w:ascii="Times New Roman" w:hAnsi="Times New Roman"/>
          <w:color w:val="auto"/>
          <w:highlight w:val="none"/>
        </w:rPr>
        <w:t>。现对重庆三峡银行《数据管理能力成熟度评估模型》贯标评估项目进行公开比选，</w:t>
      </w:r>
      <w:r>
        <w:rPr>
          <w:rFonts w:ascii="Times New Roman" w:hAnsi="Times New Roman"/>
          <w:color w:val="auto"/>
          <w:highlight w:val="none"/>
        </w:rPr>
        <w:t>特邀请有</w:t>
      </w:r>
      <w:bookmarkStart w:id="7" w:name="_Hlk59455120"/>
      <w:r>
        <w:rPr>
          <w:rFonts w:ascii="Times New Roman" w:hAnsi="Times New Roman"/>
          <w:color w:val="auto"/>
          <w:highlight w:val="none"/>
        </w:rPr>
        <w:t>意向</w:t>
      </w:r>
      <w:bookmarkEnd w:id="7"/>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21533FD2">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1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B40525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5DA29D6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427C75A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3BBAFC6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0F711E9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5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450464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vAlign w:val="center"/>
          </w:tcPr>
          <w:p w14:paraId="06A4278D">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宋体" w:hAnsi="宋体" w:cs="Cambria"/>
                <w:snapToGrid w:val="0"/>
                <w:color w:val="auto"/>
                <w:kern w:val="0"/>
                <w:sz w:val="21"/>
                <w:szCs w:val="21"/>
                <w:highlight w:val="none"/>
                <w:lang w:val="en-US" w:eastAsia="zh-CN"/>
              </w:rPr>
              <w:t>重庆三峡银行《数据管理能力成熟度评估模型》贯标评估项目</w:t>
            </w:r>
          </w:p>
        </w:tc>
        <w:tc>
          <w:tcPr>
            <w:tcW w:w="1646" w:type="dxa"/>
            <w:vAlign w:val="center"/>
          </w:tcPr>
          <w:p w14:paraId="628E00F8">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宋体" w:hAnsi="宋体" w:cs="Cambria"/>
                <w:snapToGrid w:val="0"/>
                <w:color w:val="auto"/>
                <w:kern w:val="0"/>
                <w:sz w:val="21"/>
                <w:szCs w:val="21"/>
                <w:highlight w:val="none"/>
                <w:lang w:val="en-US" w:eastAsia="zh-CN"/>
              </w:rPr>
              <w:t>30万</w:t>
            </w:r>
          </w:p>
        </w:tc>
        <w:tc>
          <w:tcPr>
            <w:tcW w:w="1798" w:type="dxa"/>
            <w:vAlign w:val="center"/>
          </w:tcPr>
          <w:p w14:paraId="7CC8257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宋体" w:hAnsi="宋体" w:cs="Cambria"/>
                <w:snapToGrid w:val="0"/>
                <w:color w:val="auto"/>
                <w:kern w:val="0"/>
                <w:sz w:val="21"/>
                <w:szCs w:val="21"/>
                <w:highlight w:val="none"/>
                <w:lang w:val="en-US" w:eastAsia="zh-CN"/>
              </w:rPr>
              <w:t>1</w:t>
            </w:r>
          </w:p>
        </w:tc>
        <w:tc>
          <w:tcPr>
            <w:tcW w:w="1798" w:type="dxa"/>
            <w:vAlign w:val="center"/>
          </w:tcPr>
          <w:p w14:paraId="25537F8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宋体" w:hAnsi="宋体" w:cs="Cambria"/>
                <w:snapToGrid w:val="0"/>
                <w:color w:val="auto"/>
                <w:kern w:val="0"/>
                <w:sz w:val="21"/>
                <w:szCs w:val="21"/>
                <w:highlight w:val="none"/>
                <w:lang w:val="en-US" w:eastAsia="zh-CN"/>
              </w:rPr>
              <w:t>含税价</w:t>
            </w:r>
          </w:p>
        </w:tc>
      </w:tr>
    </w:tbl>
    <w:p w14:paraId="40B721D9">
      <w:pPr>
        <w:pStyle w:val="3"/>
        <w:rPr>
          <w:rFonts w:ascii="Times New Roman" w:hAnsi="Times New Roman"/>
          <w:color w:val="auto"/>
          <w:highlight w:val="none"/>
        </w:rPr>
      </w:pPr>
      <w:bookmarkStart w:id="8" w:name="_Toc297817088"/>
      <w:bookmarkStart w:id="9" w:name="_Toc55379219"/>
      <w:bookmarkStart w:id="10" w:name="_Toc469574664"/>
      <w:bookmarkStart w:id="11" w:name="_Toc89675128"/>
      <w:bookmarkStart w:id="12" w:name="_Toc288224935"/>
      <w:r>
        <w:rPr>
          <w:rFonts w:hint="eastAsia" w:ascii="Times New Roman" w:hAnsi="Times New Roman"/>
          <w:color w:val="auto"/>
          <w:highlight w:val="none"/>
        </w:rPr>
        <w:t>2. 参选人资格要求</w:t>
      </w:r>
      <w:bookmarkEnd w:id="8"/>
      <w:bookmarkEnd w:id="9"/>
      <w:bookmarkEnd w:id="10"/>
      <w:bookmarkEnd w:id="11"/>
      <w:bookmarkEnd w:id="12"/>
    </w:p>
    <w:p w14:paraId="4C9A66E9">
      <w:pPr>
        <w:ind w:firstLine="480"/>
        <w:rPr>
          <w:rFonts w:ascii="Times New Roman" w:hAnsi="Times New Roman"/>
          <w:color w:val="auto"/>
          <w:highlight w:val="none"/>
        </w:rPr>
      </w:pPr>
      <w:bookmarkStart w:id="13" w:name="_Hlk55488870"/>
      <w:r>
        <w:rPr>
          <w:rFonts w:hint="eastAsia" w:ascii="Times New Roman" w:hAnsi="Times New Roman"/>
          <w:color w:val="auto"/>
          <w:highlight w:val="none"/>
        </w:rPr>
        <w:t>2.1 具有独立承担民事责任的能力</w:t>
      </w:r>
    </w:p>
    <w:p w14:paraId="5A6AD3C2">
      <w:pPr>
        <w:ind w:firstLine="480"/>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14:paraId="12F98B79">
      <w:pPr>
        <w:ind w:firstLine="480"/>
        <w:rPr>
          <w:rFonts w:ascii="Times New Roman" w:hAnsi="Times New Roman"/>
          <w:color w:val="auto"/>
          <w:highlight w:val="none"/>
        </w:rPr>
      </w:pPr>
      <w:r>
        <w:rPr>
          <w:rFonts w:hint="eastAsia" w:ascii="Times New Roman" w:hAnsi="Times New Roman"/>
          <w:color w:val="auto"/>
          <w:highlight w:val="none"/>
        </w:rPr>
        <w:t>注：若为法定代表人（分支机构负责人）办理并签署参选文件的，不提供授权代表委托书。</w:t>
      </w:r>
    </w:p>
    <w:p w14:paraId="5FE93314">
      <w:pPr>
        <w:ind w:firstLine="480"/>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105982E0">
      <w:pPr>
        <w:ind w:firstLine="480"/>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54FE8179">
      <w:pPr>
        <w:ind w:firstLine="480"/>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42B9DE57">
      <w:pPr>
        <w:ind w:firstLine="480"/>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6F939235">
      <w:pPr>
        <w:ind w:firstLine="480"/>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0B5CFCF5">
      <w:pPr>
        <w:ind w:firstLine="480"/>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096106AB">
      <w:pPr>
        <w:ind w:firstLine="480"/>
        <w:rPr>
          <w:rFonts w:ascii="Times New Roman" w:hAnsi="Times New Roman"/>
          <w:color w:val="auto"/>
          <w:highlight w:val="none"/>
        </w:rPr>
      </w:pPr>
      <w:r>
        <w:rPr>
          <w:rFonts w:hint="eastAsia" w:ascii="Times New Roman" w:hAnsi="Times New Roman"/>
          <w:color w:val="auto"/>
          <w:highlight w:val="none"/>
        </w:rPr>
        <w:t>2.8 本次</w:t>
      </w:r>
      <w:r>
        <w:rPr>
          <w:rFonts w:hint="eastAsia" w:ascii="Times New Roman" w:hAnsi="Times New Roman"/>
          <w:color w:val="auto"/>
          <w:highlight w:val="none"/>
          <w:lang w:eastAsia="zh-CN"/>
        </w:rPr>
        <w:t>比选</w:t>
      </w:r>
      <w:r>
        <w:rPr>
          <w:rFonts w:hint="eastAsia" w:ascii="Times New Roman" w:hAnsi="Times New Roman"/>
          <w:color w:val="auto"/>
          <w:highlight w:val="none"/>
        </w:rPr>
        <w:t>不接受联合体参选。</w:t>
      </w:r>
    </w:p>
    <w:p w14:paraId="0A8481B0">
      <w:pPr>
        <w:ind w:firstLine="480"/>
        <w:rPr>
          <w:rFonts w:ascii="Times New Roman" w:hAnsi="Times New Roman"/>
          <w:color w:val="auto"/>
          <w:highlight w:val="none"/>
        </w:rPr>
      </w:pPr>
      <w:r>
        <w:rPr>
          <w:rFonts w:hint="eastAsia" w:ascii="Times New Roman" w:hAnsi="Times New Roman"/>
          <w:color w:val="auto"/>
          <w:highlight w:val="none"/>
        </w:rPr>
        <w:t>2.9 近3年</w:t>
      </w:r>
      <w:r>
        <w:rPr>
          <w:rFonts w:hint="eastAsia"/>
          <w:color w:val="auto"/>
          <w:highlight w:val="none"/>
        </w:rPr>
        <w:t>（20</w:t>
      </w:r>
      <w:r>
        <w:rPr>
          <w:rFonts w:hint="eastAsia"/>
          <w:color w:val="auto"/>
          <w:highlight w:val="none"/>
          <w:lang w:val="en-US" w:eastAsia="zh-CN"/>
        </w:rPr>
        <w:t>21</w:t>
      </w:r>
      <w:r>
        <w:rPr>
          <w:rFonts w:hint="eastAsia"/>
          <w:color w:val="auto"/>
          <w:highlight w:val="none"/>
        </w:rPr>
        <w:t>年</w:t>
      </w:r>
      <w:r>
        <w:rPr>
          <w:rFonts w:hint="eastAsia"/>
          <w:color w:val="auto"/>
          <w:highlight w:val="none"/>
          <w:lang w:val="en-US" w:eastAsia="zh-CN"/>
        </w:rPr>
        <w:t>1</w:t>
      </w:r>
      <w:r>
        <w:rPr>
          <w:rFonts w:hint="eastAsia"/>
          <w:color w:val="auto"/>
          <w:highlight w:val="none"/>
        </w:rPr>
        <w:t>月1日至</w:t>
      </w:r>
      <w:r>
        <w:rPr>
          <w:rFonts w:hint="eastAsia"/>
          <w:color w:val="auto"/>
          <w:highlight w:val="none"/>
          <w:lang w:val="en-US" w:eastAsia="zh-CN"/>
        </w:rPr>
        <w:t>参选截止日，以合同签订时间为准</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参选人成功实施国内DCMM三级及其以上评估案例不少于5个，其中包含不少于1个银行业DCMM三级及其以上评估案例。</w:t>
      </w:r>
      <w:r>
        <w:rPr>
          <w:rFonts w:hint="eastAsia" w:ascii="Times New Roman" w:hAnsi="Times New Roman"/>
          <w:color w:val="auto"/>
          <w:highlight w:val="none"/>
        </w:rPr>
        <w:t>【</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49FB0B91">
      <w:pPr>
        <w:ind w:firstLine="480"/>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EF78BA6">
      <w:pPr>
        <w:ind w:firstLine="480"/>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p>
    <w:bookmarkEnd w:id="13"/>
    <w:p w14:paraId="641BC185">
      <w:pPr>
        <w:pStyle w:val="3"/>
        <w:rPr>
          <w:rFonts w:ascii="Times New Roman" w:hAnsi="Times New Roman"/>
          <w:color w:val="auto"/>
          <w:highlight w:val="none"/>
        </w:rPr>
      </w:pPr>
      <w:bookmarkStart w:id="14" w:name="_Toc55379220"/>
      <w:bookmarkStart w:id="15" w:name="_Toc89675130"/>
      <w:bookmarkStart w:id="16" w:name="_Toc297817090"/>
      <w:bookmarkStart w:id="17" w:name="_Toc469574667"/>
      <w:r>
        <w:rPr>
          <w:rFonts w:hint="eastAsia" w:ascii="Times New Roman" w:hAnsi="Times New Roman"/>
          <w:color w:val="auto"/>
          <w:highlight w:val="none"/>
        </w:rPr>
        <w:t>3. 比选文件的获取</w:t>
      </w:r>
      <w:bookmarkEnd w:id="14"/>
    </w:p>
    <w:p w14:paraId="17DC053A">
      <w:pPr>
        <w:ind w:firstLine="480"/>
        <w:rPr>
          <w:rFonts w:ascii="Times New Roman" w:hAnsi="Times New Roman"/>
          <w:color w:val="auto"/>
          <w:highlight w:val="none"/>
        </w:rPr>
      </w:pPr>
      <w:r>
        <w:rPr>
          <w:rFonts w:hint="eastAsia" w:ascii="Times New Roman" w:hAnsi="Times New Roman"/>
          <w:color w:val="auto"/>
          <w:highlight w:val="none"/>
        </w:rPr>
        <w:t>3.1 获取时间和方式：从</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20</w:t>
      </w:r>
      <w:r>
        <w:rPr>
          <w:rFonts w:hint="eastAsia" w:ascii="Times New Roman" w:hAnsi="Times New Roman"/>
          <w:color w:val="auto"/>
          <w:highlight w:val="none"/>
        </w:rPr>
        <w:t>日到</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4</w:t>
      </w:r>
      <w:r>
        <w:rPr>
          <w:rFonts w:hint="eastAsia" w:ascii="Times New Roman" w:hAnsi="Times New Roman"/>
          <w:color w:val="auto"/>
          <w:highlight w:val="none"/>
        </w:rPr>
        <w:t>日</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rPr>
        <w:t>分（北京时间），在重庆市公共资源交易网（www.cqggzy.com）下载比选文件。</w:t>
      </w:r>
    </w:p>
    <w:p w14:paraId="6EC149D9">
      <w:pPr>
        <w:ind w:firstLine="480"/>
        <w:rPr>
          <w:rFonts w:ascii="Times New Roman" w:hAnsi="Times New Roman"/>
          <w:color w:val="auto"/>
          <w:highlight w:val="none"/>
        </w:rPr>
      </w:pPr>
      <w:r>
        <w:rPr>
          <w:rFonts w:hint="eastAsia" w:ascii="Times New Roman" w:hAnsi="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23</w:t>
      </w:r>
      <w:r>
        <w:rPr>
          <w:rFonts w:hint="eastAsia" w:ascii="Times New Roman" w:hAnsi="Times New Roman"/>
          <w:color w:val="auto"/>
          <w:highlight w:val="none"/>
        </w:rPr>
        <w:t>日</w:t>
      </w:r>
      <w:r>
        <w:rPr>
          <w:rFonts w:hint="eastAsia" w:ascii="Times New Roman" w:hAnsi="Times New Roman"/>
          <w:color w:val="auto"/>
          <w:highlight w:val="none"/>
          <w:u w:val="single"/>
          <w:lang w:val="en-US" w:eastAsia="zh-CN"/>
        </w:rPr>
        <w:t>17</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00</w:t>
      </w:r>
      <w:r>
        <w:rPr>
          <w:rFonts w:hint="eastAsia" w:ascii="Times New Roman" w:hAnsi="Times New Roman"/>
          <w:color w:val="auto"/>
          <w:highlight w:val="none"/>
        </w:rPr>
        <w:t>分（北京时间）前自行在重庆市公共资源交易网（http://www.cqggzy.com/）比选公告的“我要提问”栏目匿名提出。参选人未提出，则视为参选人已全面确认比选文件内容。</w:t>
      </w:r>
    </w:p>
    <w:p w14:paraId="083B0A7D">
      <w:pPr>
        <w:ind w:firstLine="480"/>
        <w:rPr>
          <w:rFonts w:ascii="Times New Roman" w:hAnsi="Times New Roman"/>
          <w:color w:val="auto"/>
          <w:highlight w:val="none"/>
        </w:rPr>
      </w:pPr>
      <w:r>
        <w:rPr>
          <w:rFonts w:hint="eastAsia" w:ascii="Times New Roman" w:hAnsi="Times New Roman"/>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C0E0C3D">
      <w:pPr>
        <w:pStyle w:val="3"/>
        <w:rPr>
          <w:rFonts w:ascii="Times New Roman" w:hAnsi="Times New Roman"/>
          <w:color w:val="auto"/>
          <w:highlight w:val="none"/>
        </w:rPr>
      </w:pPr>
      <w:bookmarkStart w:id="18" w:name="_Toc55379221"/>
      <w:r>
        <w:rPr>
          <w:rFonts w:hint="eastAsia" w:ascii="Times New Roman" w:hAnsi="Times New Roman"/>
          <w:color w:val="auto"/>
          <w:highlight w:val="none"/>
        </w:rPr>
        <w:t>4. 参选保证金的递交</w:t>
      </w:r>
      <w:bookmarkEnd w:id="15"/>
      <w:bookmarkEnd w:id="16"/>
      <w:bookmarkEnd w:id="17"/>
      <w:bookmarkEnd w:id="18"/>
    </w:p>
    <w:p w14:paraId="21F86E28">
      <w:pPr>
        <w:ind w:firstLine="480"/>
        <w:rPr>
          <w:rFonts w:ascii="Times New Roman" w:hAnsi="Times New Roman"/>
          <w:color w:val="auto"/>
          <w:highlight w:val="none"/>
        </w:rPr>
      </w:pPr>
      <w:bookmarkStart w:id="19" w:name="_Toc469574668"/>
      <w:bookmarkStart w:id="20" w:name="_Toc55379222"/>
      <w:bookmarkStart w:id="21" w:name="_Toc89675131"/>
      <w:bookmarkStart w:id="22" w:name="_Toc297817091"/>
      <w:r>
        <w:rPr>
          <w:rFonts w:hint="eastAsia" w:ascii="Times New Roman" w:hAnsi="Times New Roman"/>
          <w:color w:val="auto"/>
          <w:highlight w:val="none"/>
        </w:rPr>
        <w:t>4.1 参选保证金的金额：</w:t>
      </w:r>
      <w:r>
        <w:rPr>
          <w:rFonts w:hint="eastAsia"/>
          <w:b/>
          <w:bCs/>
          <w:color w:val="auto"/>
          <w:highlight w:val="none"/>
          <w:u w:val="single"/>
          <w:lang w:val="en-US" w:eastAsia="zh-CN"/>
        </w:rPr>
        <w:t>6000</w:t>
      </w:r>
      <w:r>
        <w:rPr>
          <w:rFonts w:hint="eastAsia" w:ascii="Times New Roman" w:hAnsi="Times New Roman"/>
          <w:b/>
          <w:bCs/>
          <w:color w:val="auto"/>
          <w:highlight w:val="none"/>
        </w:rPr>
        <w:t>元整（大写：</w:t>
      </w:r>
      <w:r>
        <w:rPr>
          <w:rFonts w:hint="eastAsia"/>
          <w:b/>
          <w:bCs/>
          <w:color w:val="auto"/>
          <w:highlight w:val="none"/>
          <w:lang w:val="en-US" w:eastAsia="zh-CN"/>
        </w:rPr>
        <w:t>陆仟元整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52A6C0E2">
      <w:pPr>
        <w:ind w:firstLine="480"/>
        <w:rPr>
          <w:rFonts w:ascii="Times New Roman" w:hAnsi="Times New Roman"/>
          <w:color w:val="auto"/>
          <w:highlight w:val="none"/>
        </w:rPr>
      </w:pPr>
      <w:r>
        <w:rPr>
          <w:rFonts w:hint="eastAsia" w:ascii="Times New Roman" w:hAnsi="Times New Roman"/>
          <w:color w:val="auto"/>
          <w:highlight w:val="none"/>
        </w:rPr>
        <w:t>4.2 参选保证金缴纳方式：参选人从参选人的银</w:t>
      </w:r>
      <w:bookmarkStart w:id="277" w:name="_GoBack"/>
      <w:bookmarkEnd w:id="277"/>
      <w:r>
        <w:rPr>
          <w:rFonts w:hint="eastAsia" w:ascii="Times New Roman" w:hAnsi="Times New Roman"/>
          <w:color w:val="auto"/>
          <w:highlight w:val="none"/>
        </w:rPr>
        <w:t>行账户，通过转账或电汇方式直接划付至下面指定的账户（任选其一），否则，参选保证金无效。参选人自行考虑汇入到账时间风险，本项目参选保证金不接受任何形式保函（包括电子保函）；</w:t>
      </w:r>
    </w:p>
    <w:p w14:paraId="62427B76">
      <w:pPr>
        <w:ind w:firstLine="482"/>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Cambria Math" w:hAnsi="Cambria Math" w:eastAsia="宋体" w:cs="Cambria Math"/>
          <w:b/>
          <w:bCs/>
          <w:color w:val="auto"/>
          <w:sz w:val="24"/>
          <w:szCs w:val="20"/>
          <w:highlight w:val="none"/>
          <w:u w:val="single"/>
        </w:rPr>
        <w:t>DCMM贯标评估</w:t>
      </w:r>
      <w:r>
        <w:rPr>
          <w:rFonts w:hint="eastAsia" w:ascii="Times New Roman" w:hAnsi="Times New Roman"/>
          <w:b/>
          <w:bCs/>
          <w:color w:val="auto"/>
          <w:highlight w:val="none"/>
        </w:rPr>
        <w:t>。</w:t>
      </w:r>
    </w:p>
    <w:p w14:paraId="7F4E16F4">
      <w:pPr>
        <w:ind w:firstLine="480"/>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4</w:t>
      </w:r>
      <w:r>
        <w:rPr>
          <w:rFonts w:hint="eastAsia" w:ascii="Times New Roman" w:hAnsi="Times New Roman"/>
          <w:color w:val="auto"/>
          <w:highlight w:val="none"/>
        </w:rPr>
        <w:t>日</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rPr>
        <w:t>分（北京时间）。</w:t>
      </w:r>
    </w:p>
    <w:p w14:paraId="71D394D6">
      <w:pPr>
        <w:ind w:firstLine="480"/>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5D01BBDE">
      <w:pPr>
        <w:ind w:firstLine="480"/>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69123AB">
      <w:pPr>
        <w:ind w:firstLine="480"/>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19"/>
    <w:bookmarkEnd w:id="20"/>
    <w:bookmarkEnd w:id="21"/>
    <w:bookmarkEnd w:id="22"/>
    <w:p w14:paraId="29121FCE">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375ADCA8">
      <w:pPr>
        <w:ind w:firstLine="480"/>
        <w:rPr>
          <w:rFonts w:ascii="Times New Roman" w:hAnsi="Times New Roman"/>
          <w:color w:val="auto"/>
          <w:highlight w:val="none"/>
        </w:rPr>
      </w:pPr>
      <w:bookmarkStart w:id="23" w:name="_Toc89675132"/>
      <w:bookmarkStart w:id="24" w:name="_Toc55379223"/>
      <w:bookmarkStart w:id="25" w:name="_Toc469574669"/>
      <w:r>
        <w:rPr>
          <w:rFonts w:hint="eastAsia" w:ascii="Times New Roman" w:hAnsi="Times New Roman"/>
          <w:color w:val="auto"/>
          <w:highlight w:val="none"/>
        </w:rPr>
        <w:t>5.1 参选文件现场递交的开始时间为</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4</w:t>
      </w:r>
      <w:r>
        <w:rPr>
          <w:rFonts w:hint="eastAsia" w:ascii="Times New Roman" w:hAnsi="Times New Roman"/>
          <w:color w:val="auto"/>
          <w:highlight w:val="none"/>
        </w:rPr>
        <w:t>日</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00</w:t>
      </w:r>
      <w:r>
        <w:rPr>
          <w:rFonts w:hint="eastAsia" w:ascii="Times New Roman" w:hAnsi="Times New Roman"/>
          <w:color w:val="auto"/>
          <w:highlight w:val="none"/>
        </w:rPr>
        <w:t>分(北京时间)。递交截止时间为</w:t>
      </w:r>
      <w:r>
        <w:rPr>
          <w:rFonts w:hint="eastAsia" w:ascii="Times New Roman" w:hAnsi="Times New Roman"/>
          <w:color w:val="auto"/>
          <w:highlight w:val="none"/>
          <w:u w:val="singl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月</w:t>
      </w:r>
      <w:r>
        <w:rPr>
          <w:rFonts w:hint="eastAsia" w:ascii="Times New Roman" w:hAnsi="Times New Roman"/>
          <w:color w:val="auto"/>
          <w:highlight w:val="none"/>
          <w:u w:val="single"/>
          <w:lang w:val="en-US" w:eastAsia="zh-CN"/>
        </w:rPr>
        <w:t>4</w:t>
      </w:r>
      <w:r>
        <w:rPr>
          <w:rFonts w:hint="eastAsia" w:ascii="Times New Roman" w:hAnsi="Times New Roman"/>
          <w:color w:val="auto"/>
          <w:highlight w:val="none"/>
        </w:rPr>
        <w:t>日</w:t>
      </w:r>
      <w:r>
        <w:rPr>
          <w:rFonts w:hint="eastAsia" w:ascii="Times New Roman" w:hAnsi="Times New Roman"/>
          <w:color w:val="auto"/>
          <w:highlight w:val="none"/>
          <w:u w:val="single"/>
          <w:lang w:val="en-US" w:eastAsia="zh-CN"/>
        </w:rPr>
        <w:t>9</w:t>
      </w:r>
      <w:r>
        <w:rPr>
          <w:rFonts w:hint="eastAsia" w:ascii="Times New Roman" w:hAnsi="Times New Roman"/>
          <w:color w:val="auto"/>
          <w:highlight w:val="none"/>
        </w:rPr>
        <w:t>时</w:t>
      </w:r>
      <w:r>
        <w:rPr>
          <w:rFonts w:hint="eastAsia" w:ascii="Times New Roman" w:hAnsi="Times New Roman"/>
          <w:color w:val="auto"/>
          <w:highlight w:val="none"/>
          <w:u w:val="single"/>
          <w:lang w:val="en-US" w:eastAsia="zh-CN"/>
        </w:rPr>
        <w:t>30</w:t>
      </w:r>
      <w:r>
        <w:rPr>
          <w:rFonts w:hint="eastAsia" w:ascii="Times New Roman" w:hAnsi="Times New Roman"/>
          <w:color w:val="auto"/>
          <w:highlight w:val="none"/>
        </w:rPr>
        <w:t>分（北京时间）。</w:t>
      </w:r>
    </w:p>
    <w:p w14:paraId="33CFE310">
      <w:pPr>
        <w:ind w:firstLine="480"/>
        <w:rPr>
          <w:rFonts w:ascii="Times New Roman" w:hAnsi="Times New Roman"/>
          <w:color w:val="auto"/>
          <w:highlight w:val="none"/>
        </w:rPr>
      </w:pPr>
      <w:r>
        <w:rPr>
          <w:rFonts w:hint="eastAsia" w:ascii="Times New Roman" w:hAnsi="Times New Roman"/>
          <w:color w:val="auto"/>
          <w:highlight w:val="none"/>
        </w:rPr>
        <w:t>5.2 递交地点为</w:t>
      </w:r>
      <w:r>
        <w:rPr>
          <w:rFonts w:hint="eastAsia" w:ascii="Times New Roman" w:hAnsi="Times New Roman"/>
          <w:color w:val="auto"/>
          <w:highlight w:val="none"/>
          <w:lang w:val="en-US" w:eastAsia="zh-CN"/>
        </w:rPr>
        <w:t>重庆市渝北区青枫北路6号渝兴广场B10栋</w:t>
      </w:r>
      <w:r>
        <w:rPr>
          <w:rFonts w:hint="eastAsia" w:ascii="Times New Roman" w:hAnsi="Times New Roman"/>
          <w:color w:val="auto"/>
          <w:highlight w:val="none"/>
        </w:rPr>
        <w:t>重庆市公共资源交易中心开标区（具体请登陆重庆市公共资源交易网（www.cqggzy.com）查询或递交文件当日见交易中心大厅电子显示屏）。</w:t>
      </w:r>
    </w:p>
    <w:p w14:paraId="4946A1F9">
      <w:pPr>
        <w:ind w:firstLine="480"/>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35C09A09">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3"/>
      <w:bookmarkEnd w:id="24"/>
      <w:bookmarkEnd w:id="25"/>
    </w:p>
    <w:p w14:paraId="38E2172C">
      <w:pPr>
        <w:ind w:firstLine="480"/>
        <w:rPr>
          <w:rFonts w:ascii="Times New Roman" w:hAnsi="Times New Roman"/>
          <w:color w:val="auto"/>
          <w:highlight w:val="none"/>
        </w:rPr>
      </w:pPr>
      <w:bookmarkStart w:id="26" w:name="_Toc55379224"/>
      <w:bookmarkStart w:id="27" w:name="_Toc250565211"/>
      <w:bookmarkStart w:id="28" w:name="_Toc469574670"/>
      <w:bookmarkStart w:id="29" w:name="_Toc89675133"/>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549FCCE6">
      <w:pPr>
        <w:pStyle w:val="3"/>
        <w:rPr>
          <w:rFonts w:ascii="Times New Roman" w:hAnsi="Times New Roman"/>
          <w:color w:val="auto"/>
          <w:highlight w:val="none"/>
        </w:rPr>
      </w:pPr>
      <w:r>
        <w:rPr>
          <w:rFonts w:hint="eastAsia" w:ascii="Times New Roman" w:hAnsi="Times New Roman"/>
          <w:color w:val="auto"/>
          <w:highlight w:val="none"/>
        </w:rPr>
        <w:t>7. 联系方式</w:t>
      </w:r>
      <w:bookmarkEnd w:id="26"/>
      <w:bookmarkEnd w:id="27"/>
      <w:bookmarkEnd w:id="28"/>
      <w:bookmarkEnd w:id="29"/>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C80311A">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650393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项目需求咨询</w:t>
            </w:r>
          </w:p>
        </w:tc>
      </w:tr>
      <w:tr w14:paraId="3FC460A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8EA8A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项目联系人：冉铭铭</w:t>
            </w:r>
          </w:p>
        </w:tc>
        <w:tc>
          <w:tcPr>
            <w:tcW w:w="5333" w:type="dxa"/>
            <w:tcBorders>
              <w:top w:val="nil"/>
              <w:left w:val="nil"/>
              <w:bottom w:val="nil"/>
              <w:right w:val="single" w:color="auto" w:sz="4" w:space="0"/>
            </w:tcBorders>
          </w:tcPr>
          <w:p w14:paraId="7F437A9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Times New Roman" w:hAnsi="Times New Roman" w:cs="宋体"/>
                <w:color w:val="auto"/>
                <w:sz w:val="21"/>
                <w:szCs w:val="21"/>
                <w:highlight w:val="none"/>
              </w:rPr>
              <w:t>023-88890642</w:t>
            </w:r>
          </w:p>
        </w:tc>
      </w:tr>
      <w:tr w14:paraId="181C15D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3138E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7CD8147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D99D3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项目流程咨询</w:t>
            </w:r>
          </w:p>
        </w:tc>
      </w:tr>
      <w:tr w14:paraId="4FBA490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8E9A7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平台服务机构：重庆联合产权交易所集团股份有限公司</w:t>
            </w:r>
          </w:p>
        </w:tc>
      </w:tr>
      <w:tr w14:paraId="02DB6BC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6E41C2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平台联系人：罗老师</w:t>
            </w:r>
          </w:p>
        </w:tc>
        <w:tc>
          <w:tcPr>
            <w:tcW w:w="5333" w:type="dxa"/>
            <w:tcBorders>
              <w:top w:val="nil"/>
              <w:left w:val="nil"/>
              <w:bottom w:val="nil"/>
              <w:right w:val="single" w:color="auto" w:sz="4" w:space="0"/>
            </w:tcBorders>
          </w:tcPr>
          <w:p w14:paraId="7486F75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联系方式：023-63621694</w:t>
            </w:r>
          </w:p>
        </w:tc>
      </w:tr>
      <w:tr w14:paraId="116B801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F2C96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142663D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0634F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比选人联系方式</w:t>
            </w:r>
          </w:p>
        </w:tc>
      </w:tr>
      <w:tr w14:paraId="765510B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E55955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联系人：敬希</w:t>
            </w:r>
          </w:p>
        </w:tc>
        <w:tc>
          <w:tcPr>
            <w:tcW w:w="5333" w:type="dxa"/>
            <w:tcBorders>
              <w:top w:val="nil"/>
              <w:left w:val="nil"/>
              <w:bottom w:val="nil"/>
              <w:right w:val="single" w:color="auto" w:sz="4" w:space="0"/>
            </w:tcBorders>
          </w:tcPr>
          <w:p w14:paraId="13D0549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联系方式：023-88890395</w:t>
            </w:r>
          </w:p>
        </w:tc>
      </w:tr>
      <w:tr w14:paraId="3DE91785">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3E64CF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比选人地址：重庆市渝北区嘉州路88号中渝国际都会4号写字楼21层</w:t>
            </w:r>
          </w:p>
        </w:tc>
      </w:tr>
    </w:tbl>
    <w:p w14:paraId="5E12AA94">
      <w:pPr>
        <w:ind w:firstLine="480"/>
        <w:rPr>
          <w:rFonts w:ascii="Times New Roman" w:hAnsi="Times New Roman"/>
          <w:color w:val="auto"/>
          <w:highlight w:val="none"/>
        </w:rPr>
      </w:pPr>
    </w:p>
    <w:p w14:paraId="304B2393">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4DA09279">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20</w:t>
      </w:r>
      <w:r>
        <w:rPr>
          <w:rFonts w:hint="eastAsia" w:ascii="Times New Roman" w:hAnsi="Times New Roman"/>
          <w:color w:val="auto"/>
          <w:highlight w:val="none"/>
        </w:rPr>
        <w:t>日</w:t>
      </w:r>
    </w:p>
    <w:p w14:paraId="241FFE28">
      <w:pPr>
        <w:ind w:firstLine="480"/>
        <w:rPr>
          <w:rFonts w:ascii="Times New Roman" w:hAnsi="Times New Roman"/>
          <w:color w:val="auto"/>
          <w:highlight w:val="none"/>
        </w:rPr>
      </w:pPr>
      <w:r>
        <w:rPr>
          <w:rFonts w:ascii="Times New Roman" w:hAnsi="Times New Roman"/>
          <w:color w:val="auto"/>
          <w:highlight w:val="none"/>
        </w:rPr>
        <w:br w:type="page"/>
      </w:r>
    </w:p>
    <w:p w14:paraId="7F2F0103">
      <w:pPr>
        <w:pStyle w:val="2"/>
        <w:rPr>
          <w:rFonts w:ascii="Times New Roman" w:hAnsi="Times New Roman"/>
          <w:color w:val="auto"/>
          <w:highlight w:val="none"/>
        </w:rPr>
      </w:pPr>
      <w:bookmarkStart w:id="30" w:name="_Toc303066033"/>
      <w:bookmarkStart w:id="31" w:name="_Toc27630"/>
      <w:bookmarkStart w:id="32" w:name="_Toc10030"/>
      <w:bookmarkStart w:id="33" w:name="_Toc89675159"/>
      <w:r>
        <w:rPr>
          <w:rFonts w:hint="eastAsia" w:ascii="Times New Roman" w:hAnsi="Times New Roman"/>
          <w:color w:val="auto"/>
          <w:highlight w:val="none"/>
        </w:rPr>
        <w:t>第二章 参选人须知</w:t>
      </w:r>
      <w:bookmarkEnd w:id="30"/>
      <w:bookmarkEnd w:id="31"/>
      <w:bookmarkEnd w:id="32"/>
      <w:bookmarkEnd w:id="33"/>
    </w:p>
    <w:p w14:paraId="4946CEA5">
      <w:pPr>
        <w:pStyle w:val="3"/>
        <w:rPr>
          <w:rFonts w:ascii="Times New Roman" w:hAnsi="Times New Roman"/>
          <w:color w:val="auto"/>
          <w:highlight w:val="none"/>
        </w:rPr>
      </w:pPr>
      <w:bookmarkStart w:id="34" w:name="_Toc89675160"/>
      <w:r>
        <w:rPr>
          <w:rFonts w:hint="eastAsia" w:ascii="Times New Roman" w:hAnsi="Times New Roman"/>
          <w:color w:val="auto"/>
          <w:highlight w:val="none"/>
        </w:rPr>
        <w:t>1. 项目信息</w:t>
      </w:r>
    </w:p>
    <w:p w14:paraId="3C7261D7">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0B203D0A">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6ED26A7E">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194C5704">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hint="eastAsia"/>
          <w:color w:val="auto"/>
          <w:highlight w:val="none"/>
          <w:u w:val="single"/>
          <w:lang w:val="en-US" w:eastAsia="zh-CN"/>
        </w:rPr>
        <w:t>300000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hint="eastAsia"/>
          <w:color w:val="auto"/>
          <w:highlight w:val="none"/>
          <w:u w:val="single"/>
          <w:lang w:val="en-US" w:eastAsia="zh-CN"/>
        </w:rPr>
        <w:t>叁拾万元整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14:paraId="20B2F605">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4"/>
    <w:p w14:paraId="0C94CED3">
      <w:pPr>
        <w:ind w:firstLine="480"/>
        <w:rPr>
          <w:rFonts w:ascii="Times New Roman" w:hAnsi="Times New Roman"/>
          <w:color w:val="auto"/>
          <w:highlight w:val="none"/>
        </w:rPr>
      </w:pPr>
      <w:bookmarkStart w:id="35" w:name="_Toc89675161"/>
      <w:r>
        <w:rPr>
          <w:rFonts w:hint="eastAsia"/>
          <w:color w:val="auto"/>
          <w:highlight w:val="none"/>
          <w:lang w:eastAsia="zh-CN"/>
        </w:rPr>
        <w:t>随着业务发展和数字化转型要求，</w:t>
      </w:r>
      <w:r>
        <w:rPr>
          <w:rFonts w:hint="eastAsia"/>
          <w:color w:val="auto"/>
          <w:highlight w:val="none"/>
          <w:lang w:val="en-US" w:eastAsia="zh-CN"/>
        </w:rPr>
        <w:t>我行</w:t>
      </w:r>
      <w:r>
        <w:rPr>
          <w:rFonts w:hint="eastAsia"/>
          <w:color w:val="auto"/>
          <w:highlight w:val="none"/>
          <w:lang w:eastAsia="zh-CN"/>
        </w:rPr>
        <w:t>计划开展数据管理能力成熟度评估（以下简称DCMM评估）贯标工作，通过完善数据管理能力体系，带动我行数据管理能力全面提升，推动数据“高质量”治理，提升</w:t>
      </w:r>
      <w:r>
        <w:rPr>
          <w:rFonts w:hint="eastAsia"/>
          <w:color w:val="auto"/>
          <w:highlight w:val="none"/>
          <w:lang w:val="en-US" w:eastAsia="zh-CN"/>
        </w:rPr>
        <w:t>我行</w:t>
      </w:r>
      <w:r>
        <w:rPr>
          <w:rFonts w:hint="eastAsia"/>
          <w:color w:val="auto"/>
          <w:highlight w:val="none"/>
          <w:lang w:eastAsia="zh-CN"/>
        </w:rPr>
        <w:t>的数据治理能力，进一步挖掘数据价值，以数据驱动各项工作开展，为</w:t>
      </w:r>
      <w:r>
        <w:rPr>
          <w:rFonts w:hint="eastAsia"/>
          <w:color w:val="auto"/>
          <w:highlight w:val="none"/>
          <w:lang w:val="en-US" w:eastAsia="zh-CN"/>
        </w:rPr>
        <w:t>我行</w:t>
      </w:r>
      <w:r>
        <w:rPr>
          <w:rFonts w:hint="eastAsia"/>
          <w:color w:val="auto"/>
          <w:highlight w:val="none"/>
          <w:lang w:eastAsia="zh-CN"/>
        </w:rPr>
        <w:t>管理、决策提供数据支撑。</w:t>
      </w:r>
    </w:p>
    <w:p w14:paraId="43CF2030">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7C12995E">
      <w:pPr>
        <w:ind w:firstLine="480"/>
        <w:rPr>
          <w:rFonts w:ascii="Times New Roman" w:hAnsi="Times New Roman"/>
          <w:color w:val="auto"/>
          <w:highlight w:val="none"/>
        </w:rPr>
      </w:pPr>
      <w:r>
        <w:rPr>
          <w:rFonts w:hint="eastAsia"/>
          <w:color w:val="auto"/>
          <w:highlight w:val="none"/>
          <w:u w:val="none"/>
          <w:lang w:val="en-US" w:eastAsia="zh-CN"/>
        </w:rPr>
        <w:t>本项目的启动主要是对标国家及监管要求，实现以下目标：一是通过预评估发现我行数据管理能力短板，对标《数据管理能力成熟度评估模型》（</w:t>
      </w:r>
      <w:r>
        <w:rPr>
          <w:rFonts w:hint="eastAsia" w:ascii="Cambria Math" w:hAnsi="Cambria Math" w:eastAsia="宋体" w:cs="Cambria Math"/>
          <w:i w:val="0"/>
          <w:iCs w:val="0"/>
          <w:caps w:val="0"/>
          <w:color w:val="auto"/>
          <w:spacing w:val="0"/>
          <w:sz w:val="24"/>
          <w:szCs w:val="20"/>
          <w:highlight w:val="none"/>
          <w:u w:val="none"/>
          <w:shd w:val="clear"/>
        </w:rPr>
        <w:t>GB/T 36073-2018</w:t>
      </w:r>
      <w:r>
        <w:rPr>
          <w:rFonts w:hint="eastAsia"/>
          <w:color w:val="auto"/>
          <w:highlight w:val="none"/>
          <w:u w:val="none"/>
          <w:lang w:val="en-US" w:eastAsia="zh-CN"/>
        </w:rPr>
        <w:t>）和行业最佳实践进行提升，达到数据管理能力稳健级（三级）的要求。二是现场开展DCMM正式评估，通过评估审核，获得数据管理能力成熟度稳健级等级证书。三是根据国家标准《数据管理能力成熟度评估模型》（</w:t>
      </w:r>
      <w:r>
        <w:rPr>
          <w:rFonts w:hint="eastAsia" w:ascii="Cambria Math" w:hAnsi="Cambria Math" w:eastAsia="宋体" w:cs="Cambria Math"/>
          <w:i w:val="0"/>
          <w:iCs w:val="0"/>
          <w:caps w:val="0"/>
          <w:color w:val="auto"/>
          <w:spacing w:val="0"/>
          <w:sz w:val="24"/>
          <w:szCs w:val="20"/>
          <w:highlight w:val="none"/>
          <w:u w:val="none"/>
          <w:shd w:val="clear" w:fill="auto"/>
        </w:rPr>
        <w:t>GB/T 36073-2018</w:t>
      </w:r>
      <w:r>
        <w:rPr>
          <w:rFonts w:hint="eastAsia"/>
          <w:color w:val="auto"/>
          <w:highlight w:val="none"/>
          <w:u w:val="none"/>
          <w:lang w:val="en-US" w:eastAsia="zh-CN"/>
        </w:rPr>
        <w:t>）的要求，通过贯标培训，提升我行数据管理相关人员专业能力</w:t>
      </w:r>
      <w:r>
        <w:rPr>
          <w:rFonts w:hint="eastAsia" w:ascii="Times New Roman" w:hAnsi="Times New Roman"/>
          <w:color w:val="auto"/>
          <w:highlight w:val="none"/>
        </w:rPr>
        <w:t>。</w:t>
      </w:r>
    </w:p>
    <w:p w14:paraId="7092935F">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5"/>
    </w:p>
    <w:p w14:paraId="422C96D4">
      <w:pPr>
        <w:ind w:firstLine="480"/>
        <w:rPr>
          <w:rFonts w:ascii="Times New Roman" w:hAnsi="Times New Roman"/>
          <w:color w:val="auto"/>
          <w:highlight w:val="none"/>
        </w:rPr>
      </w:pPr>
      <w:r>
        <w:rPr>
          <w:rFonts w:hint="eastAsia" w:ascii="Times New Roman" w:hAnsi="Times New Roman"/>
          <w:color w:val="auto"/>
          <w:highlight w:val="none"/>
        </w:rPr>
        <w:t>2.1 合格参选人条件</w:t>
      </w:r>
    </w:p>
    <w:p w14:paraId="43A30B79">
      <w:pPr>
        <w:ind w:firstLine="480"/>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60FBED3B">
      <w:pPr>
        <w:ind w:firstLine="480"/>
        <w:rPr>
          <w:rFonts w:ascii="Times New Roman" w:hAnsi="Times New Roman"/>
          <w:color w:val="auto"/>
          <w:highlight w:val="none"/>
        </w:rPr>
      </w:pPr>
      <w:r>
        <w:rPr>
          <w:rFonts w:hint="eastAsia" w:ascii="Times New Roman" w:hAnsi="Times New Roman"/>
          <w:color w:val="auto"/>
          <w:highlight w:val="none"/>
        </w:rPr>
        <w:t>2.2 参选人的风险</w:t>
      </w:r>
    </w:p>
    <w:p w14:paraId="3BC8ED31">
      <w:pPr>
        <w:ind w:firstLine="480"/>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264034D6">
      <w:pPr>
        <w:pStyle w:val="3"/>
        <w:rPr>
          <w:rFonts w:ascii="Times New Roman" w:hAnsi="Times New Roman"/>
          <w:color w:val="auto"/>
          <w:highlight w:val="none"/>
        </w:rPr>
      </w:pPr>
      <w:bookmarkStart w:id="36" w:name="_Toc89675162"/>
      <w:r>
        <w:rPr>
          <w:rFonts w:hint="eastAsia" w:ascii="Times New Roman" w:hAnsi="Times New Roman"/>
          <w:color w:val="auto"/>
          <w:highlight w:val="none"/>
        </w:rPr>
        <w:t>3. 比选文件</w:t>
      </w:r>
      <w:bookmarkEnd w:id="36"/>
    </w:p>
    <w:p w14:paraId="0837CCE3">
      <w:pPr>
        <w:ind w:firstLine="480"/>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5FBBDD74">
      <w:pPr>
        <w:ind w:firstLine="480"/>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452BA5CC">
      <w:pPr>
        <w:pStyle w:val="3"/>
        <w:rPr>
          <w:rFonts w:ascii="Times New Roman" w:hAnsi="Times New Roman"/>
          <w:color w:val="auto"/>
          <w:highlight w:val="none"/>
        </w:rPr>
      </w:pPr>
      <w:bookmarkStart w:id="37"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7"/>
    </w:p>
    <w:p w14:paraId="36846A36">
      <w:pPr>
        <w:ind w:firstLine="480"/>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10EB7110">
      <w:pPr>
        <w:pStyle w:val="4"/>
        <w:ind w:firstLine="482"/>
        <w:rPr>
          <w:rFonts w:ascii="Times New Roman" w:hAnsi="Times New Roman"/>
          <w:color w:val="auto"/>
          <w:highlight w:val="none"/>
        </w:rPr>
      </w:pPr>
      <w:r>
        <w:rPr>
          <w:rFonts w:hint="eastAsia" w:ascii="Times New Roman" w:hAnsi="Times New Roman"/>
          <w:color w:val="auto"/>
          <w:highlight w:val="none"/>
        </w:rPr>
        <w:t>4.1 参选文件组成</w:t>
      </w:r>
    </w:p>
    <w:p w14:paraId="335D2551">
      <w:pPr>
        <w:ind w:firstLine="480"/>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176D583D">
      <w:pPr>
        <w:pStyle w:val="4"/>
        <w:ind w:firstLine="482"/>
        <w:rPr>
          <w:rFonts w:ascii="Times New Roman" w:hAnsi="Times New Roman"/>
          <w:color w:val="auto"/>
          <w:highlight w:val="none"/>
        </w:rPr>
      </w:pPr>
      <w:r>
        <w:rPr>
          <w:rFonts w:hint="eastAsia" w:ascii="Times New Roman" w:hAnsi="Times New Roman"/>
          <w:color w:val="auto"/>
          <w:highlight w:val="none"/>
        </w:rPr>
        <w:t>4.2 联合参选</w:t>
      </w:r>
    </w:p>
    <w:p w14:paraId="58DEDE65">
      <w:pPr>
        <w:ind w:firstLine="480"/>
        <w:rPr>
          <w:rFonts w:ascii="Times New Roman" w:hAnsi="Times New Roman"/>
          <w:color w:val="auto"/>
          <w:highlight w:val="none"/>
        </w:rPr>
      </w:pPr>
      <w:r>
        <w:rPr>
          <w:rFonts w:hint="eastAsia" w:ascii="Times New Roman" w:hAnsi="Times New Roman"/>
          <w:color w:val="auto"/>
          <w:highlight w:val="none"/>
        </w:rPr>
        <w:t>本比选项目不接受联合参选</w:t>
      </w:r>
    </w:p>
    <w:p w14:paraId="11DD6751">
      <w:pPr>
        <w:pStyle w:val="4"/>
        <w:ind w:firstLine="482"/>
        <w:rPr>
          <w:rFonts w:ascii="Times New Roman" w:hAnsi="Times New Roman"/>
          <w:color w:val="auto"/>
          <w:highlight w:val="none"/>
        </w:rPr>
      </w:pPr>
      <w:r>
        <w:rPr>
          <w:rFonts w:hint="eastAsia" w:ascii="Times New Roman" w:hAnsi="Times New Roman"/>
          <w:color w:val="auto"/>
          <w:highlight w:val="none"/>
        </w:rPr>
        <w:t>4.3 参选有效期</w:t>
      </w:r>
    </w:p>
    <w:p w14:paraId="75D159E0">
      <w:pPr>
        <w:ind w:firstLine="480"/>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B71E334">
      <w:pPr>
        <w:pStyle w:val="4"/>
        <w:ind w:firstLine="482"/>
        <w:rPr>
          <w:rFonts w:ascii="Times New Roman" w:hAnsi="Times New Roman"/>
          <w:color w:val="auto"/>
          <w:highlight w:val="none"/>
        </w:rPr>
      </w:pPr>
      <w:r>
        <w:rPr>
          <w:rFonts w:hint="eastAsia" w:ascii="Times New Roman" w:hAnsi="Times New Roman"/>
          <w:color w:val="auto"/>
          <w:highlight w:val="none"/>
        </w:rPr>
        <w:t>4.4 参选保证金</w:t>
      </w:r>
    </w:p>
    <w:p w14:paraId="5B263368">
      <w:pPr>
        <w:ind w:firstLine="480"/>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638EFDD0">
      <w:pPr>
        <w:ind w:firstLine="480"/>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7FABF704">
      <w:pPr>
        <w:ind w:firstLine="480"/>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03304839">
      <w:pPr>
        <w:ind w:firstLine="480"/>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6E4F583E">
      <w:pPr>
        <w:ind w:firstLine="480"/>
        <w:rPr>
          <w:rFonts w:ascii="Times New Roman" w:hAnsi="Times New Roman"/>
          <w:color w:val="auto"/>
          <w:highlight w:val="none"/>
        </w:rPr>
      </w:pPr>
      <w:r>
        <w:rPr>
          <w:rFonts w:hint="eastAsia" w:ascii="Times New Roman" w:hAnsi="Times New Roman"/>
          <w:color w:val="auto"/>
          <w:highlight w:val="none"/>
        </w:rPr>
        <w:t>4.4.5 参选保证金的退还：</w:t>
      </w:r>
    </w:p>
    <w:p w14:paraId="74F942CD">
      <w:pPr>
        <w:ind w:firstLine="480"/>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84A232">
      <w:pPr>
        <w:ind w:firstLine="480"/>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04F050D">
      <w:pPr>
        <w:ind w:firstLine="480"/>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2816FA1">
      <w:pPr>
        <w:ind w:firstLine="480"/>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7AA45E42">
      <w:pPr>
        <w:ind w:firstLine="480"/>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0EC103F7">
      <w:pPr>
        <w:ind w:firstLine="480"/>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1DC1C31F">
      <w:pPr>
        <w:ind w:firstLine="480"/>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2D672C11">
      <w:pPr>
        <w:ind w:firstLine="480"/>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6A125DAB">
      <w:pPr>
        <w:ind w:firstLine="480"/>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5DA04CA0">
      <w:pPr>
        <w:ind w:firstLine="480"/>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69A8785B">
      <w:pPr>
        <w:pStyle w:val="4"/>
        <w:ind w:firstLine="482"/>
        <w:rPr>
          <w:rFonts w:ascii="Times New Roman" w:hAnsi="Times New Roman"/>
          <w:color w:val="auto"/>
          <w:highlight w:val="none"/>
        </w:rPr>
      </w:pPr>
      <w:r>
        <w:rPr>
          <w:rFonts w:hint="eastAsia" w:ascii="Times New Roman" w:hAnsi="Times New Roman"/>
          <w:color w:val="auto"/>
          <w:highlight w:val="none"/>
        </w:rPr>
        <w:t>4.5 参选文件的份数和签署</w:t>
      </w:r>
    </w:p>
    <w:p w14:paraId="7F1E19EA">
      <w:pPr>
        <w:ind w:firstLine="480"/>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w:t>
      </w:r>
      <w:r>
        <w:rPr>
          <w:color w:val="auto"/>
          <w:highlight w:val="none"/>
        </w:rPr>
        <w:t>PDF</w:t>
      </w:r>
      <w:r>
        <w:rPr>
          <w:rFonts w:hint="eastAsia"/>
          <w:color w:val="auto"/>
          <w:highlight w:val="none"/>
        </w:rPr>
        <w:t>格式扫描件，文件名为“参选人单位名简称</w:t>
      </w:r>
      <w:r>
        <w:rPr>
          <w:color w:val="auto"/>
          <w:highlight w:val="none"/>
        </w:rPr>
        <w:t>+</w:t>
      </w:r>
      <w:r>
        <w:rPr>
          <w:rFonts w:hint="eastAsia"/>
          <w:color w:val="auto"/>
          <w:highlight w:val="none"/>
        </w:rPr>
        <w:t>项目名简称”。</w:t>
      </w:r>
    </w:p>
    <w:p w14:paraId="40D52490">
      <w:pPr>
        <w:ind w:firstLine="480"/>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4BE87A35">
      <w:pPr>
        <w:ind w:firstLine="480"/>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30A5318D">
      <w:pPr>
        <w:ind w:firstLine="480"/>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4C6AB016">
      <w:pPr>
        <w:pStyle w:val="4"/>
        <w:ind w:firstLine="482"/>
        <w:rPr>
          <w:rFonts w:ascii="Times New Roman" w:hAnsi="Times New Roman"/>
          <w:color w:val="auto"/>
          <w:highlight w:val="none"/>
        </w:rPr>
      </w:pPr>
      <w:r>
        <w:rPr>
          <w:rFonts w:hint="eastAsia" w:ascii="Times New Roman" w:hAnsi="Times New Roman"/>
          <w:color w:val="auto"/>
          <w:highlight w:val="none"/>
        </w:rPr>
        <w:t>4.6 参选文件的密封与标记</w:t>
      </w:r>
    </w:p>
    <w:p w14:paraId="33F208DF">
      <w:pPr>
        <w:ind w:firstLine="480"/>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674B146C">
      <w:pPr>
        <w:ind w:firstLine="480"/>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465B6307">
      <w:pPr>
        <w:pStyle w:val="4"/>
        <w:ind w:firstLine="482"/>
        <w:rPr>
          <w:rFonts w:ascii="Times New Roman" w:hAnsi="Times New Roman"/>
          <w:color w:val="auto"/>
          <w:highlight w:val="none"/>
        </w:rPr>
      </w:pPr>
      <w:r>
        <w:rPr>
          <w:rFonts w:hint="eastAsia" w:ascii="Times New Roman" w:hAnsi="Times New Roman"/>
          <w:color w:val="auto"/>
          <w:highlight w:val="none"/>
        </w:rPr>
        <w:t>4.7 参选报价</w:t>
      </w:r>
    </w:p>
    <w:p w14:paraId="3AF2DDAF">
      <w:pPr>
        <w:ind w:firstLine="480"/>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122F49C2">
      <w:pPr>
        <w:ind w:firstLine="480"/>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3B2D6062">
      <w:pPr>
        <w:ind w:firstLine="480"/>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3F1D0C74">
      <w:pPr>
        <w:ind w:firstLine="480"/>
        <w:rPr>
          <w:rFonts w:hint="eastAsia" w:ascii="Times New Roman" w:hAnsi="Times New Roman"/>
          <w:color w:val="auto"/>
          <w:highlight w:val="none"/>
        </w:rPr>
      </w:pPr>
      <w:r>
        <w:rPr>
          <w:rFonts w:hint="eastAsia"/>
          <w:color w:val="auto"/>
          <w:highlight w:val="none"/>
          <w:lang w:val="en-US" w:eastAsia="zh-CN"/>
        </w:rPr>
        <w:t xml:space="preserve">4.7.4 </w:t>
      </w:r>
      <w:r>
        <w:rPr>
          <w:color w:val="auto"/>
          <w:highlight w:val="none"/>
        </w:rPr>
        <w:t>参选报价</w:t>
      </w:r>
      <w:r>
        <w:rPr>
          <w:rFonts w:hint="eastAsia"/>
          <w:color w:val="auto"/>
          <w:highlight w:val="none"/>
          <w:lang w:val="en-US" w:eastAsia="zh-CN"/>
        </w:rPr>
        <w:t>不得</w:t>
      </w:r>
      <w:r>
        <w:rPr>
          <w:color w:val="auto"/>
          <w:highlight w:val="none"/>
        </w:rPr>
        <w:t>超出最高限价</w:t>
      </w:r>
      <w:r>
        <w:rPr>
          <w:rFonts w:hint="eastAsia"/>
          <w:color w:val="auto"/>
          <w:highlight w:val="none"/>
          <w:lang w:eastAsia="zh-CN"/>
        </w:rPr>
        <w:t>。</w:t>
      </w:r>
    </w:p>
    <w:p w14:paraId="56D75F53">
      <w:pPr>
        <w:pStyle w:val="4"/>
        <w:ind w:firstLine="482"/>
        <w:rPr>
          <w:rFonts w:ascii="Times New Roman" w:hAnsi="Times New Roman"/>
          <w:color w:val="auto"/>
          <w:highlight w:val="none"/>
        </w:rPr>
      </w:pPr>
      <w:r>
        <w:rPr>
          <w:rFonts w:hint="eastAsia" w:ascii="Times New Roman" w:hAnsi="Times New Roman"/>
          <w:color w:val="auto"/>
          <w:highlight w:val="none"/>
        </w:rPr>
        <w:t>4.8 修正错误</w:t>
      </w:r>
    </w:p>
    <w:p w14:paraId="1F70D72F">
      <w:pPr>
        <w:ind w:firstLine="480"/>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46FBEC5B">
      <w:pPr>
        <w:ind w:firstLine="480"/>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49A7476F">
      <w:pPr>
        <w:ind w:firstLine="480"/>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316C4823">
      <w:pPr>
        <w:ind w:firstLine="480"/>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22184640">
      <w:pPr>
        <w:ind w:firstLine="480"/>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184BCF6F">
      <w:pPr>
        <w:ind w:firstLine="480"/>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F61820F">
      <w:pPr>
        <w:pStyle w:val="3"/>
        <w:rPr>
          <w:rFonts w:ascii="Times New Roman" w:hAnsi="Times New Roman"/>
          <w:color w:val="auto"/>
          <w:highlight w:val="none"/>
        </w:rPr>
      </w:pPr>
      <w:bookmarkStart w:id="38" w:name="_Toc89675166"/>
      <w:r>
        <w:rPr>
          <w:rFonts w:hint="eastAsia" w:ascii="Times New Roman" w:hAnsi="Times New Roman"/>
          <w:color w:val="auto"/>
          <w:highlight w:val="none"/>
        </w:rPr>
        <w:t>5. 比选程序</w:t>
      </w:r>
    </w:p>
    <w:p w14:paraId="4AC73DC9">
      <w:pPr>
        <w:ind w:firstLine="480"/>
        <w:rPr>
          <w:rFonts w:ascii="Times New Roman" w:hAnsi="Times New Roman"/>
          <w:color w:val="auto"/>
          <w:highlight w:val="none"/>
        </w:rPr>
      </w:pPr>
      <w:r>
        <w:rPr>
          <w:rFonts w:hint="eastAsia" w:ascii="Times New Roman" w:hAnsi="Times New Roman"/>
          <w:color w:val="auto"/>
          <w:highlight w:val="none"/>
        </w:rPr>
        <w:t>主持人按下列程序进行比选：</w:t>
      </w:r>
    </w:p>
    <w:p w14:paraId="589A14AC">
      <w:pPr>
        <w:ind w:firstLine="480"/>
        <w:rPr>
          <w:rFonts w:ascii="Times New Roman" w:hAnsi="Times New Roman"/>
          <w:color w:val="auto"/>
          <w:highlight w:val="none"/>
        </w:rPr>
      </w:pPr>
      <w:r>
        <w:rPr>
          <w:rFonts w:hint="eastAsia" w:ascii="Times New Roman" w:hAnsi="Times New Roman"/>
          <w:color w:val="auto"/>
          <w:highlight w:val="none"/>
        </w:rPr>
        <w:t>5.1 宣布比选纪律；</w:t>
      </w:r>
    </w:p>
    <w:p w14:paraId="2A17DD5B">
      <w:pPr>
        <w:ind w:firstLine="480"/>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7093C1D9">
      <w:pPr>
        <w:ind w:firstLine="480"/>
        <w:rPr>
          <w:rFonts w:ascii="Times New Roman" w:hAnsi="Times New Roman"/>
          <w:color w:val="auto"/>
          <w:highlight w:val="none"/>
        </w:rPr>
      </w:pPr>
      <w:r>
        <w:rPr>
          <w:rFonts w:hint="eastAsia" w:ascii="Times New Roman" w:hAnsi="Times New Roman"/>
          <w:color w:val="auto"/>
          <w:highlight w:val="none"/>
        </w:rPr>
        <w:t>5.3 公布在比选截止时间前递交参选文件的参选人名称，并点名确认参选人是否派人到场；</w:t>
      </w:r>
    </w:p>
    <w:p w14:paraId="6F80A135">
      <w:pPr>
        <w:ind w:firstLine="480"/>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34B5665D">
      <w:pPr>
        <w:ind w:firstLine="480"/>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2E24DE38">
      <w:pPr>
        <w:ind w:firstLine="480"/>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576DDB6A">
      <w:pPr>
        <w:ind w:firstLine="480"/>
        <w:rPr>
          <w:rFonts w:ascii="Times New Roman" w:hAnsi="Times New Roman"/>
          <w:color w:val="auto"/>
          <w:highlight w:val="none"/>
        </w:rPr>
      </w:pPr>
      <w:r>
        <w:rPr>
          <w:rFonts w:hint="eastAsia" w:ascii="Times New Roman" w:hAnsi="Times New Roman"/>
          <w:color w:val="auto"/>
          <w:highlight w:val="none"/>
        </w:rPr>
        <w:t>5.7 开启参选文件；</w:t>
      </w:r>
    </w:p>
    <w:p w14:paraId="2C875FE1">
      <w:pPr>
        <w:ind w:firstLine="480"/>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60760391">
      <w:pPr>
        <w:ind w:firstLine="480"/>
        <w:rPr>
          <w:rFonts w:ascii="Times New Roman" w:hAnsi="Times New Roman"/>
          <w:color w:val="auto"/>
          <w:highlight w:val="none"/>
        </w:rPr>
      </w:pPr>
      <w:r>
        <w:rPr>
          <w:rFonts w:hint="eastAsia" w:ascii="Times New Roman" w:hAnsi="Times New Roman"/>
          <w:color w:val="auto"/>
          <w:highlight w:val="none"/>
        </w:rPr>
        <w:t>5.9 比选结束。</w:t>
      </w:r>
    </w:p>
    <w:p w14:paraId="2A73C0CC">
      <w:pPr>
        <w:pStyle w:val="3"/>
        <w:rPr>
          <w:rFonts w:ascii="Times New Roman" w:hAnsi="Times New Roman"/>
          <w:color w:val="auto"/>
          <w:highlight w:val="none"/>
        </w:rPr>
      </w:pPr>
      <w:r>
        <w:rPr>
          <w:rFonts w:hint="eastAsia" w:ascii="Times New Roman" w:hAnsi="Times New Roman"/>
          <w:color w:val="auto"/>
          <w:highlight w:val="none"/>
        </w:rPr>
        <w:t>6. 评审</w:t>
      </w:r>
    </w:p>
    <w:p w14:paraId="35B813E6">
      <w:pPr>
        <w:ind w:firstLine="480"/>
        <w:rPr>
          <w:rFonts w:ascii="Times New Roman" w:hAnsi="Times New Roman"/>
          <w:color w:val="auto"/>
          <w:highlight w:val="none"/>
        </w:rPr>
      </w:pPr>
      <w:r>
        <w:rPr>
          <w:rFonts w:hint="eastAsia" w:ascii="Times New Roman" w:hAnsi="Times New Roman"/>
          <w:color w:val="auto"/>
          <w:highlight w:val="none"/>
        </w:rPr>
        <w:t>见第四章内容。</w:t>
      </w:r>
    </w:p>
    <w:p w14:paraId="71E02476">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38"/>
    </w:p>
    <w:p w14:paraId="3EE3AEC4">
      <w:pPr>
        <w:ind w:firstLine="480"/>
        <w:rPr>
          <w:rFonts w:ascii="Times New Roman" w:hAnsi="Times New Roman"/>
          <w:color w:val="auto"/>
          <w:highlight w:val="none"/>
        </w:rPr>
      </w:pPr>
      <w:r>
        <w:rPr>
          <w:rFonts w:hint="eastAsia" w:ascii="Times New Roman" w:hAnsi="Times New Roman"/>
          <w:color w:val="auto"/>
          <w:highlight w:val="none"/>
        </w:rPr>
        <w:t>7.1 定选原则</w:t>
      </w:r>
    </w:p>
    <w:p w14:paraId="3FB45E42">
      <w:pPr>
        <w:ind w:firstLine="480"/>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0590E7A4">
      <w:pPr>
        <w:ind w:firstLine="480"/>
        <w:rPr>
          <w:rFonts w:ascii="Times New Roman" w:hAnsi="Times New Roman"/>
          <w:color w:val="auto"/>
          <w:highlight w:val="none"/>
        </w:rPr>
      </w:pPr>
      <w:r>
        <w:rPr>
          <w:rFonts w:hint="eastAsia" w:ascii="Times New Roman" w:hAnsi="Times New Roman"/>
          <w:color w:val="auto"/>
          <w:highlight w:val="none"/>
        </w:rPr>
        <w:t>7.2 不承诺最低价格中选。</w:t>
      </w:r>
    </w:p>
    <w:p w14:paraId="23133401">
      <w:pPr>
        <w:ind w:firstLine="480"/>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2BED165">
      <w:pPr>
        <w:pStyle w:val="3"/>
        <w:rPr>
          <w:rFonts w:ascii="Times New Roman" w:hAnsi="Times New Roman"/>
          <w:color w:val="auto"/>
          <w:highlight w:val="none"/>
        </w:rPr>
      </w:pPr>
      <w:bookmarkStart w:id="39" w:name="_Toc89675168"/>
      <w:bookmarkStart w:id="40" w:name="_Toc12245"/>
      <w:r>
        <w:rPr>
          <w:rFonts w:hint="eastAsia" w:ascii="Times New Roman" w:hAnsi="Times New Roman"/>
          <w:color w:val="auto"/>
          <w:highlight w:val="none"/>
        </w:rPr>
        <w:t>8. 签订合同</w:t>
      </w:r>
      <w:bookmarkEnd w:id="39"/>
      <w:bookmarkEnd w:id="40"/>
    </w:p>
    <w:p w14:paraId="5D73F106">
      <w:pPr>
        <w:ind w:firstLine="480"/>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139ADB9">
      <w:pPr>
        <w:ind w:firstLine="480"/>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5CCA5F88">
      <w:pPr>
        <w:ind w:firstLine="480"/>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1491F313">
      <w:pPr>
        <w:bidi w:val="0"/>
        <w:rPr>
          <w:color w:val="auto"/>
          <w:highlight w:val="none"/>
        </w:rPr>
      </w:pPr>
      <w:r>
        <w:rPr>
          <w:rFonts w:hint="eastAsia"/>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B8D2A8F">
      <w:pPr>
        <w:ind w:firstLine="480"/>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41A665F9">
      <w:pPr>
        <w:pStyle w:val="3"/>
        <w:rPr>
          <w:rFonts w:ascii="Times New Roman" w:hAnsi="Times New Roman"/>
          <w:color w:val="auto"/>
          <w:highlight w:val="none"/>
        </w:rPr>
      </w:pPr>
      <w:r>
        <w:rPr>
          <w:rFonts w:hint="eastAsia" w:ascii="Times New Roman" w:hAnsi="Times New Roman"/>
          <w:color w:val="auto"/>
          <w:highlight w:val="none"/>
        </w:rPr>
        <w:t>9. 纪律与要求</w:t>
      </w:r>
    </w:p>
    <w:p w14:paraId="27A2D9E0">
      <w:pPr>
        <w:ind w:firstLine="480"/>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2D8D26BD">
      <w:pPr>
        <w:ind w:firstLine="480"/>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1B13FBA0">
      <w:pPr>
        <w:ind w:firstLine="480"/>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68A8F03B">
      <w:pPr>
        <w:ind w:firstLine="480"/>
        <w:rPr>
          <w:rFonts w:ascii="Times New Roman" w:hAnsi="Times New Roman"/>
          <w:color w:val="auto"/>
          <w:highlight w:val="none"/>
        </w:rPr>
      </w:pPr>
      <w:r>
        <w:rPr>
          <w:rFonts w:hint="eastAsia" w:ascii="Times New Roman" w:hAnsi="Times New Roman"/>
          <w:color w:val="auto"/>
          <w:highlight w:val="none"/>
        </w:rPr>
        <w:t>9.1.2 参选人之间约定中选人；</w:t>
      </w:r>
    </w:p>
    <w:p w14:paraId="3414EFBC">
      <w:pPr>
        <w:ind w:firstLine="480"/>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223DD325">
      <w:pPr>
        <w:ind w:firstLine="480"/>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38D9EFBC">
      <w:pPr>
        <w:ind w:firstLine="480"/>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1BCEC91B">
      <w:pPr>
        <w:ind w:firstLine="480"/>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6705C10F">
      <w:pPr>
        <w:ind w:firstLine="480"/>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62CC5BC0">
      <w:pPr>
        <w:ind w:firstLine="480"/>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54E8C5E4">
      <w:pPr>
        <w:ind w:firstLine="480"/>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00FCA050">
      <w:pPr>
        <w:ind w:firstLine="480"/>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769EC06D">
      <w:pPr>
        <w:ind w:firstLine="480"/>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43490B9C">
      <w:pPr>
        <w:ind w:firstLine="480"/>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644F4858">
      <w:pPr>
        <w:ind w:firstLine="480"/>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50974EA8">
      <w:pPr>
        <w:ind w:firstLine="480"/>
        <w:rPr>
          <w:rFonts w:ascii="Times New Roman" w:hAnsi="Times New Roman"/>
          <w:color w:val="auto"/>
          <w:highlight w:val="none"/>
        </w:rPr>
      </w:pPr>
      <w:r>
        <w:rPr>
          <w:rFonts w:hint="eastAsia" w:ascii="Times New Roman" w:hAnsi="Times New Roman"/>
          <w:color w:val="auto"/>
          <w:highlight w:val="none"/>
        </w:rPr>
        <w:t>9.4.1 使用伪造、变造的许可证件；</w:t>
      </w:r>
    </w:p>
    <w:p w14:paraId="57B15214">
      <w:pPr>
        <w:ind w:firstLine="480"/>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48A6BB4E">
      <w:pPr>
        <w:ind w:firstLine="480"/>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3F6C8AB5">
      <w:pPr>
        <w:ind w:firstLine="480"/>
        <w:rPr>
          <w:rFonts w:ascii="Times New Roman" w:hAnsi="Times New Roman"/>
          <w:color w:val="auto"/>
          <w:highlight w:val="none"/>
        </w:rPr>
      </w:pPr>
      <w:r>
        <w:rPr>
          <w:rFonts w:hint="eastAsia" w:ascii="Times New Roman" w:hAnsi="Times New Roman"/>
          <w:color w:val="auto"/>
          <w:highlight w:val="none"/>
        </w:rPr>
        <w:t>9.4.4 提供虚假的信用状况；</w:t>
      </w:r>
    </w:p>
    <w:p w14:paraId="421226C2">
      <w:pPr>
        <w:ind w:firstLine="480"/>
        <w:rPr>
          <w:rFonts w:ascii="Times New Roman" w:hAnsi="Times New Roman"/>
          <w:color w:val="auto"/>
          <w:highlight w:val="none"/>
        </w:rPr>
      </w:pPr>
      <w:r>
        <w:rPr>
          <w:rFonts w:hint="eastAsia" w:ascii="Times New Roman" w:hAnsi="Times New Roman"/>
          <w:color w:val="auto"/>
          <w:highlight w:val="none"/>
        </w:rPr>
        <w:t>9.4.5 其它弄虚作假的行为。</w:t>
      </w:r>
    </w:p>
    <w:p w14:paraId="4D65B49F">
      <w:pPr>
        <w:ind w:firstLine="480"/>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51CF10ED">
      <w:pPr>
        <w:pStyle w:val="3"/>
        <w:rPr>
          <w:rFonts w:ascii="Times New Roman" w:hAnsi="Times New Roman"/>
          <w:color w:val="auto"/>
          <w:highlight w:val="none"/>
        </w:rPr>
      </w:pPr>
      <w:bookmarkStart w:id="41" w:name="_Toc89675169"/>
      <w:r>
        <w:rPr>
          <w:rFonts w:hint="eastAsia" w:ascii="Times New Roman" w:hAnsi="Times New Roman"/>
          <w:color w:val="auto"/>
          <w:highlight w:val="none"/>
        </w:rPr>
        <w:t>10. 提问、质疑、投诉</w:t>
      </w:r>
    </w:p>
    <w:p w14:paraId="0FC933C9">
      <w:pPr>
        <w:ind w:firstLine="480"/>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34D457C6">
      <w:pPr>
        <w:ind w:firstLine="480"/>
        <w:rPr>
          <w:rFonts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513811C8">
      <w:pPr>
        <w:ind w:firstLine="480"/>
        <w:rPr>
          <w:rFonts w:ascii="Times New Roman" w:hAnsi="Times New Roman"/>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比选人认为有必要对参选人所提质疑进行答复时，将以书面形式进行答复。</w:t>
      </w:r>
    </w:p>
    <w:p w14:paraId="6F0F111A">
      <w:pPr>
        <w:ind w:firstLine="480"/>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00FFE6B">
      <w:pPr>
        <w:ind w:firstLine="480"/>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70A01EF7">
      <w:pPr>
        <w:ind w:firstLine="480"/>
        <w:rPr>
          <w:rFonts w:ascii="Times New Roman" w:hAnsi="Times New Roman"/>
          <w:color w:val="auto"/>
          <w:highlight w:val="none"/>
        </w:rPr>
      </w:pPr>
      <w:r>
        <w:rPr>
          <w:rFonts w:hint="eastAsia" w:ascii="Times New Roman" w:hAnsi="Times New Roman"/>
          <w:color w:val="auto"/>
          <w:highlight w:val="none"/>
        </w:rPr>
        <w:t>采购投诉邮箱：</w:t>
      </w:r>
      <w:bookmarkStart w:id="42"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2"/>
    </w:p>
    <w:p w14:paraId="49D0F09A">
      <w:pPr>
        <w:pStyle w:val="3"/>
        <w:rPr>
          <w:rFonts w:ascii="Times New Roman" w:hAnsi="Times New Roman"/>
          <w:color w:val="auto"/>
          <w:highlight w:val="none"/>
        </w:rPr>
      </w:pPr>
      <w:bookmarkStart w:id="43" w:name="_Toc89675157"/>
      <w:bookmarkStart w:id="44" w:name="_Toc11439"/>
      <w:bookmarkStart w:id="45" w:name="_Toc15059431"/>
      <w:bookmarkStart w:id="46" w:name="_Toc440628924"/>
      <w:bookmarkStart w:id="47" w:name="_Toc275199618"/>
      <w:r>
        <w:rPr>
          <w:rFonts w:hint="eastAsia" w:ascii="Times New Roman" w:hAnsi="Times New Roman"/>
          <w:color w:val="auto"/>
          <w:highlight w:val="none"/>
        </w:rPr>
        <w:t>11. 无效参选条款</w:t>
      </w:r>
      <w:bookmarkEnd w:id="43"/>
      <w:bookmarkEnd w:id="44"/>
      <w:bookmarkEnd w:id="45"/>
      <w:bookmarkEnd w:id="46"/>
      <w:bookmarkEnd w:id="47"/>
    </w:p>
    <w:p w14:paraId="6FAB1BFC">
      <w:pPr>
        <w:ind w:firstLine="480"/>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125D7CCC">
      <w:pPr>
        <w:ind w:firstLine="480"/>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27896777">
      <w:pPr>
        <w:ind w:firstLine="480"/>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5D531366">
      <w:pPr>
        <w:ind w:firstLine="480"/>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571C21B8">
      <w:pPr>
        <w:ind w:firstLine="480"/>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6D467EBC">
      <w:pPr>
        <w:ind w:firstLine="480"/>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4478EBE8">
      <w:pPr>
        <w:ind w:firstLine="480"/>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6DFEF5A0">
      <w:pPr>
        <w:ind w:firstLine="480"/>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6921ECDD">
      <w:pPr>
        <w:ind w:firstLine="480"/>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5588D04C">
      <w:pPr>
        <w:ind w:firstLine="480"/>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7CABD0AB">
      <w:pPr>
        <w:ind w:firstLine="480"/>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667120E3">
      <w:pPr>
        <w:ind w:firstLine="480"/>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1D078C8B">
      <w:pPr>
        <w:ind w:firstLine="480"/>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45A76F70">
      <w:pPr>
        <w:ind w:firstLine="480"/>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436AE558">
      <w:pPr>
        <w:ind w:firstLine="480"/>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76ED29A5">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0363A67E">
      <w:pPr>
        <w:snapToGrid w:val="0"/>
        <w:ind w:firstLine="480"/>
        <w:rPr>
          <w:rFonts w:ascii="Times New Roman" w:hAnsi="Times New Roman"/>
          <w:color w:val="auto"/>
          <w:highlight w:val="none"/>
        </w:rPr>
      </w:pPr>
      <w:r>
        <w:rPr>
          <w:rFonts w:hint="eastAsia" w:ascii="Times New Roman" w:hAnsi="Times New Roman"/>
          <w:color w:val="auto"/>
          <w:highlight w:val="none"/>
        </w:rPr>
        <w:t>出现以下情形本次比选失败：</w:t>
      </w:r>
    </w:p>
    <w:p w14:paraId="20F6D384">
      <w:pPr>
        <w:snapToGrid w:val="0"/>
        <w:ind w:firstLine="48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381D3B15">
      <w:pPr>
        <w:ind w:firstLine="480"/>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54705D15">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1"/>
    </w:p>
    <w:p w14:paraId="75AFE144">
      <w:pPr>
        <w:ind w:firstLine="480"/>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7761EA75">
      <w:pPr>
        <w:ind w:firstLine="480"/>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026C74FB">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15D07902">
      <w:pPr>
        <w:ind w:firstLine="480"/>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79BF0191">
      <w:pPr>
        <w:ind w:firstLine="480"/>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8000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2FABFF3A">
      <w:pPr>
        <w:widowControl/>
        <w:ind w:firstLine="480"/>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746B2F1B">
      <w:pPr>
        <w:pStyle w:val="2"/>
        <w:rPr>
          <w:rFonts w:ascii="Times New Roman" w:hAnsi="Times New Roman"/>
          <w:color w:val="auto"/>
          <w:highlight w:val="none"/>
        </w:rPr>
      </w:pPr>
      <w:bookmarkStart w:id="48" w:name="_Toc28105"/>
      <w:bookmarkStart w:id="49" w:name="_Toc11825"/>
      <w:r>
        <w:rPr>
          <w:rFonts w:hint="eastAsia" w:ascii="Times New Roman" w:hAnsi="Times New Roman"/>
          <w:color w:val="auto"/>
          <w:highlight w:val="none"/>
        </w:rPr>
        <w:t>第三章 项目要求</w:t>
      </w:r>
      <w:bookmarkEnd w:id="48"/>
      <w:bookmarkEnd w:id="49"/>
    </w:p>
    <w:p w14:paraId="1102A257">
      <w:pPr>
        <w:pStyle w:val="3"/>
        <w:bidi w:val="0"/>
        <w:rPr>
          <w:color w:val="auto"/>
          <w:highlight w:val="none"/>
        </w:rPr>
      </w:pPr>
      <w:r>
        <w:rPr>
          <w:rFonts w:hint="default"/>
          <w:color w:val="auto"/>
          <w:highlight w:val="none"/>
          <w:lang w:val="en-US" w:eastAsia="zh-CN"/>
        </w:rPr>
        <w:t>1.</w:t>
      </w:r>
      <w:r>
        <w:rPr>
          <w:rFonts w:hint="eastAsia"/>
          <w:color w:val="auto"/>
          <w:highlight w:val="none"/>
          <w:lang w:val="en-US" w:eastAsia="zh-CN"/>
        </w:rPr>
        <w:t xml:space="preserve"> </w:t>
      </w:r>
      <w:r>
        <w:rPr>
          <w:rFonts w:hint="eastAsia"/>
          <w:color w:val="auto"/>
          <w:highlight w:val="none"/>
        </w:rPr>
        <w:t>总体要求</w:t>
      </w:r>
    </w:p>
    <w:p w14:paraId="59BE00DD">
      <w:pPr>
        <w:bidi w:val="0"/>
        <w:rPr>
          <w:rFonts w:hint="default"/>
          <w:color w:val="auto"/>
          <w:highlight w:val="none"/>
          <w:lang w:val="en-US" w:eastAsia="zh-CN"/>
        </w:rPr>
      </w:pPr>
      <w:r>
        <w:rPr>
          <w:rFonts w:hint="default"/>
          <w:color w:val="auto"/>
          <w:highlight w:val="none"/>
          <w:lang w:val="en-US" w:eastAsia="zh-CN"/>
        </w:rPr>
        <w:t>一是通过预评估发现我行数据管理能力短板，</w:t>
      </w:r>
      <w:r>
        <w:rPr>
          <w:rFonts w:hint="eastAsia"/>
          <w:color w:val="auto"/>
          <w:highlight w:val="none"/>
          <w:lang w:val="en-US" w:eastAsia="zh-CN"/>
        </w:rPr>
        <w:t>对标《数据管理能力成熟度评估模型》（</w:t>
      </w:r>
      <w:r>
        <w:rPr>
          <w:rFonts w:hint="eastAsia"/>
          <w:color w:val="auto"/>
          <w:highlight w:val="none"/>
        </w:rPr>
        <w:t>GB/T 36073-2018</w:t>
      </w:r>
      <w:r>
        <w:rPr>
          <w:rFonts w:hint="eastAsia"/>
          <w:color w:val="auto"/>
          <w:highlight w:val="none"/>
          <w:lang w:val="en-US" w:eastAsia="zh-CN"/>
        </w:rPr>
        <w:t>）和</w:t>
      </w:r>
      <w:r>
        <w:rPr>
          <w:rFonts w:hint="default"/>
          <w:color w:val="auto"/>
          <w:highlight w:val="none"/>
          <w:lang w:val="en-US" w:eastAsia="zh-CN"/>
        </w:rPr>
        <w:t>行业最佳实践进行提升，达到数据管理能力稳健级（三级）的要求。二是现场开展DCMM正式评估，通过评估审核，获得数据管理能力成熟度稳健级</w:t>
      </w:r>
      <w:r>
        <w:rPr>
          <w:rFonts w:hint="eastAsia"/>
          <w:color w:val="auto"/>
          <w:highlight w:val="none"/>
          <w:lang w:val="en-US" w:eastAsia="zh-CN"/>
        </w:rPr>
        <w:t>（即三级）</w:t>
      </w:r>
      <w:r>
        <w:rPr>
          <w:rFonts w:hint="default"/>
          <w:color w:val="auto"/>
          <w:highlight w:val="none"/>
          <w:lang w:val="en-US" w:eastAsia="zh-CN"/>
        </w:rPr>
        <w:t>等级证书。三是根据国家标准《数据管理能力成熟度评估模型》</w:t>
      </w:r>
      <w:r>
        <w:rPr>
          <w:rFonts w:hint="eastAsia"/>
          <w:color w:val="auto"/>
          <w:highlight w:val="none"/>
          <w:lang w:val="en-US" w:eastAsia="zh-CN"/>
        </w:rPr>
        <w:t>（</w:t>
      </w:r>
      <w:r>
        <w:rPr>
          <w:rFonts w:hint="eastAsia"/>
          <w:color w:val="auto"/>
          <w:highlight w:val="none"/>
        </w:rPr>
        <w:t>GB/T 36073-2018</w:t>
      </w:r>
      <w:r>
        <w:rPr>
          <w:rFonts w:hint="eastAsia"/>
          <w:color w:val="auto"/>
          <w:highlight w:val="none"/>
          <w:lang w:val="en-US" w:eastAsia="zh-CN"/>
        </w:rPr>
        <w:t>）</w:t>
      </w:r>
      <w:r>
        <w:rPr>
          <w:rFonts w:hint="default"/>
          <w:color w:val="auto"/>
          <w:highlight w:val="none"/>
          <w:lang w:val="en-US" w:eastAsia="zh-CN"/>
        </w:rPr>
        <w:t>的要求，通过贯标培训，提升我行数据管理相关人员专业能力。</w:t>
      </w:r>
    </w:p>
    <w:p w14:paraId="66028930">
      <w:pPr>
        <w:pStyle w:val="4"/>
        <w:bidi w:val="0"/>
        <w:rPr>
          <w:rFonts w:hint="eastAsia"/>
          <w:color w:val="auto"/>
          <w:highlight w:val="none"/>
          <w:lang w:val="en-US" w:eastAsia="zh-CN"/>
        </w:rPr>
      </w:pPr>
      <w:r>
        <w:rPr>
          <w:rFonts w:hint="eastAsia"/>
          <w:color w:val="auto"/>
          <w:highlight w:val="none"/>
          <w:lang w:val="en-US" w:eastAsia="zh-CN"/>
        </w:rPr>
        <w:t>1.1 立足实际促进发展</w:t>
      </w:r>
    </w:p>
    <w:p w14:paraId="6E1E6788">
      <w:pPr>
        <w:bidi w:val="0"/>
        <w:rPr>
          <w:rFonts w:hint="eastAsia"/>
          <w:color w:val="auto"/>
          <w:highlight w:val="none"/>
        </w:rPr>
      </w:pPr>
      <w:r>
        <w:rPr>
          <w:rFonts w:hint="eastAsia"/>
          <w:color w:val="auto"/>
          <w:highlight w:val="none"/>
          <w:lang w:val="en-US" w:eastAsia="zh-CN"/>
        </w:rPr>
        <w:t>结合我行</w:t>
      </w:r>
      <w:r>
        <w:rPr>
          <w:rFonts w:hint="eastAsia"/>
          <w:color w:val="auto"/>
          <w:highlight w:val="none"/>
          <w:lang w:eastAsia="zh-CN"/>
        </w:rPr>
        <w:t>的数据管理现状，</w:t>
      </w:r>
      <w:r>
        <w:rPr>
          <w:rFonts w:hint="eastAsia"/>
          <w:color w:val="auto"/>
          <w:highlight w:val="none"/>
          <w:lang w:val="en-US" w:eastAsia="zh-CN"/>
        </w:rPr>
        <w:t>对标《数据管理能力成熟度评估模型》（</w:t>
      </w:r>
      <w:r>
        <w:rPr>
          <w:rFonts w:hint="eastAsia"/>
          <w:color w:val="auto"/>
          <w:highlight w:val="none"/>
        </w:rPr>
        <w:t>GB/T 36073-2018</w:t>
      </w:r>
      <w:r>
        <w:rPr>
          <w:rFonts w:hint="eastAsia"/>
          <w:color w:val="auto"/>
          <w:highlight w:val="none"/>
          <w:lang w:val="en-US" w:eastAsia="zh-CN"/>
        </w:rPr>
        <w:t>），制定</w:t>
      </w:r>
      <w:r>
        <w:rPr>
          <w:rFonts w:hint="eastAsia"/>
          <w:color w:val="auto"/>
          <w:highlight w:val="none"/>
          <w:lang w:eastAsia="zh-CN"/>
        </w:rPr>
        <w:t>项目实施方案和项目工作流程方法，既有前瞻性、又能结合</w:t>
      </w:r>
      <w:r>
        <w:rPr>
          <w:rFonts w:hint="eastAsia"/>
          <w:color w:val="auto"/>
          <w:highlight w:val="none"/>
          <w:lang w:val="en-US" w:eastAsia="zh-CN"/>
        </w:rPr>
        <w:t>我行</w:t>
      </w:r>
      <w:r>
        <w:rPr>
          <w:rFonts w:hint="eastAsia"/>
          <w:color w:val="auto"/>
          <w:highlight w:val="none"/>
          <w:lang w:eastAsia="zh-CN"/>
        </w:rPr>
        <w:t>的实际情况和</w:t>
      </w:r>
      <w:r>
        <w:rPr>
          <w:rFonts w:hint="eastAsia"/>
          <w:color w:val="auto"/>
          <w:highlight w:val="none"/>
          <w:lang w:val="en-US" w:eastAsia="zh-CN"/>
        </w:rPr>
        <w:t>行业</w:t>
      </w:r>
      <w:r>
        <w:rPr>
          <w:rFonts w:hint="eastAsia"/>
          <w:color w:val="auto"/>
          <w:highlight w:val="none"/>
          <w:lang w:eastAsia="zh-CN"/>
        </w:rPr>
        <w:t>特色，确保项目成果科学性和落地性。使之更有效地帮助实现项目目标，降低项目风险，保证项目成功率。</w:t>
      </w:r>
    </w:p>
    <w:p w14:paraId="23048A91">
      <w:pPr>
        <w:pStyle w:val="4"/>
        <w:bidi w:val="0"/>
        <w:rPr>
          <w:rFonts w:hint="eastAsia"/>
          <w:color w:val="auto"/>
          <w:highlight w:val="none"/>
          <w:lang w:val="en-US" w:eastAsia="zh-CN"/>
        </w:rPr>
      </w:pPr>
      <w:r>
        <w:rPr>
          <w:rFonts w:hint="eastAsia"/>
          <w:color w:val="auto"/>
          <w:highlight w:val="none"/>
          <w:lang w:val="en-US" w:eastAsia="zh-CN"/>
        </w:rPr>
        <w:t xml:space="preserve">1.2 </w:t>
      </w:r>
      <w:r>
        <w:rPr>
          <w:rFonts w:hint="eastAsia"/>
          <w:color w:val="auto"/>
          <w:highlight w:val="none"/>
          <w:lang w:eastAsia="zh-CN"/>
        </w:rPr>
        <w:t>突出重点与关键点</w:t>
      </w:r>
    </w:p>
    <w:p w14:paraId="097BC35E">
      <w:pPr>
        <w:bidi w:val="0"/>
        <w:rPr>
          <w:rFonts w:hint="eastAsia"/>
          <w:color w:val="auto"/>
          <w:highlight w:val="none"/>
        </w:rPr>
      </w:pPr>
      <w:r>
        <w:rPr>
          <w:rFonts w:hint="eastAsia"/>
          <w:color w:val="auto"/>
          <w:highlight w:val="none"/>
          <w:lang w:eastAsia="zh-CN"/>
        </w:rPr>
        <w:t>深入分析</w:t>
      </w:r>
      <w:r>
        <w:rPr>
          <w:rFonts w:hint="eastAsia"/>
          <w:color w:val="auto"/>
          <w:highlight w:val="none"/>
          <w:lang w:val="en-US" w:eastAsia="zh-CN"/>
        </w:rPr>
        <w:t>我行</w:t>
      </w:r>
      <w:r>
        <w:rPr>
          <w:rFonts w:hint="eastAsia"/>
          <w:color w:val="auto"/>
          <w:highlight w:val="none"/>
          <w:lang w:eastAsia="zh-CN"/>
        </w:rPr>
        <w:t>数据管理现状，基于</w:t>
      </w:r>
      <w:r>
        <w:rPr>
          <w:rFonts w:hint="eastAsia"/>
          <w:color w:val="auto"/>
          <w:highlight w:val="none"/>
          <w:lang w:val="en-US" w:eastAsia="zh-CN"/>
        </w:rPr>
        <w:t>已</w:t>
      </w:r>
      <w:r>
        <w:rPr>
          <w:rFonts w:hint="eastAsia"/>
          <w:color w:val="auto"/>
          <w:highlight w:val="none"/>
          <w:lang w:eastAsia="zh-CN"/>
        </w:rPr>
        <w:t>有的数据管理基础，针对数据管理能力相对欠缺的领域，借鉴行业成功经验，提出数据管理规划目标，找准关键点，规范</w:t>
      </w:r>
      <w:r>
        <w:rPr>
          <w:rFonts w:hint="eastAsia"/>
          <w:color w:val="auto"/>
          <w:highlight w:val="none"/>
          <w:lang w:val="en-US" w:eastAsia="zh-CN"/>
        </w:rPr>
        <w:t>我行</w:t>
      </w:r>
      <w:r>
        <w:rPr>
          <w:rFonts w:hint="eastAsia"/>
          <w:color w:val="auto"/>
          <w:highlight w:val="none"/>
          <w:lang w:eastAsia="zh-CN"/>
        </w:rPr>
        <w:t>数据管理工作，支撑数据管理工作落地，提升数据质量、数据安全等关键领域的数据管理能力</w:t>
      </w:r>
      <w:r>
        <w:rPr>
          <w:rFonts w:hint="eastAsia"/>
          <w:color w:val="auto"/>
          <w:highlight w:val="none"/>
        </w:rPr>
        <w:t>。</w:t>
      </w:r>
    </w:p>
    <w:p w14:paraId="1B87D29C">
      <w:pPr>
        <w:pStyle w:val="3"/>
        <w:bidi w:val="0"/>
        <w:rPr>
          <w:color w:val="auto"/>
          <w:highlight w:val="none"/>
        </w:rPr>
      </w:pPr>
      <w:r>
        <w:rPr>
          <w:rFonts w:hint="default"/>
          <w:color w:val="auto"/>
          <w:highlight w:val="none"/>
          <w:lang w:val="en-US" w:eastAsia="zh-CN"/>
        </w:rPr>
        <w:t>2.</w:t>
      </w:r>
      <w:r>
        <w:rPr>
          <w:rFonts w:hint="eastAsia"/>
          <w:color w:val="auto"/>
          <w:highlight w:val="none"/>
          <w:lang w:val="en-US" w:eastAsia="zh-CN"/>
        </w:rPr>
        <w:t xml:space="preserve"> </w:t>
      </w:r>
      <w:r>
        <w:rPr>
          <w:color w:val="auto"/>
          <w:highlight w:val="none"/>
        </w:rPr>
        <w:t>服务内容</w:t>
      </w:r>
    </w:p>
    <w:p w14:paraId="0146B11F">
      <w:pPr>
        <w:pStyle w:val="4"/>
        <w:bidi w:val="0"/>
        <w:rPr>
          <w:rFonts w:hint="default"/>
          <w:color w:val="auto"/>
          <w:highlight w:val="none"/>
          <w:lang w:val="en-US" w:eastAsia="zh-CN"/>
        </w:rPr>
      </w:pPr>
      <w:r>
        <w:rPr>
          <w:rFonts w:hint="eastAsia"/>
          <w:color w:val="auto"/>
          <w:highlight w:val="none"/>
          <w:lang w:val="en-US" w:eastAsia="zh-CN"/>
        </w:rPr>
        <w:t>2.1 服务范围</w:t>
      </w:r>
    </w:p>
    <w:p w14:paraId="3217CBD9">
      <w:pPr>
        <w:bidi w:val="0"/>
        <w:rPr>
          <w:rFonts w:hint="eastAsia"/>
          <w:color w:val="auto"/>
          <w:highlight w:val="none"/>
          <w:lang w:val="en-US" w:eastAsia="zh-CN"/>
        </w:rPr>
      </w:pPr>
      <w:r>
        <w:rPr>
          <w:rFonts w:hint="eastAsia"/>
          <w:color w:val="auto"/>
          <w:highlight w:val="none"/>
          <w:lang w:val="en-US" w:eastAsia="zh-CN"/>
        </w:rPr>
        <w:t>2.1.1 评估准备</w:t>
      </w:r>
    </w:p>
    <w:p w14:paraId="569A48F0">
      <w:pPr>
        <w:bidi w:val="0"/>
        <w:rPr>
          <w:rFonts w:hint="eastAsia"/>
          <w:color w:val="auto"/>
          <w:highlight w:val="none"/>
          <w:lang w:val="en-US" w:eastAsia="zh-CN"/>
        </w:rPr>
      </w:pPr>
      <w:r>
        <w:rPr>
          <w:rFonts w:hint="eastAsia"/>
          <w:color w:val="auto"/>
          <w:highlight w:val="none"/>
          <w:lang w:val="en-US" w:eastAsia="zh-CN"/>
        </w:rPr>
        <w:t>（1）开展DCMM评估的策划工作。结合贯标评估工作做好整体工作策划，梳理各环节工作内容、参与人员及实施计划，组织专家协助与指导DCMM评估前期准备工作。</w:t>
      </w:r>
    </w:p>
    <w:p w14:paraId="6989660C">
      <w:pPr>
        <w:bidi w:val="0"/>
        <w:rPr>
          <w:rFonts w:hint="default"/>
          <w:color w:val="auto"/>
          <w:highlight w:val="none"/>
          <w:lang w:val="en-US" w:eastAsia="zh-CN"/>
        </w:rPr>
      </w:pPr>
      <w:r>
        <w:rPr>
          <w:rFonts w:hint="eastAsia"/>
          <w:color w:val="auto"/>
          <w:highlight w:val="none"/>
          <w:lang w:val="en-US" w:eastAsia="zh-CN"/>
        </w:rPr>
        <w:t>（2）开展DCMM评估贯标宣贯。开展DCMM贯标培训策划，邀请专家根据不同群体（总行领导层、总行员工、分支行员工等），针对DCMM贯标评估的基础知识、评估要求、资料准备等进行3天的现场专项培训。培训内容需包含数据管理能力成熟度模型整体概念介绍、评估体系介绍、针对每个能力域进行详细介绍，包含标准内容讲解和材料准备方法介绍，解读445个条款。</w:t>
      </w:r>
    </w:p>
    <w:p w14:paraId="60A54A87">
      <w:pPr>
        <w:bidi w:val="0"/>
        <w:rPr>
          <w:rFonts w:hint="eastAsia"/>
          <w:color w:val="auto"/>
          <w:highlight w:val="none"/>
          <w:lang w:val="en-US" w:eastAsia="zh-CN"/>
        </w:rPr>
      </w:pPr>
      <w:r>
        <w:rPr>
          <w:rFonts w:hint="eastAsia"/>
          <w:color w:val="auto"/>
          <w:highlight w:val="none"/>
          <w:lang w:val="en-US" w:eastAsia="zh-CN"/>
        </w:rPr>
        <w:t>2.1.2 评估实施</w:t>
      </w:r>
    </w:p>
    <w:p w14:paraId="61BDBDF0">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通过</w:t>
      </w:r>
      <w:r>
        <w:rPr>
          <w:rFonts w:hint="eastAsia"/>
          <w:color w:val="auto"/>
          <w:highlight w:val="none"/>
          <w:lang w:val="en-US" w:eastAsia="zh-CN"/>
        </w:rPr>
        <w:t>预</w:t>
      </w:r>
      <w:r>
        <w:rPr>
          <w:rFonts w:hint="eastAsia"/>
          <w:color w:val="auto"/>
          <w:highlight w:val="none"/>
        </w:rPr>
        <w:t>评估摸底我行数据管理能力现状。指导并</w:t>
      </w:r>
      <w:r>
        <w:rPr>
          <w:rFonts w:hint="eastAsia"/>
          <w:color w:val="auto"/>
          <w:highlight w:val="none"/>
          <w:lang w:val="en-US" w:eastAsia="zh-CN"/>
        </w:rPr>
        <w:t>开展</w:t>
      </w:r>
      <w:r>
        <w:rPr>
          <w:rFonts w:hint="eastAsia"/>
          <w:color w:val="auto"/>
          <w:highlight w:val="none"/>
        </w:rPr>
        <w:t>我行数据管理能力成熟度</w:t>
      </w:r>
      <w:r>
        <w:rPr>
          <w:rFonts w:hint="eastAsia"/>
          <w:color w:val="auto"/>
          <w:highlight w:val="none"/>
          <w:lang w:val="en-US" w:eastAsia="zh-CN"/>
        </w:rPr>
        <w:t>预</w:t>
      </w:r>
      <w:r>
        <w:rPr>
          <w:rFonts w:hint="eastAsia"/>
          <w:color w:val="auto"/>
          <w:highlight w:val="none"/>
        </w:rPr>
        <w:t>评估工作，组织专家</w:t>
      </w:r>
      <w:r>
        <w:rPr>
          <w:rFonts w:hint="eastAsia"/>
          <w:color w:val="auto"/>
          <w:highlight w:val="none"/>
          <w:lang w:val="en-US" w:eastAsia="zh-CN"/>
        </w:rPr>
        <w:t>指导、配合各条款的证据资料收集，对各项证据资料有效性进行检查，</w:t>
      </w:r>
      <w:r>
        <w:rPr>
          <w:rFonts w:hint="eastAsia"/>
          <w:color w:val="auto"/>
          <w:highlight w:val="none"/>
        </w:rPr>
        <w:t>对标评估模型，</w:t>
      </w:r>
      <w:r>
        <w:rPr>
          <w:rFonts w:hint="eastAsia"/>
          <w:color w:val="auto"/>
          <w:highlight w:val="none"/>
          <w:lang w:val="en-US" w:eastAsia="zh-CN"/>
        </w:rPr>
        <w:t>进行预评打分，明确初步的成熟度等级，明确数据管理能力的主要提升点，</w:t>
      </w:r>
      <w:r>
        <w:rPr>
          <w:rFonts w:hint="eastAsia"/>
          <w:color w:val="auto"/>
          <w:highlight w:val="none"/>
        </w:rPr>
        <w:t>形成我行数据管理能力现状分析报告。</w:t>
      </w:r>
    </w:p>
    <w:p w14:paraId="43415840">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依据现状协助我行进行能力提升。对现状中未达标的相关项提出</w:t>
      </w:r>
      <w:r>
        <w:rPr>
          <w:rFonts w:hint="eastAsia"/>
          <w:color w:val="auto"/>
          <w:highlight w:val="none"/>
          <w:lang w:val="en-US" w:eastAsia="zh-CN"/>
        </w:rPr>
        <w:t>改进</w:t>
      </w:r>
      <w:r>
        <w:rPr>
          <w:rFonts w:hint="eastAsia"/>
          <w:color w:val="auto"/>
          <w:highlight w:val="none"/>
        </w:rPr>
        <w:t>建议，并协助推进整改方案和措施落地实施，完善和提升我行数据管理能力，帮助我行达到计划申报评估等级的评估要求。</w:t>
      </w:r>
      <w:r>
        <w:rPr>
          <w:rFonts w:hint="eastAsia"/>
          <w:color w:val="auto"/>
          <w:highlight w:val="none"/>
          <w:lang w:val="en-US" w:eastAsia="zh-CN"/>
        </w:rPr>
        <w:t>针对预评估较弱能力项，提供能力提升指导，包含但不限于提供数据战略制定建议、指导数据战略推进工作报告模板制定、指导建立数据管理工作评价标准、指导建立数据模型开发规范、指导建立组织级数据集成共享规范、指导建立数据认责机制、指导建设数据质量检查模板、指导建立业务术语标准及指标标准、指导建立数据需求管理制度等。</w:t>
      </w:r>
    </w:p>
    <w:p w14:paraId="6D1B502B">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开展DCMM现场评估工作。通过自评估、能力提升等工作的开展，完成评审资料、相关工具平台的全面现场审核，并提供核心材料的辅助补充、完善提升服务。</w:t>
      </w:r>
      <w:r>
        <w:rPr>
          <w:rFonts w:hint="eastAsia"/>
          <w:color w:val="auto"/>
          <w:highlight w:val="none"/>
          <w:lang w:val="en-US" w:eastAsia="zh-CN"/>
        </w:rPr>
        <w:t>现场评估完成后需交付现场评估过程材料，包含评估评分表等。</w:t>
      </w:r>
    </w:p>
    <w:p w14:paraId="25817797">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编写DCMM评估报告。根据前期评估实施阶段的情况，形成我行数据管理能力成熟度评分结果，并编写评估报告。</w:t>
      </w:r>
    </w:p>
    <w:p w14:paraId="52D33EDE">
      <w:pPr>
        <w:bidi w:val="0"/>
        <w:rPr>
          <w:rFonts w:hint="eastAsia"/>
          <w:color w:val="auto"/>
          <w:highlight w:val="none"/>
          <w:lang w:val="en-US" w:eastAsia="zh-CN"/>
        </w:rPr>
      </w:pPr>
      <w:r>
        <w:rPr>
          <w:rFonts w:hint="eastAsia"/>
          <w:color w:val="auto"/>
          <w:highlight w:val="none"/>
          <w:lang w:val="en-US" w:eastAsia="zh-CN"/>
        </w:rPr>
        <w:t>2.1.3 评估申报及证书颁发</w:t>
      </w:r>
    </w:p>
    <w:p w14:paraId="69FE95B3">
      <w:pPr>
        <w:bidi w:val="0"/>
        <w:rPr>
          <w:rFonts w:hint="default"/>
          <w:color w:val="auto"/>
          <w:highlight w:val="none"/>
        </w:rPr>
      </w:pPr>
      <w:r>
        <w:rPr>
          <w:rFonts w:hint="default"/>
          <w:color w:val="auto"/>
          <w:highlight w:val="none"/>
        </w:rPr>
        <w:t>协助我行向中国电子信息行业联合会提交数据管理能力成熟度正式评估申请所需材料的准备，并完成相关申报流程。跟进中国电子信息行业联合会评议情况，并提供该过程中必要的咨询和技术指导，辅助我行获得数据管理能力成熟度三级（稳健级）证书。</w:t>
      </w:r>
    </w:p>
    <w:p w14:paraId="607E131C">
      <w:pPr>
        <w:pStyle w:val="4"/>
        <w:bidi w:val="0"/>
        <w:rPr>
          <w:rFonts w:hint="eastAsia"/>
          <w:color w:val="auto"/>
          <w:highlight w:val="none"/>
          <w:lang w:val="en-US" w:eastAsia="zh-CN"/>
        </w:rPr>
      </w:pPr>
      <w:r>
        <w:rPr>
          <w:rFonts w:hint="eastAsia"/>
          <w:color w:val="auto"/>
          <w:highlight w:val="none"/>
          <w:lang w:val="en-US" w:eastAsia="zh-CN"/>
        </w:rPr>
        <w:t>2.2 服务时间</w:t>
      </w:r>
    </w:p>
    <w:p w14:paraId="7A13ADE5">
      <w:pPr>
        <w:bidi w:val="0"/>
        <w:rPr>
          <w:rFonts w:hint="default"/>
          <w:color w:val="auto"/>
          <w:highlight w:val="none"/>
          <w:lang w:val="en-US" w:eastAsia="zh-CN"/>
        </w:rPr>
      </w:pPr>
      <w:r>
        <w:rPr>
          <w:rFonts w:hint="default"/>
          <w:color w:val="auto"/>
          <w:highlight w:val="none"/>
          <w:lang w:val="en-US" w:eastAsia="zh-CN"/>
        </w:rPr>
        <w:t>签订合同后6个月内完成项目的实施工作，具体周期要求如下，最终项目计划以最终</w:t>
      </w:r>
      <w:r>
        <w:rPr>
          <w:rFonts w:hint="eastAsia"/>
          <w:color w:val="auto"/>
          <w:highlight w:val="none"/>
          <w:lang w:val="en-US" w:eastAsia="zh-CN"/>
        </w:rPr>
        <w:t>中选人</w:t>
      </w:r>
      <w:r>
        <w:rPr>
          <w:rFonts w:hint="default"/>
          <w:color w:val="auto"/>
          <w:highlight w:val="none"/>
          <w:lang w:val="en-US" w:eastAsia="zh-CN"/>
        </w:rPr>
        <w:t>入场后与行方共同制定的实施计划为准：</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4961"/>
        <w:gridCol w:w="2035"/>
      </w:tblGrid>
      <w:tr w14:paraId="33017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526" w:type="dxa"/>
            <w:shd w:val="clear" w:color="auto" w:fill="D9D9D9"/>
            <w:noWrap w:val="0"/>
            <w:vAlign w:val="top"/>
          </w:tcPr>
          <w:p w14:paraId="784C53C6">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需求领域</w:t>
            </w:r>
          </w:p>
        </w:tc>
        <w:tc>
          <w:tcPr>
            <w:tcW w:w="4961" w:type="dxa"/>
            <w:shd w:val="clear" w:color="auto" w:fill="D9D9D9"/>
            <w:noWrap w:val="0"/>
            <w:vAlign w:val="top"/>
          </w:tcPr>
          <w:p w14:paraId="3DB93300">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工作任务</w:t>
            </w:r>
          </w:p>
        </w:tc>
        <w:tc>
          <w:tcPr>
            <w:tcW w:w="2035" w:type="dxa"/>
            <w:shd w:val="clear" w:color="auto" w:fill="D9D9D9"/>
            <w:noWrap w:val="0"/>
            <w:vAlign w:val="top"/>
          </w:tcPr>
          <w:p w14:paraId="6C2FEF50">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预计周期</w:t>
            </w:r>
          </w:p>
        </w:tc>
      </w:tr>
      <w:tr w14:paraId="557D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restart"/>
            <w:noWrap w:val="0"/>
            <w:vAlign w:val="center"/>
          </w:tcPr>
          <w:p w14:paraId="0BAA7068">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评估准备</w:t>
            </w:r>
          </w:p>
        </w:tc>
        <w:tc>
          <w:tcPr>
            <w:tcW w:w="4961" w:type="dxa"/>
            <w:noWrap w:val="0"/>
            <w:vAlign w:val="center"/>
          </w:tcPr>
          <w:p w14:paraId="058C1DB1">
            <w:pPr>
              <w:ind w:firstLine="0" w:firstLineChars="0"/>
              <w:rPr>
                <w:rFonts w:hint="eastAsia" w:ascii="方正仿宋_GBK" w:eastAsia="方正仿宋_GBK"/>
                <w:color w:val="auto"/>
                <w:sz w:val="22"/>
                <w:szCs w:val="32"/>
                <w:highlight w:val="none"/>
              </w:rPr>
            </w:pPr>
            <w:r>
              <w:rPr>
                <w:rFonts w:hint="eastAsia" w:ascii="方正仿宋_GBK" w:hAnsi="宋体" w:eastAsia="方正仿宋_GBK" w:cs="Arial"/>
                <w:color w:val="auto"/>
                <w:kern w:val="0"/>
                <w:sz w:val="22"/>
                <w:szCs w:val="32"/>
                <w:highlight w:val="none"/>
              </w:rPr>
              <w:t>开展DCMM评估的策划工作</w:t>
            </w:r>
          </w:p>
        </w:tc>
        <w:tc>
          <w:tcPr>
            <w:tcW w:w="2035" w:type="dxa"/>
            <w:vMerge w:val="restart"/>
            <w:noWrap w:val="0"/>
            <w:vAlign w:val="center"/>
          </w:tcPr>
          <w:p w14:paraId="59790EAF">
            <w:pPr>
              <w:ind w:firstLine="0" w:firstLineChars="0"/>
              <w:jc w:val="both"/>
              <w:rPr>
                <w:rFonts w:hint="eastAsia" w:ascii="方正仿宋_GBK" w:eastAsia="方正仿宋_GBK"/>
                <w:color w:val="auto"/>
                <w:sz w:val="28"/>
                <w:szCs w:val="32"/>
                <w:highlight w:val="none"/>
              </w:rPr>
            </w:pPr>
            <w:r>
              <w:rPr>
                <w:rFonts w:hint="eastAsia" w:ascii="方正仿宋_GBK" w:hAnsi="宋体" w:eastAsia="方正仿宋_GBK" w:cs="Arial"/>
                <w:color w:val="auto"/>
                <w:kern w:val="0"/>
                <w:sz w:val="22"/>
                <w:szCs w:val="32"/>
                <w:highlight w:val="none"/>
              </w:rPr>
              <w:t>T+0.5个月</w:t>
            </w:r>
          </w:p>
        </w:tc>
      </w:tr>
      <w:tr w14:paraId="26E2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26" w:type="dxa"/>
            <w:vMerge w:val="continue"/>
            <w:noWrap w:val="0"/>
            <w:vAlign w:val="center"/>
          </w:tcPr>
          <w:p w14:paraId="560A4BA5">
            <w:pPr>
              <w:rPr>
                <w:rFonts w:hint="eastAsia" w:ascii="方正仿宋_GBK" w:eastAsia="方正仿宋_GBK"/>
                <w:color w:val="auto"/>
                <w:sz w:val="22"/>
                <w:szCs w:val="32"/>
                <w:highlight w:val="none"/>
              </w:rPr>
            </w:pPr>
          </w:p>
        </w:tc>
        <w:tc>
          <w:tcPr>
            <w:tcW w:w="4961" w:type="dxa"/>
            <w:noWrap w:val="0"/>
            <w:vAlign w:val="center"/>
          </w:tcPr>
          <w:p w14:paraId="25194492">
            <w:pPr>
              <w:ind w:firstLine="0" w:firstLineChars="0"/>
              <w:rPr>
                <w:rFonts w:hint="eastAsia" w:ascii="方正仿宋_GBK" w:eastAsia="方正仿宋_GBK"/>
                <w:color w:val="auto"/>
                <w:sz w:val="22"/>
                <w:szCs w:val="32"/>
                <w:highlight w:val="none"/>
                <w:lang w:val="en-US" w:eastAsia="zh-CN"/>
              </w:rPr>
            </w:pPr>
            <w:r>
              <w:rPr>
                <w:rFonts w:hint="eastAsia" w:ascii="方正仿宋_GBK" w:hAnsi="宋体" w:eastAsia="方正仿宋_GBK" w:cs="Arial"/>
                <w:color w:val="auto"/>
                <w:kern w:val="0"/>
                <w:sz w:val="22"/>
                <w:szCs w:val="32"/>
                <w:highlight w:val="none"/>
              </w:rPr>
              <w:t>开展DCMM评估贯标宣贯</w:t>
            </w:r>
            <w:r>
              <w:rPr>
                <w:rFonts w:hint="eastAsia" w:ascii="方正仿宋_GBK" w:hAnsi="宋体" w:eastAsia="方正仿宋_GBK" w:cs="Arial"/>
                <w:color w:val="auto"/>
                <w:kern w:val="0"/>
                <w:sz w:val="22"/>
                <w:szCs w:val="32"/>
                <w:highlight w:val="none"/>
                <w:lang w:val="en-US" w:eastAsia="zh-CN"/>
              </w:rPr>
              <w:t>培训</w:t>
            </w:r>
          </w:p>
        </w:tc>
        <w:tc>
          <w:tcPr>
            <w:tcW w:w="2035" w:type="dxa"/>
            <w:vMerge w:val="continue"/>
            <w:noWrap w:val="0"/>
            <w:vAlign w:val="top"/>
          </w:tcPr>
          <w:p w14:paraId="2C08CEAE">
            <w:pPr>
              <w:rPr>
                <w:rFonts w:hint="eastAsia" w:ascii="方正仿宋_GBK" w:eastAsia="方正仿宋_GBK"/>
                <w:color w:val="auto"/>
                <w:sz w:val="28"/>
                <w:szCs w:val="32"/>
                <w:highlight w:val="none"/>
              </w:rPr>
            </w:pPr>
          </w:p>
        </w:tc>
      </w:tr>
      <w:tr w14:paraId="7859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526" w:type="dxa"/>
            <w:vMerge w:val="restart"/>
            <w:noWrap w:val="0"/>
            <w:vAlign w:val="center"/>
          </w:tcPr>
          <w:p w14:paraId="18654DCC">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评估实施</w:t>
            </w:r>
          </w:p>
        </w:tc>
        <w:tc>
          <w:tcPr>
            <w:tcW w:w="4961" w:type="dxa"/>
            <w:noWrap w:val="0"/>
            <w:vAlign w:val="center"/>
          </w:tcPr>
          <w:p w14:paraId="05B14972">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通过</w:t>
            </w:r>
            <w:r>
              <w:rPr>
                <w:rFonts w:hint="eastAsia" w:ascii="方正仿宋_GBK" w:hAnsi="宋体" w:eastAsia="方正仿宋_GBK" w:cs="Arial"/>
                <w:color w:val="auto"/>
                <w:kern w:val="0"/>
                <w:sz w:val="22"/>
                <w:szCs w:val="32"/>
                <w:highlight w:val="none"/>
                <w:lang w:val="en-US" w:eastAsia="zh-CN"/>
              </w:rPr>
              <w:t>预</w:t>
            </w:r>
            <w:r>
              <w:rPr>
                <w:rFonts w:hint="eastAsia" w:ascii="方正仿宋_GBK" w:hAnsi="宋体" w:eastAsia="方正仿宋_GBK" w:cs="Arial"/>
                <w:color w:val="auto"/>
                <w:kern w:val="0"/>
                <w:sz w:val="22"/>
                <w:szCs w:val="32"/>
                <w:highlight w:val="none"/>
              </w:rPr>
              <w:t>评估摸底我行数据管理能力现状</w:t>
            </w:r>
          </w:p>
        </w:tc>
        <w:tc>
          <w:tcPr>
            <w:tcW w:w="2035" w:type="dxa"/>
            <w:noWrap w:val="0"/>
            <w:vAlign w:val="top"/>
          </w:tcPr>
          <w:p w14:paraId="325E7A48">
            <w:pPr>
              <w:ind w:firstLine="0" w:firstLineChars="0"/>
              <w:jc w:val="both"/>
              <w:rPr>
                <w:rFonts w:hint="eastAsia" w:ascii="方正仿宋_GBK" w:eastAsia="方正仿宋_GBK"/>
                <w:color w:val="auto"/>
                <w:sz w:val="28"/>
                <w:szCs w:val="32"/>
                <w:highlight w:val="none"/>
              </w:rPr>
            </w:pPr>
            <w:r>
              <w:rPr>
                <w:rFonts w:hint="eastAsia" w:ascii="方正仿宋_GBK" w:hAnsi="宋体" w:eastAsia="方正仿宋_GBK" w:cs="Arial"/>
                <w:color w:val="auto"/>
                <w:kern w:val="0"/>
                <w:sz w:val="22"/>
                <w:szCs w:val="32"/>
                <w:highlight w:val="none"/>
              </w:rPr>
              <w:t>T+1.5个月</w:t>
            </w:r>
          </w:p>
        </w:tc>
      </w:tr>
      <w:tr w14:paraId="6819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46BCB9A8">
            <w:pPr>
              <w:jc w:val="center"/>
              <w:rPr>
                <w:rFonts w:hint="eastAsia" w:ascii="方正仿宋_GBK" w:hAnsi="宋体" w:eastAsia="方正仿宋_GBK" w:cs="Arial"/>
                <w:color w:val="auto"/>
                <w:kern w:val="0"/>
                <w:sz w:val="22"/>
                <w:szCs w:val="32"/>
                <w:highlight w:val="none"/>
              </w:rPr>
            </w:pPr>
          </w:p>
        </w:tc>
        <w:tc>
          <w:tcPr>
            <w:tcW w:w="4961" w:type="dxa"/>
            <w:noWrap w:val="0"/>
            <w:vAlign w:val="center"/>
          </w:tcPr>
          <w:p w14:paraId="5FA2FF41">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依据现状协助我行进行能力提升</w:t>
            </w:r>
          </w:p>
        </w:tc>
        <w:tc>
          <w:tcPr>
            <w:tcW w:w="2035" w:type="dxa"/>
            <w:noWrap w:val="0"/>
            <w:vAlign w:val="top"/>
          </w:tcPr>
          <w:p w14:paraId="3DF29D3C">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T+3.5个月</w:t>
            </w:r>
          </w:p>
        </w:tc>
      </w:tr>
      <w:tr w14:paraId="3990A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7857B984">
            <w:pPr>
              <w:jc w:val="center"/>
              <w:rPr>
                <w:rFonts w:hint="eastAsia" w:ascii="方正仿宋_GBK" w:eastAsia="方正仿宋_GBK"/>
                <w:color w:val="auto"/>
                <w:sz w:val="22"/>
                <w:szCs w:val="32"/>
                <w:highlight w:val="none"/>
              </w:rPr>
            </w:pPr>
          </w:p>
        </w:tc>
        <w:tc>
          <w:tcPr>
            <w:tcW w:w="4961" w:type="dxa"/>
            <w:noWrap w:val="0"/>
            <w:vAlign w:val="center"/>
          </w:tcPr>
          <w:p w14:paraId="652A11F9">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开展DCMM现场评估工作</w:t>
            </w:r>
          </w:p>
        </w:tc>
        <w:tc>
          <w:tcPr>
            <w:tcW w:w="2035" w:type="dxa"/>
            <w:noWrap w:val="0"/>
            <w:vAlign w:val="top"/>
          </w:tcPr>
          <w:p w14:paraId="377D69C4">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T+4个月</w:t>
            </w:r>
          </w:p>
        </w:tc>
      </w:tr>
      <w:tr w14:paraId="23CA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2C5C1A05">
            <w:pPr>
              <w:jc w:val="center"/>
              <w:rPr>
                <w:rFonts w:hint="eastAsia" w:ascii="方正仿宋_GBK" w:eastAsia="方正仿宋_GBK"/>
                <w:color w:val="auto"/>
                <w:sz w:val="22"/>
                <w:szCs w:val="32"/>
                <w:highlight w:val="none"/>
              </w:rPr>
            </w:pPr>
          </w:p>
        </w:tc>
        <w:tc>
          <w:tcPr>
            <w:tcW w:w="4961" w:type="dxa"/>
            <w:noWrap w:val="0"/>
            <w:vAlign w:val="center"/>
          </w:tcPr>
          <w:p w14:paraId="1875FBBD">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编写DCMM评估报告</w:t>
            </w:r>
          </w:p>
        </w:tc>
        <w:tc>
          <w:tcPr>
            <w:tcW w:w="2035" w:type="dxa"/>
            <w:noWrap w:val="0"/>
            <w:vAlign w:val="top"/>
          </w:tcPr>
          <w:p w14:paraId="06EE5309">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T+4.5个月</w:t>
            </w:r>
          </w:p>
        </w:tc>
      </w:tr>
      <w:tr w14:paraId="0FEFC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24E901CC">
            <w:pPr>
              <w:spacing w:line="280" w:lineRule="exact"/>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评估申报及证书颁发</w:t>
            </w:r>
          </w:p>
        </w:tc>
        <w:tc>
          <w:tcPr>
            <w:tcW w:w="4961" w:type="dxa"/>
            <w:noWrap w:val="0"/>
            <w:vAlign w:val="center"/>
          </w:tcPr>
          <w:p w14:paraId="65728964">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完成评估申报和获取评估等级证书</w:t>
            </w:r>
          </w:p>
        </w:tc>
        <w:tc>
          <w:tcPr>
            <w:tcW w:w="2035" w:type="dxa"/>
            <w:noWrap w:val="0"/>
            <w:vAlign w:val="top"/>
          </w:tcPr>
          <w:p w14:paraId="1DC0F64E">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T+5.5个月</w:t>
            </w:r>
          </w:p>
        </w:tc>
      </w:tr>
    </w:tbl>
    <w:p w14:paraId="44A7609F">
      <w:pPr>
        <w:pStyle w:val="3"/>
        <w:bidi w:val="0"/>
        <w:rPr>
          <w:color w:val="auto"/>
          <w:highlight w:val="none"/>
        </w:rPr>
      </w:pPr>
      <w:r>
        <w:rPr>
          <w:rFonts w:hint="default"/>
          <w:color w:val="auto"/>
          <w:highlight w:val="none"/>
          <w:lang w:val="en-US" w:eastAsia="zh-CN"/>
        </w:rPr>
        <w:t>3.</w:t>
      </w:r>
      <w:r>
        <w:rPr>
          <w:color w:val="auto"/>
          <w:highlight w:val="none"/>
        </w:rPr>
        <w:t>实施要求</w:t>
      </w:r>
    </w:p>
    <w:p w14:paraId="38FCEE2C">
      <w:pPr>
        <w:bidi w:val="0"/>
        <w:rPr>
          <w:rFonts w:hint="eastAsia"/>
          <w:color w:val="auto"/>
          <w:highlight w:val="none"/>
          <w:lang w:val="en-US" w:eastAsia="zh-CN"/>
        </w:rPr>
      </w:pPr>
      <w:r>
        <w:rPr>
          <w:rFonts w:hint="eastAsia"/>
          <w:color w:val="auto"/>
          <w:highlight w:val="none"/>
        </w:rPr>
        <w:t>在本次比选中，参选人应在参选文件中提供项目实施方案供比选人查看，方案应包括履行合同的时间计划、提交资料、人员安排等内容。</w:t>
      </w:r>
      <w:r>
        <w:rPr>
          <w:rFonts w:hint="eastAsia"/>
          <w:color w:val="auto"/>
          <w:highlight w:val="none"/>
          <w:lang w:val="en-US" w:eastAsia="zh-CN"/>
        </w:rPr>
        <w:t>并同时提供</w:t>
      </w:r>
      <w:r>
        <w:rPr>
          <w:rFonts w:hint="eastAsia"/>
          <w:color w:val="auto"/>
          <w:highlight w:val="none"/>
        </w:rPr>
        <w:t>《评估服务方案》和《能力提升方案》</w:t>
      </w:r>
      <w:r>
        <w:rPr>
          <w:rFonts w:hint="eastAsia"/>
          <w:color w:val="auto"/>
          <w:highlight w:val="none"/>
          <w:lang w:val="en-US" w:eastAsia="zh-CN"/>
        </w:rPr>
        <w:t>两个方案在项目实施方案中。</w:t>
      </w:r>
    </w:p>
    <w:p w14:paraId="7C08CD00">
      <w:pPr>
        <w:bidi w:val="0"/>
        <w:rPr>
          <w:color w:val="auto"/>
          <w:highlight w:val="none"/>
        </w:rPr>
      </w:pPr>
      <w:r>
        <w:rPr>
          <w:rFonts w:hint="eastAsia"/>
          <w:color w:val="auto"/>
          <w:highlight w:val="none"/>
          <w:lang w:val="en-US" w:eastAsia="zh-CN"/>
        </w:rPr>
        <w:t>（1）</w:t>
      </w:r>
      <w:r>
        <w:rPr>
          <w:rFonts w:hint="eastAsia"/>
          <w:color w:val="auto"/>
          <w:highlight w:val="none"/>
        </w:rPr>
        <w:t>参选人需按照服务内容和范围，制定详细的实施方案，实施方案中至少应包含实施计划、实施人员表（需明确项目经理和关键实施人员）、测评依据、实施方法、项目交付物清单等。</w:t>
      </w:r>
    </w:p>
    <w:p w14:paraId="62BAB243">
      <w:pPr>
        <w:bidi w:val="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在本项目实施周期内，如遇到任何可能影响系统安全的事件，需要及时通告我行，提出相应处理方案，并在我行认可后方可执行处理方案。</w:t>
      </w:r>
    </w:p>
    <w:p w14:paraId="66CE9A68">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rPr>
        <w:t>参选人项目组在作业现场必须严格遵守我行外包人员行为管理要求和规范。</w:t>
      </w:r>
    </w:p>
    <w:p w14:paraId="11118B67">
      <w:pPr>
        <w:bidi w:val="0"/>
        <w:rPr>
          <w:rFonts w:hint="eastAsia"/>
          <w:color w:val="auto"/>
          <w:highlight w:val="none"/>
          <w:lang w:val="en-US" w:eastAsia="zh-CN"/>
        </w:rPr>
      </w:pPr>
      <w:r>
        <w:rPr>
          <w:rFonts w:hint="eastAsia"/>
          <w:color w:val="auto"/>
          <w:highlight w:val="none"/>
          <w:lang w:val="en-US" w:eastAsia="zh-CN"/>
        </w:rPr>
        <w:t>3.1 评估服务方案</w:t>
      </w:r>
    </w:p>
    <w:p w14:paraId="73271AF5">
      <w:pPr>
        <w:bidi w:val="0"/>
        <w:rPr>
          <w:rFonts w:hint="default"/>
          <w:color w:val="auto"/>
          <w:highlight w:val="none"/>
          <w:lang w:val="en-US" w:eastAsia="zh-CN"/>
        </w:rPr>
      </w:pPr>
      <w:r>
        <w:rPr>
          <w:rFonts w:hint="eastAsia"/>
          <w:color w:val="auto"/>
          <w:highlight w:val="none"/>
          <w:lang w:val="en-US" w:eastAsia="zh-CN"/>
        </w:rPr>
        <w:t>评估服务方案中需对本项目的业务需求、具体的服务方案和计划进行阐述，包括但不限于业务需求满足度、实施阶段、工作内容、主要输出物、实施计划等。</w:t>
      </w:r>
    </w:p>
    <w:p w14:paraId="6ADC0254">
      <w:pPr>
        <w:bidi w:val="0"/>
        <w:rPr>
          <w:rFonts w:hint="eastAsia"/>
          <w:color w:val="auto"/>
          <w:highlight w:val="none"/>
          <w:lang w:val="en-US" w:eastAsia="zh-CN"/>
        </w:rPr>
      </w:pPr>
      <w:r>
        <w:rPr>
          <w:rFonts w:hint="eastAsia"/>
          <w:color w:val="auto"/>
          <w:highlight w:val="none"/>
          <w:lang w:val="en-US" w:eastAsia="zh-CN"/>
        </w:rPr>
        <w:t>3.2 能力提升方案</w:t>
      </w:r>
    </w:p>
    <w:p w14:paraId="736F7ECD">
      <w:pPr>
        <w:bidi w:val="0"/>
        <w:rPr>
          <w:rFonts w:hint="eastAsia"/>
          <w:color w:val="auto"/>
          <w:highlight w:val="none"/>
          <w:lang w:val="en-US" w:eastAsia="zh-CN"/>
        </w:rPr>
      </w:pPr>
      <w:r>
        <w:rPr>
          <w:rFonts w:hint="eastAsia"/>
          <w:color w:val="auto"/>
          <w:highlight w:val="none"/>
          <w:lang w:val="en-US" w:eastAsia="zh-CN"/>
        </w:rPr>
        <w:t>针对评估服务方案中的能力提升部分，参选人提供有效方案，关于快速协助我行完成补充和能力提升，以达到标准符合性的要求。</w:t>
      </w:r>
    </w:p>
    <w:p w14:paraId="3F74FFEF">
      <w:pPr>
        <w:bidi w:val="0"/>
        <w:rPr>
          <w:color w:val="auto"/>
          <w:highlight w:val="none"/>
        </w:rPr>
      </w:pPr>
      <w:r>
        <w:rPr>
          <w:rFonts w:hint="eastAsia"/>
          <w:color w:val="auto"/>
          <w:highlight w:val="none"/>
        </w:rPr>
        <w:t>【提供项目实施方案】</w:t>
      </w:r>
    </w:p>
    <w:p w14:paraId="1467A522">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4.</w:t>
      </w:r>
      <w:r>
        <w:rPr>
          <w:rFonts w:ascii="Times New Roman" w:hAnsi="Times New Roman" w:cs="Times New Roman"/>
          <w:color w:val="auto"/>
          <w:kern w:val="0"/>
          <w:highlight w:val="none"/>
        </w:rPr>
        <w:t>人员要求</w:t>
      </w:r>
    </w:p>
    <w:p w14:paraId="2D297016">
      <w:pPr>
        <w:rPr>
          <w:rFonts w:hint="default"/>
          <w:color w:val="auto"/>
          <w:highlight w:val="none"/>
          <w:lang w:val="en-US" w:eastAsia="zh-CN"/>
        </w:rPr>
      </w:pPr>
      <w:r>
        <w:rPr>
          <w:rFonts w:hint="eastAsia"/>
          <w:color w:val="auto"/>
          <w:highlight w:val="none"/>
          <w:lang w:val="en-US" w:eastAsia="zh-CN"/>
        </w:rPr>
        <w:t>参选人</w:t>
      </w:r>
      <w:r>
        <w:rPr>
          <w:rFonts w:hint="default"/>
          <w:color w:val="auto"/>
          <w:highlight w:val="none"/>
          <w:lang w:val="en-US" w:eastAsia="zh-CN"/>
        </w:rPr>
        <w:t>需提供完整的项目人力资源方案，包括但不限于：</w:t>
      </w:r>
      <w:r>
        <w:rPr>
          <w:rFonts w:hint="default" w:ascii="Cambria Math" w:hAnsi="Cambria Math" w:cs="Cambria Math"/>
          <w:color w:val="auto"/>
          <w:kern w:val="2"/>
          <w:sz w:val="24"/>
          <w:szCs w:val="20"/>
          <w:highlight w:val="none"/>
          <w:lang w:eastAsia="zh-CN"/>
        </w:rPr>
        <w:t>拟投入人员结构、资历、</w:t>
      </w:r>
      <w:r>
        <w:rPr>
          <w:rFonts w:hint="default" w:ascii="Cambria Math" w:hAnsi="Cambria Math" w:cs="Cambria Math"/>
          <w:color w:val="auto"/>
          <w:kern w:val="2"/>
          <w:sz w:val="24"/>
          <w:szCs w:val="20"/>
          <w:highlight w:val="none"/>
          <w:lang w:val="en-US" w:eastAsia="zh-CN"/>
        </w:rPr>
        <w:t>驻场实施时间和</w:t>
      </w:r>
      <w:r>
        <w:rPr>
          <w:rFonts w:hint="default"/>
          <w:color w:val="auto"/>
          <w:highlight w:val="none"/>
          <w:lang w:val="en-US" w:eastAsia="zh-CN"/>
        </w:rPr>
        <w:t>在项目各阶段投入的人力情况，如人员在本项目中担任的角色、姓名、评估师资质、工作量等；提供项目经理及项目主要成员的简历，包括但不限于：姓名、年龄、学历、专业、目前在公司担任的职务</w:t>
      </w:r>
      <w:r>
        <w:rPr>
          <w:rFonts w:hint="eastAsia"/>
          <w:color w:val="auto"/>
          <w:highlight w:val="none"/>
          <w:lang w:val="en-US" w:eastAsia="zh-CN"/>
        </w:rPr>
        <w:t>、劳务合同及社保证明</w:t>
      </w:r>
      <w:r>
        <w:rPr>
          <w:rFonts w:hint="default"/>
          <w:color w:val="auto"/>
          <w:highlight w:val="none"/>
          <w:lang w:val="en-US" w:eastAsia="zh-CN"/>
        </w:rPr>
        <w:t>、工作经历、曾参与的DCMM评估项目的案例、在案例中完成的主要工作说明等。在项目人员配置上必须满足：</w:t>
      </w:r>
    </w:p>
    <w:p w14:paraId="69FCCA63">
      <w:pPr>
        <w:rPr>
          <w:rFonts w:hint="default"/>
          <w:color w:val="auto"/>
          <w:highlight w:val="none"/>
          <w:lang w:val="en-US" w:eastAsia="zh-CN"/>
        </w:rPr>
      </w:pPr>
      <w:r>
        <w:rPr>
          <w:rFonts w:hint="eastAsia"/>
          <w:color w:val="auto"/>
          <w:highlight w:val="none"/>
          <w:lang w:val="en-US" w:eastAsia="zh-CN"/>
        </w:rPr>
        <w:t>（1）人</w:t>
      </w:r>
      <w:r>
        <w:rPr>
          <w:rFonts w:hint="default"/>
          <w:color w:val="auto"/>
          <w:highlight w:val="none"/>
          <w:lang w:val="en-US" w:eastAsia="zh-CN"/>
        </w:rPr>
        <w:t>员稳定性的要求：在项目实施过程中，采购人有权要求对不符合项目建设要求的成员进行替换；基于项目建设工作整体计划表，明确项目实施团队成员个人工作时间、现场驻场实施时间，对于现场评估阶段，非计划内的休假要提前一周通知采购人，并取得采购人的同意；采购人将对项目经理和核心成员的稳定性和出勤率进行考核，考核不达标的将调整付款进度或扣减一定款项。</w:t>
      </w:r>
    </w:p>
    <w:p w14:paraId="7281D796">
      <w:pPr>
        <w:ind w:firstLine="480"/>
        <w:rPr>
          <w:rFonts w:hint="eastAsia" w:ascii="Times New Roman" w:hAnsi="Times New Roman"/>
          <w:color w:val="auto"/>
          <w:highlight w:val="none"/>
        </w:rPr>
      </w:pPr>
      <w:r>
        <w:rPr>
          <w:rFonts w:hint="eastAsia"/>
          <w:color w:val="auto"/>
          <w:highlight w:val="none"/>
          <w:lang w:val="en-US" w:eastAsia="zh-CN"/>
        </w:rPr>
        <w:t>（2）</w:t>
      </w:r>
      <w:r>
        <w:rPr>
          <w:rFonts w:hint="default"/>
          <w:color w:val="auto"/>
          <w:highlight w:val="none"/>
          <w:lang w:val="en-US" w:eastAsia="zh-CN"/>
        </w:rPr>
        <w:t>人员结构及数量的要求：本项目要求提供不少于4人的实施人员，且应提供不低于合计</w:t>
      </w:r>
      <w:r>
        <w:rPr>
          <w:rFonts w:hint="eastAsia"/>
          <w:color w:val="auto"/>
          <w:highlight w:val="none"/>
          <w:lang w:val="en-US" w:eastAsia="zh-CN"/>
        </w:rPr>
        <w:t>30</w:t>
      </w:r>
      <w:r>
        <w:rPr>
          <w:rFonts w:hint="default"/>
          <w:color w:val="auto"/>
          <w:highlight w:val="none"/>
          <w:lang w:val="en-US" w:eastAsia="zh-CN"/>
        </w:rPr>
        <w:t>人天的现场驻场实施工作时间。具体要求如下表所示：</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710"/>
        <w:gridCol w:w="2268"/>
        <w:gridCol w:w="4019"/>
      </w:tblGrid>
      <w:tr w14:paraId="266F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5" w:type="dxa"/>
            <w:shd w:val="clear" w:color="auto" w:fill="BFBFBF"/>
            <w:noWrap w:val="0"/>
            <w:vAlign w:val="top"/>
          </w:tcPr>
          <w:p w14:paraId="0E33F582">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角色</w:t>
            </w:r>
          </w:p>
        </w:tc>
        <w:tc>
          <w:tcPr>
            <w:tcW w:w="710" w:type="dxa"/>
            <w:shd w:val="clear" w:color="auto" w:fill="BFBFBF"/>
            <w:noWrap w:val="0"/>
            <w:vAlign w:val="top"/>
          </w:tcPr>
          <w:p w14:paraId="75A8967B">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人员</w:t>
            </w:r>
          </w:p>
        </w:tc>
        <w:tc>
          <w:tcPr>
            <w:tcW w:w="2268" w:type="dxa"/>
            <w:shd w:val="clear" w:color="auto" w:fill="BFBFBF"/>
            <w:noWrap w:val="0"/>
            <w:vAlign w:val="top"/>
          </w:tcPr>
          <w:p w14:paraId="61547D7D">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职责</w:t>
            </w:r>
          </w:p>
        </w:tc>
        <w:tc>
          <w:tcPr>
            <w:tcW w:w="4019" w:type="dxa"/>
            <w:shd w:val="clear" w:color="auto" w:fill="BFBFBF"/>
            <w:noWrap w:val="0"/>
            <w:vAlign w:val="top"/>
          </w:tcPr>
          <w:p w14:paraId="74DE2AA4">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资质要求</w:t>
            </w:r>
          </w:p>
        </w:tc>
      </w:tr>
      <w:tr w14:paraId="1D2F1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5" w:type="dxa"/>
            <w:noWrap w:val="0"/>
            <w:vAlign w:val="center"/>
          </w:tcPr>
          <w:p w14:paraId="3A10CF9E">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项目经理</w:t>
            </w:r>
          </w:p>
        </w:tc>
        <w:tc>
          <w:tcPr>
            <w:tcW w:w="710" w:type="dxa"/>
            <w:noWrap w:val="0"/>
            <w:vAlign w:val="center"/>
          </w:tcPr>
          <w:p w14:paraId="04AD6245">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1</w:t>
            </w:r>
          </w:p>
        </w:tc>
        <w:tc>
          <w:tcPr>
            <w:tcW w:w="2268" w:type="dxa"/>
            <w:noWrap w:val="0"/>
            <w:vAlign w:val="center"/>
          </w:tcPr>
          <w:p w14:paraId="2B396B9C">
            <w:pPr>
              <w:spacing w:line="300" w:lineRule="exact"/>
              <w:ind w:firstLine="0" w:firstLineChars="0"/>
              <w:jc w:val="left"/>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负责整体项目管理</w:t>
            </w:r>
          </w:p>
        </w:tc>
        <w:tc>
          <w:tcPr>
            <w:tcW w:w="4019" w:type="dxa"/>
            <w:noWrap w:val="0"/>
            <w:vAlign w:val="center"/>
          </w:tcPr>
          <w:p w14:paraId="1B299070">
            <w:pPr>
              <w:spacing w:line="300" w:lineRule="exact"/>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具备1个银行业DCMM评估项目实施经验和2个及以上DCMM评估项目经理角色的实施经验，具备项目协调和管理能力。可为中级评估师其中一员。</w:t>
            </w:r>
          </w:p>
        </w:tc>
      </w:tr>
      <w:tr w14:paraId="4AEB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trPr>
        <w:tc>
          <w:tcPr>
            <w:tcW w:w="1525" w:type="dxa"/>
            <w:noWrap w:val="0"/>
            <w:vAlign w:val="center"/>
          </w:tcPr>
          <w:p w14:paraId="268DB841">
            <w:pPr>
              <w:spacing w:line="300" w:lineRule="exact"/>
              <w:ind w:firstLine="0" w:firstLineChars="0"/>
              <w:jc w:val="both"/>
              <w:rPr>
                <w:rFonts w:hint="eastAsia" w:ascii="方正仿宋_GBK" w:eastAsia="方正仿宋_GBK"/>
                <w:color w:val="auto"/>
                <w:sz w:val="28"/>
                <w:szCs w:val="32"/>
                <w:highlight w:val="none"/>
              </w:rPr>
            </w:pPr>
            <w:r>
              <w:rPr>
                <w:rFonts w:hint="eastAsia" w:ascii="方正仿宋_GBK" w:hAnsi="宋体" w:eastAsia="方正仿宋_GBK" w:cs="Arial"/>
                <w:color w:val="auto"/>
                <w:kern w:val="0"/>
                <w:sz w:val="22"/>
                <w:szCs w:val="32"/>
                <w:highlight w:val="none"/>
              </w:rPr>
              <w:t>咨询专家</w:t>
            </w:r>
          </w:p>
        </w:tc>
        <w:tc>
          <w:tcPr>
            <w:tcW w:w="710" w:type="dxa"/>
            <w:noWrap w:val="0"/>
            <w:vAlign w:val="center"/>
          </w:tcPr>
          <w:p w14:paraId="62358D9A">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1</w:t>
            </w:r>
          </w:p>
        </w:tc>
        <w:tc>
          <w:tcPr>
            <w:tcW w:w="2268" w:type="dxa"/>
            <w:noWrap w:val="0"/>
            <w:vAlign w:val="center"/>
          </w:tcPr>
          <w:p w14:paraId="6EF5E635">
            <w:pPr>
              <w:spacing w:line="300" w:lineRule="exact"/>
              <w:ind w:firstLine="0" w:firstLineChars="0"/>
              <w:jc w:val="left"/>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提供评估过程中的政策解读、宣贯培训和能力提升过程中的咨询和技术指导</w:t>
            </w:r>
          </w:p>
        </w:tc>
        <w:tc>
          <w:tcPr>
            <w:tcW w:w="4019" w:type="dxa"/>
            <w:noWrap w:val="0"/>
            <w:vAlign w:val="center"/>
          </w:tcPr>
          <w:p w14:paraId="333A5A4D">
            <w:pPr>
              <w:spacing w:line="300" w:lineRule="exact"/>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具备8年及以上数据管理领域相关工作经验，熟悉DCMM评估中数据管理8个领域的管理要求，精通DCMM评估政策、流程等。</w:t>
            </w:r>
          </w:p>
        </w:tc>
      </w:tr>
      <w:tr w14:paraId="71ECD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5" w:type="dxa"/>
            <w:noWrap w:val="0"/>
            <w:vAlign w:val="center"/>
          </w:tcPr>
          <w:p w14:paraId="0ABC8871">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中级评估师</w:t>
            </w:r>
          </w:p>
        </w:tc>
        <w:tc>
          <w:tcPr>
            <w:tcW w:w="710" w:type="dxa"/>
            <w:noWrap w:val="0"/>
            <w:vAlign w:val="center"/>
          </w:tcPr>
          <w:p w14:paraId="041C4FB8">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2</w:t>
            </w:r>
          </w:p>
        </w:tc>
        <w:tc>
          <w:tcPr>
            <w:tcW w:w="2268" w:type="dxa"/>
            <w:noWrap w:val="0"/>
            <w:vAlign w:val="center"/>
          </w:tcPr>
          <w:p w14:paraId="35441920">
            <w:pPr>
              <w:spacing w:line="300" w:lineRule="exact"/>
              <w:ind w:firstLine="0" w:firstLineChars="0"/>
              <w:jc w:val="left"/>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完成项目整体评估实施过程中的咨询和技术支撑</w:t>
            </w:r>
          </w:p>
        </w:tc>
        <w:tc>
          <w:tcPr>
            <w:tcW w:w="4019" w:type="dxa"/>
            <w:noWrap w:val="0"/>
            <w:vAlign w:val="center"/>
          </w:tcPr>
          <w:p w14:paraId="6EBBD1C0">
            <w:pPr>
              <w:spacing w:line="300" w:lineRule="exact"/>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具备中级及以上评估师资质，具有5个及以上DCMM评估项目实施经验。其中一人可与项目经理为同一人。</w:t>
            </w:r>
          </w:p>
        </w:tc>
      </w:tr>
      <w:tr w14:paraId="409F2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5" w:type="dxa"/>
            <w:noWrap w:val="0"/>
            <w:vAlign w:val="center"/>
          </w:tcPr>
          <w:p w14:paraId="060ACC1E">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初级评估师</w:t>
            </w:r>
          </w:p>
        </w:tc>
        <w:tc>
          <w:tcPr>
            <w:tcW w:w="710" w:type="dxa"/>
            <w:noWrap w:val="0"/>
            <w:vAlign w:val="center"/>
          </w:tcPr>
          <w:p w14:paraId="4CD0C97E">
            <w:pPr>
              <w:spacing w:line="300" w:lineRule="exact"/>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1</w:t>
            </w:r>
          </w:p>
        </w:tc>
        <w:tc>
          <w:tcPr>
            <w:tcW w:w="2268" w:type="dxa"/>
            <w:noWrap w:val="0"/>
            <w:vAlign w:val="center"/>
          </w:tcPr>
          <w:p w14:paraId="70501937">
            <w:pPr>
              <w:spacing w:line="300" w:lineRule="exact"/>
              <w:ind w:firstLine="0" w:firstLineChars="0"/>
              <w:jc w:val="left"/>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配合实施过程中的资料收集、整理、申报材料准备等工作</w:t>
            </w:r>
          </w:p>
        </w:tc>
        <w:tc>
          <w:tcPr>
            <w:tcW w:w="4019" w:type="dxa"/>
            <w:noWrap w:val="0"/>
            <w:vAlign w:val="center"/>
          </w:tcPr>
          <w:p w14:paraId="7F93CA5D">
            <w:pPr>
              <w:spacing w:line="300" w:lineRule="exact"/>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具备助理及以上评估师资质，具有2个及以上DCMM评估项目实施经验。</w:t>
            </w:r>
          </w:p>
        </w:tc>
      </w:tr>
    </w:tbl>
    <w:p w14:paraId="214F985B">
      <w:pPr>
        <w:rPr>
          <w:rFonts w:hint="default"/>
          <w:color w:val="auto"/>
          <w:highlight w:val="none"/>
          <w:lang w:val="en-US" w:eastAsia="zh-CN"/>
        </w:rPr>
      </w:pPr>
      <w:bookmarkStart w:id="50" w:name="_Toc89675144"/>
      <w:bookmarkStart w:id="51" w:name="_Toc15059418"/>
      <w:r>
        <w:rPr>
          <w:rFonts w:hint="eastAsia"/>
          <w:color w:val="auto"/>
          <w:highlight w:val="none"/>
          <w:lang w:val="en-US" w:eastAsia="zh-CN"/>
        </w:rPr>
        <w:t>【提供</w:t>
      </w:r>
      <w:r>
        <w:rPr>
          <w:rFonts w:hint="default"/>
          <w:color w:val="auto"/>
          <w:highlight w:val="none"/>
          <w:lang w:val="en-US" w:eastAsia="zh-CN"/>
        </w:rPr>
        <w:t>项目人力资源方案</w:t>
      </w:r>
      <w:r>
        <w:rPr>
          <w:rFonts w:hint="eastAsia"/>
          <w:color w:val="auto"/>
          <w:highlight w:val="none"/>
          <w:lang w:val="en-US" w:eastAsia="zh-CN"/>
        </w:rPr>
        <w:t>】</w:t>
      </w:r>
    </w:p>
    <w:p w14:paraId="64328535">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5.</w:t>
      </w:r>
      <w:r>
        <w:rPr>
          <w:rFonts w:hint="eastAsia" w:ascii="Times New Roman" w:hAnsi="Times New Roman"/>
          <w:color w:val="auto"/>
          <w:highlight w:val="none"/>
        </w:rPr>
        <w:t>交付周期、地点</w:t>
      </w:r>
      <w:bookmarkEnd w:id="50"/>
      <w:bookmarkEnd w:id="51"/>
      <w:r>
        <w:rPr>
          <w:rFonts w:hint="eastAsia" w:ascii="Times New Roman" w:hAnsi="Times New Roman"/>
          <w:color w:val="auto"/>
          <w:highlight w:val="none"/>
        </w:rPr>
        <w:t>【购销</w:t>
      </w:r>
      <w:r>
        <w:rPr>
          <w:rFonts w:ascii="Times New Roman" w:hAnsi="Times New Roman"/>
          <w:color w:val="auto"/>
          <w:highlight w:val="none"/>
        </w:rPr>
        <w:t>类项目】</w:t>
      </w:r>
    </w:p>
    <w:p w14:paraId="012D2D1B">
      <w:pPr>
        <w:pStyle w:val="4"/>
        <w:ind w:firstLine="482"/>
        <w:rPr>
          <w:rFonts w:ascii="Times New Roman" w:hAnsi="Times New Roman"/>
          <w:color w:val="auto"/>
          <w:highlight w:val="none"/>
        </w:rPr>
      </w:pPr>
      <w:bookmarkStart w:id="52" w:name="_Toc89675146"/>
      <w:bookmarkStart w:id="53" w:name="_Toc15059420"/>
      <w:bookmarkStart w:id="54" w:name="_Toc387826347"/>
      <w:bookmarkStart w:id="55" w:name="_Toc1125"/>
      <w:bookmarkStart w:id="56" w:name="_Toc432254881"/>
      <w:bookmarkStart w:id="57" w:name="_Toc440628915"/>
      <w:r>
        <w:rPr>
          <w:rFonts w:ascii="Times New Roman" w:hAnsi="Times New Roman"/>
          <w:color w:val="auto"/>
          <w:highlight w:val="none"/>
        </w:rPr>
        <w:t>5</w:t>
      </w:r>
      <w:r>
        <w:rPr>
          <w:rFonts w:hint="eastAsia" w:ascii="Times New Roman" w:hAnsi="Times New Roman"/>
          <w:color w:val="auto"/>
          <w:highlight w:val="none"/>
        </w:rPr>
        <w:t>.1 交付时间</w:t>
      </w:r>
    </w:p>
    <w:p w14:paraId="7728F9B0">
      <w:pPr>
        <w:rPr>
          <w:rFonts w:hint="eastAsia" w:eastAsia="宋体"/>
          <w:color w:val="auto"/>
          <w:highlight w:val="none"/>
          <w:lang w:eastAsia="zh-CN"/>
        </w:rPr>
      </w:pPr>
      <w:r>
        <w:rPr>
          <w:rFonts w:hint="eastAsia"/>
          <w:color w:val="auto"/>
          <w:highlight w:val="none"/>
        </w:rPr>
        <w:t>签订合同后6个月实施完成（取得DCMM</w:t>
      </w:r>
      <w:r>
        <w:rPr>
          <w:rFonts w:hint="eastAsia"/>
          <w:color w:val="auto"/>
          <w:highlight w:val="none"/>
          <w:lang w:val="en-US" w:eastAsia="zh-CN"/>
        </w:rPr>
        <w:t>三</w:t>
      </w:r>
      <w:r>
        <w:rPr>
          <w:rFonts w:hint="eastAsia"/>
          <w:color w:val="auto"/>
          <w:highlight w:val="none"/>
        </w:rPr>
        <w:t>级证书</w:t>
      </w:r>
      <w:r>
        <w:rPr>
          <w:rFonts w:hint="eastAsia"/>
          <w:color w:val="auto"/>
          <w:highlight w:val="none"/>
          <w:lang w:eastAsia="zh-CN"/>
        </w:rPr>
        <w:t>）。</w:t>
      </w:r>
    </w:p>
    <w:p w14:paraId="3D281909">
      <w:pPr>
        <w:pStyle w:val="4"/>
        <w:ind w:firstLine="482"/>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 实施及交付地点</w:t>
      </w:r>
    </w:p>
    <w:p w14:paraId="465538E6">
      <w:pPr>
        <w:ind w:firstLine="480"/>
        <w:rPr>
          <w:rFonts w:ascii="Times New Roman" w:hAnsi="Times New Roman"/>
          <w:color w:val="auto"/>
          <w:highlight w:val="none"/>
        </w:rPr>
      </w:pPr>
      <w:r>
        <w:rPr>
          <w:rFonts w:hint="eastAsia" w:ascii="Times New Roman" w:hAnsi="Times New Roman"/>
          <w:color w:val="auto"/>
          <w:highlight w:val="none"/>
        </w:rPr>
        <w:t>重庆市。</w:t>
      </w:r>
    </w:p>
    <w:p w14:paraId="6FF53F4F">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6.</w:t>
      </w:r>
      <w:r>
        <w:rPr>
          <w:rFonts w:hint="eastAsia" w:ascii="Times New Roman" w:hAnsi="Times New Roman"/>
          <w:color w:val="auto"/>
          <w:highlight w:val="none"/>
        </w:rPr>
        <w:t>验收</w:t>
      </w:r>
    </w:p>
    <w:p w14:paraId="08082FE7">
      <w:pPr>
        <w:ind w:firstLine="480"/>
        <w:rPr>
          <w:rFonts w:ascii="Times New Roman" w:hAnsi="Times New Roman"/>
          <w:color w:val="auto"/>
          <w:highlight w:val="none"/>
        </w:rPr>
      </w:pPr>
      <w:r>
        <w:rPr>
          <w:rFonts w:hint="eastAsia" w:ascii="Times New Roman" w:hAnsi="Times New Roman"/>
          <w:color w:val="auto"/>
          <w:highlight w:val="none"/>
        </w:rPr>
        <w:t>中选人按合同约定完成各项服务工作，向比选人提交各项交付物并通过比选人审核。</w:t>
      </w:r>
    </w:p>
    <w:p w14:paraId="4E74B18F">
      <w:pPr>
        <w:pStyle w:val="3"/>
        <w:numPr>
          <w:ilvl w:val="0"/>
          <w:numId w:val="0"/>
        </w:numPr>
        <w:ind w:left="360" w:leftChars="0" w:hanging="360" w:firstLineChars="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7.</w:t>
      </w:r>
      <w:r>
        <w:rPr>
          <w:rFonts w:hint="eastAsia" w:ascii="Times New Roman" w:hAnsi="Times New Roman"/>
          <w:color w:val="auto"/>
          <w:highlight w:val="none"/>
        </w:rPr>
        <w:t>服务连续性预案</w:t>
      </w:r>
    </w:p>
    <w:p w14:paraId="6DCCAB44">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bookmarkEnd w:id="52"/>
    <w:bookmarkEnd w:id="53"/>
    <w:p w14:paraId="475BB01E">
      <w:pPr>
        <w:pStyle w:val="3"/>
        <w:numPr>
          <w:ilvl w:val="0"/>
          <w:numId w:val="0"/>
        </w:numPr>
        <w:ind w:left="360" w:leftChars="0" w:hanging="360" w:firstLineChars="0"/>
        <w:rPr>
          <w:rFonts w:ascii="Times New Roman" w:hAnsi="Times New Roman"/>
          <w:color w:val="auto"/>
          <w:highlight w:val="none"/>
        </w:rPr>
      </w:pPr>
      <w:bookmarkStart w:id="58" w:name="_Toc15059422"/>
      <w:bookmarkStart w:id="59" w:name="_Toc89675148"/>
      <w:r>
        <w:rPr>
          <w:rFonts w:hint="eastAsia" w:ascii="Times New Roman" w:hAnsi="Times New Roman" w:cstheme="majorBidi"/>
          <w:b/>
          <w:bCs/>
          <w:snapToGrid w:val="0"/>
          <w:color w:val="auto"/>
          <w:kern w:val="2"/>
          <w:sz w:val="24"/>
          <w:szCs w:val="24"/>
          <w:highlight w:val="none"/>
          <w:lang w:val="en-US" w:eastAsia="zh-CN" w:bidi="ar-SA"/>
        </w:rPr>
        <w:t>8</w:t>
      </w:r>
      <w:r>
        <w:rPr>
          <w:rFonts w:hint="default" w:ascii="Times New Roman" w:hAnsi="Times New Roman" w:eastAsia="宋体" w:cstheme="majorBidi"/>
          <w:b/>
          <w:bCs/>
          <w:snapToGrid w:val="0"/>
          <w:color w:val="auto"/>
          <w:kern w:val="2"/>
          <w:sz w:val="24"/>
          <w:szCs w:val="24"/>
          <w:highlight w:val="none"/>
          <w:lang w:val="en-US" w:eastAsia="zh-CN" w:bidi="ar-SA"/>
        </w:rPr>
        <w:t>.</w:t>
      </w:r>
      <w:r>
        <w:rPr>
          <w:rFonts w:hint="eastAsia" w:ascii="Times New Roman" w:hAnsi="Times New Roman"/>
          <w:color w:val="auto"/>
          <w:highlight w:val="none"/>
        </w:rPr>
        <w:t>付款方式</w:t>
      </w:r>
      <w:bookmarkEnd w:id="58"/>
      <w:bookmarkEnd w:id="59"/>
    </w:p>
    <w:p w14:paraId="404155A2">
      <w:pPr>
        <w:rPr>
          <w:rFonts w:hint="eastAsia" w:eastAsia="宋体"/>
          <w:color w:val="auto"/>
          <w:highlight w:val="none"/>
          <w:lang w:eastAsia="zh-CN"/>
        </w:rPr>
      </w:pPr>
      <w:r>
        <w:rPr>
          <w:rFonts w:hint="eastAsia"/>
          <w:color w:val="auto"/>
          <w:highlight w:val="none"/>
        </w:rPr>
        <w:t>以转账方式分</w:t>
      </w:r>
      <w:r>
        <w:rPr>
          <w:rFonts w:hint="eastAsia"/>
          <w:color w:val="auto"/>
          <w:highlight w:val="none"/>
          <w:lang w:val="en-US" w:eastAsia="zh-CN"/>
        </w:rPr>
        <w:t>2</w:t>
      </w:r>
      <w:r>
        <w:rPr>
          <w:rFonts w:hint="eastAsia"/>
          <w:color w:val="auto"/>
          <w:highlight w:val="none"/>
        </w:rPr>
        <w:t>次支付</w:t>
      </w:r>
      <w:r>
        <w:rPr>
          <w:rFonts w:hint="eastAsia"/>
          <w:color w:val="auto"/>
          <w:highlight w:val="none"/>
          <w:lang w:eastAsia="zh-CN"/>
        </w:rPr>
        <w:t>：</w:t>
      </w:r>
    </w:p>
    <w:p w14:paraId="22307AB2">
      <w:pPr>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第一次：合同签订</w:t>
      </w:r>
      <w:r>
        <w:rPr>
          <w:rFonts w:hint="eastAsia"/>
          <w:color w:val="auto"/>
          <w:highlight w:val="none"/>
          <w:lang w:val="en-US" w:eastAsia="zh-CN"/>
        </w:rPr>
        <w:t>后，</w:t>
      </w:r>
      <w:r>
        <w:rPr>
          <w:rFonts w:hint="eastAsia" w:ascii="Times New Roman" w:hAnsi="Times New Roman" w:cs="Times New Roman"/>
          <w:color w:val="auto"/>
          <w:sz w:val="24"/>
          <w:szCs w:val="24"/>
          <w:highlight w:val="none"/>
        </w:rPr>
        <w:t>中选人按照合同约定完成</w:t>
      </w:r>
      <w:r>
        <w:rPr>
          <w:rFonts w:hint="eastAsia" w:ascii="Times New Roman" w:hAnsi="Times New Roman" w:cs="Times New Roman"/>
          <w:color w:val="auto"/>
          <w:sz w:val="24"/>
          <w:szCs w:val="24"/>
          <w:highlight w:val="none"/>
          <w:lang w:val="en-US" w:eastAsia="zh-CN"/>
        </w:rPr>
        <w:t>评估准备与评估实施，提供DCMM评估报告，</w:t>
      </w:r>
      <w:r>
        <w:rPr>
          <w:rFonts w:hint="eastAsia" w:ascii="Times New Roman" w:hAnsi="Times New Roman" w:cs="Times New Roman"/>
          <w:color w:val="auto"/>
          <w:sz w:val="24"/>
          <w:szCs w:val="24"/>
          <w:highlight w:val="none"/>
        </w:rPr>
        <w:t>通过比选人审核，中选人向比选人提供合法足额的增值税专用发票，比选人收到发票并确认无误后</w:t>
      </w:r>
      <w:r>
        <w:rPr>
          <w:rFonts w:ascii="Times New Roman" w:hAnsi="Times New Roman" w:cs="Times New Roman"/>
          <w:color w:val="auto"/>
          <w:sz w:val="24"/>
          <w:szCs w:val="24"/>
          <w:highlight w:val="none"/>
        </w:rPr>
        <w:t>30</w:t>
      </w:r>
      <w:r>
        <w:rPr>
          <w:rFonts w:hint="eastAsia" w:ascii="Times New Roman" w:hAnsi="Times New Roman" w:cs="Times New Roman"/>
          <w:color w:val="auto"/>
          <w:sz w:val="24"/>
          <w:szCs w:val="24"/>
          <w:highlight w:val="none"/>
        </w:rPr>
        <w:t>个工作日内，支付合同总额的</w:t>
      </w:r>
      <w:r>
        <w:rPr>
          <w:rFonts w:hint="eastAsia" w:ascii="Times New Roman" w:hAnsi="Times New Roman" w:cs="Times New Roman"/>
          <w:color w:val="auto"/>
          <w:sz w:val="24"/>
          <w:szCs w:val="24"/>
          <w:highlight w:val="none"/>
          <w:lang w:val="en-US" w:eastAsia="zh-CN"/>
        </w:rPr>
        <w:t>60</w:t>
      </w:r>
      <w:r>
        <w:rPr>
          <w:rFonts w:hint="eastAsia" w:ascii="Times New Roman" w:hAnsi="Times New Roman" w:cs="Times New Roman"/>
          <w:color w:val="auto"/>
          <w:sz w:val="24"/>
          <w:szCs w:val="24"/>
          <w:highlight w:val="none"/>
        </w:rPr>
        <w:t>%给中选人</w:t>
      </w:r>
      <w:r>
        <w:rPr>
          <w:rFonts w:hint="eastAsia"/>
          <w:color w:val="auto"/>
          <w:highlight w:val="none"/>
        </w:rPr>
        <w:t>；</w:t>
      </w:r>
    </w:p>
    <w:p w14:paraId="155689B5">
      <w:pPr>
        <w:ind w:firstLine="480"/>
        <w:rPr>
          <w:rFonts w:ascii="Times New Roman" w:hAnsi="Times New Roman"/>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第二次：</w:t>
      </w:r>
      <w:r>
        <w:rPr>
          <w:rFonts w:hint="eastAsia"/>
          <w:color w:val="auto"/>
          <w:highlight w:val="none"/>
          <w:lang w:val="en-US" w:eastAsia="zh-CN"/>
        </w:rPr>
        <w:t>比选人</w:t>
      </w:r>
      <w:r>
        <w:rPr>
          <w:rFonts w:hint="eastAsia"/>
          <w:color w:val="auto"/>
          <w:highlight w:val="none"/>
        </w:rPr>
        <w:t>获得由中国电子信息行业联合会颁发的数据管理能力成熟度等级证书后，</w:t>
      </w:r>
      <w:r>
        <w:rPr>
          <w:rFonts w:hint="eastAsia" w:ascii="Times New Roman" w:hAnsi="Times New Roman" w:cs="Times New Roman"/>
          <w:color w:val="auto"/>
          <w:sz w:val="24"/>
          <w:szCs w:val="24"/>
          <w:highlight w:val="none"/>
        </w:rPr>
        <w:t>中选人向比选人提供合法足额的增值税专用发票，比选人收到发票并确认无误后</w:t>
      </w:r>
      <w:r>
        <w:rPr>
          <w:rFonts w:ascii="Times New Roman" w:hAnsi="Times New Roman" w:cs="Times New Roman"/>
          <w:color w:val="auto"/>
          <w:sz w:val="24"/>
          <w:szCs w:val="24"/>
          <w:highlight w:val="none"/>
        </w:rPr>
        <w:t>30</w:t>
      </w:r>
      <w:r>
        <w:rPr>
          <w:rFonts w:hint="eastAsia" w:ascii="Times New Roman" w:hAnsi="Times New Roman" w:cs="Times New Roman"/>
          <w:color w:val="auto"/>
          <w:sz w:val="24"/>
          <w:szCs w:val="24"/>
          <w:highlight w:val="none"/>
        </w:rPr>
        <w:t>个工作日内，</w:t>
      </w:r>
      <w:r>
        <w:rPr>
          <w:rFonts w:hint="eastAsia"/>
          <w:color w:val="auto"/>
          <w:highlight w:val="none"/>
        </w:rPr>
        <w:t>支付合同总价的</w:t>
      </w:r>
      <w:r>
        <w:rPr>
          <w:rFonts w:hint="eastAsia"/>
          <w:color w:val="auto"/>
          <w:highlight w:val="none"/>
          <w:lang w:val="en-US" w:eastAsia="zh-CN"/>
        </w:rPr>
        <w:t>4</w:t>
      </w:r>
      <w:r>
        <w:rPr>
          <w:rFonts w:hint="eastAsia"/>
          <w:color w:val="auto"/>
          <w:highlight w:val="none"/>
        </w:rPr>
        <w:t>0%。</w:t>
      </w:r>
    </w:p>
    <w:p w14:paraId="23804418">
      <w:pPr>
        <w:pStyle w:val="3"/>
        <w:numPr>
          <w:ilvl w:val="0"/>
          <w:numId w:val="0"/>
        </w:numPr>
        <w:ind w:left="360" w:leftChars="0" w:hanging="360" w:firstLineChars="0"/>
        <w:rPr>
          <w:rFonts w:ascii="Times New Roman" w:hAnsi="Times New Roman"/>
          <w:color w:val="auto"/>
          <w:highlight w:val="none"/>
        </w:rPr>
      </w:pPr>
      <w:bookmarkStart w:id="60" w:name="_Toc89675150"/>
      <w:bookmarkStart w:id="61" w:name="_Toc15059424"/>
      <w:r>
        <w:rPr>
          <w:rFonts w:hint="eastAsia" w:ascii="Times New Roman" w:hAnsi="Times New Roman" w:cstheme="majorBidi"/>
          <w:b/>
          <w:bCs/>
          <w:snapToGrid w:val="0"/>
          <w:color w:val="auto"/>
          <w:kern w:val="2"/>
          <w:sz w:val="24"/>
          <w:szCs w:val="24"/>
          <w:highlight w:val="none"/>
          <w:lang w:val="en-US" w:eastAsia="zh-CN" w:bidi="ar-SA"/>
        </w:rPr>
        <w:t>9</w:t>
      </w:r>
      <w:r>
        <w:rPr>
          <w:rFonts w:hint="default" w:ascii="Times New Roman" w:hAnsi="Times New Roman" w:eastAsia="宋体" w:cstheme="majorBidi"/>
          <w:b/>
          <w:bCs/>
          <w:snapToGrid w:val="0"/>
          <w:color w:val="auto"/>
          <w:kern w:val="2"/>
          <w:sz w:val="24"/>
          <w:szCs w:val="24"/>
          <w:highlight w:val="none"/>
          <w:lang w:val="en-US" w:eastAsia="zh-CN" w:bidi="ar-SA"/>
        </w:rPr>
        <w:t>.</w:t>
      </w:r>
      <w:r>
        <w:rPr>
          <w:rFonts w:hint="eastAsia" w:ascii="Times New Roman" w:hAnsi="Times New Roman"/>
          <w:color w:val="auto"/>
          <w:highlight w:val="none"/>
        </w:rPr>
        <w:t>保密条款</w:t>
      </w:r>
      <w:bookmarkEnd w:id="54"/>
      <w:bookmarkEnd w:id="55"/>
      <w:bookmarkEnd w:id="56"/>
      <w:bookmarkEnd w:id="57"/>
      <w:bookmarkEnd w:id="60"/>
      <w:bookmarkEnd w:id="61"/>
    </w:p>
    <w:p w14:paraId="0AC1145B">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9</w:t>
      </w:r>
      <w:r>
        <w:rPr>
          <w:rFonts w:hint="eastAsia" w:ascii="Times New Roman" w:hAnsi="Times New Roman"/>
          <w:color w:val="auto"/>
          <w:highlight w:val="none"/>
        </w:rPr>
        <w:t>.1 保密范围</w:t>
      </w:r>
    </w:p>
    <w:p w14:paraId="2C368D0C">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43CDE2B8">
      <w:pPr>
        <w:pStyle w:val="4"/>
        <w:ind w:firstLine="482"/>
        <w:rPr>
          <w:rFonts w:ascii="Times New Roman" w:hAnsi="Times New Roman"/>
          <w:color w:val="auto"/>
          <w:highlight w:val="none"/>
        </w:rPr>
      </w:pPr>
      <w:r>
        <w:rPr>
          <w:rFonts w:hint="eastAsia" w:ascii="Times New Roman" w:hAnsi="Times New Roman"/>
          <w:color w:val="auto"/>
          <w:highlight w:val="none"/>
          <w:lang w:val="en-US" w:eastAsia="zh-CN"/>
        </w:rPr>
        <w:t>9</w:t>
      </w:r>
      <w:r>
        <w:rPr>
          <w:rFonts w:hint="eastAsia" w:ascii="Times New Roman" w:hAnsi="Times New Roman"/>
          <w:color w:val="auto"/>
          <w:highlight w:val="none"/>
        </w:rPr>
        <w:t>.2 保密责任</w:t>
      </w:r>
    </w:p>
    <w:p w14:paraId="4C7F931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53BE3C7">
      <w:pPr>
        <w:pStyle w:val="3"/>
        <w:numPr>
          <w:ilvl w:val="0"/>
          <w:numId w:val="0"/>
        </w:numPr>
        <w:ind w:left="360" w:leftChars="0" w:hanging="360" w:firstLineChars="0"/>
        <w:rPr>
          <w:rFonts w:ascii="Times New Roman" w:hAnsi="Times New Roman"/>
          <w:color w:val="auto"/>
          <w:highlight w:val="none"/>
        </w:rPr>
      </w:pPr>
      <w:r>
        <w:rPr>
          <w:rFonts w:hint="eastAsia" w:ascii="Times New Roman" w:hAnsi="Times New Roman" w:cstheme="majorBidi"/>
          <w:b/>
          <w:bCs/>
          <w:snapToGrid w:val="0"/>
          <w:color w:val="auto"/>
          <w:kern w:val="2"/>
          <w:sz w:val="24"/>
          <w:szCs w:val="24"/>
          <w:highlight w:val="none"/>
          <w:lang w:val="en-US" w:eastAsia="zh-CN" w:bidi="ar-SA"/>
        </w:rPr>
        <w:t>10</w:t>
      </w:r>
      <w:r>
        <w:rPr>
          <w:rFonts w:hint="default" w:ascii="Times New Roman" w:hAnsi="Times New Roman" w:eastAsia="宋体" w:cstheme="majorBidi"/>
          <w:b/>
          <w:bCs/>
          <w:snapToGrid w:val="0"/>
          <w:color w:val="auto"/>
          <w:kern w:val="2"/>
          <w:sz w:val="24"/>
          <w:szCs w:val="24"/>
          <w:highlight w:val="none"/>
          <w:lang w:val="en-US" w:eastAsia="zh-CN" w:bidi="ar-SA"/>
        </w:rPr>
        <w:t>.</w:t>
      </w:r>
      <w:r>
        <w:rPr>
          <w:rFonts w:hint="eastAsia" w:ascii="Times New Roman" w:hAnsi="Times New Roman"/>
          <w:color w:val="auto"/>
          <w:highlight w:val="none"/>
        </w:rPr>
        <w:t>报价要求</w:t>
      </w:r>
    </w:p>
    <w:p w14:paraId="00506926">
      <w:pPr>
        <w:ind w:firstLine="480"/>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4F9C96AD">
      <w:pPr>
        <w:pStyle w:val="3"/>
        <w:numPr>
          <w:ilvl w:val="0"/>
          <w:numId w:val="0"/>
        </w:numPr>
        <w:ind w:left="360" w:leftChars="0" w:hanging="360" w:firstLineChars="0"/>
        <w:rPr>
          <w:rFonts w:ascii="Times New Roman" w:hAnsi="Times New Roman"/>
          <w:color w:val="auto"/>
          <w:highlight w:val="none"/>
        </w:rPr>
      </w:pPr>
      <w:bookmarkStart w:id="62" w:name="_Toc89675152"/>
      <w:bookmarkStart w:id="63" w:name="_Toc15059426"/>
      <w:r>
        <w:rPr>
          <w:rFonts w:hint="eastAsia" w:ascii="Times New Roman" w:hAnsi="Times New Roman" w:cstheme="majorBidi"/>
          <w:b/>
          <w:bCs/>
          <w:snapToGrid w:val="0"/>
          <w:color w:val="auto"/>
          <w:kern w:val="2"/>
          <w:sz w:val="24"/>
          <w:szCs w:val="24"/>
          <w:highlight w:val="none"/>
          <w:lang w:val="en-US" w:eastAsia="zh-CN" w:bidi="ar-SA"/>
        </w:rPr>
        <w:t>11</w:t>
      </w:r>
      <w:r>
        <w:rPr>
          <w:rFonts w:hint="default" w:ascii="Times New Roman" w:hAnsi="Times New Roman" w:eastAsia="宋体" w:cstheme="majorBidi"/>
          <w:b/>
          <w:bCs/>
          <w:snapToGrid w:val="0"/>
          <w:color w:val="auto"/>
          <w:kern w:val="2"/>
          <w:sz w:val="24"/>
          <w:szCs w:val="24"/>
          <w:highlight w:val="none"/>
          <w:lang w:val="en-US" w:eastAsia="zh-CN" w:bidi="ar-SA"/>
        </w:rPr>
        <w:t>.</w:t>
      </w:r>
      <w:r>
        <w:rPr>
          <w:rFonts w:hint="eastAsia" w:ascii="Times New Roman" w:hAnsi="Times New Roman"/>
          <w:color w:val="auto"/>
          <w:highlight w:val="none"/>
        </w:rPr>
        <w:t>知识产权</w:t>
      </w:r>
      <w:bookmarkEnd w:id="62"/>
      <w:bookmarkEnd w:id="63"/>
    </w:p>
    <w:p w14:paraId="45FAAF41">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BE04F64">
      <w:pPr>
        <w:ind w:firstLine="480"/>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429B4B3A">
      <w:pPr>
        <w:pStyle w:val="3"/>
        <w:numPr>
          <w:ilvl w:val="0"/>
          <w:numId w:val="0"/>
        </w:numPr>
        <w:ind w:left="360" w:leftChars="0" w:hanging="360" w:firstLineChars="0"/>
        <w:rPr>
          <w:rFonts w:ascii="Times New Roman" w:hAnsi="Times New Roman"/>
          <w:color w:val="auto"/>
          <w:highlight w:val="none"/>
        </w:rPr>
      </w:pPr>
      <w:bookmarkStart w:id="64" w:name="_Toc15059427"/>
      <w:bookmarkStart w:id="65" w:name="_Toc89675153"/>
      <w:r>
        <w:rPr>
          <w:rFonts w:hint="eastAsia" w:ascii="Times New Roman" w:hAnsi="Times New Roman" w:cstheme="majorBidi"/>
          <w:b/>
          <w:bCs/>
          <w:snapToGrid w:val="0"/>
          <w:color w:val="auto"/>
          <w:kern w:val="2"/>
          <w:sz w:val="24"/>
          <w:szCs w:val="24"/>
          <w:highlight w:val="none"/>
          <w:lang w:val="en-US" w:eastAsia="zh-CN" w:bidi="ar-SA"/>
        </w:rPr>
        <w:t>12</w:t>
      </w:r>
      <w:r>
        <w:rPr>
          <w:rFonts w:hint="default" w:ascii="Times New Roman" w:hAnsi="Times New Roman" w:eastAsia="宋体" w:cstheme="majorBidi"/>
          <w:b/>
          <w:bCs/>
          <w:snapToGrid w:val="0"/>
          <w:color w:val="auto"/>
          <w:kern w:val="2"/>
          <w:sz w:val="24"/>
          <w:szCs w:val="24"/>
          <w:highlight w:val="none"/>
          <w:lang w:val="en-US" w:eastAsia="zh-CN" w:bidi="ar-SA"/>
        </w:rPr>
        <w:t>.</w:t>
      </w:r>
      <w:r>
        <w:rPr>
          <w:rFonts w:hint="eastAsia" w:ascii="Times New Roman" w:hAnsi="Times New Roman"/>
          <w:color w:val="auto"/>
          <w:highlight w:val="none"/>
        </w:rPr>
        <w:t>其他</w:t>
      </w:r>
      <w:bookmarkEnd w:id="64"/>
      <w:bookmarkEnd w:id="65"/>
    </w:p>
    <w:p w14:paraId="16C33A3A">
      <w:pPr>
        <w:bidi w:val="0"/>
        <w:rPr>
          <w:rFonts w:hint="eastAsia"/>
          <w:color w:val="auto"/>
          <w:highlight w:val="none"/>
        </w:rPr>
      </w:pPr>
      <w:r>
        <w:rPr>
          <w:rFonts w:hint="eastAsia"/>
          <w:color w:val="auto"/>
          <w:highlight w:val="none"/>
          <w:lang w:val="en-US" w:eastAsia="zh-CN"/>
        </w:rPr>
        <w:t>（1）</w:t>
      </w:r>
      <w:r>
        <w:rPr>
          <w:rFonts w:hint="eastAsia"/>
          <w:color w:val="auto"/>
          <w:highlight w:val="none"/>
        </w:rPr>
        <w:t>参选人必须在响应承诺函中对本章内容做出整体性响应和承诺，承诺内容必须达到本章及比选文件其他条款的要求。</w:t>
      </w:r>
    </w:p>
    <w:p w14:paraId="5C368728">
      <w:pPr>
        <w:bidi w:val="0"/>
        <w:rPr>
          <w:rFonts w:hint="eastAsia"/>
          <w:color w:val="auto"/>
          <w:highlight w:val="none"/>
        </w:rPr>
      </w:pPr>
      <w:r>
        <w:rPr>
          <w:rFonts w:hint="eastAsia"/>
          <w:color w:val="auto"/>
          <w:highlight w:val="none"/>
          <w:lang w:val="en-US" w:eastAsia="zh-CN"/>
        </w:rPr>
        <w:t>（2）</w:t>
      </w:r>
      <w:r>
        <w:rPr>
          <w:rFonts w:hint="eastAsia"/>
          <w:color w:val="auto"/>
          <w:highlight w:val="none"/>
        </w:rPr>
        <w:t>参选人应根据本章内容和要求，提供对应</w:t>
      </w:r>
      <w:r>
        <w:rPr>
          <w:color w:val="auto"/>
          <w:highlight w:val="none"/>
          <w:lang w:val="en-US" w:eastAsia="zh-CN"/>
        </w:rPr>
        <w:t>材料</w:t>
      </w:r>
      <w:r>
        <w:rPr>
          <w:rFonts w:hint="eastAsia"/>
          <w:color w:val="auto"/>
          <w:highlight w:val="none"/>
        </w:rPr>
        <w:t>，内容齐全，无遗漏。</w:t>
      </w:r>
    </w:p>
    <w:p w14:paraId="19B92392">
      <w:pPr>
        <w:bidi w:val="0"/>
        <w:rPr>
          <w:rFonts w:hint="eastAsia"/>
          <w:color w:val="auto"/>
          <w:highlight w:val="none"/>
        </w:rPr>
      </w:pPr>
      <w:r>
        <w:rPr>
          <w:rFonts w:hint="eastAsia"/>
          <w:color w:val="auto"/>
          <w:highlight w:val="none"/>
          <w:lang w:val="en-US" w:eastAsia="zh-CN"/>
        </w:rPr>
        <w:t>（3）</w:t>
      </w:r>
      <w:r>
        <w:rPr>
          <w:rFonts w:hint="eastAsia"/>
          <w:color w:val="auto"/>
          <w:highlight w:val="none"/>
        </w:rPr>
        <w:t>其他未尽事宜由供需双方在合同中详细约定。</w:t>
      </w:r>
    </w:p>
    <w:p w14:paraId="0137D1AA">
      <w:pPr>
        <w:snapToGrid w:val="0"/>
        <w:spacing w:line="360" w:lineRule="auto"/>
        <w:ind w:firstLine="480"/>
        <w:rPr>
          <w:rFonts w:ascii="Times New Roman" w:hAnsi="Times New Roman" w:cs="宋体"/>
          <w:snapToGrid w:val="0"/>
          <w:color w:val="auto"/>
          <w:kern w:val="0"/>
          <w:szCs w:val="24"/>
          <w:highlight w:val="none"/>
        </w:rPr>
      </w:pPr>
    </w:p>
    <w:p w14:paraId="55731CDB">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7F55C6DD">
      <w:pPr>
        <w:pStyle w:val="2"/>
        <w:rPr>
          <w:rFonts w:ascii="Times New Roman" w:hAnsi="Times New Roman"/>
          <w:color w:val="auto"/>
          <w:highlight w:val="none"/>
        </w:rPr>
      </w:pPr>
      <w:bookmarkStart w:id="66" w:name="_Toc24542"/>
      <w:bookmarkStart w:id="67" w:name="_Toc29189"/>
      <w:bookmarkStart w:id="68" w:name="_Toc8148"/>
      <w:r>
        <w:rPr>
          <w:rFonts w:hint="eastAsia" w:ascii="Times New Roman" w:hAnsi="Times New Roman"/>
          <w:color w:val="auto"/>
          <w:highlight w:val="none"/>
        </w:rPr>
        <w:t>第四章 评审办法（综合评估法）</w:t>
      </w:r>
      <w:bookmarkEnd w:id="66"/>
      <w:bookmarkEnd w:id="67"/>
      <w:bookmarkEnd w:id="68"/>
    </w:p>
    <w:p w14:paraId="18BB06F2">
      <w:pPr>
        <w:ind w:firstLine="482"/>
        <w:rPr>
          <w:rFonts w:ascii="Times New Roman" w:hAnsi="Times New Roman"/>
          <w:b/>
          <w:bCs/>
          <w:color w:val="auto"/>
          <w:highlight w:val="none"/>
        </w:rPr>
      </w:pPr>
      <w:bookmarkStart w:id="69" w:name="_Toc14810"/>
      <w:bookmarkStart w:id="70" w:name="_Toc2028"/>
      <w:bookmarkStart w:id="71" w:name="_Toc11471"/>
      <w:bookmarkStart w:id="72" w:name="_Toc27076"/>
      <w:r>
        <w:rPr>
          <w:rFonts w:hint="eastAsia" w:ascii="Times New Roman" w:hAnsi="Times New Roman"/>
          <w:b/>
          <w:bCs/>
          <w:color w:val="auto"/>
          <w:highlight w:val="none"/>
        </w:rPr>
        <w:t>评审办法前附表</w:t>
      </w:r>
      <w:bookmarkEnd w:id="69"/>
      <w:bookmarkEnd w:id="70"/>
      <w:bookmarkEnd w:id="71"/>
      <w:bookmarkEnd w:id="72"/>
    </w:p>
    <w:p w14:paraId="5A0632BA">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2B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AD4E7FB">
            <w:pPr>
              <w:spacing w:line="360" w:lineRule="auto"/>
              <w:ind w:firstLine="0" w:firstLineChars="0"/>
              <w:jc w:val="center"/>
              <w:rPr>
                <w:rFonts w:ascii="Times New Roman" w:hAnsi="Times New Roman" w:cs="宋体"/>
                <w:b/>
                <w:color w:val="auto"/>
                <w:kern w:val="0"/>
                <w:sz w:val="21"/>
                <w:szCs w:val="21"/>
                <w:highlight w:val="none"/>
              </w:rPr>
            </w:pPr>
            <w:bookmarkStart w:id="73" w:name="CQZH1_07"/>
            <w:r>
              <w:rPr>
                <w:rFonts w:hint="eastAsia" w:ascii="Times New Roman" w:hAnsi="Times New Roman" w:cs="宋体"/>
                <w:b/>
                <w:color w:val="auto"/>
                <w:kern w:val="0"/>
                <w:sz w:val="21"/>
                <w:szCs w:val="21"/>
                <w:highlight w:val="none"/>
              </w:rPr>
              <w:t>条款号</w:t>
            </w:r>
          </w:p>
        </w:tc>
        <w:tc>
          <w:tcPr>
            <w:tcW w:w="1482" w:type="dxa"/>
            <w:vAlign w:val="center"/>
          </w:tcPr>
          <w:p w14:paraId="14D45CEE">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3"/>
            <w:vAlign w:val="center"/>
          </w:tcPr>
          <w:p w14:paraId="31FDDAA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272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D9487ED">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vAlign w:val="center"/>
          </w:tcPr>
          <w:p w14:paraId="262F8A8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14:paraId="08E156ED">
            <w:pPr>
              <w:spacing w:line="360" w:lineRule="auto"/>
              <w:ind w:firstLine="0" w:firstLineChars="0"/>
              <w:jc w:val="left"/>
              <w:rPr>
                <w:rFonts w:ascii="Times New Roman" w:hAnsi="Times New Roman" w:cs="宋体"/>
                <w:b/>
                <w:color w:val="auto"/>
                <w:kern w:val="0"/>
                <w:sz w:val="21"/>
                <w:szCs w:val="21"/>
                <w:highlight w:val="none"/>
              </w:rPr>
            </w:pPr>
            <w:r>
              <w:rPr>
                <w:rFonts w:hint="eastAsia" w:ascii="宋体" w:hAnsi="宋体" w:eastAsia="宋体" w:cs="宋体"/>
                <w:color w:val="auto"/>
                <w:kern w:val="0"/>
                <w:sz w:val="21"/>
                <w:szCs w:val="21"/>
                <w:highlight w:val="none"/>
              </w:rPr>
              <w:t>本次评审采用综合评估法。评审委员会按照评审办法前附表第2.1 条规定进行初步评审，对初步评审合格的参选人根据2.2 条规定的详细评审评分标准进行打分，按得分由高到低顺序推荐</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3名中选候选人，但参选报价低于其成本的除外。</w:t>
            </w:r>
            <w:r>
              <w:rPr>
                <w:rFonts w:hint="eastAsia" w:ascii="Times New Roman" w:hAnsi="Times New Roman" w:cs="Times New Roman"/>
                <w:color w:val="auto"/>
                <w:kern w:val="0"/>
                <w:sz w:val="21"/>
                <w:szCs w:val="24"/>
                <w:highlight w:val="none"/>
              </w:rPr>
              <w:t>综合评分相等时，以参选报价低的优先；参选报价也相等的，由评审委员会按照</w:t>
            </w:r>
            <w:r>
              <w:rPr>
                <w:rFonts w:hint="eastAsia" w:ascii="Times New Roman" w:hAnsi="Times New Roman" w:cs="Times New Roman"/>
                <w:color w:val="auto"/>
                <w:kern w:val="0"/>
                <w:sz w:val="21"/>
                <w:szCs w:val="24"/>
                <w:highlight w:val="none"/>
                <w:lang w:val="en-US" w:eastAsia="zh-CN"/>
              </w:rPr>
              <w:t>企业实施案例得分</w:t>
            </w:r>
            <w:r>
              <w:rPr>
                <w:rFonts w:hint="eastAsia" w:ascii="Times New Roman" w:hAnsi="Times New Roman" w:cs="Times New Roman"/>
                <w:color w:val="auto"/>
                <w:kern w:val="0"/>
                <w:sz w:val="21"/>
                <w:szCs w:val="24"/>
                <w:highlight w:val="none"/>
              </w:rPr>
              <w:t>原则排序。</w:t>
            </w:r>
          </w:p>
        </w:tc>
      </w:tr>
      <w:tr w14:paraId="60A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BA6FF3">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vAlign w:val="center"/>
          </w:tcPr>
          <w:p w14:paraId="7E65714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3"/>
            <w:vAlign w:val="center"/>
          </w:tcPr>
          <w:p w14:paraId="14B78CE2">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2561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6B48A9">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vAlign w:val="center"/>
          </w:tcPr>
          <w:p w14:paraId="4ECF50BD">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vAlign w:val="center"/>
          </w:tcPr>
          <w:p w14:paraId="0259383B">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33CEF38B">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1152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AB1A58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vAlign w:val="center"/>
          </w:tcPr>
          <w:p w14:paraId="4C28B77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vAlign w:val="center"/>
          </w:tcPr>
          <w:p w14:paraId="51130E4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6317563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0DC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A8E2BA">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670EC77E">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3D08296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7D284AB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C2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3862D4">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0C341AF6">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45FB0ED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4B74D57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7B3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072A43">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6BED2414">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038E080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7AD5E83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0939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0241D9">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2CA5246F">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567380E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2824075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07B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DDF30E">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75C247B5">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3945F30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4B89FCC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0A54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A817A2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vAlign w:val="center"/>
          </w:tcPr>
          <w:p w14:paraId="2438DFC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vAlign w:val="center"/>
          </w:tcPr>
          <w:p w14:paraId="34ED771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14FE5DC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5DAFDF9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tc>
      </w:tr>
      <w:tr w14:paraId="6F8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5D4F08">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BADC6B7">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4AD280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51E594AB">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343F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21EFF2">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55FF0B20">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345AC04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188EAAE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057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1CA527">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63F892BF">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5222917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1333412C">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9E6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D0A242">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70ED9F28">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66FFB1E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7A59964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3F97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E94C9A3">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5D085A10">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24740EB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1365B32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79C5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2189FA8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vAlign w:val="center"/>
          </w:tcPr>
          <w:p w14:paraId="455D34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vAlign w:val="center"/>
          </w:tcPr>
          <w:p w14:paraId="23A8B850">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1AB38D7C">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(总分1OO分)</w:t>
            </w:r>
          </w:p>
        </w:tc>
        <w:tc>
          <w:tcPr>
            <w:tcW w:w="5476" w:type="dxa"/>
            <w:vAlign w:val="center"/>
          </w:tcPr>
          <w:p w14:paraId="6E5E650C">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宋体" w:hAnsi="宋体" w:cs="宋体"/>
                <w:color w:val="auto"/>
                <w:kern w:val="0"/>
                <w:sz w:val="21"/>
                <w:szCs w:val="21"/>
                <w:highlight w:val="none"/>
              </w:rPr>
              <w:t>参选报价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50分）</w:t>
            </w:r>
            <w:r>
              <w:rPr>
                <w:rFonts w:hint="eastAsia" w:ascii="宋体" w:hAnsi="宋体" w:cs="宋体"/>
                <w:color w:val="auto"/>
                <w:kern w:val="0"/>
                <w:sz w:val="21"/>
                <w:szCs w:val="21"/>
                <w:highlight w:val="none"/>
              </w:rPr>
              <w:t>评分规则</w:t>
            </w:r>
            <w:r>
              <w:rPr>
                <w:rFonts w:hint="eastAsia" w:ascii="宋体" w:hAnsi="宋体" w:cs="宋体"/>
                <w:color w:val="auto"/>
                <w:kern w:val="0"/>
                <w:sz w:val="21"/>
                <w:szCs w:val="21"/>
                <w:highlight w:val="none"/>
                <w:lang w:eastAsia="zh-CN"/>
              </w:rPr>
              <w:t>：</w:t>
            </w:r>
          </w:p>
          <w:p w14:paraId="29637D9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1.以各</w:t>
            </w:r>
            <w:r>
              <w:rPr>
                <w:rFonts w:hint="eastAsia" w:ascii="Times New Roman" w:hAnsi="Times New Roman" w:cs="宋体"/>
                <w:color w:val="auto"/>
                <w:kern w:val="0"/>
                <w:sz w:val="21"/>
                <w:szCs w:val="21"/>
                <w:highlight w:val="none"/>
                <w:lang w:val="en-US" w:eastAsia="zh-CN"/>
              </w:rPr>
              <w:t>参选人</w:t>
            </w:r>
            <w:r>
              <w:rPr>
                <w:rFonts w:hint="eastAsia" w:ascii="Times New Roman" w:hAnsi="Times New Roman" w:cs="宋体"/>
                <w:color w:val="auto"/>
                <w:kern w:val="0"/>
                <w:sz w:val="21"/>
                <w:szCs w:val="21"/>
                <w:highlight w:val="none"/>
              </w:rPr>
              <w:t>有效报价之和的平均价格作为评标基准价，基准分为</w:t>
            </w:r>
            <w:r>
              <w:rPr>
                <w:rFonts w:hint="eastAsia" w:ascii="Times New Roman" w:hAnsi="Times New Roman" w:cs="宋体"/>
                <w:color w:val="auto"/>
                <w:kern w:val="0"/>
                <w:sz w:val="21"/>
                <w:szCs w:val="21"/>
                <w:highlight w:val="none"/>
                <w:lang w:val="en-US" w:eastAsia="zh-CN"/>
              </w:rPr>
              <w:t>50</w:t>
            </w:r>
            <w:r>
              <w:rPr>
                <w:rFonts w:hint="eastAsia" w:ascii="Times New Roman" w:hAnsi="Times New Roman" w:cs="宋体"/>
                <w:color w:val="auto"/>
                <w:kern w:val="0"/>
                <w:sz w:val="21"/>
                <w:szCs w:val="21"/>
                <w:highlight w:val="none"/>
              </w:rPr>
              <w:t>分；</w:t>
            </w:r>
          </w:p>
          <w:p w14:paraId="68D53629">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50777A65">
            <w:pPr>
              <w:spacing w:line="360" w:lineRule="auto"/>
              <w:ind w:firstLine="0" w:firstLineChars="0"/>
              <w:jc w:val="left"/>
              <w:rPr>
                <w:rFonts w:hint="default" w:eastAsia="宋体"/>
                <w:color w:val="auto"/>
                <w:highlight w:val="none"/>
                <w:lang w:val="en-US" w:eastAsia="zh-CN"/>
              </w:rPr>
            </w:pPr>
            <w:r>
              <w:rPr>
                <w:rFonts w:hint="eastAsia" w:ascii="Times New Roman" w:hAnsi="Times New Roman" w:eastAsia="宋体" w:cs="宋体"/>
                <w:color w:val="auto"/>
                <w:kern w:val="0"/>
                <w:sz w:val="21"/>
                <w:szCs w:val="21"/>
                <w:highlight w:val="none"/>
                <w:lang w:val="en-US" w:eastAsia="zh-CN"/>
              </w:rPr>
              <w:t>3. 报价向上每</w:t>
            </w:r>
            <w:r>
              <w:rPr>
                <w:rFonts w:hint="eastAsia" w:ascii="Times New Roman" w:hAnsi="Times New Roman" w:cs="宋体"/>
                <w:color w:val="auto"/>
                <w:kern w:val="0"/>
                <w:sz w:val="21"/>
                <w:szCs w:val="21"/>
                <w:highlight w:val="none"/>
                <w:lang w:val="en-US" w:eastAsia="zh-CN"/>
              </w:rPr>
              <w:t>正</w:t>
            </w:r>
            <w:r>
              <w:rPr>
                <w:rFonts w:hint="eastAsia" w:ascii="Times New Roman" w:hAnsi="Times New Roman" w:eastAsia="宋体" w:cs="宋体"/>
                <w:color w:val="auto"/>
                <w:kern w:val="0"/>
                <w:sz w:val="21"/>
                <w:szCs w:val="21"/>
                <w:highlight w:val="none"/>
                <w:lang w:val="en-US" w:eastAsia="zh-CN"/>
              </w:rPr>
              <w:t>偏离基准价的1%扣</w:t>
            </w:r>
            <w:r>
              <w:rPr>
                <w:rFonts w:hint="eastAsia" w:ascii="Times New Roman" w:hAnsi="Times New Roman" w:cs="宋体"/>
                <w:color w:val="auto"/>
                <w:kern w:val="0"/>
                <w:sz w:val="21"/>
                <w:szCs w:val="21"/>
                <w:highlight w:val="none"/>
                <w:lang w:val="en-US" w:eastAsia="zh-CN"/>
              </w:rPr>
              <w:t>1</w:t>
            </w:r>
            <w:r>
              <w:rPr>
                <w:rFonts w:hint="eastAsia" w:ascii="Times New Roman" w:hAnsi="Times New Roman" w:eastAsia="宋体" w:cs="宋体"/>
                <w:color w:val="auto"/>
                <w:kern w:val="0"/>
                <w:sz w:val="21"/>
                <w:szCs w:val="21"/>
                <w:highlight w:val="none"/>
                <w:lang w:val="en-US" w:eastAsia="zh-CN"/>
              </w:rPr>
              <w:t>分；</w:t>
            </w:r>
            <w:r>
              <w:rPr>
                <w:rFonts w:hint="eastAsia" w:ascii="Times New Roman" w:hAnsi="Times New Roman" w:cs="宋体"/>
                <w:color w:val="auto"/>
                <w:kern w:val="0"/>
                <w:sz w:val="21"/>
                <w:szCs w:val="21"/>
                <w:highlight w:val="none"/>
                <w:lang w:val="en-US" w:eastAsia="zh-CN"/>
              </w:rPr>
              <w:t>报价</w:t>
            </w:r>
            <w:r>
              <w:rPr>
                <w:rFonts w:hint="eastAsia" w:ascii="Times New Roman" w:hAnsi="Times New Roman" w:eastAsia="宋体" w:cs="宋体"/>
                <w:color w:val="auto"/>
                <w:kern w:val="0"/>
                <w:sz w:val="21"/>
                <w:szCs w:val="21"/>
                <w:highlight w:val="none"/>
                <w:lang w:val="en-US" w:eastAsia="zh-CN"/>
              </w:rPr>
              <w:t>向下</w:t>
            </w:r>
            <w:r>
              <w:rPr>
                <w:rFonts w:hint="eastAsia" w:ascii="Times New Roman" w:hAnsi="Times New Roman" w:cs="宋体"/>
                <w:color w:val="auto"/>
                <w:kern w:val="0"/>
                <w:sz w:val="21"/>
                <w:szCs w:val="21"/>
                <w:highlight w:val="none"/>
                <w:lang w:val="en-US" w:eastAsia="zh-CN"/>
              </w:rPr>
              <w:t>负</w:t>
            </w:r>
            <w:r>
              <w:rPr>
                <w:rFonts w:hint="eastAsia" w:ascii="Times New Roman" w:hAnsi="Times New Roman" w:eastAsia="宋体" w:cs="宋体"/>
                <w:color w:val="auto"/>
                <w:kern w:val="0"/>
                <w:sz w:val="21"/>
                <w:szCs w:val="21"/>
                <w:highlight w:val="none"/>
                <w:lang w:val="en-US" w:eastAsia="zh-CN"/>
              </w:rPr>
              <w:t>偏离基准价</w:t>
            </w:r>
            <w:r>
              <w:rPr>
                <w:rFonts w:hint="eastAsia" w:ascii="Times New Roman" w:hAnsi="Times New Roman" w:cs="宋体"/>
                <w:color w:val="auto"/>
                <w:kern w:val="0"/>
                <w:sz w:val="21"/>
                <w:szCs w:val="21"/>
                <w:highlight w:val="none"/>
                <w:lang w:val="en-US" w:eastAsia="zh-CN"/>
              </w:rPr>
              <w:t>10</w:t>
            </w:r>
            <w:r>
              <w:rPr>
                <w:rFonts w:hint="eastAsia" w:ascii="Times New Roman" w:hAnsi="Times New Roman" w:eastAsia="宋体" w:cs="宋体"/>
                <w:color w:val="auto"/>
                <w:kern w:val="0"/>
                <w:sz w:val="21"/>
                <w:szCs w:val="21"/>
                <w:highlight w:val="none"/>
                <w:lang w:val="en-US" w:eastAsia="zh-CN"/>
              </w:rPr>
              <w:t>%以内的，不扣分；向下</w:t>
            </w:r>
            <w:r>
              <w:rPr>
                <w:rFonts w:hint="eastAsia" w:ascii="Times New Roman" w:hAnsi="Times New Roman" w:cs="宋体"/>
                <w:color w:val="auto"/>
                <w:kern w:val="0"/>
                <w:sz w:val="21"/>
                <w:szCs w:val="21"/>
                <w:highlight w:val="none"/>
                <w:lang w:val="en-US" w:eastAsia="zh-CN"/>
              </w:rPr>
              <w:t>负</w:t>
            </w:r>
            <w:r>
              <w:rPr>
                <w:rFonts w:hint="eastAsia" w:ascii="Times New Roman" w:hAnsi="Times New Roman" w:eastAsia="宋体" w:cs="宋体"/>
                <w:color w:val="auto"/>
                <w:kern w:val="0"/>
                <w:sz w:val="21"/>
                <w:szCs w:val="21"/>
                <w:highlight w:val="none"/>
                <w:lang w:val="en-US" w:eastAsia="zh-CN"/>
              </w:rPr>
              <w:t>偏离基准价超过</w:t>
            </w:r>
            <w:r>
              <w:rPr>
                <w:rFonts w:hint="eastAsia" w:ascii="Times New Roman" w:hAnsi="Times New Roman" w:cs="宋体"/>
                <w:color w:val="auto"/>
                <w:kern w:val="0"/>
                <w:sz w:val="21"/>
                <w:szCs w:val="21"/>
                <w:highlight w:val="none"/>
                <w:lang w:val="en-US" w:eastAsia="zh-CN"/>
              </w:rPr>
              <w:t>10</w:t>
            </w:r>
            <w:r>
              <w:rPr>
                <w:rFonts w:hint="eastAsia" w:ascii="Times New Roman" w:hAnsi="Times New Roman" w:eastAsia="宋体" w:cs="宋体"/>
                <w:color w:val="auto"/>
                <w:kern w:val="0"/>
                <w:sz w:val="21"/>
                <w:szCs w:val="21"/>
                <w:highlight w:val="none"/>
                <w:lang w:val="en-US" w:eastAsia="zh-CN"/>
              </w:rPr>
              <w:t>%的，在向下</w:t>
            </w:r>
            <w:r>
              <w:rPr>
                <w:rFonts w:hint="eastAsia" w:ascii="Times New Roman" w:hAnsi="Times New Roman" w:cs="宋体"/>
                <w:color w:val="auto"/>
                <w:kern w:val="0"/>
                <w:sz w:val="21"/>
                <w:szCs w:val="21"/>
                <w:highlight w:val="none"/>
                <w:lang w:val="en-US" w:eastAsia="zh-CN"/>
              </w:rPr>
              <w:t>负</w:t>
            </w:r>
            <w:r>
              <w:rPr>
                <w:rFonts w:hint="eastAsia" w:ascii="Times New Roman" w:hAnsi="Times New Roman" w:eastAsia="宋体" w:cs="宋体"/>
                <w:color w:val="auto"/>
                <w:kern w:val="0"/>
                <w:sz w:val="21"/>
                <w:szCs w:val="21"/>
                <w:highlight w:val="none"/>
                <w:lang w:val="en-US" w:eastAsia="zh-CN"/>
              </w:rPr>
              <w:t>偏离基准价</w:t>
            </w:r>
            <w:r>
              <w:rPr>
                <w:rFonts w:hint="eastAsia" w:ascii="Times New Roman" w:hAnsi="Times New Roman" w:cs="宋体"/>
                <w:color w:val="auto"/>
                <w:kern w:val="0"/>
                <w:sz w:val="21"/>
                <w:szCs w:val="21"/>
                <w:highlight w:val="none"/>
                <w:lang w:val="en-US" w:eastAsia="zh-CN"/>
              </w:rPr>
              <w:t>10</w:t>
            </w:r>
            <w:r>
              <w:rPr>
                <w:rFonts w:hint="eastAsia" w:ascii="Times New Roman" w:hAnsi="Times New Roman" w:eastAsia="宋体" w:cs="宋体"/>
                <w:color w:val="auto"/>
                <w:kern w:val="0"/>
                <w:sz w:val="21"/>
                <w:szCs w:val="21"/>
                <w:highlight w:val="none"/>
                <w:lang w:val="en-US" w:eastAsia="zh-CN"/>
              </w:rPr>
              <w:t>%的基础上，每多向下</w:t>
            </w:r>
            <w:r>
              <w:rPr>
                <w:rFonts w:hint="eastAsia" w:ascii="Times New Roman" w:hAnsi="Times New Roman" w:cs="宋体"/>
                <w:color w:val="auto"/>
                <w:kern w:val="0"/>
                <w:sz w:val="21"/>
                <w:szCs w:val="21"/>
                <w:highlight w:val="none"/>
                <w:lang w:val="en-US" w:eastAsia="zh-CN"/>
              </w:rPr>
              <w:t>负</w:t>
            </w:r>
            <w:r>
              <w:rPr>
                <w:rFonts w:hint="eastAsia" w:ascii="Times New Roman" w:hAnsi="Times New Roman" w:eastAsia="宋体" w:cs="宋体"/>
                <w:color w:val="auto"/>
                <w:kern w:val="0"/>
                <w:sz w:val="21"/>
                <w:szCs w:val="21"/>
                <w:highlight w:val="none"/>
                <w:lang w:val="en-US" w:eastAsia="zh-CN"/>
              </w:rPr>
              <w:t>偏离1%扣0.</w:t>
            </w:r>
            <w:r>
              <w:rPr>
                <w:rFonts w:hint="eastAsia" w:ascii="Times New Roman" w:hAnsi="Times New Roman" w:cs="宋体"/>
                <w:color w:val="auto"/>
                <w:kern w:val="0"/>
                <w:sz w:val="21"/>
                <w:szCs w:val="21"/>
                <w:highlight w:val="none"/>
                <w:lang w:val="en-US" w:eastAsia="zh-CN"/>
              </w:rPr>
              <w:t>5</w:t>
            </w:r>
            <w:r>
              <w:rPr>
                <w:rFonts w:hint="eastAsia" w:ascii="Times New Roman" w:hAnsi="Times New Roman" w:eastAsia="宋体" w:cs="宋体"/>
                <w:color w:val="auto"/>
                <w:kern w:val="0"/>
                <w:sz w:val="21"/>
                <w:szCs w:val="21"/>
                <w:highlight w:val="none"/>
                <w:lang w:val="en-US" w:eastAsia="zh-CN"/>
              </w:rPr>
              <w:t>分，扣完为止</w:t>
            </w:r>
            <w:r>
              <w:rPr>
                <w:rFonts w:hint="eastAsia" w:ascii="Times New Roman" w:hAnsi="Times New Roman" w:cs="宋体"/>
                <w:color w:val="auto"/>
                <w:kern w:val="0"/>
                <w:sz w:val="21"/>
                <w:szCs w:val="21"/>
                <w:highlight w:val="none"/>
                <w:lang w:val="en-US" w:eastAsia="zh-CN"/>
              </w:rPr>
              <w:t>；</w:t>
            </w:r>
            <w:r>
              <w:rPr>
                <w:rFonts w:hint="eastAsia" w:ascii="Times New Roman" w:hAnsi="Times New Roman" w:eastAsia="宋体" w:cs="宋体"/>
                <w:color w:val="auto"/>
                <w:kern w:val="0"/>
                <w:sz w:val="21"/>
                <w:szCs w:val="21"/>
                <w:highlight w:val="none"/>
                <w:lang w:val="en-US" w:eastAsia="zh-CN"/>
              </w:rPr>
              <w:t>不足1%的不予扣减。</w:t>
            </w:r>
          </w:p>
        </w:tc>
      </w:tr>
      <w:tr w14:paraId="791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20" w:type="dxa"/>
            <w:vMerge w:val="continue"/>
            <w:vAlign w:val="center"/>
          </w:tcPr>
          <w:p w14:paraId="2490B397">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5E465EA0">
            <w:pPr>
              <w:spacing w:line="360" w:lineRule="auto"/>
              <w:ind w:firstLine="0" w:firstLineChars="0"/>
              <w:rPr>
                <w:rFonts w:ascii="Times New Roman" w:hAnsi="Times New Roman" w:cs="宋体"/>
                <w:color w:val="auto"/>
                <w:kern w:val="0"/>
                <w:sz w:val="21"/>
                <w:szCs w:val="21"/>
                <w:highlight w:val="none"/>
              </w:rPr>
            </w:pPr>
          </w:p>
        </w:tc>
        <w:tc>
          <w:tcPr>
            <w:tcW w:w="1686" w:type="dxa"/>
            <w:gridSpan w:val="2"/>
            <w:vMerge w:val="continue"/>
            <w:vAlign w:val="center"/>
          </w:tcPr>
          <w:p w14:paraId="4CA917DC">
            <w:pPr>
              <w:tabs>
                <w:tab w:val="left" w:pos="1875"/>
              </w:tabs>
              <w:spacing w:line="360" w:lineRule="auto"/>
              <w:ind w:firstLine="0" w:firstLineChars="0"/>
              <w:jc w:val="center"/>
              <w:rPr>
                <w:rFonts w:ascii="Times New Roman" w:hAnsi="Times New Roman" w:cs="宋体"/>
                <w:color w:val="auto"/>
                <w:kern w:val="0"/>
                <w:sz w:val="21"/>
                <w:szCs w:val="21"/>
                <w:highlight w:val="none"/>
              </w:rPr>
            </w:pPr>
          </w:p>
        </w:tc>
        <w:tc>
          <w:tcPr>
            <w:tcW w:w="5476" w:type="dxa"/>
            <w:vAlign w:val="center"/>
          </w:tcPr>
          <w:p w14:paraId="76C0CDEF">
            <w:pPr>
              <w:spacing w:line="360" w:lineRule="auto"/>
              <w:ind w:firstLine="0" w:firstLineChars="0"/>
              <w:jc w:val="left"/>
              <w:rPr>
                <w:rFonts w:hint="eastAsia" w:ascii="Times New Roman" w:hAnsi="Times New Roman" w:cs="宋体"/>
                <w:color w:val="auto"/>
                <w:kern w:val="0"/>
                <w:sz w:val="21"/>
                <w:szCs w:val="21"/>
                <w:highlight w:val="none"/>
                <w:lang w:eastAsia="zh-CN"/>
              </w:rPr>
            </w:pPr>
            <w:r>
              <w:rPr>
                <w:rFonts w:hint="eastAsia" w:ascii="Times New Roman" w:hAnsi="Times New Roman" w:cs="宋体"/>
                <w:color w:val="auto"/>
                <w:kern w:val="0"/>
                <w:sz w:val="21"/>
                <w:szCs w:val="21"/>
                <w:highlight w:val="none"/>
              </w:rPr>
              <w:t>商务部分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22分）</w:t>
            </w:r>
            <w:r>
              <w:rPr>
                <w:rFonts w:hint="eastAsia" w:ascii="Times New Roman" w:hAnsi="Times New Roman" w:cs="宋体"/>
                <w:color w:val="auto"/>
                <w:kern w:val="0"/>
                <w:sz w:val="21"/>
                <w:szCs w:val="21"/>
                <w:highlight w:val="none"/>
              </w:rPr>
              <w:t>评分规则</w:t>
            </w:r>
            <w:r>
              <w:rPr>
                <w:rFonts w:hint="eastAsia" w:ascii="Times New Roman" w:hAnsi="Times New Roman" w:cs="宋体"/>
                <w:color w:val="auto"/>
                <w:kern w:val="0"/>
                <w:sz w:val="21"/>
                <w:szCs w:val="21"/>
                <w:highlight w:val="none"/>
                <w:lang w:eastAsia="zh-CN"/>
              </w:rPr>
              <w:t>：</w:t>
            </w:r>
          </w:p>
          <w:p w14:paraId="3BC6C843">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w:t>
            </w:r>
            <w:r>
              <w:rPr>
                <w:rFonts w:hint="eastAsia" w:ascii="宋体" w:hAnsi="宋体" w:cs="宋体"/>
                <w:color w:val="auto"/>
                <w:kern w:val="0"/>
                <w:sz w:val="21"/>
                <w:szCs w:val="21"/>
                <w:highlight w:val="none"/>
                <w:lang w:val="en-US" w:eastAsia="zh-CN"/>
              </w:rPr>
              <w:t>根据参选人提供的人力资源方案，对</w:t>
            </w:r>
            <w:r>
              <w:rPr>
                <w:rFonts w:hint="eastAsia" w:ascii="宋体" w:hAnsi="宋体" w:cs="宋体"/>
                <w:color w:val="auto"/>
                <w:kern w:val="0"/>
                <w:sz w:val="21"/>
                <w:szCs w:val="21"/>
                <w:highlight w:val="none"/>
                <w:lang w:eastAsia="zh-CN"/>
              </w:rPr>
              <w:t>项目拟投入的人员结构和资历</w:t>
            </w:r>
            <w:r>
              <w:rPr>
                <w:rFonts w:hint="eastAsia" w:ascii="宋体" w:hAnsi="宋体" w:cs="宋体"/>
                <w:color w:val="auto"/>
                <w:kern w:val="0"/>
                <w:sz w:val="21"/>
                <w:szCs w:val="21"/>
                <w:highlight w:val="none"/>
                <w:lang w:val="en-US" w:eastAsia="zh-CN"/>
              </w:rPr>
              <w:t>部分评分。</w:t>
            </w:r>
          </w:p>
          <w:p w14:paraId="1569A107">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项目拟投入的人员结构和资历（</w:t>
            </w:r>
            <w:r>
              <w:rPr>
                <w:rFonts w:hint="eastAsia" w:ascii="宋体" w:hAnsi="宋体" w:cs="宋体"/>
                <w:color w:val="auto"/>
                <w:kern w:val="0"/>
                <w:sz w:val="21"/>
                <w:szCs w:val="21"/>
                <w:highlight w:val="none"/>
                <w:lang w:val="en-US" w:eastAsia="zh-CN"/>
              </w:rPr>
              <w:t>16</w:t>
            </w:r>
            <w:r>
              <w:rPr>
                <w:rFonts w:hint="eastAsia" w:ascii="宋体" w:hAnsi="宋体" w:cs="宋体"/>
                <w:color w:val="auto"/>
                <w:kern w:val="0"/>
                <w:sz w:val="21"/>
                <w:szCs w:val="21"/>
                <w:highlight w:val="none"/>
                <w:lang w:eastAsia="zh-CN"/>
              </w:rPr>
              <w:t>分）</w:t>
            </w:r>
          </w:p>
          <w:p w14:paraId="7C107529">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项目拟投入人员结构和资历要求如下（</w:t>
            </w:r>
            <w:r>
              <w:rPr>
                <w:rFonts w:hint="eastAsia" w:ascii="宋体" w:hAnsi="宋体" w:cs="宋体"/>
                <w:color w:val="auto"/>
                <w:kern w:val="0"/>
                <w:sz w:val="21"/>
                <w:szCs w:val="21"/>
                <w:highlight w:val="none"/>
                <w:lang w:val="en-US" w:eastAsia="zh-CN"/>
              </w:rPr>
              <w:t>人员实施经验中实施案例的时间须为2021年1月1日以后，以以合同签订时间为准）</w:t>
            </w:r>
            <w:r>
              <w:rPr>
                <w:rFonts w:hint="eastAsia" w:ascii="宋体" w:hAnsi="宋体" w:cs="宋体"/>
                <w:color w:val="auto"/>
                <w:kern w:val="0"/>
                <w:sz w:val="21"/>
                <w:szCs w:val="21"/>
                <w:highlight w:val="none"/>
                <w:lang w:eastAsia="zh-CN"/>
              </w:rPr>
              <w:t>：</w:t>
            </w:r>
          </w:p>
          <w:p w14:paraId="25C900B9">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①项目经理1人，需具备1个银行业DCMM评估项目实施经验和2个及以上DCMM评估项目经理角色的实施经验，具备项目协调和管理能力。可为中级评估师其中一员；</w:t>
            </w:r>
          </w:p>
          <w:p w14:paraId="751020CB">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②咨询专家1人，需具备8年及以上数据管理相关工作经验，熟悉DCMM评估中数据管理8个领域的管理要求、DCMM评估政策、流程等；</w:t>
            </w:r>
          </w:p>
          <w:p w14:paraId="5FF5E01D">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③中级评估师2人，需具备中级及以上评估师资质，具有5个及以上DCMM评估项目实施经验。其中一人可与项目经理为同一人；</w:t>
            </w:r>
          </w:p>
          <w:p w14:paraId="296883EA">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④初级评估师1人，具备助理及以上评估师资质，2个及以上DCMM评估项目实施经验。</w:t>
            </w:r>
          </w:p>
          <w:p w14:paraId="32E5F9DB">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满足上述要求的得基础分</w:t>
            </w: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eastAsia="zh-CN"/>
              </w:rPr>
              <w:t>分，否则该项得0分。</w:t>
            </w:r>
          </w:p>
          <w:p w14:paraId="4A533EA2">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在满足上述要求的基础上，评标委员会再对拟投入的项目</w:t>
            </w:r>
            <w:r>
              <w:rPr>
                <w:rFonts w:hint="eastAsia" w:ascii="宋体" w:hAnsi="宋体" w:cs="宋体"/>
                <w:color w:val="auto"/>
                <w:kern w:val="0"/>
                <w:sz w:val="21"/>
                <w:szCs w:val="21"/>
                <w:highlight w:val="none"/>
                <w:lang w:val="en-US" w:eastAsia="zh-CN"/>
              </w:rPr>
              <w:t>人员实施</w:t>
            </w:r>
            <w:r>
              <w:rPr>
                <w:rFonts w:hint="eastAsia" w:ascii="宋体" w:hAnsi="宋体" w:cs="宋体"/>
                <w:color w:val="auto"/>
                <w:kern w:val="0"/>
                <w:sz w:val="21"/>
                <w:szCs w:val="21"/>
                <w:highlight w:val="none"/>
                <w:lang w:eastAsia="zh-CN"/>
              </w:rPr>
              <w:t>案例数量作横向比较后进行综合评定加分（</w:t>
            </w:r>
            <w:r>
              <w:rPr>
                <w:rFonts w:hint="eastAsia" w:ascii="宋体" w:hAnsi="宋体" w:cs="宋体"/>
                <w:color w:val="auto"/>
                <w:kern w:val="0"/>
                <w:sz w:val="21"/>
                <w:szCs w:val="21"/>
                <w:highlight w:val="none"/>
                <w:lang w:val="en-US" w:eastAsia="zh-CN"/>
              </w:rPr>
              <w:t>满分为12分）</w:t>
            </w:r>
            <w:r>
              <w:rPr>
                <w:rFonts w:hint="eastAsia" w:ascii="宋体" w:hAnsi="宋体" w:cs="宋体"/>
                <w:color w:val="auto"/>
                <w:kern w:val="0"/>
                <w:sz w:val="21"/>
                <w:szCs w:val="21"/>
                <w:highlight w:val="none"/>
                <w:lang w:eastAsia="zh-CN"/>
              </w:rPr>
              <w:t>：</w:t>
            </w:r>
          </w:p>
          <w:p w14:paraId="7C7D17A5">
            <w:pPr>
              <w:spacing w:line="360" w:lineRule="auto"/>
              <w:ind w:firstLine="0" w:firstLineChars="0"/>
              <w:jc w:val="left"/>
              <w:rPr>
                <w:rFonts w:hint="eastAsia" w:cs="宋体" w:asciiTheme="minorEastAsia" w:hAnsiTheme="minorEastAsia" w:eastAsiaTheme="minorEastAsia"/>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w:t>
            </w:r>
            <w:r>
              <w:rPr>
                <w:rFonts w:hint="eastAsia" w:cs="宋体" w:asciiTheme="minorEastAsia" w:hAnsiTheme="minorEastAsia" w:eastAsiaTheme="minorEastAsia"/>
                <w:color w:val="auto"/>
                <w:kern w:val="0"/>
                <w:sz w:val="21"/>
                <w:szCs w:val="21"/>
                <w:highlight w:val="none"/>
              </w:rPr>
              <w:t>负责本项目的</w:t>
            </w:r>
            <w:r>
              <w:rPr>
                <w:rFonts w:hint="eastAsia" w:cs="宋体" w:asciiTheme="minorEastAsia" w:hAnsiTheme="minorEastAsia" w:eastAsiaTheme="minorEastAsia"/>
                <w:color w:val="auto"/>
                <w:kern w:val="0"/>
                <w:sz w:val="21"/>
                <w:szCs w:val="21"/>
                <w:highlight w:val="none"/>
                <w:lang w:val="en-US" w:eastAsia="zh-CN"/>
              </w:rPr>
              <w:t>咨询专家，成功实施过国内银行业DCMM4级及其以上评估认证服务项目的，案例数在1-2个的，加2分；案例数在3-4个，加3分；案例数在4个以上的，加4分。</w:t>
            </w:r>
          </w:p>
          <w:p w14:paraId="6629FDA6">
            <w:pPr>
              <w:spacing w:line="360" w:lineRule="auto"/>
              <w:ind w:firstLine="0" w:firstLineChars="0"/>
              <w:jc w:val="left"/>
              <w:rPr>
                <w:rFonts w:hint="default"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②负责本项目的项目经理，成功实施过国内银行业DCMM3级及其以上评估认证服务项目的，案例数在2-4个的，加2分；案例数在5-6个，加3分；案例数在6个以上的，加4分。</w:t>
            </w:r>
          </w:p>
          <w:p w14:paraId="5A9BAB01">
            <w:pPr>
              <w:spacing w:line="360" w:lineRule="auto"/>
              <w:ind w:firstLine="0" w:firstLineChars="0"/>
              <w:jc w:val="left"/>
              <w:rPr>
                <w:rFonts w:hint="default" w:cs="宋体" w:asciiTheme="minorEastAsia" w:hAnsiTheme="minorEastAsia" w:eastAsiaTheme="minorEastAsia"/>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③负责本项目的评估师（除项目经理以外），</w:t>
            </w:r>
            <w:r>
              <w:rPr>
                <w:rFonts w:hint="eastAsia" w:cs="宋体" w:asciiTheme="minorEastAsia" w:hAnsiTheme="minorEastAsia" w:eastAsiaTheme="minorEastAsia"/>
                <w:color w:val="auto"/>
                <w:kern w:val="0"/>
                <w:sz w:val="21"/>
                <w:szCs w:val="21"/>
                <w:highlight w:val="none"/>
                <w:lang w:val="en-US" w:eastAsia="zh-CN"/>
              </w:rPr>
              <w:t>成功实施过国内银行业DCMM3级及其以上评估认证服务项目的，总案例数在2-4个的，加2分；总案例数在5-6个，加3分；总案例数在6个以上的，加4分。</w:t>
            </w:r>
          </w:p>
          <w:p w14:paraId="28F72CA5">
            <w:pPr>
              <w:spacing w:line="360" w:lineRule="auto"/>
              <w:ind w:firstLine="0" w:firstLineChars="0"/>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人须提供拟投入本项目的服务团队的人员名单（格式自拟）并加盖参选人公章，名单内容包括但不限于：人员角色、姓名、年龄、专业、工作经历、目前在公司担任的职务及社保证明、评估师资质、曾参与的DCMM评估项目的案例（案例需标明DCMM认证级别及行业）、在案例中担任的角色和完成的主要工作说明。】</w:t>
            </w:r>
          </w:p>
          <w:p w14:paraId="7C4A112E">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项目拟投入的人员的现场驻场实施时间（</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lang w:eastAsia="zh-CN"/>
              </w:rPr>
              <w:t>分）</w:t>
            </w:r>
          </w:p>
          <w:p w14:paraId="7CCBF432">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参选</w:t>
            </w:r>
            <w:r>
              <w:rPr>
                <w:rFonts w:hint="eastAsia" w:ascii="宋体" w:hAnsi="宋体" w:cs="宋体"/>
                <w:color w:val="auto"/>
                <w:kern w:val="0"/>
                <w:sz w:val="21"/>
                <w:szCs w:val="21"/>
                <w:highlight w:val="none"/>
                <w:lang w:eastAsia="zh-CN"/>
              </w:rPr>
              <w:t>人拟投入本项目的服务团队人员应提供合计不低于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lang w:eastAsia="zh-CN"/>
              </w:rPr>
              <w:t>人天的现场驻场实施工作时间，在满足上述要求的基础上，评标委员会根据现场驻场实施的时间长短、各阶段的时间分配情况进行综合评分。</w:t>
            </w:r>
          </w:p>
          <w:p w14:paraId="22185C38">
            <w:pPr>
              <w:numPr>
                <w:ilvl w:val="0"/>
                <w:numId w:val="0"/>
              </w:num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rPr>
              <w:t>驻场时间长短（3分）：</w:t>
            </w:r>
            <w:r>
              <w:rPr>
                <w:rFonts w:hint="eastAsia" w:ascii="宋体" w:hAnsi="宋体" w:cs="宋体"/>
                <w:color w:val="auto"/>
                <w:kern w:val="0"/>
                <w:sz w:val="21"/>
                <w:szCs w:val="21"/>
                <w:highlight w:val="none"/>
                <w:lang w:eastAsia="zh-CN"/>
              </w:rPr>
              <w:t>现场</w:t>
            </w:r>
            <w:r>
              <w:rPr>
                <w:rFonts w:hint="eastAsia" w:ascii="宋体" w:hAnsi="宋体" w:cs="宋体"/>
                <w:color w:val="auto"/>
                <w:kern w:val="0"/>
                <w:sz w:val="21"/>
                <w:szCs w:val="21"/>
                <w:highlight w:val="none"/>
                <w:lang w:val="en-US" w:eastAsia="zh-CN"/>
              </w:rPr>
              <w:t>评估</w:t>
            </w:r>
            <w:r>
              <w:rPr>
                <w:rFonts w:hint="eastAsia" w:ascii="宋体" w:hAnsi="宋体" w:cs="宋体"/>
                <w:color w:val="auto"/>
                <w:kern w:val="0"/>
                <w:sz w:val="21"/>
                <w:szCs w:val="21"/>
                <w:highlight w:val="none"/>
                <w:lang w:eastAsia="zh-CN"/>
              </w:rPr>
              <w:t>、培训的服务时间大于30人天的，每增加1天，得0.</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lang w:eastAsia="zh-CN"/>
              </w:rPr>
              <w:t>分，最高得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eastAsia="zh-CN"/>
              </w:rPr>
              <w:t>分；</w:t>
            </w:r>
          </w:p>
          <w:p w14:paraId="095A0311">
            <w:pPr>
              <w:numPr>
                <w:ilvl w:val="0"/>
                <w:numId w:val="0"/>
              </w:numPr>
              <w:spacing w:line="360" w:lineRule="auto"/>
              <w:ind w:firstLine="0" w:firstLineChars="0"/>
              <w:jc w:val="left"/>
              <w:rPr>
                <w:rFonts w:hint="default" w:ascii="宋体" w:hAnsi="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eastAsia="zh-CN"/>
              </w:rPr>
              <w:t>各阶段的时间分配（</w:t>
            </w:r>
            <w:r>
              <w:rPr>
                <w:rFonts w:hint="eastAsia" w:ascii="宋体" w:hAnsi="宋体" w:cs="宋体"/>
                <w:color w:val="auto"/>
                <w:kern w:val="0"/>
                <w:sz w:val="21"/>
                <w:szCs w:val="21"/>
                <w:highlight w:val="none"/>
                <w:lang w:val="en-US" w:eastAsia="zh-CN"/>
              </w:rPr>
              <w:t>3分）：</w:t>
            </w:r>
            <w:r>
              <w:rPr>
                <w:rFonts w:hint="eastAsia" w:ascii="宋体" w:hAnsi="宋体" w:cs="宋体"/>
                <w:color w:val="auto"/>
                <w:kern w:val="0"/>
                <w:sz w:val="21"/>
                <w:szCs w:val="21"/>
                <w:highlight w:val="none"/>
                <w:lang w:eastAsia="zh-CN"/>
              </w:rPr>
              <w:t>各阶段的时间分配</w:t>
            </w:r>
            <w:r>
              <w:rPr>
                <w:rFonts w:hint="eastAsia" w:ascii="宋体" w:hAnsi="宋体" w:cs="宋体"/>
                <w:color w:val="auto"/>
                <w:kern w:val="0"/>
                <w:sz w:val="21"/>
                <w:szCs w:val="21"/>
                <w:highlight w:val="none"/>
                <w:lang w:val="en-US" w:eastAsia="zh-CN"/>
              </w:rPr>
              <w:t>合理的，</w:t>
            </w:r>
            <w:r>
              <w:rPr>
                <w:rFonts w:hint="eastAsia" w:ascii="Times New Roman" w:hAnsi="Times New Roman" w:cs="宋体"/>
                <w:color w:val="auto"/>
                <w:kern w:val="0"/>
                <w:sz w:val="21"/>
                <w:szCs w:val="21"/>
                <w:highlight w:val="none"/>
                <w:lang w:val="en-US" w:eastAsia="zh-CN"/>
              </w:rPr>
              <w:t>由比选人横向比较后打分：优秀，得3分；较好，得2分；一般，得1分。</w:t>
            </w:r>
          </w:p>
          <w:p w14:paraId="5BFDF56D">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未满足最低现场驻场实施时间要求的，不得分。</w:t>
            </w:r>
          </w:p>
          <w:p w14:paraId="1F4F13F7">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【项目拟投入的人员的现场驻场实施时间需在评估服务方案中进行体现。】</w:t>
            </w:r>
          </w:p>
        </w:tc>
      </w:tr>
      <w:tr w14:paraId="291B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14:paraId="7992E5D6">
            <w:pPr>
              <w:spacing w:line="360" w:lineRule="auto"/>
              <w:ind w:firstLine="0" w:firstLineChars="0"/>
              <w:jc w:val="left"/>
              <w:rPr>
                <w:color w:val="auto"/>
                <w:highlight w:val="none"/>
              </w:rPr>
            </w:pPr>
          </w:p>
        </w:tc>
        <w:tc>
          <w:tcPr>
            <w:tcW w:w="1482" w:type="dxa"/>
            <w:vMerge w:val="continue"/>
            <w:vAlign w:val="center"/>
          </w:tcPr>
          <w:p w14:paraId="076F0BB4">
            <w:pPr>
              <w:spacing w:line="360" w:lineRule="auto"/>
              <w:ind w:firstLine="0" w:firstLineChars="0"/>
              <w:jc w:val="left"/>
              <w:rPr>
                <w:color w:val="auto"/>
                <w:highlight w:val="none"/>
              </w:rPr>
            </w:pPr>
          </w:p>
        </w:tc>
        <w:tc>
          <w:tcPr>
            <w:tcW w:w="1686" w:type="dxa"/>
            <w:gridSpan w:val="2"/>
            <w:vMerge w:val="continue"/>
            <w:vAlign w:val="center"/>
          </w:tcPr>
          <w:p w14:paraId="18DD5CA9">
            <w:pPr>
              <w:spacing w:line="360" w:lineRule="auto"/>
              <w:ind w:firstLine="0" w:firstLineChars="0"/>
              <w:jc w:val="left"/>
              <w:rPr>
                <w:color w:val="auto"/>
                <w:highlight w:val="none"/>
              </w:rPr>
            </w:pPr>
          </w:p>
        </w:tc>
        <w:tc>
          <w:tcPr>
            <w:tcW w:w="5476" w:type="dxa"/>
            <w:vAlign w:val="center"/>
          </w:tcPr>
          <w:p w14:paraId="4DCDB681">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技术部分（28分）评分规则：</w:t>
            </w:r>
          </w:p>
          <w:p w14:paraId="155148C0">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1.服务方案（8分）</w:t>
            </w:r>
          </w:p>
          <w:p w14:paraId="580DE352">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1）评估服务方案（4分）：参选人根据文件要求提供本项目评估服务方案，并对本项目的业务需求、具体的服务方案和计划进行阐述，包括但不限于业务需求满足度、实施阶段、工作内容、主要输出物、实施计划等。</w:t>
            </w:r>
          </w:p>
          <w:p w14:paraId="7EAC340A">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以上内容，所有评标委员会成员根据参选人方案的专业度、全面性、适用性及可扩展性进行综合评分并横向比较，由比选人横向比较后打分：优秀，得4分；较好，得3-2分；一般，得0-1分。</w:t>
            </w:r>
          </w:p>
          <w:p w14:paraId="325FAA2D">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eastAsia="zh-CN"/>
              </w:rPr>
              <w:t>2）</w:t>
            </w:r>
            <w:r>
              <w:rPr>
                <w:rFonts w:hint="eastAsia" w:ascii="Times New Roman" w:hAnsi="Times New Roman" w:cs="宋体"/>
                <w:color w:val="auto"/>
                <w:kern w:val="0"/>
                <w:sz w:val="21"/>
                <w:szCs w:val="21"/>
                <w:highlight w:val="none"/>
                <w:lang w:val="en-US" w:eastAsia="zh-CN"/>
              </w:rPr>
              <w:t>能力提升方案（4分）：针对评估服务方案中的能力提升部分，参选人能提供有效方案，快速协助我行完成补充和能力提升，以达到标准符合性的要求。</w:t>
            </w:r>
          </w:p>
          <w:p w14:paraId="28159B14">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以上内容，所有评标委员会成员根据参选人方案的专业度、全面性、适用性及可扩展性进行综合评分并横向比较，由比选人横向比较后打分：优秀，得4分；较好，得3-2分；一般，得0-1分。</w:t>
            </w:r>
          </w:p>
          <w:p w14:paraId="3F1D3676">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2.企业实施案例（16分）</w:t>
            </w:r>
          </w:p>
          <w:p w14:paraId="5CC056EF">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2021年1月1日至参选截止日，参选人具有国内银行业DCMM3级及其以上级别实施案例（需提供合同复印件和项目简介），根据签订的合同数量认定为案例数量，在1个国内银行业DCMM3级及其以上级别实施案例的基础上，另外每增加1个有效案例可得2分，最高不超过16分。</w:t>
            </w:r>
          </w:p>
          <w:p w14:paraId="1014123C">
            <w:pPr>
              <w:spacing w:line="360" w:lineRule="auto"/>
              <w:ind w:firstLine="0" w:firstLineChars="0"/>
              <w:jc w:val="left"/>
              <w:rPr>
                <w:rFonts w:hint="default"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说明：计分按有效案例的最高得分计分，不重复计分。</w:t>
            </w:r>
          </w:p>
          <w:p w14:paraId="09ABAD33">
            <w:pPr>
              <w:spacing w:line="360" w:lineRule="auto"/>
              <w:ind w:firstLine="0" w:firstLineChars="0"/>
              <w:jc w:val="left"/>
              <w:rPr>
                <w:rFonts w:hint="default"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提供项目简介和案例合同复印件并加盖参选人公章，案例时间以合同签订时间为准；若合同内容不能完整体现相关内容，可再补充提供由合同中的甲方出具的相关证明材料复印件加盖参选人公章作为辅证；或合同中内容经评选委员会认定其实质性工作内容与上述相关关键字相符，均视为有效案例。】</w:t>
            </w:r>
          </w:p>
          <w:p w14:paraId="3A884A18">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3.附加服务（4分）</w:t>
            </w:r>
          </w:p>
          <w:p w14:paraId="2DDCD2D3">
            <w:pPr>
              <w:spacing w:line="360" w:lineRule="auto"/>
              <w:ind w:firstLine="0" w:firstLineChars="0"/>
              <w:jc w:val="left"/>
              <w:rPr>
                <w:rFonts w:hint="eastAsia" w:ascii="Times New Roman" w:hAnsi="Times New Roman" w:cs="宋体"/>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除文件要求外，若还可提供其他有利于提升我行数据管理能力的附赠或附加优惠服务（如数据管理、数据治理主题相关的培训、申请DCMM认证奖励等），所有评标委员会成员根据投标人提供的附加服务的方案、价值等进行综合评分并横向比较，最优得4分，其余酌情给分。</w:t>
            </w:r>
          </w:p>
          <w:p w14:paraId="311FFD08">
            <w:pPr>
              <w:spacing w:line="360" w:lineRule="auto"/>
              <w:ind w:firstLine="0" w:firstLineChars="0"/>
              <w:jc w:val="left"/>
              <w:rPr>
                <w:rFonts w:hint="eastAsia" w:ascii="宋体" w:hAnsi="宋体" w:cs="宋体"/>
                <w:color w:val="auto"/>
                <w:kern w:val="0"/>
                <w:sz w:val="21"/>
                <w:szCs w:val="21"/>
                <w:highlight w:val="none"/>
                <w:lang w:eastAsia="zh-CN"/>
              </w:rPr>
            </w:pPr>
            <w:r>
              <w:rPr>
                <w:rFonts w:hint="eastAsia" w:ascii="Times New Roman" w:hAnsi="Times New Roman" w:cs="宋体"/>
                <w:color w:val="auto"/>
                <w:kern w:val="0"/>
                <w:sz w:val="21"/>
                <w:szCs w:val="21"/>
                <w:highlight w:val="none"/>
                <w:lang w:val="en-US" w:eastAsia="zh-CN"/>
              </w:rPr>
              <w:t>不提供附加服务的，不得分。</w:t>
            </w:r>
          </w:p>
        </w:tc>
      </w:tr>
      <w:tr w14:paraId="0682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749165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vAlign w:val="center"/>
          </w:tcPr>
          <w:p w14:paraId="69EA6EA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3"/>
          </w:tcPr>
          <w:p w14:paraId="61A3EA36">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1.初步评审前，按本章第3.1.3项的规定对参选报价有算术性错误的进行算术性错误修正。</w:t>
            </w:r>
          </w:p>
          <w:p w14:paraId="685D08E2">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2.初步评审合格的参选文件进行参选报价、商务部分的评分。</w:t>
            </w:r>
          </w:p>
          <w:p w14:paraId="542ABC3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3.根据综合得分由高至低进行排序，推荐1-3家合格的中选候选人。并依次为第一、二、三中选候选人。</w:t>
            </w:r>
          </w:p>
        </w:tc>
      </w:tr>
      <w:tr w14:paraId="1BA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2E1FEE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vAlign w:val="center"/>
          </w:tcPr>
          <w:p w14:paraId="42FBBFC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vAlign w:val="center"/>
          </w:tcPr>
          <w:p w14:paraId="4EF80390">
            <w:pPr>
              <w:spacing w:line="360" w:lineRule="auto"/>
              <w:ind w:firstLine="0" w:firstLineChars="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rPr>
              <w:t>参选人得分=参选报价得分+商务部分得分</w:t>
            </w:r>
            <w:r>
              <w:rPr>
                <w:rFonts w:hint="eastAsia" w:ascii="Times New Roman" w:hAnsi="Times New Roman" w:cs="宋体"/>
                <w:color w:val="auto"/>
                <w:sz w:val="21"/>
                <w:szCs w:val="21"/>
                <w:highlight w:val="none"/>
                <w:lang w:val="en-US" w:eastAsia="zh-CN"/>
              </w:rPr>
              <w:t>+技术部分得分</w:t>
            </w:r>
          </w:p>
        </w:tc>
      </w:tr>
      <w:bookmarkEnd w:id="73"/>
    </w:tbl>
    <w:p w14:paraId="6BB47102">
      <w:pPr>
        <w:ind w:firstLine="420"/>
        <w:rPr>
          <w:rFonts w:ascii="Times New Roman" w:hAnsi="Times New Roman" w:cs="宋体"/>
          <w:snapToGrid w:val="0"/>
          <w:color w:val="auto"/>
          <w:sz w:val="21"/>
          <w:szCs w:val="21"/>
          <w:highlight w:val="none"/>
        </w:rPr>
      </w:pPr>
      <w:bookmarkStart w:id="74" w:name="_Toc21111"/>
      <w:bookmarkStart w:id="75" w:name="_Toc636"/>
      <w:r>
        <w:rPr>
          <w:rFonts w:hint="eastAsia" w:ascii="Times New Roman" w:hAnsi="Times New Roman" w:cs="宋体"/>
          <w:snapToGrid w:val="0"/>
          <w:color w:val="auto"/>
          <w:sz w:val="21"/>
          <w:szCs w:val="21"/>
          <w:highlight w:val="none"/>
        </w:rPr>
        <w:br w:type="page"/>
      </w:r>
    </w:p>
    <w:p w14:paraId="04605330">
      <w:pPr>
        <w:pStyle w:val="3"/>
        <w:rPr>
          <w:rFonts w:ascii="Times New Roman" w:hAnsi="Times New Roman"/>
          <w:color w:val="auto"/>
          <w:highlight w:val="none"/>
        </w:rPr>
      </w:pPr>
      <w:bookmarkStart w:id="76" w:name="_Toc27234"/>
      <w:bookmarkStart w:id="77" w:name="_Toc28684"/>
      <w:bookmarkStart w:id="78" w:name="_Toc18283"/>
      <w:r>
        <w:rPr>
          <w:rFonts w:hint="eastAsia" w:ascii="Times New Roman" w:hAnsi="Times New Roman"/>
          <w:color w:val="auto"/>
          <w:highlight w:val="none"/>
        </w:rPr>
        <w:t>1. 评审方法</w:t>
      </w:r>
      <w:bookmarkEnd w:id="74"/>
      <w:bookmarkEnd w:id="75"/>
      <w:bookmarkEnd w:id="76"/>
      <w:bookmarkEnd w:id="77"/>
      <w:bookmarkEnd w:id="78"/>
    </w:p>
    <w:p w14:paraId="7E641CD8">
      <w:pPr>
        <w:ind w:firstLine="480"/>
        <w:rPr>
          <w:rFonts w:ascii="Times New Roman" w:hAnsi="Times New Roman"/>
          <w:color w:val="auto"/>
          <w:highlight w:val="none"/>
        </w:rPr>
      </w:pPr>
      <w:bookmarkStart w:id="79" w:name="_Toc376114120"/>
      <w:bookmarkStart w:id="80" w:name="_Toc277082619"/>
      <w:bookmarkStart w:id="81" w:name="_Toc377115419"/>
      <w:bookmarkStart w:id="82" w:name="_Toc440022827"/>
      <w:bookmarkStart w:id="83" w:name="_Toc377067339"/>
      <w:bookmarkStart w:id="84" w:name="_Toc287620752"/>
      <w:bookmarkStart w:id="85" w:name="_Toc200513199"/>
      <w:bookmarkStart w:id="86" w:name="_Toc330569206"/>
      <w:bookmarkStart w:id="87" w:name="_Toc407195379"/>
      <w:bookmarkStart w:id="88" w:name="_Toc224103385"/>
      <w:bookmarkStart w:id="89" w:name="_Toc287607813"/>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61B38473">
      <w:pPr>
        <w:pStyle w:val="3"/>
        <w:rPr>
          <w:rFonts w:ascii="Times New Roman" w:hAnsi="Times New Roman"/>
          <w:color w:val="auto"/>
          <w:highlight w:val="none"/>
        </w:rPr>
      </w:pPr>
      <w:bookmarkStart w:id="90" w:name="_Toc31615"/>
      <w:bookmarkStart w:id="91" w:name="_Toc23969"/>
      <w:bookmarkStart w:id="92" w:name="_Toc5950"/>
      <w:bookmarkStart w:id="93" w:name="_Toc444155968"/>
      <w:bookmarkStart w:id="94" w:name="_Toc27406"/>
      <w:bookmarkStart w:id="95" w:name="_Toc27931"/>
      <w:bookmarkStart w:id="96" w:name="_Toc2274"/>
      <w:bookmarkStart w:id="97" w:name="_Toc765"/>
      <w:bookmarkStart w:id="98" w:name="_Toc16716"/>
      <w:r>
        <w:rPr>
          <w:rFonts w:hint="eastAsia" w:ascii="Times New Roman" w:hAnsi="Times New Roman"/>
          <w:color w:val="auto"/>
          <w:highlight w:val="none"/>
        </w:rPr>
        <w:t>2. 评审标准</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EED24E4">
      <w:pPr>
        <w:pStyle w:val="4"/>
        <w:ind w:firstLine="482"/>
        <w:rPr>
          <w:rFonts w:ascii="Times New Roman" w:hAnsi="Times New Roman"/>
          <w:color w:val="auto"/>
          <w:highlight w:val="none"/>
        </w:rPr>
      </w:pPr>
      <w:bookmarkStart w:id="99" w:name="_Toc287607814"/>
      <w:bookmarkStart w:id="100" w:name="_Toc377067340"/>
      <w:bookmarkStart w:id="101" w:name="_Toc1358"/>
      <w:bookmarkStart w:id="102" w:name="_Toc277082620"/>
      <w:bookmarkStart w:id="103" w:name="_Toc200513200"/>
      <w:bookmarkStart w:id="104" w:name="_Toc10533"/>
      <w:bookmarkStart w:id="105" w:name="_Toc440022828"/>
      <w:bookmarkStart w:id="106" w:name="_Toc407195380"/>
      <w:bookmarkStart w:id="107" w:name="_Toc377115420"/>
      <w:bookmarkStart w:id="108" w:name="_Toc376114121"/>
      <w:bookmarkStart w:id="109" w:name="_Toc23425"/>
      <w:bookmarkStart w:id="110" w:name="_Toc16537"/>
      <w:bookmarkStart w:id="111" w:name="_Toc444155969"/>
      <w:bookmarkStart w:id="112" w:name="_Toc224103386"/>
      <w:bookmarkStart w:id="113" w:name="_Toc21593"/>
      <w:bookmarkStart w:id="114" w:name="_Toc287620753"/>
      <w:bookmarkStart w:id="115" w:name="_Toc7584"/>
      <w:bookmarkStart w:id="116" w:name="_Toc330569207"/>
      <w:bookmarkStart w:id="117" w:name="_Toc11839"/>
      <w:r>
        <w:rPr>
          <w:rFonts w:hint="eastAsia" w:ascii="Times New Roman" w:hAnsi="Times New Roman"/>
          <w:color w:val="auto"/>
          <w:highlight w:val="none"/>
        </w:rPr>
        <w:t>2.1 初步评审标准</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AAD14FF">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4D0B5021">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460DE57E">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1E29F502">
      <w:pPr>
        <w:pStyle w:val="4"/>
        <w:ind w:firstLine="482"/>
        <w:rPr>
          <w:rFonts w:ascii="Times New Roman" w:hAnsi="Times New Roman"/>
          <w:color w:val="auto"/>
          <w:highlight w:val="none"/>
        </w:rPr>
      </w:pPr>
      <w:bookmarkStart w:id="118" w:name="_Toc6503"/>
      <w:bookmarkStart w:id="119" w:name="_Toc377115421"/>
      <w:bookmarkStart w:id="120" w:name="_Toc2340"/>
      <w:bookmarkStart w:id="121" w:name="_Toc25129"/>
      <w:bookmarkStart w:id="122" w:name="_Toc224103387"/>
      <w:bookmarkStart w:id="123" w:name="_Toc330569208"/>
      <w:bookmarkStart w:id="124" w:name="_Toc277082621"/>
      <w:bookmarkStart w:id="125" w:name="_Toc440022829"/>
      <w:bookmarkStart w:id="126" w:name="_Toc377067341"/>
      <w:bookmarkStart w:id="127" w:name="_Toc444155970"/>
      <w:bookmarkStart w:id="128" w:name="_Toc407195381"/>
      <w:bookmarkStart w:id="129" w:name="_Toc9090"/>
      <w:bookmarkStart w:id="130" w:name="_Toc376114122"/>
      <w:bookmarkStart w:id="131" w:name="_Toc287607815"/>
      <w:bookmarkStart w:id="132" w:name="_Toc200513201"/>
      <w:bookmarkStart w:id="133" w:name="_Toc20840"/>
      <w:bookmarkStart w:id="134" w:name="_Toc287620754"/>
      <w:bookmarkStart w:id="135" w:name="_Toc1387"/>
      <w:bookmarkStart w:id="136" w:name="_Toc23296"/>
      <w:r>
        <w:rPr>
          <w:rFonts w:hint="eastAsia" w:ascii="Times New Roman" w:hAnsi="Times New Roman"/>
          <w:color w:val="auto"/>
          <w:highlight w:val="none"/>
        </w:rPr>
        <w:t>2.2 分值构成与评分标准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A90639">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516090E6">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00A39961">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1F3FDF34">
      <w:pPr>
        <w:ind w:firstLine="480"/>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706293DF">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0CFD062">
      <w:pPr>
        <w:pStyle w:val="3"/>
        <w:rPr>
          <w:rFonts w:ascii="Times New Roman" w:hAnsi="Times New Roman"/>
          <w:color w:val="auto"/>
          <w:highlight w:val="none"/>
        </w:rPr>
      </w:pPr>
      <w:bookmarkStart w:id="137" w:name="_Toc23633"/>
      <w:bookmarkStart w:id="138" w:name="_Toc200513202"/>
      <w:bookmarkStart w:id="139" w:name="_Toc444155971"/>
      <w:bookmarkStart w:id="140" w:name="_Toc9488"/>
      <w:bookmarkStart w:id="141" w:name="_Toc8004"/>
      <w:bookmarkStart w:id="142" w:name="_Toc287607816"/>
      <w:bookmarkStart w:id="143" w:name="_Toc2982"/>
      <w:bookmarkStart w:id="144" w:name="_Toc376114123"/>
      <w:bookmarkStart w:id="145" w:name="_Toc277082622"/>
      <w:bookmarkStart w:id="146" w:name="_Toc440022830"/>
      <w:bookmarkStart w:id="147" w:name="_Toc287620755"/>
      <w:bookmarkStart w:id="148" w:name="_Toc330569209"/>
      <w:bookmarkStart w:id="149" w:name="_Toc377115422"/>
      <w:bookmarkStart w:id="150" w:name="_Toc14353"/>
      <w:bookmarkStart w:id="151" w:name="_Toc407195382"/>
      <w:bookmarkStart w:id="152" w:name="_Toc224103388"/>
      <w:bookmarkStart w:id="153" w:name="_Toc5546"/>
      <w:bookmarkStart w:id="154" w:name="_Toc15132"/>
      <w:bookmarkStart w:id="155" w:name="_Toc12538"/>
      <w:bookmarkStart w:id="156" w:name="_Toc377067342"/>
      <w:r>
        <w:rPr>
          <w:rFonts w:hint="eastAsia" w:ascii="Times New Roman" w:hAnsi="Times New Roman"/>
          <w:color w:val="auto"/>
          <w:highlight w:val="none"/>
        </w:rPr>
        <w:t>3. 评审程序</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F79ECF0">
      <w:pPr>
        <w:pStyle w:val="4"/>
        <w:ind w:firstLine="482"/>
        <w:rPr>
          <w:rFonts w:ascii="Times New Roman" w:hAnsi="Times New Roman"/>
          <w:color w:val="auto"/>
          <w:highlight w:val="none"/>
        </w:rPr>
      </w:pPr>
      <w:bookmarkStart w:id="157" w:name="_Toc22279"/>
      <w:bookmarkStart w:id="158" w:name="_Toc377067343"/>
      <w:bookmarkStart w:id="159" w:name="_Toc13851"/>
      <w:bookmarkStart w:id="160" w:name="_Toc6448"/>
      <w:bookmarkStart w:id="161" w:name="_Toc224103389"/>
      <w:bookmarkStart w:id="162" w:name="_Toc5462"/>
      <w:bookmarkStart w:id="163" w:name="_Toc407195383"/>
      <w:bookmarkStart w:id="164" w:name="_Toc9683"/>
      <w:bookmarkStart w:id="165" w:name="_Toc32002"/>
      <w:bookmarkStart w:id="166" w:name="_Toc440022831"/>
      <w:bookmarkStart w:id="167" w:name="_Toc330569210"/>
      <w:bookmarkStart w:id="168" w:name="_Toc376114124"/>
      <w:bookmarkStart w:id="169" w:name="_Toc287607817"/>
      <w:bookmarkStart w:id="170" w:name="_Toc277082623"/>
      <w:bookmarkStart w:id="171" w:name="_Toc287620756"/>
      <w:bookmarkStart w:id="172" w:name="_Toc200513203"/>
      <w:bookmarkStart w:id="173" w:name="_Toc377115423"/>
      <w:bookmarkStart w:id="174" w:name="_Toc19840"/>
      <w:bookmarkStart w:id="175" w:name="_Toc444155972"/>
      <w:r>
        <w:rPr>
          <w:rFonts w:hint="eastAsia" w:ascii="Times New Roman" w:hAnsi="Times New Roman"/>
          <w:color w:val="auto"/>
          <w:highlight w:val="none"/>
        </w:rPr>
        <w:t>3.1 初步评审</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383628B">
      <w:pPr>
        <w:ind w:firstLine="480"/>
        <w:rPr>
          <w:rFonts w:ascii="Times New Roman" w:hAnsi="Times New Roman"/>
          <w:color w:val="auto"/>
          <w:highlight w:val="none"/>
        </w:rPr>
      </w:pPr>
      <w:bookmarkStart w:id="176" w:name="_Toc354387014"/>
      <w:bookmarkStart w:id="177" w:name="_Toc331232649"/>
      <w:bookmarkStart w:id="178" w:name="_Toc407195384"/>
      <w:bookmarkStart w:id="179" w:name="_Toc330569211"/>
      <w:bookmarkStart w:id="180" w:name="_Toc373172234"/>
      <w:bookmarkStart w:id="181" w:name="_Toc332015984"/>
      <w:bookmarkStart w:id="182" w:name="_Toc376114125"/>
      <w:bookmarkStart w:id="183" w:name="_Toc332028970"/>
      <w:bookmarkStart w:id="184" w:name="_Toc331232467"/>
      <w:bookmarkStart w:id="185" w:name="_Toc373264792"/>
      <w:bookmarkStart w:id="186" w:name="_Toc356484119"/>
      <w:bookmarkStart w:id="187" w:name="_Toc356243677"/>
      <w:bookmarkStart w:id="188" w:name="_Toc377067344"/>
      <w:bookmarkStart w:id="189" w:name="_Toc440022832"/>
      <w:bookmarkStart w:id="190" w:name="_Toc334002333"/>
      <w:bookmarkStart w:id="191" w:name="_Toc377115424"/>
      <w:bookmarkStart w:id="192" w:name="_Toc332380970"/>
      <w:bookmarkStart w:id="193" w:name="_Toc444155973"/>
      <w:bookmarkStart w:id="194" w:name="_Toc27164"/>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268408A">
      <w:pPr>
        <w:ind w:firstLine="480"/>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2480EA5E">
      <w:pPr>
        <w:ind w:firstLine="480"/>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00ABD1EC">
      <w:pPr>
        <w:ind w:firstLine="480"/>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5AA0FFEF">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D874C50">
      <w:pPr>
        <w:ind w:firstLine="480"/>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7A879238">
      <w:pPr>
        <w:ind w:firstLine="480"/>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3E01639B">
      <w:pPr>
        <w:pStyle w:val="4"/>
        <w:ind w:firstLine="482"/>
        <w:rPr>
          <w:rFonts w:ascii="Times New Roman" w:hAnsi="Times New Roman"/>
          <w:color w:val="auto"/>
          <w:highlight w:val="none"/>
        </w:rPr>
      </w:pPr>
      <w:bookmarkStart w:id="195" w:name="_Toc22848"/>
      <w:bookmarkStart w:id="196" w:name="_Toc287620757"/>
      <w:bookmarkStart w:id="197" w:name="_Toc440022833"/>
      <w:bookmarkStart w:id="198" w:name="_Toc376114126"/>
      <w:bookmarkStart w:id="199" w:name="_Toc377067345"/>
      <w:bookmarkStart w:id="200" w:name="_Toc377115425"/>
      <w:bookmarkStart w:id="201" w:name="_Toc444155974"/>
      <w:bookmarkStart w:id="202" w:name="_Toc287607818"/>
      <w:bookmarkStart w:id="203" w:name="_Toc19604"/>
      <w:bookmarkStart w:id="204" w:name="_Toc330569212"/>
      <w:bookmarkStart w:id="205" w:name="_Toc277082624"/>
      <w:bookmarkStart w:id="206" w:name="_Toc10847"/>
      <w:bookmarkStart w:id="207" w:name="_Toc200513204"/>
      <w:bookmarkStart w:id="208" w:name="_Toc7832"/>
      <w:bookmarkStart w:id="209" w:name="_Toc11246"/>
      <w:bookmarkStart w:id="210" w:name="_Toc224103390"/>
      <w:bookmarkStart w:id="211" w:name="_Toc22246"/>
      <w:bookmarkStart w:id="212" w:name="_Toc407195385"/>
      <w:bookmarkStart w:id="213" w:name="_Toc29925"/>
      <w:r>
        <w:rPr>
          <w:rFonts w:hint="eastAsia" w:ascii="Times New Roman" w:hAnsi="Times New Roman"/>
          <w:color w:val="auto"/>
          <w:highlight w:val="none"/>
        </w:rPr>
        <w:t>3.2 详细评审</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657157D">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65E030A1">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64B6709F">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460B5F53">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3D54CBA5">
      <w:pPr>
        <w:ind w:firstLine="480"/>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79154045">
      <w:pPr>
        <w:pStyle w:val="4"/>
        <w:ind w:firstLine="482"/>
        <w:rPr>
          <w:rFonts w:ascii="Times New Roman" w:hAnsi="Times New Roman"/>
          <w:color w:val="auto"/>
          <w:highlight w:val="none"/>
        </w:rPr>
      </w:pPr>
      <w:bookmarkStart w:id="214" w:name="_Toc224103391"/>
      <w:bookmarkStart w:id="215" w:name="_Toc277082625"/>
      <w:bookmarkStart w:id="216" w:name="_Toc29261"/>
      <w:bookmarkStart w:id="217" w:name="_Toc440022834"/>
      <w:bookmarkStart w:id="218" w:name="_Toc330569213"/>
      <w:bookmarkStart w:id="219" w:name="_Toc1080"/>
      <w:bookmarkStart w:id="220" w:name="_Toc20948"/>
      <w:bookmarkStart w:id="221" w:name="_Toc407195386"/>
      <w:bookmarkStart w:id="222" w:name="_Toc32039"/>
      <w:bookmarkStart w:id="223" w:name="_Toc7176"/>
      <w:bookmarkStart w:id="224" w:name="_Toc444155975"/>
      <w:bookmarkStart w:id="225" w:name="_Toc287607819"/>
      <w:bookmarkStart w:id="226" w:name="_Toc2542"/>
      <w:bookmarkStart w:id="227" w:name="_Toc200513205"/>
      <w:bookmarkStart w:id="228" w:name="_Toc377067346"/>
      <w:bookmarkStart w:id="229" w:name="_Toc18708"/>
      <w:bookmarkStart w:id="230" w:name="_Toc287620758"/>
      <w:bookmarkStart w:id="231" w:name="_Toc377115426"/>
      <w:bookmarkStart w:id="232" w:name="_Toc376114127"/>
      <w:r>
        <w:rPr>
          <w:rFonts w:hint="eastAsia" w:ascii="Times New Roman" w:hAnsi="Times New Roman"/>
          <w:color w:val="auto"/>
          <w:highlight w:val="none"/>
        </w:rPr>
        <w:t>3.3 参选文件的澄清和补正</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F4F9446">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AF808FC">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487D974B">
      <w:pPr>
        <w:ind w:firstLine="480"/>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1521F9E1">
      <w:pPr>
        <w:pStyle w:val="4"/>
        <w:ind w:firstLine="482"/>
        <w:rPr>
          <w:rFonts w:ascii="Times New Roman" w:hAnsi="Times New Roman"/>
          <w:color w:val="auto"/>
          <w:highlight w:val="none"/>
        </w:rPr>
      </w:pPr>
      <w:bookmarkStart w:id="233" w:name="_Toc200513206"/>
      <w:bookmarkStart w:id="234" w:name="_Toc330569214"/>
      <w:bookmarkStart w:id="235" w:name="_Toc377067347"/>
      <w:bookmarkStart w:id="236" w:name="_Toc407195387"/>
      <w:bookmarkStart w:id="237" w:name="_Toc31270"/>
      <w:bookmarkStart w:id="238" w:name="_Toc287607820"/>
      <w:bookmarkStart w:id="239" w:name="_Toc4814"/>
      <w:bookmarkStart w:id="240" w:name="_Toc30672"/>
      <w:bookmarkStart w:id="241" w:name="_Toc440022835"/>
      <w:bookmarkStart w:id="242" w:name="_Toc277082626"/>
      <w:bookmarkStart w:id="243" w:name="_Toc377115427"/>
      <w:bookmarkStart w:id="244" w:name="_Toc287620759"/>
      <w:bookmarkStart w:id="245" w:name="_Toc14840"/>
      <w:bookmarkStart w:id="246" w:name="_Toc6310"/>
      <w:bookmarkStart w:id="247" w:name="_Toc224103392"/>
      <w:bookmarkStart w:id="248" w:name="_Toc376114128"/>
      <w:bookmarkStart w:id="249" w:name="_Toc19054"/>
      <w:bookmarkStart w:id="250" w:name="_Toc444155976"/>
      <w:bookmarkStart w:id="251" w:name="_Toc21450"/>
      <w:r>
        <w:rPr>
          <w:rFonts w:hint="eastAsia" w:ascii="Times New Roman" w:hAnsi="Times New Roman"/>
          <w:color w:val="auto"/>
          <w:highlight w:val="none"/>
        </w:rPr>
        <w:t>3.4 评审结果</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537BFA37">
      <w:pPr>
        <w:ind w:firstLine="480"/>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563AE2C6">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2C1ABB1E">
      <w:pPr>
        <w:ind w:firstLine="480"/>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18894B09">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661069A4">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EB19C76">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1ECC1337">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609EF3D">
      <w:pPr>
        <w:ind w:firstLine="480"/>
        <w:rPr>
          <w:rFonts w:ascii="Times New Roman" w:hAnsi="Times New Roman"/>
          <w:color w:val="auto"/>
          <w:highlight w:val="none"/>
        </w:rPr>
      </w:pPr>
    </w:p>
    <w:p w14:paraId="162BAADD">
      <w:pPr>
        <w:ind w:firstLine="480"/>
        <w:rPr>
          <w:rFonts w:ascii="Times New Roman" w:hAnsi="Times New Roman"/>
          <w:color w:val="auto"/>
          <w:highlight w:val="none"/>
        </w:rPr>
      </w:pPr>
      <w:bookmarkStart w:id="252" w:name="_Toc150953074"/>
      <w:bookmarkStart w:id="253" w:name="_Toc303066034"/>
      <w:bookmarkStart w:id="254" w:name="_Toc89675170"/>
      <w:r>
        <w:rPr>
          <w:rFonts w:hint="eastAsia" w:ascii="Times New Roman" w:hAnsi="Times New Roman"/>
          <w:color w:val="auto"/>
          <w:highlight w:val="none"/>
        </w:rPr>
        <w:br w:type="page"/>
      </w:r>
    </w:p>
    <w:p w14:paraId="2446A080">
      <w:pPr>
        <w:pStyle w:val="2"/>
        <w:rPr>
          <w:rFonts w:ascii="Times New Roman" w:hAnsi="Times New Roman"/>
          <w:color w:val="auto"/>
          <w:highlight w:val="none"/>
        </w:rPr>
      </w:pPr>
      <w:bookmarkStart w:id="255" w:name="_Toc6341"/>
      <w:bookmarkStart w:id="256" w:name="_Toc4562"/>
      <w:r>
        <w:rPr>
          <w:rFonts w:hint="eastAsia" w:ascii="Times New Roman" w:hAnsi="Times New Roman"/>
          <w:color w:val="auto"/>
          <w:highlight w:val="none"/>
        </w:rPr>
        <w:t>第五章 合同</w:t>
      </w:r>
      <w:r>
        <w:rPr>
          <w:rFonts w:ascii="Times New Roman" w:hAnsi="Times New Roman"/>
          <w:color w:val="auto"/>
          <w:highlight w:val="none"/>
        </w:rPr>
        <w:t>模板</w:t>
      </w:r>
      <w:bookmarkEnd w:id="252"/>
      <w:bookmarkEnd w:id="255"/>
      <w:bookmarkEnd w:id="256"/>
    </w:p>
    <w:p w14:paraId="258D6688">
      <w:pPr>
        <w:snapToGrid w:val="0"/>
        <w:spacing w:before="0" w:beforeLines="0" w:beforeAutospacing="0" w:after="0" w:afterAutospacing="0" w:line="520" w:lineRule="exact"/>
        <w:ind w:firstLineChars="0"/>
        <w:jc w:val="center"/>
        <w:rPr>
          <w:rFonts w:hint="eastAsia"/>
          <w:b/>
          <w:color w:val="auto"/>
          <w:sz w:val="44"/>
          <w:highlight w:val="none"/>
        </w:rPr>
      </w:pPr>
      <w:r>
        <w:rPr>
          <w:rFonts w:hint="eastAsia" w:ascii="Times New Roman" w:hAnsi="Times New Roman"/>
          <w:color w:val="auto"/>
          <w:highlight w:val="none"/>
        </w:rPr>
        <w:t>（本章节的合同条款及格式仅供参考，</w:t>
      </w:r>
      <w:r>
        <w:rPr>
          <w:rFonts w:ascii="宋体" w:cs="宋体"/>
          <w:snapToGrid w:val="0"/>
          <w:color w:val="auto"/>
          <w:kern w:val="0"/>
          <w:sz w:val="24"/>
          <w:szCs w:val="24"/>
          <w:highlight w:val="none"/>
        </w:rPr>
        <w:t>若比选文件与最终签订合同约定不一致，以最终签订合同的约定为准</w:t>
      </w:r>
      <w:r>
        <w:rPr>
          <w:rFonts w:hint="eastAsia" w:ascii="Times New Roman" w:hAnsi="Times New Roman"/>
          <w:color w:val="auto"/>
          <w:highlight w:val="none"/>
        </w:rPr>
        <w:t>）</w:t>
      </w:r>
      <w:r>
        <w:rPr>
          <w:rFonts w:hint="eastAsia" w:ascii="Times New Roman" w:hAnsi="Times New Roman"/>
          <w:color w:val="auto"/>
          <w:highlight w:val="none"/>
        </w:rPr>
        <w:br w:type="page"/>
      </w:r>
    </w:p>
    <w:p w14:paraId="0EA5E36C">
      <w:pPr>
        <w:pStyle w:val="45"/>
        <w:snapToGrid w:val="0"/>
        <w:spacing w:before="0" w:beforeLines="0" w:beforeAutospacing="0" w:after="0" w:afterAutospacing="0" w:line="520" w:lineRule="exact"/>
        <w:ind w:firstLine="0" w:firstLineChars="0"/>
        <w:jc w:val="center"/>
        <w:rPr>
          <w:rFonts w:hint="eastAsia"/>
          <w:b/>
          <w:color w:val="auto"/>
          <w:sz w:val="44"/>
          <w:highlight w:val="none"/>
        </w:rPr>
      </w:pPr>
    </w:p>
    <w:p w14:paraId="3C11CCEE">
      <w:pPr>
        <w:pStyle w:val="45"/>
        <w:snapToGrid w:val="0"/>
        <w:spacing w:before="0" w:beforeLines="0" w:beforeAutospacing="0" w:after="0" w:afterAutospacing="0" w:line="520" w:lineRule="exact"/>
        <w:ind w:firstLine="0" w:firstLineChars="0"/>
        <w:jc w:val="center"/>
        <w:rPr>
          <w:b/>
          <w:color w:val="auto"/>
          <w:sz w:val="44"/>
          <w:highlight w:val="none"/>
        </w:rPr>
      </w:pPr>
      <w:r>
        <w:rPr>
          <w:rFonts w:hint="eastAsia"/>
          <w:b/>
          <w:color w:val="auto"/>
          <w:sz w:val="44"/>
          <w:highlight w:val="none"/>
        </w:rPr>
        <w:t>重庆三峡银行</w:t>
      </w:r>
    </w:p>
    <w:p w14:paraId="4D173B08">
      <w:pPr>
        <w:pStyle w:val="45"/>
        <w:snapToGrid w:val="0"/>
        <w:spacing w:before="0" w:beforeLines="0" w:beforeAutospacing="0" w:after="0" w:afterAutospacing="0" w:line="520" w:lineRule="exact"/>
        <w:ind w:firstLine="0" w:firstLineChars="0"/>
        <w:jc w:val="center"/>
        <w:rPr>
          <w:b/>
          <w:color w:val="auto"/>
          <w:sz w:val="44"/>
          <w:highlight w:val="none"/>
        </w:rPr>
      </w:pPr>
      <w:bookmarkStart w:id="257" w:name="_Hlk363564034"/>
      <w:r>
        <w:rPr>
          <w:rFonts w:hint="eastAsia" w:ascii="宋体" w:hAnsi="Cambria Math"/>
          <w:b/>
          <w:color w:val="auto"/>
          <w:kern w:val="0"/>
          <w:sz w:val="44"/>
          <w:highlight w:val="none"/>
          <w:u w:val="none"/>
        </w:rPr>
        <w:t>《数据管理能力成熟度评估模型》贯标评估项目</w:t>
      </w:r>
      <w:r>
        <w:rPr>
          <w:rFonts w:hint="eastAsia"/>
          <w:b/>
          <w:color w:val="auto"/>
          <w:sz w:val="44"/>
          <w:highlight w:val="none"/>
        </w:rPr>
        <w:t>咨询</w:t>
      </w:r>
      <w:r>
        <w:rPr>
          <w:b/>
          <w:color w:val="auto"/>
          <w:sz w:val="44"/>
          <w:highlight w:val="none"/>
        </w:rPr>
        <w:t>服务</w:t>
      </w:r>
      <w:bookmarkEnd w:id="257"/>
      <w:r>
        <w:rPr>
          <w:rFonts w:hint="eastAsia"/>
          <w:b/>
          <w:color w:val="auto"/>
          <w:sz w:val="44"/>
          <w:highlight w:val="none"/>
        </w:rPr>
        <w:t>合同</w:t>
      </w:r>
    </w:p>
    <w:p w14:paraId="5D522709">
      <w:pPr>
        <w:snapToGrid w:val="0"/>
        <w:spacing w:line="520" w:lineRule="exact"/>
        <w:jc w:val="center"/>
        <w:rPr>
          <w:rFonts w:hint="eastAsia" w:ascii="宋体"/>
          <w:b/>
          <w:color w:val="auto"/>
          <w:sz w:val="44"/>
          <w:highlight w:val="none"/>
        </w:rPr>
      </w:pPr>
    </w:p>
    <w:p w14:paraId="4A703539">
      <w:pPr>
        <w:snapToGrid w:val="0"/>
        <w:spacing w:line="520" w:lineRule="exact"/>
        <w:rPr>
          <w:rFonts w:hint="eastAsia" w:ascii="宋体"/>
          <w:b/>
          <w:color w:val="auto"/>
          <w:sz w:val="44"/>
          <w:highlight w:val="none"/>
        </w:rPr>
      </w:pPr>
    </w:p>
    <w:p w14:paraId="6C0F97EF">
      <w:pPr>
        <w:pStyle w:val="45"/>
        <w:snapToGrid w:val="0"/>
        <w:spacing w:before="0" w:beforeLines="0" w:beforeAutospacing="0" w:after="0" w:afterAutospacing="0" w:line="520" w:lineRule="exact"/>
        <w:ind w:firstLine="0" w:firstLineChars="0"/>
        <w:jc w:val="center"/>
        <w:rPr>
          <w:b/>
          <w:color w:val="auto"/>
          <w:sz w:val="32"/>
          <w:szCs w:val="32"/>
          <w:highlight w:val="none"/>
        </w:rPr>
      </w:pPr>
    </w:p>
    <w:p w14:paraId="0268BCA4">
      <w:pPr>
        <w:pStyle w:val="45"/>
        <w:snapToGrid w:val="0"/>
        <w:spacing w:before="0" w:beforeLines="0" w:beforeAutospacing="0" w:after="0" w:afterAutospacing="0" w:line="520" w:lineRule="exact"/>
        <w:ind w:firstLine="0" w:firstLineChars="0"/>
        <w:jc w:val="center"/>
        <w:rPr>
          <w:b/>
          <w:color w:val="auto"/>
          <w:sz w:val="32"/>
          <w:szCs w:val="32"/>
          <w:highlight w:val="none"/>
        </w:rPr>
      </w:pPr>
    </w:p>
    <w:p w14:paraId="37B675C4">
      <w:pPr>
        <w:pStyle w:val="45"/>
        <w:snapToGrid w:val="0"/>
        <w:spacing w:before="0" w:beforeLines="0" w:beforeAutospacing="0" w:after="0" w:afterAutospacing="0" w:line="520" w:lineRule="exact"/>
        <w:ind w:firstLine="0" w:firstLineChars="0"/>
        <w:jc w:val="center"/>
        <w:rPr>
          <w:b/>
          <w:color w:val="auto"/>
          <w:sz w:val="32"/>
          <w:szCs w:val="32"/>
          <w:highlight w:val="none"/>
        </w:rPr>
      </w:pPr>
    </w:p>
    <w:p w14:paraId="78247D7A">
      <w:pPr>
        <w:pStyle w:val="45"/>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5A1F7920">
      <w:pPr>
        <w:pStyle w:val="45"/>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7512D766">
      <w:pPr>
        <w:pStyle w:val="45"/>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委托方：重庆三峡银行股份有限公司</w:t>
      </w:r>
    </w:p>
    <w:p w14:paraId="09499513">
      <w:pPr>
        <w:pStyle w:val="45"/>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受托方：X</w:t>
      </w:r>
      <w:r>
        <w:rPr>
          <w:b/>
          <w:color w:val="auto"/>
          <w:szCs w:val="24"/>
          <w:highlight w:val="none"/>
        </w:rPr>
        <w:t>XXXXXXXXXXXXXXXXXXXXXXX</w:t>
      </w:r>
    </w:p>
    <w:p w14:paraId="7FD3A46E">
      <w:pPr>
        <w:pStyle w:val="45"/>
        <w:snapToGrid w:val="0"/>
        <w:spacing w:before="0" w:beforeLines="0" w:beforeAutospacing="0" w:after="0" w:afterAutospacing="0" w:line="520" w:lineRule="exact"/>
        <w:ind w:left="1620" w:leftChars="675" w:firstLine="0" w:firstLineChars="0"/>
        <w:rPr>
          <w:rFonts w:hint="eastAsia" w:eastAsia="宋体"/>
          <w:color w:val="auto"/>
          <w:szCs w:val="24"/>
          <w:highlight w:val="none"/>
          <w:lang w:val="en-US" w:eastAsia="zh-CN"/>
        </w:rPr>
      </w:pPr>
      <w:r>
        <w:rPr>
          <w:rFonts w:hint="eastAsia"/>
          <w:b/>
          <w:color w:val="auto"/>
          <w:szCs w:val="24"/>
          <w:highlight w:val="none"/>
        </w:rPr>
        <w:t>签订地点：</w:t>
      </w:r>
      <w:r>
        <w:rPr>
          <w:rFonts w:hint="eastAsia"/>
          <w:b/>
          <w:color w:val="auto"/>
          <w:szCs w:val="24"/>
          <w:highlight w:val="none"/>
          <w:lang w:val="en-US" w:eastAsia="zh-CN"/>
        </w:rPr>
        <w:t>重庆</w:t>
      </w:r>
    </w:p>
    <w:p w14:paraId="07BDC883">
      <w:pPr>
        <w:pStyle w:val="10"/>
        <w:tabs>
          <w:tab w:val="right" w:pos="0"/>
          <w:tab w:val="clear" w:pos="630"/>
          <w:tab w:val="clear" w:pos="8730"/>
        </w:tabs>
        <w:adjustRightInd w:val="0"/>
        <w:snapToGrid w:val="0"/>
        <w:spacing w:line="520" w:lineRule="exact"/>
        <w:ind w:right="16" w:firstLine="0"/>
        <w:rPr>
          <w:rFonts w:hint="eastAsia" w:ascii="宋体" w:eastAsia="宋体"/>
          <w:color w:val="auto"/>
          <w:sz w:val="28"/>
          <w:highlight w:val="none"/>
          <w:lang w:eastAsia="zh-CN"/>
        </w:rPr>
      </w:pPr>
    </w:p>
    <w:p w14:paraId="2B9A90EC">
      <w:pPr>
        <w:snapToGrid w:val="0"/>
        <w:spacing w:line="520" w:lineRule="exact"/>
        <w:rPr>
          <w:rFonts w:hint="eastAsia" w:ascii="宋体"/>
          <w:b/>
          <w:color w:val="auto"/>
          <w:sz w:val="24"/>
          <w:highlight w:val="none"/>
          <w:u w:val="single"/>
        </w:rPr>
      </w:pPr>
      <w:r>
        <w:rPr>
          <w:rFonts w:hint="eastAsia" w:ascii="宋体"/>
          <w:b/>
          <w:color w:val="auto"/>
          <w:sz w:val="24"/>
          <w:highlight w:val="none"/>
        </w:rPr>
        <w:br w:type="page"/>
      </w:r>
      <w:r>
        <w:rPr>
          <w:rFonts w:hint="eastAsia" w:ascii="宋体"/>
          <w:b/>
          <w:color w:val="auto"/>
          <w:sz w:val="24"/>
          <w:highlight w:val="none"/>
        </w:rPr>
        <w:t>甲方: 重庆三峡银行股份有限公司（以下简称“甲方”）</w:t>
      </w:r>
    </w:p>
    <w:p w14:paraId="58EA101D">
      <w:pPr>
        <w:snapToGrid w:val="0"/>
        <w:spacing w:line="520" w:lineRule="exact"/>
        <w:rPr>
          <w:rFonts w:hint="eastAsia" w:ascii="宋体"/>
          <w:color w:val="auto"/>
          <w:sz w:val="24"/>
          <w:highlight w:val="none"/>
        </w:rPr>
      </w:pPr>
      <w:r>
        <w:rPr>
          <w:rFonts w:hint="eastAsia" w:ascii="宋体"/>
          <w:color w:val="auto"/>
          <w:sz w:val="24"/>
          <w:highlight w:val="none"/>
        </w:rPr>
        <w:t>地址：</w:t>
      </w:r>
      <w:r>
        <w:rPr>
          <w:rFonts w:ascii="宋体"/>
          <w:color w:val="auto"/>
          <w:sz w:val="24"/>
          <w:szCs w:val="20"/>
          <w:highlight w:val="none"/>
        </w:rPr>
        <w:t>重庆市渝北区嘉州路88号中渝国际都会4号写字楼</w:t>
      </w:r>
    </w:p>
    <w:p w14:paraId="4F9323E9">
      <w:pPr>
        <w:snapToGrid w:val="0"/>
        <w:spacing w:line="520" w:lineRule="exact"/>
        <w:rPr>
          <w:rFonts w:hint="eastAsia" w:ascii="宋体"/>
          <w:color w:val="auto"/>
          <w:sz w:val="24"/>
          <w:highlight w:val="none"/>
        </w:rPr>
      </w:pPr>
      <w:r>
        <w:rPr>
          <w:rFonts w:hint="eastAsia" w:ascii="宋体"/>
          <w:color w:val="auto"/>
          <w:sz w:val="24"/>
          <w:highlight w:val="none"/>
        </w:rPr>
        <w:t>法定代表人：刘江桥</w:t>
      </w:r>
    </w:p>
    <w:p w14:paraId="4BCDC0E3">
      <w:pPr>
        <w:snapToGrid w:val="0"/>
        <w:spacing w:line="520" w:lineRule="exact"/>
        <w:rPr>
          <w:rFonts w:hint="eastAsia" w:ascii="宋体"/>
          <w:color w:val="auto"/>
          <w:sz w:val="24"/>
          <w:highlight w:val="none"/>
        </w:rPr>
      </w:pPr>
      <w:r>
        <w:rPr>
          <w:rFonts w:hint="eastAsia" w:ascii="宋体"/>
          <w:color w:val="auto"/>
          <w:sz w:val="24"/>
          <w:highlight w:val="none"/>
        </w:rPr>
        <w:t>邮政编码：</w:t>
      </w:r>
      <w:r>
        <w:rPr>
          <w:color w:val="auto"/>
          <w:sz w:val="24"/>
          <w:highlight w:val="none"/>
        </w:rPr>
        <w:t>401147</w:t>
      </w:r>
    </w:p>
    <w:p w14:paraId="3CD09D7A">
      <w:pPr>
        <w:snapToGrid w:val="0"/>
        <w:spacing w:line="520" w:lineRule="exact"/>
        <w:rPr>
          <w:rFonts w:hint="eastAsia" w:ascii="宋体"/>
          <w:color w:val="auto"/>
          <w:sz w:val="24"/>
          <w:highlight w:val="none"/>
        </w:rPr>
      </w:pPr>
      <w:r>
        <w:rPr>
          <w:rFonts w:hint="eastAsia" w:ascii="宋体"/>
          <w:color w:val="auto"/>
          <w:sz w:val="24"/>
          <w:highlight w:val="none"/>
        </w:rPr>
        <w:t>联系人：</w:t>
      </w:r>
      <w:r>
        <w:rPr>
          <w:rFonts w:hint="eastAsia" w:ascii="宋体"/>
          <w:color w:val="auto"/>
          <w:sz w:val="24"/>
          <w:highlight w:val="none"/>
          <w:lang w:val="en-US" w:eastAsia="zh-CN"/>
        </w:rPr>
        <w:t>冉铭铭</w:t>
      </w:r>
      <w:r>
        <w:rPr>
          <w:rFonts w:hint="eastAsia" w:ascii="宋体"/>
          <w:color w:val="auto"/>
          <w:sz w:val="24"/>
          <w:highlight w:val="none"/>
        </w:rPr>
        <w:t xml:space="preserve"> </w:t>
      </w:r>
    </w:p>
    <w:p w14:paraId="6755F58D">
      <w:pPr>
        <w:snapToGrid w:val="0"/>
        <w:spacing w:line="520" w:lineRule="exact"/>
        <w:rPr>
          <w:rFonts w:hint="default" w:ascii="宋体" w:eastAsia="宋体"/>
          <w:color w:val="auto"/>
          <w:sz w:val="24"/>
          <w:highlight w:val="none"/>
          <w:lang w:val="en-US" w:eastAsia="zh-CN"/>
        </w:rPr>
      </w:pPr>
      <w:r>
        <w:rPr>
          <w:rFonts w:hint="eastAsia" w:ascii="宋体"/>
          <w:color w:val="auto"/>
          <w:sz w:val="24"/>
          <w:highlight w:val="none"/>
        </w:rPr>
        <w:t>电话：</w:t>
      </w:r>
      <w:r>
        <w:rPr>
          <w:rFonts w:hint="eastAsia" w:ascii="宋体"/>
          <w:color w:val="auto"/>
          <w:sz w:val="24"/>
          <w:highlight w:val="none"/>
          <w:lang w:val="en-US" w:eastAsia="zh-CN"/>
        </w:rPr>
        <w:t>17830671288</w:t>
      </w:r>
    </w:p>
    <w:p w14:paraId="143CAE96">
      <w:pPr>
        <w:snapToGrid w:val="0"/>
        <w:spacing w:line="520" w:lineRule="exact"/>
        <w:rPr>
          <w:rFonts w:hint="eastAsia" w:ascii="宋体"/>
          <w:color w:val="auto"/>
          <w:sz w:val="24"/>
          <w:highlight w:val="none"/>
        </w:rPr>
      </w:pPr>
      <w:r>
        <w:rPr>
          <w:rFonts w:hint="eastAsia" w:ascii="宋体"/>
          <w:color w:val="auto"/>
          <w:sz w:val="24"/>
          <w:highlight w:val="none"/>
        </w:rPr>
        <w:t>电子邮箱：</w:t>
      </w:r>
    </w:p>
    <w:p w14:paraId="306626A7">
      <w:pPr>
        <w:snapToGrid w:val="0"/>
        <w:spacing w:line="520" w:lineRule="exact"/>
        <w:rPr>
          <w:rFonts w:hint="eastAsia" w:ascii="宋体"/>
          <w:color w:val="auto"/>
          <w:sz w:val="24"/>
          <w:highlight w:val="none"/>
        </w:rPr>
      </w:pPr>
    </w:p>
    <w:p w14:paraId="4A9A78C5">
      <w:pPr>
        <w:snapToGrid w:val="0"/>
        <w:spacing w:line="520" w:lineRule="exact"/>
        <w:rPr>
          <w:rFonts w:hint="eastAsia" w:ascii="宋体"/>
          <w:color w:val="auto"/>
          <w:sz w:val="24"/>
          <w:highlight w:val="none"/>
        </w:rPr>
      </w:pPr>
    </w:p>
    <w:p w14:paraId="309A0E6A">
      <w:pPr>
        <w:snapToGrid w:val="0"/>
        <w:spacing w:line="520" w:lineRule="exact"/>
        <w:rPr>
          <w:rFonts w:hint="eastAsia" w:ascii="宋体"/>
          <w:color w:val="auto"/>
          <w:sz w:val="24"/>
          <w:highlight w:val="none"/>
        </w:rPr>
      </w:pPr>
    </w:p>
    <w:p w14:paraId="00DB9DC8">
      <w:pPr>
        <w:snapToGrid w:val="0"/>
        <w:spacing w:line="520" w:lineRule="exact"/>
        <w:rPr>
          <w:rFonts w:hint="eastAsia" w:ascii="宋体"/>
          <w:color w:val="auto"/>
          <w:sz w:val="24"/>
          <w:highlight w:val="none"/>
        </w:rPr>
      </w:pPr>
    </w:p>
    <w:p w14:paraId="55835FD0">
      <w:pPr>
        <w:snapToGrid w:val="0"/>
        <w:spacing w:line="520" w:lineRule="exact"/>
        <w:rPr>
          <w:rFonts w:hint="eastAsia" w:ascii="宋体"/>
          <w:color w:val="auto"/>
          <w:sz w:val="24"/>
          <w:highlight w:val="none"/>
        </w:rPr>
      </w:pPr>
    </w:p>
    <w:p w14:paraId="71629AF4">
      <w:pPr>
        <w:snapToGrid w:val="0"/>
        <w:spacing w:line="520" w:lineRule="exact"/>
        <w:rPr>
          <w:rFonts w:hint="eastAsia" w:ascii="宋体"/>
          <w:b/>
          <w:color w:val="auto"/>
          <w:sz w:val="24"/>
          <w:highlight w:val="none"/>
        </w:rPr>
      </w:pPr>
      <w:r>
        <w:rPr>
          <w:rFonts w:hint="eastAsia" w:ascii="宋体"/>
          <w:b/>
          <w:color w:val="auto"/>
          <w:sz w:val="24"/>
          <w:highlight w:val="none"/>
        </w:rPr>
        <w:t>乙方: XXXXXXXXXXXXXXXXXXXXX（以下简称“乙方”）</w:t>
      </w:r>
    </w:p>
    <w:p w14:paraId="44F68B66">
      <w:pPr>
        <w:snapToGrid w:val="0"/>
        <w:spacing w:line="520" w:lineRule="exact"/>
        <w:rPr>
          <w:rFonts w:hint="eastAsia" w:ascii="宋体"/>
          <w:color w:val="auto"/>
          <w:sz w:val="24"/>
          <w:highlight w:val="none"/>
        </w:rPr>
      </w:pPr>
      <w:r>
        <w:rPr>
          <w:rFonts w:hint="eastAsia" w:ascii="宋体"/>
          <w:color w:val="auto"/>
          <w:sz w:val="24"/>
          <w:highlight w:val="none"/>
        </w:rPr>
        <w:t xml:space="preserve">法定代表人： </w:t>
      </w:r>
    </w:p>
    <w:p w14:paraId="6CEF4AD2">
      <w:pPr>
        <w:snapToGrid w:val="0"/>
        <w:spacing w:line="520" w:lineRule="exact"/>
        <w:rPr>
          <w:rFonts w:hint="eastAsia" w:ascii="宋体"/>
          <w:color w:val="auto"/>
          <w:sz w:val="24"/>
          <w:highlight w:val="none"/>
        </w:rPr>
      </w:pPr>
      <w:r>
        <w:rPr>
          <w:rFonts w:hint="eastAsia" w:ascii="宋体"/>
          <w:color w:val="auto"/>
          <w:sz w:val="24"/>
          <w:highlight w:val="none"/>
        </w:rPr>
        <w:t>地址：</w:t>
      </w:r>
    </w:p>
    <w:p w14:paraId="7810974B">
      <w:pPr>
        <w:snapToGrid w:val="0"/>
        <w:spacing w:line="520" w:lineRule="exact"/>
        <w:rPr>
          <w:rFonts w:hint="eastAsia" w:ascii="宋体"/>
          <w:color w:val="auto"/>
          <w:sz w:val="24"/>
          <w:highlight w:val="none"/>
        </w:rPr>
      </w:pPr>
      <w:r>
        <w:rPr>
          <w:rFonts w:hint="eastAsia" w:ascii="宋体"/>
          <w:color w:val="auto"/>
          <w:sz w:val="24"/>
          <w:highlight w:val="none"/>
        </w:rPr>
        <w:t>邮政编码：</w:t>
      </w:r>
    </w:p>
    <w:p w14:paraId="34C3C46B">
      <w:pPr>
        <w:snapToGrid w:val="0"/>
        <w:spacing w:line="520" w:lineRule="exact"/>
        <w:rPr>
          <w:rFonts w:hint="eastAsia" w:ascii="宋体"/>
          <w:color w:val="auto"/>
          <w:sz w:val="24"/>
          <w:highlight w:val="none"/>
        </w:rPr>
      </w:pPr>
      <w:r>
        <w:rPr>
          <w:rFonts w:hint="eastAsia" w:ascii="宋体"/>
          <w:color w:val="auto"/>
          <w:sz w:val="24"/>
          <w:highlight w:val="none"/>
        </w:rPr>
        <w:t xml:space="preserve">开户银行： </w:t>
      </w:r>
    </w:p>
    <w:p w14:paraId="572870B7">
      <w:pPr>
        <w:snapToGrid w:val="0"/>
        <w:spacing w:line="520" w:lineRule="exact"/>
        <w:rPr>
          <w:rFonts w:hint="eastAsia" w:ascii="宋体"/>
          <w:color w:val="auto"/>
          <w:sz w:val="24"/>
          <w:highlight w:val="none"/>
        </w:rPr>
      </w:pPr>
      <w:r>
        <w:rPr>
          <w:rFonts w:hint="eastAsia" w:ascii="宋体"/>
          <w:color w:val="auto"/>
          <w:sz w:val="24"/>
          <w:highlight w:val="none"/>
        </w:rPr>
        <w:t xml:space="preserve">账号：  </w:t>
      </w:r>
    </w:p>
    <w:p w14:paraId="3FE3A0C8">
      <w:pPr>
        <w:snapToGrid w:val="0"/>
        <w:spacing w:line="520" w:lineRule="exact"/>
        <w:rPr>
          <w:rFonts w:hint="eastAsia" w:ascii="宋体"/>
          <w:color w:val="auto"/>
          <w:sz w:val="24"/>
          <w:highlight w:val="none"/>
        </w:rPr>
      </w:pPr>
      <w:r>
        <w:rPr>
          <w:rFonts w:hint="eastAsia" w:ascii="宋体"/>
          <w:color w:val="auto"/>
          <w:sz w:val="24"/>
          <w:highlight w:val="none"/>
        </w:rPr>
        <w:t>税号：</w:t>
      </w:r>
    </w:p>
    <w:p w14:paraId="77A335BE">
      <w:pPr>
        <w:snapToGrid w:val="0"/>
        <w:spacing w:line="520" w:lineRule="exact"/>
        <w:rPr>
          <w:rFonts w:hint="eastAsia" w:ascii="宋体"/>
          <w:color w:val="auto"/>
          <w:sz w:val="24"/>
          <w:highlight w:val="none"/>
        </w:rPr>
      </w:pPr>
      <w:r>
        <w:rPr>
          <w:rFonts w:hint="eastAsia" w:ascii="宋体"/>
          <w:color w:val="auto"/>
          <w:sz w:val="24"/>
          <w:highlight w:val="none"/>
        </w:rPr>
        <w:t xml:space="preserve">联系人： </w:t>
      </w:r>
    </w:p>
    <w:p w14:paraId="5B93A473">
      <w:pPr>
        <w:snapToGrid w:val="0"/>
        <w:spacing w:line="520" w:lineRule="exact"/>
        <w:rPr>
          <w:rFonts w:hint="eastAsia" w:ascii="宋体"/>
          <w:color w:val="auto"/>
          <w:sz w:val="24"/>
          <w:highlight w:val="none"/>
        </w:rPr>
      </w:pPr>
      <w:r>
        <w:rPr>
          <w:rFonts w:hint="eastAsia" w:ascii="宋体"/>
          <w:color w:val="auto"/>
          <w:sz w:val="24"/>
          <w:highlight w:val="none"/>
        </w:rPr>
        <w:t>电话：</w:t>
      </w:r>
    </w:p>
    <w:p w14:paraId="69A998DA">
      <w:pPr>
        <w:snapToGrid w:val="0"/>
        <w:spacing w:line="520" w:lineRule="exact"/>
        <w:rPr>
          <w:rFonts w:hint="eastAsia" w:ascii="宋体"/>
          <w:color w:val="auto"/>
          <w:sz w:val="24"/>
          <w:highlight w:val="none"/>
        </w:rPr>
      </w:pPr>
      <w:r>
        <w:rPr>
          <w:rFonts w:hint="eastAsia" w:ascii="宋体"/>
          <w:color w:val="auto"/>
          <w:sz w:val="24"/>
          <w:highlight w:val="none"/>
        </w:rPr>
        <w:t>手机：</w:t>
      </w:r>
    </w:p>
    <w:p w14:paraId="71050B2C">
      <w:pPr>
        <w:snapToGrid w:val="0"/>
        <w:spacing w:line="520" w:lineRule="exact"/>
        <w:rPr>
          <w:rFonts w:hint="eastAsia" w:ascii="宋体"/>
          <w:color w:val="auto"/>
          <w:sz w:val="24"/>
          <w:highlight w:val="none"/>
        </w:rPr>
      </w:pPr>
      <w:r>
        <w:rPr>
          <w:rFonts w:hint="eastAsia" w:ascii="宋体"/>
          <w:color w:val="auto"/>
          <w:sz w:val="24"/>
          <w:highlight w:val="none"/>
        </w:rPr>
        <w:t>传真：</w:t>
      </w:r>
    </w:p>
    <w:p w14:paraId="2B555EBC">
      <w:pPr>
        <w:adjustRightInd w:val="0"/>
        <w:snapToGrid w:val="0"/>
        <w:spacing w:line="520" w:lineRule="exact"/>
        <w:ind w:right="17"/>
        <w:rPr>
          <w:rFonts w:hint="eastAsia" w:ascii="宋体" w:eastAsia="宋体"/>
          <w:color w:val="auto"/>
          <w:sz w:val="24"/>
          <w:highlight w:val="none"/>
          <w:lang w:eastAsia="zh-CN"/>
        </w:rPr>
      </w:pPr>
      <w:r>
        <w:rPr>
          <w:rFonts w:hint="eastAsia" w:ascii="宋体"/>
          <w:color w:val="auto"/>
          <w:sz w:val="24"/>
          <w:highlight w:val="none"/>
        </w:rPr>
        <w:t>电子邮箱：</w:t>
      </w:r>
    </w:p>
    <w:p w14:paraId="29072B48">
      <w:pPr>
        <w:pStyle w:val="11"/>
        <w:snapToGrid w:val="0"/>
        <w:spacing w:line="520" w:lineRule="exact"/>
        <w:ind w:firstLine="480" w:firstLineChars="200"/>
        <w:rPr>
          <w:rFonts w:hint="eastAsia" w:ascii="宋体" w:eastAsia="宋体"/>
          <w:color w:val="auto"/>
          <w:highlight w:val="none"/>
        </w:rPr>
      </w:pPr>
      <w:r>
        <w:rPr>
          <w:rFonts w:hint="eastAsia" w:ascii="宋体" w:eastAsia="宋体"/>
          <w:color w:val="auto"/>
          <w:highlight w:val="none"/>
        </w:rPr>
        <w:br w:type="page"/>
      </w:r>
      <w:r>
        <w:rPr>
          <w:rFonts w:hint="eastAsia" w:ascii="宋体" w:eastAsia="宋体"/>
          <w:color w:val="auto"/>
          <w:highlight w:val="none"/>
        </w:rPr>
        <w:t>甲方与乙方本着自愿、平等、互利、诚实信用的原则，通过友好协商，</w:t>
      </w:r>
      <w:r>
        <w:rPr>
          <w:rStyle w:val="46"/>
          <w:rFonts w:hint="eastAsia" w:ascii="宋体" w:eastAsia="宋体"/>
          <w:color w:val="auto"/>
          <w:kern w:val="0"/>
          <w:highlight w:val="none"/>
        </w:rPr>
        <w:t>依据相关法律、法规的规定</w:t>
      </w:r>
      <w:r>
        <w:rPr>
          <w:rFonts w:hint="eastAsia" w:ascii="宋体" w:eastAsia="宋体"/>
          <w:color w:val="auto"/>
          <w:highlight w:val="none"/>
        </w:rPr>
        <w:t>，就“重庆三峡银行《数据管理能力成熟度评估模型》贯标评估项目”（下称“本项目”）服务内容达成一致，签订本协议：</w:t>
      </w:r>
    </w:p>
    <w:p w14:paraId="7414C9B5">
      <w:pPr>
        <w:pStyle w:val="10"/>
        <w:tabs>
          <w:tab w:val="right" w:pos="0"/>
          <w:tab w:val="clear" w:pos="630"/>
          <w:tab w:val="clear" w:pos="8730"/>
        </w:tabs>
        <w:adjustRightInd w:val="0"/>
        <w:snapToGrid w:val="0"/>
        <w:spacing w:line="520" w:lineRule="exact"/>
        <w:ind w:right="16" w:firstLine="480" w:firstLineChars="200"/>
        <w:outlineLvl w:val="9"/>
        <w:rPr>
          <w:rFonts w:hint="eastAsia" w:ascii="宋体" w:eastAsia="宋体"/>
          <w:color w:val="auto"/>
          <w:sz w:val="24"/>
          <w:highlight w:val="none"/>
          <w:lang w:val="en-US" w:eastAsia="zh-CN"/>
        </w:rPr>
      </w:pPr>
    </w:p>
    <w:p w14:paraId="25B55F8C">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highlight w:val="none"/>
          <w:lang w:eastAsia="zh-CN"/>
        </w:rPr>
      </w:pPr>
      <w:r>
        <w:rPr>
          <w:rFonts w:hint="eastAsia" w:ascii="宋体" w:eastAsia="宋体"/>
          <w:b/>
          <w:color w:val="auto"/>
          <w:sz w:val="24"/>
          <w:highlight w:val="none"/>
          <w:lang w:eastAsia="zh-CN"/>
        </w:rPr>
        <w:t>第一条  服务范围</w:t>
      </w:r>
    </w:p>
    <w:p w14:paraId="40C9AD4D">
      <w:pPr>
        <w:pStyle w:val="11"/>
        <w:snapToGrid w:val="0"/>
        <w:spacing w:line="520" w:lineRule="exact"/>
        <w:rPr>
          <w:rFonts w:hint="eastAsia" w:ascii="宋体" w:eastAsia="宋体"/>
          <w:color w:val="auto"/>
          <w:highlight w:val="none"/>
        </w:rPr>
      </w:pPr>
      <w:r>
        <w:rPr>
          <w:rFonts w:hint="eastAsia" w:ascii="宋体" w:eastAsia="宋体"/>
          <w:color w:val="auto"/>
          <w:highlight w:val="none"/>
        </w:rPr>
        <w:t>1.1 服务事项：</w:t>
      </w:r>
    </w:p>
    <w:p w14:paraId="66A2CCDE">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乙方向甲方提供《数据管理能力成熟度评估模型》贯标评估咨询服务，服务的具体内容详见本合同附件1。</w:t>
      </w:r>
    </w:p>
    <w:p w14:paraId="6BCFCF50">
      <w:pPr>
        <w:pStyle w:val="11"/>
        <w:snapToGrid w:val="0"/>
        <w:spacing w:line="520" w:lineRule="exact"/>
        <w:rPr>
          <w:rFonts w:hint="eastAsia" w:ascii="宋体" w:eastAsia="宋体"/>
          <w:color w:val="auto"/>
          <w:highlight w:val="none"/>
        </w:rPr>
      </w:pPr>
      <w:r>
        <w:rPr>
          <w:rFonts w:hint="eastAsia" w:ascii="宋体" w:eastAsia="宋体"/>
          <w:color w:val="auto"/>
          <w:highlight w:val="none"/>
        </w:rPr>
        <w:t>1.2 服务履行方式：</w:t>
      </w:r>
    </w:p>
    <w:p w14:paraId="30342E2F">
      <w:pPr>
        <w:pStyle w:val="11"/>
        <w:snapToGrid w:val="0"/>
        <w:spacing w:line="520" w:lineRule="exact"/>
        <w:rPr>
          <w:rFonts w:hint="eastAsia" w:ascii="宋体" w:eastAsia="宋体"/>
          <w:color w:val="auto"/>
          <w:highlight w:val="none"/>
        </w:rPr>
      </w:pPr>
      <w:r>
        <w:rPr>
          <w:rFonts w:hint="eastAsia" w:ascii="宋体" w:eastAsia="宋体"/>
          <w:color w:val="auto"/>
          <w:highlight w:val="none"/>
        </w:rPr>
        <w:t xml:space="preserve">服务的履行方式详见本合同附件1。   </w:t>
      </w:r>
    </w:p>
    <w:p w14:paraId="0FC0150A">
      <w:pPr>
        <w:pStyle w:val="11"/>
        <w:snapToGrid w:val="0"/>
        <w:spacing w:line="520" w:lineRule="exact"/>
        <w:rPr>
          <w:rFonts w:hint="eastAsia" w:ascii="宋体" w:eastAsia="宋体"/>
          <w:color w:val="auto"/>
          <w:highlight w:val="none"/>
        </w:rPr>
      </w:pPr>
      <w:r>
        <w:rPr>
          <w:rFonts w:hint="eastAsia" w:ascii="宋体" w:eastAsia="宋体"/>
          <w:color w:val="auto"/>
          <w:highlight w:val="none"/>
        </w:rPr>
        <w:t>1.3服务期限：</w:t>
      </w:r>
    </w:p>
    <w:p w14:paraId="1B8065F7">
      <w:pPr>
        <w:pStyle w:val="11"/>
        <w:snapToGrid w:val="0"/>
        <w:spacing w:line="520" w:lineRule="exact"/>
        <w:ind w:firstLine="0"/>
        <w:rPr>
          <w:rFonts w:hint="eastAsia" w:ascii="宋体" w:eastAsia="宋体"/>
          <w:color w:val="auto"/>
          <w:highlight w:val="none"/>
        </w:rPr>
      </w:pPr>
    </w:p>
    <w:p w14:paraId="0425A59C">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第二条  项目实施人员</w:t>
      </w:r>
    </w:p>
    <w:p w14:paraId="255ABA20">
      <w:pPr>
        <w:pStyle w:val="9"/>
        <w:snapToGrid w:val="0"/>
        <w:spacing w:line="520" w:lineRule="exact"/>
        <w:ind w:left="0" w:firstLine="522"/>
        <w:rPr>
          <w:rFonts w:hint="eastAsia" w:ascii="宋体"/>
          <w:color w:val="auto"/>
          <w:highlight w:val="none"/>
          <w:lang w:eastAsia="zh-CN"/>
        </w:rPr>
      </w:pPr>
      <w:r>
        <w:rPr>
          <w:rFonts w:hint="eastAsia" w:ascii="宋体"/>
          <w:color w:val="auto"/>
          <w:kern w:val="2"/>
          <w:szCs w:val="24"/>
          <w:highlight w:val="none"/>
          <w:lang w:val="en-US" w:eastAsia="zh-CN"/>
        </w:rPr>
        <w:t xml:space="preserve">2.1 </w:t>
      </w:r>
      <w:r>
        <w:rPr>
          <w:rFonts w:hint="eastAsia" w:ascii="宋体"/>
          <w:color w:val="auto"/>
          <w:highlight w:val="none"/>
          <w:lang w:eastAsia="zh-CN"/>
        </w:rPr>
        <w:t>为了按时和按专业水准完成本项目工作，乙方应配备足够数量和级别的专业人员，并提供实施方案所示项目团队成员名单（见附件1），各成员按照实施方案规定的工作安排参与项目实施。</w:t>
      </w:r>
    </w:p>
    <w:p w14:paraId="516CB6E0">
      <w:pPr>
        <w:pStyle w:val="9"/>
        <w:snapToGrid w:val="0"/>
        <w:spacing w:line="520" w:lineRule="exact"/>
        <w:ind w:left="0" w:firstLine="522"/>
        <w:rPr>
          <w:rFonts w:hint="eastAsia" w:ascii="宋体"/>
          <w:color w:val="auto"/>
          <w:highlight w:val="none"/>
          <w:lang w:eastAsia="zh-CN"/>
        </w:rPr>
      </w:pPr>
      <w:r>
        <w:rPr>
          <w:rFonts w:hint="eastAsia" w:ascii="宋体"/>
          <w:color w:val="auto"/>
          <w:highlight w:val="none"/>
          <w:lang w:eastAsia="zh-CN"/>
        </w:rPr>
        <w:t>2.2 在项目实施过程中，乙方原则上不得更换项目团队核心工作人员，且乙方应确保项目团队核心人员驻场提供服务，在甲方现场服务人数不得少于</w:t>
      </w:r>
      <w:r>
        <w:rPr>
          <w:rFonts w:hint="eastAsia" w:ascii="宋体"/>
          <w:color w:val="auto"/>
          <w:highlight w:val="none"/>
          <w:lang w:val="en-US" w:eastAsia="zh-CN"/>
        </w:rPr>
        <w:t>1</w:t>
      </w:r>
      <w:r>
        <w:rPr>
          <w:rFonts w:hint="eastAsia" w:ascii="宋体"/>
          <w:color w:val="auto"/>
          <w:highlight w:val="none"/>
          <w:lang w:eastAsia="zh-CN"/>
        </w:rPr>
        <w:t>人。确需更换的，乙方应提前通知甲方并经甲方同意，并配备同等级别的人员替补，且乙方保证有关人员更换不影响项目的质量和实施进程。替换人员需通过甲方考察，否则甲方有权要求更换。</w:t>
      </w:r>
    </w:p>
    <w:p w14:paraId="132A0782">
      <w:pPr>
        <w:pStyle w:val="9"/>
        <w:adjustRightInd w:val="0"/>
        <w:snapToGrid w:val="0"/>
        <w:spacing w:line="520" w:lineRule="exact"/>
        <w:ind w:right="16" w:firstLine="480" w:firstLineChars="200"/>
        <w:outlineLvl w:val="9"/>
        <w:rPr>
          <w:rFonts w:hint="eastAsia" w:ascii="宋体" w:eastAsia="宋体"/>
          <w:color w:val="auto"/>
          <w:sz w:val="24"/>
          <w:highlight w:val="none"/>
          <w:lang w:eastAsia="zh-CN"/>
        </w:rPr>
      </w:pPr>
      <w:r>
        <w:rPr>
          <w:rFonts w:hint="eastAsia" w:ascii="宋体"/>
          <w:color w:val="auto"/>
          <w:highlight w:val="none"/>
          <w:lang w:eastAsia="zh-CN"/>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338FE960">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第三条  甲方的权利和义务</w:t>
      </w:r>
    </w:p>
    <w:p w14:paraId="6C663A07">
      <w:pPr>
        <w:adjustRightInd w:val="0"/>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09AACB9B">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3.2</w:t>
      </w:r>
      <w:r>
        <w:rPr>
          <w:rFonts w:hint="eastAsia" w:ascii="宋体" w:eastAsia="宋体"/>
          <w:color w:val="auto"/>
          <w:kern w:val="2"/>
          <w:sz w:val="24"/>
          <w:highlight w:val="none"/>
          <w:lang w:val="en-US" w:eastAsia="zh-CN"/>
        </w:rPr>
        <w:t xml:space="preserve"> 应在法律规定的范围内且根据本合同条款的规定正确使用乙方出具的交付物。</w:t>
      </w:r>
    </w:p>
    <w:p w14:paraId="69AA32A3">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3.3应当充分配合乙方的服务工作，包括：</w:t>
      </w:r>
    </w:p>
    <w:p w14:paraId="5DACA723">
      <w:pPr>
        <w:adjustRightInd w:val="0"/>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（1）自本合同签订后，甲方应及时或按乙方的要求向乙方提交乙方服务所需的甲方相关基础资料；</w:t>
      </w:r>
    </w:p>
    <w:p w14:paraId="46F7A2E9">
      <w:pPr>
        <w:adjustRightInd w:val="0"/>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（2）在提供服务过程中，就乙方提出的合理的工作计划和人员要求及时做出相关安排，及时向乙方提供所需资料与信息并安排业务访谈，并迅速做出决策；</w:t>
      </w:r>
    </w:p>
    <w:p w14:paraId="291D907C">
      <w:pPr>
        <w:adjustRightInd w:val="0"/>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（3）甲方所提供的资料如有变更，应及时提供变更后的资料；</w:t>
      </w:r>
    </w:p>
    <w:p w14:paraId="5CE2CE12">
      <w:pPr>
        <w:adjustRightInd w:val="0"/>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（4）向乙方项目实施人员提供必要的办公场所等工作支持。</w:t>
      </w:r>
    </w:p>
    <w:p w14:paraId="748EB55B">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3.4 按照本合同约定向乙方支付服务费用。</w:t>
      </w:r>
    </w:p>
    <w:p w14:paraId="0C29DDC5">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3.5 如甲方提供信息及其他资料存在问题，导致乙方需要对服务作较大调整，双方应进行协商，就服务范围以及服务费用调整提出解决方案。</w:t>
      </w:r>
    </w:p>
    <w:p w14:paraId="563FB41F">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第四条  乙方的权利和义务</w:t>
      </w:r>
    </w:p>
    <w:p w14:paraId="5D0C9EDC">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4.1 遵守法律法规及银行业金融机构内部管理制度及规定，贯彻执行相关监管政策。</w:t>
      </w:r>
    </w:p>
    <w:p w14:paraId="41CB05E6">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4.2乙方需为甲方提供持续的项目风险识别和控制措施，并按甲方要求提供公司财务分析报告、项目进度报告以及重大事项报告等。</w:t>
      </w:r>
    </w:p>
    <w:p w14:paraId="5CC3A237">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4.3乙方应该适时开展风险管理评估和第三方审计工作，应该接受甲方的审核、评估以及外包检查，并配合接受来自监管机构的各项检查，配合对监管意见做出相应的管理、服务等的整改。</w:t>
      </w:r>
    </w:p>
    <w:p w14:paraId="24ACC8D5">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kern w:val="2"/>
          <w:sz w:val="24"/>
          <w:highlight w:val="none"/>
          <w:lang w:eastAsia="zh-CN"/>
        </w:rPr>
        <w:t>4.</w:t>
      </w:r>
      <w:r>
        <w:rPr>
          <w:rFonts w:ascii="宋体" w:eastAsia="宋体"/>
          <w:color w:val="auto"/>
          <w:kern w:val="2"/>
          <w:sz w:val="24"/>
          <w:highlight w:val="none"/>
          <w:lang w:eastAsia="zh-CN"/>
        </w:rPr>
        <w:t>4</w:t>
      </w:r>
      <w:r>
        <w:rPr>
          <w:rFonts w:ascii="宋体" w:eastAsia="宋体"/>
          <w:color w:val="auto"/>
          <w:kern w:val="2"/>
          <w:sz w:val="24"/>
          <w:highlight w:val="none"/>
          <w:lang w:val="en-US" w:eastAsia="zh-CN"/>
        </w:rPr>
        <w:t>乙方应针对服务内容为甲方制定业务连续性计划和应急计划并维护好相关资源</w:t>
      </w:r>
      <w:r>
        <w:rPr>
          <w:rFonts w:hint="eastAsia" w:ascii="宋体" w:eastAsia="宋体"/>
          <w:color w:val="auto"/>
          <w:kern w:val="2"/>
          <w:sz w:val="24"/>
          <w:highlight w:val="none"/>
          <w:lang w:val="en-US" w:eastAsia="zh-CN"/>
        </w:rPr>
        <w:t>，</w:t>
      </w:r>
      <w:r>
        <w:rPr>
          <w:rFonts w:ascii="宋体" w:eastAsia="宋体"/>
          <w:color w:val="auto"/>
          <w:kern w:val="2"/>
          <w:sz w:val="24"/>
          <w:highlight w:val="none"/>
          <w:lang w:val="en-US" w:eastAsia="zh-CN"/>
        </w:rPr>
        <w:t>在服务质量不能满足合同要求时</w:t>
      </w:r>
      <w:r>
        <w:rPr>
          <w:rFonts w:hint="eastAsia" w:ascii="宋体" w:eastAsia="宋体"/>
          <w:color w:val="auto"/>
          <w:kern w:val="2"/>
          <w:sz w:val="24"/>
          <w:highlight w:val="none"/>
          <w:lang w:val="en-US" w:eastAsia="zh-CN"/>
        </w:rPr>
        <w:t>，甲方具有</w:t>
      </w:r>
      <w:r>
        <w:rPr>
          <w:rFonts w:ascii="宋体" w:eastAsia="宋体"/>
          <w:color w:val="auto"/>
          <w:kern w:val="2"/>
          <w:sz w:val="24"/>
          <w:highlight w:val="none"/>
          <w:lang w:val="en-US" w:eastAsia="zh-CN"/>
        </w:rPr>
        <w:t>优先获取服务资源的权利</w:t>
      </w:r>
      <w:r>
        <w:rPr>
          <w:rFonts w:hint="eastAsia" w:ascii="宋体" w:eastAsia="宋体"/>
          <w:color w:val="auto"/>
          <w:kern w:val="2"/>
          <w:sz w:val="24"/>
          <w:highlight w:val="none"/>
          <w:lang w:val="en-US" w:eastAsia="zh-CN"/>
        </w:rPr>
        <w:t>。</w:t>
      </w:r>
    </w:p>
    <w:p w14:paraId="4A4055F5">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5</w:t>
      </w:r>
      <w:r>
        <w:rPr>
          <w:rFonts w:hint="eastAsia" w:ascii="宋体" w:eastAsia="宋体"/>
          <w:color w:val="auto"/>
          <w:sz w:val="24"/>
          <w:highlight w:val="none"/>
          <w:lang w:eastAsia="zh-CN"/>
        </w:rPr>
        <w:t xml:space="preserve"> 应当按项目计划完成工作内容说明书规定的服务，并提交项目成果。</w:t>
      </w:r>
    </w:p>
    <w:p w14:paraId="6AAD1423">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6</w:t>
      </w:r>
      <w:r>
        <w:rPr>
          <w:rFonts w:hint="eastAsia" w:ascii="宋体" w:eastAsia="宋体"/>
          <w:color w:val="auto"/>
          <w:sz w:val="24"/>
          <w:highlight w:val="none"/>
          <w:lang w:eastAsia="zh-CN"/>
        </w:rPr>
        <w:t>有义务对甲方提出的口头或书面咨询进行及时解答或提交书面咨询意见。</w:t>
      </w:r>
    </w:p>
    <w:p w14:paraId="37E31E94">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7</w:t>
      </w:r>
      <w:r>
        <w:rPr>
          <w:rFonts w:hint="eastAsia" w:ascii="宋体" w:eastAsia="宋体"/>
          <w:color w:val="auto"/>
          <w:sz w:val="24"/>
          <w:highlight w:val="none"/>
          <w:lang w:eastAsia="zh-CN"/>
        </w:rPr>
        <w:t>按照本合同的规定准备培训资料，协助甲方组织和完成相关培训。</w:t>
      </w:r>
    </w:p>
    <w:p w14:paraId="15394C98">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8</w:t>
      </w:r>
      <w:r>
        <w:rPr>
          <w:rFonts w:hint="eastAsia" w:ascii="宋体" w:eastAsia="宋体"/>
          <w:color w:val="auto"/>
          <w:sz w:val="24"/>
          <w:highlight w:val="none"/>
          <w:lang w:eastAsia="zh-CN"/>
        </w:rPr>
        <w:t>应当按照甲方的合理要求，及时报告有</w:t>
      </w:r>
      <w:r>
        <w:rPr>
          <w:rFonts w:hint="eastAsia" w:ascii="宋体" w:eastAsia="宋体"/>
          <w:color w:val="auto"/>
          <w:kern w:val="2"/>
          <w:sz w:val="24"/>
          <w:highlight w:val="none"/>
          <w:lang w:val="en-US" w:eastAsia="zh-CN"/>
        </w:rPr>
        <w:t>关服务事宜的进展情况。</w:t>
      </w:r>
    </w:p>
    <w:p w14:paraId="437AF3D0">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w:t>
      </w:r>
      <w:r>
        <w:rPr>
          <w:rFonts w:ascii="宋体" w:eastAsia="宋体"/>
          <w:color w:val="auto"/>
          <w:kern w:val="2"/>
          <w:sz w:val="24"/>
          <w:highlight w:val="none"/>
          <w:lang w:val="en-US" w:eastAsia="zh-CN"/>
        </w:rPr>
        <w:t>9</w:t>
      </w:r>
      <w:r>
        <w:rPr>
          <w:rFonts w:hint="eastAsia" w:ascii="宋体" w:eastAsia="宋体"/>
          <w:color w:val="auto"/>
          <w:kern w:val="2"/>
          <w:sz w:val="24"/>
          <w:highlight w:val="none"/>
          <w:lang w:val="en-US" w:eastAsia="zh-CN"/>
        </w:rPr>
        <w:t xml:space="preserve">保证其项目实施人员具有充分的完成其相应工作任务的专业知识和经验。 </w:t>
      </w:r>
    </w:p>
    <w:p w14:paraId="37483EAA">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4.10乙方保证遵守甲方《重庆三峡银行回避管理办法》中招录回避、任职回避、公务回避的相关要求。若发现乙方人员与甲方内部人员存在亲属关系，乙方应主动报告，并采取相应回避措施。</w:t>
      </w:r>
    </w:p>
    <w:p w14:paraId="0DEF991C">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4.11乙方保证其人员无不良记录，乙方与其建立合法的雇佣关系，依法履行用工管理职责。</w:t>
      </w:r>
    </w:p>
    <w:p w14:paraId="466E091D">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4.12 乙方定期通报外包事项，及时通报外包突发性事件及解决情况。</w:t>
      </w:r>
    </w:p>
    <w:p w14:paraId="70D7F5F7">
      <w:pPr>
        <w:pStyle w:val="10"/>
        <w:tabs>
          <w:tab w:val="right" w:pos="0"/>
          <w:tab w:val="clear" w:pos="630"/>
          <w:tab w:val="clear" w:pos="8730"/>
        </w:tabs>
        <w:adjustRightInd w:val="0"/>
        <w:snapToGrid w:val="0"/>
        <w:spacing w:line="520" w:lineRule="exact"/>
        <w:ind w:right="16" w:firstLine="480" w:firstLineChars="200"/>
        <w:outlineLvl w:val="9"/>
        <w:rPr>
          <w:rFonts w:hint="eastAsia" w:ascii="宋体" w:eastAsia="宋体"/>
          <w:color w:val="auto"/>
          <w:sz w:val="24"/>
          <w:highlight w:val="none"/>
          <w:lang w:eastAsia="zh-CN"/>
        </w:rPr>
      </w:pPr>
    </w:p>
    <w:p w14:paraId="00F785F6">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第五条  项目成果的验收</w:t>
      </w:r>
    </w:p>
    <w:p w14:paraId="5E2302A9">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5.1乙方保证以良好的态度和专业能力提供服务，并按照附件的规定</w:t>
      </w:r>
      <w:r>
        <w:rPr>
          <w:rFonts w:hint="eastAsia" w:ascii="宋体" w:eastAsia="宋体"/>
          <w:color w:val="auto"/>
          <w:sz w:val="24"/>
          <w:highlight w:val="none"/>
          <w:lang w:eastAsia="zh-CN"/>
        </w:rPr>
        <w:t>向甲方交付工作成果，并向甲方就交付成果进行讲解、交流、汇报</w:t>
      </w:r>
      <w:r>
        <w:rPr>
          <w:rFonts w:hint="eastAsia" w:ascii="宋体" w:eastAsia="宋体"/>
          <w:color w:val="auto"/>
          <w:sz w:val="24"/>
          <w:highlight w:val="none"/>
          <w:lang w:eastAsia="zh-CN"/>
        </w:rPr>
        <w:fldChar w:fldCharType="begin"/>
      </w:r>
      <w:r>
        <w:rPr>
          <w:rFonts w:hint="eastAsia" w:ascii="宋体" w:eastAsia="宋体"/>
          <w:color w:val="auto"/>
          <w:sz w:val="24"/>
          <w:highlight w:val="none"/>
          <w:lang w:eastAsia="zh-CN"/>
        </w:rPr>
        <w:instrText xml:space="preserve">HYPERLINK "http://www.51paper.net" \o "论文资料网"</w:instrText>
      </w:r>
      <w:r>
        <w:rPr>
          <w:rFonts w:hint="eastAsia" w:ascii="宋体" w:eastAsia="宋体"/>
          <w:color w:val="auto"/>
          <w:sz w:val="24"/>
          <w:highlight w:val="none"/>
          <w:lang w:eastAsia="zh-CN"/>
        </w:rPr>
        <w:fldChar w:fldCharType="separate"/>
      </w:r>
      <w:r>
        <w:rPr>
          <w:rFonts w:hint="eastAsia" w:ascii="宋体" w:eastAsia="宋体"/>
          <w:color w:val="auto"/>
          <w:sz w:val="24"/>
          <w:highlight w:val="none"/>
          <w:lang w:eastAsia="zh-CN"/>
        </w:rPr>
        <w:t>。</w:t>
      </w:r>
      <w:r>
        <w:rPr>
          <w:rFonts w:hint="eastAsia" w:ascii="宋体" w:eastAsia="宋体"/>
          <w:color w:val="auto"/>
          <w:sz w:val="24"/>
          <w:highlight w:val="none"/>
          <w:lang w:eastAsia="zh-CN"/>
        </w:rPr>
        <w:fldChar w:fldCharType="end"/>
      </w:r>
      <w:r>
        <w:rPr>
          <w:rFonts w:hint="eastAsia" w:ascii="宋体" w:eastAsia="宋体"/>
          <w:color w:val="auto"/>
          <w:sz w:val="24"/>
          <w:highlight w:val="none"/>
          <w:lang w:eastAsia="zh-CN"/>
        </w:rPr>
        <w:t>乙方在项目过程中提交的交付物应与工作内容说明书的要求相符合。甲方收到交付物并充分交流后，应在30</w:t>
      </w:r>
      <w:r>
        <w:rPr>
          <w:rFonts w:hint="eastAsia" w:ascii="宋体" w:eastAsia="宋体"/>
          <w:color w:val="auto"/>
          <w:kern w:val="2"/>
          <w:sz w:val="24"/>
          <w:szCs w:val="24"/>
          <w:highlight w:val="none"/>
          <w:lang w:val="en-US" w:eastAsia="zh-CN"/>
        </w:rPr>
        <w:t>个工作日内组织验收，并通知乙方验收结果。如甲方因故不能验收的，应通知乙方。双方另行约定时间进行验收。</w:t>
      </w:r>
    </w:p>
    <w:p w14:paraId="46197A5C">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5.2乙方按照本合同约定完成各项服务并提交全部交付物，全部验收合格视为本项目整体验收合格。</w:t>
      </w:r>
    </w:p>
    <w:p w14:paraId="5AB8C1A3">
      <w:pPr>
        <w:pStyle w:val="10"/>
        <w:snapToGrid w:val="0"/>
        <w:spacing w:line="520" w:lineRule="exact"/>
        <w:ind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4E2D8F2C">
      <w:pPr>
        <w:pStyle w:val="10"/>
        <w:snapToGrid w:val="0"/>
        <w:spacing w:line="520" w:lineRule="exact"/>
        <w:ind w:firstLine="480" w:firstLineChars="200"/>
        <w:rPr>
          <w:rFonts w:hint="eastAsia"/>
          <w:color w:val="auto"/>
          <w:kern w:val="2"/>
          <w:sz w:val="24"/>
          <w:szCs w:val="24"/>
          <w:highlight w:val="none"/>
          <w:lang w:val="en-US" w:eastAsia="zh-CN"/>
        </w:rPr>
      </w:pPr>
    </w:p>
    <w:p w14:paraId="26C75E70">
      <w:pPr>
        <w:pStyle w:val="10"/>
        <w:tabs>
          <w:tab w:val="right" w:pos="0"/>
          <w:tab w:val="left" w:pos="1418"/>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第六条  知识产权</w:t>
      </w:r>
    </w:p>
    <w:p w14:paraId="7AB80204">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6.1本合同签署前，双方各自所有的知识产权归各自所有，不因本合同的履行而被对方取得。</w:t>
      </w:r>
    </w:p>
    <w:p w14:paraId="3F94AA27">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6.2 本合同签署后，乙方按照本合同规定向甲方提交的交付物的知识产权属于甲方。</w:t>
      </w:r>
    </w:p>
    <w:p w14:paraId="2D4706F9">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6595FB15">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eastAsia="zh-CN"/>
        </w:rPr>
      </w:pPr>
      <w:r>
        <w:rPr>
          <w:rFonts w:hint="eastAsia" w:ascii="宋体" w:eastAsia="宋体"/>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42985D79">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6.5</w:t>
      </w:r>
      <w:r>
        <w:rPr>
          <w:rFonts w:ascii="宋体" w:eastAsia="宋体"/>
          <w:color w:val="auto"/>
          <w:kern w:val="2"/>
          <w:sz w:val="24"/>
          <w:szCs w:val="24"/>
          <w:highlight w:val="none"/>
          <w:lang w:val="en-US" w:eastAsia="zh-CN"/>
        </w:rPr>
        <w:t>一经发现</w:t>
      </w:r>
      <w:r>
        <w:rPr>
          <w:rFonts w:hint="eastAsia" w:ascii="宋体" w:eastAsia="宋体"/>
          <w:color w:val="auto"/>
          <w:kern w:val="2"/>
          <w:sz w:val="24"/>
          <w:szCs w:val="24"/>
          <w:highlight w:val="none"/>
          <w:lang w:val="en-US" w:eastAsia="zh-CN"/>
        </w:rPr>
        <w:t>乙方</w:t>
      </w:r>
      <w:r>
        <w:rPr>
          <w:rFonts w:ascii="宋体" w:eastAsia="宋体"/>
          <w:color w:val="auto"/>
          <w:kern w:val="2"/>
          <w:sz w:val="24"/>
          <w:szCs w:val="24"/>
          <w:highlight w:val="none"/>
          <w:lang w:val="en-US" w:eastAsia="zh-CN"/>
        </w:rPr>
        <w:t>将</w:t>
      </w:r>
      <w:r>
        <w:rPr>
          <w:rFonts w:hint="eastAsia" w:ascii="宋体" w:eastAsia="宋体"/>
          <w:color w:val="auto"/>
          <w:kern w:val="2"/>
          <w:sz w:val="24"/>
          <w:szCs w:val="24"/>
          <w:highlight w:val="none"/>
          <w:lang w:val="en-US" w:eastAsia="zh-CN"/>
        </w:rPr>
        <w:t>甲方</w:t>
      </w:r>
      <w:r>
        <w:rPr>
          <w:rFonts w:ascii="宋体" w:eastAsia="宋体"/>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color w:val="auto"/>
          <w:kern w:val="2"/>
          <w:sz w:val="24"/>
          <w:szCs w:val="24"/>
          <w:highlight w:val="none"/>
          <w:lang w:val="en-US" w:eastAsia="zh-CN"/>
        </w:rPr>
        <w:t>乙</w:t>
      </w:r>
      <w:r>
        <w:rPr>
          <w:rFonts w:ascii="宋体" w:eastAsia="宋体"/>
          <w:color w:val="auto"/>
          <w:kern w:val="2"/>
          <w:sz w:val="24"/>
          <w:szCs w:val="24"/>
          <w:highlight w:val="none"/>
          <w:lang w:val="en-US" w:eastAsia="zh-CN"/>
        </w:rPr>
        <w:t>方相应处罚（处罚金额不低于合同金额的10%）</w:t>
      </w:r>
    </w:p>
    <w:p w14:paraId="63429CD2">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6.6 本合同终止后，本知识产权条款持续有效。</w:t>
      </w:r>
    </w:p>
    <w:p w14:paraId="099C6E25">
      <w:pPr>
        <w:pStyle w:val="10"/>
        <w:tabs>
          <w:tab w:val="right" w:pos="0"/>
          <w:tab w:val="clear" w:pos="630"/>
          <w:tab w:val="clear" w:pos="8730"/>
        </w:tabs>
        <w:adjustRightInd w:val="0"/>
        <w:snapToGrid w:val="0"/>
        <w:spacing w:line="520" w:lineRule="exact"/>
        <w:ind w:right="16" w:firstLine="480" w:firstLineChars="200"/>
        <w:outlineLvl w:val="9"/>
        <w:rPr>
          <w:rFonts w:hint="eastAsia" w:ascii="宋体" w:eastAsia="宋体"/>
          <w:color w:val="auto"/>
          <w:sz w:val="24"/>
          <w:highlight w:val="none"/>
          <w:lang w:eastAsia="zh-CN"/>
        </w:rPr>
      </w:pPr>
    </w:p>
    <w:p w14:paraId="4860114A">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第七条  服务费用及其支付</w:t>
      </w:r>
    </w:p>
    <w:p w14:paraId="04975A7F">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7.1 服务费用：</w:t>
      </w:r>
    </w:p>
    <w:p w14:paraId="25BB5113">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sz w:val="24"/>
          <w:highlight w:val="none"/>
          <w:lang w:val="en-US" w:eastAsia="zh-CN"/>
        </w:rPr>
        <w:t>对</w:t>
      </w:r>
      <w:r>
        <w:rPr>
          <w:rFonts w:hint="eastAsia" w:ascii="宋体" w:eastAsia="宋体"/>
          <w:color w:val="auto"/>
          <w:sz w:val="24"/>
          <w:highlight w:val="none"/>
          <w:lang w:eastAsia="zh-CN"/>
        </w:rPr>
        <w:t>于工作内容说明书约定的各项服务，甲方同意向乙方支付服务费用（下称“服务费用” ）。服务费用总额为：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（大写：___________元整）,</w:t>
      </w:r>
      <w:r>
        <w:rPr>
          <w:rFonts w:hint="eastAsia" w:ascii="宋体" w:eastAsia="宋体"/>
          <w:color w:val="auto"/>
          <w:sz w:val="24"/>
          <w:highlight w:val="none"/>
          <w:u w:val="single"/>
          <w:lang w:eastAsia="zh-CN"/>
        </w:rPr>
        <w:t xml:space="preserve">其中不含税价为：_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，税额为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；不含税价格不因国家税率变化而变化，若在合同履行期间，如遇国家的税率调整，则价税</w:t>
      </w:r>
      <w:r>
        <w:rPr>
          <w:rFonts w:hint="eastAsia" w:ascii="宋体" w:eastAsia="宋体"/>
          <w:color w:val="auto"/>
          <w:sz w:val="24"/>
          <w:szCs w:val="24"/>
          <w:highlight w:val="none"/>
          <w:lang w:eastAsia="zh-CN"/>
        </w:rPr>
        <w:t>合计应相应调整，以开具发票的时间为准。乙方须严格按照合同内容开具税率为</w:t>
      </w:r>
      <w:r>
        <w:rPr>
          <w:rFonts w:hint="eastAsia" w:ascii="宋体" w:eastAsia="宋体"/>
          <w:b/>
          <w:color w:val="auto"/>
          <w:sz w:val="24"/>
          <w:szCs w:val="24"/>
          <w:highlight w:val="none"/>
          <w:lang w:eastAsia="zh-CN"/>
        </w:rPr>
        <w:t>6%</w:t>
      </w:r>
      <w:r>
        <w:rPr>
          <w:rFonts w:hint="eastAsia" w:ascii="宋体" w:eastAsia="宋体"/>
          <w:color w:val="auto"/>
          <w:sz w:val="24"/>
          <w:szCs w:val="24"/>
          <w:highlight w:val="none"/>
          <w:lang w:eastAsia="zh-CN"/>
        </w:rPr>
        <w:t>的增值税专用发票</w:t>
      </w:r>
      <w:r>
        <w:rPr>
          <w:rFonts w:hint="eastAsia" w:ascii="宋体" w:eastAsia="宋体"/>
          <w:color w:val="auto"/>
          <w:kern w:val="2"/>
          <w:sz w:val="24"/>
          <w:szCs w:val="24"/>
          <w:highlight w:val="none"/>
          <w:lang w:val="en-US" w:eastAsia="zh-CN"/>
        </w:rPr>
        <w:t>。</w:t>
      </w:r>
    </w:p>
    <w:p w14:paraId="4AF8C58B">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 支付方式：</w:t>
      </w:r>
    </w:p>
    <w:p w14:paraId="59F1F20E">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甲方应按下列规定时间向乙方支付服务费用。</w:t>
      </w:r>
    </w:p>
    <w:p w14:paraId="59A9791A">
      <w:pPr>
        <w:pStyle w:val="10"/>
        <w:tabs>
          <w:tab w:val="right" w:pos="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本合同实施款项采用分期付款：</w:t>
      </w:r>
    </w:p>
    <w:p w14:paraId="0971F67A">
      <w:pPr>
        <w:pStyle w:val="10"/>
        <w:tabs>
          <w:tab w:val="right" w:pos="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 xml:space="preserve">7.2.1合同签订后，乙方按照合同约定完成评估准备与评估实施，提供DCMM评估报告，通过甲方审核，乙方向甲方提供合法足额的增值税专用发票，甲方收到发票并确认无误后30个工作日内，甲方支付合同总额的60%，即 </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          元整  ）</w:t>
      </w:r>
    </w:p>
    <w:p w14:paraId="48C50173">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7.2.2完成DCMM正式评估且甲方获得由中国电子信息行业联合会颁发的数据管理能力成熟度等级证书后，乙方向甲方提供合法足额的增值税专用发票，甲方收到发票并确认无误后30个工作日内，甲方支付合同总价的40％，即</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w:t>
      </w:r>
      <w:r>
        <w:rPr>
          <w:rFonts w:hint="eastAsia" w:ascii="宋体" w:eastAsia="宋体"/>
          <w:color w:val="auto"/>
          <w:kern w:val="2"/>
          <w:sz w:val="24"/>
          <w:highlight w:val="none"/>
          <w:u w:val="single"/>
          <w:lang w:val="en-US" w:eastAsia="zh-CN"/>
        </w:rPr>
        <w:t xml:space="preserve">          </w:t>
      </w:r>
      <w:r>
        <w:rPr>
          <w:rFonts w:hint="eastAsia" w:ascii="宋体" w:eastAsia="宋体"/>
          <w:color w:val="auto"/>
          <w:kern w:val="2"/>
          <w:sz w:val="24"/>
          <w:highlight w:val="none"/>
          <w:lang w:val="en-US" w:eastAsia="zh-CN"/>
        </w:rPr>
        <w:t>元整 ）。</w:t>
      </w:r>
    </w:p>
    <w:p w14:paraId="3453DD38">
      <w:pPr>
        <w:pStyle w:val="10"/>
        <w:tabs>
          <w:tab w:val="right" w:pos="0"/>
          <w:tab w:val="clear" w:pos="630"/>
          <w:tab w:val="clear" w:pos="8730"/>
        </w:tabs>
        <w:adjustRightInd w:val="0"/>
        <w:snapToGrid w:val="0"/>
        <w:spacing w:line="520" w:lineRule="exact"/>
        <w:ind w:right="17" w:firstLine="480" w:firstLineChars="200"/>
        <w:outlineLvl w:val="9"/>
        <w:rPr>
          <w:rFonts w:hint="eastAsia" w:ascii="宋体" w:eastAsia="宋体"/>
          <w:color w:val="auto"/>
          <w:sz w:val="24"/>
          <w:highlight w:val="none"/>
          <w:lang w:eastAsia="zh-CN"/>
        </w:rPr>
      </w:pPr>
    </w:p>
    <w:p w14:paraId="5718130A">
      <w:pPr>
        <w:pStyle w:val="10"/>
        <w:tabs>
          <w:tab w:val="right" w:pos="0"/>
          <w:tab w:val="clear" w:pos="630"/>
          <w:tab w:val="clear" w:pos="8730"/>
        </w:tabs>
        <w:adjustRightInd w:val="0"/>
        <w:snapToGrid w:val="0"/>
        <w:spacing w:line="520" w:lineRule="exact"/>
        <w:ind w:right="17"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第八条  保密条款</w:t>
      </w:r>
    </w:p>
    <w:p w14:paraId="1125E2BF">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8.1 本合同项下的所有条款。乙方外包人员入场前须与甲方签订相应诚信安全承诺书。</w:t>
      </w:r>
    </w:p>
    <w:p w14:paraId="126F2A28">
      <w:pPr>
        <w:pStyle w:val="10"/>
        <w:tabs>
          <w:tab w:val="right" w:pos="0"/>
        </w:tabs>
        <w:adjustRightInd w:val="0"/>
        <w:snapToGrid w:val="0"/>
        <w:spacing w:line="520" w:lineRule="exact"/>
        <w:ind w:right="16" w:firstLine="480" w:firstLineChars="200"/>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2</w:t>
      </w:r>
      <w:r>
        <w:rPr>
          <w:rFonts w:hint="eastAsia" w:ascii="宋体" w:eastAsia="宋体"/>
          <w:color w:val="auto"/>
          <w:kern w:val="2"/>
          <w:sz w:val="24"/>
          <w:highlight w:val="none"/>
          <w:lang w:val="en-US" w:eastAsia="zh-CN"/>
        </w:rPr>
        <w:t>乙方应对本合同所述的客户信息、技术资料、业务流程、数据等</w:t>
      </w:r>
      <w:r>
        <w:rPr>
          <w:rFonts w:ascii="宋体" w:eastAsia="宋体"/>
          <w:color w:val="auto"/>
          <w:kern w:val="2"/>
          <w:sz w:val="24"/>
          <w:highlight w:val="none"/>
          <w:lang w:val="en-US" w:eastAsia="zh-CN"/>
        </w:rPr>
        <w:t>重要</w:t>
      </w:r>
      <w:r>
        <w:rPr>
          <w:rFonts w:hint="eastAsia" w:ascii="宋体" w:eastAsia="宋体"/>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5CF762AF">
      <w:pPr>
        <w:pStyle w:val="10"/>
        <w:tabs>
          <w:tab w:val="right" w:pos="0"/>
        </w:tabs>
        <w:adjustRightInd w:val="0"/>
        <w:snapToGrid w:val="0"/>
        <w:spacing w:line="520" w:lineRule="exact"/>
        <w:ind w:right="16" w:firstLine="480" w:firstLineChars="200"/>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3</w:t>
      </w:r>
      <w:r>
        <w:rPr>
          <w:rFonts w:hint="eastAsia" w:ascii="宋体" w:eastAsia="宋体"/>
          <w:color w:val="auto"/>
          <w:kern w:val="2"/>
          <w:sz w:val="24"/>
          <w:highlight w:val="none"/>
          <w:lang w:val="en-US" w:eastAsia="zh-CN"/>
        </w:rPr>
        <w:t xml:space="preserve"> 乙方不得以甲方名义开展活动，不得将甲方数据、信息以任何形式转移、挪用或谋取合同约定以外的利益。</w:t>
      </w:r>
    </w:p>
    <w:p w14:paraId="744F677C">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8.4乙方知道违反本条规定将给甲方客户权利以及甲方造成难以弥补的损失，为此同意承担由此产生的经济上和法律上的责任。</w:t>
      </w:r>
    </w:p>
    <w:p w14:paraId="47A8DC08">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8.5 乙方承认本合同中的技术资料和技术秘密为甲方所专有，将其对乙方进行披露并不意味着任何所有权、专利权的转让。</w:t>
      </w:r>
    </w:p>
    <w:p w14:paraId="095C506F">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76B8C765">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54D6A7AA">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8.8 除非甲方特别声明，乙方对于保密信息的保密义务为无限期保密，直至甲方宣布解密或者保密信息实际上已经公开。</w:t>
      </w:r>
    </w:p>
    <w:p w14:paraId="4F24E6E1">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8.9 任何一方违反本章约定均被视为违约，违约方应承担违约责任。</w:t>
      </w:r>
    </w:p>
    <w:p w14:paraId="6DB29D5C">
      <w:pPr>
        <w:pStyle w:val="10"/>
        <w:tabs>
          <w:tab w:val="right" w:pos="0"/>
          <w:tab w:val="clear" w:pos="630"/>
          <w:tab w:val="clear" w:pos="8730"/>
        </w:tabs>
        <w:adjustRightInd w:val="0"/>
        <w:snapToGrid w:val="0"/>
        <w:spacing w:line="520" w:lineRule="exact"/>
        <w:ind w:right="16" w:firstLine="480" w:firstLineChars="200"/>
        <w:outlineLvl w:val="9"/>
        <w:rPr>
          <w:rFonts w:hint="eastAsia" w:ascii="宋体" w:eastAsia="宋体"/>
          <w:color w:val="auto"/>
          <w:sz w:val="24"/>
          <w:highlight w:val="none"/>
          <w:lang w:val="en-US" w:eastAsia="zh-CN"/>
        </w:rPr>
      </w:pPr>
    </w:p>
    <w:p w14:paraId="3539084F">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第九条  合同的解除和终止</w:t>
      </w:r>
    </w:p>
    <w:p w14:paraId="0367CC4D">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9.1 如果满足以下条件，任一方在通知对方后，都可以解除本合同：</w:t>
      </w:r>
    </w:p>
    <w:p w14:paraId="45CEC923">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A7028D4">
      <w:pPr>
        <w:pStyle w:val="10"/>
        <w:tabs>
          <w:tab w:val="right" w:pos="0"/>
        </w:tabs>
        <w:adjustRightInd w:val="0"/>
        <w:snapToGrid w:val="0"/>
        <w:spacing w:line="520" w:lineRule="exact"/>
        <w:ind w:right="16" w:firstLine="480" w:firstLineChars="200"/>
        <w:outlineLvl w:val="9"/>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5CCB082B">
      <w:pPr>
        <w:pStyle w:val="10"/>
        <w:tabs>
          <w:tab w:val="right" w:pos="0"/>
          <w:tab w:val="clear" w:pos="630"/>
          <w:tab w:val="clear" w:pos="8730"/>
        </w:tabs>
        <w:adjustRightInd w:val="0"/>
        <w:snapToGrid w:val="0"/>
        <w:spacing w:line="520" w:lineRule="exact"/>
        <w:ind w:right="16" w:firstLine="480" w:firstLineChars="200"/>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p>
    <w:p w14:paraId="6ADB2BC3">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val="en-US" w:eastAsia="zh-CN"/>
        </w:rPr>
      </w:pPr>
    </w:p>
    <w:p w14:paraId="4B2B1D1A">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第十条 违约责任</w:t>
      </w:r>
    </w:p>
    <w:p w14:paraId="47A1D389">
      <w:pPr>
        <w:autoSpaceDE w:val="0"/>
        <w:autoSpaceDN w:val="0"/>
        <w:adjustRightInd w:val="0"/>
        <w:snapToGrid w:val="0"/>
        <w:spacing w:line="520" w:lineRule="exact"/>
        <w:ind w:firstLine="480" w:firstLineChars="200"/>
        <w:jc w:val="left"/>
        <w:rPr>
          <w:rFonts w:hint="eastAsia" w:ascii="宋体"/>
          <w:color w:val="auto"/>
          <w:kern w:val="0"/>
          <w:sz w:val="24"/>
          <w:highlight w:val="none"/>
        </w:rPr>
      </w:pPr>
      <w:r>
        <w:rPr>
          <w:rFonts w:hint="eastAsia" w:ascii="宋体"/>
          <w:color w:val="auto"/>
          <w:kern w:val="0"/>
          <w:sz w:val="24"/>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6C290CE0">
      <w:pPr>
        <w:autoSpaceDE w:val="0"/>
        <w:autoSpaceDN w:val="0"/>
        <w:adjustRightInd w:val="0"/>
        <w:snapToGrid w:val="0"/>
        <w:spacing w:line="520" w:lineRule="exact"/>
        <w:ind w:firstLine="480" w:firstLineChars="200"/>
        <w:jc w:val="left"/>
        <w:rPr>
          <w:rFonts w:hint="eastAsia" w:ascii="宋体"/>
          <w:b/>
          <w:color w:val="auto"/>
          <w:kern w:val="0"/>
          <w:sz w:val="24"/>
          <w:highlight w:val="none"/>
        </w:rPr>
      </w:pPr>
      <w:r>
        <w:rPr>
          <w:rFonts w:hint="eastAsia" w:ascii="宋体"/>
          <w:color w:val="auto"/>
          <w:kern w:val="0"/>
          <w:sz w:val="24"/>
          <w:highlight w:val="none"/>
        </w:rPr>
        <w:t>10.2 违约金的计算方法如下：</w:t>
      </w:r>
    </w:p>
    <w:p w14:paraId="663CE894">
      <w:pPr>
        <w:autoSpaceDE w:val="0"/>
        <w:autoSpaceDN w:val="0"/>
        <w:adjustRightInd w:val="0"/>
        <w:snapToGrid w:val="0"/>
        <w:spacing w:line="520" w:lineRule="exact"/>
        <w:ind w:firstLine="480" w:firstLineChars="200"/>
        <w:jc w:val="left"/>
        <w:rPr>
          <w:rFonts w:hint="eastAsia" w:ascii="宋体"/>
          <w:color w:val="auto"/>
          <w:kern w:val="0"/>
          <w:sz w:val="24"/>
          <w:highlight w:val="none"/>
        </w:rPr>
      </w:pPr>
      <w:r>
        <w:rPr>
          <w:rFonts w:hint="eastAsia" w:ascii="宋体"/>
          <w:color w:val="auto"/>
          <w:kern w:val="0"/>
          <w:sz w:val="24"/>
          <w:highlight w:val="none"/>
        </w:rPr>
        <w:t>（1）因甲方原因未按本合同的规定向乙方付款的，逾期超过一个月后，每逾期一日，应向乙方偿付欠款金额万分之五的违约金；</w:t>
      </w:r>
    </w:p>
    <w:p w14:paraId="5CD1BC70">
      <w:pPr>
        <w:autoSpaceDE w:val="0"/>
        <w:autoSpaceDN w:val="0"/>
        <w:adjustRightInd w:val="0"/>
        <w:snapToGrid w:val="0"/>
        <w:spacing w:line="520" w:lineRule="exact"/>
        <w:ind w:firstLine="480" w:firstLineChars="200"/>
        <w:jc w:val="left"/>
        <w:rPr>
          <w:rFonts w:hint="eastAsia" w:ascii="宋体"/>
          <w:color w:val="auto"/>
          <w:kern w:val="0"/>
          <w:sz w:val="24"/>
          <w:highlight w:val="none"/>
        </w:rPr>
      </w:pPr>
      <w:r>
        <w:rPr>
          <w:rFonts w:hint="eastAsia" w:ascii="宋体"/>
          <w:color w:val="auto"/>
          <w:kern w:val="0"/>
          <w:sz w:val="24"/>
          <w:highlight w:val="none"/>
        </w:rPr>
        <w:t>（2）如果因为乙方原因没有在按期完成项目服务工作，每逾期一天，乙方应按照相应服务费的万分之五向甲方支付违约金。</w:t>
      </w:r>
    </w:p>
    <w:p w14:paraId="7FFCED54">
      <w:pPr>
        <w:autoSpaceDE w:val="0"/>
        <w:autoSpaceDN w:val="0"/>
        <w:adjustRightInd w:val="0"/>
        <w:snapToGrid w:val="0"/>
        <w:spacing w:line="520" w:lineRule="exact"/>
        <w:ind w:firstLine="480" w:firstLineChars="200"/>
        <w:jc w:val="left"/>
        <w:rPr>
          <w:rFonts w:hint="eastAsia" w:ascii="宋体"/>
          <w:color w:val="auto"/>
          <w:kern w:val="0"/>
          <w:sz w:val="24"/>
          <w:highlight w:val="none"/>
        </w:rPr>
      </w:pPr>
      <w:r>
        <w:rPr>
          <w:rFonts w:hint="eastAsia" w:ascii="宋体"/>
          <w:color w:val="auto"/>
          <w:kern w:val="0"/>
          <w:sz w:val="24"/>
          <w:highlight w:val="none"/>
        </w:rPr>
        <w:t>10.3 如果甲方未履行本合同规定的付款以外的义务，致使乙方无法履行相应的义务的，除项目服务期限相应顺延外，由此产生的后果由甲方承担，乙方对此免责。</w:t>
      </w:r>
    </w:p>
    <w:p w14:paraId="6CF011D4">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10.4若乙方未能完成甲方委托的咨询任务，则承担本合同总额20%的违约金，并返还甲方已支付的费用。</w:t>
      </w:r>
    </w:p>
    <w:p w14:paraId="31ED5DEA">
      <w:pPr>
        <w:snapToGrid w:val="0"/>
        <w:spacing w:line="520" w:lineRule="exact"/>
        <w:ind w:firstLine="480" w:firstLineChars="200"/>
        <w:rPr>
          <w:rFonts w:ascii="宋体"/>
          <w:color w:val="auto"/>
          <w:kern w:val="0"/>
          <w:sz w:val="24"/>
          <w:highlight w:val="none"/>
        </w:rPr>
      </w:pPr>
      <w:r>
        <w:rPr>
          <w:rFonts w:hint="eastAsia" w:ascii="宋体"/>
          <w:color w:val="auto"/>
          <w:kern w:val="0"/>
          <w:sz w:val="24"/>
          <w:highlight w:val="none"/>
        </w:rPr>
        <w:t>10.5乙方将甲方支付的咨询费用用于履行合同以外的目的，甲方有权制止并要求其纠正。如因此造成本合同项目停滞、延误或失败的，乙方应当承担给甲方造成的损失赔偿责任。</w:t>
      </w:r>
    </w:p>
    <w:p w14:paraId="182FEC5B">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6</w:t>
      </w:r>
      <w:r>
        <w:rPr>
          <w:rFonts w:hint="eastAsia" w:ascii="宋体"/>
          <w:color w:val="auto"/>
          <w:kern w:val="0"/>
          <w:sz w:val="24"/>
          <w:highlight w:val="none"/>
        </w:rPr>
        <w:t>除本条及附件3《服务水平协议（SLA）》另有约定外，乙方违反本合同任一条款的，应向甲方支付合同总额5%的违约金并赔偿甲方产生的损失。</w:t>
      </w:r>
    </w:p>
    <w:p w14:paraId="6B8697A2">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7</w:t>
      </w:r>
      <w:r>
        <w:rPr>
          <w:rFonts w:hint="eastAsia" w:ascii="宋体"/>
          <w:color w:val="auto"/>
          <w:kern w:val="0"/>
          <w:sz w:val="24"/>
          <w:highlight w:val="none"/>
        </w:rPr>
        <w:t>本合同项下乙方应支付的违约金、赔偿金等，甲方均有权从应支付给乙方的款项中优先扣除，若有不足，乙方应另行筹措资金补足。</w:t>
      </w:r>
    </w:p>
    <w:p w14:paraId="71E77FE9">
      <w:pPr>
        <w:pStyle w:val="10"/>
        <w:tabs>
          <w:tab w:val="right" w:pos="0"/>
          <w:tab w:val="clear" w:pos="630"/>
          <w:tab w:val="clear" w:pos="8730"/>
        </w:tabs>
        <w:adjustRightInd w:val="0"/>
        <w:snapToGrid w:val="0"/>
        <w:spacing w:line="520" w:lineRule="exact"/>
        <w:ind w:right="16" w:firstLine="0"/>
        <w:outlineLvl w:val="9"/>
        <w:rPr>
          <w:rFonts w:hint="eastAsia" w:ascii="宋体" w:eastAsia="宋体"/>
          <w:color w:val="auto"/>
          <w:sz w:val="24"/>
          <w:highlight w:val="none"/>
          <w:lang w:eastAsia="zh-CN"/>
        </w:rPr>
      </w:pPr>
    </w:p>
    <w:p w14:paraId="350CACD1">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第十一条  不可抗力</w:t>
      </w:r>
    </w:p>
    <w:p w14:paraId="352F5768">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11.1 不可抗力是指本合同生效后，发生不能预见并且对其发生和后果不能防止或避免的事件，如地震、台风、水灾、火灾、战争、传染病等，致使直接影响本合同的履行或不能按约定的条件履行。</w:t>
      </w:r>
    </w:p>
    <w:p w14:paraId="06AAC48C">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11.2 发生不可抗力的一方应立即通知对方，并在十五天内提供不可抗力的详情及将有关证明文件送交对方。</w:t>
      </w:r>
    </w:p>
    <w:p w14:paraId="5FA3714D">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11.3 发生不可抗力事件时，甲乙双方应协商以寻找一个合理的解决方法，并尽一切努力减轻不可抗力产生的后果。</w:t>
      </w:r>
    </w:p>
    <w:p w14:paraId="397D3D82">
      <w:pPr>
        <w:snapToGrid w:val="0"/>
        <w:spacing w:line="520" w:lineRule="exact"/>
        <w:ind w:firstLine="480" w:firstLineChars="200"/>
        <w:rPr>
          <w:rFonts w:hint="eastAsia" w:ascii="宋体"/>
          <w:color w:val="auto"/>
          <w:kern w:val="0"/>
          <w:sz w:val="24"/>
          <w:highlight w:val="none"/>
        </w:rPr>
      </w:pPr>
      <w:r>
        <w:rPr>
          <w:rFonts w:hint="eastAsia" w:ascii="宋体"/>
          <w:color w:val="auto"/>
          <w:kern w:val="0"/>
          <w:sz w:val="24"/>
          <w:highlight w:val="none"/>
        </w:rPr>
        <w:t>11.4 如不可抗力事件持续三十天时，甲乙双方应友好协商解决本合同是否继续履行或终止的问题。</w:t>
      </w:r>
    </w:p>
    <w:p w14:paraId="51742086">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第十二条  争议解决</w:t>
      </w:r>
    </w:p>
    <w:p w14:paraId="5C644FA7">
      <w:pPr>
        <w:pStyle w:val="10"/>
        <w:tabs>
          <w:tab w:val="right" w:pos="0"/>
          <w:tab w:val="clear" w:pos="630"/>
          <w:tab w:val="clear" w:pos="8730"/>
        </w:tabs>
        <w:adjustRightInd w:val="0"/>
        <w:snapToGrid w:val="0"/>
        <w:spacing w:line="520" w:lineRule="exact"/>
        <w:ind w:right="16" w:firstLine="522"/>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color w:val="auto"/>
          <w:kern w:val="2"/>
          <w:sz w:val="24"/>
          <w:highlight w:val="none"/>
          <w:lang w:eastAsia="zh-CN"/>
        </w:rPr>
        <w:t>本合同首部载明的甲方地址所在地有管辖权的人民法院起诉</w:t>
      </w:r>
      <w:r>
        <w:rPr>
          <w:rFonts w:hint="eastAsia" w:ascii="宋体" w:eastAsia="宋体"/>
          <w:color w:val="auto"/>
          <w:kern w:val="2"/>
          <w:sz w:val="24"/>
          <w:highlight w:val="none"/>
          <w:lang w:val="en-US" w:eastAsia="zh-CN"/>
        </w:rPr>
        <w:t>。</w:t>
      </w:r>
    </w:p>
    <w:p w14:paraId="0491327E">
      <w:pPr>
        <w:pStyle w:val="10"/>
        <w:tabs>
          <w:tab w:val="right" w:pos="0"/>
          <w:tab w:val="clear" w:pos="630"/>
          <w:tab w:val="clear" w:pos="8730"/>
        </w:tabs>
        <w:adjustRightInd w:val="0"/>
        <w:snapToGrid w:val="0"/>
        <w:spacing w:line="520" w:lineRule="exact"/>
        <w:ind w:right="16" w:firstLine="522"/>
        <w:rPr>
          <w:rFonts w:hint="eastAsia" w:ascii="宋体" w:eastAsia="宋体"/>
          <w:color w:val="auto"/>
          <w:kern w:val="2"/>
          <w:sz w:val="24"/>
          <w:highlight w:val="none"/>
          <w:lang w:val="en-US" w:eastAsia="zh-CN"/>
        </w:rPr>
      </w:pPr>
    </w:p>
    <w:p w14:paraId="1826A198">
      <w:pPr>
        <w:pStyle w:val="10"/>
        <w:tabs>
          <w:tab w:val="right" w:pos="0"/>
        </w:tabs>
        <w:snapToGrid w:val="0"/>
        <w:spacing w:line="520" w:lineRule="exact"/>
        <w:ind w:right="16" w:firstLine="522"/>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第十三条 通知与送达</w:t>
      </w:r>
    </w:p>
    <w:p w14:paraId="0F0178EF">
      <w:pPr>
        <w:pStyle w:val="10"/>
        <w:tabs>
          <w:tab w:val="right" w:pos="0"/>
        </w:tabs>
        <w:snapToGrid w:val="0"/>
        <w:spacing w:line="520" w:lineRule="exact"/>
        <w:ind w:right="16" w:firstLine="522"/>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7AEFB8CE">
      <w:pPr>
        <w:pStyle w:val="10"/>
        <w:tabs>
          <w:tab w:val="right" w:pos="0"/>
        </w:tabs>
        <w:snapToGrid w:val="0"/>
        <w:spacing w:line="520" w:lineRule="exact"/>
        <w:ind w:right="16" w:firstLine="522"/>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C20FF6B">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第十四条  合同的补充和变更</w:t>
      </w:r>
    </w:p>
    <w:p w14:paraId="723868F6">
      <w:pPr>
        <w:adjustRightInd w:val="0"/>
        <w:snapToGrid w:val="0"/>
        <w:spacing w:line="520" w:lineRule="exact"/>
        <w:ind w:firstLine="522"/>
        <w:rPr>
          <w:rFonts w:hint="eastAsia" w:ascii="宋体"/>
          <w:color w:val="auto"/>
          <w:sz w:val="24"/>
          <w:highlight w:val="none"/>
        </w:rPr>
      </w:pPr>
      <w:r>
        <w:rPr>
          <w:rFonts w:hint="eastAsia" w:ascii="宋体"/>
          <w:color w:val="auto"/>
          <w:sz w:val="24"/>
          <w:highlight w:val="none"/>
        </w:rPr>
        <w:t>14.1 本合同的未尽事宜，由甲乙双方友好协商，以签署补充协议约定。</w:t>
      </w:r>
    </w:p>
    <w:p w14:paraId="32CEEAEC">
      <w:pPr>
        <w:adjustRightInd w:val="0"/>
        <w:snapToGrid w:val="0"/>
        <w:spacing w:line="520" w:lineRule="exact"/>
        <w:ind w:firstLine="522"/>
        <w:rPr>
          <w:rFonts w:hint="eastAsia" w:ascii="宋体"/>
          <w:color w:val="auto"/>
          <w:sz w:val="24"/>
          <w:highlight w:val="none"/>
        </w:rPr>
      </w:pPr>
      <w:r>
        <w:rPr>
          <w:rFonts w:hint="eastAsia" w:ascii="宋体"/>
          <w:color w:val="auto"/>
          <w:sz w:val="24"/>
          <w:highlight w:val="none"/>
        </w:rPr>
        <w:t>14.2 双方协商一致可以对本合同进行变更。双方就变更以书面形式确认后，变更即可生效。变更后的条款替代本合同原有条款，构成本合同不可分割的一部分。</w:t>
      </w:r>
    </w:p>
    <w:p w14:paraId="46E66B12">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第十五条  合同的生效</w:t>
      </w:r>
    </w:p>
    <w:p w14:paraId="2A6C0C7C">
      <w:pPr>
        <w:pStyle w:val="10"/>
        <w:tabs>
          <w:tab w:val="right" w:pos="0"/>
          <w:tab w:val="clear" w:pos="630"/>
          <w:tab w:val="clear" w:pos="8730"/>
        </w:tabs>
        <w:adjustRightInd w:val="0"/>
        <w:snapToGrid w:val="0"/>
        <w:spacing w:line="520" w:lineRule="exact"/>
        <w:ind w:right="17" w:firstLine="522"/>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甲乙双方对本合同及其全部附件内容达成一致并加盖公章后生效。</w:t>
      </w:r>
    </w:p>
    <w:p w14:paraId="03CBEC8C">
      <w:pPr>
        <w:pStyle w:val="10"/>
        <w:tabs>
          <w:tab w:val="right" w:pos="0"/>
          <w:tab w:val="clear" w:pos="630"/>
          <w:tab w:val="clear" w:pos="8730"/>
        </w:tabs>
        <w:adjustRightInd w:val="0"/>
        <w:snapToGrid w:val="0"/>
        <w:spacing w:line="520" w:lineRule="exact"/>
        <w:ind w:right="16" w:firstLine="480" w:firstLineChars="200"/>
        <w:outlineLvl w:val="9"/>
        <w:rPr>
          <w:rFonts w:hint="eastAsia" w:ascii="宋体" w:eastAsia="宋体"/>
          <w:color w:val="auto"/>
          <w:sz w:val="24"/>
          <w:highlight w:val="none"/>
          <w:lang w:eastAsia="zh-CN"/>
        </w:rPr>
      </w:pPr>
    </w:p>
    <w:p w14:paraId="25478A2F">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第十六条  合同附件</w:t>
      </w:r>
    </w:p>
    <w:p w14:paraId="3F715E94">
      <w:pPr>
        <w:snapToGrid w:val="0"/>
        <w:spacing w:line="520" w:lineRule="exact"/>
        <w:ind w:firstLine="559" w:firstLineChars="233"/>
        <w:rPr>
          <w:rFonts w:hint="eastAsia" w:ascii="宋体"/>
          <w:color w:val="auto"/>
          <w:sz w:val="24"/>
          <w:szCs w:val="20"/>
          <w:highlight w:val="none"/>
        </w:rPr>
      </w:pPr>
      <w:r>
        <w:rPr>
          <w:rFonts w:hint="eastAsia" w:ascii="宋体"/>
          <w:color w:val="auto"/>
          <w:sz w:val="24"/>
          <w:szCs w:val="20"/>
          <w:highlight w:val="none"/>
        </w:rPr>
        <w:t>本合同的附件与合同正本具有同等法律效力，主合同与附件如有冲突，以主合同为准。本合同附件如下：</w:t>
      </w:r>
    </w:p>
    <w:p w14:paraId="198A5E75">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附件1：工作说明书</w:t>
      </w:r>
    </w:p>
    <w:p w14:paraId="7594F55D">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附件2：项目最终验收表</w:t>
      </w:r>
    </w:p>
    <w:p w14:paraId="31829E26">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附件3：服务水平协议</w:t>
      </w:r>
    </w:p>
    <w:p w14:paraId="0F1629B9">
      <w:pPr>
        <w:snapToGrid w:val="0"/>
        <w:spacing w:line="520" w:lineRule="exact"/>
        <w:ind w:firstLine="480" w:firstLineChars="200"/>
        <w:rPr>
          <w:rFonts w:hint="eastAsia" w:ascii="宋体"/>
          <w:color w:val="auto"/>
          <w:sz w:val="24"/>
          <w:highlight w:val="none"/>
        </w:rPr>
      </w:pPr>
      <w:r>
        <w:rPr>
          <w:rFonts w:hint="eastAsia" w:ascii="宋体"/>
          <w:color w:val="auto"/>
          <w:sz w:val="24"/>
          <w:highlight w:val="none"/>
        </w:rPr>
        <w:t>附件4：服务连续性预案</w:t>
      </w:r>
    </w:p>
    <w:p w14:paraId="2DA1EA47">
      <w:pPr>
        <w:snapToGrid w:val="0"/>
        <w:spacing w:line="520" w:lineRule="exact"/>
        <w:rPr>
          <w:rFonts w:hint="eastAsia" w:ascii="宋体"/>
          <w:color w:val="auto"/>
          <w:sz w:val="24"/>
          <w:highlight w:val="none"/>
        </w:rPr>
      </w:pPr>
    </w:p>
    <w:p w14:paraId="74FFDFE1">
      <w:pPr>
        <w:pStyle w:val="10"/>
        <w:tabs>
          <w:tab w:val="right" w:pos="0"/>
          <w:tab w:val="clear" w:pos="630"/>
          <w:tab w:val="clear" w:pos="8730"/>
        </w:tabs>
        <w:adjustRightInd w:val="0"/>
        <w:snapToGrid w:val="0"/>
        <w:spacing w:line="520" w:lineRule="exact"/>
        <w:ind w:right="16" w:firstLine="482" w:firstLineChars="200"/>
        <w:outlineLvl w:val="9"/>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第十七条  其它</w:t>
      </w:r>
    </w:p>
    <w:p w14:paraId="7427C6F8">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17.1 未经另一方的事先书面同意，任何一方不得将在本合同项下的部分或全部义务进行转让、分许可、分包。</w:t>
      </w:r>
    </w:p>
    <w:p w14:paraId="0DA4DA6C">
      <w:pPr>
        <w:pStyle w:val="10"/>
        <w:tabs>
          <w:tab w:val="right" w:pos="0"/>
          <w:tab w:val="clear" w:pos="630"/>
          <w:tab w:val="clear" w:pos="8730"/>
        </w:tabs>
        <w:adjustRightInd w:val="0"/>
        <w:snapToGrid w:val="0"/>
        <w:spacing w:line="520" w:lineRule="exact"/>
        <w:ind w:right="17"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AC6D299">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17.3 本合同一式肆份，双方各持贰份，具有同等法律效力。</w:t>
      </w:r>
    </w:p>
    <w:p w14:paraId="2A5010CE">
      <w:pPr>
        <w:pStyle w:val="10"/>
        <w:tabs>
          <w:tab w:val="right" w:pos="0"/>
          <w:tab w:val="clear" w:pos="630"/>
          <w:tab w:val="clear" w:pos="873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（以下无正文）</w:t>
      </w:r>
    </w:p>
    <w:p w14:paraId="3C58F9AB">
      <w:pPr>
        <w:snapToGrid w:val="0"/>
        <w:spacing w:line="520" w:lineRule="exact"/>
        <w:ind w:right="-288" w:firstLine="522"/>
        <w:rPr>
          <w:rFonts w:hint="eastAsia" w:ascii="宋体"/>
          <w:b/>
          <w:snapToGrid w:val="0"/>
          <w:color w:val="auto"/>
          <w:sz w:val="24"/>
          <w:highlight w:val="none"/>
        </w:rPr>
      </w:pPr>
      <w:r>
        <w:rPr>
          <w:rFonts w:hint="eastAsia" w:ascii="宋体"/>
          <w:b/>
          <w:color w:val="auto"/>
          <w:highlight w:val="none"/>
        </w:rPr>
        <w:br w:type="page"/>
      </w:r>
      <w:r>
        <w:rPr>
          <w:rFonts w:hint="eastAsia" w:ascii="宋体"/>
          <w:b/>
          <w:color w:val="auto"/>
          <w:sz w:val="24"/>
          <w:highlight w:val="none"/>
        </w:rPr>
        <w:t>（本页无正文，为编号XXXXXXXX《XXX合同》的签署页）</w:t>
      </w:r>
    </w:p>
    <w:p w14:paraId="6F9F7E86">
      <w:pPr>
        <w:snapToGrid w:val="0"/>
        <w:spacing w:line="520" w:lineRule="exact"/>
        <w:ind w:right="-288"/>
        <w:rPr>
          <w:rFonts w:hint="eastAsia" w:ascii="宋体"/>
          <w:b/>
          <w:snapToGrid w:val="0"/>
          <w:color w:val="auto"/>
          <w:sz w:val="24"/>
          <w:highlight w:val="none"/>
        </w:rPr>
      </w:pPr>
      <w:r>
        <w:rPr>
          <w:rFonts w:hint="eastAsia" w:ascii="宋体"/>
          <w:b/>
          <w:snapToGrid w:val="0"/>
          <w:color w:val="auto"/>
          <w:sz w:val="24"/>
          <w:highlight w:val="none"/>
        </w:rPr>
        <w:t>甲方：重庆三峡银行股份有限公司         乙方：XXXXXXXXX</w:t>
      </w:r>
    </w:p>
    <w:p w14:paraId="7D38FD62">
      <w:pPr>
        <w:snapToGrid w:val="0"/>
        <w:spacing w:line="520" w:lineRule="exact"/>
        <w:ind w:right="-288" w:firstLine="522"/>
        <w:rPr>
          <w:rFonts w:hint="eastAsia" w:ascii="宋体"/>
          <w:b/>
          <w:snapToGrid w:val="0"/>
          <w:color w:val="auto"/>
          <w:sz w:val="24"/>
          <w:highlight w:val="none"/>
        </w:rPr>
      </w:pPr>
    </w:p>
    <w:p w14:paraId="3F54C6C2">
      <w:pPr>
        <w:snapToGrid w:val="0"/>
        <w:spacing w:line="520" w:lineRule="exact"/>
        <w:ind w:right="-429"/>
        <w:rPr>
          <w:rFonts w:hint="eastAsia" w:ascii="宋体"/>
          <w:snapToGrid w:val="0"/>
          <w:color w:val="auto"/>
          <w:sz w:val="24"/>
          <w:highlight w:val="none"/>
          <w:u w:val="single"/>
        </w:rPr>
      </w:pPr>
      <w:r>
        <w:rPr>
          <w:rFonts w:hint="eastAsia" w:ascii="宋体"/>
          <w:snapToGrid w:val="0"/>
          <w:color w:val="auto"/>
          <w:sz w:val="24"/>
          <w:highlight w:val="none"/>
        </w:rPr>
        <w:t xml:space="preserve"> (盖章)：_____________                （盖章）：</w:t>
      </w:r>
      <w:r>
        <w:rPr>
          <w:rFonts w:hint="eastAsia" w:ascii="宋体"/>
          <w:snapToGrid w:val="0"/>
          <w:color w:val="auto"/>
          <w:sz w:val="24"/>
          <w:highlight w:val="none"/>
          <w:u w:val="single"/>
        </w:rPr>
        <w:t xml:space="preserve">            </w:t>
      </w:r>
    </w:p>
    <w:p w14:paraId="722D077B">
      <w:pPr>
        <w:snapToGrid w:val="0"/>
        <w:spacing w:line="520" w:lineRule="exact"/>
        <w:ind w:right="-429"/>
        <w:rPr>
          <w:rFonts w:hint="eastAsia" w:ascii="宋体"/>
          <w:snapToGrid w:val="0"/>
          <w:color w:val="auto"/>
          <w:sz w:val="24"/>
          <w:highlight w:val="none"/>
          <w:u w:val="single"/>
        </w:rPr>
      </w:pPr>
    </w:p>
    <w:p w14:paraId="617757EC">
      <w:pPr>
        <w:snapToGrid w:val="0"/>
        <w:spacing w:line="520" w:lineRule="exact"/>
        <w:ind w:right="-429" w:firstLine="840" w:firstLineChars="350"/>
        <w:rPr>
          <w:rFonts w:hint="eastAsia" w:ascii="宋体"/>
          <w:snapToGrid w:val="0"/>
          <w:color w:val="auto"/>
          <w:sz w:val="24"/>
          <w:highlight w:val="none"/>
        </w:rPr>
      </w:pPr>
      <w:r>
        <w:rPr>
          <w:rFonts w:hint="eastAsia" w:ascii="宋体"/>
          <w:snapToGrid w:val="0"/>
          <w:color w:val="auto"/>
          <w:sz w:val="24"/>
          <w:highlight w:val="none"/>
        </w:rPr>
        <w:t xml:space="preserve">                                日期：</w:t>
      </w:r>
    </w:p>
    <w:p w14:paraId="668A3103">
      <w:pPr>
        <w:pStyle w:val="17"/>
        <w:snapToGrid w:val="0"/>
        <w:spacing w:before="0" w:after="0" w:line="520" w:lineRule="exact"/>
        <w:jc w:val="left"/>
        <w:outlineLvl w:val="9"/>
        <w:rPr>
          <w:rFonts w:hint="eastAsia"/>
          <w:snapToGrid w:val="0"/>
          <w:color w:val="auto"/>
          <w:highlight w:val="none"/>
        </w:rPr>
      </w:pPr>
      <w:r>
        <w:rPr>
          <w:snapToGrid w:val="0"/>
          <w:color w:val="auto"/>
          <w:highlight w:val="none"/>
        </w:rPr>
        <w:br w:type="page"/>
      </w:r>
      <w:r>
        <w:rPr>
          <w:rFonts w:hint="eastAsia" w:ascii="宋体"/>
          <w:snapToGrid w:val="0"/>
          <w:color w:val="auto"/>
          <w:sz w:val="24"/>
          <w:highlight w:val="none"/>
        </w:rPr>
        <w:t>附件1</w:t>
      </w:r>
    </w:p>
    <w:p w14:paraId="19AA1C2A">
      <w:pPr>
        <w:pStyle w:val="17"/>
        <w:snapToGrid w:val="0"/>
        <w:spacing w:before="0" w:after="0" w:line="520" w:lineRule="exact"/>
        <w:outlineLvl w:val="9"/>
        <w:rPr>
          <w:rFonts w:hint="eastAsia" w:ascii="方正小标宋_GBK" w:eastAsia="方正小标宋_GBK"/>
          <w:b w:val="0"/>
          <w:snapToGrid w:val="0"/>
          <w:color w:val="auto"/>
          <w:sz w:val="40"/>
          <w:highlight w:val="none"/>
        </w:rPr>
      </w:pPr>
      <w:r>
        <w:rPr>
          <w:rFonts w:hint="eastAsia" w:ascii="方正小标宋_GBK" w:eastAsia="方正小标宋_GBK"/>
          <w:b w:val="0"/>
          <w:snapToGrid w:val="0"/>
          <w:color w:val="auto"/>
          <w:sz w:val="40"/>
          <w:highlight w:val="none"/>
        </w:rPr>
        <w:t>工作说明书</w:t>
      </w:r>
    </w:p>
    <w:p w14:paraId="2CE4DFEF">
      <w:pPr>
        <w:keepNext/>
        <w:keepLines/>
        <w:numPr>
          <w:ilvl w:val="0"/>
          <w:numId w:val="1"/>
        </w:numPr>
        <w:spacing w:before="260" w:after="260" w:line="415" w:lineRule="auto"/>
        <w:jc w:val="left"/>
        <w:outlineLvl w:val="9"/>
        <w:rPr>
          <w:rFonts w:hint="eastAsia" w:ascii="方正黑体_GBK" w:eastAsia="方正黑体_GBK"/>
          <w:bCs/>
          <w:color w:val="auto"/>
          <w:sz w:val="32"/>
          <w:szCs w:val="32"/>
          <w:highlight w:val="none"/>
        </w:rPr>
      </w:pPr>
      <w:bookmarkStart w:id="258" w:name="_Toc422127535"/>
      <w:r>
        <w:rPr>
          <w:rFonts w:hint="eastAsia" w:ascii="方正黑体_GBK" w:eastAsia="方正黑体_GBK"/>
          <w:bCs/>
          <w:color w:val="auto"/>
          <w:sz w:val="32"/>
          <w:szCs w:val="32"/>
          <w:highlight w:val="none"/>
        </w:rPr>
        <w:t xml:space="preserve"> 项目目标</w:t>
      </w:r>
    </w:p>
    <w:p w14:paraId="736CC69D">
      <w:pPr>
        <w:tabs>
          <w:tab w:val="left" w:pos="360"/>
          <w:tab w:val="left" w:pos="862"/>
        </w:tabs>
        <w:adjustRightInd w:val="0"/>
        <w:snapToGrid w:val="0"/>
        <w:spacing w:line="360" w:lineRule="auto"/>
        <w:rPr>
          <w:rFonts w:hint="eastAsia"/>
          <w:snapToGrid w:val="0"/>
          <w:color w:val="auto"/>
          <w:kern w:val="0"/>
          <w:sz w:val="24"/>
          <w:szCs w:val="24"/>
          <w:highlight w:val="none"/>
        </w:rPr>
      </w:pPr>
      <w:r>
        <w:rPr>
          <w:rFonts w:hint="eastAsia"/>
          <w:snapToGrid w:val="0"/>
          <w:color w:val="auto"/>
          <w:kern w:val="0"/>
          <w:sz w:val="24"/>
          <w:szCs w:val="24"/>
          <w:highlight w:val="none"/>
          <w:lang w:val="en-US" w:eastAsia="zh-CN"/>
        </w:rPr>
        <w:t>一是通过预评估发现我行数据管理能力短板，对标《数据管理能力成熟度评估模型》（</w:t>
      </w:r>
      <w:r>
        <w:rPr>
          <w:rFonts w:hint="eastAsia"/>
          <w:snapToGrid w:val="0"/>
          <w:color w:val="auto"/>
          <w:kern w:val="0"/>
          <w:sz w:val="24"/>
          <w:szCs w:val="24"/>
          <w:highlight w:val="none"/>
        </w:rPr>
        <w:t>GB/T 36073-2018</w:t>
      </w:r>
      <w:r>
        <w:rPr>
          <w:rFonts w:hint="eastAsia"/>
          <w:snapToGrid w:val="0"/>
          <w:color w:val="auto"/>
          <w:kern w:val="0"/>
          <w:sz w:val="24"/>
          <w:szCs w:val="24"/>
          <w:highlight w:val="none"/>
          <w:lang w:val="en-US" w:eastAsia="zh-CN"/>
        </w:rPr>
        <w:t>）和行业最佳实践进行提升，达到数据管理能力稳健级（三级）的要求。二是现场开展DCMM正式评估，通过评估审核，获得数据管理能力成熟度稳健级等级证书。三是根据国家标准《数据管理能力成熟度评估模型》（</w:t>
      </w:r>
      <w:r>
        <w:rPr>
          <w:rFonts w:hint="eastAsia"/>
          <w:snapToGrid w:val="0"/>
          <w:color w:val="auto"/>
          <w:kern w:val="0"/>
          <w:sz w:val="24"/>
          <w:szCs w:val="24"/>
          <w:highlight w:val="none"/>
        </w:rPr>
        <w:t>GB/T 36073-2018</w:t>
      </w:r>
      <w:r>
        <w:rPr>
          <w:rFonts w:hint="eastAsia"/>
          <w:snapToGrid w:val="0"/>
          <w:color w:val="auto"/>
          <w:kern w:val="0"/>
          <w:sz w:val="24"/>
          <w:szCs w:val="24"/>
          <w:highlight w:val="none"/>
          <w:lang w:val="en-US" w:eastAsia="zh-CN"/>
        </w:rPr>
        <w:t>）的要求，通过贯标培训，提升我行数据管理相关人员专业能力</w:t>
      </w:r>
      <w:r>
        <w:rPr>
          <w:rFonts w:hint="eastAsia"/>
          <w:snapToGrid w:val="0"/>
          <w:color w:val="auto"/>
          <w:kern w:val="0"/>
          <w:sz w:val="24"/>
          <w:szCs w:val="24"/>
          <w:highlight w:val="none"/>
        </w:rPr>
        <w:t>。</w:t>
      </w:r>
    </w:p>
    <w:p w14:paraId="73C853C8">
      <w:pPr>
        <w:keepNext/>
        <w:keepLines/>
        <w:spacing w:before="260" w:after="260" w:line="415" w:lineRule="auto"/>
        <w:jc w:val="left"/>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第二条  项目</w:t>
      </w:r>
      <w:bookmarkEnd w:id="258"/>
      <w:r>
        <w:rPr>
          <w:rFonts w:hint="eastAsia" w:ascii="方正黑体_GBK" w:eastAsia="方正黑体_GBK"/>
          <w:bCs/>
          <w:color w:val="auto"/>
          <w:sz w:val="32"/>
          <w:szCs w:val="32"/>
          <w:highlight w:val="none"/>
        </w:rPr>
        <w:t>范围</w:t>
      </w:r>
    </w:p>
    <w:p w14:paraId="50E22FF4">
      <w:pPr>
        <w:tabs>
          <w:tab w:val="left" w:pos="360"/>
          <w:tab w:val="left" w:pos="862"/>
        </w:tabs>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2.1</w:t>
      </w:r>
      <w:r>
        <w:rPr>
          <w:rFonts w:hint="eastAsia" w:ascii="宋体" w:cs="宋体"/>
          <w:color w:val="auto"/>
          <w:sz w:val="24"/>
          <w:highlight w:val="none"/>
          <w:lang w:val="en-US" w:eastAsia="zh-CN"/>
        </w:rPr>
        <w:t xml:space="preserve"> </w:t>
      </w:r>
      <w:r>
        <w:rPr>
          <w:rFonts w:hint="eastAsia" w:ascii="宋体" w:cs="宋体"/>
          <w:color w:val="auto"/>
          <w:sz w:val="24"/>
          <w:highlight w:val="none"/>
        </w:rPr>
        <w:t>本项目中乙方主要工作范围包括：</w:t>
      </w:r>
    </w:p>
    <w:p w14:paraId="452B5425">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2.1.1 评估准备</w:t>
      </w:r>
    </w:p>
    <w:p w14:paraId="74C8BF94">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（1）开展DCMM评估的策划工作。结合贯标评估工作做好整体工作策划，梳理各环节工作内容、参与人员及实施计划，组织专家协助与指导DCMM评估前期准备工作。</w:t>
      </w:r>
    </w:p>
    <w:p w14:paraId="5770F0C2">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2）开展DCMM评估贯标宣贯。开展DCMM贯标培训策划，邀请专家根据不同群体（总行领导层、总行员工、分支行员工等），针对DCMM贯标评估的基础知识、评估要求、资料准备等进行3天的现场专项培训。培训内容需包含数据管理能力成熟度模型整体概念介绍、评估体系介绍、针对每个能力域进行详细介绍，包含标准内容讲解和材料准备方法介绍，解读445个条款。</w:t>
      </w:r>
    </w:p>
    <w:p w14:paraId="5411B57A">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2.1.2 评估实施</w:t>
      </w:r>
    </w:p>
    <w:p w14:paraId="4A15BBEA">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1）通过预评估摸底我行数据管理能力现状。指导并开展我行数据管理能力成熟度预评估工作，组织专家指导、配合各条款的证据资料收集，对各项证据资料有效性进行检查，对标评估模型，进行预评打分，明确初步的成熟度等级，明确数据管理能力的主要提升点，形成我行数据管理能力现状分析报告。</w:t>
      </w:r>
    </w:p>
    <w:p w14:paraId="7B2C145C">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2）依据现状协助我行进行能力提升。对现状中未达标的相关项提出改进建议，并协助推进整改方案和措施落地实施，完善和提升我行数据管理能力，帮助我行达到计划申报评估等级的评估要求。针对预评估较弱能力项，提供能力提升指导，包含但不限于提供数据战略制定建议、指导数据战略推进工作报告模板制定、指导建立数据管理工作评价标准、指导建立数据模型开发规范、指导建立组织级数据集成共享规范、指导建立数据认责机制、指导建设数据质量检查模板、指导建立业务术语标准及指标标准、指导建立数据需求管理制度等。</w:t>
      </w:r>
    </w:p>
    <w:p w14:paraId="1F92640A">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3）开展DCMM现场评估工作。通过自评估、能力提升等工作的开展，完成评审资料、相关工具平台的全面现场审核，并提供核心材料的辅助补充、完善提升服务。现场评估完成后需交付现场评估过程材料，包含评估评分表等。</w:t>
      </w:r>
    </w:p>
    <w:p w14:paraId="2A1EB5D4">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（4）编写DCMM评估报告。根据前期评估实施阶段的情况，形成我行数据管理能力成熟度评分结果，并编写评估报告。</w:t>
      </w:r>
    </w:p>
    <w:p w14:paraId="1277BC2B">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2.1.3 评估申报及证书颁发</w:t>
      </w:r>
    </w:p>
    <w:p w14:paraId="60F299F7">
      <w:pPr>
        <w:tabs>
          <w:tab w:val="left" w:pos="360"/>
          <w:tab w:val="left" w:pos="862"/>
        </w:tabs>
        <w:adjustRightInd w:val="0"/>
        <w:snapToGrid w:val="0"/>
        <w:spacing w:line="360" w:lineRule="auto"/>
        <w:rPr>
          <w:rFonts w:hint="eastAsia" w:ascii="宋体" w:cs="宋体"/>
          <w:color w:val="auto"/>
          <w:sz w:val="24"/>
          <w:highlight w:val="none"/>
          <w:lang w:val="en-US" w:eastAsia="zh-CN"/>
        </w:rPr>
      </w:pPr>
      <w:r>
        <w:rPr>
          <w:rFonts w:hint="eastAsia" w:ascii="宋体" w:cs="宋体"/>
          <w:color w:val="auto"/>
          <w:sz w:val="24"/>
          <w:highlight w:val="none"/>
          <w:lang w:val="en-US" w:eastAsia="zh-CN"/>
        </w:rPr>
        <w:t>协助我行向中国电子信息行业联合会提交数据管理能力成熟度正式评估申请所需材料的准备，并完成相关申报流程。跟进中国电子信息行业联合会评议情况，并提供该过程中必要的咨询和技术指导，辅助我行获得数据管理能力成熟度三级（稳健级）证书。</w:t>
      </w:r>
    </w:p>
    <w:p w14:paraId="3F03B021">
      <w:pPr>
        <w:tabs>
          <w:tab w:val="left" w:pos="360"/>
          <w:tab w:val="left" w:pos="862"/>
        </w:tabs>
        <w:adjustRightInd w:val="0"/>
        <w:snapToGrid w:val="0"/>
        <w:spacing w:line="360" w:lineRule="auto"/>
        <w:rPr>
          <w:rFonts w:hint="eastAsia" w:ascii="宋体" w:cs="宋体"/>
          <w:color w:val="auto"/>
          <w:sz w:val="24"/>
          <w:highlight w:val="none"/>
        </w:rPr>
      </w:pPr>
      <w:r>
        <w:rPr>
          <w:rFonts w:hint="eastAsia" w:ascii="宋体" w:cs="宋体"/>
          <w:color w:val="auto"/>
          <w:sz w:val="24"/>
          <w:highlight w:val="none"/>
        </w:rPr>
        <w:t>2.2 项目实施地点</w:t>
      </w:r>
    </w:p>
    <w:p w14:paraId="378CB78A">
      <w:pPr>
        <w:tabs>
          <w:tab w:val="left" w:pos="360"/>
          <w:tab w:val="left" w:pos="862"/>
        </w:tabs>
        <w:adjustRightInd w:val="0"/>
        <w:snapToGrid w:val="0"/>
        <w:spacing w:line="360" w:lineRule="auto"/>
        <w:rPr>
          <w:rFonts w:hint="eastAsia" w:ascii="宋体" w:eastAsia="宋体" w:cs="宋体"/>
          <w:color w:val="auto"/>
          <w:sz w:val="24"/>
          <w:highlight w:val="none"/>
          <w:lang w:eastAsia="zh-CN"/>
        </w:rPr>
      </w:pPr>
      <w:r>
        <w:rPr>
          <w:snapToGrid w:val="0"/>
          <w:color w:val="auto"/>
          <w:kern w:val="0"/>
          <w:sz w:val="24"/>
          <w:szCs w:val="24"/>
          <w:highlight w:val="none"/>
        </w:rPr>
        <w:t>重庆三峡银行职场</w:t>
      </w:r>
      <w:r>
        <w:rPr>
          <w:rFonts w:hint="eastAsia"/>
          <w:snapToGrid w:val="0"/>
          <w:color w:val="auto"/>
          <w:kern w:val="0"/>
          <w:sz w:val="24"/>
          <w:szCs w:val="24"/>
          <w:highlight w:val="none"/>
          <w:lang w:eastAsia="zh-CN"/>
        </w:rPr>
        <w:t>（</w:t>
      </w:r>
      <w:r>
        <w:rPr>
          <w:snapToGrid w:val="0"/>
          <w:color w:val="auto"/>
          <w:kern w:val="0"/>
          <w:sz w:val="24"/>
          <w:szCs w:val="24"/>
          <w:highlight w:val="none"/>
        </w:rPr>
        <w:t>总行、西永信息科技部职场</w:t>
      </w:r>
      <w:r>
        <w:rPr>
          <w:rFonts w:hint="eastAsia"/>
          <w:snapToGrid w:val="0"/>
          <w:color w:val="auto"/>
          <w:kern w:val="0"/>
          <w:sz w:val="24"/>
          <w:szCs w:val="24"/>
          <w:highlight w:val="none"/>
          <w:lang w:eastAsia="zh-CN"/>
        </w:rPr>
        <w:t>）</w:t>
      </w:r>
    </w:p>
    <w:p w14:paraId="0F0325EC">
      <w:pPr>
        <w:numPr>
          <w:ilvl w:val="0"/>
          <w:numId w:val="0"/>
        </w:numPr>
        <w:tabs>
          <w:tab w:val="left" w:pos="360"/>
          <w:tab w:val="left" w:pos="862"/>
        </w:tabs>
        <w:adjustRightInd w:val="0"/>
        <w:snapToGrid w:val="0"/>
        <w:spacing w:line="360" w:lineRule="auto"/>
        <w:ind w:leftChars="200"/>
        <w:rPr>
          <w:rFonts w:hint="eastAsia" w:ascii="宋体" w:cs="宋体"/>
          <w:color w:val="auto"/>
          <w:sz w:val="24"/>
          <w:highlight w:val="none"/>
        </w:rPr>
      </w:pPr>
      <w:r>
        <w:rPr>
          <w:rFonts w:hint="eastAsia" w:ascii="宋体" w:cs="宋体"/>
          <w:color w:val="auto"/>
          <w:sz w:val="24"/>
          <w:highlight w:val="none"/>
          <w:lang w:val="en-US" w:eastAsia="zh-CN"/>
        </w:rPr>
        <w:t xml:space="preserve">2.3 </w:t>
      </w:r>
      <w:r>
        <w:rPr>
          <w:rFonts w:hint="eastAsia" w:ascii="宋体" w:cs="宋体"/>
          <w:color w:val="auto"/>
          <w:sz w:val="24"/>
          <w:highlight w:val="none"/>
        </w:rPr>
        <w:t>项目实施方式</w:t>
      </w:r>
    </w:p>
    <w:p w14:paraId="0E0478E2">
      <w:pPr>
        <w:topLinePunct/>
        <w:spacing w:line="360" w:lineRule="auto"/>
        <w:ind w:firstLine="480" w:firstLineChars="200"/>
        <w:contextualSpacing/>
        <w:rPr>
          <w:snapToGrid w:val="0"/>
          <w:color w:val="auto"/>
          <w:kern w:val="0"/>
          <w:sz w:val="24"/>
          <w:szCs w:val="24"/>
          <w:highlight w:val="none"/>
        </w:rPr>
      </w:pPr>
      <w:r>
        <w:rPr>
          <w:snapToGrid w:val="0"/>
          <w:color w:val="auto"/>
          <w:kern w:val="0"/>
          <w:sz w:val="24"/>
          <w:szCs w:val="24"/>
          <w:highlight w:val="none"/>
        </w:rPr>
        <w:t>项目采用现场和远程交替的方式实施。</w:t>
      </w:r>
    </w:p>
    <w:p w14:paraId="1348ED89">
      <w:pPr>
        <w:topLinePunct/>
        <w:spacing w:line="360" w:lineRule="auto"/>
        <w:ind w:firstLine="480" w:firstLineChars="200"/>
        <w:contextualSpacing/>
        <w:rPr>
          <w:rFonts w:hint="eastAsia" w:ascii="宋体" w:cs="宋体"/>
          <w:color w:val="auto"/>
          <w:sz w:val="24"/>
          <w:highlight w:val="none"/>
        </w:rPr>
      </w:pPr>
      <w:r>
        <w:rPr>
          <w:snapToGrid w:val="0"/>
          <w:color w:val="auto"/>
          <w:kern w:val="0"/>
          <w:sz w:val="24"/>
          <w:szCs w:val="24"/>
          <w:highlight w:val="none"/>
        </w:rPr>
        <w:t>预评估、</w:t>
      </w:r>
      <w:r>
        <w:rPr>
          <w:rFonts w:hint="eastAsia"/>
          <w:snapToGrid w:val="0"/>
          <w:color w:val="auto"/>
          <w:kern w:val="0"/>
          <w:sz w:val="24"/>
          <w:szCs w:val="24"/>
          <w:highlight w:val="none"/>
          <w:lang w:val="en-US" w:eastAsia="zh-CN"/>
        </w:rPr>
        <w:t>正式</w:t>
      </w:r>
      <w:r>
        <w:rPr>
          <w:snapToGrid w:val="0"/>
          <w:color w:val="auto"/>
          <w:kern w:val="0"/>
          <w:sz w:val="24"/>
          <w:szCs w:val="24"/>
          <w:highlight w:val="none"/>
        </w:rPr>
        <w:t>评估和培训需在现场实施。</w:t>
      </w:r>
    </w:p>
    <w:p w14:paraId="0C192994">
      <w:pPr>
        <w:keepNext/>
        <w:keepLines/>
        <w:spacing w:before="260" w:after="260" w:line="415" w:lineRule="auto"/>
        <w:jc w:val="left"/>
        <w:outlineLvl w:val="9"/>
        <w:rPr>
          <w:rFonts w:hint="eastAsia" w:ascii="方正黑体_GBK" w:eastAsia="方正黑体_GBK"/>
          <w:bCs/>
          <w:color w:val="auto"/>
          <w:sz w:val="32"/>
          <w:szCs w:val="32"/>
          <w:highlight w:val="none"/>
        </w:rPr>
      </w:pPr>
      <w:bookmarkStart w:id="259" w:name="_Toc422127542"/>
      <w:r>
        <w:rPr>
          <w:rFonts w:hint="eastAsia" w:ascii="方正黑体_GBK" w:eastAsia="方正黑体_GBK"/>
          <w:bCs/>
          <w:color w:val="auto"/>
          <w:sz w:val="32"/>
          <w:szCs w:val="32"/>
          <w:highlight w:val="none"/>
        </w:rPr>
        <w:t>第</w:t>
      </w:r>
      <w:r>
        <w:rPr>
          <w:rFonts w:hint="eastAsia" w:ascii="方正黑体_GBK" w:eastAsia="方正黑体_GBK"/>
          <w:bCs/>
          <w:color w:val="auto"/>
          <w:sz w:val="32"/>
          <w:szCs w:val="32"/>
          <w:highlight w:val="none"/>
          <w:lang w:val="en-US" w:eastAsia="zh-CN"/>
        </w:rPr>
        <w:t>三</w:t>
      </w:r>
      <w:r>
        <w:rPr>
          <w:rFonts w:hint="eastAsia" w:ascii="方正黑体_GBK" w:eastAsia="方正黑体_GBK"/>
          <w:bCs/>
          <w:color w:val="auto"/>
          <w:sz w:val="32"/>
          <w:szCs w:val="32"/>
          <w:highlight w:val="none"/>
        </w:rPr>
        <w:t>条  主要工作任务</w:t>
      </w:r>
      <w:bookmarkEnd w:id="259"/>
    </w:p>
    <w:p w14:paraId="5D116ED4">
      <w:pPr>
        <w:keepNext/>
        <w:keepLines/>
        <w:spacing w:before="260" w:after="260" w:line="415" w:lineRule="auto"/>
        <w:jc w:val="left"/>
        <w:outlineLvl w:val="9"/>
        <w:rPr>
          <w:rFonts w:hint="eastAsia" w:ascii="方正黑体_GBK" w:eastAsia="宋体"/>
          <w:bCs/>
          <w:color w:val="auto"/>
          <w:sz w:val="32"/>
          <w:szCs w:val="32"/>
          <w:highlight w:val="none"/>
          <w:lang w:val="en-US" w:eastAsia="zh-CN"/>
        </w:rPr>
      </w:pPr>
      <w:r>
        <w:rPr>
          <w:rFonts w:hint="eastAsia" w:ascii="宋体" w:cs="宋体"/>
          <w:color w:val="auto"/>
          <w:sz w:val="24"/>
          <w:highlight w:val="none"/>
          <w:lang w:val="en-US" w:eastAsia="zh-CN"/>
        </w:rPr>
        <w:t>同“</w:t>
      </w:r>
      <w:r>
        <w:rPr>
          <w:rFonts w:hint="eastAsia" w:ascii="宋体" w:cs="宋体"/>
          <w:color w:val="auto"/>
          <w:sz w:val="24"/>
          <w:highlight w:val="none"/>
        </w:rPr>
        <w:t>2.1</w:t>
      </w:r>
      <w:r>
        <w:rPr>
          <w:rFonts w:hint="eastAsia" w:ascii="宋体" w:cs="宋体"/>
          <w:color w:val="auto"/>
          <w:sz w:val="24"/>
          <w:highlight w:val="none"/>
          <w:lang w:val="en-US" w:eastAsia="zh-CN"/>
        </w:rPr>
        <w:t xml:space="preserve"> </w:t>
      </w:r>
      <w:r>
        <w:rPr>
          <w:rFonts w:hint="eastAsia" w:ascii="宋体" w:cs="宋体"/>
          <w:color w:val="auto"/>
          <w:sz w:val="24"/>
          <w:highlight w:val="none"/>
        </w:rPr>
        <w:t>本项目中乙方主要工作范围</w:t>
      </w:r>
      <w:r>
        <w:rPr>
          <w:rFonts w:hint="eastAsia" w:ascii="宋体" w:cs="宋体"/>
          <w:color w:val="auto"/>
          <w:sz w:val="24"/>
          <w:highlight w:val="none"/>
          <w:lang w:eastAsia="zh-CN"/>
        </w:rPr>
        <w:t>”</w:t>
      </w:r>
    </w:p>
    <w:p w14:paraId="4DCA418A">
      <w:pPr>
        <w:keepNext/>
        <w:keepLines/>
        <w:spacing w:before="260" w:after="260" w:line="415" w:lineRule="auto"/>
        <w:jc w:val="left"/>
        <w:outlineLvl w:val="9"/>
        <w:rPr>
          <w:rFonts w:hint="eastAsia" w:ascii="方正黑体_GBK" w:eastAsia="方正黑体_GBK"/>
          <w:bCs/>
          <w:color w:val="auto"/>
          <w:sz w:val="32"/>
          <w:szCs w:val="32"/>
          <w:highlight w:val="none"/>
        </w:rPr>
      </w:pPr>
      <w:bookmarkStart w:id="260" w:name="_Toc422127550"/>
      <w:r>
        <w:rPr>
          <w:rFonts w:hint="eastAsia" w:ascii="方正黑体_GBK" w:eastAsia="方正黑体_GBK"/>
          <w:bCs/>
          <w:color w:val="auto"/>
          <w:sz w:val="32"/>
          <w:szCs w:val="32"/>
          <w:highlight w:val="none"/>
        </w:rPr>
        <w:t>第</w:t>
      </w:r>
      <w:r>
        <w:rPr>
          <w:rFonts w:hint="eastAsia" w:ascii="方正黑体_GBK" w:eastAsia="方正黑体_GBK"/>
          <w:bCs/>
          <w:color w:val="auto"/>
          <w:sz w:val="32"/>
          <w:szCs w:val="32"/>
          <w:highlight w:val="none"/>
          <w:lang w:val="en-US" w:eastAsia="zh-CN"/>
        </w:rPr>
        <w:t>四</w:t>
      </w:r>
      <w:r>
        <w:rPr>
          <w:rFonts w:hint="eastAsia" w:ascii="方正黑体_GBK" w:eastAsia="方正黑体_GBK"/>
          <w:bCs/>
          <w:color w:val="auto"/>
          <w:sz w:val="32"/>
          <w:szCs w:val="32"/>
          <w:highlight w:val="none"/>
        </w:rPr>
        <w:t>条  项目组织结构</w:t>
      </w:r>
      <w:bookmarkEnd w:id="260"/>
    </w:p>
    <w:tbl>
      <w:tblPr>
        <w:tblStyle w:val="1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564C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55293B49">
            <w:pPr>
              <w:spacing w:line="360" w:lineRule="auto"/>
              <w:ind w:firstLine="0" w:firstLineChars="0"/>
              <w:jc w:val="both"/>
              <w:rPr>
                <w:rFonts w:hint="eastAsia" w:ascii="宋体"/>
                <w:b/>
                <w:color w:val="auto"/>
                <w:szCs w:val="21"/>
                <w:highlight w:val="none"/>
              </w:rPr>
            </w:pPr>
            <w:r>
              <w:rPr>
                <w:rFonts w:hint="eastAsia" w:ascii="宋体"/>
                <w:b/>
                <w:color w:val="auto"/>
                <w:szCs w:val="21"/>
                <w:highlight w:val="none"/>
              </w:rPr>
              <w:t>序号</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9D3D010">
            <w:pPr>
              <w:spacing w:line="360" w:lineRule="auto"/>
              <w:ind w:firstLine="0" w:firstLineChars="0"/>
              <w:jc w:val="center"/>
              <w:rPr>
                <w:rFonts w:hint="eastAsia" w:ascii="宋体" w:cs="宋体"/>
                <w:b/>
                <w:color w:val="auto"/>
                <w:szCs w:val="21"/>
                <w:highlight w:val="none"/>
              </w:rPr>
            </w:pPr>
            <w:r>
              <w:rPr>
                <w:rFonts w:hint="eastAsia" w:ascii="宋体" w:cs="宋体"/>
                <w:b/>
                <w:color w:val="auto"/>
                <w:szCs w:val="21"/>
                <w:highlight w:val="none"/>
              </w:rPr>
              <w:t>项目角色</w:t>
            </w:r>
          </w:p>
        </w:tc>
        <w:tc>
          <w:tcPr>
            <w:tcW w:w="4521" w:type="dxa"/>
            <w:tcBorders>
              <w:top w:val="single" w:color="auto" w:sz="4" w:space="0"/>
              <w:left w:val="single" w:color="auto" w:sz="4" w:space="0"/>
              <w:bottom w:val="single" w:color="auto" w:sz="4" w:space="0"/>
              <w:right w:val="single" w:color="auto" w:sz="4" w:space="0"/>
            </w:tcBorders>
            <w:noWrap w:val="0"/>
            <w:vAlign w:val="center"/>
          </w:tcPr>
          <w:p w14:paraId="2430ABCE">
            <w:pPr>
              <w:spacing w:line="360" w:lineRule="auto"/>
              <w:jc w:val="center"/>
              <w:rPr>
                <w:rFonts w:hint="eastAsia" w:ascii="宋体"/>
                <w:b/>
                <w:color w:val="auto"/>
                <w:szCs w:val="21"/>
                <w:highlight w:val="none"/>
              </w:rPr>
            </w:pPr>
            <w:r>
              <w:rPr>
                <w:rFonts w:hint="eastAsia" w:ascii="宋体" w:cs="宋体"/>
                <w:b/>
                <w:color w:val="auto"/>
                <w:szCs w:val="21"/>
                <w:highlight w:val="none"/>
              </w:rPr>
              <w:t>职务说明</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A6054FA">
            <w:pPr>
              <w:spacing w:line="360" w:lineRule="auto"/>
              <w:jc w:val="center"/>
              <w:rPr>
                <w:rFonts w:hint="eastAsia" w:ascii="宋体" w:cs="宋体"/>
                <w:b/>
                <w:color w:val="auto"/>
                <w:szCs w:val="21"/>
                <w:highlight w:val="none"/>
              </w:rPr>
            </w:pPr>
            <w:r>
              <w:rPr>
                <w:rFonts w:hint="eastAsia" w:ascii="宋体"/>
                <w:b/>
                <w:color w:val="auto"/>
                <w:szCs w:val="21"/>
                <w:highlight w:val="none"/>
              </w:rPr>
              <w:t>姓名</w:t>
            </w:r>
          </w:p>
        </w:tc>
      </w:tr>
      <w:tr w14:paraId="1EB9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7A306FDE">
            <w:pPr>
              <w:numPr>
                <w:ilvl w:val="-1"/>
                <w:numId w:val="0"/>
              </w:numPr>
              <w:spacing w:line="360" w:lineRule="auto"/>
              <w:ind w:left="0" w:leftChars="0" w:firstLine="0" w:firstLineChars="0"/>
              <w:jc w:val="both"/>
              <w:rPr>
                <w:rFonts w:hint="eastAsia" w:ascii="宋体" w:eastAsia="宋体"/>
                <w:color w:val="auto"/>
                <w:szCs w:val="21"/>
                <w:highlight w:val="none"/>
                <w:lang w:val="en-US" w:eastAsia="zh-CN"/>
              </w:rPr>
            </w:pPr>
            <w:r>
              <w:rPr>
                <w:rFonts w:hint="eastAsia" w:ascii="宋体"/>
                <w:color w:val="auto"/>
                <w:szCs w:val="21"/>
                <w:highlight w:val="none"/>
                <w:lang w:val="en-US" w:eastAsia="zh-CN"/>
              </w:rPr>
              <w:t>1</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5CF02AF">
            <w:pPr>
              <w:spacing w:line="360" w:lineRule="auto"/>
              <w:ind w:firstLine="0" w:firstLineChars="0"/>
              <w:jc w:val="center"/>
              <w:rPr>
                <w:rFonts w:hint="eastAsia" w:ascii="宋体"/>
                <w:color w:val="auto"/>
                <w:szCs w:val="21"/>
                <w:highlight w:val="none"/>
              </w:rPr>
            </w:pPr>
            <w:r>
              <w:rPr>
                <w:rFonts w:hint="eastAsia" w:ascii="宋体"/>
                <w:color w:val="auto"/>
                <w:szCs w:val="21"/>
                <w:highlight w:val="none"/>
              </w:rPr>
              <w:t>项目经理</w:t>
            </w:r>
          </w:p>
        </w:tc>
        <w:tc>
          <w:tcPr>
            <w:tcW w:w="4521" w:type="dxa"/>
            <w:tcBorders>
              <w:top w:val="single" w:color="auto" w:sz="4" w:space="0"/>
              <w:left w:val="single" w:color="auto" w:sz="4" w:space="0"/>
              <w:bottom w:val="single" w:color="auto" w:sz="4" w:space="0"/>
              <w:right w:val="single" w:color="auto" w:sz="4" w:space="0"/>
            </w:tcBorders>
            <w:noWrap w:val="0"/>
            <w:vAlign w:val="center"/>
          </w:tcPr>
          <w:p w14:paraId="7428BCC7">
            <w:pPr>
              <w:spacing w:line="360" w:lineRule="auto"/>
              <w:ind w:firstLine="0" w:firstLineChars="0"/>
              <w:rPr>
                <w:rFonts w:hint="eastAsia" w:ascii="宋体"/>
                <w:color w:val="auto"/>
                <w:szCs w:val="21"/>
                <w:highlight w:val="none"/>
              </w:rPr>
            </w:pPr>
            <w:r>
              <w:rPr>
                <w:rFonts w:hint="eastAsia" w:ascii="宋体"/>
                <w:color w:val="auto"/>
                <w:szCs w:val="21"/>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A21F524">
            <w:pPr>
              <w:spacing w:line="360" w:lineRule="auto"/>
              <w:jc w:val="center"/>
              <w:rPr>
                <w:rFonts w:hint="eastAsia" w:ascii="宋体"/>
                <w:color w:val="auto"/>
                <w:szCs w:val="21"/>
                <w:highlight w:val="none"/>
              </w:rPr>
            </w:pPr>
          </w:p>
        </w:tc>
      </w:tr>
      <w:tr w14:paraId="087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3DE8E483">
            <w:pPr>
              <w:numPr>
                <w:ilvl w:val="-1"/>
                <w:numId w:val="0"/>
              </w:numPr>
              <w:spacing w:line="360" w:lineRule="auto"/>
              <w:ind w:left="0" w:leftChars="0" w:firstLine="0" w:firstLineChars="0"/>
              <w:jc w:val="both"/>
              <w:rPr>
                <w:rFonts w:hint="default" w:ascii="宋体"/>
                <w:color w:val="auto"/>
                <w:szCs w:val="21"/>
                <w:highlight w:val="none"/>
                <w:lang w:val="en-US"/>
              </w:rPr>
            </w:pPr>
            <w:r>
              <w:rPr>
                <w:rFonts w:hint="eastAsia" w:ascii="宋体"/>
                <w:color w:val="auto"/>
                <w:szCs w:val="21"/>
                <w:highlight w:val="none"/>
                <w:lang w:val="en-US" w:eastAsia="zh-CN"/>
              </w:rPr>
              <w:t>2</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F31605B">
            <w:pPr>
              <w:spacing w:line="360" w:lineRule="auto"/>
              <w:ind w:firstLine="0" w:firstLineChars="0"/>
              <w:jc w:val="center"/>
              <w:rPr>
                <w:rFonts w:hint="eastAsia" w:ascii="宋体" w:eastAsia="宋体" w:cs="宋体"/>
                <w:color w:val="auto"/>
                <w:szCs w:val="21"/>
                <w:highlight w:val="none"/>
                <w:lang w:val="en-US" w:eastAsia="zh-CN"/>
              </w:rPr>
            </w:pPr>
            <w:r>
              <w:rPr>
                <w:rFonts w:hint="eastAsia" w:ascii="宋体"/>
                <w:color w:val="auto"/>
                <w:szCs w:val="21"/>
                <w:highlight w:val="none"/>
                <w:lang w:val="en-US" w:eastAsia="zh-CN"/>
              </w:rPr>
              <w:t>咨询专家</w:t>
            </w:r>
          </w:p>
        </w:tc>
        <w:tc>
          <w:tcPr>
            <w:tcW w:w="4521" w:type="dxa"/>
            <w:tcBorders>
              <w:top w:val="single" w:color="auto" w:sz="4" w:space="0"/>
              <w:left w:val="single" w:color="auto" w:sz="4" w:space="0"/>
              <w:bottom w:val="single" w:color="auto" w:sz="4" w:space="0"/>
              <w:right w:val="single" w:color="auto" w:sz="4" w:space="0"/>
            </w:tcBorders>
            <w:noWrap w:val="0"/>
            <w:vAlign w:val="center"/>
          </w:tcPr>
          <w:p w14:paraId="645F9A8E">
            <w:pPr>
              <w:spacing w:line="360" w:lineRule="auto"/>
              <w:ind w:firstLine="0" w:firstLineChars="0"/>
              <w:rPr>
                <w:rFonts w:hint="eastAsia" w:ascii="宋体"/>
                <w:color w:val="auto"/>
                <w:szCs w:val="21"/>
                <w:highlight w:val="none"/>
              </w:rPr>
            </w:pPr>
            <w:r>
              <w:rPr>
                <w:rFonts w:hint="eastAsia" w:ascii="宋体"/>
                <w:color w:val="auto"/>
                <w:szCs w:val="21"/>
                <w:highlight w:val="none"/>
              </w:rPr>
              <w:t>提供评估过程中的政策解读、宣贯培训和能力提升过程中的咨询和技术指导</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2897BF2B">
            <w:pPr>
              <w:spacing w:line="360" w:lineRule="auto"/>
              <w:jc w:val="center"/>
              <w:rPr>
                <w:rFonts w:hint="eastAsia" w:ascii="宋体"/>
                <w:color w:val="auto"/>
                <w:szCs w:val="21"/>
                <w:highlight w:val="none"/>
              </w:rPr>
            </w:pPr>
          </w:p>
        </w:tc>
      </w:tr>
      <w:tr w14:paraId="3AEA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7E3B1AB7">
            <w:pPr>
              <w:numPr>
                <w:ilvl w:val="-1"/>
                <w:numId w:val="0"/>
              </w:numPr>
              <w:spacing w:line="360" w:lineRule="auto"/>
              <w:ind w:left="0" w:leftChars="0" w:firstLine="0" w:firstLineChars="0"/>
              <w:jc w:val="both"/>
              <w:rPr>
                <w:rFonts w:hint="eastAsia" w:ascii="宋体" w:eastAsia="宋体"/>
                <w:color w:val="auto"/>
                <w:szCs w:val="21"/>
                <w:highlight w:val="none"/>
                <w:lang w:val="en-US" w:eastAsia="zh-CN"/>
              </w:rPr>
            </w:pPr>
            <w:r>
              <w:rPr>
                <w:rFonts w:hint="eastAsia" w:ascii="宋体"/>
                <w:color w:val="auto"/>
                <w:szCs w:val="21"/>
                <w:highlight w:val="none"/>
                <w:lang w:val="en-US" w:eastAsia="zh-CN"/>
              </w:rPr>
              <w:t>3</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57FD493">
            <w:pPr>
              <w:spacing w:line="360" w:lineRule="auto"/>
              <w:ind w:firstLine="0" w:firstLineChars="0"/>
              <w:jc w:val="center"/>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中级评估师</w:t>
            </w:r>
          </w:p>
        </w:tc>
        <w:tc>
          <w:tcPr>
            <w:tcW w:w="4521" w:type="dxa"/>
            <w:tcBorders>
              <w:top w:val="single" w:color="auto" w:sz="4" w:space="0"/>
              <w:left w:val="single" w:color="auto" w:sz="4" w:space="0"/>
              <w:bottom w:val="single" w:color="auto" w:sz="4" w:space="0"/>
              <w:right w:val="single" w:color="auto" w:sz="4" w:space="0"/>
            </w:tcBorders>
            <w:noWrap w:val="0"/>
            <w:vAlign w:val="center"/>
          </w:tcPr>
          <w:p w14:paraId="08FD21A7">
            <w:pPr>
              <w:spacing w:line="360" w:lineRule="auto"/>
              <w:ind w:firstLine="0" w:firstLineChars="0"/>
              <w:rPr>
                <w:rFonts w:hint="eastAsia" w:ascii="宋体"/>
                <w:color w:val="auto"/>
                <w:szCs w:val="21"/>
                <w:highlight w:val="none"/>
              </w:rPr>
            </w:pPr>
            <w:r>
              <w:rPr>
                <w:rFonts w:hint="eastAsia" w:ascii="宋体"/>
                <w:color w:val="auto"/>
                <w:szCs w:val="21"/>
                <w:highlight w:val="none"/>
              </w:rPr>
              <w:t>完成项目整体评估实施过程中的咨询和技术支撑</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000011E">
            <w:pPr>
              <w:spacing w:line="360" w:lineRule="auto"/>
              <w:jc w:val="center"/>
              <w:rPr>
                <w:rFonts w:hint="eastAsia" w:ascii="宋体" w:cs="宋体"/>
                <w:color w:val="auto"/>
                <w:szCs w:val="21"/>
                <w:highlight w:val="none"/>
              </w:rPr>
            </w:pPr>
          </w:p>
        </w:tc>
      </w:tr>
      <w:tr w14:paraId="70CB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0"/>
            <w:vAlign w:val="center"/>
          </w:tcPr>
          <w:p w14:paraId="23761969">
            <w:pPr>
              <w:numPr>
                <w:ilvl w:val="-1"/>
                <w:numId w:val="0"/>
              </w:numPr>
              <w:spacing w:line="360" w:lineRule="auto"/>
              <w:ind w:left="0" w:leftChars="0" w:firstLine="0" w:firstLineChars="0"/>
              <w:jc w:val="both"/>
              <w:rPr>
                <w:rFonts w:hint="eastAsia" w:ascii="宋体" w:eastAsia="宋体"/>
                <w:color w:val="auto"/>
                <w:szCs w:val="21"/>
                <w:highlight w:val="none"/>
                <w:lang w:val="en-US" w:eastAsia="zh-CN"/>
              </w:rPr>
            </w:pPr>
            <w:r>
              <w:rPr>
                <w:rFonts w:hint="eastAsia" w:ascii="宋体"/>
                <w:color w:val="auto"/>
                <w:szCs w:val="21"/>
                <w:highlight w:val="none"/>
                <w:lang w:val="en-US" w:eastAsia="zh-CN"/>
              </w:rPr>
              <w:t>4</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7D76E60">
            <w:pPr>
              <w:spacing w:line="360" w:lineRule="auto"/>
              <w:ind w:left="0" w:leftChars="0" w:firstLine="0" w:firstLineChars="0"/>
              <w:jc w:val="center"/>
              <w:rPr>
                <w:rFonts w:hint="eastAsia" w:ascii="宋体" w:eastAsia="宋体" w:cs="宋体"/>
                <w:color w:val="auto"/>
                <w:szCs w:val="21"/>
                <w:highlight w:val="none"/>
                <w:lang w:val="en-US" w:eastAsia="zh-CN"/>
              </w:rPr>
            </w:pPr>
            <w:r>
              <w:rPr>
                <w:rFonts w:hint="eastAsia" w:ascii="宋体" w:cs="宋体"/>
                <w:color w:val="auto"/>
                <w:szCs w:val="21"/>
                <w:highlight w:val="none"/>
                <w:lang w:val="en-US" w:eastAsia="zh-CN"/>
              </w:rPr>
              <w:t>初级评估师</w:t>
            </w:r>
          </w:p>
        </w:tc>
        <w:tc>
          <w:tcPr>
            <w:tcW w:w="4521" w:type="dxa"/>
            <w:tcBorders>
              <w:top w:val="single" w:color="auto" w:sz="4" w:space="0"/>
              <w:left w:val="single" w:color="auto" w:sz="4" w:space="0"/>
              <w:bottom w:val="single" w:color="auto" w:sz="4" w:space="0"/>
              <w:right w:val="single" w:color="auto" w:sz="4" w:space="0"/>
            </w:tcBorders>
            <w:noWrap w:val="0"/>
            <w:vAlign w:val="center"/>
          </w:tcPr>
          <w:p w14:paraId="1AC74127">
            <w:pPr>
              <w:spacing w:line="360" w:lineRule="auto"/>
              <w:ind w:left="0" w:leftChars="0" w:firstLine="0" w:firstLineChars="0"/>
              <w:rPr>
                <w:rFonts w:hint="eastAsia" w:ascii="宋体"/>
                <w:color w:val="auto"/>
                <w:szCs w:val="21"/>
                <w:highlight w:val="none"/>
              </w:rPr>
            </w:pPr>
            <w:r>
              <w:rPr>
                <w:rFonts w:hint="eastAsia" w:ascii="宋体"/>
                <w:color w:val="auto"/>
                <w:szCs w:val="21"/>
                <w:highlight w:val="none"/>
              </w:rPr>
              <w:t>配合实施过程中的资料收集、整理、申报材料准备等工作</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926D990">
            <w:pPr>
              <w:spacing w:line="360" w:lineRule="auto"/>
              <w:jc w:val="center"/>
              <w:rPr>
                <w:rFonts w:hint="eastAsia" w:ascii="宋体"/>
                <w:color w:val="auto"/>
                <w:szCs w:val="21"/>
                <w:highlight w:val="none"/>
              </w:rPr>
            </w:pPr>
          </w:p>
        </w:tc>
      </w:tr>
    </w:tbl>
    <w:p w14:paraId="6B409DFC">
      <w:pPr>
        <w:rPr>
          <w:rFonts w:hint="eastAsia" w:ascii="仿宋" w:eastAsia="仿宋"/>
          <w:color w:val="auto"/>
          <w:sz w:val="28"/>
          <w:szCs w:val="28"/>
          <w:highlight w:val="none"/>
        </w:rPr>
      </w:pPr>
    </w:p>
    <w:p w14:paraId="04C9EE78">
      <w:pPr>
        <w:keepNext/>
        <w:keepLines/>
        <w:spacing w:before="260" w:after="260" w:line="415" w:lineRule="auto"/>
        <w:jc w:val="left"/>
        <w:outlineLvl w:val="9"/>
        <w:rPr>
          <w:rFonts w:hint="eastAsia" w:ascii="方正黑体_GBK" w:eastAsia="方正黑体_GBK"/>
          <w:bCs/>
          <w:color w:val="auto"/>
          <w:sz w:val="32"/>
          <w:szCs w:val="32"/>
          <w:highlight w:val="none"/>
        </w:rPr>
      </w:pPr>
      <w:bookmarkStart w:id="261" w:name="_Toc422127553"/>
      <w:r>
        <w:rPr>
          <w:rFonts w:hint="eastAsia" w:ascii="方正黑体_GBK" w:eastAsia="方正黑体_GBK"/>
          <w:bCs/>
          <w:color w:val="auto"/>
          <w:sz w:val="32"/>
          <w:szCs w:val="32"/>
          <w:highlight w:val="none"/>
        </w:rPr>
        <w:t>第</w:t>
      </w:r>
      <w:r>
        <w:rPr>
          <w:rFonts w:hint="eastAsia" w:ascii="方正黑体_GBK" w:eastAsia="方正黑体_GBK"/>
          <w:bCs/>
          <w:color w:val="auto"/>
          <w:sz w:val="32"/>
          <w:szCs w:val="32"/>
          <w:highlight w:val="none"/>
          <w:lang w:val="en-US" w:eastAsia="zh-CN"/>
        </w:rPr>
        <w:t>五</w:t>
      </w:r>
      <w:r>
        <w:rPr>
          <w:rFonts w:hint="eastAsia" w:ascii="方正黑体_GBK" w:eastAsia="方正黑体_GBK"/>
          <w:bCs/>
          <w:color w:val="auto"/>
          <w:sz w:val="32"/>
          <w:szCs w:val="32"/>
          <w:highlight w:val="none"/>
        </w:rPr>
        <w:t>条 项目实施进度计划</w:t>
      </w:r>
      <w:bookmarkEnd w:id="261"/>
    </w:p>
    <w:p w14:paraId="7E7D029C">
      <w:pPr>
        <w:bidi w:val="0"/>
        <w:rPr>
          <w:rFonts w:hint="default"/>
          <w:color w:val="auto"/>
          <w:highlight w:val="none"/>
          <w:lang w:val="en-US" w:eastAsia="zh-CN"/>
        </w:rPr>
      </w:pPr>
      <w:r>
        <w:rPr>
          <w:rFonts w:hint="default"/>
          <w:color w:val="auto"/>
          <w:highlight w:val="none"/>
          <w:lang w:val="en-US" w:eastAsia="zh-CN"/>
        </w:rPr>
        <w:t>签订合同后6个月内完成项目的实施工作，具体周期要求如下，最终项目计划以最终</w:t>
      </w:r>
      <w:r>
        <w:rPr>
          <w:rFonts w:hint="eastAsia"/>
          <w:color w:val="auto"/>
          <w:highlight w:val="none"/>
          <w:lang w:val="en-US" w:eastAsia="zh-CN"/>
        </w:rPr>
        <w:t>中选人</w:t>
      </w:r>
      <w:r>
        <w:rPr>
          <w:rFonts w:hint="default"/>
          <w:color w:val="auto"/>
          <w:highlight w:val="none"/>
          <w:lang w:val="en-US" w:eastAsia="zh-CN"/>
        </w:rPr>
        <w:t>入场后与行方共同制定的实施计划为准：</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4961"/>
        <w:gridCol w:w="2035"/>
      </w:tblGrid>
      <w:tr w14:paraId="029A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526" w:type="dxa"/>
            <w:shd w:val="clear" w:color="auto" w:fill="D9D9D9"/>
            <w:noWrap w:val="0"/>
            <w:vAlign w:val="top"/>
          </w:tcPr>
          <w:p w14:paraId="5414BF89">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需求领域</w:t>
            </w:r>
          </w:p>
        </w:tc>
        <w:tc>
          <w:tcPr>
            <w:tcW w:w="4961" w:type="dxa"/>
            <w:shd w:val="clear" w:color="auto" w:fill="D9D9D9"/>
            <w:noWrap w:val="0"/>
            <w:vAlign w:val="top"/>
          </w:tcPr>
          <w:p w14:paraId="5EEE6F49">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工作任务</w:t>
            </w:r>
          </w:p>
        </w:tc>
        <w:tc>
          <w:tcPr>
            <w:tcW w:w="2035" w:type="dxa"/>
            <w:shd w:val="clear" w:color="auto" w:fill="D9D9D9"/>
            <w:noWrap w:val="0"/>
            <w:vAlign w:val="top"/>
          </w:tcPr>
          <w:p w14:paraId="16095335">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预计周期</w:t>
            </w:r>
          </w:p>
        </w:tc>
      </w:tr>
      <w:tr w14:paraId="6F82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restart"/>
            <w:noWrap w:val="0"/>
            <w:vAlign w:val="center"/>
          </w:tcPr>
          <w:p w14:paraId="767C263D">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评估准备</w:t>
            </w:r>
          </w:p>
        </w:tc>
        <w:tc>
          <w:tcPr>
            <w:tcW w:w="4961" w:type="dxa"/>
            <w:noWrap w:val="0"/>
            <w:vAlign w:val="center"/>
          </w:tcPr>
          <w:p w14:paraId="3BF6A6AC">
            <w:pPr>
              <w:ind w:firstLine="0" w:firstLineChars="0"/>
              <w:rPr>
                <w:rFonts w:hint="eastAsia" w:ascii="方正仿宋_GBK" w:eastAsia="方正仿宋_GBK"/>
                <w:color w:val="auto"/>
                <w:sz w:val="22"/>
                <w:szCs w:val="32"/>
                <w:highlight w:val="none"/>
              </w:rPr>
            </w:pPr>
            <w:r>
              <w:rPr>
                <w:rFonts w:hint="eastAsia" w:ascii="方正仿宋_GBK" w:hAnsi="宋体" w:eastAsia="方正仿宋_GBK" w:cs="Arial"/>
                <w:color w:val="auto"/>
                <w:kern w:val="0"/>
                <w:sz w:val="22"/>
                <w:szCs w:val="32"/>
                <w:highlight w:val="none"/>
              </w:rPr>
              <w:t>开展DCMM评估的策划工作</w:t>
            </w:r>
          </w:p>
        </w:tc>
        <w:tc>
          <w:tcPr>
            <w:tcW w:w="2035" w:type="dxa"/>
            <w:vMerge w:val="restart"/>
            <w:noWrap w:val="0"/>
            <w:vAlign w:val="center"/>
          </w:tcPr>
          <w:p w14:paraId="505230EF">
            <w:pPr>
              <w:ind w:firstLine="0" w:firstLineChars="0"/>
              <w:jc w:val="both"/>
              <w:rPr>
                <w:rFonts w:hint="eastAsia" w:ascii="方正仿宋_GBK" w:eastAsia="方正仿宋_GBK"/>
                <w:color w:val="auto"/>
                <w:sz w:val="28"/>
                <w:szCs w:val="32"/>
                <w:highlight w:val="none"/>
              </w:rPr>
            </w:pPr>
            <w:r>
              <w:rPr>
                <w:rFonts w:hint="eastAsia" w:ascii="方正仿宋_GBK" w:hAnsi="宋体" w:eastAsia="方正仿宋_GBK" w:cs="Arial"/>
                <w:color w:val="auto"/>
                <w:kern w:val="0"/>
                <w:sz w:val="22"/>
                <w:szCs w:val="32"/>
                <w:highlight w:val="none"/>
              </w:rPr>
              <w:t>T+0.5个月</w:t>
            </w:r>
          </w:p>
        </w:tc>
      </w:tr>
      <w:tr w14:paraId="1E6EC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26" w:type="dxa"/>
            <w:vMerge w:val="continue"/>
            <w:noWrap w:val="0"/>
            <w:vAlign w:val="center"/>
          </w:tcPr>
          <w:p w14:paraId="6DE00F36">
            <w:pPr>
              <w:rPr>
                <w:rFonts w:hint="eastAsia" w:ascii="方正仿宋_GBK" w:eastAsia="方正仿宋_GBK"/>
                <w:color w:val="auto"/>
                <w:sz w:val="22"/>
                <w:szCs w:val="32"/>
                <w:highlight w:val="none"/>
              </w:rPr>
            </w:pPr>
          </w:p>
        </w:tc>
        <w:tc>
          <w:tcPr>
            <w:tcW w:w="4961" w:type="dxa"/>
            <w:noWrap w:val="0"/>
            <w:vAlign w:val="center"/>
          </w:tcPr>
          <w:p w14:paraId="01C784BE">
            <w:pPr>
              <w:ind w:firstLine="0" w:firstLineChars="0"/>
              <w:rPr>
                <w:rFonts w:hint="eastAsia" w:ascii="方正仿宋_GBK" w:eastAsia="方正仿宋_GBK"/>
                <w:color w:val="auto"/>
                <w:sz w:val="22"/>
                <w:szCs w:val="32"/>
                <w:highlight w:val="none"/>
                <w:lang w:val="en-US" w:eastAsia="zh-CN"/>
              </w:rPr>
            </w:pPr>
            <w:r>
              <w:rPr>
                <w:rFonts w:hint="eastAsia" w:ascii="方正仿宋_GBK" w:hAnsi="宋体" w:eastAsia="方正仿宋_GBK" w:cs="Arial"/>
                <w:color w:val="auto"/>
                <w:kern w:val="0"/>
                <w:sz w:val="22"/>
                <w:szCs w:val="32"/>
                <w:highlight w:val="none"/>
              </w:rPr>
              <w:t>开展DCMM评估贯标宣贯</w:t>
            </w:r>
            <w:r>
              <w:rPr>
                <w:rFonts w:hint="eastAsia" w:ascii="方正仿宋_GBK" w:hAnsi="宋体" w:eastAsia="方正仿宋_GBK" w:cs="Arial"/>
                <w:color w:val="auto"/>
                <w:kern w:val="0"/>
                <w:sz w:val="22"/>
                <w:szCs w:val="32"/>
                <w:highlight w:val="none"/>
                <w:lang w:val="en-US" w:eastAsia="zh-CN"/>
              </w:rPr>
              <w:t>培训</w:t>
            </w:r>
          </w:p>
        </w:tc>
        <w:tc>
          <w:tcPr>
            <w:tcW w:w="2035" w:type="dxa"/>
            <w:vMerge w:val="continue"/>
            <w:noWrap w:val="0"/>
            <w:vAlign w:val="top"/>
          </w:tcPr>
          <w:p w14:paraId="0B70A28E">
            <w:pPr>
              <w:rPr>
                <w:rFonts w:hint="eastAsia" w:ascii="方正仿宋_GBK" w:eastAsia="方正仿宋_GBK"/>
                <w:color w:val="auto"/>
                <w:sz w:val="28"/>
                <w:szCs w:val="32"/>
                <w:highlight w:val="none"/>
              </w:rPr>
            </w:pPr>
          </w:p>
        </w:tc>
      </w:tr>
      <w:tr w14:paraId="6391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526" w:type="dxa"/>
            <w:vMerge w:val="restart"/>
            <w:noWrap w:val="0"/>
            <w:vAlign w:val="center"/>
          </w:tcPr>
          <w:p w14:paraId="1C27AE33">
            <w:pPr>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评估实施</w:t>
            </w:r>
          </w:p>
        </w:tc>
        <w:tc>
          <w:tcPr>
            <w:tcW w:w="4961" w:type="dxa"/>
            <w:noWrap w:val="0"/>
            <w:vAlign w:val="center"/>
          </w:tcPr>
          <w:p w14:paraId="62B1629F">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通过</w:t>
            </w:r>
            <w:r>
              <w:rPr>
                <w:rFonts w:hint="eastAsia" w:ascii="方正仿宋_GBK" w:hAnsi="宋体" w:eastAsia="方正仿宋_GBK" w:cs="Arial"/>
                <w:color w:val="auto"/>
                <w:kern w:val="0"/>
                <w:sz w:val="22"/>
                <w:szCs w:val="32"/>
                <w:highlight w:val="none"/>
                <w:lang w:val="en-US" w:eastAsia="zh-CN"/>
              </w:rPr>
              <w:t>预</w:t>
            </w:r>
            <w:r>
              <w:rPr>
                <w:rFonts w:hint="eastAsia" w:ascii="方正仿宋_GBK" w:hAnsi="宋体" w:eastAsia="方正仿宋_GBK" w:cs="Arial"/>
                <w:color w:val="auto"/>
                <w:kern w:val="0"/>
                <w:sz w:val="22"/>
                <w:szCs w:val="32"/>
                <w:highlight w:val="none"/>
              </w:rPr>
              <w:t>评估摸底我行数据管理能力现状</w:t>
            </w:r>
          </w:p>
        </w:tc>
        <w:tc>
          <w:tcPr>
            <w:tcW w:w="2035" w:type="dxa"/>
            <w:noWrap w:val="0"/>
            <w:vAlign w:val="top"/>
          </w:tcPr>
          <w:p w14:paraId="3010B2DA">
            <w:pPr>
              <w:ind w:firstLine="0" w:firstLineChars="0"/>
              <w:jc w:val="both"/>
              <w:rPr>
                <w:rFonts w:hint="eastAsia" w:ascii="方正仿宋_GBK" w:eastAsia="方正仿宋_GBK"/>
                <w:color w:val="auto"/>
                <w:sz w:val="28"/>
                <w:szCs w:val="32"/>
                <w:highlight w:val="none"/>
              </w:rPr>
            </w:pPr>
            <w:r>
              <w:rPr>
                <w:rFonts w:hint="eastAsia" w:ascii="方正仿宋_GBK" w:hAnsi="宋体" w:eastAsia="方正仿宋_GBK" w:cs="Arial"/>
                <w:color w:val="auto"/>
                <w:kern w:val="0"/>
                <w:sz w:val="22"/>
                <w:szCs w:val="32"/>
                <w:highlight w:val="none"/>
              </w:rPr>
              <w:t>T+1.5个月</w:t>
            </w:r>
          </w:p>
        </w:tc>
      </w:tr>
      <w:tr w14:paraId="2B022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0B76488F">
            <w:pPr>
              <w:jc w:val="center"/>
              <w:rPr>
                <w:rFonts w:hint="eastAsia" w:ascii="方正仿宋_GBK" w:hAnsi="宋体" w:eastAsia="方正仿宋_GBK" w:cs="Arial"/>
                <w:color w:val="auto"/>
                <w:kern w:val="0"/>
                <w:sz w:val="22"/>
                <w:szCs w:val="32"/>
                <w:highlight w:val="none"/>
              </w:rPr>
            </w:pPr>
          </w:p>
        </w:tc>
        <w:tc>
          <w:tcPr>
            <w:tcW w:w="4961" w:type="dxa"/>
            <w:noWrap w:val="0"/>
            <w:vAlign w:val="center"/>
          </w:tcPr>
          <w:p w14:paraId="54187792">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依据现状协助我行进行能力提升</w:t>
            </w:r>
          </w:p>
        </w:tc>
        <w:tc>
          <w:tcPr>
            <w:tcW w:w="2035" w:type="dxa"/>
            <w:noWrap w:val="0"/>
            <w:vAlign w:val="top"/>
          </w:tcPr>
          <w:p w14:paraId="4CF1549E">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T+3.5个月</w:t>
            </w:r>
          </w:p>
        </w:tc>
      </w:tr>
      <w:tr w14:paraId="2883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1C58C0E2">
            <w:pPr>
              <w:jc w:val="center"/>
              <w:rPr>
                <w:rFonts w:hint="eastAsia" w:ascii="方正仿宋_GBK" w:eastAsia="方正仿宋_GBK"/>
                <w:color w:val="auto"/>
                <w:sz w:val="22"/>
                <w:szCs w:val="32"/>
                <w:highlight w:val="none"/>
              </w:rPr>
            </w:pPr>
          </w:p>
        </w:tc>
        <w:tc>
          <w:tcPr>
            <w:tcW w:w="4961" w:type="dxa"/>
            <w:noWrap w:val="0"/>
            <w:vAlign w:val="center"/>
          </w:tcPr>
          <w:p w14:paraId="2765DF3E">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开展DCMM现场评估工作</w:t>
            </w:r>
          </w:p>
        </w:tc>
        <w:tc>
          <w:tcPr>
            <w:tcW w:w="2035" w:type="dxa"/>
            <w:noWrap w:val="0"/>
            <w:vAlign w:val="top"/>
          </w:tcPr>
          <w:p w14:paraId="74A0F1E0">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T+4个月</w:t>
            </w:r>
          </w:p>
        </w:tc>
      </w:tr>
      <w:tr w14:paraId="6345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vMerge w:val="continue"/>
            <w:noWrap w:val="0"/>
            <w:vAlign w:val="center"/>
          </w:tcPr>
          <w:p w14:paraId="3CB7EA80">
            <w:pPr>
              <w:jc w:val="center"/>
              <w:rPr>
                <w:rFonts w:hint="eastAsia" w:ascii="方正仿宋_GBK" w:eastAsia="方正仿宋_GBK"/>
                <w:color w:val="auto"/>
                <w:sz w:val="22"/>
                <w:szCs w:val="32"/>
                <w:highlight w:val="none"/>
              </w:rPr>
            </w:pPr>
          </w:p>
        </w:tc>
        <w:tc>
          <w:tcPr>
            <w:tcW w:w="4961" w:type="dxa"/>
            <w:noWrap w:val="0"/>
            <w:vAlign w:val="center"/>
          </w:tcPr>
          <w:p w14:paraId="2FA72EA8">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编写DCMM评估报告</w:t>
            </w:r>
          </w:p>
        </w:tc>
        <w:tc>
          <w:tcPr>
            <w:tcW w:w="2035" w:type="dxa"/>
            <w:noWrap w:val="0"/>
            <w:vAlign w:val="top"/>
          </w:tcPr>
          <w:p w14:paraId="2FFB6187">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T+4.5个月</w:t>
            </w:r>
          </w:p>
        </w:tc>
      </w:tr>
      <w:tr w14:paraId="4330B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noWrap w:val="0"/>
            <w:vAlign w:val="center"/>
          </w:tcPr>
          <w:p w14:paraId="2CA2E1AD">
            <w:pPr>
              <w:spacing w:line="280" w:lineRule="exact"/>
              <w:ind w:firstLine="0" w:firstLineChars="0"/>
              <w:jc w:val="both"/>
              <w:rPr>
                <w:rFonts w:hint="eastAsia" w:ascii="方正仿宋_GBK" w:eastAsia="方正仿宋_GBK"/>
                <w:color w:val="auto"/>
                <w:sz w:val="22"/>
                <w:szCs w:val="32"/>
                <w:highlight w:val="none"/>
              </w:rPr>
            </w:pPr>
            <w:r>
              <w:rPr>
                <w:rFonts w:hint="eastAsia" w:ascii="方正仿宋_GBK" w:eastAsia="方正仿宋_GBK"/>
                <w:color w:val="auto"/>
                <w:sz w:val="22"/>
                <w:szCs w:val="32"/>
                <w:highlight w:val="none"/>
              </w:rPr>
              <w:t>评估申报及证书颁发</w:t>
            </w:r>
          </w:p>
        </w:tc>
        <w:tc>
          <w:tcPr>
            <w:tcW w:w="4961" w:type="dxa"/>
            <w:noWrap w:val="0"/>
            <w:vAlign w:val="center"/>
          </w:tcPr>
          <w:p w14:paraId="25931687">
            <w:pPr>
              <w:ind w:firstLine="0" w:firstLineChars="0"/>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完成评估申报和获取评估等级证书</w:t>
            </w:r>
          </w:p>
        </w:tc>
        <w:tc>
          <w:tcPr>
            <w:tcW w:w="2035" w:type="dxa"/>
            <w:noWrap w:val="0"/>
            <w:vAlign w:val="top"/>
          </w:tcPr>
          <w:p w14:paraId="33A7CFBF">
            <w:pPr>
              <w:ind w:firstLine="0" w:firstLineChars="0"/>
              <w:jc w:val="both"/>
              <w:rPr>
                <w:rFonts w:hint="eastAsia" w:ascii="方正仿宋_GBK" w:hAnsi="宋体" w:eastAsia="方正仿宋_GBK" w:cs="Arial"/>
                <w:color w:val="auto"/>
                <w:kern w:val="0"/>
                <w:sz w:val="22"/>
                <w:szCs w:val="32"/>
                <w:highlight w:val="none"/>
              </w:rPr>
            </w:pPr>
            <w:r>
              <w:rPr>
                <w:rFonts w:hint="eastAsia" w:ascii="方正仿宋_GBK" w:hAnsi="宋体" w:eastAsia="方正仿宋_GBK" w:cs="Arial"/>
                <w:color w:val="auto"/>
                <w:kern w:val="0"/>
                <w:sz w:val="22"/>
                <w:szCs w:val="32"/>
                <w:highlight w:val="none"/>
              </w:rPr>
              <w:t>T+5.5个月</w:t>
            </w:r>
          </w:p>
        </w:tc>
      </w:tr>
    </w:tbl>
    <w:p w14:paraId="48E8FC5E">
      <w:pPr>
        <w:adjustRightInd w:val="0"/>
        <w:snapToGrid w:val="0"/>
        <w:spacing w:line="360" w:lineRule="auto"/>
        <w:rPr>
          <w:rFonts w:hint="eastAsia" w:ascii="仿宋" w:eastAsia="仿宋"/>
          <w:color w:val="auto"/>
          <w:szCs w:val="28"/>
          <w:highlight w:val="none"/>
        </w:rPr>
      </w:pPr>
    </w:p>
    <w:p w14:paraId="777711D7">
      <w:pPr>
        <w:keepNext/>
        <w:keepLines/>
        <w:numPr>
          <w:ilvl w:val="0"/>
          <w:numId w:val="0"/>
        </w:numPr>
        <w:spacing w:before="260" w:after="260" w:line="415" w:lineRule="auto"/>
        <w:ind w:firstLine="640" w:firstLineChars="200"/>
        <w:jc w:val="left"/>
        <w:outlineLvl w:val="9"/>
        <w:rPr>
          <w:rFonts w:hint="eastAsia" w:ascii="方正黑体_GBK" w:eastAsia="方正黑体_GBK"/>
          <w:bCs/>
          <w:color w:val="auto"/>
          <w:sz w:val="32"/>
          <w:szCs w:val="32"/>
          <w:highlight w:val="none"/>
        </w:rPr>
      </w:pPr>
      <w:bookmarkStart w:id="262" w:name="_Toc422127554"/>
      <w:r>
        <w:rPr>
          <w:rFonts w:hint="eastAsia" w:ascii="方正黑体_GBK" w:hAnsi="Cambria Math" w:eastAsia="方正黑体_GBK" w:cs="Cambria Math"/>
          <w:bCs/>
          <w:color w:val="auto"/>
          <w:kern w:val="2"/>
          <w:sz w:val="32"/>
          <w:szCs w:val="32"/>
          <w:highlight w:val="none"/>
          <w:lang w:val="en-US" w:eastAsia="zh-CN" w:bidi="ar-SA"/>
        </w:rPr>
        <w:t>第</w:t>
      </w:r>
      <w:r>
        <w:rPr>
          <w:rFonts w:hint="eastAsia" w:ascii="方正黑体_GBK" w:eastAsia="方正黑体_GBK"/>
          <w:bCs/>
          <w:color w:val="auto"/>
          <w:sz w:val="32"/>
          <w:szCs w:val="32"/>
          <w:highlight w:val="none"/>
        </w:rPr>
        <w:t>六</w:t>
      </w:r>
      <w:r>
        <w:rPr>
          <w:rFonts w:hint="eastAsia" w:ascii="方正黑体_GBK" w:hAnsi="Cambria Math" w:eastAsia="方正黑体_GBK" w:cs="Cambria Math"/>
          <w:bCs/>
          <w:color w:val="auto"/>
          <w:kern w:val="2"/>
          <w:sz w:val="32"/>
          <w:szCs w:val="32"/>
          <w:highlight w:val="none"/>
          <w:lang w:val="en-US" w:eastAsia="zh-CN" w:bidi="ar-SA"/>
        </w:rPr>
        <w:t>条</w:t>
      </w:r>
      <w:r>
        <w:rPr>
          <w:rFonts w:hint="eastAsia" w:ascii="方正黑体_GBK" w:eastAsia="方正黑体_GBK"/>
          <w:bCs/>
          <w:color w:val="auto"/>
          <w:sz w:val="32"/>
          <w:szCs w:val="32"/>
          <w:highlight w:val="none"/>
        </w:rPr>
        <w:t xml:space="preserve"> 项目交付成果</w:t>
      </w:r>
      <w:bookmarkEnd w:id="262"/>
      <w:bookmarkStart w:id="263" w:name="_Toc422127556"/>
    </w:p>
    <w:p w14:paraId="78AB7D82">
      <w:pPr>
        <w:topLinePunct/>
        <w:spacing w:line="360" w:lineRule="auto"/>
        <w:ind w:firstLine="480" w:firstLineChars="200"/>
        <w:contextualSpacing/>
        <w:rPr>
          <w:snapToGrid w:val="0"/>
          <w:color w:val="auto"/>
          <w:kern w:val="0"/>
          <w:sz w:val="24"/>
          <w:szCs w:val="24"/>
          <w:highlight w:val="none"/>
        </w:rPr>
      </w:pPr>
      <w:r>
        <w:rPr>
          <w:snapToGrid w:val="0"/>
          <w:color w:val="auto"/>
          <w:kern w:val="0"/>
          <w:sz w:val="24"/>
          <w:szCs w:val="24"/>
          <w:highlight w:val="none"/>
        </w:rPr>
        <w:t>乙方按合同约定完成各项服务工作，为甲方提供</w:t>
      </w:r>
      <w:r>
        <w:rPr>
          <w:rFonts w:hint="eastAsia"/>
          <w:snapToGrid w:val="0"/>
          <w:color w:val="auto"/>
          <w:kern w:val="0"/>
          <w:sz w:val="24"/>
          <w:szCs w:val="24"/>
          <w:highlight w:val="none"/>
          <w:lang w:val="en-US" w:eastAsia="zh-CN"/>
        </w:rPr>
        <w:t>对标</w:t>
      </w:r>
      <w:r>
        <w:rPr>
          <w:rFonts w:hint="default"/>
          <w:snapToGrid w:val="0"/>
          <w:color w:val="auto"/>
          <w:kern w:val="0"/>
          <w:sz w:val="24"/>
          <w:szCs w:val="24"/>
          <w:highlight w:val="none"/>
          <w:lang w:val="en-US" w:eastAsia="zh-CN"/>
        </w:rPr>
        <w:t>《数据管理能力成熟度评估模型》</w:t>
      </w:r>
      <w:r>
        <w:rPr>
          <w:rFonts w:hint="eastAsia"/>
          <w:snapToGrid w:val="0"/>
          <w:color w:val="auto"/>
          <w:kern w:val="0"/>
          <w:sz w:val="24"/>
          <w:szCs w:val="24"/>
          <w:highlight w:val="none"/>
          <w:lang w:val="en-US" w:eastAsia="zh-CN"/>
        </w:rPr>
        <w:t>（</w:t>
      </w:r>
      <w:r>
        <w:rPr>
          <w:rFonts w:hint="eastAsia"/>
          <w:snapToGrid w:val="0"/>
          <w:color w:val="auto"/>
          <w:kern w:val="0"/>
          <w:sz w:val="24"/>
          <w:szCs w:val="24"/>
          <w:highlight w:val="none"/>
        </w:rPr>
        <w:t>GB/T 36073-2018</w:t>
      </w:r>
      <w:r>
        <w:rPr>
          <w:rFonts w:hint="eastAsia"/>
          <w:snapToGrid w:val="0"/>
          <w:color w:val="auto"/>
          <w:kern w:val="0"/>
          <w:sz w:val="24"/>
          <w:szCs w:val="24"/>
          <w:highlight w:val="none"/>
          <w:lang w:val="en-US" w:eastAsia="zh-CN"/>
        </w:rPr>
        <w:t>）</w:t>
      </w:r>
      <w:r>
        <w:rPr>
          <w:snapToGrid w:val="0"/>
          <w:color w:val="auto"/>
          <w:kern w:val="0"/>
          <w:sz w:val="24"/>
          <w:szCs w:val="24"/>
          <w:highlight w:val="none"/>
        </w:rPr>
        <w:t>的咨询评估认证服务，建立</w:t>
      </w:r>
      <w:r>
        <w:rPr>
          <w:rFonts w:hint="eastAsia"/>
          <w:snapToGrid w:val="0"/>
          <w:color w:val="auto"/>
          <w:kern w:val="0"/>
          <w:sz w:val="24"/>
          <w:szCs w:val="24"/>
          <w:highlight w:val="none"/>
          <w:lang w:val="en-US" w:eastAsia="zh-CN"/>
        </w:rPr>
        <w:t>数据管理与数据治理</w:t>
      </w:r>
      <w:r>
        <w:rPr>
          <w:snapToGrid w:val="0"/>
          <w:color w:val="auto"/>
          <w:kern w:val="0"/>
          <w:sz w:val="24"/>
          <w:szCs w:val="24"/>
          <w:highlight w:val="none"/>
        </w:rPr>
        <w:t>体系，</w:t>
      </w:r>
      <w:r>
        <w:rPr>
          <w:rFonts w:hint="eastAsia"/>
          <w:snapToGrid w:val="0"/>
          <w:color w:val="auto"/>
          <w:kern w:val="0"/>
          <w:sz w:val="24"/>
          <w:szCs w:val="24"/>
          <w:highlight w:val="none"/>
          <w:lang w:eastAsia="zh-CN"/>
        </w:rPr>
        <w:t>提出数据管理规划目标，找准关键点，规范</w:t>
      </w:r>
      <w:r>
        <w:rPr>
          <w:rFonts w:hint="eastAsia"/>
          <w:snapToGrid w:val="0"/>
          <w:color w:val="auto"/>
          <w:kern w:val="0"/>
          <w:sz w:val="24"/>
          <w:szCs w:val="24"/>
          <w:highlight w:val="none"/>
          <w:lang w:val="en-US" w:eastAsia="zh-CN"/>
        </w:rPr>
        <w:t>我行</w:t>
      </w:r>
      <w:r>
        <w:rPr>
          <w:rFonts w:hint="eastAsia"/>
          <w:snapToGrid w:val="0"/>
          <w:color w:val="auto"/>
          <w:kern w:val="0"/>
          <w:sz w:val="24"/>
          <w:szCs w:val="24"/>
          <w:highlight w:val="none"/>
          <w:lang w:eastAsia="zh-CN"/>
        </w:rPr>
        <w:t>数据管理工作，支撑数据管理工作落地，提升数据质量、数据安全等关键领域的数据管理能力</w:t>
      </w:r>
      <w:r>
        <w:rPr>
          <w:snapToGrid w:val="0"/>
          <w:color w:val="auto"/>
          <w:kern w:val="0"/>
          <w:sz w:val="24"/>
          <w:szCs w:val="24"/>
          <w:highlight w:val="none"/>
        </w:rPr>
        <w:t>，向甲方提交各项交付物并通过甲方审核。</w:t>
      </w:r>
    </w:p>
    <w:p w14:paraId="45D1575F">
      <w:pPr>
        <w:topLinePunct/>
        <w:spacing w:line="360" w:lineRule="auto"/>
        <w:ind w:firstLine="480" w:firstLineChars="200"/>
        <w:contextualSpacing/>
        <w:rPr>
          <w:rFonts w:hint="eastAsia" w:ascii="方正黑体_GBK" w:eastAsia="方正黑体_GBK"/>
          <w:bCs/>
          <w:color w:val="auto"/>
          <w:sz w:val="32"/>
          <w:szCs w:val="32"/>
          <w:highlight w:val="none"/>
        </w:rPr>
      </w:pPr>
      <w:r>
        <w:rPr>
          <w:snapToGrid w:val="0"/>
          <w:color w:val="auto"/>
          <w:kern w:val="0"/>
          <w:sz w:val="24"/>
          <w:szCs w:val="24"/>
          <w:highlight w:val="none"/>
        </w:rPr>
        <w:t>乙方按合同约定，完成各项培训工作，并交付培训过程中的培训资料和其他的辅助参考材料。</w:t>
      </w:r>
    </w:p>
    <w:bookmarkEnd w:id="263"/>
    <w:p w14:paraId="1F2EAD3B">
      <w:pPr>
        <w:keepNext/>
        <w:keepLines/>
        <w:spacing w:before="260" w:after="260" w:line="415" w:lineRule="auto"/>
        <w:jc w:val="left"/>
        <w:outlineLvl w:val="9"/>
        <w:rPr>
          <w:rFonts w:hint="eastAsia" w:ascii="方正黑体_GBK" w:eastAsia="方正黑体_GBK"/>
          <w:bCs/>
          <w:color w:val="auto"/>
          <w:sz w:val="32"/>
          <w:szCs w:val="32"/>
          <w:highlight w:val="none"/>
        </w:rPr>
      </w:pPr>
      <w:bookmarkStart w:id="264" w:name="_Toc422127563"/>
      <w:r>
        <w:rPr>
          <w:rFonts w:hint="eastAsia" w:ascii="方正黑体_GBK" w:eastAsia="方正黑体_GBK"/>
          <w:bCs/>
          <w:color w:val="auto"/>
          <w:sz w:val="32"/>
          <w:szCs w:val="32"/>
          <w:highlight w:val="none"/>
        </w:rPr>
        <w:t>第</w:t>
      </w:r>
      <w:r>
        <w:rPr>
          <w:rFonts w:hint="eastAsia" w:ascii="方正黑体_GBK" w:hAnsi="Cambria Math" w:eastAsia="方正黑体_GBK" w:cs="Cambria Math"/>
          <w:bCs/>
          <w:color w:val="auto"/>
          <w:kern w:val="2"/>
          <w:sz w:val="32"/>
          <w:szCs w:val="32"/>
          <w:highlight w:val="none"/>
          <w:lang w:val="en-US" w:eastAsia="zh-CN" w:bidi="ar-SA"/>
        </w:rPr>
        <w:t>七</w:t>
      </w:r>
      <w:r>
        <w:rPr>
          <w:rFonts w:hint="eastAsia" w:ascii="方正黑体_GBK" w:eastAsia="方正黑体_GBK"/>
          <w:bCs/>
          <w:color w:val="auto"/>
          <w:sz w:val="32"/>
          <w:szCs w:val="32"/>
          <w:highlight w:val="none"/>
        </w:rPr>
        <w:t>条 项目验收</w:t>
      </w:r>
      <w:bookmarkEnd w:id="264"/>
    </w:p>
    <w:p w14:paraId="03D22438">
      <w:pPr>
        <w:topLinePunct/>
        <w:spacing w:line="360" w:lineRule="auto"/>
        <w:ind w:firstLine="480" w:firstLineChars="200"/>
        <w:contextualSpacing/>
        <w:rPr>
          <w:rFonts w:hint="eastAsia"/>
          <w:snapToGrid w:val="0"/>
          <w:color w:val="auto"/>
          <w:kern w:val="0"/>
          <w:sz w:val="24"/>
          <w:szCs w:val="24"/>
          <w:highlight w:val="none"/>
        </w:rPr>
      </w:pPr>
      <w:r>
        <w:rPr>
          <w:snapToGrid w:val="0"/>
          <w:color w:val="auto"/>
          <w:kern w:val="0"/>
          <w:sz w:val="24"/>
          <w:szCs w:val="24"/>
          <w:highlight w:val="none"/>
        </w:rPr>
        <w:t>乙方帮助甲方顺利</w:t>
      </w:r>
      <w:r>
        <w:rPr>
          <w:rFonts w:hint="default"/>
          <w:color w:val="auto"/>
          <w:highlight w:val="none"/>
        </w:rPr>
        <w:t>向中国电子信息行业联合会提交数据管理能力成熟度正式评估申请所需材料的准备，跟进中国电子信息行业联合会评议情况，提供该过程中必要的咨询和技术指导</w:t>
      </w:r>
      <w:r>
        <w:rPr>
          <w:rFonts w:hint="eastAsia"/>
          <w:color w:val="auto"/>
          <w:highlight w:val="none"/>
          <w:lang w:eastAsia="zh-CN"/>
        </w:rPr>
        <w:t>，</w:t>
      </w:r>
      <w:r>
        <w:rPr>
          <w:rFonts w:hint="eastAsia"/>
          <w:color w:val="auto"/>
          <w:highlight w:val="none"/>
          <w:lang w:val="en-US" w:eastAsia="zh-CN"/>
        </w:rPr>
        <w:t>并</w:t>
      </w:r>
      <w:r>
        <w:rPr>
          <w:rFonts w:hint="default"/>
          <w:color w:val="auto"/>
          <w:highlight w:val="none"/>
        </w:rPr>
        <w:t>完成相关申报流程</w:t>
      </w:r>
      <w:r>
        <w:rPr>
          <w:snapToGrid w:val="0"/>
          <w:color w:val="auto"/>
          <w:kern w:val="0"/>
          <w:sz w:val="24"/>
          <w:szCs w:val="24"/>
          <w:highlight w:val="none"/>
        </w:rPr>
        <w:t>，取得真实、合法、有效的</w:t>
      </w:r>
      <w:r>
        <w:rPr>
          <w:rFonts w:hint="default"/>
          <w:color w:val="auto"/>
          <w:highlight w:val="none"/>
        </w:rPr>
        <w:t>数据管理能力成熟度三级（稳健级）</w:t>
      </w:r>
      <w:r>
        <w:rPr>
          <w:snapToGrid w:val="0"/>
          <w:color w:val="auto"/>
          <w:kern w:val="0"/>
          <w:sz w:val="24"/>
          <w:szCs w:val="24"/>
          <w:highlight w:val="none"/>
        </w:rPr>
        <w:t>认证证书，证书须能在</w:t>
      </w:r>
      <w:r>
        <w:rPr>
          <w:rFonts w:hint="default"/>
          <w:color w:val="auto"/>
          <w:highlight w:val="none"/>
        </w:rPr>
        <w:t>中国电子信息行业联合会</w:t>
      </w:r>
      <w:r>
        <w:rPr>
          <w:snapToGrid w:val="0"/>
          <w:color w:val="auto"/>
          <w:kern w:val="0"/>
          <w:sz w:val="24"/>
          <w:szCs w:val="24"/>
          <w:highlight w:val="none"/>
        </w:rPr>
        <w:t>官网上查询，以此作为项目的终验交付物。</w:t>
      </w:r>
    </w:p>
    <w:p w14:paraId="1A9A4109">
      <w:pPr>
        <w:pStyle w:val="17"/>
        <w:snapToGrid w:val="0"/>
        <w:spacing w:before="0" w:after="0" w:line="520" w:lineRule="exact"/>
        <w:jc w:val="left"/>
        <w:outlineLvl w:val="9"/>
        <w:rPr>
          <w:color w:val="auto"/>
          <w:highlight w:val="none"/>
        </w:rPr>
      </w:pPr>
      <w:r>
        <w:rPr>
          <w:rFonts w:hint="eastAsia"/>
          <w:snapToGrid w:val="0"/>
          <w:color w:val="auto"/>
          <w:sz w:val="24"/>
          <w:highlight w:val="none"/>
        </w:rPr>
        <w:t>附件</w:t>
      </w:r>
      <w:r>
        <w:rPr>
          <w:snapToGrid w:val="0"/>
          <w:color w:val="auto"/>
          <w:sz w:val="24"/>
          <w:highlight w:val="none"/>
        </w:rPr>
        <w:t>2</w:t>
      </w:r>
    </w:p>
    <w:tbl>
      <w:tblPr>
        <w:tblStyle w:val="19"/>
        <w:tblW w:w="9498" w:type="dxa"/>
        <w:tblInd w:w="-459" w:type="dxa"/>
        <w:tblLayout w:type="fixed"/>
        <w:tblCellMar>
          <w:top w:w="0" w:type="dxa"/>
          <w:left w:w="108" w:type="dxa"/>
          <w:bottom w:w="0" w:type="dxa"/>
          <w:right w:w="108" w:type="dxa"/>
        </w:tblCellMar>
      </w:tblPr>
      <w:tblGrid>
        <w:gridCol w:w="567"/>
        <w:gridCol w:w="849"/>
        <w:gridCol w:w="2696"/>
        <w:gridCol w:w="643"/>
        <w:gridCol w:w="1906"/>
        <w:gridCol w:w="2267"/>
        <w:gridCol w:w="570"/>
      </w:tblGrid>
      <w:tr w14:paraId="6FB6A591">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0"/>
            <w:vAlign w:val="center"/>
          </w:tcPr>
          <w:p w14:paraId="149D6254">
            <w:pPr>
              <w:widowControl/>
              <w:jc w:val="center"/>
              <w:rPr>
                <w:rFonts w:hint="eastAsia" w:ascii="方正小标宋_GBK" w:eastAsia="方正小标宋_GBK" w:cs="宋体"/>
                <w:color w:val="auto"/>
                <w:kern w:val="0"/>
                <w:sz w:val="44"/>
                <w:szCs w:val="44"/>
                <w:highlight w:val="none"/>
              </w:rPr>
            </w:pPr>
            <w:r>
              <w:rPr>
                <w:rFonts w:hint="eastAsia" w:ascii="Calibri Light" w:hAnsi="Calibri Light"/>
                <w:b/>
                <w:bCs/>
                <w:snapToGrid w:val="0"/>
                <w:color w:val="auto"/>
                <w:sz w:val="32"/>
                <w:szCs w:val="32"/>
                <w:highlight w:val="none"/>
              </w:rPr>
              <w:t>项目最终验收表</w:t>
            </w:r>
          </w:p>
        </w:tc>
      </w:tr>
      <w:tr w14:paraId="7D93CC3A">
        <w:tblPrEx>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4360792">
            <w:pPr>
              <w:spacing w:line="360" w:lineRule="auto"/>
              <w:ind w:left="0" w:leftChars="0" w:firstLine="0" w:firstLineChars="0"/>
              <w:jc w:val="both"/>
              <w:rPr>
                <w:rFonts w:hint="eastAsia" w:ascii="宋体"/>
                <w:color w:val="auto"/>
                <w:sz w:val="24"/>
                <w:highlight w:val="none"/>
              </w:rPr>
            </w:pPr>
            <w:r>
              <w:rPr>
                <w:color w:val="auto"/>
                <w:sz w:val="24"/>
                <w:szCs w:val="24"/>
                <w:highlight w:val="none"/>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0"/>
            <w:vAlign w:val="center"/>
          </w:tcPr>
          <w:p w14:paraId="7423CFB5">
            <w:pPr>
              <w:spacing w:line="360" w:lineRule="auto"/>
              <w:ind w:left="0" w:leftChars="0" w:firstLine="0" w:firstLineChars="0"/>
              <w:jc w:val="left"/>
              <w:rPr>
                <w:rFonts w:hint="eastAsia" w:ascii="宋体"/>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数据管理能力成熟度评估模型》贯标评估</w:t>
            </w:r>
            <w:r>
              <w:rPr>
                <w:rFonts w:hint="default"/>
                <w:color w:val="auto"/>
                <w:sz w:val="24"/>
                <w:szCs w:val="24"/>
                <w:highlight w:val="none"/>
              </w:rPr>
              <w:t>项目</w:t>
            </w:r>
          </w:p>
        </w:tc>
      </w:tr>
      <w:tr w14:paraId="3034E57D">
        <w:tblPrEx>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5E1FAD8">
            <w:pPr>
              <w:spacing w:line="360" w:lineRule="auto"/>
              <w:ind w:firstLine="0" w:firstLineChars="0"/>
              <w:jc w:val="both"/>
              <w:rPr>
                <w:rFonts w:hint="eastAsia" w:ascii="宋体"/>
                <w:color w:val="auto"/>
                <w:sz w:val="24"/>
                <w:highlight w:val="none"/>
              </w:rPr>
            </w:pPr>
            <w:r>
              <w:rPr>
                <w:rFonts w:hint="eastAsia" w:ascii="宋体"/>
                <w:color w:val="auto"/>
                <w:sz w:val="24"/>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0"/>
            <w:vAlign w:val="bottom"/>
          </w:tcPr>
          <w:p w14:paraId="266AD834">
            <w:pPr>
              <w:spacing w:line="360" w:lineRule="auto"/>
              <w:rPr>
                <w:rFonts w:hint="eastAsia" w:ascii="宋体"/>
                <w:color w:val="auto"/>
                <w:sz w:val="24"/>
                <w:highlight w:val="none"/>
              </w:rPr>
            </w:pPr>
          </w:p>
        </w:tc>
      </w:tr>
      <w:tr w14:paraId="75AA390F">
        <w:tblPrEx>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0FE95A5">
            <w:pPr>
              <w:spacing w:line="360" w:lineRule="auto"/>
              <w:ind w:firstLine="0" w:firstLineChars="0"/>
              <w:rPr>
                <w:rFonts w:hint="eastAsia" w:ascii="宋体"/>
                <w:color w:val="auto"/>
                <w:sz w:val="24"/>
                <w:highlight w:val="none"/>
              </w:rPr>
            </w:pPr>
            <w:r>
              <w:rPr>
                <w:rFonts w:hint="eastAsia" w:ascii="宋体"/>
                <w:color w:val="auto"/>
                <w:sz w:val="24"/>
                <w:highlight w:val="none"/>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0"/>
            <w:vAlign w:val="center"/>
          </w:tcPr>
          <w:p w14:paraId="195195C2">
            <w:pPr>
              <w:spacing w:line="360" w:lineRule="auto"/>
              <w:rPr>
                <w:rFonts w:hint="eastAsia" w:ascii="宋体"/>
                <w:color w:val="auto"/>
                <w:sz w:val="24"/>
                <w:highlight w:val="none"/>
              </w:rPr>
            </w:pPr>
          </w:p>
        </w:tc>
      </w:tr>
      <w:tr w14:paraId="08A520F7">
        <w:tblPrEx>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6134EB7B">
            <w:pPr>
              <w:spacing w:line="360" w:lineRule="auto"/>
              <w:ind w:firstLine="0" w:firstLineChars="0"/>
              <w:rPr>
                <w:rFonts w:hint="eastAsia" w:ascii="宋体"/>
                <w:color w:val="auto"/>
                <w:sz w:val="24"/>
                <w:highlight w:val="none"/>
              </w:rPr>
            </w:pPr>
            <w:r>
              <w:rPr>
                <w:rFonts w:hint="eastAsia" w:ascii="宋体"/>
                <w:color w:val="auto"/>
                <w:sz w:val="24"/>
                <w:highlight w:val="none"/>
              </w:rPr>
              <w:t>验收地点</w:t>
            </w:r>
          </w:p>
        </w:tc>
        <w:tc>
          <w:tcPr>
            <w:tcW w:w="2696" w:type="dxa"/>
            <w:tcBorders>
              <w:top w:val="single" w:color="auto" w:sz="4" w:space="0"/>
              <w:left w:val="single" w:color="auto" w:sz="4" w:space="0"/>
              <w:bottom w:val="single" w:color="auto" w:sz="4" w:space="0"/>
              <w:right w:val="single" w:color="auto" w:sz="4" w:space="0"/>
            </w:tcBorders>
            <w:noWrap w:val="0"/>
            <w:vAlign w:val="center"/>
          </w:tcPr>
          <w:p w14:paraId="47CE4814">
            <w:pPr>
              <w:spacing w:line="360" w:lineRule="auto"/>
              <w:rPr>
                <w:rFonts w:hint="eastAsia" w:ascii="宋体"/>
                <w:color w:val="auto"/>
                <w:sz w:val="24"/>
                <w:highlight w:val="none"/>
              </w:rPr>
            </w:pPr>
          </w:p>
        </w:tc>
        <w:tc>
          <w:tcPr>
            <w:tcW w:w="2549" w:type="dxa"/>
            <w:gridSpan w:val="2"/>
            <w:tcBorders>
              <w:top w:val="single" w:color="auto" w:sz="4" w:space="0"/>
              <w:left w:val="single" w:color="auto" w:sz="4" w:space="0"/>
              <w:bottom w:val="single" w:color="auto" w:sz="4" w:space="0"/>
              <w:right w:val="single" w:color="auto" w:sz="4" w:space="0"/>
            </w:tcBorders>
            <w:noWrap w:val="0"/>
            <w:vAlign w:val="center"/>
          </w:tcPr>
          <w:p w14:paraId="72CCCFCD">
            <w:pPr>
              <w:spacing w:line="360" w:lineRule="auto"/>
              <w:rPr>
                <w:rFonts w:hint="eastAsia" w:ascii="宋体"/>
                <w:color w:val="auto"/>
                <w:sz w:val="24"/>
                <w:highlight w:val="none"/>
              </w:rPr>
            </w:pPr>
            <w:r>
              <w:rPr>
                <w:rFonts w:hint="eastAsia" w:ascii="宋体"/>
                <w:color w:val="auto"/>
                <w:sz w:val="24"/>
                <w:highlight w:val="none"/>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14:paraId="3747841B">
            <w:pPr>
              <w:spacing w:line="360" w:lineRule="auto"/>
              <w:rPr>
                <w:rFonts w:hint="eastAsia" w:ascii="宋体"/>
                <w:color w:val="auto"/>
                <w:sz w:val="24"/>
                <w:highlight w:val="none"/>
              </w:rPr>
            </w:pPr>
          </w:p>
        </w:tc>
      </w:tr>
      <w:tr w14:paraId="6B3E03B0">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DA7ADE8">
            <w:pPr>
              <w:spacing w:line="360" w:lineRule="auto"/>
              <w:ind w:firstLine="0" w:firstLineChars="0"/>
              <w:jc w:val="both"/>
              <w:rPr>
                <w:rFonts w:hint="eastAsia" w:ascii="宋体"/>
                <w:color w:val="auto"/>
                <w:sz w:val="24"/>
                <w:highlight w:val="none"/>
              </w:rPr>
            </w:pPr>
            <w:r>
              <w:rPr>
                <w:rFonts w:hint="eastAsia" w:ascii="宋体"/>
                <w:color w:val="auto"/>
                <w:sz w:val="24"/>
                <w:highlight w:val="none"/>
              </w:rPr>
              <w:t>是否实现项目目标</w:t>
            </w:r>
          </w:p>
        </w:tc>
        <w:tc>
          <w:tcPr>
            <w:tcW w:w="2696" w:type="dxa"/>
            <w:tcBorders>
              <w:top w:val="single" w:color="auto" w:sz="4" w:space="0"/>
              <w:left w:val="single" w:color="auto" w:sz="4" w:space="0"/>
              <w:bottom w:val="single" w:color="auto" w:sz="4" w:space="0"/>
              <w:right w:val="single" w:color="auto" w:sz="4" w:space="0"/>
            </w:tcBorders>
            <w:noWrap w:val="0"/>
            <w:vAlign w:val="center"/>
          </w:tcPr>
          <w:p w14:paraId="7E36D479">
            <w:pPr>
              <w:spacing w:line="360" w:lineRule="auto"/>
              <w:rPr>
                <w:rFonts w:hint="eastAsia" w:ascii="宋体"/>
                <w:color w:val="auto"/>
                <w:sz w:val="24"/>
                <w:highlight w:val="none"/>
              </w:rPr>
            </w:pPr>
            <w:r>
              <w:rPr>
                <w:rFonts w:hint="eastAsia" w:ascii="宋体"/>
                <w:color w:val="auto"/>
                <w:sz w:val="24"/>
                <w:highlight w:val="none"/>
              </w:rPr>
              <w:t>□是     □否</w:t>
            </w:r>
          </w:p>
        </w:tc>
        <w:tc>
          <w:tcPr>
            <w:tcW w:w="2549" w:type="dxa"/>
            <w:gridSpan w:val="2"/>
            <w:tcBorders>
              <w:top w:val="single" w:color="auto" w:sz="4" w:space="0"/>
              <w:left w:val="single" w:color="auto" w:sz="4" w:space="0"/>
              <w:bottom w:val="single" w:color="auto" w:sz="4" w:space="0"/>
              <w:right w:val="single" w:color="auto" w:sz="4" w:space="0"/>
            </w:tcBorders>
            <w:noWrap w:val="0"/>
            <w:vAlign w:val="center"/>
          </w:tcPr>
          <w:p w14:paraId="155D12FB">
            <w:pPr>
              <w:spacing w:line="360" w:lineRule="auto"/>
              <w:rPr>
                <w:rFonts w:hint="eastAsia" w:ascii="宋体"/>
                <w:color w:val="auto"/>
                <w:sz w:val="24"/>
                <w:highlight w:val="none"/>
              </w:rPr>
            </w:pPr>
            <w:r>
              <w:rPr>
                <w:rFonts w:hint="eastAsia" w:ascii="宋体"/>
                <w:color w:val="auto"/>
                <w:sz w:val="24"/>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14:paraId="6CD1DEE1">
            <w:pPr>
              <w:spacing w:line="360" w:lineRule="auto"/>
              <w:rPr>
                <w:rFonts w:hint="eastAsia" w:ascii="宋体"/>
                <w:color w:val="auto"/>
                <w:sz w:val="24"/>
                <w:highlight w:val="none"/>
              </w:rPr>
            </w:pPr>
            <w:r>
              <w:rPr>
                <w:rFonts w:hint="eastAsia" w:ascii="宋体"/>
                <w:color w:val="auto"/>
                <w:sz w:val="24"/>
                <w:highlight w:val="none"/>
              </w:rPr>
              <w:t>□是     □否</w:t>
            </w:r>
          </w:p>
        </w:tc>
      </w:tr>
      <w:tr w14:paraId="31F86321">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3E887A04">
            <w:pPr>
              <w:spacing w:line="360" w:lineRule="auto"/>
              <w:ind w:firstLine="0" w:firstLineChars="0"/>
              <w:jc w:val="both"/>
              <w:rPr>
                <w:rFonts w:hint="eastAsia" w:ascii="宋体"/>
                <w:color w:val="auto"/>
                <w:sz w:val="24"/>
                <w:highlight w:val="none"/>
              </w:rPr>
            </w:pPr>
            <w:r>
              <w:rPr>
                <w:rFonts w:hint="eastAsia" w:ascii="宋体"/>
                <w:color w:val="auto"/>
                <w:sz w:val="24"/>
                <w:highlight w:val="none"/>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0"/>
            <w:vAlign w:val="center"/>
          </w:tcPr>
          <w:p w14:paraId="7B8BBD16">
            <w:pPr>
              <w:spacing w:line="360" w:lineRule="auto"/>
              <w:rPr>
                <w:rFonts w:hint="eastAsia" w:ascii="宋体"/>
                <w:color w:val="auto"/>
                <w:sz w:val="24"/>
                <w:highlight w:val="none"/>
              </w:rPr>
            </w:pPr>
          </w:p>
        </w:tc>
      </w:tr>
      <w:tr w14:paraId="6B5BD97E">
        <w:tblPrEx>
          <w:tblCellMar>
            <w:top w:w="0" w:type="dxa"/>
            <w:left w:w="108" w:type="dxa"/>
            <w:bottom w:w="0" w:type="dxa"/>
            <w:right w:w="108" w:type="dxa"/>
          </w:tblCellMar>
        </w:tblPrEx>
        <w:trPr>
          <w:trHeight w:val="2993"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FFFB4FD">
            <w:pPr>
              <w:spacing w:line="360" w:lineRule="auto"/>
              <w:ind w:firstLine="0" w:firstLineChars="0"/>
              <w:jc w:val="both"/>
              <w:rPr>
                <w:rFonts w:hint="eastAsia" w:ascii="宋体"/>
                <w:color w:val="auto"/>
                <w:sz w:val="24"/>
                <w:highlight w:val="none"/>
              </w:rPr>
            </w:pPr>
            <w:r>
              <w:rPr>
                <w:rFonts w:hint="eastAsia" w:ascii="宋体"/>
                <w:color w:val="auto"/>
                <w:sz w:val="24"/>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0"/>
            <w:vAlign w:val="center"/>
          </w:tcPr>
          <w:p w14:paraId="727C7A31">
            <w:pPr>
              <w:spacing w:line="360" w:lineRule="auto"/>
              <w:rPr>
                <w:rFonts w:hint="eastAsia" w:ascii="宋体"/>
                <w:color w:val="auto"/>
                <w:sz w:val="24"/>
                <w:highlight w:val="none"/>
              </w:rPr>
            </w:pPr>
          </w:p>
        </w:tc>
      </w:tr>
      <w:tr w14:paraId="1F6241B9">
        <w:tblPrEx>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cBorders>
            <w:noWrap w:val="0"/>
            <w:vAlign w:val="top"/>
          </w:tcPr>
          <w:p w14:paraId="11F20052">
            <w:pPr>
              <w:spacing w:line="200" w:lineRule="exact"/>
              <w:rPr>
                <w:rFonts w:hint="eastAsia" w:ascii="宋体"/>
                <w:color w:val="auto"/>
                <w:sz w:val="24"/>
                <w:highlight w:val="none"/>
              </w:rPr>
            </w:pPr>
          </w:p>
          <w:p w14:paraId="70794C96">
            <w:pPr>
              <w:spacing w:line="400" w:lineRule="exact"/>
              <w:ind w:firstLine="0" w:firstLineChars="0"/>
              <w:rPr>
                <w:rFonts w:hint="eastAsia" w:ascii="宋体"/>
                <w:color w:val="auto"/>
                <w:sz w:val="24"/>
                <w:highlight w:val="none"/>
              </w:rPr>
            </w:pPr>
            <w:r>
              <w:rPr>
                <w:rFonts w:hint="eastAsia" w:ascii="宋体"/>
                <w:color w:val="auto"/>
                <w:sz w:val="24"/>
                <w:highlight w:val="none"/>
              </w:rPr>
              <w:t>参验人员：</w:t>
            </w:r>
          </w:p>
          <w:p w14:paraId="662BA03F">
            <w:pPr>
              <w:spacing w:line="400" w:lineRule="exact"/>
              <w:rPr>
                <w:rFonts w:hint="eastAsia" w:ascii="宋体"/>
                <w:color w:val="auto"/>
                <w:sz w:val="24"/>
                <w:highlight w:val="none"/>
              </w:rPr>
            </w:pPr>
          </w:p>
          <w:p w14:paraId="20CCC54E">
            <w:pPr>
              <w:spacing w:line="400" w:lineRule="exact"/>
              <w:rPr>
                <w:rFonts w:hint="eastAsia" w:ascii="宋体"/>
                <w:color w:val="auto"/>
                <w:sz w:val="24"/>
                <w:highlight w:val="none"/>
              </w:rPr>
            </w:pPr>
          </w:p>
          <w:p w14:paraId="1E6A81A6">
            <w:pPr>
              <w:spacing w:line="400" w:lineRule="exact"/>
              <w:ind w:right="600" w:firstLine="0" w:firstLineChars="0"/>
              <w:rPr>
                <w:rFonts w:hint="eastAsia" w:ascii="宋体"/>
                <w:color w:val="auto"/>
                <w:sz w:val="24"/>
                <w:highlight w:val="none"/>
              </w:rPr>
            </w:pPr>
            <w:r>
              <w:rPr>
                <w:rFonts w:hint="eastAsia" w:ascii="宋体"/>
                <w:color w:val="auto"/>
                <w:sz w:val="24"/>
                <w:highlight w:val="none"/>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val="0"/>
            <w:vAlign w:val="top"/>
          </w:tcPr>
          <w:p w14:paraId="1C2D372A">
            <w:pPr>
              <w:widowControl/>
              <w:ind w:firstLine="0" w:firstLineChars="0"/>
              <w:jc w:val="left"/>
              <w:rPr>
                <w:rFonts w:hint="eastAsia" w:ascii="宋体"/>
                <w:color w:val="auto"/>
                <w:sz w:val="24"/>
                <w:highlight w:val="none"/>
              </w:rPr>
            </w:pPr>
            <w:r>
              <w:rPr>
                <w:rFonts w:hint="eastAsia" w:ascii="宋体"/>
                <w:color w:val="auto"/>
                <w:sz w:val="24"/>
                <w:highlight w:val="none"/>
              </w:rPr>
              <w:t>部门负责人：</w:t>
            </w:r>
          </w:p>
          <w:p w14:paraId="4E315000">
            <w:pPr>
              <w:spacing w:line="400" w:lineRule="exact"/>
              <w:ind w:left="0" w:right="600" w:firstLine="0" w:firstLineChars="0"/>
              <w:rPr>
                <w:rFonts w:hint="eastAsia" w:ascii="宋体"/>
                <w:color w:val="auto"/>
                <w:sz w:val="24"/>
                <w:highlight w:val="none"/>
              </w:rPr>
            </w:pPr>
          </w:p>
          <w:p w14:paraId="22EB3F1F">
            <w:pPr>
              <w:spacing w:line="400" w:lineRule="exact"/>
              <w:ind w:left="0" w:right="600" w:firstLine="0" w:firstLineChars="0"/>
              <w:rPr>
                <w:rFonts w:hint="eastAsia" w:ascii="宋体"/>
                <w:color w:val="auto"/>
                <w:sz w:val="24"/>
                <w:highlight w:val="none"/>
              </w:rPr>
            </w:pPr>
          </w:p>
          <w:p w14:paraId="43EA2E5F">
            <w:pPr>
              <w:spacing w:line="400" w:lineRule="exact"/>
              <w:ind w:left="0" w:right="600" w:firstLine="2160" w:firstLineChars="900"/>
              <w:rPr>
                <w:rFonts w:hint="eastAsia" w:ascii="宋体"/>
                <w:color w:val="auto"/>
                <w:sz w:val="24"/>
                <w:highlight w:val="none"/>
              </w:rPr>
            </w:pPr>
            <w:r>
              <w:rPr>
                <w:rFonts w:hint="eastAsia" w:ascii="宋体"/>
                <w:color w:val="auto"/>
                <w:sz w:val="24"/>
                <w:highlight w:val="none"/>
              </w:rPr>
              <w:t>年  月  日</w:t>
            </w:r>
          </w:p>
        </w:tc>
      </w:tr>
    </w:tbl>
    <w:p w14:paraId="546CFCEC">
      <w:pPr>
        <w:rPr>
          <w:rFonts w:hint="eastAsia" w:ascii="宋体"/>
          <w:b/>
          <w:color w:val="auto"/>
          <w:sz w:val="24"/>
          <w:highlight w:val="none"/>
        </w:rPr>
      </w:pPr>
      <w:r>
        <w:rPr>
          <w:rFonts w:hint="eastAsia" w:ascii="宋体"/>
          <w:b/>
          <w:color w:val="auto"/>
          <w:sz w:val="24"/>
          <w:highlight w:val="none"/>
        </w:rPr>
        <w:t xml:space="preserve"> </w:t>
      </w:r>
    </w:p>
    <w:p w14:paraId="51CFC267">
      <w:pPr>
        <w:jc w:val="center"/>
        <w:rPr>
          <w:rFonts w:hint="eastAsia" w:ascii="方正小标宋_GBK" w:eastAsia="方正小标宋_GBK"/>
          <w:color w:val="auto"/>
          <w:sz w:val="24"/>
          <w:highlight w:val="none"/>
        </w:rPr>
      </w:pPr>
      <w:r>
        <w:rPr>
          <w:snapToGrid w:val="0"/>
          <w:color w:val="auto"/>
          <w:highlight w:val="none"/>
        </w:rPr>
        <w:br w:type="page"/>
      </w:r>
    </w:p>
    <w:p w14:paraId="702DCE31">
      <w:pPr>
        <w:pStyle w:val="17"/>
        <w:snapToGrid w:val="0"/>
        <w:spacing w:before="0" w:after="0" w:line="520" w:lineRule="exact"/>
        <w:jc w:val="left"/>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3</w:t>
      </w:r>
    </w:p>
    <w:p w14:paraId="3F96A3F0">
      <w:pPr>
        <w:pStyle w:val="17"/>
        <w:snapToGrid w:val="0"/>
        <w:spacing w:before="0" w:after="0" w:line="520" w:lineRule="exact"/>
        <w:outlineLvl w:val="9"/>
        <w:rPr>
          <w:snapToGrid w:val="0"/>
          <w:color w:val="auto"/>
          <w:highlight w:val="none"/>
        </w:rPr>
      </w:pPr>
      <w:r>
        <w:rPr>
          <w:rFonts w:hint="eastAsia"/>
          <w:snapToGrid w:val="0"/>
          <w:color w:val="auto"/>
          <w:highlight w:val="none"/>
        </w:rPr>
        <w:t>服务水平协议</w:t>
      </w:r>
    </w:p>
    <w:p w14:paraId="203D69B7">
      <w:pPr>
        <w:snapToGrid w:val="0"/>
        <w:spacing w:line="520" w:lineRule="exact"/>
        <w:rPr>
          <w:rFonts w:hint="eastAsia" w:ascii="宋体"/>
          <w:b/>
          <w:bCs/>
          <w:color w:val="auto"/>
          <w:kern w:val="32"/>
          <w:sz w:val="24"/>
          <w:highlight w:val="none"/>
        </w:rPr>
      </w:pPr>
      <w:r>
        <w:rPr>
          <w:rFonts w:hint="eastAsia" w:ascii="宋体"/>
          <w:b/>
          <w:bCs/>
          <w:color w:val="auto"/>
          <w:kern w:val="32"/>
          <w:sz w:val="24"/>
          <w:highlight w:val="none"/>
        </w:rPr>
        <w:t>1.目标</w:t>
      </w:r>
    </w:p>
    <w:p w14:paraId="1CAF406A">
      <w:pPr>
        <w:snapToGrid w:val="0"/>
        <w:spacing w:line="520" w:lineRule="exact"/>
        <w:ind w:firstLine="480" w:firstLineChars="200"/>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本服务水平协议（SLA）的目标是为了清晰地定义由xxxxxx公司（乙方）在本项目中为重庆三峡银行（甲方）提供的服务水平，本SLA主要：</w:t>
      </w:r>
    </w:p>
    <w:p w14:paraId="48BEA522">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明确甲方对外包乙方所提供服务水平的期望</w:t>
      </w:r>
    </w:p>
    <w:p w14:paraId="682A75BF">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规范和加强甲方对乙方所提供服务水平的控制</w:t>
      </w:r>
    </w:p>
    <w:p w14:paraId="16761AF3">
      <w:pPr>
        <w:snapToGrid w:val="0"/>
        <w:spacing w:line="520" w:lineRule="exact"/>
        <w:ind w:firstLine="480" w:firstLineChars="200"/>
        <w:rPr>
          <w:rFonts w:hint="eastAsia" w:ascii="宋体"/>
          <w:color w:val="auto"/>
          <w:highlight w:val="none"/>
        </w:rPr>
      </w:pPr>
      <w:r>
        <w:rPr>
          <w:rFonts w:hint="eastAsia" w:ascii="宋体"/>
          <w:color w:val="auto"/>
          <w:highlight w:val="none"/>
        </w:rPr>
        <w:t>双方将针对本项目制定明确的职责分工表用来确定计划和管理服务水平协议的角色和职责。</w:t>
      </w:r>
    </w:p>
    <w:p w14:paraId="38B304BB">
      <w:pPr>
        <w:snapToGrid w:val="0"/>
        <w:spacing w:line="520" w:lineRule="exact"/>
        <w:rPr>
          <w:rFonts w:hint="eastAsia" w:ascii="宋体"/>
          <w:b/>
          <w:bCs/>
          <w:color w:val="auto"/>
          <w:kern w:val="32"/>
          <w:highlight w:val="none"/>
        </w:rPr>
      </w:pPr>
      <w:bookmarkStart w:id="265" w:name="_Toc254884641"/>
      <w:r>
        <w:rPr>
          <w:rFonts w:hint="eastAsia" w:ascii="宋体"/>
          <w:b/>
          <w:bCs/>
          <w:color w:val="auto"/>
          <w:kern w:val="32"/>
          <w:highlight w:val="none"/>
        </w:rPr>
        <w:t>2. 双方职责</w:t>
      </w:r>
      <w:bookmarkEnd w:id="265"/>
    </w:p>
    <w:p w14:paraId="5B480E62">
      <w:pPr>
        <w:snapToGrid w:val="0"/>
        <w:spacing w:line="520" w:lineRule="exact"/>
        <w:rPr>
          <w:rFonts w:hint="eastAsia" w:ascii="宋体"/>
          <w:b/>
          <w:bCs/>
          <w:color w:val="auto"/>
          <w:kern w:val="32"/>
          <w:highlight w:val="none"/>
        </w:rPr>
      </w:pPr>
      <w:bookmarkStart w:id="266" w:name="_Toc254884642"/>
      <w:r>
        <w:rPr>
          <w:rFonts w:hint="eastAsia" w:ascii="宋体"/>
          <w:b/>
          <w:bCs/>
          <w:color w:val="auto"/>
          <w:kern w:val="32"/>
          <w:highlight w:val="none"/>
        </w:rPr>
        <w:t>2.1乙方</w:t>
      </w:r>
      <w:bookmarkEnd w:id="266"/>
    </w:p>
    <w:p w14:paraId="0AD6BC0E">
      <w:pPr>
        <w:snapToGrid w:val="0"/>
        <w:spacing w:line="520" w:lineRule="exact"/>
        <w:ind w:firstLine="480" w:firstLineChars="200"/>
        <w:rPr>
          <w:rFonts w:hint="eastAsia" w:ascii="宋体"/>
          <w:color w:val="auto"/>
          <w:highlight w:val="none"/>
        </w:rPr>
      </w:pPr>
      <w:r>
        <w:rPr>
          <w:rFonts w:hint="eastAsia" w:ascii="宋体"/>
          <w:color w:val="auto"/>
          <w:highlight w:val="none"/>
        </w:rPr>
        <w:t>除本协议第</w:t>
      </w:r>
      <w:r>
        <w:rPr>
          <w:rFonts w:hint="eastAsia" w:ascii="宋体"/>
          <w:color w:val="auto"/>
          <w:highlight w:val="none"/>
          <w:lang w:val="en-US" w:eastAsia="zh-CN"/>
        </w:rPr>
        <w:t>3</w:t>
      </w:r>
      <w:r>
        <w:rPr>
          <w:rFonts w:hint="eastAsia" w:ascii="宋体"/>
          <w:color w:val="auto"/>
          <w:highlight w:val="none"/>
        </w:rPr>
        <w:t>章节描述的</w:t>
      </w:r>
      <w:r>
        <w:rPr>
          <w:rFonts w:hint="eastAsia" w:ascii="宋体"/>
          <w:color w:val="auto"/>
          <w:highlight w:val="none"/>
          <w:lang w:val="en-US" w:eastAsia="zh-CN"/>
        </w:rPr>
        <w:t>项目要求</w:t>
      </w:r>
      <w:r>
        <w:rPr>
          <w:rFonts w:hint="eastAsia" w:ascii="宋体"/>
          <w:color w:val="auto"/>
          <w:highlight w:val="none"/>
        </w:rPr>
        <w:t>外，乙方还应：</w:t>
      </w:r>
    </w:p>
    <w:p w14:paraId="6909DDF2">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尽快向甲方管理层汇报发现的问题；</w:t>
      </w:r>
    </w:p>
    <w:p w14:paraId="4DB7520E">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任何可能影响SLA中规定服务的服务能力的事件，乙方应尽早向甲方提供预警信息，以及可能的影响和处置措施。事件包括：</w:t>
      </w:r>
    </w:p>
    <w:p w14:paraId="05CF680E">
      <w:pPr>
        <w:widowControl/>
        <w:numPr>
          <w:ilvl w:val="0"/>
          <w:numId w:val="3"/>
        </w:numPr>
        <w:spacing w:line="360" w:lineRule="auto"/>
        <w:jc w:val="left"/>
        <w:rPr>
          <w:rFonts w:hint="eastAsia" w:ascii="宋体"/>
          <w:color w:val="auto"/>
          <w:highlight w:val="none"/>
        </w:rPr>
      </w:pPr>
      <w:r>
        <w:rPr>
          <w:rFonts w:hint="eastAsia" w:ascii="宋体"/>
          <w:color w:val="auto"/>
          <w:highlight w:val="none"/>
        </w:rPr>
        <w:t>组织架构变更</w:t>
      </w:r>
    </w:p>
    <w:p w14:paraId="0A3D1646">
      <w:pPr>
        <w:widowControl/>
        <w:numPr>
          <w:ilvl w:val="0"/>
          <w:numId w:val="3"/>
        </w:numPr>
        <w:spacing w:line="360" w:lineRule="auto"/>
        <w:jc w:val="left"/>
        <w:rPr>
          <w:rFonts w:hint="eastAsia" w:ascii="宋体"/>
          <w:color w:val="auto"/>
          <w:highlight w:val="none"/>
        </w:rPr>
      </w:pPr>
      <w:r>
        <w:rPr>
          <w:rFonts w:hint="eastAsia" w:ascii="宋体"/>
          <w:color w:val="auto"/>
          <w:highlight w:val="none"/>
        </w:rPr>
        <w:t>技术变更</w:t>
      </w:r>
    </w:p>
    <w:p w14:paraId="33800315">
      <w:pPr>
        <w:widowControl/>
        <w:numPr>
          <w:ilvl w:val="0"/>
          <w:numId w:val="3"/>
        </w:numPr>
        <w:spacing w:line="360" w:lineRule="auto"/>
        <w:jc w:val="left"/>
        <w:rPr>
          <w:rFonts w:hint="eastAsia" w:ascii="宋体"/>
          <w:color w:val="auto"/>
          <w:highlight w:val="none"/>
        </w:rPr>
      </w:pPr>
      <w:r>
        <w:rPr>
          <w:rFonts w:hint="eastAsia" w:ascii="宋体"/>
          <w:color w:val="auto"/>
          <w:highlight w:val="none"/>
        </w:rPr>
        <w:t>职能变更</w:t>
      </w:r>
    </w:p>
    <w:p w14:paraId="646E4910">
      <w:pPr>
        <w:widowControl/>
        <w:numPr>
          <w:ilvl w:val="0"/>
          <w:numId w:val="3"/>
        </w:numPr>
        <w:spacing w:line="360" w:lineRule="auto"/>
        <w:jc w:val="left"/>
        <w:rPr>
          <w:rFonts w:hint="eastAsia" w:ascii="宋体"/>
          <w:color w:val="auto"/>
          <w:highlight w:val="none"/>
        </w:rPr>
      </w:pPr>
      <w:r>
        <w:rPr>
          <w:rFonts w:hint="eastAsia" w:ascii="宋体"/>
          <w:color w:val="auto"/>
          <w:highlight w:val="none"/>
        </w:rPr>
        <w:t>其他可能影响对甲方服务的突发事件</w:t>
      </w:r>
    </w:p>
    <w:p w14:paraId="2E91AA06">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 xml:space="preserve"> 协助甲方及时解决生产事件。当问题产生时，应尽快采取适当的措施识别并修复问题。</w:t>
      </w:r>
    </w:p>
    <w:p w14:paraId="0E38A834">
      <w:pPr>
        <w:snapToGrid w:val="0"/>
        <w:spacing w:line="520" w:lineRule="exact"/>
        <w:rPr>
          <w:rFonts w:hint="eastAsia" w:ascii="宋体"/>
          <w:b/>
          <w:bCs/>
          <w:color w:val="auto"/>
          <w:kern w:val="32"/>
          <w:highlight w:val="none"/>
        </w:rPr>
      </w:pPr>
      <w:r>
        <w:rPr>
          <w:rFonts w:hint="eastAsia" w:ascii="宋体"/>
          <w:b/>
          <w:bCs/>
          <w:color w:val="auto"/>
          <w:kern w:val="32"/>
          <w:highlight w:val="none"/>
        </w:rPr>
        <w:t>2.2甲方</w:t>
      </w:r>
    </w:p>
    <w:p w14:paraId="64FDDA26">
      <w:pPr>
        <w:widowControl/>
        <w:numPr>
          <w:ilvl w:val="0"/>
          <w:numId w:val="2"/>
        </w:numPr>
        <w:autoSpaceDE/>
        <w:autoSpaceDN/>
        <w:snapToGrid w:val="0"/>
        <w:spacing w:line="520" w:lineRule="exact"/>
        <w:ind w:firstLine="0" w:firstLineChars="0"/>
        <w:jc w:val="left"/>
        <w:rPr>
          <w:rFonts w:hint="eastAsia" w:eastAsia="宋体"/>
          <w:color w:val="auto"/>
          <w:sz w:val="24"/>
          <w:szCs w:val="24"/>
          <w:highlight w:val="none"/>
        </w:rPr>
      </w:pPr>
      <w:r>
        <w:rPr>
          <w:rFonts w:hint="eastAsia" w:eastAsia="宋体"/>
          <w:color w:val="auto"/>
          <w:sz w:val="24"/>
          <w:szCs w:val="24"/>
          <w:highlight w:val="none"/>
        </w:rPr>
        <w:t>甲方将尽快将问题汇报给乙方管理层；</w:t>
      </w:r>
    </w:p>
    <w:p w14:paraId="10AFF51F">
      <w:pPr>
        <w:widowControl/>
        <w:numPr>
          <w:ilvl w:val="0"/>
          <w:numId w:val="2"/>
        </w:numPr>
        <w:autoSpaceDE/>
        <w:autoSpaceDN/>
        <w:snapToGrid w:val="0"/>
        <w:spacing w:line="520" w:lineRule="exact"/>
        <w:ind w:firstLine="0" w:firstLineChars="0"/>
        <w:jc w:val="left"/>
        <w:rPr>
          <w:rFonts w:hint="eastAsia" w:ascii="宋体"/>
          <w:color w:val="auto"/>
          <w:highlight w:val="none"/>
        </w:rPr>
      </w:pPr>
      <w:r>
        <w:rPr>
          <w:rFonts w:hint="eastAsia" w:eastAsia="宋体"/>
          <w:color w:val="auto"/>
          <w:sz w:val="24"/>
          <w:szCs w:val="24"/>
          <w:highlight w:val="none"/>
        </w:rPr>
        <w:t>提供任何可能影响乙方向甲方提供SLA中规定服务的服务能力的</w:t>
      </w:r>
      <w:r>
        <w:rPr>
          <w:rFonts w:hint="eastAsia" w:ascii="宋体"/>
          <w:color w:val="auto"/>
          <w:highlight w:val="none"/>
        </w:rPr>
        <w:t>事件信息，包括：</w:t>
      </w:r>
    </w:p>
    <w:p w14:paraId="7E5679D8">
      <w:pPr>
        <w:widowControl/>
        <w:numPr>
          <w:ilvl w:val="0"/>
          <w:numId w:val="3"/>
        </w:numPr>
        <w:snapToGrid w:val="0"/>
        <w:spacing w:line="520" w:lineRule="exact"/>
        <w:jc w:val="left"/>
        <w:rPr>
          <w:rFonts w:hint="eastAsia" w:ascii="宋体"/>
          <w:color w:val="auto"/>
          <w:highlight w:val="none"/>
        </w:rPr>
      </w:pPr>
      <w:r>
        <w:rPr>
          <w:rFonts w:hint="eastAsia" w:ascii="宋体"/>
          <w:color w:val="auto"/>
          <w:highlight w:val="none"/>
        </w:rPr>
        <w:t>组织架构变更</w:t>
      </w:r>
    </w:p>
    <w:p w14:paraId="48808736">
      <w:pPr>
        <w:widowControl/>
        <w:numPr>
          <w:ilvl w:val="0"/>
          <w:numId w:val="3"/>
        </w:numPr>
        <w:snapToGrid w:val="0"/>
        <w:spacing w:line="520" w:lineRule="exact"/>
        <w:jc w:val="left"/>
        <w:rPr>
          <w:rFonts w:hint="eastAsia" w:ascii="宋体"/>
          <w:color w:val="auto"/>
          <w:highlight w:val="none"/>
        </w:rPr>
      </w:pPr>
      <w:r>
        <w:rPr>
          <w:rFonts w:hint="eastAsia" w:ascii="宋体"/>
          <w:color w:val="auto"/>
          <w:highlight w:val="none"/>
        </w:rPr>
        <w:t>技术变更</w:t>
      </w:r>
    </w:p>
    <w:p w14:paraId="19B02724">
      <w:pPr>
        <w:widowControl/>
        <w:numPr>
          <w:ilvl w:val="0"/>
          <w:numId w:val="3"/>
        </w:numPr>
        <w:snapToGrid w:val="0"/>
        <w:spacing w:line="520" w:lineRule="exact"/>
        <w:jc w:val="left"/>
        <w:rPr>
          <w:rFonts w:hint="eastAsia" w:ascii="宋体"/>
          <w:color w:val="auto"/>
          <w:highlight w:val="none"/>
        </w:rPr>
      </w:pPr>
      <w:r>
        <w:rPr>
          <w:rFonts w:hint="eastAsia" w:ascii="宋体"/>
          <w:color w:val="auto"/>
          <w:highlight w:val="none"/>
        </w:rPr>
        <w:t>职能变更</w:t>
      </w:r>
    </w:p>
    <w:p w14:paraId="07AF1EE5">
      <w:pPr>
        <w:snapToGrid w:val="0"/>
        <w:spacing w:line="520" w:lineRule="exact"/>
        <w:rPr>
          <w:rFonts w:hint="eastAsia" w:ascii="宋体"/>
          <w:b/>
          <w:bCs/>
          <w:color w:val="auto"/>
          <w:kern w:val="32"/>
          <w:highlight w:val="none"/>
        </w:rPr>
      </w:pPr>
      <w:bookmarkStart w:id="267" w:name="_Toc254884648"/>
      <w:r>
        <w:rPr>
          <w:rFonts w:hint="eastAsia" w:ascii="宋体"/>
          <w:b/>
          <w:bCs/>
          <w:color w:val="auto"/>
          <w:kern w:val="32"/>
          <w:highlight w:val="none"/>
        </w:rPr>
        <w:t>3.联络表</w:t>
      </w:r>
      <w:bookmarkEnd w:id="267"/>
    </w:p>
    <w:tbl>
      <w:tblPr>
        <w:tblStyle w:val="19"/>
        <w:tblW w:w="8028" w:type="dxa"/>
        <w:tblInd w:w="675" w:type="dxa"/>
        <w:tblLayout w:type="fixed"/>
        <w:tblCellMar>
          <w:top w:w="0" w:type="dxa"/>
          <w:left w:w="108" w:type="dxa"/>
          <w:bottom w:w="0" w:type="dxa"/>
          <w:right w:w="108" w:type="dxa"/>
        </w:tblCellMar>
      </w:tblPr>
      <w:tblGrid>
        <w:gridCol w:w="2382"/>
        <w:gridCol w:w="2451"/>
        <w:gridCol w:w="3195"/>
      </w:tblGrid>
      <w:tr w14:paraId="6AC6AAC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5E3402D6">
            <w:pPr>
              <w:snapToGrid w:val="0"/>
              <w:spacing w:line="520" w:lineRule="exact"/>
              <w:jc w:val="center"/>
              <w:rPr>
                <w:rFonts w:hint="eastAsia" w:ascii="宋体"/>
                <w:color w:val="auto"/>
                <w:highlight w:val="none"/>
              </w:rPr>
            </w:pPr>
            <w:r>
              <w:rPr>
                <w:rFonts w:hint="eastAsia" w:ascii="宋体"/>
                <w:b/>
                <w:color w:val="auto"/>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val="0"/>
            <w:vAlign w:val="top"/>
          </w:tcPr>
          <w:p w14:paraId="03D8B9C3">
            <w:pPr>
              <w:snapToGrid w:val="0"/>
              <w:spacing w:line="520" w:lineRule="exact"/>
              <w:jc w:val="center"/>
              <w:rPr>
                <w:rFonts w:hint="eastAsia" w:ascii="宋体"/>
                <w:b/>
                <w:color w:val="auto"/>
                <w:highlight w:val="none"/>
              </w:rPr>
            </w:pPr>
            <w:r>
              <w:rPr>
                <w:rFonts w:hint="eastAsia" w:ascii="宋体"/>
                <w:b/>
                <w:color w:val="auto"/>
                <w:highlight w:val="none"/>
              </w:rPr>
              <w:t>职务</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0357260">
            <w:pPr>
              <w:snapToGrid w:val="0"/>
              <w:spacing w:line="520" w:lineRule="exact"/>
              <w:jc w:val="center"/>
              <w:rPr>
                <w:rFonts w:hint="eastAsia" w:ascii="宋体"/>
                <w:b/>
                <w:color w:val="auto"/>
                <w:highlight w:val="none"/>
              </w:rPr>
            </w:pPr>
            <w:r>
              <w:rPr>
                <w:rFonts w:hint="eastAsia" w:ascii="宋体"/>
                <w:b/>
                <w:color w:val="auto"/>
                <w:highlight w:val="none"/>
              </w:rPr>
              <w:t>电话</w:t>
            </w:r>
          </w:p>
        </w:tc>
      </w:tr>
      <w:tr w14:paraId="6776C81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3AB39338">
            <w:pPr>
              <w:snapToGrid w:val="0"/>
              <w:spacing w:line="520" w:lineRule="exact"/>
              <w:jc w:val="center"/>
              <w:rPr>
                <w:rFonts w:hint="eastAsia" w:ascii="宋体"/>
                <w:color w:val="auto"/>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4B95DEA0">
            <w:pPr>
              <w:snapToGrid w:val="0"/>
              <w:spacing w:line="520" w:lineRule="exact"/>
              <w:jc w:val="center"/>
              <w:rPr>
                <w:rFonts w:hint="eastAsia" w:ascii="宋体"/>
                <w:color w:val="auto"/>
                <w:highlight w:val="none"/>
              </w:rPr>
            </w:pPr>
            <w:r>
              <w:rPr>
                <w:rFonts w:hint="eastAsia" w:ascii="宋体"/>
                <w:color w:val="auto"/>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72630A85">
            <w:pPr>
              <w:snapToGrid w:val="0"/>
              <w:spacing w:line="520" w:lineRule="exact"/>
              <w:jc w:val="center"/>
              <w:rPr>
                <w:rFonts w:hint="eastAsia" w:ascii="宋体"/>
                <w:color w:val="auto"/>
                <w:highlight w:val="none"/>
              </w:rPr>
            </w:pPr>
          </w:p>
        </w:tc>
      </w:tr>
      <w:tr w14:paraId="24D6994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5A4EB57B">
            <w:pPr>
              <w:snapToGrid w:val="0"/>
              <w:spacing w:line="520" w:lineRule="exact"/>
              <w:jc w:val="center"/>
              <w:rPr>
                <w:rFonts w:hint="eastAsia" w:ascii="宋体"/>
                <w:color w:val="auto"/>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25D1EFE6">
            <w:pPr>
              <w:snapToGrid w:val="0"/>
              <w:spacing w:line="520" w:lineRule="exact"/>
              <w:jc w:val="center"/>
              <w:rPr>
                <w:rFonts w:hint="eastAsia" w:ascii="宋体"/>
                <w:color w:val="auto"/>
                <w:highlight w:val="none"/>
              </w:rPr>
            </w:pPr>
            <w:r>
              <w:rPr>
                <w:rFonts w:hint="eastAsia" w:ascii="宋体"/>
                <w:color w:val="auto"/>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6DC0B452">
            <w:pPr>
              <w:snapToGrid w:val="0"/>
              <w:spacing w:line="520" w:lineRule="exact"/>
              <w:jc w:val="center"/>
              <w:rPr>
                <w:rFonts w:hint="eastAsia" w:ascii="宋体"/>
                <w:color w:val="auto"/>
                <w:highlight w:val="none"/>
              </w:rPr>
            </w:pPr>
          </w:p>
        </w:tc>
      </w:tr>
      <w:tr w14:paraId="0B83BFFD">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val="0"/>
            <w:vAlign w:val="top"/>
          </w:tcPr>
          <w:p w14:paraId="758B32A3">
            <w:pPr>
              <w:snapToGrid w:val="0"/>
              <w:spacing w:line="520" w:lineRule="exact"/>
              <w:jc w:val="center"/>
              <w:rPr>
                <w:rFonts w:hint="eastAsia" w:ascii="宋体"/>
                <w:color w:val="auto"/>
                <w:highlight w:val="none"/>
              </w:rPr>
            </w:pPr>
          </w:p>
        </w:tc>
        <w:tc>
          <w:tcPr>
            <w:tcW w:w="2451" w:type="dxa"/>
            <w:tcBorders>
              <w:top w:val="single" w:color="auto" w:sz="4" w:space="0"/>
              <w:left w:val="single" w:color="auto" w:sz="4" w:space="0"/>
              <w:bottom w:val="single" w:color="auto" w:sz="4" w:space="0"/>
              <w:right w:val="single" w:color="auto" w:sz="4" w:space="0"/>
            </w:tcBorders>
            <w:noWrap w:val="0"/>
            <w:vAlign w:val="top"/>
          </w:tcPr>
          <w:p w14:paraId="2091ECC9">
            <w:pPr>
              <w:snapToGrid w:val="0"/>
              <w:spacing w:line="520" w:lineRule="exact"/>
              <w:jc w:val="center"/>
              <w:rPr>
                <w:rFonts w:hint="eastAsia" w:ascii="宋体"/>
                <w:color w:val="auto"/>
                <w:highlight w:val="none"/>
              </w:rPr>
            </w:pPr>
            <w:r>
              <w:rPr>
                <w:rFonts w:hint="eastAsia" w:ascii="宋体"/>
                <w:color w:val="auto"/>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val="0"/>
            <w:vAlign w:val="top"/>
          </w:tcPr>
          <w:p w14:paraId="25F561EF">
            <w:pPr>
              <w:snapToGrid w:val="0"/>
              <w:spacing w:line="520" w:lineRule="exact"/>
              <w:jc w:val="center"/>
              <w:rPr>
                <w:rFonts w:hint="eastAsia" w:ascii="宋体"/>
                <w:color w:val="auto"/>
                <w:highlight w:val="none"/>
              </w:rPr>
            </w:pPr>
          </w:p>
        </w:tc>
      </w:tr>
    </w:tbl>
    <w:p w14:paraId="308D29A2">
      <w:pPr>
        <w:snapToGrid w:val="0"/>
        <w:spacing w:line="520" w:lineRule="exact"/>
        <w:rPr>
          <w:rFonts w:hint="eastAsia"/>
          <w:color w:val="auto"/>
          <w:highlight w:val="none"/>
        </w:rPr>
      </w:pPr>
    </w:p>
    <w:p w14:paraId="432F4576">
      <w:pPr>
        <w:snapToGrid w:val="0"/>
        <w:spacing w:line="520" w:lineRule="exact"/>
        <w:rPr>
          <w:rFonts w:hint="eastAsia" w:ascii="宋体"/>
          <w:b/>
          <w:bCs/>
          <w:color w:val="auto"/>
          <w:kern w:val="32"/>
          <w:highlight w:val="none"/>
        </w:rPr>
      </w:pPr>
      <w:r>
        <w:rPr>
          <w:rFonts w:hint="eastAsia" w:ascii="宋体"/>
          <w:b/>
          <w:bCs/>
          <w:color w:val="auto"/>
          <w:kern w:val="32"/>
          <w:highlight w:val="none"/>
        </w:rPr>
        <w:t>4.服务水平和指标</w:t>
      </w:r>
    </w:p>
    <w:p w14:paraId="1012CEF8">
      <w:pPr>
        <w:snapToGrid w:val="0"/>
        <w:spacing w:line="520" w:lineRule="exact"/>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19"/>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709"/>
      </w:tblGrid>
      <w:tr w14:paraId="12A2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noWrap w:val="0"/>
            <w:vAlign w:val="center"/>
          </w:tcPr>
          <w:p w14:paraId="7B775BD6">
            <w:pPr>
              <w:widowControl/>
              <w:snapToGrid w:val="0"/>
              <w:ind w:left="0" w:leftChars="0" w:firstLine="0" w:firstLineChars="0"/>
              <w:jc w:val="both"/>
              <w:rPr>
                <w:rFonts w:hint="eastAsia" w:ascii="宋体"/>
                <w:b/>
                <w:color w:val="auto"/>
                <w:highlight w:val="none"/>
              </w:rPr>
            </w:pPr>
            <w:r>
              <w:rPr>
                <w:rFonts w:hint="eastAsia" w:ascii="宋体"/>
                <w:b/>
                <w:color w:val="auto"/>
                <w:highlight w:val="none"/>
                <w:lang w:val="en-US" w:eastAsia="zh-CN"/>
              </w:rPr>
              <w:t>序</w:t>
            </w:r>
            <w:r>
              <w:rPr>
                <w:rFonts w:hint="eastAsia" w:ascii="宋体"/>
                <w:b/>
                <w:color w:val="auto"/>
                <w:highlight w:val="none"/>
              </w:rPr>
              <w:t>号</w:t>
            </w:r>
          </w:p>
        </w:tc>
        <w:tc>
          <w:tcPr>
            <w:tcW w:w="710" w:type="dxa"/>
            <w:noWrap w:val="0"/>
            <w:vAlign w:val="center"/>
          </w:tcPr>
          <w:p w14:paraId="47E44BDB">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服务内容</w:t>
            </w:r>
          </w:p>
        </w:tc>
        <w:tc>
          <w:tcPr>
            <w:tcW w:w="1134" w:type="dxa"/>
            <w:noWrap w:val="0"/>
            <w:vAlign w:val="center"/>
          </w:tcPr>
          <w:p w14:paraId="370C26E6">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服务定义</w:t>
            </w:r>
          </w:p>
        </w:tc>
        <w:tc>
          <w:tcPr>
            <w:tcW w:w="1701" w:type="dxa"/>
            <w:noWrap w:val="0"/>
            <w:vAlign w:val="center"/>
          </w:tcPr>
          <w:p w14:paraId="5B2602B5">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服务标准</w:t>
            </w:r>
          </w:p>
        </w:tc>
        <w:tc>
          <w:tcPr>
            <w:tcW w:w="1842" w:type="dxa"/>
            <w:noWrap w:val="0"/>
            <w:vAlign w:val="center"/>
          </w:tcPr>
          <w:p w14:paraId="5C426278">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指标计算</w:t>
            </w:r>
          </w:p>
        </w:tc>
        <w:tc>
          <w:tcPr>
            <w:tcW w:w="1843" w:type="dxa"/>
            <w:noWrap w:val="0"/>
            <w:vAlign w:val="center"/>
          </w:tcPr>
          <w:p w14:paraId="65C44EE1">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服务水平要求</w:t>
            </w:r>
          </w:p>
        </w:tc>
        <w:tc>
          <w:tcPr>
            <w:tcW w:w="1843" w:type="dxa"/>
            <w:noWrap w:val="0"/>
            <w:vAlign w:val="center"/>
          </w:tcPr>
          <w:p w14:paraId="68DF646D">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违约金标准</w:t>
            </w:r>
          </w:p>
        </w:tc>
        <w:tc>
          <w:tcPr>
            <w:tcW w:w="709" w:type="dxa"/>
            <w:noWrap w:val="0"/>
            <w:vAlign w:val="top"/>
          </w:tcPr>
          <w:p w14:paraId="761A9DA9">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是否满意</w:t>
            </w:r>
          </w:p>
        </w:tc>
      </w:tr>
      <w:tr w14:paraId="62E5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noWrap w:val="0"/>
            <w:vAlign w:val="center"/>
          </w:tcPr>
          <w:p w14:paraId="04ACC84D">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1</w:t>
            </w:r>
          </w:p>
        </w:tc>
        <w:tc>
          <w:tcPr>
            <w:tcW w:w="710" w:type="dxa"/>
            <w:noWrap w:val="0"/>
            <w:vAlign w:val="center"/>
          </w:tcPr>
          <w:p w14:paraId="054136C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任务响应</w:t>
            </w:r>
          </w:p>
        </w:tc>
        <w:tc>
          <w:tcPr>
            <w:tcW w:w="1134" w:type="dxa"/>
            <w:noWrap w:val="0"/>
            <w:vAlign w:val="center"/>
          </w:tcPr>
          <w:p w14:paraId="2B048C4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衡量乙方在需求与问题响应方面的能力</w:t>
            </w:r>
          </w:p>
        </w:tc>
        <w:tc>
          <w:tcPr>
            <w:tcW w:w="1701" w:type="dxa"/>
            <w:noWrap w:val="0"/>
            <w:vAlign w:val="center"/>
          </w:tcPr>
          <w:p w14:paraId="78BE415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1842" w:type="dxa"/>
            <w:noWrap w:val="0"/>
            <w:vAlign w:val="center"/>
          </w:tcPr>
          <w:p w14:paraId="09B219A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1843" w:type="dxa"/>
            <w:noWrap w:val="0"/>
            <w:vAlign w:val="center"/>
          </w:tcPr>
          <w:p w14:paraId="6F48BAC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乙方不得违反承诺响应时间</w:t>
            </w:r>
          </w:p>
        </w:tc>
        <w:tc>
          <w:tcPr>
            <w:tcW w:w="1843" w:type="dxa"/>
            <w:noWrap w:val="0"/>
            <w:vAlign w:val="center"/>
          </w:tcPr>
          <w:p w14:paraId="2ACCC83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如违反承诺的响应时间要求，每次扣除1000元违约金</w:t>
            </w:r>
          </w:p>
        </w:tc>
        <w:tc>
          <w:tcPr>
            <w:tcW w:w="709" w:type="dxa"/>
            <w:noWrap w:val="0"/>
            <w:vAlign w:val="top"/>
          </w:tcPr>
          <w:p w14:paraId="2D296D56">
            <w:pPr>
              <w:widowControl/>
              <w:snapToGrid w:val="0"/>
              <w:spacing w:line="320" w:lineRule="exact"/>
              <w:jc w:val="left"/>
              <w:rPr>
                <w:rFonts w:hint="eastAsia" w:ascii="宋体"/>
                <w:color w:val="auto"/>
                <w:highlight w:val="none"/>
              </w:rPr>
            </w:pPr>
          </w:p>
        </w:tc>
      </w:tr>
      <w:tr w14:paraId="7874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noWrap w:val="0"/>
            <w:vAlign w:val="center"/>
          </w:tcPr>
          <w:p w14:paraId="3DE85680">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2</w:t>
            </w:r>
          </w:p>
        </w:tc>
        <w:tc>
          <w:tcPr>
            <w:tcW w:w="710" w:type="dxa"/>
            <w:noWrap w:val="0"/>
            <w:vAlign w:val="center"/>
          </w:tcPr>
          <w:p w14:paraId="6B0FE7A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任务完成情况</w:t>
            </w:r>
          </w:p>
        </w:tc>
        <w:tc>
          <w:tcPr>
            <w:tcW w:w="1134" w:type="dxa"/>
            <w:noWrap w:val="0"/>
            <w:vAlign w:val="center"/>
          </w:tcPr>
          <w:p w14:paraId="609509A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衡量乙方按计划完成任务的能力</w:t>
            </w:r>
          </w:p>
        </w:tc>
        <w:tc>
          <w:tcPr>
            <w:tcW w:w="1701" w:type="dxa"/>
            <w:noWrap w:val="0"/>
            <w:vAlign w:val="center"/>
          </w:tcPr>
          <w:p w14:paraId="1CD8A3A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乙方应当在双方确认的时间内完成任务</w:t>
            </w:r>
          </w:p>
        </w:tc>
        <w:tc>
          <w:tcPr>
            <w:tcW w:w="1842" w:type="dxa"/>
            <w:noWrap w:val="0"/>
            <w:vAlign w:val="center"/>
          </w:tcPr>
          <w:p w14:paraId="051562A0">
            <w:pPr>
              <w:widowControl/>
              <w:snapToGrid w:val="0"/>
              <w:spacing w:line="320" w:lineRule="exact"/>
              <w:ind w:left="0" w:leftChars="0" w:firstLine="0" w:firstLineChars="0"/>
              <w:jc w:val="left"/>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1843" w:type="dxa"/>
            <w:noWrap w:val="0"/>
            <w:vAlign w:val="center"/>
          </w:tcPr>
          <w:p w14:paraId="62D28E9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任务完成及时率≥90%</w:t>
            </w:r>
          </w:p>
        </w:tc>
        <w:tc>
          <w:tcPr>
            <w:tcW w:w="1843" w:type="dxa"/>
            <w:noWrap w:val="0"/>
            <w:vAlign w:val="center"/>
          </w:tcPr>
          <w:p w14:paraId="741A5B85">
            <w:pPr>
              <w:widowControl/>
              <w:snapToGrid w:val="0"/>
              <w:spacing w:line="320" w:lineRule="exact"/>
              <w:jc w:val="left"/>
              <w:rPr>
                <w:rFonts w:hint="eastAsia" w:ascii="宋体"/>
                <w:color w:val="auto"/>
                <w:highlight w:val="none"/>
              </w:rPr>
            </w:pPr>
          </w:p>
        </w:tc>
        <w:tc>
          <w:tcPr>
            <w:tcW w:w="709" w:type="dxa"/>
            <w:noWrap w:val="0"/>
            <w:vAlign w:val="top"/>
          </w:tcPr>
          <w:p w14:paraId="4C969B95">
            <w:pPr>
              <w:widowControl/>
              <w:snapToGrid w:val="0"/>
              <w:spacing w:line="320" w:lineRule="exact"/>
              <w:jc w:val="left"/>
              <w:rPr>
                <w:rFonts w:hint="eastAsia" w:ascii="宋体"/>
                <w:color w:val="auto"/>
                <w:highlight w:val="none"/>
              </w:rPr>
            </w:pPr>
          </w:p>
        </w:tc>
      </w:tr>
      <w:tr w14:paraId="239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noWrap w:val="0"/>
            <w:vAlign w:val="center"/>
          </w:tcPr>
          <w:p w14:paraId="62F9125A">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3</w:t>
            </w:r>
          </w:p>
        </w:tc>
        <w:tc>
          <w:tcPr>
            <w:tcW w:w="710" w:type="dxa"/>
            <w:noWrap w:val="0"/>
            <w:vAlign w:val="center"/>
          </w:tcPr>
          <w:p w14:paraId="4433E989">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项目延期</w:t>
            </w:r>
          </w:p>
        </w:tc>
        <w:tc>
          <w:tcPr>
            <w:tcW w:w="1134" w:type="dxa"/>
            <w:noWrap w:val="0"/>
            <w:vAlign w:val="center"/>
          </w:tcPr>
          <w:p w14:paraId="78DD7B3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衡量乙方对项目整体实施进度的控制能力</w:t>
            </w:r>
          </w:p>
        </w:tc>
        <w:tc>
          <w:tcPr>
            <w:tcW w:w="1701" w:type="dxa"/>
            <w:noWrap w:val="0"/>
            <w:vAlign w:val="center"/>
          </w:tcPr>
          <w:p w14:paraId="286B95F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乙方原因导致的项目进度偏差</w:t>
            </w:r>
          </w:p>
        </w:tc>
        <w:tc>
          <w:tcPr>
            <w:tcW w:w="1842" w:type="dxa"/>
            <w:noWrap w:val="0"/>
            <w:vAlign w:val="center"/>
          </w:tcPr>
          <w:p w14:paraId="52ABF08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按项目计划为基准计算进度偏差天数</w:t>
            </w:r>
          </w:p>
        </w:tc>
        <w:tc>
          <w:tcPr>
            <w:tcW w:w="1843" w:type="dxa"/>
            <w:noWrap w:val="0"/>
            <w:vAlign w:val="center"/>
          </w:tcPr>
          <w:p w14:paraId="247BC73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1843" w:type="dxa"/>
            <w:noWrap w:val="0"/>
            <w:vAlign w:val="center"/>
          </w:tcPr>
          <w:p w14:paraId="525565C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c>
          <w:tcPr>
            <w:tcW w:w="709" w:type="dxa"/>
            <w:noWrap w:val="0"/>
            <w:vAlign w:val="top"/>
          </w:tcPr>
          <w:p w14:paraId="29A80DBA">
            <w:pPr>
              <w:widowControl/>
              <w:snapToGrid w:val="0"/>
              <w:spacing w:line="320" w:lineRule="exact"/>
              <w:jc w:val="left"/>
              <w:rPr>
                <w:rFonts w:hint="eastAsia" w:ascii="宋体"/>
                <w:color w:val="auto"/>
                <w:highlight w:val="none"/>
              </w:rPr>
            </w:pPr>
          </w:p>
        </w:tc>
      </w:tr>
      <w:tr w14:paraId="4C9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7" w:type="dxa"/>
            <w:noWrap w:val="0"/>
            <w:vAlign w:val="center"/>
          </w:tcPr>
          <w:p w14:paraId="067F4F49">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4</w:t>
            </w:r>
          </w:p>
        </w:tc>
        <w:tc>
          <w:tcPr>
            <w:tcW w:w="710" w:type="dxa"/>
            <w:noWrap w:val="0"/>
            <w:vAlign w:val="center"/>
          </w:tcPr>
          <w:p w14:paraId="44E6034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驻场时间</w:t>
            </w:r>
          </w:p>
        </w:tc>
        <w:tc>
          <w:tcPr>
            <w:tcW w:w="1134" w:type="dxa"/>
            <w:noWrap w:val="0"/>
            <w:vAlign w:val="center"/>
          </w:tcPr>
          <w:p w14:paraId="4AF029C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衡量乙方关键咨询专家驻场服务时间</w:t>
            </w:r>
          </w:p>
        </w:tc>
        <w:tc>
          <w:tcPr>
            <w:tcW w:w="1701" w:type="dxa"/>
            <w:noWrap w:val="0"/>
            <w:vAlign w:val="center"/>
          </w:tcPr>
          <w:p w14:paraId="388ABB6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乙方专家实际驻场时间应与合同约定时间一致</w:t>
            </w:r>
          </w:p>
        </w:tc>
        <w:tc>
          <w:tcPr>
            <w:tcW w:w="1842" w:type="dxa"/>
            <w:noWrap w:val="0"/>
            <w:vAlign w:val="center"/>
          </w:tcPr>
          <w:p w14:paraId="422F49D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按实际天数与合同约定天数对比</w:t>
            </w:r>
          </w:p>
        </w:tc>
        <w:tc>
          <w:tcPr>
            <w:tcW w:w="1843" w:type="dxa"/>
            <w:noWrap w:val="0"/>
            <w:vAlign w:val="center"/>
          </w:tcPr>
          <w:p w14:paraId="162D46C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乙方不得违反承诺驻场时间</w:t>
            </w:r>
          </w:p>
        </w:tc>
        <w:tc>
          <w:tcPr>
            <w:tcW w:w="1843" w:type="dxa"/>
            <w:noWrap w:val="0"/>
            <w:vAlign w:val="center"/>
          </w:tcPr>
          <w:p w14:paraId="2F1B5CA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实际驻场天数与合同约定天数每偏差1天，扣除合同金额5000元</w:t>
            </w:r>
          </w:p>
        </w:tc>
        <w:tc>
          <w:tcPr>
            <w:tcW w:w="709" w:type="dxa"/>
            <w:noWrap w:val="0"/>
            <w:vAlign w:val="top"/>
          </w:tcPr>
          <w:p w14:paraId="2C00D80D">
            <w:pPr>
              <w:widowControl/>
              <w:snapToGrid w:val="0"/>
              <w:spacing w:line="320" w:lineRule="exact"/>
              <w:jc w:val="left"/>
              <w:rPr>
                <w:rFonts w:hint="eastAsia" w:ascii="宋体"/>
                <w:color w:val="auto"/>
                <w:highlight w:val="none"/>
              </w:rPr>
            </w:pPr>
          </w:p>
        </w:tc>
      </w:tr>
      <w:tr w14:paraId="5B2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noWrap w:val="0"/>
            <w:vAlign w:val="center"/>
          </w:tcPr>
          <w:p w14:paraId="40A474D4">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5</w:t>
            </w:r>
          </w:p>
        </w:tc>
        <w:tc>
          <w:tcPr>
            <w:tcW w:w="710" w:type="dxa"/>
            <w:noWrap w:val="0"/>
            <w:vAlign w:val="center"/>
          </w:tcPr>
          <w:p w14:paraId="70B6B9E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交付文档数量及质量</w:t>
            </w:r>
          </w:p>
        </w:tc>
        <w:tc>
          <w:tcPr>
            <w:tcW w:w="1134" w:type="dxa"/>
            <w:noWrap w:val="0"/>
            <w:vAlign w:val="center"/>
          </w:tcPr>
          <w:p w14:paraId="4CA5F16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衡量甲方内部人员对乙方所提供文档的满意情况</w:t>
            </w:r>
          </w:p>
        </w:tc>
        <w:tc>
          <w:tcPr>
            <w:tcW w:w="1701" w:type="dxa"/>
            <w:noWrap w:val="0"/>
            <w:vAlign w:val="center"/>
          </w:tcPr>
          <w:p w14:paraId="2ACE991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交付文档数量及质量满足甲方要求</w:t>
            </w:r>
          </w:p>
        </w:tc>
        <w:tc>
          <w:tcPr>
            <w:tcW w:w="1842" w:type="dxa"/>
            <w:noWrap w:val="0"/>
            <w:vAlign w:val="center"/>
          </w:tcPr>
          <w:p w14:paraId="5732B91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甲方根据乙方实际交付的文档数量及文档质量计算</w:t>
            </w:r>
          </w:p>
        </w:tc>
        <w:tc>
          <w:tcPr>
            <w:tcW w:w="1843" w:type="dxa"/>
            <w:noWrap w:val="0"/>
            <w:vAlign w:val="center"/>
          </w:tcPr>
          <w:p w14:paraId="3F7E0E99">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文档实际交付数量不少于甲方要求数量（文档实际交付数量是指文档交付甲方后甲方确认文档质量并实际接收的文档数量）</w:t>
            </w:r>
          </w:p>
        </w:tc>
        <w:tc>
          <w:tcPr>
            <w:tcW w:w="1843" w:type="dxa"/>
            <w:noWrap w:val="0"/>
            <w:vAlign w:val="center"/>
          </w:tcPr>
          <w:p w14:paraId="5EC7852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c>
          <w:tcPr>
            <w:tcW w:w="709" w:type="dxa"/>
            <w:noWrap w:val="0"/>
            <w:vAlign w:val="top"/>
          </w:tcPr>
          <w:p w14:paraId="3980287C">
            <w:pPr>
              <w:widowControl/>
              <w:snapToGrid w:val="0"/>
              <w:spacing w:line="320" w:lineRule="exact"/>
              <w:jc w:val="left"/>
              <w:rPr>
                <w:rFonts w:hint="eastAsia" w:ascii="宋体"/>
                <w:color w:val="auto"/>
                <w:highlight w:val="none"/>
              </w:rPr>
            </w:pPr>
          </w:p>
        </w:tc>
      </w:tr>
      <w:tr w14:paraId="1BDE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noWrap w:val="0"/>
            <w:vAlign w:val="center"/>
          </w:tcPr>
          <w:p w14:paraId="5E7EE68F">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6</w:t>
            </w:r>
          </w:p>
        </w:tc>
        <w:tc>
          <w:tcPr>
            <w:tcW w:w="710" w:type="dxa"/>
            <w:noWrap w:val="0"/>
            <w:vAlign w:val="center"/>
          </w:tcPr>
          <w:p w14:paraId="7541508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人力资源投入及人员稳定性</w:t>
            </w:r>
          </w:p>
        </w:tc>
        <w:tc>
          <w:tcPr>
            <w:tcW w:w="1134" w:type="dxa"/>
            <w:noWrap w:val="0"/>
            <w:vAlign w:val="center"/>
          </w:tcPr>
          <w:p w14:paraId="0E1D1E1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衡量乙方人员服务的符合度及人员稳定性</w:t>
            </w:r>
          </w:p>
        </w:tc>
        <w:tc>
          <w:tcPr>
            <w:tcW w:w="1701" w:type="dxa"/>
            <w:noWrap w:val="0"/>
            <w:vAlign w:val="center"/>
          </w:tcPr>
          <w:p w14:paraId="7AC28B4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投入人员情况符合投标文件或合同要求，乙方项目组人员变动比例不得高于30%</w:t>
            </w:r>
          </w:p>
        </w:tc>
        <w:tc>
          <w:tcPr>
            <w:tcW w:w="1842" w:type="dxa"/>
            <w:noWrap w:val="0"/>
            <w:vAlign w:val="center"/>
          </w:tcPr>
          <w:p w14:paraId="1612EFC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甲方按合同要求判定乙方人员投入及变动情况</w:t>
            </w:r>
          </w:p>
        </w:tc>
        <w:tc>
          <w:tcPr>
            <w:tcW w:w="1843" w:type="dxa"/>
            <w:noWrap w:val="0"/>
            <w:vAlign w:val="center"/>
          </w:tcPr>
          <w:p w14:paraId="3FF35D6F">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人员数量差异=承诺人数-实际人数</w:t>
            </w:r>
          </w:p>
          <w:p w14:paraId="15A0F02E">
            <w:pPr>
              <w:widowControl/>
              <w:snapToGrid w:val="0"/>
              <w:spacing w:line="320" w:lineRule="exact"/>
              <w:ind w:left="105" w:hanging="120" w:hangingChars="50"/>
              <w:jc w:val="left"/>
              <w:rPr>
                <w:rFonts w:hint="eastAsia" w:ascii="宋体"/>
                <w:color w:val="auto"/>
                <w:highlight w:val="none"/>
              </w:rPr>
            </w:pPr>
            <w:r>
              <w:rPr>
                <w:rFonts w:hint="eastAsia" w:ascii="宋体"/>
                <w:color w:val="auto"/>
                <w:highlight w:val="none"/>
              </w:rPr>
              <w:t>人员变动率=人员变动人数/原项目组人员总人数（人员数量差异≤2；人咨询骨干专家不得变动；咨询人员变动率≤30%）</w:t>
            </w:r>
          </w:p>
        </w:tc>
        <w:tc>
          <w:tcPr>
            <w:tcW w:w="1843" w:type="dxa"/>
            <w:noWrap w:val="0"/>
            <w:vAlign w:val="center"/>
          </w:tcPr>
          <w:p w14:paraId="7AEFD13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咨询专家变动扣除专家人月单价（至少不低于5万元），咨询人员变动高于超过30%，扣除合同金额10%</w:t>
            </w:r>
          </w:p>
        </w:tc>
        <w:tc>
          <w:tcPr>
            <w:tcW w:w="709" w:type="dxa"/>
            <w:noWrap w:val="0"/>
            <w:vAlign w:val="top"/>
          </w:tcPr>
          <w:p w14:paraId="4E627E54">
            <w:pPr>
              <w:widowControl/>
              <w:snapToGrid w:val="0"/>
              <w:spacing w:line="320" w:lineRule="exact"/>
              <w:jc w:val="left"/>
              <w:rPr>
                <w:rFonts w:hint="eastAsia" w:ascii="宋体"/>
                <w:color w:val="auto"/>
                <w:highlight w:val="none"/>
              </w:rPr>
            </w:pPr>
          </w:p>
        </w:tc>
      </w:tr>
      <w:tr w14:paraId="4F13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noWrap w:val="0"/>
            <w:vAlign w:val="center"/>
          </w:tcPr>
          <w:p w14:paraId="1C8BFE9D">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7</w:t>
            </w:r>
          </w:p>
        </w:tc>
        <w:tc>
          <w:tcPr>
            <w:tcW w:w="710" w:type="dxa"/>
            <w:noWrap w:val="0"/>
            <w:vAlign w:val="center"/>
          </w:tcPr>
          <w:p w14:paraId="1288593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人员异常退出</w:t>
            </w:r>
          </w:p>
        </w:tc>
        <w:tc>
          <w:tcPr>
            <w:tcW w:w="1134" w:type="dxa"/>
            <w:noWrap w:val="0"/>
            <w:vAlign w:val="center"/>
          </w:tcPr>
          <w:p w14:paraId="4682E14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衡量乙方人员是否提供持续服务</w:t>
            </w:r>
          </w:p>
        </w:tc>
        <w:tc>
          <w:tcPr>
            <w:tcW w:w="1701" w:type="dxa"/>
            <w:noWrap w:val="0"/>
            <w:vAlign w:val="center"/>
          </w:tcPr>
          <w:p w14:paraId="6BDF7D7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未经甲方同意，乙方人员辞职和离职或无计划的调离项目组</w:t>
            </w:r>
          </w:p>
        </w:tc>
        <w:tc>
          <w:tcPr>
            <w:tcW w:w="1842" w:type="dxa"/>
            <w:noWrap w:val="0"/>
            <w:vAlign w:val="center"/>
          </w:tcPr>
          <w:p w14:paraId="44B0B82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甲方根据乙方人员退出的具体时间和原因测算</w:t>
            </w:r>
          </w:p>
        </w:tc>
        <w:tc>
          <w:tcPr>
            <w:tcW w:w="1843" w:type="dxa"/>
            <w:noWrap w:val="0"/>
            <w:vAlign w:val="center"/>
          </w:tcPr>
          <w:p w14:paraId="694C164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人员异常退出次数=0</w:t>
            </w:r>
          </w:p>
        </w:tc>
        <w:tc>
          <w:tcPr>
            <w:tcW w:w="1843" w:type="dxa"/>
            <w:noWrap w:val="0"/>
            <w:vAlign w:val="center"/>
          </w:tcPr>
          <w:p w14:paraId="582D2FF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每次人员异常退出扣除乙方金额人民币1000元</w:t>
            </w:r>
          </w:p>
        </w:tc>
        <w:tc>
          <w:tcPr>
            <w:tcW w:w="709" w:type="dxa"/>
            <w:noWrap w:val="0"/>
            <w:vAlign w:val="top"/>
          </w:tcPr>
          <w:p w14:paraId="0B7F1980">
            <w:pPr>
              <w:widowControl/>
              <w:snapToGrid w:val="0"/>
              <w:spacing w:line="320" w:lineRule="exact"/>
              <w:jc w:val="left"/>
              <w:rPr>
                <w:rFonts w:hint="eastAsia" w:ascii="宋体"/>
                <w:color w:val="auto"/>
                <w:highlight w:val="none"/>
              </w:rPr>
            </w:pPr>
          </w:p>
        </w:tc>
      </w:tr>
      <w:tr w14:paraId="1AF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noWrap w:val="0"/>
            <w:vAlign w:val="center"/>
          </w:tcPr>
          <w:p w14:paraId="173151E1">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8</w:t>
            </w:r>
          </w:p>
        </w:tc>
        <w:tc>
          <w:tcPr>
            <w:tcW w:w="710" w:type="dxa"/>
            <w:noWrap w:val="0"/>
            <w:vAlign w:val="center"/>
          </w:tcPr>
          <w:p w14:paraId="30B3F5B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人员纪律性</w:t>
            </w:r>
          </w:p>
        </w:tc>
        <w:tc>
          <w:tcPr>
            <w:tcW w:w="1134" w:type="dxa"/>
            <w:noWrap w:val="0"/>
            <w:vAlign w:val="center"/>
          </w:tcPr>
          <w:p w14:paraId="15E9B4C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衡量乙方人员是否遵守甲方的日常规章和操作规范</w:t>
            </w:r>
          </w:p>
        </w:tc>
        <w:tc>
          <w:tcPr>
            <w:tcW w:w="1701" w:type="dxa"/>
            <w:noWrap w:val="0"/>
            <w:vAlign w:val="center"/>
          </w:tcPr>
          <w:p w14:paraId="2064591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乙方人员不得违反甲方的各项规章制度和操作规范</w:t>
            </w:r>
          </w:p>
        </w:tc>
        <w:tc>
          <w:tcPr>
            <w:tcW w:w="1842" w:type="dxa"/>
            <w:noWrap w:val="0"/>
            <w:vAlign w:val="center"/>
          </w:tcPr>
          <w:p w14:paraId="4AAFA00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1843" w:type="dxa"/>
            <w:noWrap w:val="0"/>
            <w:vAlign w:val="center"/>
          </w:tcPr>
          <w:p w14:paraId="0782422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人员违规次数=0次</w:t>
            </w:r>
          </w:p>
        </w:tc>
        <w:tc>
          <w:tcPr>
            <w:tcW w:w="1843" w:type="dxa"/>
            <w:noWrap w:val="0"/>
            <w:vAlign w:val="center"/>
          </w:tcPr>
          <w:p w14:paraId="0A2C8F8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乙方人员违规每次扣除乙方金额人民币500元</w:t>
            </w:r>
          </w:p>
        </w:tc>
        <w:tc>
          <w:tcPr>
            <w:tcW w:w="709" w:type="dxa"/>
            <w:noWrap w:val="0"/>
            <w:vAlign w:val="top"/>
          </w:tcPr>
          <w:p w14:paraId="057FF878">
            <w:pPr>
              <w:widowControl/>
              <w:snapToGrid w:val="0"/>
              <w:spacing w:line="320" w:lineRule="exact"/>
              <w:jc w:val="left"/>
              <w:rPr>
                <w:rFonts w:hint="eastAsia" w:ascii="宋体"/>
                <w:color w:val="auto"/>
                <w:highlight w:val="none"/>
              </w:rPr>
            </w:pPr>
          </w:p>
        </w:tc>
      </w:tr>
      <w:tr w14:paraId="5797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noWrap w:val="0"/>
            <w:vAlign w:val="center"/>
          </w:tcPr>
          <w:p w14:paraId="60716102">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9</w:t>
            </w:r>
          </w:p>
        </w:tc>
        <w:tc>
          <w:tcPr>
            <w:tcW w:w="710" w:type="dxa"/>
            <w:noWrap w:val="0"/>
            <w:vAlign w:val="center"/>
          </w:tcPr>
          <w:p w14:paraId="681A3D9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网络安全事件</w:t>
            </w:r>
          </w:p>
        </w:tc>
        <w:tc>
          <w:tcPr>
            <w:tcW w:w="1134" w:type="dxa"/>
            <w:noWrap w:val="0"/>
            <w:vAlign w:val="center"/>
          </w:tcPr>
          <w:p w14:paraId="06AEA8D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控制网络安全风险</w:t>
            </w:r>
          </w:p>
        </w:tc>
        <w:tc>
          <w:tcPr>
            <w:tcW w:w="1701" w:type="dxa"/>
            <w:noWrap w:val="0"/>
            <w:vAlign w:val="center"/>
          </w:tcPr>
          <w:p w14:paraId="0150416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1842" w:type="dxa"/>
            <w:noWrap w:val="0"/>
            <w:vAlign w:val="center"/>
          </w:tcPr>
          <w:p w14:paraId="353D0F5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甲方根据监管及本行要求及事件危害程度判定。</w:t>
            </w:r>
          </w:p>
        </w:tc>
        <w:tc>
          <w:tcPr>
            <w:tcW w:w="1843" w:type="dxa"/>
            <w:noWrap w:val="0"/>
            <w:vAlign w:val="center"/>
          </w:tcPr>
          <w:p w14:paraId="1AD2B139">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网络安全事件=0</w:t>
            </w:r>
          </w:p>
        </w:tc>
        <w:tc>
          <w:tcPr>
            <w:tcW w:w="1843" w:type="dxa"/>
            <w:noWrap w:val="0"/>
            <w:vAlign w:val="center"/>
          </w:tcPr>
          <w:p w14:paraId="1657AB3F">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c>
          <w:tcPr>
            <w:tcW w:w="709" w:type="dxa"/>
            <w:noWrap w:val="0"/>
            <w:vAlign w:val="center"/>
          </w:tcPr>
          <w:p w14:paraId="0068A12B">
            <w:pPr>
              <w:widowControl/>
              <w:jc w:val="left"/>
              <w:rPr>
                <w:rFonts w:ascii="宋体"/>
                <w:color w:val="auto"/>
                <w:highlight w:val="none"/>
              </w:rPr>
            </w:pPr>
          </w:p>
        </w:tc>
      </w:tr>
      <w:tr w14:paraId="3B43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noWrap/>
            <w:vAlign w:val="center"/>
          </w:tcPr>
          <w:p w14:paraId="7F74CB1F">
            <w:pPr>
              <w:widowControl/>
              <w:snapToGrid w:val="0"/>
              <w:spacing w:line="320" w:lineRule="exact"/>
              <w:ind w:left="0" w:leftChars="0" w:firstLine="0" w:firstLineChars="0"/>
              <w:jc w:val="both"/>
              <w:rPr>
                <w:rFonts w:hint="default" w:ascii="宋体"/>
                <w:color w:val="auto"/>
                <w:highlight w:val="none"/>
                <w:lang w:val="en-US" w:eastAsia="zh-CN"/>
              </w:rPr>
            </w:pPr>
            <w:r>
              <w:rPr>
                <w:rFonts w:hint="eastAsia" w:ascii="宋体"/>
                <w:color w:val="auto"/>
                <w:highlight w:val="none"/>
                <w:lang w:val="en-US" w:eastAsia="zh-CN"/>
              </w:rPr>
              <w:t>10</w:t>
            </w:r>
          </w:p>
        </w:tc>
        <w:tc>
          <w:tcPr>
            <w:tcW w:w="710" w:type="dxa"/>
            <w:noWrap w:val="0"/>
            <w:vAlign w:val="center"/>
          </w:tcPr>
          <w:p w14:paraId="5489180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外包安全事件</w:t>
            </w:r>
          </w:p>
        </w:tc>
        <w:tc>
          <w:tcPr>
            <w:tcW w:w="1134" w:type="dxa"/>
            <w:noWrap w:val="0"/>
            <w:vAlign w:val="center"/>
          </w:tcPr>
          <w:p w14:paraId="064B01C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控制外包操作风险</w:t>
            </w:r>
          </w:p>
        </w:tc>
        <w:tc>
          <w:tcPr>
            <w:tcW w:w="1701" w:type="dxa"/>
            <w:noWrap w:val="0"/>
            <w:vAlign w:val="center"/>
          </w:tcPr>
          <w:p w14:paraId="33B9A51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1842" w:type="dxa"/>
            <w:noWrap w:val="0"/>
            <w:vAlign w:val="center"/>
          </w:tcPr>
          <w:p w14:paraId="767F2E7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甲方根据监管要求及时间的危害程度判定</w:t>
            </w:r>
          </w:p>
        </w:tc>
        <w:tc>
          <w:tcPr>
            <w:tcW w:w="1843" w:type="dxa"/>
            <w:noWrap w:val="0"/>
            <w:vAlign w:val="center"/>
          </w:tcPr>
          <w:p w14:paraId="641BF9C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noWrap w:val="0"/>
            <w:vAlign w:val="center"/>
          </w:tcPr>
          <w:p w14:paraId="26EEF22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每次事件扣除乙方金额不低于人民币1000元，并要求乙方赔偿实际损失。</w:t>
            </w:r>
          </w:p>
        </w:tc>
        <w:tc>
          <w:tcPr>
            <w:tcW w:w="709" w:type="dxa"/>
            <w:noWrap w:val="0"/>
            <w:vAlign w:val="top"/>
          </w:tcPr>
          <w:p w14:paraId="759C71E4">
            <w:pPr>
              <w:widowControl/>
              <w:snapToGrid w:val="0"/>
              <w:spacing w:line="320" w:lineRule="exact"/>
              <w:jc w:val="left"/>
              <w:rPr>
                <w:rFonts w:hint="eastAsia" w:ascii="宋体"/>
                <w:color w:val="auto"/>
                <w:highlight w:val="none"/>
              </w:rPr>
            </w:pPr>
          </w:p>
        </w:tc>
      </w:tr>
      <w:tr w14:paraId="549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67" w:type="dxa"/>
            <w:noWrap/>
            <w:vAlign w:val="center"/>
          </w:tcPr>
          <w:p w14:paraId="36E07DBD">
            <w:pPr>
              <w:bidi w:val="0"/>
              <w:ind w:left="0" w:leftChars="0" w:firstLine="0" w:firstLineChars="0"/>
              <w:jc w:val="both"/>
              <w:rPr>
                <w:rFonts w:hint="default" w:ascii="Cambria Math" w:hAnsi="Cambria Math" w:eastAsia="宋体" w:cs="Cambria Math"/>
                <w:color w:val="auto"/>
                <w:kern w:val="2"/>
                <w:sz w:val="24"/>
                <w:highlight w:val="none"/>
                <w:lang w:val="en-US" w:eastAsia="zh-CN" w:bidi="ar-SA"/>
              </w:rPr>
            </w:pPr>
            <w:r>
              <w:rPr>
                <w:rFonts w:hint="eastAsia" w:cs="Cambria Math"/>
                <w:color w:val="auto"/>
                <w:kern w:val="2"/>
                <w:sz w:val="24"/>
                <w:highlight w:val="none"/>
                <w:lang w:val="en-US" w:eastAsia="zh-CN" w:bidi="ar-SA"/>
              </w:rPr>
              <w:t>合计</w:t>
            </w:r>
          </w:p>
        </w:tc>
        <w:tc>
          <w:tcPr>
            <w:tcW w:w="710" w:type="dxa"/>
            <w:noWrap/>
            <w:vAlign w:val="center"/>
          </w:tcPr>
          <w:p w14:paraId="6D5FD80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w:t>
            </w:r>
          </w:p>
        </w:tc>
        <w:tc>
          <w:tcPr>
            <w:tcW w:w="1134" w:type="dxa"/>
            <w:noWrap/>
            <w:vAlign w:val="center"/>
          </w:tcPr>
          <w:p w14:paraId="63B71D1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1701" w:type="dxa"/>
            <w:noWrap/>
            <w:vAlign w:val="center"/>
          </w:tcPr>
          <w:p w14:paraId="52BD36D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衡量乙方达到要求的SLA占全部SLA的百分比。</w:t>
            </w:r>
          </w:p>
        </w:tc>
        <w:tc>
          <w:tcPr>
            <w:tcW w:w="1842" w:type="dxa"/>
            <w:noWrap/>
            <w:vAlign w:val="center"/>
          </w:tcPr>
          <w:p w14:paraId="7ABBB59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为了这个度量报告，需要持续汇报SOW中所有SLA情况。</w:t>
            </w:r>
          </w:p>
        </w:tc>
        <w:tc>
          <w:tcPr>
            <w:tcW w:w="1843" w:type="dxa"/>
            <w:noWrap/>
            <w:vAlign w:val="center"/>
          </w:tcPr>
          <w:p w14:paraId="0A988AD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SLA满足率＝（满足SLA的个数/总体SLA的个数）×100%（SLA满足率≥70%）</w:t>
            </w:r>
          </w:p>
        </w:tc>
        <w:tc>
          <w:tcPr>
            <w:tcW w:w="1843" w:type="dxa"/>
            <w:noWrap/>
            <w:vAlign w:val="center"/>
          </w:tcPr>
          <w:p w14:paraId="3A3398C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SLA满足率每低于标准5%，扣除合同金额的1%</w:t>
            </w:r>
          </w:p>
        </w:tc>
        <w:tc>
          <w:tcPr>
            <w:tcW w:w="709" w:type="dxa"/>
            <w:noWrap w:val="0"/>
            <w:vAlign w:val="top"/>
          </w:tcPr>
          <w:p w14:paraId="36369D3F">
            <w:pPr>
              <w:widowControl/>
              <w:snapToGrid w:val="0"/>
              <w:spacing w:line="320" w:lineRule="exact"/>
              <w:jc w:val="left"/>
              <w:rPr>
                <w:rFonts w:hint="eastAsia" w:ascii="宋体"/>
                <w:color w:val="auto"/>
                <w:highlight w:val="none"/>
              </w:rPr>
            </w:pPr>
          </w:p>
        </w:tc>
      </w:tr>
      <w:tr w14:paraId="5AE6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349" w:type="dxa"/>
            <w:gridSpan w:val="8"/>
            <w:noWrap/>
            <w:vAlign w:val="bottom"/>
          </w:tcPr>
          <w:p w14:paraId="115A82D7">
            <w:pPr>
              <w:widowControl/>
              <w:snapToGrid w:val="0"/>
              <w:spacing w:line="520" w:lineRule="exact"/>
              <w:ind w:left="0" w:leftChars="0" w:firstLine="0" w:firstLineChars="0"/>
              <w:rPr>
                <w:rFonts w:hint="eastAsia" w:ascii="宋体"/>
                <w:color w:val="auto"/>
                <w:highlight w:val="none"/>
              </w:rPr>
            </w:pPr>
            <w:r>
              <w:rPr>
                <w:rFonts w:hint="eastAsia" w:ascii="宋体"/>
                <w:color w:val="auto"/>
                <w:highlight w:val="none"/>
              </w:rPr>
              <w:t>综合评价：</w:t>
            </w:r>
          </w:p>
          <w:p w14:paraId="26625F8A">
            <w:pPr>
              <w:widowControl/>
              <w:snapToGrid w:val="0"/>
              <w:spacing w:line="520" w:lineRule="exact"/>
              <w:rPr>
                <w:rFonts w:hint="eastAsia" w:ascii="宋体"/>
                <w:color w:val="auto"/>
                <w:highlight w:val="none"/>
              </w:rPr>
            </w:pPr>
          </w:p>
          <w:p w14:paraId="4970575D">
            <w:pPr>
              <w:widowControl/>
              <w:snapToGrid w:val="0"/>
              <w:spacing w:line="520" w:lineRule="exact"/>
              <w:rPr>
                <w:rFonts w:ascii="宋体"/>
                <w:color w:val="auto"/>
                <w:highlight w:val="none"/>
              </w:rPr>
            </w:pPr>
          </w:p>
          <w:p w14:paraId="064448B4">
            <w:pPr>
              <w:widowControl/>
              <w:snapToGrid w:val="0"/>
              <w:spacing w:line="520" w:lineRule="exact"/>
              <w:ind w:left="0" w:leftChars="0" w:firstLine="0" w:firstLineChars="0"/>
              <w:rPr>
                <w:rFonts w:hint="eastAsia" w:ascii="宋体"/>
                <w:color w:val="auto"/>
                <w:highlight w:val="none"/>
              </w:rPr>
            </w:pPr>
            <w:r>
              <w:rPr>
                <w:rFonts w:hint="eastAsia" w:ascii="宋体"/>
                <w:color w:val="auto"/>
                <w:highlight w:val="none"/>
              </w:rPr>
              <w:t>评价人：</w:t>
            </w:r>
            <w:r>
              <w:rPr>
                <w:rFonts w:ascii="宋体"/>
                <w:color w:val="auto"/>
                <w:highlight w:val="none"/>
              </w:rPr>
              <w:t xml:space="preserve"> </w:t>
            </w:r>
          </w:p>
        </w:tc>
      </w:tr>
    </w:tbl>
    <w:p w14:paraId="634E1F62">
      <w:pPr>
        <w:pStyle w:val="17"/>
        <w:snapToGrid w:val="0"/>
        <w:spacing w:before="0" w:after="0" w:line="520" w:lineRule="exact"/>
        <w:jc w:val="left"/>
        <w:outlineLvl w:val="9"/>
        <w:rPr>
          <w:rFonts w:hint="eastAsia"/>
          <w:snapToGrid w:val="0"/>
          <w:color w:val="auto"/>
          <w:highlight w:val="none"/>
        </w:rPr>
      </w:pPr>
    </w:p>
    <w:p w14:paraId="65ED82BE">
      <w:pPr>
        <w:rPr>
          <w:rFonts w:hint="eastAsia"/>
          <w:snapToGrid w:val="0"/>
          <w:color w:val="auto"/>
          <w:sz w:val="24"/>
          <w:highlight w:val="none"/>
        </w:rPr>
      </w:pPr>
      <w:r>
        <w:rPr>
          <w:rFonts w:hint="eastAsia"/>
          <w:snapToGrid w:val="0"/>
          <w:color w:val="auto"/>
          <w:sz w:val="24"/>
          <w:highlight w:val="none"/>
        </w:rPr>
        <w:br w:type="page"/>
      </w:r>
    </w:p>
    <w:p w14:paraId="2D32C48A">
      <w:pPr>
        <w:pStyle w:val="17"/>
        <w:snapToGrid w:val="0"/>
        <w:spacing w:before="0" w:after="0" w:line="520" w:lineRule="exact"/>
        <w:jc w:val="left"/>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4</w:t>
      </w:r>
    </w:p>
    <w:p w14:paraId="0462B383">
      <w:pPr>
        <w:pStyle w:val="17"/>
        <w:snapToGrid w:val="0"/>
        <w:spacing w:before="0" w:after="0" w:line="520" w:lineRule="exact"/>
        <w:ind w:left="0" w:leftChars="0" w:firstLine="0" w:firstLineChars="0"/>
        <w:jc w:val="center"/>
        <w:outlineLvl w:val="9"/>
        <w:rPr>
          <w:snapToGrid w:val="0"/>
          <w:color w:val="auto"/>
          <w:highlight w:val="none"/>
        </w:rPr>
      </w:pPr>
      <w:r>
        <w:rPr>
          <w:rStyle w:val="46"/>
          <w:rFonts w:hint="eastAsia" w:ascii="宋体"/>
          <w:color w:val="auto"/>
          <w:kern w:val="0"/>
          <w:sz w:val="30"/>
          <w:highlight w:val="none"/>
        </w:rPr>
        <w:t>服务连续性预案</w:t>
      </w:r>
    </w:p>
    <w:p w14:paraId="7C3EA719">
      <w:pPr>
        <w:ind w:firstLine="0" w:firstLineChars="0"/>
        <w:jc w:val="center"/>
        <w:rPr>
          <w:rFonts w:ascii="Times New Roman" w:hAnsi="Times New Roman"/>
          <w:color w:val="auto"/>
          <w:highlight w:val="none"/>
        </w:rPr>
      </w:pPr>
      <w:r>
        <w:rPr>
          <w:rFonts w:hint="eastAsia" w:ascii="方正小标宋_GBK" w:eastAsia="方正小标宋_GBK"/>
          <w:color w:val="auto"/>
          <w:sz w:val="24"/>
          <w:highlight w:val="none"/>
        </w:rPr>
        <w:t>（应考虑供应链风险产生的影响）</w:t>
      </w:r>
      <w:r>
        <w:rPr>
          <w:rFonts w:hint="eastAsia"/>
          <w:color w:val="auto"/>
          <w:highlight w:val="none"/>
        </w:rPr>
        <w:br w:type="page"/>
      </w:r>
    </w:p>
    <w:p w14:paraId="4D64B8E1">
      <w:pPr>
        <w:pStyle w:val="2"/>
        <w:rPr>
          <w:rFonts w:ascii="Times New Roman" w:hAnsi="Times New Roman"/>
          <w:color w:val="auto"/>
          <w:highlight w:val="none"/>
        </w:rPr>
      </w:pPr>
      <w:bookmarkStart w:id="268" w:name="_Toc7021"/>
      <w:bookmarkStart w:id="269" w:name="_Toc5735"/>
      <w:r>
        <w:rPr>
          <w:rFonts w:hint="eastAsia" w:ascii="Times New Roman" w:hAnsi="Times New Roman"/>
          <w:color w:val="auto"/>
          <w:highlight w:val="none"/>
        </w:rPr>
        <w:t>第六章 参选文件</w:t>
      </w:r>
      <w:bookmarkEnd w:id="253"/>
      <w:bookmarkEnd w:id="254"/>
      <w:bookmarkStart w:id="270" w:name="_Toc303066035"/>
      <w:r>
        <w:rPr>
          <w:rFonts w:hint="eastAsia" w:ascii="Times New Roman" w:hAnsi="Times New Roman"/>
          <w:color w:val="auto"/>
          <w:highlight w:val="none"/>
        </w:rPr>
        <w:t>格式</w:t>
      </w:r>
      <w:bookmarkEnd w:id="268"/>
      <w:bookmarkEnd w:id="269"/>
    </w:p>
    <w:bookmarkEnd w:id="270"/>
    <w:p w14:paraId="2C156A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4CA862A0">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2DC808B">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《数据管理能力成熟度评估模型》贯标评估项目</w:t>
      </w:r>
    </w:p>
    <w:p w14:paraId="103C4E55">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495D3D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32ECCB7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4145EDCB">
      <w:pPr>
        <w:adjustRightInd w:val="0"/>
        <w:snapToGrid w:val="0"/>
        <w:spacing w:line="360" w:lineRule="auto"/>
        <w:ind w:firstLine="0" w:firstLineChars="0"/>
        <w:jc w:val="center"/>
        <w:rPr>
          <w:rFonts w:ascii="Times New Roman" w:hAnsi="Times New Roman"/>
          <w:color w:val="auto"/>
          <w:kern w:val="0"/>
          <w:sz w:val="16"/>
          <w:highlight w:val="none"/>
        </w:rPr>
      </w:pPr>
    </w:p>
    <w:p w14:paraId="32C0579E">
      <w:pPr>
        <w:adjustRightInd w:val="0"/>
        <w:snapToGrid w:val="0"/>
        <w:spacing w:line="360" w:lineRule="auto"/>
        <w:ind w:firstLine="0" w:firstLineChars="0"/>
        <w:jc w:val="center"/>
        <w:rPr>
          <w:rFonts w:ascii="Times New Roman" w:hAnsi="Times New Roman"/>
          <w:b/>
          <w:color w:val="auto"/>
          <w:kern w:val="0"/>
          <w:sz w:val="20"/>
          <w:highlight w:val="none"/>
        </w:rPr>
      </w:pPr>
    </w:p>
    <w:p w14:paraId="17EE1E32">
      <w:pPr>
        <w:adjustRightInd w:val="0"/>
        <w:snapToGrid w:val="0"/>
        <w:spacing w:line="360" w:lineRule="auto"/>
        <w:ind w:firstLine="0" w:firstLineChars="0"/>
        <w:jc w:val="center"/>
        <w:rPr>
          <w:rFonts w:ascii="Times New Roman" w:hAnsi="Times New Roman"/>
          <w:b/>
          <w:color w:val="auto"/>
          <w:kern w:val="0"/>
          <w:sz w:val="20"/>
          <w:highlight w:val="none"/>
        </w:rPr>
      </w:pPr>
    </w:p>
    <w:p w14:paraId="250916D1">
      <w:pPr>
        <w:adjustRightInd w:val="0"/>
        <w:snapToGrid w:val="0"/>
        <w:spacing w:line="360" w:lineRule="auto"/>
        <w:ind w:firstLine="0" w:firstLineChars="0"/>
        <w:jc w:val="center"/>
        <w:rPr>
          <w:rFonts w:ascii="Times New Roman" w:hAnsi="Times New Roman"/>
          <w:b/>
          <w:color w:val="auto"/>
          <w:kern w:val="0"/>
          <w:sz w:val="20"/>
          <w:highlight w:val="none"/>
        </w:rPr>
      </w:pPr>
    </w:p>
    <w:p w14:paraId="68BD21AC">
      <w:pPr>
        <w:adjustRightInd w:val="0"/>
        <w:snapToGrid w:val="0"/>
        <w:spacing w:line="360" w:lineRule="auto"/>
        <w:ind w:firstLine="0" w:firstLineChars="0"/>
        <w:jc w:val="center"/>
        <w:rPr>
          <w:rFonts w:ascii="Times New Roman" w:hAnsi="Times New Roman"/>
          <w:b/>
          <w:color w:val="auto"/>
          <w:kern w:val="0"/>
          <w:sz w:val="20"/>
          <w:highlight w:val="none"/>
        </w:rPr>
      </w:pPr>
    </w:p>
    <w:p w14:paraId="3AC1A3D8">
      <w:pPr>
        <w:adjustRightInd w:val="0"/>
        <w:snapToGrid w:val="0"/>
        <w:spacing w:line="360" w:lineRule="auto"/>
        <w:ind w:firstLine="0" w:firstLineChars="0"/>
        <w:jc w:val="center"/>
        <w:rPr>
          <w:rFonts w:ascii="Times New Roman" w:hAnsi="Times New Roman"/>
          <w:b/>
          <w:color w:val="auto"/>
          <w:kern w:val="0"/>
          <w:sz w:val="20"/>
          <w:highlight w:val="none"/>
        </w:rPr>
      </w:pPr>
    </w:p>
    <w:p w14:paraId="31B75F93">
      <w:pPr>
        <w:adjustRightInd w:val="0"/>
        <w:snapToGrid w:val="0"/>
        <w:spacing w:line="360" w:lineRule="auto"/>
        <w:ind w:firstLine="0" w:firstLineChars="0"/>
        <w:jc w:val="center"/>
        <w:rPr>
          <w:rFonts w:ascii="Times New Roman" w:hAnsi="Times New Roman"/>
          <w:b/>
          <w:color w:val="auto"/>
          <w:kern w:val="0"/>
          <w:sz w:val="20"/>
          <w:highlight w:val="none"/>
        </w:rPr>
      </w:pPr>
    </w:p>
    <w:p w14:paraId="62DA5687">
      <w:pPr>
        <w:adjustRightInd w:val="0"/>
        <w:snapToGrid w:val="0"/>
        <w:spacing w:line="360" w:lineRule="auto"/>
        <w:ind w:firstLine="0" w:firstLineChars="0"/>
        <w:jc w:val="center"/>
        <w:rPr>
          <w:rFonts w:ascii="Times New Roman" w:hAnsi="Times New Roman"/>
          <w:b/>
          <w:color w:val="auto"/>
          <w:kern w:val="0"/>
          <w:sz w:val="20"/>
          <w:highlight w:val="none"/>
        </w:rPr>
      </w:pPr>
    </w:p>
    <w:p w14:paraId="6D3667DC">
      <w:pPr>
        <w:adjustRightInd w:val="0"/>
        <w:snapToGrid w:val="0"/>
        <w:spacing w:line="360" w:lineRule="auto"/>
        <w:ind w:firstLine="0" w:firstLineChars="0"/>
        <w:jc w:val="center"/>
        <w:rPr>
          <w:rFonts w:ascii="Times New Roman" w:hAnsi="Times New Roman"/>
          <w:b/>
          <w:color w:val="auto"/>
          <w:kern w:val="0"/>
          <w:sz w:val="20"/>
          <w:highlight w:val="none"/>
        </w:rPr>
      </w:pPr>
    </w:p>
    <w:p w14:paraId="5B3B5590">
      <w:pPr>
        <w:adjustRightInd w:val="0"/>
        <w:snapToGrid w:val="0"/>
        <w:spacing w:line="360" w:lineRule="auto"/>
        <w:ind w:firstLine="0" w:firstLineChars="0"/>
        <w:jc w:val="center"/>
        <w:rPr>
          <w:rFonts w:ascii="Times New Roman" w:hAnsi="Times New Roman"/>
          <w:b/>
          <w:color w:val="auto"/>
          <w:kern w:val="0"/>
          <w:sz w:val="20"/>
          <w:highlight w:val="none"/>
        </w:rPr>
      </w:pPr>
    </w:p>
    <w:p w14:paraId="0E4E4BDC">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6CC0E287">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shd w:val="clear" w:color="auto" w:fill="auto"/>
        </w:rPr>
        <w:t>/委托代理人</w:t>
      </w:r>
      <w:r>
        <w:rPr>
          <w:rFonts w:hint="eastAsia" w:ascii="Times New Roman" w:hAnsi="Times New Roman"/>
          <w:color w:val="auto"/>
          <w:highlight w:val="none"/>
        </w:rPr>
        <w:t>：</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ascii="Times New Roman" w:hAnsi="Times New Roman"/>
          <w:color w:val="auto"/>
          <w:highlight w:val="none"/>
          <w:shd w:val="clear" w:color="auto" w:fill="auto"/>
          <w:lang w:val="en-US" w:eastAsia="zh-CN"/>
        </w:rPr>
        <w:t>或盖章</w:t>
      </w:r>
      <w:r>
        <w:rPr>
          <w:rFonts w:hint="eastAsia" w:ascii="Times New Roman" w:hAnsi="Times New Roman"/>
          <w:color w:val="auto"/>
          <w:highlight w:val="none"/>
        </w:rPr>
        <w:t>）</w:t>
      </w:r>
    </w:p>
    <w:p w14:paraId="3EBF4A4E">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4B927684">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CD97A2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E30CA1E">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6977BCE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11FA4FA">
      <w:pPr>
        <w:ind w:firstLine="480"/>
        <w:rPr>
          <w:rFonts w:ascii="Times New Roman" w:hAnsi="Times New Roman"/>
          <w:color w:val="auto"/>
          <w:highlight w:val="none"/>
        </w:rPr>
      </w:pPr>
      <w:r>
        <w:rPr>
          <w:rFonts w:hint="eastAsia" w:ascii="Times New Roman" w:hAnsi="Times New Roman"/>
          <w:color w:val="auto"/>
          <w:highlight w:val="none"/>
        </w:rPr>
        <w:t>一、参选函</w:t>
      </w:r>
    </w:p>
    <w:p w14:paraId="2608D813">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rPr>
        <w:t>二、</w:t>
      </w:r>
      <w:r>
        <w:rPr>
          <w:rFonts w:hint="eastAsia" w:ascii="Times New Roman" w:hAnsi="Times New Roman"/>
          <w:color w:val="auto"/>
          <w:highlight w:val="none"/>
          <w:lang w:val="en-US" w:eastAsia="zh-CN"/>
        </w:rPr>
        <w:t>报价一览表</w:t>
      </w:r>
    </w:p>
    <w:p w14:paraId="3C560ECB">
      <w:pPr>
        <w:ind w:firstLine="480"/>
        <w:rPr>
          <w:rFonts w:ascii="Times New Roman" w:hAnsi="Times New Roman"/>
          <w:color w:val="auto"/>
          <w:highlight w:val="none"/>
        </w:rPr>
      </w:pPr>
      <w:r>
        <w:rPr>
          <w:rFonts w:hint="eastAsia" w:ascii="Times New Roman" w:hAnsi="Times New Roman"/>
          <w:color w:val="auto"/>
          <w:highlight w:val="none"/>
        </w:rPr>
        <w:t>三、资格性文件</w:t>
      </w:r>
    </w:p>
    <w:p w14:paraId="4C825CEF">
      <w:pPr>
        <w:ind w:firstLine="480"/>
        <w:rPr>
          <w:rFonts w:ascii="Times New Roman" w:hAnsi="Times New Roman"/>
          <w:color w:val="auto"/>
          <w:highlight w:val="none"/>
        </w:rPr>
      </w:pPr>
      <w:r>
        <w:rPr>
          <w:rFonts w:ascii="Times New Roman" w:hAnsi="Times New Roman"/>
          <w:color w:val="auto"/>
          <w:highlight w:val="none"/>
        </w:rPr>
        <w:t>（一）参选人基本情况介绍，资质证明等</w:t>
      </w:r>
    </w:p>
    <w:p w14:paraId="403418D6">
      <w:pPr>
        <w:ind w:firstLine="480"/>
        <w:rPr>
          <w:rFonts w:ascii="Times New Roman" w:hAnsi="Times New Roman"/>
          <w:color w:val="auto"/>
          <w:highlight w:val="none"/>
        </w:rPr>
      </w:pPr>
      <w:r>
        <w:rPr>
          <w:rFonts w:ascii="Times New Roman" w:hAnsi="Times New Roman"/>
          <w:color w:val="auto"/>
          <w:highlight w:val="none"/>
        </w:rPr>
        <w:t>（二）法定代表人身份证明及授权委托书</w:t>
      </w:r>
    </w:p>
    <w:p w14:paraId="29A9A5AE">
      <w:pPr>
        <w:ind w:firstLine="480"/>
        <w:rPr>
          <w:rFonts w:ascii="Times New Roman" w:hAnsi="Times New Roman"/>
          <w:color w:val="auto"/>
          <w:highlight w:val="none"/>
        </w:rPr>
      </w:pPr>
      <w:r>
        <w:rPr>
          <w:rFonts w:hint="eastAsia" w:ascii="Times New Roman" w:hAnsi="Times New Roman"/>
          <w:color w:val="auto"/>
          <w:highlight w:val="none"/>
        </w:rPr>
        <w:t>（三）书面声明</w:t>
      </w:r>
    </w:p>
    <w:p w14:paraId="6C45D92D">
      <w:pPr>
        <w:ind w:firstLine="48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4EA992CD">
      <w:pPr>
        <w:ind w:firstLine="480"/>
        <w:rPr>
          <w:rFonts w:hint="eastAsia"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71104132">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其他（如有）</w:t>
      </w:r>
    </w:p>
    <w:p w14:paraId="5A719B43">
      <w:pPr>
        <w:ind w:firstLine="480"/>
        <w:rPr>
          <w:rFonts w:hint="default" w:ascii="Times New Roman" w:hAnsi="Times New Roman"/>
          <w:color w:val="auto"/>
          <w:highlight w:val="none"/>
          <w:lang w:val="en-US"/>
        </w:rPr>
      </w:pPr>
      <w:r>
        <w:rPr>
          <w:rFonts w:hint="eastAsia" w:ascii="Times New Roman" w:hAnsi="Times New Roman"/>
          <w:color w:val="auto"/>
          <w:highlight w:val="none"/>
        </w:rPr>
        <w:t>四、响应</w:t>
      </w:r>
      <w:r>
        <w:rPr>
          <w:rFonts w:hint="eastAsia" w:ascii="Times New Roman" w:hAnsi="Times New Roman"/>
          <w:color w:val="auto"/>
          <w:highlight w:val="none"/>
          <w:lang w:val="en-US" w:eastAsia="zh-CN"/>
        </w:rPr>
        <w:t>性文件</w:t>
      </w:r>
    </w:p>
    <w:p w14:paraId="535E3C8B">
      <w:pPr>
        <w:ind w:firstLine="480"/>
        <w:rPr>
          <w:rFonts w:ascii="Times New Roman" w:hAnsi="Times New Roman"/>
          <w:color w:val="auto"/>
          <w:highlight w:val="none"/>
        </w:rPr>
      </w:pPr>
      <w:r>
        <w:rPr>
          <w:rFonts w:hint="eastAsia" w:ascii="Times New Roman" w:hAnsi="Times New Roman"/>
          <w:color w:val="auto"/>
          <w:highlight w:val="none"/>
        </w:rPr>
        <w:t>（一）响应承诺函</w:t>
      </w:r>
    </w:p>
    <w:p w14:paraId="2C4467F8">
      <w:pPr>
        <w:ind w:firstLine="480"/>
        <w:rPr>
          <w:rFonts w:hint="eastAsia" w:ascii="Times New Roman" w:hAnsi="Times New Roman"/>
          <w:color w:val="auto"/>
          <w:highlight w:val="none"/>
          <w:lang w:val="en-US" w:eastAsia="zh-CN"/>
        </w:rPr>
      </w:pPr>
      <w:r>
        <w:rPr>
          <w:rFonts w:hint="eastAsia" w:ascii="Times New Roman" w:hAnsi="Times New Roman"/>
          <w:color w:val="auto"/>
          <w:highlight w:val="none"/>
        </w:rPr>
        <w:t>（二）</w:t>
      </w:r>
      <w:r>
        <w:rPr>
          <w:rFonts w:hint="eastAsia" w:ascii="Times New Roman" w:hAnsi="Times New Roman"/>
          <w:color w:val="auto"/>
          <w:highlight w:val="none"/>
          <w:lang w:val="en-US" w:eastAsia="zh-CN"/>
        </w:rPr>
        <w:t>项目实施方案</w:t>
      </w:r>
    </w:p>
    <w:p w14:paraId="7DE9D323">
      <w:pPr>
        <w:ind w:firstLine="480"/>
        <w:rPr>
          <w:rFonts w:hint="default"/>
          <w:color w:val="auto"/>
          <w:highlight w:val="none"/>
          <w:lang w:val="en-US" w:eastAsia="zh-CN"/>
        </w:rPr>
      </w:pPr>
      <w:r>
        <w:rPr>
          <w:rFonts w:hint="eastAsia" w:ascii="Times New Roman" w:hAnsi="Times New Roman"/>
          <w:color w:val="auto"/>
          <w:highlight w:val="none"/>
          <w:lang w:val="en-US" w:eastAsia="zh-CN"/>
        </w:rPr>
        <w:t>（三）</w:t>
      </w:r>
      <w:r>
        <w:rPr>
          <w:color w:val="auto"/>
          <w:highlight w:val="none"/>
        </w:rPr>
        <w:t>项目</w:t>
      </w:r>
      <w:r>
        <w:rPr>
          <w:rFonts w:hint="default"/>
          <w:color w:val="auto"/>
          <w:highlight w:val="none"/>
          <w:lang w:val="en-US" w:eastAsia="zh-CN"/>
        </w:rPr>
        <w:t>人力资源方案</w:t>
      </w:r>
    </w:p>
    <w:p w14:paraId="78E69995">
      <w:pPr>
        <w:ind w:firstLine="480"/>
        <w:rPr>
          <w:rFonts w:hint="eastAsia"/>
          <w:color w:val="auto"/>
          <w:highlight w:val="none"/>
          <w:lang w:val="en-US" w:eastAsia="zh-CN"/>
        </w:rPr>
      </w:pPr>
      <w:r>
        <w:rPr>
          <w:rFonts w:hint="eastAsia"/>
          <w:color w:val="auto"/>
          <w:highlight w:val="none"/>
          <w:lang w:val="en-US" w:eastAsia="zh-CN"/>
        </w:rPr>
        <w:t>（四）</w:t>
      </w:r>
      <w:r>
        <w:rPr>
          <w:rFonts w:hint="eastAsia" w:ascii="Times New Roman" w:hAnsi="Times New Roman"/>
          <w:color w:val="auto"/>
          <w:highlight w:val="none"/>
        </w:rPr>
        <w:t>服务连续性预案</w:t>
      </w:r>
    </w:p>
    <w:p w14:paraId="44476653">
      <w:pPr>
        <w:ind w:firstLine="480"/>
        <w:rPr>
          <w:rFonts w:hint="eastAsia" w:ascii="Times New Roman" w:hAnsi="Times New Roman"/>
          <w:color w:val="auto"/>
          <w:highlight w:val="none"/>
        </w:rPr>
      </w:pPr>
      <w:r>
        <w:rPr>
          <w:rFonts w:hint="eastAsia" w:ascii="Times New Roman" w:hAnsi="Times New Roman"/>
          <w:color w:val="auto"/>
          <w:highlight w:val="none"/>
        </w:rPr>
        <w:t>五、参选保证金</w:t>
      </w:r>
    </w:p>
    <w:p w14:paraId="1CAF4439">
      <w:pPr>
        <w:ind w:firstLine="480"/>
        <w:rPr>
          <w:rFonts w:hint="default" w:ascii="Times New Roman" w:hAnsi="Times New Roman"/>
          <w:color w:val="auto"/>
          <w:highlight w:val="none"/>
        </w:rPr>
      </w:pPr>
      <w:r>
        <w:rPr>
          <w:rFonts w:hint="eastAsia" w:ascii="Times New Roman" w:hAnsi="Times New Roman"/>
          <w:color w:val="auto"/>
          <w:highlight w:val="none"/>
        </w:rPr>
        <w:t>六、服务水平协议（SLA）</w:t>
      </w:r>
    </w:p>
    <w:p w14:paraId="618F79DD">
      <w:pPr>
        <w:ind w:firstLine="480"/>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、其他（如有）</w:t>
      </w:r>
    </w:p>
    <w:p w14:paraId="5842F584">
      <w:pPr>
        <w:spacing w:line="360" w:lineRule="auto"/>
        <w:ind w:firstLine="480"/>
        <w:rPr>
          <w:rFonts w:ascii="Times New Roman" w:hAnsi="Times New Roman" w:cs="宋体"/>
          <w:color w:val="auto"/>
          <w:highlight w:val="none"/>
        </w:rPr>
      </w:pPr>
    </w:p>
    <w:p w14:paraId="1BD1A7D1">
      <w:pPr>
        <w:spacing w:line="360" w:lineRule="auto"/>
        <w:ind w:firstLine="480"/>
        <w:rPr>
          <w:rFonts w:ascii="Times New Roman" w:hAnsi="Times New Roman" w:cs="宋体"/>
          <w:color w:val="auto"/>
          <w:highlight w:val="none"/>
        </w:rPr>
      </w:pPr>
    </w:p>
    <w:p w14:paraId="551FAEC1">
      <w:pPr>
        <w:spacing w:line="360" w:lineRule="auto"/>
        <w:ind w:firstLine="0" w:firstLineChars="0"/>
        <w:jc w:val="center"/>
        <w:outlineLvl w:val="1"/>
        <w:rPr>
          <w:rStyle w:val="35"/>
          <w:color w:val="auto"/>
          <w:highlight w:val="none"/>
        </w:rPr>
      </w:pPr>
      <w:r>
        <w:rPr>
          <w:rFonts w:hint="eastAsia" w:ascii="Times New Roman" w:hAnsi="Times New Roman" w:cs="宋体"/>
          <w:color w:val="auto"/>
          <w:highlight w:val="none"/>
        </w:rPr>
        <w:br w:type="page"/>
      </w:r>
      <w:r>
        <w:rPr>
          <w:rStyle w:val="35"/>
          <w:color w:val="auto"/>
          <w:highlight w:val="none"/>
        </w:rPr>
        <w:t>一、参选函</w:t>
      </w:r>
    </w:p>
    <w:p w14:paraId="3B7FF3F0">
      <w:pPr>
        <w:tabs>
          <w:tab w:val="left" w:pos="6300"/>
        </w:tabs>
        <w:snapToGrid w:val="0"/>
        <w:spacing w:line="360" w:lineRule="auto"/>
        <w:ind w:right="-34" w:rightChars="-14" w:firstLine="480"/>
        <w:rPr>
          <w:rFonts w:ascii="Times New Roman" w:hAnsi="Times New Roman"/>
          <w:snapToGrid w:val="0"/>
          <w:color w:val="auto"/>
          <w:kern w:val="0"/>
          <w:szCs w:val="24"/>
          <w:highlight w:val="none"/>
          <w:u w:val="single"/>
        </w:rPr>
      </w:pPr>
    </w:p>
    <w:p w14:paraId="36BDFF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31F241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35BA41A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p>
    <w:p w14:paraId="60F96EE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5C20928C">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8A2DDA6">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4B1E0C8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5AD2C3F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62B40A41">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hint="eastAsia" w:ascii="Times New Roman" w:hAnsi="Times New Roman"/>
          <w:snapToGrid w:val="0"/>
          <w:color w:val="auto"/>
          <w:kern w:val="0"/>
          <w:szCs w:val="24"/>
          <w:highlight w:val="none"/>
          <w:u w:val="single"/>
          <w:lang w:val="en-US" w:eastAsia="zh-CN"/>
        </w:rPr>
        <w:t xml:space="preserve"> 6  </w:t>
      </w:r>
      <w:r>
        <w:rPr>
          <w:rFonts w:hint="eastAsia" w:ascii="Times New Roman" w:hAnsi="Times New Roman"/>
          <w:snapToGrid w:val="0"/>
          <w:color w:val="auto"/>
          <w:kern w:val="0"/>
          <w:szCs w:val="24"/>
          <w:highlight w:val="none"/>
        </w:rPr>
        <w:t>%的增值税专用发票。</w:t>
      </w:r>
    </w:p>
    <w:p w14:paraId="2FFA5CA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p>
    <w:p w14:paraId="32C1EC0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488B590">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1BAA3A2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6C8649D4">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6CB2B6B">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6B4DAD2B">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1DF929DB">
      <w:pPr>
        <w:widowControl/>
        <w:spacing w:line="360" w:lineRule="auto"/>
        <w:ind w:firstLine="480"/>
        <w:jc w:val="left"/>
        <w:rPr>
          <w:rFonts w:ascii="Times New Roman" w:hAnsi="Times New Roman"/>
          <w:snapToGrid w:val="0"/>
          <w:color w:val="auto"/>
          <w:kern w:val="0"/>
          <w:szCs w:val="24"/>
          <w:highlight w:val="none"/>
        </w:rPr>
      </w:pPr>
    </w:p>
    <w:p w14:paraId="7AC78B4D">
      <w:pPr>
        <w:tabs>
          <w:tab w:val="left" w:pos="6300"/>
        </w:tabs>
        <w:snapToGrid w:val="0"/>
        <w:spacing w:line="360" w:lineRule="auto"/>
        <w:ind w:firstLine="480"/>
        <w:rPr>
          <w:rFonts w:ascii="Times New Roman" w:hAnsi="Times New Roman"/>
          <w:snapToGrid w:val="0"/>
          <w:color w:val="auto"/>
          <w:kern w:val="0"/>
          <w:szCs w:val="24"/>
          <w:highlight w:val="none"/>
        </w:rPr>
      </w:pPr>
    </w:p>
    <w:p w14:paraId="5437F385">
      <w:pPr>
        <w:widowControl/>
        <w:spacing w:line="360" w:lineRule="auto"/>
        <w:ind w:firstLine="480"/>
        <w:jc w:val="left"/>
        <w:rPr>
          <w:rFonts w:ascii="Times New Roman" w:hAnsi="Times New Roman"/>
          <w:snapToGrid w:val="0"/>
          <w:color w:val="auto"/>
          <w:kern w:val="0"/>
          <w:szCs w:val="24"/>
          <w:highlight w:val="none"/>
        </w:rPr>
      </w:pPr>
    </w:p>
    <w:p w14:paraId="01861A8C">
      <w:pPr>
        <w:widowControl/>
        <w:spacing w:line="360" w:lineRule="auto"/>
        <w:ind w:firstLine="480"/>
        <w:jc w:val="left"/>
        <w:rPr>
          <w:rFonts w:ascii="Times New Roman" w:hAnsi="Times New Roman"/>
          <w:snapToGrid w:val="0"/>
          <w:color w:val="auto"/>
          <w:kern w:val="0"/>
          <w:szCs w:val="24"/>
          <w:highlight w:val="none"/>
        </w:rPr>
      </w:pPr>
    </w:p>
    <w:p w14:paraId="10B52F8C">
      <w:pPr>
        <w:widowControl/>
        <w:spacing w:line="360" w:lineRule="auto"/>
        <w:ind w:firstLine="480"/>
        <w:jc w:val="left"/>
        <w:rPr>
          <w:rFonts w:ascii="Times New Roman" w:hAnsi="Times New Roman"/>
          <w:snapToGrid w:val="0"/>
          <w:color w:val="auto"/>
          <w:kern w:val="0"/>
          <w:szCs w:val="24"/>
          <w:highlight w:val="none"/>
        </w:rPr>
      </w:pPr>
    </w:p>
    <w:p w14:paraId="11EDDAAA">
      <w:pPr>
        <w:widowControl/>
        <w:spacing w:line="360" w:lineRule="auto"/>
        <w:ind w:firstLine="480"/>
        <w:jc w:val="left"/>
        <w:rPr>
          <w:rFonts w:ascii="Times New Roman" w:hAnsi="Times New Roman"/>
          <w:snapToGrid w:val="0"/>
          <w:color w:val="auto"/>
          <w:kern w:val="0"/>
          <w:szCs w:val="24"/>
          <w:highlight w:val="none"/>
        </w:rPr>
      </w:pPr>
    </w:p>
    <w:p w14:paraId="6CEA71B3">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6464740A">
      <w:pPr>
        <w:pStyle w:val="31"/>
        <w:rPr>
          <w:rFonts w:ascii="Times New Roman" w:hAnsi="Times New Roman"/>
          <w:color w:val="auto"/>
          <w:highlight w:val="none"/>
        </w:rPr>
      </w:pPr>
      <w:r>
        <w:rPr>
          <w:rFonts w:ascii="Times New Roman" w:hAnsi="Times New Roman"/>
          <w:color w:val="auto"/>
          <w:highlight w:val="none"/>
        </w:rPr>
        <w:t>二、</w:t>
      </w:r>
      <w:r>
        <w:rPr>
          <w:rFonts w:hint="eastAsia"/>
          <w:color w:val="auto"/>
          <w:highlight w:val="none"/>
        </w:rPr>
        <w:t>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r>
              <w:rPr>
                <w:rFonts w:hint="eastAsia" w:ascii="宋体" w:hAnsi="宋体" w:cs="Cambria Math"/>
                <w:snapToGrid w:val="0"/>
                <w:color w:val="auto"/>
                <w:kern w:val="0"/>
                <w:sz w:val="24"/>
                <w:szCs w:val="24"/>
                <w:highlight w:val="none"/>
                <w:lang w:val="en-US" w:eastAsia="zh-CN"/>
              </w:rPr>
              <w:t>重庆三峡银行《数据管理能力成熟度评估模型》贯标评估项目</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34" w:rightChars="-14" w:firstLine="480"/>
        <w:rPr>
          <w:rFonts w:ascii="Times New Roman" w:hAnsi="Times New Roman"/>
          <w:color w:val="auto"/>
          <w:szCs w:val="28"/>
          <w:highlight w:val="none"/>
        </w:rPr>
      </w:pPr>
    </w:p>
    <w:p w14:paraId="76BBAC90">
      <w:pPr>
        <w:spacing w:line="360" w:lineRule="auto"/>
        <w:ind w:right="-34" w:rightChars="-14" w:firstLine="480"/>
        <w:rPr>
          <w:rFonts w:ascii="Times New Roman" w:hAnsi="Times New Roman"/>
          <w:color w:val="auto"/>
          <w:szCs w:val="28"/>
          <w:highlight w:val="none"/>
        </w:rPr>
      </w:pPr>
    </w:p>
    <w:p w14:paraId="5BBDA8A6">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rPr>
      </w:pPr>
    </w:p>
    <w:p w14:paraId="2666A488">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70089971">
      <w:pPr>
        <w:pStyle w:val="31"/>
        <w:rPr>
          <w:rFonts w:ascii="Times New Roman" w:hAnsi="Times New Roman"/>
          <w:color w:val="auto"/>
          <w:highlight w:val="none"/>
        </w:rPr>
      </w:pPr>
      <w:r>
        <w:rPr>
          <w:rStyle w:val="44"/>
          <w:rFonts w:hint="eastAsia" w:ascii="Times New Roman" w:hAnsi="Times New Roman"/>
          <w:b w:val="0"/>
          <w:color w:val="auto"/>
          <w:highlight w:val="none"/>
        </w:rPr>
        <w:br w:type="page"/>
      </w:r>
      <w:bookmarkStart w:id="271" w:name="_Toc167"/>
      <w:bookmarkStart w:id="272" w:name="_Toc17114"/>
      <w:r>
        <w:rPr>
          <w:rFonts w:ascii="Times New Roman" w:hAnsi="Times New Roman"/>
          <w:color w:val="auto"/>
          <w:highlight w:val="none"/>
        </w:rPr>
        <w:t>三、资格性文件</w:t>
      </w:r>
      <w:bookmarkEnd w:id="271"/>
      <w:bookmarkEnd w:id="272"/>
    </w:p>
    <w:p w14:paraId="7C4EB578">
      <w:pPr>
        <w:pStyle w:val="32"/>
        <w:rPr>
          <w:rFonts w:ascii="Times New Roman" w:hAnsi="Times New Roman"/>
          <w:color w:val="auto"/>
          <w:highlight w:val="none"/>
        </w:rPr>
      </w:pPr>
      <w:bookmarkStart w:id="273" w:name="_Toc17929"/>
      <w:bookmarkStart w:id="274" w:name="_Toc1088"/>
      <w:r>
        <w:rPr>
          <w:rFonts w:ascii="Times New Roman" w:hAnsi="Times New Roman"/>
          <w:color w:val="auto"/>
          <w:highlight w:val="none"/>
        </w:rPr>
        <w:t>（一）参选人基本情况介绍，资质证明等</w:t>
      </w:r>
      <w:bookmarkEnd w:id="273"/>
      <w:bookmarkEnd w:id="274"/>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FB8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8B5966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0E833377">
            <w:pPr>
              <w:spacing w:line="360" w:lineRule="auto"/>
              <w:ind w:firstLine="0" w:firstLineChars="0"/>
              <w:jc w:val="center"/>
              <w:rPr>
                <w:rFonts w:ascii="Times New Roman" w:hAnsi="Times New Roman"/>
                <w:color w:val="auto"/>
                <w:sz w:val="22"/>
                <w:szCs w:val="24"/>
                <w:highlight w:val="none"/>
              </w:rPr>
            </w:pPr>
          </w:p>
        </w:tc>
      </w:tr>
      <w:tr w14:paraId="0F3E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DC7383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73A3AB1">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2E079C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440B66A4">
            <w:pPr>
              <w:spacing w:line="360" w:lineRule="auto"/>
              <w:ind w:firstLine="0" w:firstLineChars="0"/>
              <w:jc w:val="center"/>
              <w:rPr>
                <w:rFonts w:ascii="Times New Roman" w:hAnsi="Times New Roman"/>
                <w:color w:val="auto"/>
                <w:sz w:val="22"/>
                <w:szCs w:val="24"/>
                <w:highlight w:val="none"/>
              </w:rPr>
            </w:pPr>
          </w:p>
        </w:tc>
      </w:tr>
      <w:tr w14:paraId="0BD8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9B220F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56EC7C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DCDBCB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81A1C2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10EFDF78">
            <w:pPr>
              <w:spacing w:line="360" w:lineRule="auto"/>
              <w:ind w:firstLine="0" w:firstLineChars="0"/>
              <w:jc w:val="center"/>
              <w:rPr>
                <w:rFonts w:ascii="Times New Roman" w:hAnsi="Times New Roman"/>
                <w:color w:val="auto"/>
                <w:sz w:val="22"/>
                <w:szCs w:val="24"/>
                <w:highlight w:val="none"/>
              </w:rPr>
            </w:pPr>
          </w:p>
        </w:tc>
      </w:tr>
      <w:tr w14:paraId="603B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3518D7E">
            <w:pPr>
              <w:rPr>
                <w:color w:val="auto"/>
                <w:highlight w:val="none"/>
              </w:rPr>
            </w:pPr>
          </w:p>
        </w:tc>
        <w:tc>
          <w:tcPr>
            <w:tcW w:w="1077" w:type="dxa"/>
            <w:tcBorders>
              <w:top w:val="single" w:color="auto" w:sz="4" w:space="0"/>
              <w:left w:val="single" w:color="auto" w:sz="4" w:space="0"/>
              <w:right w:val="single" w:color="auto" w:sz="4" w:space="0"/>
            </w:tcBorders>
            <w:vAlign w:val="center"/>
          </w:tcPr>
          <w:p w14:paraId="42D81D3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600313BC">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82C2CB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AF79964">
            <w:pPr>
              <w:spacing w:line="360" w:lineRule="auto"/>
              <w:ind w:firstLine="0" w:firstLineChars="0"/>
              <w:jc w:val="center"/>
              <w:rPr>
                <w:rFonts w:ascii="Times New Roman" w:hAnsi="Times New Roman"/>
                <w:color w:val="auto"/>
                <w:sz w:val="22"/>
                <w:szCs w:val="24"/>
                <w:highlight w:val="none"/>
              </w:rPr>
            </w:pPr>
          </w:p>
        </w:tc>
      </w:tr>
      <w:tr w14:paraId="4DCE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B163E7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29283A2A">
            <w:pPr>
              <w:spacing w:line="360" w:lineRule="auto"/>
              <w:ind w:firstLine="0" w:firstLineChars="0"/>
              <w:jc w:val="center"/>
              <w:rPr>
                <w:rFonts w:ascii="Times New Roman" w:hAnsi="Times New Roman"/>
                <w:color w:val="auto"/>
                <w:sz w:val="22"/>
                <w:szCs w:val="24"/>
                <w:highlight w:val="none"/>
              </w:rPr>
            </w:pPr>
          </w:p>
        </w:tc>
      </w:tr>
      <w:tr w14:paraId="1FC3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3B7AB8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773CA77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28199A7">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584B17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E6BA0C5">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C141F9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E901331">
            <w:pPr>
              <w:spacing w:line="360" w:lineRule="auto"/>
              <w:ind w:firstLine="0" w:firstLineChars="0"/>
              <w:jc w:val="center"/>
              <w:rPr>
                <w:rFonts w:ascii="Times New Roman" w:hAnsi="Times New Roman"/>
                <w:color w:val="auto"/>
                <w:sz w:val="22"/>
                <w:szCs w:val="24"/>
                <w:highlight w:val="none"/>
              </w:rPr>
            </w:pPr>
          </w:p>
        </w:tc>
      </w:tr>
      <w:tr w14:paraId="02FD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3EFDAD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B19E8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087DBE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FA085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971BEAD">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55B46B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31D21D7">
            <w:pPr>
              <w:spacing w:line="360" w:lineRule="auto"/>
              <w:ind w:firstLine="0" w:firstLineChars="0"/>
              <w:jc w:val="center"/>
              <w:rPr>
                <w:rFonts w:ascii="Times New Roman" w:hAnsi="Times New Roman"/>
                <w:color w:val="auto"/>
                <w:sz w:val="22"/>
                <w:szCs w:val="24"/>
                <w:highlight w:val="none"/>
              </w:rPr>
            </w:pPr>
          </w:p>
        </w:tc>
      </w:tr>
      <w:tr w14:paraId="646F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5DA025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22988057">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0A34CD5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123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B36004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DA090EB">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3B46A4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775C6E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317D4823">
            <w:pPr>
              <w:spacing w:line="360" w:lineRule="auto"/>
              <w:ind w:firstLine="0" w:firstLineChars="0"/>
              <w:jc w:val="center"/>
              <w:rPr>
                <w:rFonts w:ascii="Times New Roman" w:hAnsi="Times New Roman"/>
                <w:color w:val="auto"/>
                <w:sz w:val="22"/>
                <w:szCs w:val="24"/>
                <w:highlight w:val="none"/>
              </w:rPr>
            </w:pPr>
          </w:p>
        </w:tc>
      </w:tr>
      <w:tr w14:paraId="760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42B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2EE35EC">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30DC13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7840D6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27D7FA1D">
            <w:pPr>
              <w:spacing w:line="360" w:lineRule="auto"/>
              <w:ind w:firstLine="0" w:firstLineChars="0"/>
              <w:jc w:val="center"/>
              <w:rPr>
                <w:rFonts w:ascii="Times New Roman" w:hAnsi="Times New Roman"/>
                <w:color w:val="auto"/>
                <w:sz w:val="22"/>
                <w:szCs w:val="24"/>
                <w:highlight w:val="none"/>
              </w:rPr>
            </w:pPr>
          </w:p>
        </w:tc>
      </w:tr>
      <w:tr w14:paraId="4559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64C297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BE98C2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C23BE1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A4081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6F479FBA">
            <w:pPr>
              <w:spacing w:line="360" w:lineRule="auto"/>
              <w:ind w:firstLine="0" w:firstLineChars="0"/>
              <w:jc w:val="center"/>
              <w:rPr>
                <w:rFonts w:ascii="Times New Roman" w:hAnsi="Times New Roman"/>
                <w:color w:val="auto"/>
                <w:sz w:val="22"/>
                <w:szCs w:val="24"/>
                <w:highlight w:val="none"/>
              </w:rPr>
            </w:pPr>
          </w:p>
        </w:tc>
      </w:tr>
      <w:tr w14:paraId="5E7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B6D5A8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6CFE09C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0F40DC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B9EA4A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5A1B687D">
            <w:pPr>
              <w:spacing w:line="360" w:lineRule="auto"/>
              <w:ind w:firstLine="0" w:firstLineChars="0"/>
              <w:jc w:val="center"/>
              <w:rPr>
                <w:rFonts w:ascii="Times New Roman" w:hAnsi="Times New Roman"/>
                <w:color w:val="auto"/>
                <w:sz w:val="22"/>
                <w:szCs w:val="24"/>
                <w:highlight w:val="none"/>
              </w:rPr>
            </w:pPr>
          </w:p>
        </w:tc>
      </w:tr>
      <w:tr w14:paraId="2DA9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F5F2CC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E6C2BF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2703CC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43FB0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417B23E0">
            <w:pPr>
              <w:spacing w:line="360" w:lineRule="auto"/>
              <w:ind w:firstLine="0" w:firstLineChars="0"/>
              <w:jc w:val="center"/>
              <w:rPr>
                <w:rFonts w:ascii="Times New Roman" w:hAnsi="Times New Roman"/>
                <w:color w:val="auto"/>
                <w:sz w:val="22"/>
                <w:szCs w:val="24"/>
                <w:highlight w:val="none"/>
              </w:rPr>
            </w:pPr>
          </w:p>
        </w:tc>
      </w:tr>
      <w:tr w14:paraId="684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CBBDCD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4EA79BAE">
            <w:pPr>
              <w:spacing w:line="360" w:lineRule="auto"/>
              <w:ind w:firstLine="0" w:firstLineChars="0"/>
              <w:jc w:val="center"/>
              <w:rPr>
                <w:rFonts w:ascii="Times New Roman" w:hAnsi="Times New Roman"/>
                <w:color w:val="auto"/>
                <w:sz w:val="22"/>
                <w:szCs w:val="24"/>
                <w:highlight w:val="none"/>
              </w:rPr>
            </w:pPr>
          </w:p>
        </w:tc>
      </w:tr>
      <w:tr w14:paraId="5A3F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AA2844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45BCBD97">
            <w:pPr>
              <w:spacing w:line="360" w:lineRule="auto"/>
              <w:ind w:firstLine="0" w:firstLineChars="0"/>
              <w:jc w:val="center"/>
              <w:rPr>
                <w:rFonts w:ascii="Times New Roman" w:hAnsi="Times New Roman"/>
                <w:color w:val="auto"/>
                <w:sz w:val="22"/>
                <w:szCs w:val="24"/>
                <w:highlight w:val="none"/>
              </w:rPr>
            </w:pPr>
          </w:p>
        </w:tc>
      </w:tr>
    </w:tbl>
    <w:p w14:paraId="41C07FD7">
      <w:pPr>
        <w:widowControl/>
        <w:spacing w:line="360" w:lineRule="auto"/>
        <w:rPr>
          <w:rFonts w:hint="eastAsia" w:ascii="Times New Roman" w:hAnsi="Times New Roman"/>
          <w:color w:val="auto"/>
          <w:sz w:val="20"/>
          <w:szCs w:val="21"/>
          <w:highlight w:val="none"/>
        </w:rPr>
      </w:pPr>
      <w:r>
        <w:rPr>
          <w:rFonts w:hint="eastAsia" w:ascii="Times New Roman" w:hAnsi="Times New Roman"/>
          <w:color w:val="auto"/>
          <w:sz w:val="20"/>
          <w:szCs w:val="21"/>
          <w:highlight w:val="none"/>
        </w:rPr>
        <w:t>注：附营业执照（副本）、资质证明复印件等。</w:t>
      </w:r>
    </w:p>
    <w:p w14:paraId="55CA8AE4">
      <w:pPr>
        <w:widowControl/>
        <w:spacing w:line="360" w:lineRule="auto"/>
        <w:rPr>
          <w:rFonts w:hint="eastAsia" w:ascii="Times New Roman" w:hAnsi="Times New Roman"/>
          <w:color w:val="auto"/>
          <w:sz w:val="20"/>
          <w:szCs w:val="21"/>
          <w:highlight w:val="none"/>
        </w:rPr>
      </w:pPr>
    </w:p>
    <w:p w14:paraId="10F3674B">
      <w:pPr>
        <w:widowControl/>
        <w:spacing w:line="360" w:lineRule="auto"/>
        <w:rPr>
          <w:rFonts w:hint="eastAsia"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p>
    <w:p w14:paraId="233E5E4B">
      <w:pPr>
        <w:pStyle w:val="32"/>
        <w:rPr>
          <w:rFonts w:ascii="Times New Roman" w:hAnsi="Times New Roman"/>
          <w:color w:val="auto"/>
          <w:highlight w:val="none"/>
        </w:rPr>
      </w:pPr>
      <w:bookmarkStart w:id="275" w:name="_Toc8213"/>
      <w:bookmarkStart w:id="276" w:name="_Toc14270"/>
      <w:r>
        <w:rPr>
          <w:rFonts w:ascii="Times New Roman" w:hAnsi="Times New Roman"/>
          <w:color w:val="auto"/>
          <w:highlight w:val="none"/>
        </w:rPr>
        <w:t>（二）法定代表人身份证明及授权委托书</w:t>
      </w:r>
      <w:bookmarkEnd w:id="275"/>
      <w:bookmarkEnd w:id="276"/>
    </w:p>
    <w:p w14:paraId="36DBD46A">
      <w:pPr>
        <w:pStyle w:val="33"/>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34"/>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4"/>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在授权书有效期内签署的所有文件不因授权的撤消而失效。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69F23546">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B37DB10">
      <w:pPr>
        <w:pStyle w:val="32"/>
        <w:rPr>
          <w:rFonts w:ascii="Times New Roman" w:hAnsi="Times New Roman"/>
          <w:color w:val="auto"/>
          <w:highlight w:val="none"/>
        </w:rPr>
      </w:pPr>
      <w:r>
        <w:rPr>
          <w:rFonts w:hint="eastAsia" w:ascii="Times New Roman" w:hAnsi="Times New Roman"/>
          <w:color w:val="auto"/>
          <w:highlight w:val="none"/>
        </w:rPr>
        <w:t>（三）书面声明</w:t>
      </w:r>
    </w:p>
    <w:p w14:paraId="38DBE521">
      <w:pPr>
        <w:tabs>
          <w:tab w:val="left" w:pos="6300"/>
        </w:tabs>
        <w:snapToGrid w:val="0"/>
        <w:spacing w:line="360" w:lineRule="auto"/>
        <w:ind w:firstLine="480"/>
        <w:rPr>
          <w:rFonts w:ascii="Times New Roman" w:hAnsi="Times New Roman"/>
          <w:color w:val="auto"/>
          <w:highlight w:val="none"/>
        </w:rPr>
      </w:pPr>
    </w:p>
    <w:p w14:paraId="66F2078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E183031">
      <w:pPr>
        <w:tabs>
          <w:tab w:val="left" w:pos="6300"/>
        </w:tabs>
        <w:snapToGrid w:val="0"/>
        <w:spacing w:line="360" w:lineRule="auto"/>
        <w:ind w:firstLine="480"/>
        <w:rPr>
          <w:rFonts w:ascii="Times New Roman" w:hAnsi="Times New Roman"/>
          <w:color w:val="auto"/>
          <w:highlight w:val="none"/>
        </w:rPr>
      </w:pPr>
    </w:p>
    <w:p w14:paraId="30FDB9B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10C998BD">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0F5518B">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7E4614E3">
      <w:pPr>
        <w:tabs>
          <w:tab w:val="left" w:pos="6300"/>
        </w:tabs>
        <w:snapToGrid w:val="0"/>
        <w:spacing w:line="360" w:lineRule="auto"/>
        <w:ind w:firstLine="480"/>
        <w:rPr>
          <w:rFonts w:ascii="Times New Roman" w:hAnsi="Times New Roman"/>
          <w:color w:val="auto"/>
          <w:highlight w:val="none"/>
        </w:rPr>
      </w:pPr>
    </w:p>
    <w:p w14:paraId="619C4F09">
      <w:pPr>
        <w:tabs>
          <w:tab w:val="left" w:pos="6300"/>
        </w:tabs>
        <w:snapToGrid w:val="0"/>
        <w:spacing w:line="360" w:lineRule="auto"/>
        <w:ind w:firstLine="480"/>
        <w:rPr>
          <w:rFonts w:ascii="Times New Roman" w:hAnsi="Times New Roman"/>
          <w:color w:val="auto"/>
          <w:highlight w:val="none"/>
        </w:rPr>
      </w:pPr>
    </w:p>
    <w:p w14:paraId="4490EECD">
      <w:pPr>
        <w:tabs>
          <w:tab w:val="left" w:pos="6300"/>
        </w:tabs>
        <w:snapToGrid w:val="0"/>
        <w:spacing w:line="360" w:lineRule="auto"/>
        <w:ind w:firstLine="480"/>
        <w:rPr>
          <w:rFonts w:ascii="Times New Roman" w:hAnsi="Times New Roman"/>
          <w:color w:val="auto"/>
          <w:highlight w:val="none"/>
        </w:rPr>
      </w:pPr>
    </w:p>
    <w:p w14:paraId="072602D9">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5847E02D">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586FF1AB">
      <w:pPr>
        <w:spacing w:line="360" w:lineRule="auto"/>
        <w:ind w:firstLine="480"/>
        <w:jc w:val="left"/>
        <w:rPr>
          <w:rFonts w:ascii="Times New Roman" w:hAnsi="Times New Roman" w:cs="等线 Light"/>
          <w:snapToGrid w:val="0"/>
          <w:color w:val="auto"/>
          <w:kern w:val="0"/>
          <w:szCs w:val="24"/>
          <w:highlight w:val="none"/>
        </w:rPr>
      </w:pPr>
    </w:p>
    <w:p w14:paraId="5997065C">
      <w:pPr>
        <w:spacing w:line="360" w:lineRule="auto"/>
        <w:ind w:firstLine="480"/>
        <w:jc w:val="left"/>
        <w:rPr>
          <w:rFonts w:ascii="Times New Roman" w:hAnsi="Times New Roman" w:cs="等线 Light"/>
          <w:snapToGrid w:val="0"/>
          <w:color w:val="auto"/>
          <w:kern w:val="0"/>
          <w:szCs w:val="24"/>
          <w:highlight w:val="none"/>
        </w:rPr>
      </w:pPr>
    </w:p>
    <w:p w14:paraId="11DBDE14">
      <w:pPr>
        <w:spacing w:line="360" w:lineRule="auto"/>
        <w:ind w:firstLine="480"/>
        <w:jc w:val="left"/>
        <w:rPr>
          <w:rFonts w:ascii="Times New Roman" w:hAnsi="Times New Roman" w:cs="等线 Light"/>
          <w:snapToGrid w:val="0"/>
          <w:color w:val="auto"/>
          <w:kern w:val="0"/>
          <w:szCs w:val="24"/>
          <w:highlight w:val="none"/>
        </w:rPr>
      </w:pPr>
    </w:p>
    <w:p w14:paraId="3AE352E6">
      <w:pPr>
        <w:spacing w:line="360" w:lineRule="auto"/>
        <w:ind w:firstLine="480"/>
        <w:jc w:val="left"/>
        <w:rPr>
          <w:rFonts w:ascii="Times New Roman" w:hAnsi="Times New Roman" w:cs="等线 Light"/>
          <w:snapToGrid w:val="0"/>
          <w:color w:val="auto"/>
          <w:kern w:val="0"/>
          <w:szCs w:val="24"/>
          <w:highlight w:val="none"/>
        </w:rPr>
      </w:pPr>
    </w:p>
    <w:p w14:paraId="3DF00CC8">
      <w:pPr>
        <w:spacing w:line="360" w:lineRule="auto"/>
        <w:ind w:firstLine="480"/>
        <w:jc w:val="left"/>
        <w:rPr>
          <w:rFonts w:ascii="Times New Roman" w:hAnsi="Times New Roman" w:cs="等线 Light"/>
          <w:snapToGrid w:val="0"/>
          <w:color w:val="auto"/>
          <w:kern w:val="0"/>
          <w:szCs w:val="24"/>
          <w:highlight w:val="none"/>
        </w:rPr>
      </w:pPr>
    </w:p>
    <w:p w14:paraId="3D273C95">
      <w:pPr>
        <w:spacing w:line="360" w:lineRule="auto"/>
        <w:ind w:firstLine="480"/>
        <w:jc w:val="left"/>
        <w:rPr>
          <w:rFonts w:ascii="Times New Roman" w:hAnsi="Times New Roman" w:cs="等线 Light"/>
          <w:snapToGrid w:val="0"/>
          <w:color w:val="auto"/>
          <w:kern w:val="0"/>
          <w:szCs w:val="24"/>
          <w:highlight w:val="none"/>
        </w:rPr>
      </w:pPr>
    </w:p>
    <w:p w14:paraId="254BF77F">
      <w:pPr>
        <w:spacing w:line="360" w:lineRule="auto"/>
        <w:ind w:firstLine="480"/>
        <w:jc w:val="left"/>
        <w:rPr>
          <w:rFonts w:ascii="Times New Roman" w:hAnsi="Times New Roman" w:cs="等线 Light"/>
          <w:snapToGrid w:val="0"/>
          <w:color w:val="auto"/>
          <w:kern w:val="0"/>
          <w:szCs w:val="24"/>
          <w:highlight w:val="none"/>
        </w:rPr>
      </w:pPr>
    </w:p>
    <w:p w14:paraId="6E629508">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6FC4233">
      <w:pPr>
        <w:pStyle w:val="32"/>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1.法人中国执行信息公开截图</w:t>
      </w:r>
    </w:p>
    <w:p w14:paraId="5C01CD2E">
      <w:pPr>
        <w:ind w:firstLine="480"/>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2.法定代表人中国执行信息公开截图</w:t>
      </w:r>
    </w:p>
    <w:p w14:paraId="7F6EDFE0">
      <w:pPr>
        <w:ind w:firstLine="480"/>
        <w:rPr>
          <w:rFonts w:ascii="Times New Roman" w:hAnsi="Times New Roman"/>
          <w:color w:val="auto"/>
          <w:highlight w:val="none"/>
        </w:rPr>
      </w:pPr>
    </w:p>
    <w:p w14:paraId="453266FD">
      <w:pPr>
        <w:ind w:firstLine="480"/>
        <w:rPr>
          <w:rFonts w:ascii="Times New Roman" w:hAnsi="Times New Roman"/>
          <w:color w:val="auto"/>
          <w:highlight w:val="none"/>
        </w:rPr>
      </w:pPr>
    </w:p>
    <w:p w14:paraId="39A5DFB0">
      <w:pPr>
        <w:ind w:firstLine="480"/>
        <w:rPr>
          <w:rFonts w:ascii="Times New Roman" w:hAnsi="Times New Roman"/>
          <w:color w:val="auto"/>
          <w:highlight w:val="none"/>
        </w:rPr>
      </w:pPr>
    </w:p>
    <w:p w14:paraId="2B832C5E">
      <w:pPr>
        <w:ind w:firstLine="480"/>
        <w:rPr>
          <w:rFonts w:ascii="Times New Roman" w:hAnsi="Times New Roman"/>
          <w:color w:val="auto"/>
          <w:highlight w:val="none"/>
        </w:rPr>
      </w:pPr>
    </w:p>
    <w:p w14:paraId="6249EC49">
      <w:pPr>
        <w:ind w:firstLine="480"/>
        <w:rPr>
          <w:rFonts w:ascii="Times New Roman" w:hAnsi="Times New Roman"/>
          <w:color w:val="auto"/>
          <w:highlight w:val="none"/>
        </w:rPr>
      </w:pPr>
    </w:p>
    <w:p w14:paraId="48FA9A11">
      <w:pPr>
        <w:ind w:firstLine="480"/>
        <w:rPr>
          <w:rFonts w:ascii="Times New Roman" w:hAnsi="Times New Roman"/>
          <w:color w:val="auto"/>
          <w:highlight w:val="none"/>
        </w:rPr>
      </w:pPr>
      <w:r>
        <w:rPr>
          <w:rFonts w:hint="eastAsia" w:ascii="Times New Roman" w:hAnsi="Times New Roman"/>
          <w:color w:val="auto"/>
          <w:highlight w:val="none"/>
        </w:rPr>
        <w:br w:type="page"/>
      </w:r>
    </w:p>
    <w:p w14:paraId="50F54715">
      <w:pPr>
        <w:pStyle w:val="32"/>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6D4420B9">
      <w:pPr>
        <w:ind w:firstLine="480"/>
        <w:rPr>
          <w:rFonts w:ascii="Times New Roman" w:hAnsi="Times New Roman"/>
          <w:color w:val="auto"/>
          <w:highlight w:val="none"/>
          <w:lang w:val="zh-CN"/>
        </w:rPr>
      </w:pPr>
    </w:p>
    <w:p w14:paraId="69A845ED">
      <w:pPr>
        <w:ind w:firstLine="480"/>
        <w:rPr>
          <w:rFonts w:ascii="Times New Roman" w:hAnsi="Times New Roman"/>
          <w:color w:val="auto"/>
          <w:highlight w:val="none"/>
          <w:lang w:val="zh-CN"/>
        </w:rPr>
      </w:pPr>
    </w:p>
    <w:p w14:paraId="51C2A27B">
      <w:pPr>
        <w:ind w:firstLine="480"/>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60C01E4E">
      <w:pPr>
        <w:pStyle w:val="32"/>
        <w:rPr>
          <w:rFonts w:hint="eastAsia" w:ascii="Times New Roman" w:hAnsi="Times New Roman" w:eastAsia="宋体"/>
          <w:color w:val="auto"/>
          <w:highlight w:val="none"/>
          <w:lang w:val="zh-CN" w:eastAsia="zh-CN"/>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如有</w:t>
      </w:r>
      <w:r>
        <w:rPr>
          <w:rFonts w:hint="eastAsia" w:ascii="Times New Roman" w:hAnsi="Times New Roman"/>
          <w:color w:val="auto"/>
          <w:highlight w:val="none"/>
          <w:lang w:eastAsia="zh-CN"/>
        </w:rPr>
        <w:t>）</w:t>
      </w:r>
    </w:p>
    <w:p w14:paraId="4B4588AB">
      <w:pPr>
        <w:ind w:firstLine="480"/>
        <w:rPr>
          <w:rFonts w:ascii="Times New Roman" w:hAnsi="Times New Roman"/>
          <w:color w:val="auto"/>
          <w:highlight w:val="none"/>
          <w:lang w:val="zh-CN"/>
        </w:rPr>
      </w:pPr>
    </w:p>
    <w:p w14:paraId="4598E269">
      <w:pPr>
        <w:ind w:firstLine="480"/>
        <w:rPr>
          <w:rFonts w:ascii="Times New Roman" w:hAnsi="Times New Roman"/>
          <w:color w:val="auto"/>
          <w:highlight w:val="none"/>
          <w:lang w:val="zh-CN"/>
        </w:rPr>
      </w:pPr>
    </w:p>
    <w:p w14:paraId="1532AB44">
      <w:pPr>
        <w:ind w:firstLine="480"/>
        <w:rPr>
          <w:rFonts w:ascii="Times New Roman" w:hAnsi="Times New Roman"/>
          <w:color w:val="auto"/>
          <w:highlight w:val="none"/>
          <w:lang w:val="zh-CN"/>
        </w:rPr>
      </w:pPr>
    </w:p>
    <w:p w14:paraId="53E1105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7C3DB69E">
      <w:pPr>
        <w:pStyle w:val="31"/>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ascii="Times New Roman" w:hAnsi="Times New Roman"/>
          <w:color w:val="auto"/>
          <w:highlight w:val="none"/>
          <w:lang w:val="en-US" w:eastAsia="zh-CN"/>
        </w:rPr>
        <w:t>性文件</w:t>
      </w:r>
    </w:p>
    <w:p w14:paraId="6693CEBF">
      <w:pPr>
        <w:pStyle w:val="32"/>
        <w:rPr>
          <w:rFonts w:ascii="Times New Roman" w:hAnsi="Times New Roman"/>
          <w:color w:val="auto"/>
          <w:highlight w:val="none"/>
        </w:rPr>
      </w:pPr>
      <w:r>
        <w:rPr>
          <w:rFonts w:hint="eastAsia" w:ascii="Times New Roman" w:hAnsi="Times New Roman"/>
          <w:color w:val="auto"/>
          <w:highlight w:val="none"/>
        </w:rPr>
        <w:t>（一）响应承诺函</w:t>
      </w:r>
    </w:p>
    <w:p w14:paraId="7EA65A10">
      <w:pPr>
        <w:ind w:firstLine="480"/>
        <w:rPr>
          <w:rFonts w:ascii="Times New Roman" w:hAnsi="Times New Roman"/>
          <w:color w:val="auto"/>
          <w:highlight w:val="none"/>
        </w:rPr>
      </w:pPr>
      <w:r>
        <w:rPr>
          <w:rFonts w:hint="eastAsia" w:ascii="Times New Roman" w:hAnsi="Times New Roman"/>
          <w:color w:val="auto"/>
          <w:highlight w:val="none"/>
        </w:rPr>
        <w:t>根据第三章“项目要求”内容，做出整体承诺，格式自理。</w:t>
      </w:r>
    </w:p>
    <w:p w14:paraId="39F786DA">
      <w:pPr>
        <w:ind w:firstLine="480"/>
        <w:rPr>
          <w:rFonts w:ascii="Times New Roman" w:hAnsi="Times New Roman"/>
          <w:color w:val="auto"/>
          <w:highlight w:val="none"/>
        </w:rPr>
      </w:pPr>
    </w:p>
    <w:p w14:paraId="36B5112D">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BA543F7">
      <w:pPr>
        <w:pStyle w:val="32"/>
        <w:bidi w:val="0"/>
        <w:rPr>
          <w:rFonts w:hint="default"/>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项目实施方案</w:t>
      </w:r>
    </w:p>
    <w:p w14:paraId="524A6D25">
      <w:pPr>
        <w:tabs>
          <w:tab w:val="left" w:pos="6300"/>
        </w:tabs>
        <w:snapToGrid w:val="0"/>
        <w:spacing w:line="360" w:lineRule="auto"/>
        <w:ind w:firstLine="48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lang w:val="en-US" w:eastAsia="zh-CN"/>
        </w:rPr>
        <w:t>根据第三章要求提供</w:t>
      </w:r>
      <w:r>
        <w:rPr>
          <w:rFonts w:hint="eastAsia" w:ascii="Times New Roman" w:hAnsi="Times New Roman"/>
          <w:snapToGrid w:val="0"/>
          <w:color w:val="auto"/>
          <w:kern w:val="0"/>
          <w:szCs w:val="24"/>
          <w:highlight w:val="none"/>
        </w:rPr>
        <w:t>）</w:t>
      </w:r>
    </w:p>
    <w:p w14:paraId="77AE9608">
      <w:pPr>
        <w:pStyle w:val="32"/>
        <w:bidi w:val="0"/>
        <w:rPr>
          <w:rFonts w:hint="default"/>
          <w:color w:val="auto"/>
          <w:highlight w:val="none"/>
        </w:rPr>
      </w:pPr>
      <w:r>
        <w:rPr>
          <w:rFonts w:hint="eastAsia" w:ascii="Times New Roman" w:hAnsi="Times New Roman"/>
          <w:color w:val="auto"/>
          <w:kern w:val="0"/>
          <w:highlight w:val="none"/>
        </w:rPr>
        <w:br w:type="page"/>
      </w: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项目</w:t>
      </w:r>
      <w:r>
        <w:rPr>
          <w:rFonts w:hint="default"/>
          <w:color w:val="auto"/>
          <w:highlight w:val="none"/>
          <w:lang w:val="en-US" w:eastAsia="zh-CN"/>
        </w:rPr>
        <w:t>人力资源方案</w:t>
      </w:r>
    </w:p>
    <w:p w14:paraId="3F3C0CEF">
      <w:pPr>
        <w:tabs>
          <w:tab w:val="left" w:pos="6300"/>
        </w:tabs>
        <w:snapToGrid w:val="0"/>
        <w:spacing w:line="360" w:lineRule="auto"/>
        <w:ind w:firstLine="48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lang w:val="en-US" w:eastAsia="zh-CN"/>
        </w:rPr>
        <w:t>根据第三章要求提供</w:t>
      </w:r>
      <w:r>
        <w:rPr>
          <w:rFonts w:hint="eastAsia" w:ascii="Times New Roman" w:hAnsi="Times New Roman"/>
          <w:snapToGrid w:val="0"/>
          <w:color w:val="auto"/>
          <w:kern w:val="0"/>
          <w:szCs w:val="24"/>
          <w:highlight w:val="none"/>
        </w:rPr>
        <w:t>）</w:t>
      </w:r>
    </w:p>
    <w:p w14:paraId="7E7A344C">
      <w:pPr>
        <w:pStyle w:val="32"/>
        <w:bidi w:val="0"/>
        <w:rPr>
          <w:rFonts w:hint="default"/>
          <w:color w:val="auto"/>
          <w:highlight w:val="none"/>
        </w:rPr>
      </w:pPr>
      <w:r>
        <w:rPr>
          <w:rFonts w:hint="eastAsia" w:ascii="Times New Roman" w:hAnsi="Times New Roman"/>
          <w:color w:val="auto"/>
          <w:kern w:val="0"/>
          <w:highlight w:val="none"/>
        </w:rPr>
        <w:br w:type="page"/>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ascii="Times New Roman" w:hAnsi="Times New Roman"/>
          <w:color w:val="auto"/>
          <w:highlight w:val="none"/>
        </w:rPr>
        <w:t>服务连续性预案</w:t>
      </w:r>
    </w:p>
    <w:p w14:paraId="3C2A89F1">
      <w:pPr>
        <w:tabs>
          <w:tab w:val="left" w:pos="6300"/>
        </w:tabs>
        <w:snapToGrid w:val="0"/>
        <w:spacing w:line="360" w:lineRule="auto"/>
        <w:ind w:firstLine="48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Times New Roman" w:hAnsi="Times New Roman"/>
          <w:color w:val="auto"/>
          <w:highlight w:val="none"/>
        </w:rPr>
        <w:t>应考虑供应链风险产生的影响</w:t>
      </w:r>
      <w:r>
        <w:rPr>
          <w:rFonts w:hint="eastAsia" w:ascii="Times New Roman" w:hAnsi="Times New Roman"/>
          <w:snapToGrid w:val="0"/>
          <w:color w:val="auto"/>
          <w:kern w:val="0"/>
          <w:szCs w:val="24"/>
          <w:highlight w:val="none"/>
        </w:rPr>
        <w:t>）</w:t>
      </w:r>
    </w:p>
    <w:p w14:paraId="3955BCE7">
      <w:pPr>
        <w:pStyle w:val="31"/>
        <w:rPr>
          <w:rFonts w:hint="default" w:ascii="Times New Roman" w:hAnsi="Times New Roman"/>
          <w:color w:val="auto"/>
          <w:highlight w:val="none"/>
        </w:rPr>
      </w:pPr>
      <w:r>
        <w:rPr>
          <w:rFonts w:hint="eastAsia" w:ascii="Times New Roman" w:hAnsi="Times New Roman"/>
          <w:color w:val="auto"/>
          <w:kern w:val="0"/>
          <w:highlight w:val="none"/>
        </w:rPr>
        <w:br w:type="page"/>
      </w:r>
      <w:r>
        <w:rPr>
          <w:rFonts w:ascii="Times New Roman" w:hAnsi="Times New Roman"/>
          <w:color w:val="auto"/>
          <w:highlight w:val="none"/>
        </w:rPr>
        <w:t>五、参选保证金</w:t>
      </w:r>
    </w:p>
    <w:p w14:paraId="293CB00E">
      <w:pPr>
        <w:spacing w:line="360" w:lineRule="auto"/>
        <w:ind w:firstLine="480"/>
        <w:rPr>
          <w:rFonts w:ascii="Times New Roman" w:hAnsi="Times New Roman" w:cs="等线 Light"/>
          <w:color w:val="auto"/>
          <w:highlight w:val="none"/>
        </w:rPr>
      </w:pPr>
    </w:p>
    <w:p w14:paraId="183AC8A1">
      <w:pPr>
        <w:spacing w:line="360" w:lineRule="auto"/>
        <w:ind w:firstLine="480"/>
        <w:rPr>
          <w:rFonts w:ascii="Times New Roman" w:hAnsi="Times New Roman" w:cs="等线 Light"/>
          <w:color w:val="auto"/>
          <w:highlight w:val="none"/>
        </w:rPr>
      </w:pPr>
    </w:p>
    <w:p w14:paraId="222F7D2A">
      <w:pPr>
        <w:spacing w:line="360" w:lineRule="auto"/>
        <w:ind w:firstLine="480"/>
        <w:rPr>
          <w:rFonts w:ascii="Times New Roman" w:hAnsi="Times New Roman" w:cs="等线 Light"/>
          <w:color w:val="auto"/>
          <w:highlight w:val="none"/>
        </w:rPr>
      </w:pPr>
    </w:p>
    <w:p w14:paraId="12E18256">
      <w:pPr>
        <w:spacing w:line="360" w:lineRule="auto"/>
        <w:ind w:firstLine="480"/>
        <w:rPr>
          <w:rFonts w:ascii="Times New Roman" w:hAnsi="Times New Roman" w:cs="等线 Light"/>
          <w:color w:val="auto"/>
          <w:highlight w:val="none"/>
        </w:rPr>
      </w:pPr>
    </w:p>
    <w:p w14:paraId="7051DB0E">
      <w:pPr>
        <w:spacing w:line="360" w:lineRule="auto"/>
        <w:ind w:firstLine="480"/>
        <w:rPr>
          <w:rFonts w:ascii="Times New Roman" w:hAnsi="Times New Roman" w:cs="等线 Light"/>
          <w:color w:val="auto"/>
          <w:highlight w:val="none"/>
        </w:rPr>
      </w:pPr>
    </w:p>
    <w:p w14:paraId="0F4DA2AC">
      <w:pPr>
        <w:spacing w:line="360" w:lineRule="auto"/>
        <w:ind w:firstLine="480"/>
        <w:rPr>
          <w:rFonts w:ascii="Times New Roman" w:hAnsi="Times New Roman" w:cs="等线 Light"/>
          <w:color w:val="auto"/>
          <w:highlight w:val="none"/>
        </w:rPr>
      </w:pPr>
    </w:p>
    <w:p w14:paraId="30665A41">
      <w:pPr>
        <w:spacing w:line="360" w:lineRule="auto"/>
        <w:ind w:firstLine="480"/>
        <w:rPr>
          <w:rFonts w:ascii="Times New Roman" w:hAnsi="Times New Roman" w:cs="等线 Light"/>
          <w:color w:val="auto"/>
          <w:highlight w:val="none"/>
        </w:rPr>
      </w:pPr>
    </w:p>
    <w:p w14:paraId="61A14B2D">
      <w:pPr>
        <w:spacing w:line="360" w:lineRule="auto"/>
        <w:ind w:firstLine="480"/>
        <w:rPr>
          <w:rFonts w:ascii="Times New Roman" w:hAnsi="Times New Roman" w:cs="等线 Light"/>
          <w:color w:val="auto"/>
          <w:highlight w:val="none"/>
        </w:rPr>
      </w:pPr>
    </w:p>
    <w:p w14:paraId="03CDD5D8">
      <w:pPr>
        <w:spacing w:line="360" w:lineRule="auto"/>
        <w:ind w:firstLine="480"/>
        <w:rPr>
          <w:rFonts w:ascii="Times New Roman" w:hAnsi="Times New Roman" w:cs="等线 Light"/>
          <w:color w:val="auto"/>
          <w:highlight w:val="none"/>
        </w:rPr>
      </w:pPr>
    </w:p>
    <w:p w14:paraId="0A916071">
      <w:pPr>
        <w:spacing w:line="360" w:lineRule="auto"/>
        <w:ind w:firstLine="480"/>
        <w:rPr>
          <w:rFonts w:ascii="Times New Roman" w:hAnsi="Times New Roman" w:cs="等线 Light"/>
          <w:color w:val="auto"/>
          <w:highlight w:val="none"/>
        </w:rPr>
      </w:pPr>
    </w:p>
    <w:p w14:paraId="062D7F89">
      <w:pPr>
        <w:spacing w:line="360" w:lineRule="auto"/>
        <w:ind w:firstLine="480"/>
        <w:rPr>
          <w:rFonts w:ascii="Times New Roman" w:hAnsi="Times New Roman" w:cs="等线 Light"/>
          <w:color w:val="auto"/>
          <w:highlight w:val="none"/>
        </w:rPr>
      </w:pPr>
    </w:p>
    <w:p w14:paraId="1A824BE4">
      <w:pPr>
        <w:spacing w:line="360" w:lineRule="auto"/>
        <w:ind w:firstLine="480"/>
        <w:rPr>
          <w:rFonts w:ascii="Times New Roman" w:hAnsi="Times New Roman" w:cs="等线 Light"/>
          <w:color w:val="auto"/>
          <w:highlight w:val="none"/>
        </w:rPr>
      </w:pPr>
    </w:p>
    <w:p w14:paraId="13A6283F">
      <w:pPr>
        <w:spacing w:line="360" w:lineRule="auto"/>
        <w:ind w:firstLine="480"/>
        <w:rPr>
          <w:rFonts w:ascii="Times New Roman" w:hAnsi="Times New Roman" w:cs="等线 Light"/>
          <w:color w:val="auto"/>
          <w:highlight w:val="none"/>
        </w:rPr>
      </w:pPr>
    </w:p>
    <w:p w14:paraId="6862B820">
      <w:pPr>
        <w:spacing w:line="360" w:lineRule="auto"/>
        <w:ind w:firstLine="480"/>
        <w:rPr>
          <w:rFonts w:ascii="Times New Roman" w:hAnsi="Times New Roman" w:cs="等线 Light"/>
          <w:color w:val="auto"/>
          <w:highlight w:val="none"/>
        </w:rPr>
      </w:pPr>
    </w:p>
    <w:p w14:paraId="2E3E8927">
      <w:pPr>
        <w:spacing w:line="360" w:lineRule="auto"/>
        <w:ind w:firstLine="480"/>
        <w:rPr>
          <w:rFonts w:ascii="Times New Roman" w:hAnsi="Times New Roman" w:cs="等线 Light"/>
          <w:color w:val="auto"/>
          <w:highlight w:val="none"/>
        </w:rPr>
      </w:pPr>
    </w:p>
    <w:p w14:paraId="30207BBB">
      <w:pPr>
        <w:spacing w:line="360" w:lineRule="auto"/>
        <w:ind w:firstLine="480"/>
        <w:rPr>
          <w:rFonts w:ascii="Times New Roman" w:hAnsi="Times New Roman" w:cs="等线 Light"/>
          <w:color w:val="auto"/>
          <w:highlight w:val="none"/>
        </w:rPr>
      </w:pPr>
    </w:p>
    <w:p w14:paraId="69377140">
      <w:pPr>
        <w:spacing w:line="360" w:lineRule="auto"/>
        <w:ind w:firstLine="480"/>
        <w:rPr>
          <w:rFonts w:ascii="Times New Roman" w:hAnsi="Times New Roman" w:cs="等线 Light"/>
          <w:color w:val="auto"/>
          <w:highlight w:val="none"/>
        </w:rPr>
      </w:pPr>
    </w:p>
    <w:p w14:paraId="0F00868F">
      <w:pPr>
        <w:spacing w:line="360" w:lineRule="auto"/>
        <w:ind w:firstLine="480"/>
        <w:rPr>
          <w:rFonts w:ascii="Times New Roman" w:hAnsi="Times New Roman" w:cs="等线 Light"/>
          <w:color w:val="auto"/>
          <w:highlight w:val="none"/>
        </w:rPr>
      </w:pPr>
    </w:p>
    <w:p w14:paraId="2236DB6A">
      <w:pPr>
        <w:adjustRightInd w:val="0"/>
        <w:snapToGrid w:val="0"/>
        <w:spacing w:line="360" w:lineRule="auto"/>
        <w:ind w:firstLine="480"/>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2D8C459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95610F5">
      <w:pPr>
        <w:spacing w:line="360" w:lineRule="auto"/>
        <w:ind w:firstLine="420"/>
        <w:rPr>
          <w:rFonts w:ascii="Times New Roman" w:hAnsi="Times New Roman" w:cs="等线 Light"/>
          <w:color w:val="auto"/>
          <w:sz w:val="21"/>
          <w:szCs w:val="21"/>
          <w:highlight w:val="none"/>
        </w:rPr>
      </w:pPr>
    </w:p>
    <w:p w14:paraId="1D4A90DF">
      <w:pPr>
        <w:spacing w:line="360" w:lineRule="auto"/>
        <w:ind w:firstLine="480"/>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1D2F1CBA">
      <w:pPr>
        <w:pStyle w:val="31"/>
        <w:bidi w:val="0"/>
        <w:rPr>
          <w:rFonts w:hint="default"/>
          <w:color w:val="auto"/>
          <w:highlight w:val="none"/>
        </w:rPr>
      </w:pPr>
      <w:r>
        <w:rPr>
          <w:color w:val="auto"/>
          <w:highlight w:val="none"/>
        </w:rPr>
        <w:t>六、服务水平协议（SLA）</w:t>
      </w:r>
    </w:p>
    <w:tbl>
      <w:tblPr>
        <w:tblStyle w:val="19"/>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tblGrid>
      <w:tr w14:paraId="0927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noWrap w:val="0"/>
            <w:vAlign w:val="center"/>
          </w:tcPr>
          <w:p w14:paraId="744383FB">
            <w:pPr>
              <w:widowControl/>
              <w:snapToGrid w:val="0"/>
              <w:ind w:left="0" w:leftChars="0" w:firstLine="0" w:firstLineChars="0"/>
              <w:jc w:val="both"/>
              <w:rPr>
                <w:rFonts w:hint="eastAsia" w:ascii="宋体"/>
                <w:b/>
                <w:color w:val="auto"/>
                <w:highlight w:val="none"/>
              </w:rPr>
            </w:pPr>
            <w:r>
              <w:rPr>
                <w:rFonts w:hint="eastAsia" w:ascii="宋体"/>
                <w:b/>
                <w:color w:val="auto"/>
                <w:highlight w:val="none"/>
                <w:lang w:val="en-US" w:eastAsia="zh-CN"/>
              </w:rPr>
              <w:t>序</w:t>
            </w:r>
            <w:r>
              <w:rPr>
                <w:rFonts w:hint="eastAsia" w:ascii="宋体"/>
                <w:b/>
                <w:color w:val="auto"/>
                <w:highlight w:val="none"/>
              </w:rPr>
              <w:t>号</w:t>
            </w:r>
          </w:p>
        </w:tc>
        <w:tc>
          <w:tcPr>
            <w:tcW w:w="710" w:type="dxa"/>
            <w:noWrap w:val="0"/>
            <w:vAlign w:val="center"/>
          </w:tcPr>
          <w:p w14:paraId="09D5B1BF">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服务内容</w:t>
            </w:r>
          </w:p>
        </w:tc>
        <w:tc>
          <w:tcPr>
            <w:tcW w:w="1134" w:type="dxa"/>
            <w:noWrap w:val="0"/>
            <w:vAlign w:val="center"/>
          </w:tcPr>
          <w:p w14:paraId="54BD610E">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服务定义</w:t>
            </w:r>
          </w:p>
        </w:tc>
        <w:tc>
          <w:tcPr>
            <w:tcW w:w="1701" w:type="dxa"/>
            <w:noWrap w:val="0"/>
            <w:vAlign w:val="center"/>
          </w:tcPr>
          <w:p w14:paraId="35FF5ACB">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服务标准</w:t>
            </w:r>
          </w:p>
        </w:tc>
        <w:tc>
          <w:tcPr>
            <w:tcW w:w="1842" w:type="dxa"/>
            <w:noWrap w:val="0"/>
            <w:vAlign w:val="center"/>
          </w:tcPr>
          <w:p w14:paraId="2A348638">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指标计算</w:t>
            </w:r>
          </w:p>
        </w:tc>
        <w:tc>
          <w:tcPr>
            <w:tcW w:w="1843" w:type="dxa"/>
            <w:noWrap w:val="0"/>
            <w:vAlign w:val="center"/>
          </w:tcPr>
          <w:p w14:paraId="12A983B2">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服务水平要求</w:t>
            </w:r>
          </w:p>
        </w:tc>
        <w:tc>
          <w:tcPr>
            <w:tcW w:w="1843" w:type="dxa"/>
            <w:noWrap w:val="0"/>
            <w:vAlign w:val="center"/>
          </w:tcPr>
          <w:p w14:paraId="2AC5E4A0">
            <w:pPr>
              <w:widowControl/>
              <w:snapToGrid w:val="0"/>
              <w:ind w:left="0" w:leftChars="0" w:firstLine="0" w:firstLineChars="0"/>
              <w:jc w:val="both"/>
              <w:rPr>
                <w:rFonts w:hint="eastAsia" w:ascii="宋体"/>
                <w:b/>
                <w:color w:val="auto"/>
                <w:highlight w:val="none"/>
              </w:rPr>
            </w:pPr>
            <w:r>
              <w:rPr>
                <w:rFonts w:hint="eastAsia" w:ascii="宋体"/>
                <w:b/>
                <w:color w:val="auto"/>
                <w:highlight w:val="none"/>
              </w:rPr>
              <w:t>违约金标准</w:t>
            </w:r>
          </w:p>
        </w:tc>
      </w:tr>
      <w:tr w14:paraId="326C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noWrap w:val="0"/>
            <w:vAlign w:val="center"/>
          </w:tcPr>
          <w:p w14:paraId="636DF6A4">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1</w:t>
            </w:r>
          </w:p>
        </w:tc>
        <w:tc>
          <w:tcPr>
            <w:tcW w:w="710" w:type="dxa"/>
            <w:noWrap w:val="0"/>
            <w:vAlign w:val="center"/>
          </w:tcPr>
          <w:p w14:paraId="4D2ED71F">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任务响应</w:t>
            </w:r>
          </w:p>
        </w:tc>
        <w:tc>
          <w:tcPr>
            <w:tcW w:w="1134" w:type="dxa"/>
            <w:noWrap w:val="0"/>
            <w:vAlign w:val="center"/>
          </w:tcPr>
          <w:p w14:paraId="31AEF47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衡量乙方在需求与问题响应方面的能力</w:t>
            </w:r>
          </w:p>
        </w:tc>
        <w:tc>
          <w:tcPr>
            <w:tcW w:w="1701" w:type="dxa"/>
            <w:noWrap w:val="0"/>
            <w:vAlign w:val="center"/>
          </w:tcPr>
          <w:p w14:paraId="7640056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1842" w:type="dxa"/>
            <w:noWrap w:val="0"/>
            <w:vAlign w:val="center"/>
          </w:tcPr>
          <w:p w14:paraId="4AA5166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1843" w:type="dxa"/>
            <w:noWrap w:val="0"/>
            <w:vAlign w:val="center"/>
          </w:tcPr>
          <w:p w14:paraId="42A4A52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乙方不得违反承诺响应时间</w:t>
            </w:r>
          </w:p>
        </w:tc>
        <w:tc>
          <w:tcPr>
            <w:tcW w:w="1843" w:type="dxa"/>
            <w:noWrap w:val="0"/>
            <w:vAlign w:val="center"/>
          </w:tcPr>
          <w:p w14:paraId="506D40E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如违反承诺的响应时间要求，每次扣除1000元违约金</w:t>
            </w:r>
          </w:p>
        </w:tc>
      </w:tr>
      <w:tr w14:paraId="7D65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noWrap w:val="0"/>
            <w:vAlign w:val="center"/>
          </w:tcPr>
          <w:p w14:paraId="635271A9">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2</w:t>
            </w:r>
          </w:p>
        </w:tc>
        <w:tc>
          <w:tcPr>
            <w:tcW w:w="710" w:type="dxa"/>
            <w:noWrap w:val="0"/>
            <w:vAlign w:val="center"/>
          </w:tcPr>
          <w:p w14:paraId="316AAA0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任务完成情况</w:t>
            </w:r>
          </w:p>
        </w:tc>
        <w:tc>
          <w:tcPr>
            <w:tcW w:w="1134" w:type="dxa"/>
            <w:noWrap w:val="0"/>
            <w:vAlign w:val="center"/>
          </w:tcPr>
          <w:p w14:paraId="57D54B3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衡量乙方按计划完成任务的能力</w:t>
            </w:r>
          </w:p>
        </w:tc>
        <w:tc>
          <w:tcPr>
            <w:tcW w:w="1701" w:type="dxa"/>
            <w:noWrap w:val="0"/>
            <w:vAlign w:val="center"/>
          </w:tcPr>
          <w:p w14:paraId="7740C46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乙方应当在双方确认的时间内完成任务</w:t>
            </w:r>
          </w:p>
        </w:tc>
        <w:tc>
          <w:tcPr>
            <w:tcW w:w="1842" w:type="dxa"/>
            <w:noWrap w:val="0"/>
            <w:vAlign w:val="center"/>
          </w:tcPr>
          <w:p w14:paraId="28A63460">
            <w:pPr>
              <w:widowControl/>
              <w:snapToGrid w:val="0"/>
              <w:spacing w:line="320" w:lineRule="exact"/>
              <w:ind w:left="0" w:leftChars="0" w:firstLine="0" w:firstLineChars="0"/>
              <w:jc w:val="left"/>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1843" w:type="dxa"/>
            <w:noWrap w:val="0"/>
            <w:vAlign w:val="center"/>
          </w:tcPr>
          <w:p w14:paraId="2EEEC3B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任务完成及时率≥90%</w:t>
            </w:r>
          </w:p>
        </w:tc>
        <w:tc>
          <w:tcPr>
            <w:tcW w:w="1843" w:type="dxa"/>
            <w:noWrap w:val="0"/>
            <w:vAlign w:val="center"/>
          </w:tcPr>
          <w:p w14:paraId="614C3BAF">
            <w:pPr>
              <w:widowControl/>
              <w:snapToGrid w:val="0"/>
              <w:spacing w:line="320" w:lineRule="exact"/>
              <w:jc w:val="left"/>
              <w:rPr>
                <w:rFonts w:hint="eastAsia" w:ascii="宋体"/>
                <w:color w:val="auto"/>
                <w:highlight w:val="none"/>
              </w:rPr>
            </w:pPr>
          </w:p>
        </w:tc>
      </w:tr>
      <w:tr w14:paraId="1C9E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noWrap w:val="0"/>
            <w:vAlign w:val="center"/>
          </w:tcPr>
          <w:p w14:paraId="286DC2E3">
            <w:pPr>
              <w:widowControl/>
              <w:snapToGrid w:val="0"/>
              <w:spacing w:line="320" w:lineRule="exact"/>
              <w:ind w:left="0" w:leftChars="0" w:firstLine="0" w:firstLineChars="0"/>
              <w:jc w:val="both"/>
              <w:rPr>
                <w:rFonts w:hint="default" w:ascii="宋体" w:eastAsia="宋体"/>
                <w:color w:val="auto"/>
                <w:highlight w:val="none"/>
                <w:lang w:val="en-US" w:eastAsia="zh-CN"/>
              </w:rPr>
            </w:pPr>
            <w:r>
              <w:rPr>
                <w:rFonts w:hint="eastAsia" w:ascii="宋体"/>
                <w:color w:val="auto"/>
                <w:highlight w:val="none"/>
                <w:lang w:val="en-US" w:eastAsia="zh-CN"/>
              </w:rPr>
              <w:t>3</w:t>
            </w:r>
          </w:p>
        </w:tc>
        <w:tc>
          <w:tcPr>
            <w:tcW w:w="710" w:type="dxa"/>
            <w:noWrap w:val="0"/>
            <w:vAlign w:val="center"/>
          </w:tcPr>
          <w:p w14:paraId="5855D9C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项目延期</w:t>
            </w:r>
          </w:p>
        </w:tc>
        <w:tc>
          <w:tcPr>
            <w:tcW w:w="1134" w:type="dxa"/>
            <w:noWrap w:val="0"/>
            <w:vAlign w:val="center"/>
          </w:tcPr>
          <w:p w14:paraId="6204F39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衡量乙方对项目整体实施进度的控制能力</w:t>
            </w:r>
          </w:p>
        </w:tc>
        <w:tc>
          <w:tcPr>
            <w:tcW w:w="1701" w:type="dxa"/>
            <w:noWrap w:val="0"/>
            <w:vAlign w:val="center"/>
          </w:tcPr>
          <w:p w14:paraId="1970CB3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乙方原因导致的项目进度偏差</w:t>
            </w:r>
          </w:p>
        </w:tc>
        <w:tc>
          <w:tcPr>
            <w:tcW w:w="1842" w:type="dxa"/>
            <w:noWrap w:val="0"/>
            <w:vAlign w:val="center"/>
          </w:tcPr>
          <w:p w14:paraId="7935D2E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按项目计划为基准计算进度偏差天数</w:t>
            </w:r>
          </w:p>
        </w:tc>
        <w:tc>
          <w:tcPr>
            <w:tcW w:w="1843" w:type="dxa"/>
            <w:noWrap w:val="0"/>
            <w:vAlign w:val="center"/>
          </w:tcPr>
          <w:p w14:paraId="16BA9EC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1843" w:type="dxa"/>
            <w:noWrap w:val="0"/>
            <w:vAlign w:val="center"/>
          </w:tcPr>
          <w:p w14:paraId="2348CE3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r>
      <w:tr w14:paraId="6375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7" w:type="dxa"/>
            <w:noWrap w:val="0"/>
            <w:vAlign w:val="center"/>
          </w:tcPr>
          <w:p w14:paraId="3B58AA40">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4</w:t>
            </w:r>
          </w:p>
        </w:tc>
        <w:tc>
          <w:tcPr>
            <w:tcW w:w="710" w:type="dxa"/>
            <w:noWrap w:val="0"/>
            <w:vAlign w:val="center"/>
          </w:tcPr>
          <w:p w14:paraId="787B6B6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驻场时间</w:t>
            </w:r>
          </w:p>
        </w:tc>
        <w:tc>
          <w:tcPr>
            <w:tcW w:w="1134" w:type="dxa"/>
            <w:noWrap w:val="0"/>
            <w:vAlign w:val="center"/>
          </w:tcPr>
          <w:p w14:paraId="0724FEE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衡量乙方关键咨询专家驻场服务时间</w:t>
            </w:r>
          </w:p>
        </w:tc>
        <w:tc>
          <w:tcPr>
            <w:tcW w:w="1701" w:type="dxa"/>
            <w:noWrap w:val="0"/>
            <w:vAlign w:val="center"/>
          </w:tcPr>
          <w:p w14:paraId="2DD345C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乙方专家实际驻场时间应与合同约定时间一致</w:t>
            </w:r>
          </w:p>
        </w:tc>
        <w:tc>
          <w:tcPr>
            <w:tcW w:w="1842" w:type="dxa"/>
            <w:noWrap w:val="0"/>
            <w:vAlign w:val="center"/>
          </w:tcPr>
          <w:p w14:paraId="079C263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按实际天数与合同约定天数对比</w:t>
            </w:r>
          </w:p>
        </w:tc>
        <w:tc>
          <w:tcPr>
            <w:tcW w:w="1843" w:type="dxa"/>
            <w:noWrap w:val="0"/>
            <w:vAlign w:val="center"/>
          </w:tcPr>
          <w:p w14:paraId="1F431FC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乙方不得违反承诺驻场时间</w:t>
            </w:r>
          </w:p>
        </w:tc>
        <w:tc>
          <w:tcPr>
            <w:tcW w:w="1843" w:type="dxa"/>
            <w:noWrap w:val="0"/>
            <w:vAlign w:val="center"/>
          </w:tcPr>
          <w:p w14:paraId="754B339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实际驻场天数与合同约定天数每偏差1天，扣除合同金额5000元</w:t>
            </w:r>
          </w:p>
        </w:tc>
      </w:tr>
      <w:tr w14:paraId="4BF5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noWrap w:val="0"/>
            <w:vAlign w:val="center"/>
          </w:tcPr>
          <w:p w14:paraId="2B66122C">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5</w:t>
            </w:r>
          </w:p>
        </w:tc>
        <w:tc>
          <w:tcPr>
            <w:tcW w:w="710" w:type="dxa"/>
            <w:noWrap w:val="0"/>
            <w:vAlign w:val="center"/>
          </w:tcPr>
          <w:p w14:paraId="0126689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交付文档数量及质量</w:t>
            </w:r>
          </w:p>
        </w:tc>
        <w:tc>
          <w:tcPr>
            <w:tcW w:w="1134" w:type="dxa"/>
            <w:noWrap w:val="0"/>
            <w:vAlign w:val="center"/>
          </w:tcPr>
          <w:p w14:paraId="11AC1494">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衡量甲方内部人员对乙方所提供文档的满意情况</w:t>
            </w:r>
          </w:p>
        </w:tc>
        <w:tc>
          <w:tcPr>
            <w:tcW w:w="1701" w:type="dxa"/>
            <w:noWrap w:val="0"/>
            <w:vAlign w:val="center"/>
          </w:tcPr>
          <w:p w14:paraId="1DCA98D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交付文档数量及质量满足甲方要求</w:t>
            </w:r>
          </w:p>
        </w:tc>
        <w:tc>
          <w:tcPr>
            <w:tcW w:w="1842" w:type="dxa"/>
            <w:noWrap w:val="0"/>
            <w:vAlign w:val="center"/>
          </w:tcPr>
          <w:p w14:paraId="67E13516">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甲方根据乙方实际交付的文档数量及文档质量计算</w:t>
            </w:r>
          </w:p>
        </w:tc>
        <w:tc>
          <w:tcPr>
            <w:tcW w:w="1843" w:type="dxa"/>
            <w:noWrap w:val="0"/>
            <w:vAlign w:val="center"/>
          </w:tcPr>
          <w:p w14:paraId="5E78163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文档实际交付数量不少于甲方要求数量（文档实际交付数量是指文档交付甲方后甲方确认文档质量并实际接收的文档数量）</w:t>
            </w:r>
          </w:p>
        </w:tc>
        <w:tc>
          <w:tcPr>
            <w:tcW w:w="1843" w:type="dxa"/>
            <w:noWrap w:val="0"/>
            <w:vAlign w:val="center"/>
          </w:tcPr>
          <w:p w14:paraId="3919D89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r>
      <w:tr w14:paraId="13EC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noWrap w:val="0"/>
            <w:vAlign w:val="center"/>
          </w:tcPr>
          <w:p w14:paraId="44D05E8E">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6</w:t>
            </w:r>
          </w:p>
        </w:tc>
        <w:tc>
          <w:tcPr>
            <w:tcW w:w="710" w:type="dxa"/>
            <w:noWrap w:val="0"/>
            <w:vAlign w:val="center"/>
          </w:tcPr>
          <w:p w14:paraId="377174B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人力资源投入及人员稳定性</w:t>
            </w:r>
          </w:p>
        </w:tc>
        <w:tc>
          <w:tcPr>
            <w:tcW w:w="1134" w:type="dxa"/>
            <w:noWrap w:val="0"/>
            <w:vAlign w:val="center"/>
          </w:tcPr>
          <w:p w14:paraId="12B2E21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衡量乙方人员服务的符合度及人员稳定性</w:t>
            </w:r>
          </w:p>
        </w:tc>
        <w:tc>
          <w:tcPr>
            <w:tcW w:w="1701" w:type="dxa"/>
            <w:noWrap w:val="0"/>
            <w:vAlign w:val="center"/>
          </w:tcPr>
          <w:p w14:paraId="13A2789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投入人员情况符合投标文件或合同要求，乙方项目组人员变动比例不得高于30%</w:t>
            </w:r>
          </w:p>
        </w:tc>
        <w:tc>
          <w:tcPr>
            <w:tcW w:w="1842" w:type="dxa"/>
            <w:noWrap w:val="0"/>
            <w:vAlign w:val="center"/>
          </w:tcPr>
          <w:p w14:paraId="4FBD486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甲方按合同要求判定乙方人员投入及变动情况</w:t>
            </w:r>
          </w:p>
        </w:tc>
        <w:tc>
          <w:tcPr>
            <w:tcW w:w="1843" w:type="dxa"/>
            <w:noWrap w:val="0"/>
            <w:vAlign w:val="center"/>
          </w:tcPr>
          <w:p w14:paraId="3B2FBA48">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人员数量差异=承诺人数-实际人数</w:t>
            </w:r>
          </w:p>
          <w:p w14:paraId="0828E08D">
            <w:pPr>
              <w:widowControl/>
              <w:snapToGrid w:val="0"/>
              <w:spacing w:line="320" w:lineRule="exact"/>
              <w:ind w:left="105" w:hanging="120" w:hangingChars="50"/>
              <w:jc w:val="left"/>
              <w:rPr>
                <w:rFonts w:hint="eastAsia" w:ascii="宋体"/>
                <w:color w:val="auto"/>
                <w:highlight w:val="none"/>
              </w:rPr>
            </w:pPr>
            <w:r>
              <w:rPr>
                <w:rFonts w:hint="eastAsia" w:ascii="宋体"/>
                <w:color w:val="auto"/>
                <w:highlight w:val="none"/>
              </w:rPr>
              <w:t>人员变动率=人员变动人数/原项目组人员总人数（人员数量差异≤2；人咨询骨干专家不得变动；咨询人员变动率≤30%）</w:t>
            </w:r>
          </w:p>
        </w:tc>
        <w:tc>
          <w:tcPr>
            <w:tcW w:w="1843" w:type="dxa"/>
            <w:noWrap w:val="0"/>
            <w:vAlign w:val="center"/>
          </w:tcPr>
          <w:p w14:paraId="0A01E32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咨询专家变动扣除专家人月单价（至少不低于5万元），咨询人员变动高于超过30%，扣除合同金额10%</w:t>
            </w:r>
          </w:p>
        </w:tc>
      </w:tr>
      <w:tr w14:paraId="52FD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noWrap w:val="0"/>
            <w:vAlign w:val="center"/>
          </w:tcPr>
          <w:p w14:paraId="5D58009C">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7</w:t>
            </w:r>
          </w:p>
        </w:tc>
        <w:tc>
          <w:tcPr>
            <w:tcW w:w="710" w:type="dxa"/>
            <w:noWrap w:val="0"/>
            <w:vAlign w:val="center"/>
          </w:tcPr>
          <w:p w14:paraId="31134EF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人员异常退出</w:t>
            </w:r>
          </w:p>
        </w:tc>
        <w:tc>
          <w:tcPr>
            <w:tcW w:w="1134" w:type="dxa"/>
            <w:noWrap w:val="0"/>
            <w:vAlign w:val="center"/>
          </w:tcPr>
          <w:p w14:paraId="4106E11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衡量乙方人员是否提供持续服务</w:t>
            </w:r>
          </w:p>
        </w:tc>
        <w:tc>
          <w:tcPr>
            <w:tcW w:w="1701" w:type="dxa"/>
            <w:noWrap w:val="0"/>
            <w:vAlign w:val="center"/>
          </w:tcPr>
          <w:p w14:paraId="1981BF7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未经甲方同意，乙方人员辞职和离职或无计划的调离项目组</w:t>
            </w:r>
          </w:p>
        </w:tc>
        <w:tc>
          <w:tcPr>
            <w:tcW w:w="1842" w:type="dxa"/>
            <w:noWrap w:val="0"/>
            <w:vAlign w:val="center"/>
          </w:tcPr>
          <w:p w14:paraId="03F009F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甲方根据乙方人员退出的具体时间和原因测算</w:t>
            </w:r>
          </w:p>
        </w:tc>
        <w:tc>
          <w:tcPr>
            <w:tcW w:w="1843" w:type="dxa"/>
            <w:noWrap w:val="0"/>
            <w:vAlign w:val="center"/>
          </w:tcPr>
          <w:p w14:paraId="6ECFE85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人员异常退出次数=0</w:t>
            </w:r>
          </w:p>
        </w:tc>
        <w:tc>
          <w:tcPr>
            <w:tcW w:w="1843" w:type="dxa"/>
            <w:noWrap w:val="0"/>
            <w:vAlign w:val="center"/>
          </w:tcPr>
          <w:p w14:paraId="76CEC95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每次人员异常退出扣除乙方金额人民币1000元</w:t>
            </w:r>
          </w:p>
        </w:tc>
      </w:tr>
      <w:tr w14:paraId="408A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noWrap w:val="0"/>
            <w:vAlign w:val="center"/>
          </w:tcPr>
          <w:p w14:paraId="2FDE9ABB">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8</w:t>
            </w:r>
          </w:p>
        </w:tc>
        <w:tc>
          <w:tcPr>
            <w:tcW w:w="710" w:type="dxa"/>
            <w:noWrap w:val="0"/>
            <w:vAlign w:val="center"/>
          </w:tcPr>
          <w:p w14:paraId="2284EC0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人员纪律性</w:t>
            </w:r>
          </w:p>
        </w:tc>
        <w:tc>
          <w:tcPr>
            <w:tcW w:w="1134" w:type="dxa"/>
            <w:noWrap w:val="0"/>
            <w:vAlign w:val="center"/>
          </w:tcPr>
          <w:p w14:paraId="6238EF3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衡量乙方人员是否遵守甲方的日常规章和操作规范</w:t>
            </w:r>
          </w:p>
        </w:tc>
        <w:tc>
          <w:tcPr>
            <w:tcW w:w="1701" w:type="dxa"/>
            <w:noWrap w:val="0"/>
            <w:vAlign w:val="center"/>
          </w:tcPr>
          <w:p w14:paraId="287780B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乙方人员不得违反甲方的各项规章制度和操作规范</w:t>
            </w:r>
          </w:p>
        </w:tc>
        <w:tc>
          <w:tcPr>
            <w:tcW w:w="1842" w:type="dxa"/>
            <w:noWrap w:val="0"/>
            <w:vAlign w:val="center"/>
          </w:tcPr>
          <w:p w14:paraId="7115B62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1843" w:type="dxa"/>
            <w:noWrap w:val="0"/>
            <w:vAlign w:val="center"/>
          </w:tcPr>
          <w:p w14:paraId="00B8E9C0">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人员违规次数=0次</w:t>
            </w:r>
          </w:p>
        </w:tc>
        <w:tc>
          <w:tcPr>
            <w:tcW w:w="1843" w:type="dxa"/>
            <w:noWrap w:val="0"/>
            <w:vAlign w:val="center"/>
          </w:tcPr>
          <w:p w14:paraId="6976DC9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乙方人员违规每次扣除乙方金额人民币500元</w:t>
            </w:r>
          </w:p>
        </w:tc>
      </w:tr>
      <w:tr w14:paraId="0508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noWrap w:val="0"/>
            <w:vAlign w:val="center"/>
          </w:tcPr>
          <w:p w14:paraId="26C985CA">
            <w:pPr>
              <w:widowControl/>
              <w:snapToGrid w:val="0"/>
              <w:spacing w:line="320" w:lineRule="exact"/>
              <w:ind w:left="0" w:leftChars="0" w:firstLine="0" w:firstLineChars="0"/>
              <w:jc w:val="both"/>
              <w:rPr>
                <w:rFonts w:hint="eastAsia" w:ascii="宋体" w:eastAsia="宋体"/>
                <w:color w:val="auto"/>
                <w:highlight w:val="none"/>
                <w:lang w:val="en-US" w:eastAsia="zh-CN"/>
              </w:rPr>
            </w:pPr>
            <w:r>
              <w:rPr>
                <w:rFonts w:hint="eastAsia" w:ascii="宋体"/>
                <w:color w:val="auto"/>
                <w:highlight w:val="none"/>
                <w:lang w:val="en-US" w:eastAsia="zh-CN"/>
              </w:rPr>
              <w:t>9</w:t>
            </w:r>
          </w:p>
        </w:tc>
        <w:tc>
          <w:tcPr>
            <w:tcW w:w="710" w:type="dxa"/>
            <w:noWrap w:val="0"/>
            <w:vAlign w:val="center"/>
          </w:tcPr>
          <w:p w14:paraId="22AA00C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网络安全事件</w:t>
            </w:r>
          </w:p>
        </w:tc>
        <w:tc>
          <w:tcPr>
            <w:tcW w:w="1134" w:type="dxa"/>
            <w:noWrap w:val="0"/>
            <w:vAlign w:val="center"/>
          </w:tcPr>
          <w:p w14:paraId="7BE9EA21">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控制网络安全风险</w:t>
            </w:r>
          </w:p>
        </w:tc>
        <w:tc>
          <w:tcPr>
            <w:tcW w:w="1701" w:type="dxa"/>
            <w:noWrap w:val="0"/>
            <w:vAlign w:val="center"/>
          </w:tcPr>
          <w:p w14:paraId="52BAF3D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1842" w:type="dxa"/>
            <w:noWrap w:val="0"/>
            <w:vAlign w:val="center"/>
          </w:tcPr>
          <w:p w14:paraId="77BD813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甲方根据监管及本行要求及事件危害程度判定。</w:t>
            </w:r>
          </w:p>
        </w:tc>
        <w:tc>
          <w:tcPr>
            <w:tcW w:w="1843" w:type="dxa"/>
            <w:noWrap w:val="0"/>
            <w:vAlign w:val="center"/>
          </w:tcPr>
          <w:p w14:paraId="26DB993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网络安全事件=0</w:t>
            </w:r>
          </w:p>
        </w:tc>
        <w:tc>
          <w:tcPr>
            <w:tcW w:w="1843" w:type="dxa"/>
            <w:noWrap w:val="0"/>
            <w:vAlign w:val="center"/>
          </w:tcPr>
          <w:p w14:paraId="050FDF7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r>
      <w:tr w14:paraId="397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noWrap/>
            <w:vAlign w:val="center"/>
          </w:tcPr>
          <w:p w14:paraId="4B9FA179">
            <w:pPr>
              <w:widowControl/>
              <w:snapToGrid w:val="0"/>
              <w:spacing w:line="320" w:lineRule="exact"/>
              <w:ind w:left="0" w:leftChars="0" w:firstLine="0" w:firstLineChars="0"/>
              <w:jc w:val="both"/>
              <w:rPr>
                <w:rFonts w:hint="default" w:ascii="宋体"/>
                <w:color w:val="auto"/>
                <w:highlight w:val="none"/>
                <w:lang w:val="en-US" w:eastAsia="zh-CN"/>
              </w:rPr>
            </w:pPr>
            <w:r>
              <w:rPr>
                <w:rFonts w:hint="eastAsia" w:ascii="宋体"/>
                <w:color w:val="auto"/>
                <w:highlight w:val="none"/>
                <w:lang w:val="en-US" w:eastAsia="zh-CN"/>
              </w:rPr>
              <w:t>10</w:t>
            </w:r>
          </w:p>
        </w:tc>
        <w:tc>
          <w:tcPr>
            <w:tcW w:w="710" w:type="dxa"/>
            <w:noWrap w:val="0"/>
            <w:vAlign w:val="center"/>
          </w:tcPr>
          <w:p w14:paraId="1252BEE7">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外包安全事件</w:t>
            </w:r>
          </w:p>
        </w:tc>
        <w:tc>
          <w:tcPr>
            <w:tcW w:w="1134" w:type="dxa"/>
            <w:noWrap w:val="0"/>
            <w:vAlign w:val="center"/>
          </w:tcPr>
          <w:p w14:paraId="5A77DBFA">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控制外包操作风险</w:t>
            </w:r>
          </w:p>
        </w:tc>
        <w:tc>
          <w:tcPr>
            <w:tcW w:w="1701" w:type="dxa"/>
            <w:noWrap w:val="0"/>
            <w:vAlign w:val="center"/>
          </w:tcPr>
          <w:p w14:paraId="4C11A0F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1842" w:type="dxa"/>
            <w:noWrap w:val="0"/>
            <w:vAlign w:val="center"/>
          </w:tcPr>
          <w:p w14:paraId="00AF022B">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甲方根据监管要求及时间的危害程度判定</w:t>
            </w:r>
          </w:p>
        </w:tc>
        <w:tc>
          <w:tcPr>
            <w:tcW w:w="1843" w:type="dxa"/>
            <w:noWrap w:val="0"/>
            <w:vAlign w:val="center"/>
          </w:tcPr>
          <w:p w14:paraId="03B0535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noWrap w:val="0"/>
            <w:vAlign w:val="center"/>
          </w:tcPr>
          <w:p w14:paraId="7C5D5735">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每次事件扣除乙方金额不低于人民币1000元，并要求乙方赔偿实际损失。</w:t>
            </w:r>
          </w:p>
        </w:tc>
      </w:tr>
      <w:tr w14:paraId="48B9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67" w:type="dxa"/>
            <w:noWrap/>
            <w:vAlign w:val="center"/>
          </w:tcPr>
          <w:p w14:paraId="1E7E5320">
            <w:pPr>
              <w:bidi w:val="0"/>
              <w:ind w:left="0" w:leftChars="0" w:firstLine="0" w:firstLineChars="0"/>
              <w:jc w:val="both"/>
              <w:rPr>
                <w:rFonts w:hint="default" w:ascii="Cambria Math" w:hAnsi="Cambria Math" w:eastAsia="宋体" w:cs="Cambria Math"/>
                <w:color w:val="auto"/>
                <w:kern w:val="2"/>
                <w:sz w:val="24"/>
                <w:highlight w:val="none"/>
                <w:lang w:val="en-US" w:eastAsia="zh-CN" w:bidi="ar-SA"/>
              </w:rPr>
            </w:pPr>
            <w:r>
              <w:rPr>
                <w:rFonts w:hint="eastAsia" w:cs="Cambria Math"/>
                <w:color w:val="auto"/>
                <w:kern w:val="2"/>
                <w:sz w:val="24"/>
                <w:highlight w:val="none"/>
                <w:lang w:val="en-US" w:eastAsia="zh-CN" w:bidi="ar-SA"/>
              </w:rPr>
              <w:t>合计</w:t>
            </w:r>
          </w:p>
        </w:tc>
        <w:tc>
          <w:tcPr>
            <w:tcW w:w="710" w:type="dxa"/>
            <w:noWrap/>
            <w:vAlign w:val="center"/>
          </w:tcPr>
          <w:p w14:paraId="30B34583">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w:t>
            </w:r>
          </w:p>
        </w:tc>
        <w:tc>
          <w:tcPr>
            <w:tcW w:w="1134" w:type="dxa"/>
            <w:noWrap/>
            <w:vAlign w:val="center"/>
          </w:tcPr>
          <w:p w14:paraId="59330EA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1701" w:type="dxa"/>
            <w:noWrap/>
            <w:vAlign w:val="center"/>
          </w:tcPr>
          <w:p w14:paraId="0264B82C">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衡量乙方达到要求的SLA占全部SLA的百分比。</w:t>
            </w:r>
          </w:p>
        </w:tc>
        <w:tc>
          <w:tcPr>
            <w:tcW w:w="1842" w:type="dxa"/>
            <w:noWrap/>
            <w:vAlign w:val="center"/>
          </w:tcPr>
          <w:p w14:paraId="33370CBD">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为了这个度量报告，需要持续汇报SOW中所有SLA情况。</w:t>
            </w:r>
          </w:p>
        </w:tc>
        <w:tc>
          <w:tcPr>
            <w:tcW w:w="1843" w:type="dxa"/>
            <w:noWrap/>
            <w:vAlign w:val="center"/>
          </w:tcPr>
          <w:p w14:paraId="6068CE52">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SLA满足率＝（满足SLA的个数/总体SLA的个数）×100%（SLA满足率≥70%）</w:t>
            </w:r>
          </w:p>
        </w:tc>
        <w:tc>
          <w:tcPr>
            <w:tcW w:w="1843" w:type="dxa"/>
            <w:noWrap/>
            <w:vAlign w:val="center"/>
          </w:tcPr>
          <w:p w14:paraId="1F429BFE">
            <w:pPr>
              <w:widowControl/>
              <w:snapToGrid w:val="0"/>
              <w:spacing w:line="320" w:lineRule="exact"/>
              <w:ind w:left="0" w:leftChars="0" w:firstLine="0" w:firstLineChars="0"/>
              <w:jc w:val="left"/>
              <w:rPr>
                <w:rFonts w:hint="eastAsia" w:ascii="宋体"/>
                <w:color w:val="auto"/>
                <w:highlight w:val="none"/>
              </w:rPr>
            </w:pPr>
            <w:r>
              <w:rPr>
                <w:rFonts w:hint="eastAsia" w:ascii="宋体"/>
                <w:color w:val="auto"/>
                <w:highlight w:val="none"/>
              </w:rPr>
              <w:t>SLA满足率每低于标准5%，扣除合同金额的1%</w:t>
            </w:r>
          </w:p>
        </w:tc>
      </w:tr>
    </w:tbl>
    <w:p w14:paraId="1BC65943">
      <w:pPr>
        <w:bidi w:val="0"/>
        <w:rPr>
          <w:rFonts w:hint="eastAsia"/>
          <w:color w:val="auto"/>
          <w:highlight w:val="none"/>
          <w:lang w:val="en-US" w:eastAsia="zh-CN"/>
        </w:rPr>
      </w:pPr>
    </w:p>
    <w:p w14:paraId="6948C26C">
      <w:pPr>
        <w:bidi w:val="0"/>
        <w:rPr>
          <w:rFonts w:hint="eastAsia"/>
          <w:color w:val="auto"/>
          <w:highlight w:val="none"/>
          <w:lang w:val="en-US" w:eastAsia="zh-CN"/>
        </w:rPr>
      </w:pPr>
    </w:p>
    <w:p w14:paraId="7E688675">
      <w:pPr>
        <w:bidi w:val="0"/>
        <w:rPr>
          <w:rFonts w:hint="eastAsia"/>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AD65FBB">
      <w:pPr>
        <w:pStyle w:val="31"/>
        <w:rPr>
          <w:rFonts w:hint="default"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、其他（如有）</w:t>
      </w:r>
    </w:p>
    <w:p w14:paraId="7D235ECC">
      <w:pPr>
        <w:ind w:firstLine="480"/>
        <w:rPr>
          <w:rFonts w:ascii="Times New Roman" w:hAnsi="Times New Roman"/>
          <w:color w:val="auto"/>
          <w:highlight w:val="none"/>
        </w:rPr>
      </w:pPr>
    </w:p>
    <w:p w14:paraId="50F8BE75">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288F8F-BFFE-4732-8EFB-7D280E69A5C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2BDF7A86-9FA7-48F0-BB3B-22F43695C32B}"/>
  </w:font>
  <w:font w:name="等线 Light">
    <w:panose1 w:val="02010600030101010101"/>
    <w:charset w:val="86"/>
    <w:family w:val="auto"/>
    <w:pitch w:val="default"/>
    <w:sig w:usb0="A00002BF" w:usb1="38CF7CFA" w:usb2="00000016" w:usb3="00000000" w:csb0="0004000F" w:csb1="00000000"/>
    <w:embedRegular r:id="rId3" w:fontKey="{A8EDF4C7-625A-4CA8-8442-C22114BC4878}"/>
  </w:font>
  <w:font w:name="Calibri Light">
    <w:panose1 w:val="020F0302020204030204"/>
    <w:charset w:val="00"/>
    <w:family w:val="swiss"/>
    <w:pitch w:val="default"/>
    <w:sig w:usb0="E4002EFF" w:usb1="C000247B" w:usb2="00000009" w:usb3="00000000" w:csb0="200001FF" w:csb1="00000000"/>
    <w:embedRegular r:id="rId4" w:fontKey="{A834C2B6-A47B-4724-B1CE-FD13A7A2AF7D}"/>
  </w:font>
  <w:font w:name="华文楷体">
    <w:altName w:val="宋体"/>
    <w:panose1 w:val="02010600040101010101"/>
    <w:charset w:val="86"/>
    <w:family w:val="auto"/>
    <w:pitch w:val="default"/>
    <w:sig w:usb0="00000000" w:usb1="00000000" w:usb2="00000000" w:usb3="00000000" w:csb0="0004009F" w:csb1="DFD70000"/>
  </w:font>
  <w:font w:name="彩虹黑体">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embedRegular r:id="rId5" w:fontKey="{99026078-6881-4193-82C2-4AFF3838F0AE}"/>
  </w:font>
  <w:font w:name="方正仿宋_GBK">
    <w:panose1 w:val="03000509000000000000"/>
    <w:charset w:val="86"/>
    <w:family w:val="auto"/>
    <w:pitch w:val="default"/>
    <w:sig w:usb0="00000001" w:usb1="080E0000" w:usb2="00000000" w:usb3="00000000" w:csb0="00040000" w:csb1="00000000"/>
    <w:embedRegular r:id="rId6" w:fontKey="{103827A2-CDD5-478C-B47A-FD977E978B6D}"/>
  </w:font>
  <w:font w:name="方正小标宋_GBK">
    <w:panose1 w:val="03000509000000000000"/>
    <w:charset w:val="86"/>
    <w:family w:val="auto"/>
    <w:pitch w:val="default"/>
    <w:sig w:usb0="00000001" w:usb1="080E0000" w:usb2="00000000" w:usb3="00000000" w:csb0="00040000" w:csb1="00000000"/>
    <w:embedRegular r:id="rId7" w:fontKey="{F44D4301-A622-4A00-8270-1E6B8BBB30A1}"/>
  </w:font>
  <w:font w:name="方正黑体_GBK">
    <w:panose1 w:val="03000509000000000000"/>
    <w:charset w:val="86"/>
    <w:family w:val="auto"/>
    <w:pitch w:val="default"/>
    <w:sig w:usb0="00000001" w:usb1="080E0000" w:usb2="00000000" w:usb3="00000000" w:csb0="00040000" w:csb1="00000000"/>
    <w:embedRegular r:id="rId8" w:fontKey="{2E7B1315-F4CD-4443-A10D-2E027812B688}"/>
  </w:font>
  <w:font w:name="仿宋">
    <w:panose1 w:val="02010609060101010101"/>
    <w:charset w:val="86"/>
    <w:family w:val="modern"/>
    <w:pitch w:val="default"/>
    <w:sig w:usb0="800002BF" w:usb1="38CF7CFA" w:usb2="00000016" w:usb3="00000000" w:csb0="00040001" w:csb1="00000000"/>
    <w:embedRegular r:id="rId9" w:fontKey="{DA77F1A8-B18D-482B-B944-0326599577A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3"/>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9371">
                          <w:pPr>
                            <w:pStyle w:val="13"/>
                            <w:ind w:firstLine="360"/>
                            <w:rPr>
                              <w:rFonts w:hint="eastAsia"/>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329371">
                    <w:pPr>
                      <w:pStyle w:val="13"/>
                      <w:ind w:firstLine="360"/>
                      <w:rPr>
                        <w:rFonts w:hint="eastAsia"/>
                      </w:rP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1249436F"/>
    <w:multiLevelType w:val="singleLevel"/>
    <w:tmpl w:val="1249436F"/>
    <w:lvl w:ilvl="0" w:tentative="0">
      <w:start w:val="1"/>
      <w:numFmt w:val="chineseCounting"/>
      <w:suff w:val="space"/>
      <w:lvlText w:val="第%1条"/>
      <w:lvlJc w:val="left"/>
      <w:rPr>
        <w:rFonts w:hint="eastAsia"/>
      </w:r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D61B34"/>
    <w:rsid w:val="00075857"/>
    <w:rsid w:val="000D3BC4"/>
    <w:rsid w:val="00130B10"/>
    <w:rsid w:val="00134751"/>
    <w:rsid w:val="00182FAF"/>
    <w:rsid w:val="00192BD4"/>
    <w:rsid w:val="00286690"/>
    <w:rsid w:val="0029648D"/>
    <w:rsid w:val="00306B97"/>
    <w:rsid w:val="00326A4D"/>
    <w:rsid w:val="00333F84"/>
    <w:rsid w:val="00337FEC"/>
    <w:rsid w:val="00362488"/>
    <w:rsid w:val="00393A02"/>
    <w:rsid w:val="00395B3C"/>
    <w:rsid w:val="003B4DA6"/>
    <w:rsid w:val="003B58D9"/>
    <w:rsid w:val="003C4263"/>
    <w:rsid w:val="003D05E9"/>
    <w:rsid w:val="004104ED"/>
    <w:rsid w:val="00426383"/>
    <w:rsid w:val="00477B0E"/>
    <w:rsid w:val="00492457"/>
    <w:rsid w:val="00493381"/>
    <w:rsid w:val="005340C4"/>
    <w:rsid w:val="005453AD"/>
    <w:rsid w:val="006A2DC2"/>
    <w:rsid w:val="006B79CB"/>
    <w:rsid w:val="007209EF"/>
    <w:rsid w:val="0076404C"/>
    <w:rsid w:val="007C353F"/>
    <w:rsid w:val="007D345B"/>
    <w:rsid w:val="007E120C"/>
    <w:rsid w:val="007F007C"/>
    <w:rsid w:val="008151D8"/>
    <w:rsid w:val="0082108E"/>
    <w:rsid w:val="00836882"/>
    <w:rsid w:val="00885688"/>
    <w:rsid w:val="008A436A"/>
    <w:rsid w:val="008D6604"/>
    <w:rsid w:val="008F75AE"/>
    <w:rsid w:val="0091367A"/>
    <w:rsid w:val="00941D97"/>
    <w:rsid w:val="00975C13"/>
    <w:rsid w:val="00A53F48"/>
    <w:rsid w:val="00A77F35"/>
    <w:rsid w:val="00A86C86"/>
    <w:rsid w:val="00A94973"/>
    <w:rsid w:val="00AC4609"/>
    <w:rsid w:val="00AC5BEF"/>
    <w:rsid w:val="00AE4920"/>
    <w:rsid w:val="00AF3442"/>
    <w:rsid w:val="00BA4B4F"/>
    <w:rsid w:val="00BD4EBF"/>
    <w:rsid w:val="00BF10CE"/>
    <w:rsid w:val="00C97EB5"/>
    <w:rsid w:val="00CB434D"/>
    <w:rsid w:val="00CC1480"/>
    <w:rsid w:val="00CE5D6A"/>
    <w:rsid w:val="00CF0EED"/>
    <w:rsid w:val="00D07CF9"/>
    <w:rsid w:val="00D3552B"/>
    <w:rsid w:val="00D61B34"/>
    <w:rsid w:val="00D8246A"/>
    <w:rsid w:val="00D93A11"/>
    <w:rsid w:val="00DA7D2D"/>
    <w:rsid w:val="00E55A4A"/>
    <w:rsid w:val="00E8418B"/>
    <w:rsid w:val="00EA18FD"/>
    <w:rsid w:val="00EA5ABD"/>
    <w:rsid w:val="00EE3B58"/>
    <w:rsid w:val="01DA16D0"/>
    <w:rsid w:val="01FF5632"/>
    <w:rsid w:val="02C97486"/>
    <w:rsid w:val="05151950"/>
    <w:rsid w:val="06846AF0"/>
    <w:rsid w:val="071A2D33"/>
    <w:rsid w:val="07A656A9"/>
    <w:rsid w:val="08A84BA6"/>
    <w:rsid w:val="08F5187C"/>
    <w:rsid w:val="098A626F"/>
    <w:rsid w:val="09D65B51"/>
    <w:rsid w:val="0A0F696E"/>
    <w:rsid w:val="0C6620D4"/>
    <w:rsid w:val="0EA77ABC"/>
    <w:rsid w:val="0EEB4F37"/>
    <w:rsid w:val="0F0104EA"/>
    <w:rsid w:val="1106526A"/>
    <w:rsid w:val="118C4D48"/>
    <w:rsid w:val="119D70C5"/>
    <w:rsid w:val="12DA0C7B"/>
    <w:rsid w:val="134A09A8"/>
    <w:rsid w:val="14151B4C"/>
    <w:rsid w:val="18BD7EDC"/>
    <w:rsid w:val="1A65758A"/>
    <w:rsid w:val="1A815081"/>
    <w:rsid w:val="1ADC6D40"/>
    <w:rsid w:val="1FED61F0"/>
    <w:rsid w:val="219C0FD7"/>
    <w:rsid w:val="228F48D8"/>
    <w:rsid w:val="25DE362C"/>
    <w:rsid w:val="28100029"/>
    <w:rsid w:val="287C121A"/>
    <w:rsid w:val="29E4746D"/>
    <w:rsid w:val="2B964CE9"/>
    <w:rsid w:val="2BB27B17"/>
    <w:rsid w:val="2C0F23A5"/>
    <w:rsid w:val="2C531B32"/>
    <w:rsid w:val="2C642975"/>
    <w:rsid w:val="2D1C439D"/>
    <w:rsid w:val="2D961F9A"/>
    <w:rsid w:val="2EE67135"/>
    <w:rsid w:val="2F1471D4"/>
    <w:rsid w:val="3082583C"/>
    <w:rsid w:val="3567606C"/>
    <w:rsid w:val="35AF4A10"/>
    <w:rsid w:val="35E14DB3"/>
    <w:rsid w:val="378A0041"/>
    <w:rsid w:val="37A93866"/>
    <w:rsid w:val="39F83928"/>
    <w:rsid w:val="3A7D3F64"/>
    <w:rsid w:val="3AEE244B"/>
    <w:rsid w:val="3D8E770A"/>
    <w:rsid w:val="3E6350CC"/>
    <w:rsid w:val="3F774742"/>
    <w:rsid w:val="400B2A14"/>
    <w:rsid w:val="402F4DFA"/>
    <w:rsid w:val="403D2B15"/>
    <w:rsid w:val="40403227"/>
    <w:rsid w:val="40F36398"/>
    <w:rsid w:val="4183650E"/>
    <w:rsid w:val="425031C3"/>
    <w:rsid w:val="43246B60"/>
    <w:rsid w:val="436E57C9"/>
    <w:rsid w:val="44C84648"/>
    <w:rsid w:val="458A4B1F"/>
    <w:rsid w:val="45CE2DED"/>
    <w:rsid w:val="475D0075"/>
    <w:rsid w:val="47B009B8"/>
    <w:rsid w:val="48C77A88"/>
    <w:rsid w:val="49BC1967"/>
    <w:rsid w:val="4A156B15"/>
    <w:rsid w:val="4A464932"/>
    <w:rsid w:val="4B890E18"/>
    <w:rsid w:val="4D4E18A9"/>
    <w:rsid w:val="4E45017D"/>
    <w:rsid w:val="502913D8"/>
    <w:rsid w:val="5036578A"/>
    <w:rsid w:val="504D7229"/>
    <w:rsid w:val="52402F8A"/>
    <w:rsid w:val="5264103C"/>
    <w:rsid w:val="535C464C"/>
    <w:rsid w:val="537F5EDF"/>
    <w:rsid w:val="573A3C7D"/>
    <w:rsid w:val="581F797D"/>
    <w:rsid w:val="590548CC"/>
    <w:rsid w:val="5A623E64"/>
    <w:rsid w:val="5B673D73"/>
    <w:rsid w:val="5CC15DC4"/>
    <w:rsid w:val="5D29663A"/>
    <w:rsid w:val="5F0C6478"/>
    <w:rsid w:val="61B34FA6"/>
    <w:rsid w:val="61D33991"/>
    <w:rsid w:val="623477B4"/>
    <w:rsid w:val="62612C54"/>
    <w:rsid w:val="62842984"/>
    <w:rsid w:val="632B625F"/>
    <w:rsid w:val="63350368"/>
    <w:rsid w:val="65286D28"/>
    <w:rsid w:val="66F96D9D"/>
    <w:rsid w:val="67246844"/>
    <w:rsid w:val="6936211D"/>
    <w:rsid w:val="696D1EDE"/>
    <w:rsid w:val="6AA945AE"/>
    <w:rsid w:val="6ADC548C"/>
    <w:rsid w:val="6B574143"/>
    <w:rsid w:val="6D83164F"/>
    <w:rsid w:val="6EE15E7C"/>
    <w:rsid w:val="6FDF7997"/>
    <w:rsid w:val="70CA07A2"/>
    <w:rsid w:val="71381023"/>
    <w:rsid w:val="7173590B"/>
    <w:rsid w:val="71B101EE"/>
    <w:rsid w:val="727576DB"/>
    <w:rsid w:val="72F45943"/>
    <w:rsid w:val="73F456D6"/>
    <w:rsid w:val="74081181"/>
    <w:rsid w:val="740D5D2E"/>
    <w:rsid w:val="75200194"/>
    <w:rsid w:val="755F7D8C"/>
    <w:rsid w:val="762961F2"/>
    <w:rsid w:val="779D7F57"/>
    <w:rsid w:val="78F54622"/>
    <w:rsid w:val="790243F1"/>
    <w:rsid w:val="795135CA"/>
    <w:rsid w:val="796A62EA"/>
    <w:rsid w:val="7A9E122A"/>
    <w:rsid w:val="7CC53500"/>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6"/>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7"/>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8"/>
    <w:autoRedefine/>
    <w:unhideWhenUsed/>
    <w:qFormat/>
    <w:uiPriority w:val="9"/>
    <w:pPr>
      <w:outlineLvl w:val="2"/>
    </w:pPr>
    <w:rPr>
      <w:b/>
      <w:bCs/>
      <w:szCs w:val="32"/>
    </w:rPr>
  </w:style>
  <w:style w:type="paragraph" w:styleId="5">
    <w:name w:val="heading 4"/>
    <w:basedOn w:val="1"/>
    <w:next w:val="1"/>
    <w:link w:val="44"/>
    <w:autoRedefine/>
    <w:qFormat/>
    <w:uiPriority w:val="0"/>
    <w:pPr>
      <w:outlineLvl w:val="3"/>
    </w:pPr>
    <w:rPr>
      <w:rFonts w:ascii="Calibri Light" w:hAnsi="Calibri Light" w:cs="Times New Roman"/>
      <w:bCs/>
      <w:szCs w:val="28"/>
    </w:rPr>
  </w:style>
  <w:style w:type="paragraph" w:styleId="6">
    <w:name w:val="heading 5"/>
    <w:basedOn w:val="1"/>
    <w:next w:val="1"/>
    <w:link w:val="30"/>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autoRedefine/>
    <w:qFormat/>
    <w:uiPriority w:val="99"/>
    <w:pPr>
      <w:jc w:val="left"/>
    </w:pPr>
  </w:style>
  <w:style w:type="paragraph" w:styleId="9">
    <w:name w:val="Body Text"/>
    <w:basedOn w:val="1"/>
    <w:autoRedefine/>
    <w:semiHidden/>
    <w:unhideWhenUsed/>
    <w:qFormat/>
    <w:uiPriority w:val="99"/>
    <w:pPr>
      <w:spacing w:before="100" w:beforeAutospacing="1" w:after="120"/>
    </w:pPr>
  </w:style>
  <w:style w:type="paragraph" w:styleId="10">
    <w:name w:val="Body Text Indent"/>
    <w:basedOn w:val="1"/>
    <w:qFormat/>
    <w:uiPriority w:val="0"/>
    <w:pPr>
      <w:widowControl/>
      <w:tabs>
        <w:tab w:val="left" w:pos="630"/>
        <w:tab w:val="right" w:pos="8730"/>
      </w:tabs>
      <w:ind w:right="-178" w:firstLine="567"/>
    </w:pPr>
    <w:rPr>
      <w:rFonts w:ascii="华文楷体" w:eastAsia="华文楷体"/>
      <w:kern w:val="0"/>
      <w:sz w:val="26"/>
      <w:szCs w:val="20"/>
      <w:lang w:val="en-GB" w:eastAsia="en-GB"/>
    </w:rPr>
  </w:style>
  <w:style w:type="paragraph" w:styleId="11">
    <w:name w:val="Body Text Indent 2"/>
    <w:basedOn w:val="1"/>
    <w:qFormat/>
    <w:uiPriority w:val="0"/>
    <w:pPr>
      <w:spacing w:line="480" w:lineRule="exact"/>
      <w:ind w:firstLine="522"/>
    </w:pPr>
    <w:rPr>
      <w:rFonts w:ascii="彩虹黑体" w:eastAsia="彩虹黑体"/>
      <w:sz w:val="24"/>
    </w:rPr>
  </w:style>
  <w:style w:type="paragraph" w:styleId="12">
    <w:name w:val="Balloon Text"/>
    <w:basedOn w:val="1"/>
    <w:link w:val="40"/>
    <w:qFormat/>
    <w:uiPriority w:val="0"/>
    <w:pPr>
      <w:spacing w:line="240" w:lineRule="auto"/>
    </w:pPr>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autoRedefine/>
    <w:qFormat/>
    <w:uiPriority w:val="0"/>
  </w:style>
  <w:style w:type="paragraph" w:styleId="16">
    <w:name w:val="Subtitle"/>
    <w:basedOn w:val="1"/>
    <w:autoRedefine/>
    <w:qFormat/>
    <w:uiPriority w:val="0"/>
    <w:pPr>
      <w:spacing w:before="240" w:after="60" w:line="312" w:lineRule="auto"/>
      <w:jc w:val="center"/>
      <w:outlineLvl w:val="1"/>
    </w:pPr>
    <w:rPr>
      <w:rFonts w:ascii="Arial" w:hAnsi="Arial"/>
      <w:b/>
      <w:kern w:val="28"/>
      <w:sz w:val="32"/>
    </w:rPr>
  </w:style>
  <w:style w:type="paragraph" w:styleId="17">
    <w:name w:val="Title"/>
    <w:basedOn w:val="1"/>
    <w:next w:val="1"/>
    <w:qFormat/>
    <w:uiPriority w:val="0"/>
    <w:pPr>
      <w:spacing w:before="240" w:after="60"/>
      <w:jc w:val="center"/>
      <w:outlineLvl w:val="0"/>
    </w:pPr>
    <w:rPr>
      <w:rFonts w:ascii="Calibri Light" w:hAnsi="Calibri Light" w:cs="Times New Roman"/>
      <w:b/>
      <w:bCs/>
      <w:sz w:val="32"/>
      <w:szCs w:val="32"/>
      <w:lang w:bidi="ar-SA"/>
    </w:rPr>
  </w:style>
  <w:style w:type="paragraph" w:styleId="18">
    <w:name w:val="annotation subject"/>
    <w:basedOn w:val="8"/>
    <w:next w:val="8"/>
    <w:link w:val="42"/>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bCs/>
    </w:rPr>
  </w:style>
  <w:style w:type="character" w:styleId="23">
    <w:name w:val="page number"/>
    <w:basedOn w:val="21"/>
    <w:qFormat/>
    <w:uiPriority w:val="0"/>
  </w:style>
  <w:style w:type="character" w:styleId="24">
    <w:name w:val="annotation reference"/>
    <w:basedOn w:val="21"/>
    <w:qFormat/>
    <w:uiPriority w:val="99"/>
    <w:rPr>
      <w:sz w:val="21"/>
      <w:szCs w:val="21"/>
    </w:rPr>
  </w:style>
  <w:style w:type="character" w:customStyle="1" w:styleId="25">
    <w:name w:val="标题 4 Char"/>
    <w:link w:val="5"/>
    <w:autoRedefine/>
    <w:qFormat/>
    <w:uiPriority w:val="0"/>
    <w:rPr>
      <w:rFonts w:ascii="Calibri Light" w:hAnsi="Calibri Light" w:eastAsia="宋体" w:cs="Times New Roman"/>
      <w:bCs/>
      <w:szCs w:val="28"/>
    </w:rPr>
  </w:style>
  <w:style w:type="character" w:customStyle="1" w:styleId="26">
    <w:name w:val="标题 1 Char"/>
    <w:basedOn w:val="21"/>
    <w:link w:val="2"/>
    <w:autoRedefine/>
    <w:qFormat/>
    <w:uiPriority w:val="0"/>
    <w:rPr>
      <w:rFonts w:ascii="宋体" w:hAnsi="宋体" w:eastAsia="宋体" w:cs="等线 Light"/>
      <w:b/>
      <w:snapToGrid w:val="0"/>
      <w:kern w:val="0"/>
      <w:sz w:val="44"/>
      <w:szCs w:val="44"/>
    </w:rPr>
  </w:style>
  <w:style w:type="character" w:customStyle="1" w:styleId="27">
    <w:name w:val="标题 2 Char"/>
    <w:basedOn w:val="21"/>
    <w:link w:val="3"/>
    <w:autoRedefine/>
    <w:qFormat/>
    <w:uiPriority w:val="9"/>
    <w:rPr>
      <w:rFonts w:ascii="宋体" w:hAnsi="宋体" w:cstheme="majorBidi"/>
      <w:b/>
      <w:bCs/>
      <w:snapToGrid w:val="0"/>
      <w:szCs w:val="24"/>
    </w:rPr>
  </w:style>
  <w:style w:type="character" w:customStyle="1" w:styleId="28">
    <w:name w:val="标题 3 Char"/>
    <w:basedOn w:val="21"/>
    <w:link w:val="4"/>
    <w:autoRedefine/>
    <w:qFormat/>
    <w:uiPriority w:val="9"/>
    <w:rPr>
      <w:rFonts w:eastAsia="宋体"/>
      <w:b/>
      <w:bCs/>
      <w:sz w:val="24"/>
      <w:szCs w:val="32"/>
    </w:rPr>
  </w:style>
  <w:style w:type="table" w:customStyle="1" w:styleId="29">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标题 5 Char"/>
    <w:link w:val="6"/>
    <w:autoRedefine/>
    <w:qFormat/>
    <w:uiPriority w:val="0"/>
    <w:rPr>
      <w:rFonts w:eastAsia="宋体"/>
      <w:b/>
      <w:sz w:val="28"/>
    </w:rPr>
  </w:style>
  <w:style w:type="paragraph" w:customStyle="1" w:styleId="31">
    <w:name w:val="参选文件格式1"/>
    <w:basedOn w:val="1"/>
    <w:next w:val="1"/>
    <w:link w:val="35"/>
    <w:autoRedefine/>
    <w:qFormat/>
    <w:uiPriority w:val="0"/>
    <w:pPr>
      <w:spacing w:line="360" w:lineRule="auto"/>
      <w:ind w:firstLine="0" w:firstLineChars="0"/>
      <w:jc w:val="center"/>
      <w:outlineLvl w:val="1"/>
    </w:pPr>
    <w:rPr>
      <w:rFonts w:hint="eastAsia"/>
      <w:b/>
      <w:sz w:val="28"/>
    </w:rPr>
  </w:style>
  <w:style w:type="paragraph" w:customStyle="1" w:styleId="32">
    <w:name w:val="参选文件格式2"/>
    <w:basedOn w:val="1"/>
    <w:next w:val="1"/>
    <w:link w:val="36"/>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4">
    <w:name w:val="参选文件格式3 Char"/>
    <w:basedOn w:val="21"/>
    <w:link w:val="33"/>
    <w:autoRedefine/>
    <w:qFormat/>
    <w:uiPriority w:val="0"/>
    <w:rPr>
      <w:rFonts w:hint="eastAsia" w:ascii="宋体" w:hAnsi="宋体" w:eastAsia="宋体"/>
      <w:b/>
      <w:snapToGrid w:val="0"/>
      <w:kern w:val="0"/>
      <w:u w:val="none"/>
    </w:rPr>
  </w:style>
  <w:style w:type="character" w:customStyle="1" w:styleId="35">
    <w:name w:val="参选文件格式1 Char"/>
    <w:link w:val="31"/>
    <w:autoRedefine/>
    <w:qFormat/>
    <w:uiPriority w:val="0"/>
    <w:rPr>
      <w:rFonts w:hint="eastAsia" w:eastAsia="宋体"/>
      <w:b/>
      <w:sz w:val="28"/>
    </w:rPr>
  </w:style>
  <w:style w:type="character" w:customStyle="1" w:styleId="36">
    <w:name w:val="参选文件格式2 Char"/>
    <w:link w:val="32"/>
    <w:autoRedefine/>
    <w:qFormat/>
    <w:uiPriority w:val="0"/>
    <w:rPr>
      <w:rFonts w:eastAsia="宋体"/>
      <w:bCs/>
      <w:szCs w:val="32"/>
    </w:rPr>
  </w:style>
  <w:style w:type="character" w:customStyle="1" w:styleId="37">
    <w:name w:val="font11"/>
    <w:basedOn w:val="21"/>
    <w:autoRedefine/>
    <w:qFormat/>
    <w:uiPriority w:val="0"/>
    <w:rPr>
      <w:rFonts w:hint="eastAsia" w:ascii="宋体" w:hAnsi="宋体" w:eastAsia="宋体" w:cs="宋体"/>
      <w:b/>
      <w:bCs/>
      <w:color w:val="000000"/>
      <w:sz w:val="21"/>
      <w:szCs w:val="21"/>
      <w:u w:val="none"/>
    </w:rPr>
  </w:style>
  <w:style w:type="character" w:customStyle="1" w:styleId="38">
    <w:name w:val="font21"/>
    <w:basedOn w:val="21"/>
    <w:autoRedefine/>
    <w:qFormat/>
    <w:uiPriority w:val="0"/>
    <w:rPr>
      <w:rFonts w:hint="eastAsia" w:ascii="宋体" w:hAnsi="宋体" w:eastAsia="宋体" w:cs="宋体"/>
      <w:color w:val="000000"/>
      <w:sz w:val="21"/>
      <w:szCs w:val="21"/>
      <w:u w:val="none"/>
    </w:rPr>
  </w:style>
  <w:style w:type="character" w:customStyle="1" w:styleId="39">
    <w:name w:val="font31"/>
    <w:basedOn w:val="21"/>
    <w:autoRedefine/>
    <w:qFormat/>
    <w:uiPriority w:val="0"/>
    <w:rPr>
      <w:rFonts w:hint="eastAsia" w:ascii="宋体" w:hAnsi="宋体" w:eastAsia="宋体" w:cs="宋体"/>
      <w:color w:val="FF0000"/>
      <w:sz w:val="21"/>
      <w:szCs w:val="21"/>
      <w:u w:val="none"/>
    </w:rPr>
  </w:style>
  <w:style w:type="character" w:customStyle="1" w:styleId="40">
    <w:name w:val="批注框文本 Char"/>
    <w:basedOn w:val="21"/>
    <w:link w:val="12"/>
    <w:qFormat/>
    <w:uiPriority w:val="0"/>
    <w:rPr>
      <w:rFonts w:ascii="Cambria Math" w:hAnsi="Cambria Math" w:cs="Cambria Math"/>
      <w:kern w:val="2"/>
      <w:sz w:val="18"/>
      <w:szCs w:val="18"/>
    </w:rPr>
  </w:style>
  <w:style w:type="character" w:customStyle="1" w:styleId="41">
    <w:name w:val="批注文字 Char"/>
    <w:basedOn w:val="21"/>
    <w:link w:val="8"/>
    <w:qFormat/>
    <w:uiPriority w:val="99"/>
    <w:rPr>
      <w:rFonts w:ascii="Cambria Math" w:hAnsi="Cambria Math" w:cs="Cambria Math"/>
      <w:kern w:val="2"/>
      <w:sz w:val="24"/>
    </w:rPr>
  </w:style>
  <w:style w:type="character" w:customStyle="1" w:styleId="42">
    <w:name w:val="批注主题 Char"/>
    <w:basedOn w:val="41"/>
    <w:link w:val="18"/>
    <w:qFormat/>
    <w:uiPriority w:val="0"/>
    <w:rPr>
      <w:rFonts w:ascii="Cambria Math" w:hAnsi="Cambria Math" w:cs="Cambria Math"/>
      <w:b/>
      <w:bCs/>
      <w:kern w:val="2"/>
      <w:sz w:val="24"/>
    </w:rPr>
  </w:style>
  <w:style w:type="paragraph" w:styleId="43">
    <w:name w:val="List Paragraph"/>
    <w:basedOn w:val="1"/>
    <w:qFormat/>
    <w:uiPriority w:val="99"/>
    <w:pPr>
      <w:ind w:firstLine="420"/>
    </w:pPr>
  </w:style>
  <w:style w:type="character" w:customStyle="1" w:styleId="44">
    <w:name w:val="标题 4 字符"/>
    <w:link w:val="5"/>
    <w:qFormat/>
    <w:uiPriority w:val="0"/>
    <w:rPr>
      <w:rFonts w:ascii="Calibri Light" w:hAnsi="Calibri Light" w:cs="Times New Roman"/>
      <w:bCs/>
      <w:szCs w:val="28"/>
    </w:rPr>
  </w:style>
  <w:style w:type="paragraph" w:customStyle="1" w:styleId="45">
    <w:name w:val="a14"/>
    <w:basedOn w:val="1"/>
    <w:qFormat/>
    <w:uiPriority w:val="0"/>
    <w:pPr>
      <w:widowControl/>
      <w:spacing w:before="50" w:beforeLines="50" w:beforeAutospacing="1" w:after="100" w:afterAutospacing="1" w:line="300" w:lineRule="atLeast"/>
      <w:ind w:firstLine="200" w:firstLineChars="200"/>
      <w:jc w:val="left"/>
    </w:pPr>
    <w:rPr>
      <w:rFonts w:ascii="宋体"/>
      <w:kern w:val="0"/>
      <w:sz w:val="24"/>
      <w:szCs w:val="21"/>
    </w:rPr>
  </w:style>
  <w:style w:type="character" w:customStyle="1" w:styleId="46">
    <w:name w:val="font_text_1"/>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27011</Words>
  <Characters>28851</Characters>
  <Lines>153</Lines>
  <Paragraphs>43</Paragraphs>
  <TotalTime>0</TotalTime>
  <ScaleCrop>false</ScaleCrop>
  <LinksUpToDate>false</LinksUpToDate>
  <CharactersWithSpaces>29889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2024-08-20T06:29:04Z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1D3DA74C2EBB479593C5F87DD3D19BB2_13</vt:lpwstr>
  </property>
</Properties>
</file>