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DF092">
      <w:pPr>
        <w:pStyle w:val="13"/>
        <w:rPr>
          <w:color w:val="auto"/>
          <w:highlight w:val="none"/>
          <w:lang w:val="en-US" w:eastAsia="zh-CN"/>
        </w:rPr>
      </w:pPr>
    </w:p>
    <w:p w14:paraId="4DB107E9">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outlineLvl w:val="0"/>
        <w:rPr>
          <w:rFonts w:hint="eastAsia" w:ascii="Times New Roman" w:hAnsi="Times New Roman" w:cs="Times New Roman"/>
          <w:b/>
          <w:snapToGrid w:val="0"/>
          <w:color w:val="auto"/>
          <w:kern w:val="0"/>
          <w:sz w:val="48"/>
          <w:szCs w:val="84"/>
          <w:highlight w:val="none"/>
          <w:lang w:val="en-US" w:eastAsia="zh-CN"/>
        </w:rPr>
      </w:pPr>
      <w:bookmarkStart w:id="0" w:name="_Toc19186"/>
      <w:bookmarkStart w:id="1" w:name="_Toc32426"/>
      <w:bookmarkStart w:id="2" w:name="_Toc19921"/>
      <w:r>
        <w:rPr>
          <w:rFonts w:hint="eastAsia" w:ascii="Times New Roman" w:hAnsi="Times New Roman" w:cs="Times New Roman"/>
          <w:b/>
          <w:snapToGrid w:val="0"/>
          <w:color w:val="auto"/>
          <w:kern w:val="0"/>
          <w:sz w:val="48"/>
          <w:szCs w:val="84"/>
          <w:highlight w:val="none"/>
          <w:lang w:val="en-US" w:eastAsia="zh-CN"/>
        </w:rPr>
        <w:t>重庆三峡银行存取款一体机项目</w:t>
      </w:r>
      <w:bookmarkEnd w:id="0"/>
      <w:bookmarkEnd w:id="1"/>
      <w:bookmarkEnd w:id="2"/>
    </w:p>
    <w:p w14:paraId="4AB3AD01">
      <w:pPr>
        <w:pStyle w:val="13"/>
        <w:rPr>
          <w:rFonts w:hint="eastAsia" w:ascii="宋体" w:hAnsi="宋体"/>
          <w:color w:val="auto"/>
          <w:kern w:val="0"/>
          <w:sz w:val="32"/>
          <w:szCs w:val="32"/>
          <w:highlight w:val="none"/>
          <w:u w:val="single"/>
        </w:rPr>
      </w:pPr>
    </w:p>
    <w:p w14:paraId="5573C18A">
      <w:pPr>
        <w:pStyle w:val="13"/>
        <w:rPr>
          <w:rFonts w:hint="eastAsia" w:ascii="宋体" w:hAnsi="宋体"/>
          <w:color w:val="auto"/>
          <w:kern w:val="0"/>
          <w:sz w:val="32"/>
          <w:szCs w:val="32"/>
          <w:highlight w:val="none"/>
          <w:u w:val="single"/>
        </w:rPr>
      </w:pPr>
    </w:p>
    <w:p w14:paraId="26371D13">
      <w:pPr>
        <w:pStyle w:val="13"/>
        <w:rPr>
          <w:rFonts w:hint="eastAsia" w:ascii="宋体" w:hAnsi="宋体"/>
          <w:color w:val="auto"/>
          <w:kern w:val="0"/>
          <w:sz w:val="32"/>
          <w:szCs w:val="32"/>
          <w:highlight w:val="none"/>
          <w:u w:val="single"/>
        </w:rPr>
      </w:pPr>
    </w:p>
    <w:p w14:paraId="2AE53929">
      <w:pPr>
        <w:rPr>
          <w:rFonts w:hint="eastAsia" w:ascii="宋体" w:hAnsi="宋体"/>
          <w:color w:val="auto"/>
          <w:kern w:val="0"/>
          <w:sz w:val="32"/>
          <w:szCs w:val="32"/>
          <w:highlight w:val="none"/>
          <w:u w:val="single"/>
        </w:rPr>
      </w:pPr>
    </w:p>
    <w:p w14:paraId="301DA01C">
      <w:pPr>
        <w:pStyle w:val="13"/>
        <w:rPr>
          <w:rFonts w:hint="eastAsia" w:ascii="宋体" w:hAnsi="宋体"/>
          <w:color w:val="auto"/>
          <w:kern w:val="0"/>
          <w:sz w:val="32"/>
          <w:szCs w:val="32"/>
          <w:highlight w:val="none"/>
          <w:u w:val="single"/>
        </w:rPr>
      </w:pPr>
    </w:p>
    <w:p w14:paraId="0F7854B6">
      <w:pPr>
        <w:rPr>
          <w:color w:val="auto"/>
          <w:highlight w:val="none"/>
        </w:rPr>
      </w:pPr>
    </w:p>
    <w:p w14:paraId="22BEA947">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snapToGrid w:val="0"/>
          <w:color w:val="auto"/>
          <w:kern w:val="0"/>
          <w:sz w:val="96"/>
          <w:szCs w:val="96"/>
          <w:highlight w:val="none"/>
          <w:lang w:val="en-US" w:eastAsia="zh-CN"/>
        </w:rPr>
      </w:pPr>
      <w:bookmarkStart w:id="3" w:name="_Toc22254"/>
      <w:r>
        <w:rPr>
          <w:rFonts w:hint="eastAsia" w:ascii="Times New Roman" w:hAnsi="Times New Roman" w:cs="Times New Roman"/>
          <w:b/>
          <w:snapToGrid w:val="0"/>
          <w:color w:val="auto"/>
          <w:kern w:val="0"/>
          <w:sz w:val="96"/>
          <w:szCs w:val="96"/>
          <w:highlight w:val="none"/>
          <w:lang w:val="en-US" w:eastAsia="zh-CN"/>
        </w:rPr>
        <w:t>招 标 文 件</w:t>
      </w:r>
      <w:bookmarkEnd w:id="3"/>
    </w:p>
    <w:p w14:paraId="1EF7E5A2">
      <w:pPr>
        <w:autoSpaceDE w:val="0"/>
        <w:autoSpaceDN w:val="0"/>
        <w:adjustRightInd w:val="0"/>
        <w:snapToGrid w:val="0"/>
        <w:spacing w:line="360" w:lineRule="auto"/>
        <w:jc w:val="left"/>
        <w:rPr>
          <w:rFonts w:ascii="宋体" w:hAnsi="宋体"/>
          <w:color w:val="auto"/>
          <w:kern w:val="0"/>
          <w:sz w:val="10"/>
          <w:szCs w:val="10"/>
          <w:highlight w:val="none"/>
        </w:rPr>
      </w:pPr>
    </w:p>
    <w:p w14:paraId="2FD1FEF5">
      <w:pPr>
        <w:autoSpaceDE w:val="0"/>
        <w:autoSpaceDN w:val="0"/>
        <w:adjustRightInd w:val="0"/>
        <w:snapToGrid w:val="0"/>
        <w:spacing w:line="360" w:lineRule="auto"/>
        <w:jc w:val="left"/>
        <w:rPr>
          <w:rFonts w:ascii="宋体" w:hAnsi="宋体"/>
          <w:color w:val="auto"/>
          <w:kern w:val="0"/>
          <w:sz w:val="20"/>
          <w:szCs w:val="20"/>
          <w:highlight w:val="none"/>
        </w:rPr>
      </w:pPr>
    </w:p>
    <w:p w14:paraId="3073BBA7">
      <w:pPr>
        <w:autoSpaceDE w:val="0"/>
        <w:autoSpaceDN w:val="0"/>
        <w:adjustRightInd w:val="0"/>
        <w:snapToGrid w:val="0"/>
        <w:spacing w:line="360" w:lineRule="auto"/>
        <w:rPr>
          <w:rFonts w:ascii="宋体" w:hAnsi="宋体"/>
          <w:color w:val="auto"/>
          <w:kern w:val="0"/>
          <w:sz w:val="20"/>
          <w:szCs w:val="20"/>
          <w:highlight w:val="none"/>
        </w:rPr>
      </w:pPr>
    </w:p>
    <w:p w14:paraId="3B95D505">
      <w:pPr>
        <w:autoSpaceDE w:val="0"/>
        <w:autoSpaceDN w:val="0"/>
        <w:adjustRightInd w:val="0"/>
        <w:snapToGrid w:val="0"/>
        <w:spacing w:line="360" w:lineRule="auto"/>
        <w:rPr>
          <w:rFonts w:ascii="宋体" w:hAnsi="宋体"/>
          <w:color w:val="auto"/>
          <w:kern w:val="0"/>
          <w:sz w:val="20"/>
          <w:szCs w:val="20"/>
          <w:highlight w:val="none"/>
        </w:rPr>
      </w:pPr>
    </w:p>
    <w:p w14:paraId="72C563A4">
      <w:pPr>
        <w:autoSpaceDE w:val="0"/>
        <w:autoSpaceDN w:val="0"/>
        <w:adjustRightInd w:val="0"/>
        <w:snapToGrid w:val="0"/>
        <w:spacing w:line="360" w:lineRule="auto"/>
        <w:rPr>
          <w:rFonts w:ascii="宋体" w:hAnsi="宋体"/>
          <w:color w:val="auto"/>
          <w:kern w:val="0"/>
          <w:sz w:val="20"/>
          <w:szCs w:val="20"/>
          <w:highlight w:val="none"/>
        </w:rPr>
      </w:pPr>
    </w:p>
    <w:p w14:paraId="23329306">
      <w:pPr>
        <w:autoSpaceDE w:val="0"/>
        <w:autoSpaceDN w:val="0"/>
        <w:adjustRightInd w:val="0"/>
        <w:snapToGrid w:val="0"/>
        <w:spacing w:line="360" w:lineRule="auto"/>
        <w:rPr>
          <w:rFonts w:ascii="宋体" w:hAnsi="宋体"/>
          <w:color w:val="auto"/>
          <w:kern w:val="0"/>
          <w:sz w:val="20"/>
          <w:szCs w:val="20"/>
          <w:highlight w:val="none"/>
        </w:rPr>
      </w:pPr>
    </w:p>
    <w:p w14:paraId="297A0EDE">
      <w:pPr>
        <w:autoSpaceDE w:val="0"/>
        <w:autoSpaceDN w:val="0"/>
        <w:adjustRightInd w:val="0"/>
        <w:snapToGrid w:val="0"/>
        <w:spacing w:line="360" w:lineRule="auto"/>
        <w:rPr>
          <w:rFonts w:ascii="宋体" w:hAnsi="宋体"/>
          <w:color w:val="auto"/>
          <w:kern w:val="0"/>
          <w:sz w:val="20"/>
          <w:szCs w:val="20"/>
          <w:highlight w:val="none"/>
        </w:rPr>
      </w:pPr>
    </w:p>
    <w:p w14:paraId="56C950FC">
      <w:pPr>
        <w:autoSpaceDE w:val="0"/>
        <w:autoSpaceDN w:val="0"/>
        <w:adjustRightInd w:val="0"/>
        <w:snapToGrid w:val="0"/>
        <w:spacing w:line="360" w:lineRule="auto"/>
        <w:rPr>
          <w:rFonts w:ascii="宋体" w:hAnsi="宋体"/>
          <w:color w:val="auto"/>
          <w:kern w:val="0"/>
          <w:sz w:val="20"/>
          <w:szCs w:val="20"/>
          <w:highlight w:val="none"/>
        </w:rPr>
      </w:pPr>
    </w:p>
    <w:p w14:paraId="3EAA8A2E">
      <w:pPr>
        <w:autoSpaceDE w:val="0"/>
        <w:autoSpaceDN w:val="0"/>
        <w:adjustRightInd w:val="0"/>
        <w:snapToGrid w:val="0"/>
        <w:spacing w:line="360" w:lineRule="auto"/>
        <w:rPr>
          <w:rFonts w:ascii="宋体" w:hAnsi="宋体"/>
          <w:color w:val="auto"/>
          <w:kern w:val="0"/>
          <w:sz w:val="20"/>
          <w:szCs w:val="20"/>
          <w:highlight w:val="none"/>
        </w:rPr>
      </w:pPr>
    </w:p>
    <w:p w14:paraId="0485AA2F">
      <w:pPr>
        <w:autoSpaceDE w:val="0"/>
        <w:autoSpaceDN w:val="0"/>
        <w:adjustRightInd w:val="0"/>
        <w:snapToGrid w:val="0"/>
        <w:spacing w:line="360" w:lineRule="auto"/>
        <w:rPr>
          <w:rFonts w:ascii="宋体" w:hAnsi="宋体"/>
          <w:color w:val="auto"/>
          <w:kern w:val="0"/>
          <w:sz w:val="20"/>
          <w:szCs w:val="20"/>
          <w:highlight w:val="none"/>
        </w:rPr>
      </w:pPr>
    </w:p>
    <w:p w14:paraId="4C3B2A3B">
      <w:pPr>
        <w:pStyle w:val="13"/>
        <w:rPr>
          <w:rFonts w:ascii="宋体" w:hAnsi="宋体"/>
          <w:bCs/>
          <w:color w:val="auto"/>
          <w:kern w:val="0"/>
          <w:sz w:val="28"/>
          <w:szCs w:val="28"/>
          <w:highlight w:val="none"/>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5274B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492395F">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hint="eastAsia"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招标人</w:t>
            </w:r>
          </w:p>
        </w:tc>
        <w:tc>
          <w:tcPr>
            <w:tcW w:w="4744" w:type="dxa"/>
            <w:tcBorders>
              <w:tl2br w:val="nil"/>
              <w:tr2bl w:val="nil"/>
            </w:tcBorders>
            <w:vAlign w:val="center"/>
          </w:tcPr>
          <w:p w14:paraId="37A6DFA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6485CF3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b/>
                <w:snapToGrid w:val="0"/>
                <w:color w:val="auto"/>
                <w:kern w:val="0"/>
                <w:sz w:val="30"/>
                <w:szCs w:val="30"/>
                <w:highlight w:val="none"/>
                <w:lang w:eastAsia="zh-CN"/>
              </w:rPr>
            </w:pPr>
            <w:r>
              <w:rPr>
                <w:rFonts w:hint="eastAsia" w:ascii="Times New Roman" w:hAnsi="Times New Roman" w:cs="Times New Roman"/>
                <w:b w:val="0"/>
                <w:bCs/>
                <w:snapToGrid w:val="0"/>
                <w:color w:val="auto"/>
                <w:kern w:val="0"/>
                <w:sz w:val="24"/>
                <w:szCs w:val="24"/>
                <w:highlight w:val="none"/>
                <w:lang w:eastAsia="zh-CN"/>
              </w:rPr>
              <w:t>（</w:t>
            </w:r>
            <w:r>
              <w:rPr>
                <w:rFonts w:hint="eastAsia" w:ascii="Times New Roman" w:hAnsi="Times New Roman" w:cs="Times New Roman"/>
                <w:b w:val="0"/>
                <w:bCs/>
                <w:snapToGrid w:val="0"/>
                <w:color w:val="auto"/>
                <w:kern w:val="0"/>
                <w:sz w:val="24"/>
                <w:szCs w:val="24"/>
                <w:highlight w:val="none"/>
                <w:lang w:val="en-US" w:eastAsia="zh-CN"/>
              </w:rPr>
              <w:t>盖单位公章</w:t>
            </w:r>
            <w:r>
              <w:rPr>
                <w:rFonts w:hint="eastAsia" w:ascii="Times New Roman" w:hAnsi="Times New Roman" w:cs="Times New Roman"/>
                <w:b w:val="0"/>
                <w:bCs/>
                <w:snapToGrid w:val="0"/>
                <w:color w:val="auto"/>
                <w:kern w:val="0"/>
                <w:sz w:val="24"/>
                <w:szCs w:val="24"/>
                <w:highlight w:val="none"/>
                <w:lang w:eastAsia="zh-CN"/>
              </w:rPr>
              <w:t>）</w:t>
            </w:r>
          </w:p>
        </w:tc>
      </w:tr>
      <w:tr w14:paraId="0510D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3E635BEC">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发布时间</w:t>
            </w:r>
          </w:p>
        </w:tc>
        <w:tc>
          <w:tcPr>
            <w:tcW w:w="4744" w:type="dxa"/>
            <w:tcBorders>
              <w:tl2br w:val="nil"/>
              <w:tr2bl w:val="nil"/>
            </w:tcBorders>
            <w:vAlign w:val="center"/>
          </w:tcPr>
          <w:p w14:paraId="1A2C17C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cs="Times New Roman"/>
                <w:b/>
                <w:snapToGrid w:val="0"/>
                <w:color w:val="auto"/>
                <w:kern w:val="0"/>
                <w:sz w:val="30"/>
                <w:szCs w:val="30"/>
                <w:highlight w:val="none"/>
                <w:lang w:val="en-US" w:eastAsia="zh-CN"/>
              </w:rPr>
              <w:t>2024</w:t>
            </w:r>
            <w:r>
              <w:rPr>
                <w:rFonts w:ascii="Times New Roman" w:hAnsi="Times New Roman" w:cs="Times New Roman"/>
                <w:b/>
                <w:snapToGrid w:val="0"/>
                <w:color w:val="auto"/>
                <w:kern w:val="0"/>
                <w:sz w:val="30"/>
                <w:szCs w:val="30"/>
                <w:highlight w:val="none"/>
              </w:rPr>
              <w:t>年</w:t>
            </w:r>
            <w:r>
              <w:rPr>
                <w:rFonts w:hint="eastAsia" w:cs="Times New Roman"/>
                <w:b/>
                <w:snapToGrid w:val="0"/>
                <w:color w:val="auto"/>
                <w:kern w:val="0"/>
                <w:sz w:val="30"/>
                <w:szCs w:val="30"/>
                <w:highlight w:val="none"/>
                <w:lang w:val="en-US" w:eastAsia="zh-CN"/>
              </w:rPr>
              <w:t>9</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127D9626">
            <w:pPr>
              <w:rPr>
                <w:color w:val="auto"/>
                <w:highlight w:val="none"/>
              </w:rPr>
            </w:pPr>
          </w:p>
        </w:tc>
      </w:tr>
    </w:tbl>
    <w:p w14:paraId="4C9AB3DD">
      <w:pPr>
        <w:rPr>
          <w:color w:val="auto"/>
          <w:highlight w:val="none"/>
        </w:rPr>
      </w:pPr>
    </w:p>
    <w:p w14:paraId="11B6D496">
      <w:pPr>
        <w:autoSpaceDE w:val="0"/>
        <w:autoSpaceDN w:val="0"/>
        <w:adjustRightInd w:val="0"/>
        <w:snapToGrid w:val="0"/>
        <w:spacing w:line="360" w:lineRule="auto"/>
        <w:jc w:val="center"/>
        <w:rPr>
          <w:rFonts w:ascii="宋体" w:hAnsi="宋体"/>
          <w:bCs/>
          <w:color w:val="auto"/>
          <w:kern w:val="0"/>
          <w:sz w:val="28"/>
          <w:szCs w:val="28"/>
          <w:highlight w:val="none"/>
        </w:rPr>
      </w:pPr>
    </w:p>
    <w:p w14:paraId="6F0BC501">
      <w:pPr>
        <w:pStyle w:val="13"/>
        <w:rPr>
          <w:color w:val="auto"/>
          <w:highlight w:val="none"/>
        </w:rPr>
      </w:pPr>
    </w:p>
    <w:p w14:paraId="33FEA007">
      <w:pPr>
        <w:rPr>
          <w:color w:val="auto"/>
          <w:highlight w:val="none"/>
        </w:rPr>
      </w:pPr>
    </w:p>
    <w:p w14:paraId="480536A3">
      <w:pPr>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rPr>
          <w:rFonts w:ascii="宋体" w:hAnsi="Calibri" w:eastAsia="宋体" w:cs="Calibri"/>
          <w:b/>
          <w:snapToGrid w:val="0"/>
          <w:color w:val="auto"/>
          <w:kern w:val="0"/>
          <w:sz w:val="44"/>
          <w:szCs w:val="44"/>
          <w:highlight w:val="none"/>
          <w:lang w:val="en-US" w:eastAsia="zh-CN"/>
        </w:rPr>
      </w:pPr>
      <w:r>
        <w:rPr>
          <w:rFonts w:hint="eastAsia" w:ascii="宋体" w:hAnsi="Calibri" w:eastAsia="宋体" w:cs="Calibri"/>
          <w:b/>
          <w:snapToGrid w:val="0"/>
          <w:color w:val="auto"/>
          <w:kern w:val="0"/>
          <w:sz w:val="44"/>
          <w:szCs w:val="44"/>
          <w:highlight w:val="none"/>
          <w:lang w:val="en-US" w:eastAsia="zh-CN"/>
        </w:rPr>
        <w:t>目录</w:t>
      </w:r>
    </w:p>
    <w:p w14:paraId="2155B1E1">
      <w:pPr>
        <w:pStyle w:val="2"/>
        <w:widowControl w:val="0"/>
        <w:tabs>
          <w:tab w:val="left" w:pos="6047"/>
          <w:tab w:val="clear" w:pos="3360"/>
        </w:tabs>
        <w:kinsoku/>
        <w:autoSpaceDE/>
        <w:autoSpaceDN/>
        <w:adjustRightInd/>
        <w:snapToGrid/>
        <w:spacing w:before="0" w:after="0" w:line="360" w:lineRule="auto"/>
        <w:jc w:val="both"/>
        <w:textAlignment w:val="auto"/>
        <w:outlineLvl w:val="9"/>
        <w:rPr>
          <w:rFonts w:ascii="宋体" w:hAnsi="宋体" w:eastAsia="宋体" w:cs="Cambria Math"/>
          <w:color w:val="auto"/>
          <w:kern w:val="2"/>
          <w:sz w:val="21"/>
          <w:szCs w:val="20"/>
          <w:highlight w:val="none"/>
          <w:lang w:val="en-US" w:eastAsia="zh-CN" w:bidi="ar-SA"/>
        </w:rPr>
      </w:pPr>
      <w:r>
        <w:rPr>
          <w:rFonts w:hint="eastAsia" w:ascii="宋体" w:hAnsi="宋体" w:cs="Cambria Math"/>
          <w:color w:val="auto"/>
          <w:kern w:val="2"/>
          <w:sz w:val="21"/>
          <w:szCs w:val="20"/>
          <w:highlight w:val="none"/>
          <w:lang w:val="en-US" w:eastAsia="zh-CN" w:bidi="ar-SA"/>
        </w:rPr>
        <w:tab/>
      </w:r>
    </w:p>
    <w:sdt>
      <w:sdtPr>
        <w:rPr>
          <w:rFonts w:ascii="宋体" w:hAnsi="宋体" w:eastAsia="宋体" w:cs="Cambria Math"/>
          <w:kern w:val="2"/>
          <w:sz w:val="21"/>
          <w:szCs w:val="20"/>
          <w:lang w:val="en-US" w:eastAsia="zh-CN" w:bidi="ar-SA"/>
        </w:rPr>
        <w:id w:val="147456752"/>
        <w15:color w:val="DBDBDB"/>
        <w:docPartObj>
          <w:docPartGallery w:val="Table of Contents"/>
          <w:docPartUnique/>
        </w:docPartObj>
      </w:sdtPr>
      <w:sdtEndPr>
        <w:rPr>
          <w:rFonts w:ascii="宋体" w:hAnsi="宋体" w:eastAsia="宋体" w:cs="Cambria Math"/>
          <w:kern w:val="2"/>
          <w:sz w:val="21"/>
          <w:szCs w:val="20"/>
          <w:lang w:val="en-US" w:eastAsia="zh-CN" w:bidi="ar-SA"/>
        </w:rPr>
      </w:sdtEndPr>
      <w:sdtContent>
        <w:p w14:paraId="053CD7EC">
          <w:pPr>
            <w:spacing w:before="0" w:beforeLines="0" w:after="0" w:afterLines="0" w:line="240" w:lineRule="auto"/>
            <w:ind w:left="0" w:leftChars="0" w:right="0" w:rightChars="0" w:firstLine="0" w:firstLineChars="0"/>
            <w:jc w:val="center"/>
          </w:pPr>
          <w:bookmarkStart w:id="4" w:name="_Toc2724"/>
          <w:bookmarkStart w:id="5" w:name="_Toc509218691"/>
          <w:bookmarkStart w:id="6" w:name="_Toc277082535"/>
          <w:bookmarkStart w:id="7" w:name="_Toc13030"/>
          <w:bookmarkStart w:id="8" w:name="_Toc9458"/>
          <w:bookmarkStart w:id="9" w:name="_Toc31259"/>
          <w:bookmarkStart w:id="10" w:name="_Toc17327"/>
          <w:bookmarkStart w:id="11" w:name="_Toc57820541"/>
          <w:bookmarkStart w:id="12" w:name="_Toc224103298"/>
          <w:bookmarkStart w:id="13" w:name="_Toc287607727"/>
          <w:bookmarkStart w:id="14" w:name="_Toc287620666"/>
          <w:bookmarkStart w:id="15" w:name="_Toc430530415"/>
          <w:r>
            <w:fldChar w:fldCharType="begin"/>
          </w:r>
          <w:r>
            <w:instrText xml:space="preserve">TOC \o "1-1" \h \u </w:instrText>
          </w:r>
          <w:r>
            <w:fldChar w:fldCharType="separate"/>
          </w:r>
        </w:p>
        <w:p w14:paraId="58FF7E5B">
          <w:pPr>
            <w:pStyle w:val="18"/>
            <w:tabs>
              <w:tab w:val="right" w:leader="dot" w:pos="8306"/>
            </w:tabs>
          </w:pPr>
          <w:r>
            <w:fldChar w:fldCharType="begin"/>
          </w:r>
          <w:r>
            <w:instrText xml:space="preserve"> HYPERLINK \l _Toc32065 </w:instrText>
          </w:r>
          <w:r>
            <w:fldChar w:fldCharType="separate"/>
          </w:r>
          <w:r>
            <w:rPr>
              <w:highlight w:val="none"/>
            </w:rPr>
            <w:t>第一章</w:t>
          </w:r>
          <w:r>
            <w:rPr>
              <w:rFonts w:hint="eastAsia"/>
              <w:highlight w:val="none"/>
              <w:lang w:val="en-US" w:eastAsia="zh-CN"/>
            </w:rPr>
            <w:t xml:space="preserve"> 招标</w:t>
          </w:r>
          <w:r>
            <w:rPr>
              <w:highlight w:val="none"/>
            </w:rPr>
            <w:t>公告</w:t>
          </w:r>
          <w:r>
            <w:tab/>
          </w:r>
          <w:r>
            <w:fldChar w:fldCharType="begin"/>
          </w:r>
          <w:r>
            <w:instrText xml:space="preserve"> PAGEREF _Toc32065 \h </w:instrText>
          </w:r>
          <w:r>
            <w:fldChar w:fldCharType="separate"/>
          </w:r>
          <w:r>
            <w:t>1</w:t>
          </w:r>
          <w:r>
            <w:fldChar w:fldCharType="end"/>
          </w:r>
          <w:r>
            <w:fldChar w:fldCharType="end"/>
          </w:r>
        </w:p>
        <w:p w14:paraId="01450844">
          <w:pPr>
            <w:pStyle w:val="18"/>
            <w:tabs>
              <w:tab w:val="right" w:leader="dot" w:pos="8306"/>
            </w:tabs>
          </w:pPr>
          <w:r>
            <w:fldChar w:fldCharType="begin"/>
          </w:r>
          <w:r>
            <w:instrText xml:space="preserve"> HYPERLINK \l _Toc10372 </w:instrText>
          </w:r>
          <w:r>
            <w:fldChar w:fldCharType="separate"/>
          </w:r>
          <w:r>
            <w:rPr>
              <w:highlight w:val="none"/>
              <w:lang w:val="en-US" w:eastAsia="zh-CN"/>
            </w:rPr>
            <w:t>第二章</w:t>
          </w:r>
          <w:r>
            <w:rPr>
              <w:rFonts w:hint="eastAsia"/>
              <w:highlight w:val="none"/>
              <w:lang w:val="en-US" w:eastAsia="zh-CN"/>
            </w:rPr>
            <w:t xml:space="preserve"> </w:t>
          </w:r>
          <w:r>
            <w:rPr>
              <w:highlight w:val="none"/>
              <w:lang w:val="en-US" w:eastAsia="zh-CN"/>
            </w:rPr>
            <w:t>投标人须知</w:t>
          </w:r>
          <w:r>
            <w:tab/>
          </w:r>
          <w:r>
            <w:fldChar w:fldCharType="begin"/>
          </w:r>
          <w:r>
            <w:instrText xml:space="preserve"> PAGEREF _Toc10372 \h </w:instrText>
          </w:r>
          <w:r>
            <w:fldChar w:fldCharType="separate"/>
          </w:r>
          <w:r>
            <w:t>4</w:t>
          </w:r>
          <w:r>
            <w:fldChar w:fldCharType="end"/>
          </w:r>
          <w:r>
            <w:fldChar w:fldCharType="end"/>
          </w:r>
        </w:p>
        <w:p w14:paraId="240D45EF">
          <w:pPr>
            <w:pStyle w:val="18"/>
            <w:tabs>
              <w:tab w:val="right" w:leader="dot" w:pos="8306"/>
            </w:tabs>
          </w:pPr>
          <w:r>
            <w:fldChar w:fldCharType="begin"/>
          </w:r>
          <w:r>
            <w:instrText xml:space="preserve"> HYPERLINK \l _Toc23639 </w:instrText>
          </w:r>
          <w:r>
            <w:fldChar w:fldCharType="separate"/>
          </w:r>
          <w:r>
            <w:rPr>
              <w:highlight w:val="none"/>
            </w:rPr>
            <w:t>第三章</w:t>
          </w:r>
          <w:r>
            <w:rPr>
              <w:rFonts w:hint="eastAsia"/>
              <w:highlight w:val="none"/>
              <w:lang w:val="en-US" w:eastAsia="zh-CN"/>
            </w:rPr>
            <w:t xml:space="preserve"> </w:t>
          </w:r>
          <w:r>
            <w:rPr>
              <w:highlight w:val="none"/>
            </w:rPr>
            <w:t>评标办法（综合</w:t>
          </w:r>
          <w:bookmarkStart w:id="586" w:name="_GoBack"/>
          <w:bookmarkEnd w:id="586"/>
          <w:r>
            <w:rPr>
              <w:highlight w:val="none"/>
            </w:rPr>
            <w:t>评估法）</w:t>
          </w:r>
          <w:r>
            <w:tab/>
          </w:r>
          <w:r>
            <w:fldChar w:fldCharType="begin"/>
          </w:r>
          <w:r>
            <w:instrText xml:space="preserve"> PAGEREF _Toc23639 \h </w:instrText>
          </w:r>
          <w:r>
            <w:fldChar w:fldCharType="separate"/>
          </w:r>
          <w:r>
            <w:t>25</w:t>
          </w:r>
          <w:r>
            <w:fldChar w:fldCharType="end"/>
          </w:r>
          <w:r>
            <w:fldChar w:fldCharType="end"/>
          </w:r>
        </w:p>
        <w:p w14:paraId="67805FC3">
          <w:pPr>
            <w:pStyle w:val="18"/>
            <w:tabs>
              <w:tab w:val="right" w:leader="dot" w:pos="8306"/>
            </w:tabs>
          </w:pPr>
          <w:r>
            <w:fldChar w:fldCharType="begin"/>
          </w:r>
          <w:r>
            <w:instrText xml:space="preserve"> HYPERLINK \l _Toc27514 </w:instrText>
          </w:r>
          <w:r>
            <w:fldChar w:fldCharType="separate"/>
          </w:r>
          <w:r>
            <w:rPr>
              <w:rFonts w:hint="eastAsia"/>
              <w:highlight w:val="none"/>
              <w:lang w:val="en-US" w:eastAsia="zh-CN"/>
            </w:rPr>
            <w:t>第四章</w:t>
          </w:r>
          <w:r>
            <w:rPr>
              <w:rFonts w:hint="eastAsia"/>
              <w:highlight w:val="none"/>
            </w:rPr>
            <w:t xml:space="preserve"> 合同条款及格式</w:t>
          </w:r>
          <w:r>
            <w:tab/>
          </w:r>
          <w:r>
            <w:fldChar w:fldCharType="begin"/>
          </w:r>
          <w:r>
            <w:instrText xml:space="preserve"> PAGEREF _Toc27514 \h </w:instrText>
          </w:r>
          <w:r>
            <w:fldChar w:fldCharType="separate"/>
          </w:r>
          <w:r>
            <w:t>30</w:t>
          </w:r>
          <w:r>
            <w:fldChar w:fldCharType="end"/>
          </w:r>
          <w:r>
            <w:fldChar w:fldCharType="end"/>
          </w:r>
        </w:p>
        <w:p w14:paraId="0D4A6317">
          <w:pPr>
            <w:pStyle w:val="18"/>
            <w:tabs>
              <w:tab w:val="right" w:leader="dot" w:pos="8306"/>
            </w:tabs>
          </w:pPr>
          <w:r>
            <w:fldChar w:fldCharType="begin"/>
          </w:r>
          <w:r>
            <w:instrText xml:space="preserve"> HYPERLINK \l _Toc7149 </w:instrText>
          </w:r>
          <w:r>
            <w:fldChar w:fldCharType="separate"/>
          </w:r>
          <w:r>
            <w:rPr>
              <w:rFonts w:hint="eastAsia"/>
            </w:rPr>
            <w:t>第六章  其他约定</w:t>
          </w:r>
          <w:r>
            <w:tab/>
          </w:r>
          <w:r>
            <w:fldChar w:fldCharType="begin"/>
          </w:r>
          <w:r>
            <w:instrText xml:space="preserve"> PAGEREF _Toc7149 \h </w:instrText>
          </w:r>
          <w:r>
            <w:fldChar w:fldCharType="separate"/>
          </w:r>
          <w:r>
            <w:t>41</w:t>
          </w:r>
          <w:r>
            <w:fldChar w:fldCharType="end"/>
          </w:r>
          <w:r>
            <w:fldChar w:fldCharType="end"/>
          </w:r>
        </w:p>
        <w:p w14:paraId="3366448A">
          <w:pPr>
            <w:pStyle w:val="18"/>
            <w:tabs>
              <w:tab w:val="right" w:leader="dot" w:pos="8306"/>
            </w:tabs>
          </w:pPr>
          <w:r>
            <w:fldChar w:fldCharType="begin"/>
          </w:r>
          <w:r>
            <w:instrText xml:space="preserve"> HYPERLINK \l _Toc6126 </w:instrText>
          </w:r>
          <w:r>
            <w:fldChar w:fldCharType="separate"/>
          </w:r>
          <w:r>
            <w:rPr>
              <w:rFonts w:hint="eastAsia"/>
              <w:highlight w:val="none"/>
              <w:lang w:val="en-US" w:eastAsia="zh-CN"/>
            </w:rPr>
            <w:t>第五章</w:t>
          </w:r>
          <w:r>
            <w:rPr>
              <w:rFonts w:hint="eastAsia"/>
              <w:highlight w:val="none"/>
            </w:rPr>
            <w:t xml:space="preserve"> </w:t>
          </w:r>
          <w:r>
            <w:rPr>
              <w:rFonts w:hint="eastAsia"/>
              <w:highlight w:val="none"/>
              <w:lang w:val="en-US" w:eastAsia="zh-CN"/>
            </w:rPr>
            <w:t>项目要求</w:t>
          </w:r>
          <w:r>
            <w:tab/>
          </w:r>
          <w:r>
            <w:fldChar w:fldCharType="begin"/>
          </w:r>
          <w:r>
            <w:instrText xml:space="preserve"> PAGEREF _Toc6126 \h </w:instrText>
          </w:r>
          <w:r>
            <w:fldChar w:fldCharType="separate"/>
          </w:r>
          <w:r>
            <w:t>42</w:t>
          </w:r>
          <w:r>
            <w:fldChar w:fldCharType="end"/>
          </w:r>
          <w:r>
            <w:fldChar w:fldCharType="end"/>
          </w:r>
        </w:p>
        <w:p w14:paraId="716635EE">
          <w:pPr>
            <w:pStyle w:val="18"/>
            <w:tabs>
              <w:tab w:val="right" w:leader="dot" w:pos="8306"/>
            </w:tabs>
          </w:pPr>
          <w:r>
            <w:fldChar w:fldCharType="begin"/>
          </w:r>
          <w:r>
            <w:instrText xml:space="preserve"> HYPERLINK \l _Toc18191 </w:instrText>
          </w:r>
          <w:r>
            <w:fldChar w:fldCharType="separate"/>
          </w:r>
          <w:r>
            <w:rPr>
              <w:rFonts w:hint="eastAsia"/>
              <w:highlight w:val="none"/>
              <w:lang w:val="en-US" w:eastAsia="zh-CN"/>
            </w:rPr>
            <w:t>第六章 投标文件格式</w:t>
          </w:r>
          <w:r>
            <w:tab/>
          </w:r>
          <w:r>
            <w:fldChar w:fldCharType="begin"/>
          </w:r>
          <w:r>
            <w:instrText xml:space="preserve"> PAGEREF _Toc18191 \h </w:instrText>
          </w:r>
          <w:r>
            <w:fldChar w:fldCharType="separate"/>
          </w:r>
          <w:r>
            <w:t>47</w:t>
          </w:r>
          <w:r>
            <w:fldChar w:fldCharType="end"/>
          </w:r>
          <w:r>
            <w:fldChar w:fldCharType="end"/>
          </w:r>
        </w:p>
        <w:p w14:paraId="10440187">
          <w:r>
            <w:fldChar w:fldCharType="end"/>
          </w:r>
        </w:p>
      </w:sdtContent>
    </w:sdt>
    <w:p w14:paraId="72F337DA">
      <w:pPr>
        <w:pStyle w:val="2"/>
        <w:bidi w:val="0"/>
        <w:rPr>
          <w:color w:val="auto"/>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6144"/>
        </w:sectPr>
      </w:pPr>
    </w:p>
    <w:p w14:paraId="05E38CD3">
      <w:pPr>
        <w:pStyle w:val="2"/>
        <w:bidi w:val="0"/>
        <w:rPr>
          <w:color w:val="auto"/>
          <w:highlight w:val="none"/>
        </w:rPr>
      </w:pPr>
      <w:bookmarkStart w:id="16" w:name="_Toc32065"/>
      <w:r>
        <w:rPr>
          <w:color w:val="auto"/>
          <w:highlight w:val="none"/>
        </w:rPr>
        <w:t>第一章</w:t>
      </w:r>
      <w:r>
        <w:rPr>
          <w:rFonts w:hint="eastAsia"/>
          <w:color w:val="auto"/>
          <w:highlight w:val="none"/>
          <w:lang w:val="en-US" w:eastAsia="zh-CN"/>
        </w:rPr>
        <w:t xml:space="preserve"> 招标</w:t>
      </w:r>
      <w:r>
        <w:rPr>
          <w:color w:val="auto"/>
          <w:highlight w:val="none"/>
        </w:rPr>
        <w:t>公告</w:t>
      </w:r>
      <w:bookmarkEnd w:id="4"/>
      <w:bookmarkEnd w:id="5"/>
      <w:bookmarkEnd w:id="6"/>
      <w:bookmarkEnd w:id="7"/>
      <w:bookmarkEnd w:id="8"/>
      <w:bookmarkEnd w:id="9"/>
      <w:bookmarkEnd w:id="10"/>
      <w:bookmarkEnd w:id="11"/>
      <w:bookmarkEnd w:id="12"/>
      <w:bookmarkEnd w:id="13"/>
      <w:bookmarkEnd w:id="14"/>
      <w:bookmarkEnd w:id="15"/>
      <w:bookmarkEnd w:id="16"/>
    </w:p>
    <w:p w14:paraId="2ADD2218">
      <w:pPr>
        <w:pStyle w:val="3"/>
        <w:bidi w:val="0"/>
        <w:rPr>
          <w:color w:val="auto"/>
          <w:highlight w:val="none"/>
        </w:rPr>
      </w:pPr>
      <w:bookmarkStart w:id="17" w:name="_Toc16822"/>
      <w:bookmarkStart w:id="18" w:name="_Toc31597"/>
      <w:bookmarkStart w:id="19" w:name="_Toc492300546"/>
      <w:bookmarkStart w:id="20" w:name="_Toc29324"/>
      <w:bookmarkStart w:id="21" w:name="_Toc10130"/>
      <w:r>
        <w:rPr>
          <w:color w:val="auto"/>
          <w:highlight w:val="none"/>
        </w:rPr>
        <w:t xml:space="preserve">1. </w:t>
      </w:r>
      <w:r>
        <w:rPr>
          <w:rFonts w:hint="eastAsia"/>
          <w:color w:val="auto"/>
          <w:highlight w:val="none"/>
          <w:lang w:eastAsia="zh-CN"/>
        </w:rPr>
        <w:t>招标</w:t>
      </w:r>
      <w:r>
        <w:rPr>
          <w:color w:val="auto"/>
          <w:highlight w:val="none"/>
        </w:rPr>
        <w:t>条件</w:t>
      </w:r>
      <w:bookmarkEnd w:id="17"/>
      <w:bookmarkEnd w:id="18"/>
      <w:bookmarkEnd w:id="19"/>
      <w:bookmarkEnd w:id="20"/>
      <w:bookmarkEnd w:id="21"/>
    </w:p>
    <w:p w14:paraId="2A84B70A">
      <w:pPr>
        <w:bidi w:val="0"/>
        <w:rPr>
          <w:color w:val="auto"/>
          <w:highlight w:val="none"/>
        </w:rPr>
      </w:pPr>
      <w:r>
        <w:rPr>
          <w:color w:val="auto"/>
          <w:highlight w:val="none"/>
        </w:rPr>
        <w:t>本</w:t>
      </w:r>
      <w:r>
        <w:rPr>
          <w:rFonts w:hint="eastAsia"/>
          <w:color w:val="auto"/>
          <w:highlight w:val="none"/>
          <w:lang w:eastAsia="zh-CN"/>
        </w:rPr>
        <w:t>招标</w:t>
      </w:r>
      <w:r>
        <w:rPr>
          <w:color w:val="auto"/>
          <w:highlight w:val="none"/>
        </w:rPr>
        <w:t>项目</w:t>
      </w:r>
      <w:r>
        <w:rPr>
          <w:rFonts w:hint="eastAsia"/>
          <w:color w:val="auto"/>
          <w:highlight w:val="none"/>
          <w:lang w:val="en-US" w:eastAsia="zh-CN"/>
        </w:rPr>
        <w:t>招标人</w:t>
      </w:r>
      <w:r>
        <w:rPr>
          <w:color w:val="auto"/>
          <w:highlight w:val="none"/>
        </w:rPr>
        <w:t>为</w:t>
      </w:r>
      <w:r>
        <w:rPr>
          <w:rFonts w:hint="eastAsia"/>
          <w:color w:val="auto"/>
          <w:highlight w:val="none"/>
        </w:rPr>
        <w:t>重庆三峡银行股份有限公司</w:t>
      </w:r>
      <w:r>
        <w:rPr>
          <w:color w:val="auto"/>
          <w:highlight w:val="none"/>
        </w:rPr>
        <w:t>，</w:t>
      </w:r>
      <w:r>
        <w:rPr>
          <w:rFonts w:hint="eastAsia"/>
          <w:color w:val="auto"/>
          <w:highlight w:val="none"/>
          <w:lang w:val="en-US" w:eastAsia="zh-CN"/>
        </w:rPr>
        <w:t>项目</w:t>
      </w:r>
      <w:r>
        <w:rPr>
          <w:color w:val="auto"/>
          <w:highlight w:val="none"/>
        </w:rPr>
        <w:t>资金来自</w:t>
      </w:r>
      <w:r>
        <w:rPr>
          <w:rFonts w:hint="eastAsia"/>
          <w:color w:val="auto"/>
          <w:highlight w:val="none"/>
        </w:rPr>
        <w:t>招标人自筹</w:t>
      </w:r>
      <w:r>
        <w:rPr>
          <w:rFonts w:hint="eastAsia"/>
          <w:color w:val="auto"/>
          <w:highlight w:val="none"/>
          <w:lang w:eastAsia="zh-CN"/>
        </w:rPr>
        <w:t>，</w:t>
      </w:r>
      <w:r>
        <w:rPr>
          <w:color w:val="auto"/>
          <w:highlight w:val="none"/>
        </w:rPr>
        <w:t>现对</w:t>
      </w:r>
      <w:r>
        <w:rPr>
          <w:rFonts w:hint="eastAsia"/>
          <w:color w:val="auto"/>
          <w:highlight w:val="none"/>
        </w:rPr>
        <w:t>重庆三峡银行存取款一体机项目</w:t>
      </w:r>
      <w:r>
        <w:rPr>
          <w:color w:val="auto"/>
          <w:highlight w:val="none"/>
        </w:rPr>
        <w:t>进行公开</w:t>
      </w:r>
      <w:r>
        <w:rPr>
          <w:rFonts w:hint="eastAsia"/>
          <w:color w:val="auto"/>
          <w:highlight w:val="none"/>
          <w:lang w:val="en-US" w:eastAsia="zh-CN"/>
        </w:rPr>
        <w:t>招标</w:t>
      </w:r>
      <w:r>
        <w:rPr>
          <w:color w:val="auto"/>
          <w:highlight w:val="none"/>
        </w:rPr>
        <w:t>。</w:t>
      </w:r>
    </w:p>
    <w:p w14:paraId="4E19D14E">
      <w:pPr>
        <w:pStyle w:val="3"/>
        <w:bidi w:val="0"/>
        <w:rPr>
          <w:color w:val="auto"/>
          <w:highlight w:val="none"/>
        </w:rPr>
      </w:pPr>
      <w:bookmarkStart w:id="22" w:name="_Toc23586"/>
      <w:bookmarkStart w:id="23" w:name="_Toc492300547"/>
      <w:bookmarkStart w:id="24" w:name="_Toc13140"/>
      <w:bookmarkStart w:id="25" w:name="_Toc28276"/>
      <w:bookmarkStart w:id="26" w:name="_Toc23667"/>
      <w:r>
        <w:rPr>
          <w:color w:val="auto"/>
          <w:highlight w:val="none"/>
        </w:rPr>
        <w:t>2. 项目概况与</w:t>
      </w:r>
      <w:r>
        <w:rPr>
          <w:rFonts w:hint="eastAsia"/>
          <w:color w:val="auto"/>
          <w:highlight w:val="none"/>
          <w:lang w:eastAsia="zh-CN"/>
        </w:rPr>
        <w:t>招标</w:t>
      </w:r>
      <w:r>
        <w:rPr>
          <w:rFonts w:hint="eastAsia"/>
          <w:color w:val="auto"/>
          <w:highlight w:val="none"/>
        </w:rPr>
        <w:t>范围</w:t>
      </w:r>
      <w:bookmarkEnd w:id="22"/>
      <w:bookmarkEnd w:id="23"/>
      <w:bookmarkEnd w:id="24"/>
      <w:bookmarkEnd w:id="25"/>
      <w:bookmarkEnd w:id="26"/>
    </w:p>
    <w:p w14:paraId="46B353F4">
      <w:pPr>
        <w:bidi w:val="0"/>
        <w:rPr>
          <w:color w:val="auto"/>
          <w:highlight w:val="none"/>
        </w:rPr>
      </w:pPr>
      <w:bookmarkStart w:id="27" w:name="_Hlk536432704"/>
      <w:r>
        <w:rPr>
          <w:rFonts w:hint="eastAsia"/>
          <w:color w:val="auto"/>
          <w:highlight w:val="none"/>
        </w:rPr>
        <w:t>2.</w:t>
      </w:r>
      <w:r>
        <w:rPr>
          <w:rFonts w:hint="eastAsia"/>
          <w:color w:val="auto"/>
          <w:highlight w:val="none"/>
          <w:lang w:val="en-US" w:eastAsia="zh-CN"/>
        </w:rPr>
        <w:t>1</w:t>
      </w:r>
      <w:r>
        <w:rPr>
          <w:rFonts w:hint="eastAsia"/>
          <w:color w:val="auto"/>
          <w:highlight w:val="none"/>
        </w:rPr>
        <w:t xml:space="preserve"> </w:t>
      </w:r>
      <w:r>
        <w:rPr>
          <w:rFonts w:hint="eastAsia"/>
          <w:color w:val="auto"/>
          <w:highlight w:val="none"/>
          <w:lang w:val="en-US" w:eastAsia="zh-CN"/>
        </w:rPr>
        <w:t>招标</w:t>
      </w:r>
      <w:r>
        <w:rPr>
          <w:rFonts w:hint="eastAsia"/>
          <w:color w:val="auto"/>
          <w:highlight w:val="none"/>
        </w:rPr>
        <w:t>内容和范围</w:t>
      </w:r>
      <w:r>
        <w:rPr>
          <w:rFonts w:hint="eastAsia"/>
          <w:color w:val="auto"/>
          <w:highlight w:val="none"/>
          <w:lang w:eastAsia="zh-CN"/>
        </w:rPr>
        <w:t>：本次招标以满足本行业务发展及自助渠道建设需要、维护本行利益为目的，现对存取款一体机进行公开招标，确定未来一定时期内本行存取款一体机的品牌、型号及供货商，现对重庆三峡银行存取款一体机项目进行公开招标，特邀请有意向的潜在投标人进行投标。</w:t>
      </w:r>
    </w:p>
    <w:p w14:paraId="4F127F33">
      <w:pPr>
        <w:bidi w:val="0"/>
        <w:rPr>
          <w:color w:val="auto"/>
          <w:highlight w:val="none"/>
        </w:rPr>
      </w:pPr>
      <w:r>
        <w:rPr>
          <w:rFonts w:hint="eastAsia"/>
          <w:color w:val="auto"/>
          <w:highlight w:val="none"/>
        </w:rPr>
        <w:t>2.</w:t>
      </w:r>
      <w:r>
        <w:rPr>
          <w:rFonts w:hint="eastAsia"/>
          <w:color w:val="auto"/>
          <w:highlight w:val="none"/>
          <w:lang w:val="en-US" w:eastAsia="zh-CN"/>
        </w:rPr>
        <w:t>2</w:t>
      </w:r>
      <w:r>
        <w:rPr>
          <w:rFonts w:hint="eastAsia"/>
          <w:color w:val="auto"/>
          <w:highlight w:val="none"/>
        </w:rPr>
        <w:t xml:space="preserve"> </w:t>
      </w:r>
      <w:r>
        <w:rPr>
          <w:rFonts w:hint="eastAsia"/>
          <w:color w:val="auto"/>
          <w:highlight w:val="none"/>
          <w:lang w:val="en-US" w:eastAsia="zh-CN"/>
        </w:rPr>
        <w:t>交货期</w:t>
      </w:r>
      <w:r>
        <w:rPr>
          <w:rFonts w:hint="eastAsia"/>
          <w:color w:val="auto"/>
          <w:highlight w:val="none"/>
          <w:lang w:eastAsia="zh-CN"/>
        </w:rPr>
        <w:t>：收到甲方通知15天内交付设备。</w:t>
      </w:r>
    </w:p>
    <w:p w14:paraId="6EBE9F46">
      <w:pPr>
        <w:bidi w:val="0"/>
        <w:rPr>
          <w:rFonts w:hint="eastAsia"/>
          <w:color w:val="auto"/>
          <w:highlight w:val="none"/>
          <w:lang w:eastAsia="zh-CN"/>
        </w:rPr>
      </w:pPr>
      <w:r>
        <w:rPr>
          <w:rFonts w:hint="eastAsia"/>
          <w:color w:val="auto"/>
          <w:highlight w:val="none"/>
        </w:rPr>
        <w:t>2.</w:t>
      </w:r>
      <w:r>
        <w:rPr>
          <w:rFonts w:hint="eastAsia"/>
          <w:color w:val="auto"/>
          <w:highlight w:val="none"/>
          <w:lang w:val="en-US" w:eastAsia="zh-CN"/>
        </w:rPr>
        <w:t>3</w:t>
      </w:r>
      <w:r>
        <w:rPr>
          <w:rFonts w:hint="eastAsia"/>
          <w:color w:val="auto"/>
          <w:highlight w:val="none"/>
        </w:rPr>
        <w:t xml:space="preserve"> </w:t>
      </w:r>
      <w:r>
        <w:rPr>
          <w:rFonts w:hint="eastAsia"/>
          <w:color w:val="auto"/>
          <w:highlight w:val="none"/>
          <w:lang w:val="en-US" w:eastAsia="zh-CN"/>
        </w:rPr>
        <w:t>交货</w:t>
      </w:r>
      <w:r>
        <w:rPr>
          <w:rFonts w:hint="eastAsia"/>
          <w:color w:val="auto"/>
          <w:highlight w:val="none"/>
          <w:lang w:eastAsia="zh-CN"/>
        </w:rPr>
        <w:t>地点：重庆市。</w:t>
      </w:r>
    </w:p>
    <w:p w14:paraId="2517D03B">
      <w:pPr>
        <w:bidi w:val="0"/>
        <w:rPr>
          <w:rFonts w:hint="eastAsia"/>
          <w:color w:val="auto"/>
          <w:highlight w:val="none"/>
          <w:lang w:eastAsia="zh-CN"/>
        </w:rPr>
      </w:pPr>
      <w:r>
        <w:rPr>
          <w:rFonts w:hint="eastAsia"/>
          <w:color w:val="auto"/>
          <w:highlight w:val="none"/>
        </w:rPr>
        <w:t>2.</w:t>
      </w:r>
      <w:r>
        <w:rPr>
          <w:rFonts w:hint="eastAsia"/>
          <w:color w:val="auto"/>
          <w:highlight w:val="none"/>
          <w:lang w:val="en-US" w:eastAsia="zh-CN"/>
        </w:rPr>
        <w:t>4</w:t>
      </w:r>
      <w:r>
        <w:rPr>
          <w:rFonts w:hint="eastAsia"/>
          <w:color w:val="auto"/>
          <w:highlight w:val="none"/>
        </w:rPr>
        <w:t xml:space="preserve"> 其他</w:t>
      </w:r>
      <w:r>
        <w:rPr>
          <w:rFonts w:hint="eastAsia"/>
          <w:color w:val="auto"/>
          <w:highlight w:val="none"/>
          <w:lang w:eastAsia="zh-CN"/>
        </w:rPr>
        <w:t>：</w:t>
      </w:r>
      <w:r>
        <w:rPr>
          <w:rFonts w:hint="eastAsia"/>
          <w:color w:val="auto"/>
          <w:highlight w:val="none"/>
          <w:lang w:val="en-US" w:eastAsia="zh-CN"/>
        </w:rPr>
        <w:t>/</w:t>
      </w:r>
    </w:p>
    <w:bookmarkEnd w:id="27"/>
    <w:p w14:paraId="3ED2B662">
      <w:pPr>
        <w:pStyle w:val="3"/>
        <w:bidi w:val="0"/>
        <w:rPr>
          <w:color w:val="auto"/>
          <w:highlight w:val="none"/>
        </w:rPr>
      </w:pPr>
      <w:bookmarkStart w:id="28" w:name="_Toc12492"/>
      <w:bookmarkStart w:id="29" w:name="_Toc14061"/>
      <w:bookmarkStart w:id="30" w:name="_Toc19454"/>
      <w:bookmarkStart w:id="31" w:name="_Toc628"/>
      <w:bookmarkStart w:id="32" w:name="_Toc492300548"/>
      <w:r>
        <w:rPr>
          <w:color w:val="auto"/>
          <w:highlight w:val="none"/>
        </w:rPr>
        <w:t xml:space="preserve">3. </w:t>
      </w:r>
      <w:r>
        <w:rPr>
          <w:rFonts w:hint="eastAsia"/>
          <w:color w:val="auto"/>
          <w:highlight w:val="none"/>
          <w:lang w:eastAsia="zh-CN"/>
        </w:rPr>
        <w:t>投标人</w:t>
      </w:r>
      <w:r>
        <w:rPr>
          <w:color w:val="auto"/>
          <w:highlight w:val="none"/>
        </w:rPr>
        <w:t>资格要求</w:t>
      </w:r>
      <w:bookmarkEnd w:id="28"/>
      <w:bookmarkEnd w:id="29"/>
      <w:bookmarkEnd w:id="30"/>
      <w:bookmarkEnd w:id="31"/>
      <w:bookmarkEnd w:id="32"/>
    </w:p>
    <w:p w14:paraId="1938C10A">
      <w:pPr>
        <w:bidi w:val="0"/>
        <w:rPr>
          <w:rFonts w:hint="eastAsia"/>
          <w:color w:val="auto"/>
          <w:highlight w:val="none"/>
          <w:lang w:val="en-US" w:eastAsia="zh-CN"/>
        </w:rPr>
      </w:pPr>
      <w:r>
        <w:rPr>
          <w:rFonts w:hint="eastAsia"/>
          <w:color w:val="auto"/>
          <w:highlight w:val="none"/>
          <w:lang w:eastAsia="zh-CN"/>
        </w:rPr>
        <w:t>3.</w:t>
      </w:r>
      <w:r>
        <w:rPr>
          <w:rFonts w:hint="eastAsia"/>
          <w:color w:val="auto"/>
          <w:highlight w:val="none"/>
          <w:lang w:val="en-US" w:eastAsia="zh-CN"/>
        </w:rPr>
        <w:t>1</w:t>
      </w:r>
      <w:r>
        <w:rPr>
          <w:rFonts w:hint="eastAsia"/>
          <w:color w:val="auto"/>
          <w:highlight w:val="none"/>
          <w:lang w:eastAsia="zh-CN"/>
        </w:rPr>
        <w:t xml:space="preserve"> 本次招标要求投标人具备</w:t>
      </w:r>
      <w:r>
        <w:rPr>
          <w:rFonts w:hint="eastAsia"/>
          <w:color w:val="auto"/>
          <w:highlight w:val="none"/>
          <w:lang w:val="en-US" w:eastAsia="zh-CN"/>
        </w:rPr>
        <w:t>的</w:t>
      </w:r>
      <w:r>
        <w:rPr>
          <w:rFonts w:hint="eastAsia"/>
          <w:color w:val="auto"/>
          <w:highlight w:val="none"/>
          <w:lang w:eastAsia="zh-CN"/>
        </w:rPr>
        <w:t>资质条件：</w:t>
      </w:r>
    </w:p>
    <w:p w14:paraId="31C73CB1">
      <w:pPr>
        <w:bidi w:val="0"/>
        <w:rPr>
          <w:rFonts w:hint="eastAsia"/>
          <w:color w:val="auto"/>
          <w:highlight w:val="none"/>
          <w:lang w:val="en-US" w:eastAsia="zh-CN"/>
        </w:rPr>
      </w:pPr>
      <w:r>
        <w:rPr>
          <w:rFonts w:hint="eastAsia"/>
          <w:color w:val="auto"/>
          <w:highlight w:val="none"/>
          <w:lang w:val="en-US" w:eastAsia="zh-CN"/>
        </w:rPr>
        <w:t>（1）投标人应当具备承担投标项目的能力；</w:t>
      </w:r>
    </w:p>
    <w:p w14:paraId="6CA9037D">
      <w:pPr>
        <w:bidi w:val="0"/>
        <w:rPr>
          <w:rFonts w:hint="eastAsia"/>
          <w:color w:val="auto"/>
          <w:highlight w:val="none"/>
          <w:lang w:val="en-US" w:eastAsia="zh-CN"/>
        </w:rPr>
      </w:pPr>
      <w:r>
        <w:rPr>
          <w:rFonts w:hint="eastAsia"/>
          <w:color w:val="auto"/>
          <w:highlight w:val="none"/>
          <w:lang w:val="en-US" w:eastAsia="zh-CN"/>
        </w:rPr>
        <w:t>【提供投标人有效营业执照（副本）或直属的分支机构（直属的分支机构投标必须具有总公司的授权委托书）或事业单位法人证书（副本）或个体工商户营业执照或有效的自然人身份证明；投标人法定代表人身份证明和法定代表人授权委托书（直属分支机构参与项目的，提供分支机构负责人身份证明和负责人授权委托书）。】</w:t>
      </w:r>
    </w:p>
    <w:p w14:paraId="3EE070E2">
      <w:pPr>
        <w:bidi w:val="0"/>
        <w:rPr>
          <w:rFonts w:hint="eastAsia"/>
          <w:color w:val="auto"/>
          <w:highlight w:val="none"/>
          <w:lang w:val="en-US" w:eastAsia="zh-CN"/>
        </w:rPr>
      </w:pPr>
      <w:r>
        <w:rPr>
          <w:rFonts w:hint="eastAsia"/>
          <w:color w:val="auto"/>
          <w:highlight w:val="none"/>
          <w:lang w:val="en-US" w:eastAsia="zh-CN"/>
        </w:rPr>
        <w:t>注：若为法定代表人（分支机构负责人）办理并签署投标文件的，不提供授权委托书。</w:t>
      </w:r>
    </w:p>
    <w:p w14:paraId="14B1B2F6">
      <w:pPr>
        <w:bidi w:val="0"/>
        <w:rPr>
          <w:rFonts w:hint="eastAsia"/>
          <w:color w:val="auto"/>
          <w:highlight w:val="none"/>
          <w:lang w:val="en-US" w:eastAsia="zh-CN"/>
        </w:rPr>
      </w:pPr>
      <w:r>
        <w:rPr>
          <w:rFonts w:hint="eastAsia"/>
          <w:color w:val="auto"/>
          <w:highlight w:val="none"/>
          <w:lang w:val="en-US" w:eastAsia="zh-CN"/>
        </w:rPr>
        <w:t>（2）具有良好的商业信誉和健全的财务会计制度；【提供书面声明】</w:t>
      </w:r>
    </w:p>
    <w:p w14:paraId="147F0D9B">
      <w:pPr>
        <w:bidi w:val="0"/>
        <w:rPr>
          <w:rFonts w:hint="eastAsia"/>
          <w:color w:val="auto"/>
          <w:highlight w:val="none"/>
          <w:lang w:val="en-US" w:eastAsia="zh-CN"/>
        </w:rPr>
      </w:pPr>
      <w:r>
        <w:rPr>
          <w:rFonts w:hint="eastAsia"/>
          <w:color w:val="auto"/>
          <w:highlight w:val="none"/>
          <w:lang w:val="en-US" w:eastAsia="zh-CN"/>
        </w:rPr>
        <w:t>（3）具有履行合同所必需的设备和专业技术能力；【提供书面声明】</w:t>
      </w:r>
    </w:p>
    <w:p w14:paraId="5401509E">
      <w:pPr>
        <w:bidi w:val="0"/>
        <w:rPr>
          <w:rFonts w:hint="eastAsia"/>
          <w:color w:val="auto"/>
          <w:highlight w:val="none"/>
          <w:lang w:val="en-US" w:eastAsia="zh-CN"/>
        </w:rPr>
      </w:pPr>
      <w:r>
        <w:rPr>
          <w:rFonts w:hint="eastAsia"/>
          <w:color w:val="auto"/>
          <w:highlight w:val="none"/>
          <w:lang w:val="en-US" w:eastAsia="zh-CN"/>
        </w:rPr>
        <w:t>（4）有依法缴纳税收和社会保障金的良好记录；【提供书面声明】</w:t>
      </w:r>
    </w:p>
    <w:p w14:paraId="61B6A875">
      <w:pPr>
        <w:bidi w:val="0"/>
        <w:rPr>
          <w:rFonts w:hint="eastAsia"/>
          <w:color w:val="auto"/>
          <w:highlight w:val="none"/>
          <w:lang w:val="en-US" w:eastAsia="zh-CN"/>
        </w:rPr>
      </w:pPr>
      <w:r>
        <w:rPr>
          <w:rFonts w:hint="eastAsia"/>
          <w:color w:val="auto"/>
          <w:highlight w:val="none"/>
          <w:lang w:val="en-US" w:eastAsia="zh-CN"/>
        </w:rPr>
        <w:t>（5）三年内在经营活动中没有重大违法记录；【提供书面声明】</w:t>
      </w:r>
    </w:p>
    <w:p w14:paraId="7C8B0D6F">
      <w:pPr>
        <w:bidi w:val="0"/>
        <w:rPr>
          <w:rFonts w:hint="eastAsia"/>
          <w:color w:val="auto"/>
          <w:highlight w:val="none"/>
          <w:lang w:val="en-US" w:eastAsia="zh-CN"/>
        </w:rPr>
      </w:pPr>
      <w:r>
        <w:rPr>
          <w:rFonts w:hint="eastAsia"/>
          <w:color w:val="auto"/>
          <w:highlight w:val="none"/>
          <w:lang w:val="en-US" w:eastAsia="zh-CN"/>
        </w:rPr>
        <w:t>（6）法人及法定代表人没有被人民法院列为失信被执行人名单；【提供中国执行信息公开网截图并加盖单位鲜章】</w:t>
      </w:r>
    </w:p>
    <w:p w14:paraId="1555B6AF">
      <w:pPr>
        <w:bidi w:val="0"/>
        <w:rPr>
          <w:rFonts w:hint="eastAsia"/>
          <w:color w:val="auto"/>
          <w:highlight w:val="none"/>
          <w:lang w:val="en-US" w:eastAsia="zh-CN"/>
        </w:rPr>
      </w:pPr>
      <w:r>
        <w:rPr>
          <w:rFonts w:hint="eastAsia"/>
          <w:color w:val="auto"/>
          <w:highlight w:val="none"/>
          <w:lang w:val="en-US" w:eastAsia="zh-CN"/>
        </w:rPr>
        <w:t>（7）本项目不允许任何形式的转包；【提供书面声明】</w:t>
      </w:r>
    </w:p>
    <w:p w14:paraId="47BF2FC8">
      <w:pPr>
        <w:bidi w:val="0"/>
        <w:rPr>
          <w:rFonts w:hint="eastAsia"/>
          <w:color w:val="auto"/>
          <w:highlight w:val="none"/>
          <w:lang w:val="en-US" w:eastAsia="zh-CN"/>
        </w:rPr>
      </w:pPr>
      <w:r>
        <w:rPr>
          <w:rFonts w:hint="eastAsia"/>
          <w:color w:val="auto"/>
          <w:highlight w:val="none"/>
          <w:lang w:val="en-US" w:eastAsia="zh-CN"/>
        </w:rPr>
        <w:t>（8）本地具备维护人员和配件库；【提供重庆市内内房屋租赁合同或产权证明】</w:t>
      </w:r>
    </w:p>
    <w:p w14:paraId="63EDFA3C">
      <w:pPr>
        <w:bidi w:val="0"/>
        <w:rPr>
          <w:color w:val="auto"/>
          <w:highlight w:val="none"/>
        </w:rPr>
      </w:pPr>
      <w:r>
        <w:rPr>
          <w:rFonts w:hint="eastAsia"/>
          <w:color w:val="auto"/>
          <w:highlight w:val="none"/>
          <w:lang w:val="en-US" w:eastAsia="zh-CN"/>
        </w:rPr>
        <w:t>（9）</w:t>
      </w:r>
      <w:r>
        <w:rPr>
          <w:rFonts w:hint="eastAsia"/>
          <w:color w:val="auto"/>
          <w:highlight w:val="none"/>
          <w:lang w:eastAsia="zh-CN"/>
        </w:rPr>
        <w:t>投标人</w:t>
      </w:r>
      <w:r>
        <w:rPr>
          <w:rFonts w:hint="eastAsia"/>
          <w:color w:val="auto"/>
          <w:highlight w:val="none"/>
          <w:lang w:val="en-US" w:eastAsia="zh-CN"/>
        </w:rPr>
        <w:t>还应在</w:t>
      </w:r>
      <w:r>
        <w:rPr>
          <w:color w:val="auto"/>
          <w:highlight w:val="none"/>
        </w:rPr>
        <w:t>人员、设备、资金等方面具有相应的</w:t>
      </w:r>
      <w:r>
        <w:rPr>
          <w:rFonts w:hint="eastAsia"/>
          <w:color w:val="auto"/>
          <w:highlight w:val="none"/>
          <w:lang w:val="en-US" w:eastAsia="zh-CN"/>
        </w:rPr>
        <w:t>供货</w:t>
      </w:r>
      <w:r>
        <w:rPr>
          <w:color w:val="auto"/>
          <w:highlight w:val="none"/>
        </w:rPr>
        <w:t>能力</w:t>
      </w:r>
      <w:r>
        <w:rPr>
          <w:rFonts w:hint="eastAsia"/>
          <w:color w:val="auto"/>
          <w:highlight w:val="none"/>
          <w:lang w:val="en-US" w:eastAsia="zh-CN"/>
        </w:rPr>
        <w:t>。【提供书面声明】</w:t>
      </w:r>
    </w:p>
    <w:p w14:paraId="4D89C717">
      <w:pPr>
        <w:bidi w:val="0"/>
        <w:rPr>
          <w:rFonts w:hint="eastAsia"/>
          <w:color w:val="auto"/>
          <w:highlight w:val="none"/>
          <w:lang w:val="en-US" w:eastAsia="zh-CN"/>
        </w:rPr>
      </w:pPr>
      <w:r>
        <w:rPr>
          <w:rFonts w:hint="eastAsia"/>
          <w:color w:val="auto"/>
          <w:highlight w:val="none"/>
          <w:lang w:val="en-US" w:eastAsia="zh-CN"/>
        </w:rPr>
        <w:t>注：一个制造商对同一品牌同一型号的货物，仅能委托一个代理商参加投标。</w:t>
      </w:r>
    </w:p>
    <w:p w14:paraId="3FD8AB25">
      <w:pPr>
        <w:bidi w:val="0"/>
        <w:rPr>
          <w:rFonts w:hint="eastAsia"/>
          <w:color w:val="auto"/>
          <w:highlight w:val="none"/>
          <w:lang w:eastAsia="zh-CN"/>
        </w:rPr>
      </w:pPr>
      <w:r>
        <w:rPr>
          <w:rFonts w:hint="eastAsia"/>
          <w:color w:val="auto"/>
          <w:highlight w:val="none"/>
          <w:lang w:eastAsia="zh-CN"/>
        </w:rPr>
        <w:t>3.</w:t>
      </w:r>
      <w:r>
        <w:rPr>
          <w:rFonts w:hint="eastAsia"/>
          <w:color w:val="auto"/>
          <w:highlight w:val="none"/>
          <w:lang w:val="en-US" w:eastAsia="zh-CN"/>
        </w:rPr>
        <w:t>2</w:t>
      </w:r>
      <w:r>
        <w:rPr>
          <w:rFonts w:hint="eastAsia"/>
          <w:color w:val="auto"/>
          <w:highlight w:val="none"/>
          <w:lang w:eastAsia="zh-CN"/>
        </w:rPr>
        <w:t xml:space="preserve"> 本次招标</w:t>
      </w:r>
      <w:r>
        <w:rPr>
          <w:rFonts w:hint="eastAsia"/>
          <w:color w:val="auto"/>
          <w:highlight w:val="none"/>
          <w:lang w:val="en-US" w:eastAsia="zh-CN"/>
        </w:rPr>
        <w:t>□</w:t>
      </w:r>
      <w:r>
        <w:rPr>
          <w:rFonts w:hint="eastAsia"/>
          <w:color w:val="auto"/>
          <w:highlight w:val="none"/>
          <w:lang w:eastAsia="zh-CN"/>
        </w:rPr>
        <w:t>接受</w:t>
      </w:r>
      <w:r>
        <w:rPr>
          <w:rFonts w:hint="eastAsia"/>
          <w:color w:val="auto"/>
          <w:highlight w:val="none"/>
          <w:lang w:val="en-US" w:eastAsia="zh-CN"/>
        </w:rPr>
        <w:t>☑不</w:t>
      </w:r>
      <w:r>
        <w:rPr>
          <w:rFonts w:hint="eastAsia"/>
          <w:color w:val="auto"/>
          <w:highlight w:val="none"/>
          <w:lang w:eastAsia="zh-CN"/>
        </w:rPr>
        <w:t>接受联合体投标。</w:t>
      </w:r>
    </w:p>
    <w:p w14:paraId="159A24A7">
      <w:pPr>
        <w:bidi w:val="0"/>
        <w:rPr>
          <w:color w:val="auto"/>
          <w:highlight w:val="none"/>
        </w:rPr>
      </w:pPr>
      <w:r>
        <w:rPr>
          <w:rFonts w:hint="eastAsia"/>
          <w:color w:val="auto"/>
          <w:highlight w:val="none"/>
        </w:rPr>
        <w:t>注:以上证明文件若</w:t>
      </w:r>
      <w:r>
        <w:rPr>
          <w:rFonts w:hint="eastAsia"/>
          <w:color w:val="auto"/>
          <w:highlight w:val="none"/>
          <w:lang w:eastAsia="zh-CN"/>
        </w:rPr>
        <w:t>招标</w:t>
      </w:r>
      <w:r>
        <w:rPr>
          <w:rFonts w:hint="eastAsia"/>
          <w:color w:val="auto"/>
          <w:highlight w:val="none"/>
        </w:rPr>
        <w:t>人存疑，</w:t>
      </w:r>
      <w:r>
        <w:rPr>
          <w:rFonts w:hint="eastAsia"/>
          <w:color w:val="auto"/>
          <w:highlight w:val="none"/>
          <w:lang w:eastAsia="zh-CN"/>
        </w:rPr>
        <w:t>投标</w:t>
      </w:r>
      <w:r>
        <w:rPr>
          <w:rFonts w:hint="eastAsia"/>
          <w:color w:val="auto"/>
          <w:highlight w:val="none"/>
        </w:rPr>
        <w:t>人需提供原件备查，</w:t>
      </w:r>
      <w:r>
        <w:rPr>
          <w:rFonts w:hint="eastAsia"/>
          <w:color w:val="auto"/>
          <w:highlight w:val="none"/>
          <w:lang w:eastAsia="zh-CN"/>
        </w:rPr>
        <w:t>投标</w:t>
      </w:r>
      <w:r>
        <w:rPr>
          <w:rFonts w:hint="eastAsia"/>
          <w:color w:val="auto"/>
          <w:highlight w:val="none"/>
        </w:rPr>
        <w:t>文件中须附相关证明文件复印件并逐页加盖公章。</w:t>
      </w:r>
    </w:p>
    <w:p w14:paraId="1829F0EC">
      <w:pPr>
        <w:bidi w:val="0"/>
        <w:rPr>
          <w:color w:val="auto"/>
          <w:highlight w:val="none"/>
        </w:rPr>
      </w:pPr>
      <w:r>
        <w:rPr>
          <w:rFonts w:hint="eastAsia"/>
          <w:color w:val="auto"/>
          <w:highlight w:val="none"/>
        </w:rPr>
        <w:t>本次</w:t>
      </w:r>
      <w:r>
        <w:rPr>
          <w:rFonts w:hint="eastAsia"/>
          <w:color w:val="auto"/>
          <w:highlight w:val="none"/>
          <w:lang w:eastAsia="zh-CN"/>
        </w:rPr>
        <w:t>招标</w:t>
      </w:r>
      <w:r>
        <w:rPr>
          <w:rFonts w:hint="eastAsia"/>
          <w:color w:val="auto"/>
          <w:highlight w:val="none"/>
        </w:rPr>
        <w:t>不接受曾因</w:t>
      </w:r>
      <w:r>
        <w:rPr>
          <w:rFonts w:hint="eastAsia"/>
          <w:color w:val="auto"/>
          <w:highlight w:val="none"/>
          <w:lang w:eastAsia="zh-CN"/>
        </w:rPr>
        <w:t>投标</w:t>
      </w:r>
      <w:r>
        <w:rPr>
          <w:rFonts w:hint="eastAsia"/>
          <w:color w:val="auto"/>
          <w:highlight w:val="none"/>
        </w:rPr>
        <w:t>人的违约行为与</w:t>
      </w:r>
      <w:r>
        <w:rPr>
          <w:rFonts w:hint="eastAsia"/>
          <w:color w:val="auto"/>
          <w:highlight w:val="none"/>
          <w:lang w:eastAsia="zh-CN"/>
        </w:rPr>
        <w:t>招标</w:t>
      </w:r>
      <w:r>
        <w:rPr>
          <w:rFonts w:hint="eastAsia"/>
          <w:color w:val="auto"/>
          <w:highlight w:val="none"/>
        </w:rPr>
        <w:t>人发生过纠纷的</w:t>
      </w:r>
      <w:r>
        <w:rPr>
          <w:rFonts w:hint="eastAsia"/>
          <w:color w:val="auto"/>
          <w:highlight w:val="none"/>
          <w:lang w:eastAsia="zh-CN"/>
        </w:rPr>
        <w:t>投标</w:t>
      </w:r>
      <w:r>
        <w:rPr>
          <w:rFonts w:hint="eastAsia"/>
          <w:color w:val="auto"/>
          <w:highlight w:val="none"/>
        </w:rPr>
        <w:t>人；</w:t>
      </w:r>
      <w:r>
        <w:rPr>
          <w:color w:val="auto"/>
          <w:highlight w:val="none"/>
        </w:rPr>
        <w:t>不接受</w:t>
      </w:r>
      <w:r>
        <w:rPr>
          <w:rFonts w:hint="eastAsia"/>
          <w:color w:val="auto"/>
          <w:highlight w:val="none"/>
        </w:rPr>
        <w:t>与</w:t>
      </w:r>
      <w:r>
        <w:rPr>
          <w:rFonts w:hint="eastAsia"/>
          <w:color w:val="auto"/>
          <w:highlight w:val="none"/>
          <w:lang w:eastAsia="zh-CN"/>
        </w:rPr>
        <w:t>招标</w:t>
      </w:r>
      <w:r>
        <w:rPr>
          <w:rFonts w:hint="eastAsia"/>
          <w:color w:val="auto"/>
          <w:highlight w:val="none"/>
        </w:rPr>
        <w:t>人合作过程中不遵守</w:t>
      </w:r>
      <w:r>
        <w:rPr>
          <w:rFonts w:hint="eastAsia"/>
          <w:color w:val="auto"/>
          <w:highlight w:val="none"/>
          <w:lang w:eastAsia="zh-CN"/>
        </w:rPr>
        <w:t>招标</w:t>
      </w:r>
      <w:r>
        <w:rPr>
          <w:rFonts w:hint="eastAsia"/>
          <w:color w:val="auto"/>
          <w:highlight w:val="none"/>
        </w:rPr>
        <w:t>文件及合同约定的</w:t>
      </w:r>
      <w:r>
        <w:rPr>
          <w:rFonts w:hint="eastAsia"/>
          <w:color w:val="auto"/>
          <w:highlight w:val="none"/>
          <w:lang w:eastAsia="zh-CN"/>
        </w:rPr>
        <w:t>投标</w:t>
      </w:r>
      <w:r>
        <w:rPr>
          <w:color w:val="auto"/>
          <w:highlight w:val="none"/>
        </w:rPr>
        <w:t>人</w:t>
      </w:r>
      <w:r>
        <w:rPr>
          <w:rFonts w:hint="eastAsia"/>
          <w:color w:val="auto"/>
          <w:highlight w:val="none"/>
        </w:rPr>
        <w:t>；</w:t>
      </w:r>
      <w:r>
        <w:rPr>
          <w:color w:val="auto"/>
          <w:highlight w:val="none"/>
        </w:rPr>
        <w:t>不接受</w:t>
      </w:r>
      <w:r>
        <w:rPr>
          <w:rFonts w:hint="eastAsia"/>
          <w:color w:val="auto"/>
          <w:highlight w:val="none"/>
        </w:rPr>
        <w:t>曾在</w:t>
      </w:r>
      <w:r>
        <w:rPr>
          <w:rFonts w:hint="eastAsia"/>
          <w:color w:val="auto"/>
          <w:highlight w:val="none"/>
          <w:lang w:eastAsia="zh-CN"/>
        </w:rPr>
        <w:t>招标</w:t>
      </w:r>
      <w:r>
        <w:rPr>
          <w:color w:val="auto"/>
          <w:highlight w:val="none"/>
        </w:rPr>
        <w:t>人</w:t>
      </w:r>
      <w:r>
        <w:rPr>
          <w:rFonts w:hint="eastAsia"/>
          <w:color w:val="auto"/>
          <w:highlight w:val="none"/>
        </w:rPr>
        <w:t>项目</w:t>
      </w:r>
      <w:r>
        <w:rPr>
          <w:color w:val="auto"/>
          <w:highlight w:val="none"/>
        </w:rPr>
        <w:t>中存在</w:t>
      </w:r>
      <w:r>
        <w:rPr>
          <w:rFonts w:hint="eastAsia"/>
          <w:color w:val="auto"/>
          <w:highlight w:val="none"/>
        </w:rPr>
        <w:t>弄虚作假行为的</w:t>
      </w:r>
      <w:r>
        <w:rPr>
          <w:rFonts w:hint="eastAsia"/>
          <w:color w:val="auto"/>
          <w:highlight w:val="none"/>
          <w:lang w:eastAsia="zh-CN"/>
        </w:rPr>
        <w:t>投标</w:t>
      </w:r>
      <w:r>
        <w:rPr>
          <w:color w:val="auto"/>
          <w:highlight w:val="none"/>
        </w:rPr>
        <w:t>人。若</w:t>
      </w:r>
      <w:r>
        <w:rPr>
          <w:rFonts w:hint="eastAsia"/>
          <w:color w:val="auto"/>
          <w:highlight w:val="none"/>
          <w:lang w:val="en-US" w:eastAsia="zh-CN"/>
        </w:rPr>
        <w:t>招标人在签订合同前后发现</w:t>
      </w:r>
      <w:r>
        <w:rPr>
          <w:rFonts w:hint="eastAsia"/>
          <w:color w:val="auto"/>
          <w:highlight w:val="none"/>
          <w:lang w:eastAsia="zh-CN"/>
        </w:rPr>
        <w:t>投标</w:t>
      </w:r>
      <w:r>
        <w:rPr>
          <w:rFonts w:hint="eastAsia"/>
          <w:color w:val="auto"/>
          <w:highlight w:val="none"/>
        </w:rPr>
        <w:t>人</w:t>
      </w:r>
      <w:r>
        <w:rPr>
          <w:color w:val="auto"/>
          <w:highlight w:val="none"/>
        </w:rPr>
        <w:t>存在上述情况，</w:t>
      </w:r>
      <w:r>
        <w:rPr>
          <w:rFonts w:hint="eastAsia"/>
          <w:color w:val="auto"/>
          <w:highlight w:val="none"/>
          <w:lang w:eastAsia="zh-CN"/>
        </w:rPr>
        <w:t>招标</w:t>
      </w:r>
      <w:r>
        <w:rPr>
          <w:color w:val="auto"/>
          <w:highlight w:val="none"/>
        </w:rPr>
        <w:t>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w:t>
      </w:r>
      <w:r>
        <w:rPr>
          <w:rFonts w:hint="eastAsia"/>
          <w:color w:val="auto"/>
          <w:highlight w:val="none"/>
          <w:lang w:eastAsia="zh-CN"/>
        </w:rPr>
        <w:t>中标</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lang w:eastAsia="zh-CN"/>
        </w:rPr>
        <w:t>投标</w:t>
      </w:r>
      <w:r>
        <w:rPr>
          <w:color w:val="auto"/>
          <w:highlight w:val="none"/>
        </w:rPr>
        <w:t>保证金，并追究其相应的法律责任。</w:t>
      </w:r>
    </w:p>
    <w:p w14:paraId="209108E7">
      <w:pPr>
        <w:pStyle w:val="3"/>
        <w:bidi w:val="0"/>
        <w:rPr>
          <w:color w:val="auto"/>
          <w:highlight w:val="none"/>
        </w:rPr>
      </w:pPr>
      <w:bookmarkStart w:id="33" w:name="_Toc9560"/>
      <w:bookmarkStart w:id="34" w:name="_Toc19369"/>
      <w:bookmarkStart w:id="35" w:name="_Toc25277"/>
      <w:bookmarkStart w:id="36" w:name="_Toc8798"/>
      <w:bookmarkStart w:id="37" w:name="_Toc492300549"/>
      <w:r>
        <w:rPr>
          <w:color w:val="auto"/>
          <w:highlight w:val="none"/>
        </w:rPr>
        <w:t xml:space="preserve">4. </w:t>
      </w:r>
      <w:r>
        <w:rPr>
          <w:rFonts w:hint="eastAsia"/>
          <w:color w:val="auto"/>
          <w:highlight w:val="none"/>
          <w:lang w:eastAsia="zh-CN"/>
        </w:rPr>
        <w:t>招标</w:t>
      </w:r>
      <w:r>
        <w:rPr>
          <w:rFonts w:hint="eastAsia"/>
          <w:color w:val="auto"/>
          <w:highlight w:val="none"/>
        </w:rPr>
        <w:t>文件的获取</w:t>
      </w:r>
      <w:bookmarkEnd w:id="33"/>
      <w:bookmarkEnd w:id="34"/>
      <w:bookmarkEnd w:id="35"/>
      <w:bookmarkEnd w:id="36"/>
      <w:bookmarkEnd w:id="37"/>
    </w:p>
    <w:p w14:paraId="267B5686">
      <w:pPr>
        <w:bidi w:val="0"/>
        <w:rPr>
          <w:rFonts w:hint="eastAsia"/>
          <w:color w:val="auto"/>
          <w:highlight w:val="none"/>
        </w:rPr>
      </w:pPr>
      <w:r>
        <w:rPr>
          <w:rFonts w:hint="eastAsia"/>
          <w:color w:val="auto"/>
          <w:highlight w:val="none"/>
          <w:lang w:val="en-US" w:eastAsia="zh-CN"/>
        </w:rPr>
        <w:t xml:space="preserve">4.1 </w:t>
      </w:r>
      <w:r>
        <w:rPr>
          <w:rFonts w:hint="eastAsia"/>
          <w:color w:val="auto"/>
          <w:highlight w:val="none"/>
        </w:rPr>
        <w:t>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9</w:t>
      </w:r>
      <w:r>
        <w:rPr>
          <w:rFonts w:hint="eastAsia"/>
          <w:color w:val="auto"/>
          <w:highlight w:val="none"/>
        </w:rPr>
        <w:t>月</w:t>
      </w:r>
      <w:r>
        <w:rPr>
          <w:rFonts w:hint="eastAsia"/>
          <w:color w:val="auto"/>
          <w:highlight w:val="none"/>
          <w:u w:val="single"/>
          <w:lang w:val="en-US" w:eastAsia="zh-CN"/>
        </w:rPr>
        <w:t>11</w:t>
      </w:r>
      <w:r>
        <w:rPr>
          <w:rFonts w:hint="eastAsia"/>
          <w:color w:val="auto"/>
          <w:highlight w:val="none"/>
        </w:rPr>
        <w:t>日到</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8</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分（北京时间），在重庆市公共资源交易网（www.cqggzy.com）下载</w:t>
      </w:r>
      <w:r>
        <w:rPr>
          <w:rFonts w:hint="eastAsia"/>
          <w:color w:val="auto"/>
          <w:highlight w:val="none"/>
          <w:lang w:eastAsia="zh-CN"/>
        </w:rPr>
        <w:t>招标</w:t>
      </w:r>
      <w:r>
        <w:rPr>
          <w:rFonts w:hint="eastAsia"/>
          <w:color w:val="auto"/>
          <w:highlight w:val="none"/>
        </w:rPr>
        <w:t>文件。</w:t>
      </w:r>
    </w:p>
    <w:p w14:paraId="31759EDE">
      <w:pPr>
        <w:bidi w:val="0"/>
        <w:rPr>
          <w:rFonts w:hint="eastAsia"/>
          <w:color w:val="auto"/>
          <w:highlight w:val="none"/>
        </w:rPr>
      </w:pPr>
      <w:r>
        <w:rPr>
          <w:rFonts w:hint="eastAsia"/>
          <w:color w:val="auto"/>
          <w:highlight w:val="none"/>
          <w:lang w:val="en-US" w:eastAsia="zh-CN"/>
        </w:rPr>
        <w:t xml:space="preserve">4.2 </w:t>
      </w:r>
      <w:r>
        <w:rPr>
          <w:rFonts w:hint="eastAsia"/>
          <w:color w:val="auto"/>
          <w:highlight w:val="none"/>
          <w:lang w:eastAsia="zh-CN"/>
        </w:rPr>
        <w:t>投标</w:t>
      </w:r>
      <w:r>
        <w:rPr>
          <w:rFonts w:hint="eastAsia"/>
          <w:color w:val="auto"/>
          <w:highlight w:val="none"/>
        </w:rPr>
        <w:t>人在下载</w:t>
      </w:r>
      <w:r>
        <w:rPr>
          <w:rFonts w:hint="eastAsia"/>
          <w:color w:val="auto"/>
          <w:highlight w:val="none"/>
          <w:lang w:eastAsia="zh-CN"/>
        </w:rPr>
        <w:t>招标</w:t>
      </w:r>
      <w:r>
        <w:rPr>
          <w:rFonts w:hint="eastAsia"/>
          <w:color w:val="auto"/>
          <w:highlight w:val="none"/>
        </w:rPr>
        <w:t>文件后，应仔细检查</w:t>
      </w:r>
      <w:r>
        <w:rPr>
          <w:rFonts w:hint="eastAsia"/>
          <w:color w:val="auto"/>
          <w:highlight w:val="none"/>
          <w:lang w:eastAsia="zh-CN"/>
        </w:rPr>
        <w:t>招标</w:t>
      </w:r>
      <w:r>
        <w:rPr>
          <w:rFonts w:hint="eastAsia"/>
          <w:color w:val="auto"/>
          <w:highlight w:val="none"/>
        </w:rPr>
        <w:t>文件的所有内容，如有残缺或文字表述不清，以及存在错、碰、漏、缺、概念模糊和有可能出现歧义或理解上的偏差的内容等应在</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9</w:t>
      </w:r>
      <w:r>
        <w:rPr>
          <w:rFonts w:hint="eastAsia"/>
          <w:color w:val="auto"/>
          <w:highlight w:val="none"/>
        </w:rPr>
        <w:t>月</w:t>
      </w:r>
      <w:r>
        <w:rPr>
          <w:rFonts w:hint="eastAsia"/>
          <w:color w:val="auto"/>
          <w:highlight w:val="none"/>
          <w:u w:val="single"/>
          <w:lang w:val="en-US" w:eastAsia="zh-CN"/>
        </w:rPr>
        <w:t>16</w:t>
      </w:r>
      <w:r>
        <w:rPr>
          <w:rFonts w:hint="eastAsia"/>
          <w:color w:val="auto"/>
          <w:highlight w:val="none"/>
        </w:rPr>
        <w:t>日</w:t>
      </w:r>
      <w:r>
        <w:rPr>
          <w:rFonts w:hint="eastAsia"/>
          <w:color w:val="auto"/>
          <w:highlight w:val="none"/>
          <w:u w:val="single"/>
          <w:lang w:val="en-US" w:eastAsia="zh-CN"/>
        </w:rPr>
        <w:t>17</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分（北京时间）前自行在重庆市公共资源交易网（http://www.cqggzy.com/）</w:t>
      </w:r>
      <w:r>
        <w:rPr>
          <w:rFonts w:hint="eastAsia"/>
          <w:color w:val="auto"/>
          <w:highlight w:val="none"/>
          <w:lang w:eastAsia="zh-CN"/>
        </w:rPr>
        <w:t>招标</w:t>
      </w:r>
      <w:r>
        <w:rPr>
          <w:rFonts w:hint="eastAsia"/>
          <w:color w:val="auto"/>
          <w:highlight w:val="none"/>
        </w:rPr>
        <w:t>公告的“我要提问”栏目匿名提出。</w:t>
      </w:r>
      <w:r>
        <w:rPr>
          <w:rFonts w:hint="eastAsia"/>
          <w:color w:val="auto"/>
          <w:highlight w:val="none"/>
          <w:lang w:eastAsia="zh-CN"/>
        </w:rPr>
        <w:t>投标</w:t>
      </w:r>
      <w:r>
        <w:rPr>
          <w:rFonts w:hint="eastAsia"/>
          <w:color w:val="auto"/>
          <w:highlight w:val="none"/>
        </w:rPr>
        <w:t>人未提出，则视为</w:t>
      </w:r>
      <w:r>
        <w:rPr>
          <w:rFonts w:hint="eastAsia"/>
          <w:color w:val="auto"/>
          <w:highlight w:val="none"/>
          <w:lang w:eastAsia="zh-CN"/>
        </w:rPr>
        <w:t>投标</w:t>
      </w:r>
      <w:r>
        <w:rPr>
          <w:rFonts w:hint="eastAsia"/>
          <w:color w:val="auto"/>
          <w:highlight w:val="none"/>
        </w:rPr>
        <w:t>人已全面确认</w:t>
      </w:r>
      <w:r>
        <w:rPr>
          <w:rFonts w:hint="eastAsia"/>
          <w:color w:val="auto"/>
          <w:highlight w:val="none"/>
          <w:lang w:eastAsia="zh-CN"/>
        </w:rPr>
        <w:t>招标</w:t>
      </w:r>
      <w:r>
        <w:rPr>
          <w:rFonts w:hint="eastAsia"/>
          <w:color w:val="auto"/>
          <w:highlight w:val="none"/>
        </w:rPr>
        <w:t>文件内容。</w:t>
      </w:r>
    </w:p>
    <w:p w14:paraId="481E439E">
      <w:pPr>
        <w:bidi w:val="0"/>
        <w:rPr>
          <w:rFonts w:hint="eastAsia"/>
          <w:color w:val="auto"/>
          <w:highlight w:val="none"/>
          <w:lang w:eastAsia="zh-CN"/>
        </w:rPr>
      </w:pPr>
      <w:r>
        <w:rPr>
          <w:rFonts w:hint="eastAsia"/>
          <w:color w:val="auto"/>
          <w:highlight w:val="none"/>
          <w:lang w:val="en-US" w:eastAsia="zh-CN"/>
        </w:rPr>
        <w:t xml:space="preserve">4.3 </w:t>
      </w:r>
      <w:r>
        <w:rPr>
          <w:rFonts w:hint="eastAsia"/>
          <w:color w:val="auto"/>
          <w:highlight w:val="none"/>
          <w:lang w:eastAsia="zh-CN"/>
        </w:rPr>
        <w:t>招标</w:t>
      </w:r>
      <w:r>
        <w:rPr>
          <w:rFonts w:hint="eastAsia"/>
          <w:color w:val="auto"/>
          <w:highlight w:val="none"/>
        </w:rPr>
        <w:t>人在认为有必要对</w:t>
      </w:r>
      <w:r>
        <w:rPr>
          <w:rFonts w:hint="eastAsia"/>
          <w:color w:val="auto"/>
          <w:highlight w:val="none"/>
          <w:lang w:eastAsia="zh-CN"/>
        </w:rPr>
        <w:t>投标</w:t>
      </w:r>
      <w:r>
        <w:rPr>
          <w:rFonts w:hint="eastAsia"/>
          <w:color w:val="auto"/>
          <w:highlight w:val="none"/>
        </w:rPr>
        <w:t>人所提问题进行答复或对</w:t>
      </w:r>
      <w:r>
        <w:rPr>
          <w:rFonts w:hint="eastAsia"/>
          <w:color w:val="auto"/>
          <w:highlight w:val="none"/>
          <w:lang w:eastAsia="zh-CN"/>
        </w:rPr>
        <w:t>招标</w:t>
      </w:r>
      <w:r>
        <w:rPr>
          <w:rFonts w:hint="eastAsia"/>
          <w:color w:val="auto"/>
          <w:highlight w:val="none"/>
        </w:rPr>
        <w:t>文件进行补充时，将于2024年</w:t>
      </w:r>
      <w:r>
        <w:rPr>
          <w:rFonts w:hint="eastAsia"/>
          <w:color w:val="auto"/>
          <w:highlight w:val="none"/>
          <w:u w:val="single"/>
          <w:lang w:val="en-US" w:eastAsia="zh-CN"/>
        </w:rPr>
        <w:t>9</w:t>
      </w:r>
      <w:r>
        <w:rPr>
          <w:rFonts w:hint="eastAsia"/>
          <w:color w:val="auto"/>
          <w:highlight w:val="none"/>
        </w:rPr>
        <w:t>月</w:t>
      </w:r>
      <w:r>
        <w:rPr>
          <w:rFonts w:hint="eastAsia"/>
          <w:color w:val="auto"/>
          <w:highlight w:val="none"/>
          <w:u w:val="single"/>
          <w:lang w:val="en-US" w:eastAsia="zh-CN"/>
        </w:rPr>
        <w:t>21</w:t>
      </w:r>
      <w:r>
        <w:rPr>
          <w:rFonts w:hint="eastAsia"/>
          <w:color w:val="auto"/>
          <w:highlight w:val="none"/>
        </w:rPr>
        <w:t>日17时00分（北京时间）前在《重庆市公共资源交易网（www.cqggzy.com）》“答疑补遗”栏上发布答疑补遗文件。不论</w:t>
      </w:r>
      <w:r>
        <w:rPr>
          <w:rFonts w:hint="eastAsia"/>
          <w:color w:val="auto"/>
          <w:highlight w:val="none"/>
          <w:lang w:eastAsia="zh-CN"/>
        </w:rPr>
        <w:t>投标</w:t>
      </w:r>
      <w:r>
        <w:rPr>
          <w:rFonts w:hint="eastAsia"/>
          <w:color w:val="auto"/>
          <w:highlight w:val="none"/>
        </w:rPr>
        <w:t>人下载与否，都视为</w:t>
      </w:r>
      <w:r>
        <w:rPr>
          <w:rFonts w:hint="eastAsia"/>
          <w:color w:val="auto"/>
          <w:highlight w:val="none"/>
          <w:lang w:eastAsia="zh-CN"/>
        </w:rPr>
        <w:t>投标</w:t>
      </w:r>
      <w:r>
        <w:rPr>
          <w:rFonts w:hint="eastAsia"/>
          <w:color w:val="auto"/>
          <w:highlight w:val="none"/>
        </w:rPr>
        <w:t>人收到有关本项目在《重庆市公共资源交易网（www.cqggzy.com）》上发布的所有资料并全部知晓有关</w:t>
      </w:r>
      <w:r>
        <w:rPr>
          <w:rFonts w:hint="eastAsia"/>
          <w:color w:val="auto"/>
          <w:highlight w:val="none"/>
          <w:lang w:eastAsia="zh-CN"/>
        </w:rPr>
        <w:t>招标</w:t>
      </w:r>
      <w:r>
        <w:rPr>
          <w:rFonts w:hint="eastAsia"/>
          <w:color w:val="auto"/>
          <w:highlight w:val="none"/>
        </w:rPr>
        <w:t>过程和事宜，由此产生的一切后果由</w:t>
      </w:r>
      <w:r>
        <w:rPr>
          <w:rFonts w:hint="eastAsia"/>
          <w:color w:val="auto"/>
          <w:highlight w:val="none"/>
          <w:lang w:eastAsia="zh-CN"/>
        </w:rPr>
        <w:t>投标</w:t>
      </w:r>
      <w:r>
        <w:rPr>
          <w:rFonts w:hint="eastAsia"/>
          <w:color w:val="auto"/>
          <w:highlight w:val="none"/>
        </w:rPr>
        <w:t>人自负。</w:t>
      </w:r>
    </w:p>
    <w:p w14:paraId="2C07DF34">
      <w:pPr>
        <w:bidi w:val="0"/>
        <w:rPr>
          <w:rFonts w:hint="eastAsia"/>
          <w:color w:val="auto"/>
          <w:highlight w:val="none"/>
          <w:lang w:eastAsia="zh-CN"/>
        </w:rPr>
      </w:pPr>
      <w:r>
        <w:rPr>
          <w:rFonts w:hint="eastAsia"/>
          <w:color w:val="auto"/>
          <w:highlight w:val="none"/>
          <w:lang w:eastAsia="zh-CN"/>
        </w:rPr>
        <w:t>4.</w:t>
      </w:r>
      <w:r>
        <w:rPr>
          <w:rFonts w:hint="eastAsia"/>
          <w:color w:val="auto"/>
          <w:highlight w:val="none"/>
          <w:lang w:val="en-US" w:eastAsia="zh-CN"/>
        </w:rPr>
        <w:t>4</w:t>
      </w:r>
      <w:r>
        <w:rPr>
          <w:rFonts w:hint="eastAsia"/>
          <w:color w:val="auto"/>
          <w:highlight w:val="none"/>
          <w:lang w:eastAsia="zh-CN"/>
        </w:rPr>
        <w:t xml:space="preserve"> 本招标项目参与投标的投标人需在重庆市公共资源交易网（www.cqggzy.com）完成市场主体信息登记。若投标人未及时完成市场主体信息登记</w:t>
      </w:r>
      <w:r>
        <w:rPr>
          <w:rFonts w:hint="eastAsia"/>
          <w:color w:val="auto"/>
          <w:highlight w:val="none"/>
          <w:lang w:val="en-US" w:eastAsia="zh-CN"/>
        </w:rPr>
        <w:t>将可能影响项目相关信息的查收</w:t>
      </w:r>
      <w:r>
        <w:rPr>
          <w:rFonts w:hint="eastAsia"/>
          <w:color w:val="auto"/>
          <w:highlight w:val="none"/>
          <w:lang w:eastAsia="zh-CN"/>
        </w:rPr>
        <w:t>，</w:t>
      </w:r>
      <w:r>
        <w:rPr>
          <w:rFonts w:hint="eastAsia"/>
          <w:color w:val="auto"/>
          <w:highlight w:val="none"/>
          <w:lang w:val="en-US" w:eastAsia="zh-CN"/>
        </w:rPr>
        <w:t>由此</w:t>
      </w:r>
      <w:r>
        <w:rPr>
          <w:rFonts w:hint="eastAsia"/>
          <w:color w:val="auto"/>
          <w:highlight w:val="none"/>
          <w:lang w:eastAsia="zh-CN"/>
        </w:rPr>
        <w:t>导致的</w:t>
      </w:r>
      <w:r>
        <w:rPr>
          <w:rFonts w:hint="eastAsia"/>
          <w:color w:val="auto"/>
          <w:highlight w:val="none"/>
          <w:lang w:val="en-US" w:eastAsia="zh-CN"/>
        </w:rPr>
        <w:t>情况，</w:t>
      </w:r>
      <w:r>
        <w:rPr>
          <w:rFonts w:hint="eastAsia"/>
          <w:color w:val="auto"/>
          <w:highlight w:val="none"/>
          <w:lang w:eastAsia="zh-CN"/>
        </w:rPr>
        <w:t>责任自负。</w:t>
      </w:r>
    </w:p>
    <w:p w14:paraId="4977A5C4">
      <w:pPr>
        <w:bidi w:val="0"/>
        <w:rPr>
          <w:rFonts w:hint="eastAsia"/>
          <w:color w:val="auto"/>
          <w:highlight w:val="none"/>
          <w:lang w:val="en-US" w:eastAsia="zh-CN"/>
        </w:rPr>
      </w:pPr>
      <w:r>
        <w:rPr>
          <w:rFonts w:hint="eastAsia"/>
          <w:color w:val="auto"/>
          <w:highlight w:val="none"/>
          <w:lang w:val="en-US" w:eastAsia="zh-CN"/>
        </w:rPr>
        <w:t>市场主体信息登记网址：www.cqggzy.com/TPBidder/memberLogin；咨询电话：023-63628080（转1）</w:t>
      </w:r>
    </w:p>
    <w:p w14:paraId="03CFE847">
      <w:pPr>
        <w:pStyle w:val="3"/>
        <w:bidi w:val="0"/>
        <w:rPr>
          <w:color w:val="auto"/>
          <w:highlight w:val="none"/>
        </w:rPr>
      </w:pPr>
      <w:bookmarkStart w:id="38" w:name="_Toc492300550"/>
      <w:bookmarkStart w:id="39" w:name="_Toc15122"/>
      <w:bookmarkStart w:id="40" w:name="_Toc17232"/>
      <w:bookmarkStart w:id="41" w:name="_Toc20622"/>
      <w:bookmarkStart w:id="42" w:name="_Toc25861"/>
      <w:r>
        <w:rPr>
          <w:color w:val="auto"/>
          <w:highlight w:val="none"/>
        </w:rPr>
        <w:t xml:space="preserve">5. </w:t>
      </w:r>
      <w:r>
        <w:rPr>
          <w:rFonts w:hint="eastAsia"/>
          <w:color w:val="auto"/>
          <w:highlight w:val="none"/>
          <w:lang w:eastAsia="zh-CN"/>
        </w:rPr>
        <w:t>投标文件</w:t>
      </w:r>
      <w:r>
        <w:rPr>
          <w:rFonts w:hint="eastAsia"/>
          <w:color w:val="auto"/>
          <w:highlight w:val="none"/>
        </w:rPr>
        <w:t>的递交</w:t>
      </w:r>
      <w:bookmarkEnd w:id="38"/>
      <w:bookmarkEnd w:id="39"/>
      <w:bookmarkEnd w:id="40"/>
      <w:bookmarkEnd w:id="41"/>
      <w:bookmarkEnd w:id="42"/>
    </w:p>
    <w:p w14:paraId="2C5B80A2">
      <w:pPr>
        <w:bidi w:val="0"/>
        <w:rPr>
          <w:color w:val="auto"/>
          <w:highlight w:val="none"/>
          <w:lang w:val="en-US" w:eastAsia="zh-CN"/>
        </w:rPr>
      </w:pPr>
      <w:r>
        <w:rPr>
          <w:rFonts w:hint="eastAsia"/>
          <w:color w:val="auto"/>
          <w:highlight w:val="none"/>
          <w:lang w:val="en-US" w:eastAsia="zh-CN"/>
        </w:rPr>
        <w:t>5.1 投标截止时间：</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8</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4F6A7C1B">
      <w:pPr>
        <w:bidi w:val="0"/>
        <w:rPr>
          <w:color w:val="auto"/>
          <w:highlight w:val="none"/>
        </w:rPr>
      </w:pPr>
      <w:r>
        <w:rPr>
          <w:rFonts w:hint="eastAsia"/>
          <w:color w:val="auto"/>
          <w:highlight w:val="none"/>
          <w:lang w:val="en-US" w:eastAsia="zh-CN"/>
        </w:rPr>
        <w:t xml:space="preserve">5.1 </w:t>
      </w:r>
      <w:r>
        <w:rPr>
          <w:rFonts w:hint="eastAsia"/>
          <w:color w:val="auto"/>
          <w:highlight w:val="none"/>
        </w:rPr>
        <w:t>投标文件现场递交的开始时间为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8</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分(北京时间)。递交截止时</w:t>
      </w:r>
      <w:r>
        <w:rPr>
          <w:rFonts w:hint="eastAsia"/>
          <w:color w:val="auto"/>
          <w:highlight w:val="none"/>
          <w:u w:val="none"/>
        </w:rPr>
        <w:t>间</w:t>
      </w:r>
      <w:r>
        <w:rPr>
          <w:rFonts w:hint="eastAsia"/>
          <w:color w:val="auto"/>
          <w:highlight w:val="none"/>
          <w:u w:val="none"/>
          <w:lang w:val="en-US" w:eastAsia="zh-CN"/>
        </w:rPr>
        <w:t>同投标截止时间</w:t>
      </w:r>
      <w:r>
        <w:rPr>
          <w:rFonts w:hint="eastAsia"/>
          <w:color w:val="auto"/>
          <w:highlight w:val="none"/>
        </w:rPr>
        <w:t>。</w:t>
      </w:r>
    </w:p>
    <w:p w14:paraId="2636021A">
      <w:pPr>
        <w:bidi w:val="0"/>
        <w:rPr>
          <w:color w:val="auto"/>
          <w:highlight w:val="none"/>
        </w:rPr>
      </w:pPr>
      <w:r>
        <w:rPr>
          <w:rFonts w:hint="eastAsia"/>
          <w:color w:val="auto"/>
          <w:highlight w:val="none"/>
          <w:lang w:val="en-US" w:eastAsia="zh-CN"/>
        </w:rPr>
        <w:t xml:space="preserve">5.2 </w:t>
      </w:r>
      <w:r>
        <w:rPr>
          <w:rFonts w:hint="eastAsia"/>
          <w:color w:val="auto"/>
          <w:highlight w:val="none"/>
        </w:rPr>
        <w:t>递交地点为重庆市</w:t>
      </w:r>
      <w:r>
        <w:rPr>
          <w:rFonts w:hint="eastAsia"/>
          <w:color w:val="auto"/>
          <w:highlight w:val="none"/>
          <w:lang w:val="en-US" w:eastAsia="zh-CN"/>
        </w:rPr>
        <w:t>渝北区清风北路6号渝兴广场B10栋</w:t>
      </w:r>
      <w:r>
        <w:rPr>
          <w:rFonts w:hint="eastAsia"/>
          <w:color w:val="auto"/>
          <w:highlight w:val="none"/>
        </w:rPr>
        <w:t>公共资源交易中心开标区（具体请登陆重庆市公共资源交易网（www.cqggzy.com）查询或递交文件当日见交易中心大厅电子显示屏）。</w:t>
      </w:r>
    </w:p>
    <w:p w14:paraId="516C108E">
      <w:pPr>
        <w:bidi w:val="0"/>
        <w:rPr>
          <w:color w:val="auto"/>
          <w:highlight w:val="none"/>
        </w:rPr>
      </w:pPr>
      <w:r>
        <w:rPr>
          <w:rFonts w:hint="eastAsia"/>
          <w:color w:val="auto"/>
          <w:highlight w:val="none"/>
          <w:lang w:val="en-US" w:eastAsia="zh-CN"/>
        </w:rPr>
        <w:t xml:space="preserve">5.3 </w:t>
      </w:r>
      <w:r>
        <w:rPr>
          <w:rFonts w:hint="eastAsia"/>
          <w:color w:val="auto"/>
          <w:highlight w:val="none"/>
        </w:rPr>
        <w:t>逾期送达的投标文件，不予接收。</w:t>
      </w:r>
    </w:p>
    <w:p w14:paraId="74C251DC">
      <w:pPr>
        <w:pStyle w:val="3"/>
        <w:bidi w:val="0"/>
        <w:rPr>
          <w:color w:val="auto"/>
          <w:highlight w:val="none"/>
        </w:rPr>
      </w:pPr>
      <w:bookmarkStart w:id="43" w:name="_Toc492300551"/>
      <w:bookmarkStart w:id="44" w:name="_Toc21928"/>
      <w:bookmarkStart w:id="45" w:name="_Toc9398"/>
      <w:bookmarkStart w:id="46" w:name="_Toc7651"/>
      <w:bookmarkStart w:id="47" w:name="_Toc474"/>
      <w:r>
        <w:rPr>
          <w:color w:val="auto"/>
          <w:highlight w:val="none"/>
        </w:rPr>
        <w:t xml:space="preserve">6. </w:t>
      </w:r>
      <w:r>
        <w:rPr>
          <w:rFonts w:hint="eastAsia"/>
          <w:color w:val="auto"/>
          <w:highlight w:val="none"/>
        </w:rPr>
        <w:t>发布公告的媒介</w:t>
      </w:r>
      <w:bookmarkEnd w:id="43"/>
      <w:bookmarkEnd w:id="44"/>
      <w:bookmarkEnd w:id="45"/>
      <w:bookmarkEnd w:id="46"/>
      <w:bookmarkEnd w:id="47"/>
    </w:p>
    <w:p w14:paraId="0B19B509">
      <w:pPr>
        <w:bidi w:val="0"/>
        <w:rPr>
          <w:color w:val="auto"/>
          <w:highlight w:val="none"/>
        </w:rPr>
      </w:pPr>
      <w:r>
        <w:rPr>
          <w:rFonts w:hint="eastAsia"/>
          <w:color w:val="auto"/>
          <w:highlight w:val="none"/>
        </w:rPr>
        <w:t>本次</w:t>
      </w:r>
      <w:r>
        <w:rPr>
          <w:rFonts w:hint="eastAsia"/>
          <w:color w:val="auto"/>
          <w:highlight w:val="none"/>
          <w:lang w:eastAsia="zh-CN"/>
        </w:rPr>
        <w:t>招标</w:t>
      </w:r>
      <w:r>
        <w:rPr>
          <w:rFonts w:hint="eastAsia"/>
          <w:color w:val="auto"/>
          <w:highlight w:val="none"/>
        </w:rPr>
        <w:t>公告同时在《重庆市公共资源交易网（www.cqggzy.com）》《重庆三峡银行官网（https://www.ccqtgb.com）》和《中国</w:t>
      </w:r>
      <w:r>
        <w:rPr>
          <w:rFonts w:hint="eastAsia"/>
          <w:color w:val="auto"/>
          <w:highlight w:val="none"/>
          <w:lang w:eastAsia="zh-CN"/>
        </w:rPr>
        <w:t>招标投标</w:t>
      </w:r>
      <w:r>
        <w:rPr>
          <w:rFonts w:hint="eastAsia"/>
          <w:color w:val="auto"/>
          <w:highlight w:val="none"/>
        </w:rPr>
        <w:t>公共服务平台（http://www.cebpubservice.com）》上发布。</w:t>
      </w:r>
    </w:p>
    <w:p w14:paraId="2D79D212">
      <w:pPr>
        <w:pStyle w:val="3"/>
        <w:bidi w:val="0"/>
        <w:rPr>
          <w:rFonts w:hint="eastAsia"/>
          <w:color w:val="auto"/>
          <w:highlight w:val="none"/>
        </w:rPr>
      </w:pPr>
      <w:bookmarkStart w:id="48" w:name="_Toc25218"/>
      <w:bookmarkStart w:id="49" w:name="_Toc11435"/>
      <w:bookmarkStart w:id="50" w:name="_Toc24346"/>
      <w:r>
        <w:rPr>
          <w:rFonts w:hint="eastAsia"/>
          <w:color w:val="auto"/>
          <w:highlight w:val="none"/>
        </w:rPr>
        <w:t>7. 联系方式</w:t>
      </w:r>
      <w:bookmarkEnd w:id="48"/>
      <w:bookmarkEnd w:id="49"/>
      <w:bookmarkEnd w:id="50"/>
    </w:p>
    <w:p w14:paraId="0AA5A00B">
      <w:pPr>
        <w:rPr>
          <w:rFonts w:hint="eastAsia"/>
          <w:color w:val="auto"/>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0"/>
        <w:gridCol w:w="5333"/>
      </w:tblGrid>
      <w:tr w14:paraId="3A4E8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single" w:color="auto" w:sz="4" w:space="0"/>
              <w:left w:val="single" w:color="auto" w:sz="4" w:space="0"/>
              <w:bottom w:val="nil"/>
              <w:right w:val="single" w:color="auto" w:sz="4" w:space="0"/>
            </w:tcBorders>
          </w:tcPr>
          <w:p w14:paraId="6717714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项目需求咨询</w:t>
            </w:r>
          </w:p>
        </w:tc>
      </w:tr>
      <w:tr w14:paraId="23656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tcPr>
          <w:p w14:paraId="116CD11D">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项目联系人：袁舒静</w:t>
            </w:r>
          </w:p>
        </w:tc>
        <w:tc>
          <w:tcPr>
            <w:tcW w:w="5333" w:type="dxa"/>
            <w:tcBorders>
              <w:top w:val="nil"/>
              <w:left w:val="nil"/>
              <w:bottom w:val="nil"/>
              <w:right w:val="single" w:color="auto" w:sz="4" w:space="0"/>
            </w:tcBorders>
          </w:tcPr>
          <w:p w14:paraId="25E09FD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联系方式：023-88890080</w:t>
            </w:r>
          </w:p>
        </w:tc>
      </w:tr>
      <w:tr w14:paraId="79525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tcPr>
          <w:p w14:paraId="0501798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p>
        </w:tc>
      </w:tr>
      <w:tr w14:paraId="2DC88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tcPr>
          <w:p w14:paraId="38624E9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项目流程咨询</w:t>
            </w:r>
          </w:p>
        </w:tc>
      </w:tr>
      <w:tr w14:paraId="7D14B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tcPr>
          <w:p w14:paraId="5E435DA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平台服务机构：重庆联合产权交易所集团股份有限公司</w:t>
            </w:r>
          </w:p>
        </w:tc>
      </w:tr>
      <w:tr w14:paraId="44A48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tcPr>
          <w:p w14:paraId="62516F2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平台联系人：罗老师</w:t>
            </w:r>
          </w:p>
        </w:tc>
        <w:tc>
          <w:tcPr>
            <w:tcW w:w="5333" w:type="dxa"/>
            <w:tcBorders>
              <w:top w:val="nil"/>
              <w:left w:val="nil"/>
              <w:bottom w:val="nil"/>
              <w:right w:val="single" w:color="auto" w:sz="4" w:space="0"/>
            </w:tcBorders>
          </w:tcPr>
          <w:p w14:paraId="5AAE646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联系方式：023-63621694</w:t>
            </w:r>
          </w:p>
        </w:tc>
      </w:tr>
      <w:tr w14:paraId="20B5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tcPr>
          <w:p w14:paraId="46F9C14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p>
        </w:tc>
      </w:tr>
      <w:tr w14:paraId="5D047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tcPr>
          <w:p w14:paraId="6CE7E0E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7.3 </w:t>
            </w:r>
            <w:r>
              <w:rPr>
                <w:rFonts w:hint="eastAsia" w:ascii="宋体" w:hAnsi="宋体" w:cs="宋体"/>
                <w:color w:val="auto"/>
                <w:sz w:val="21"/>
                <w:szCs w:val="21"/>
                <w:highlight w:val="none"/>
                <w:lang w:eastAsia="zh-CN"/>
              </w:rPr>
              <w:t>招标</w:t>
            </w:r>
            <w:r>
              <w:rPr>
                <w:rFonts w:hint="eastAsia" w:ascii="宋体" w:hAnsi="宋体" w:eastAsia="宋体" w:cs="宋体"/>
                <w:color w:val="auto"/>
                <w:sz w:val="21"/>
                <w:szCs w:val="21"/>
                <w:highlight w:val="none"/>
              </w:rPr>
              <w:t>人联系方式</w:t>
            </w:r>
          </w:p>
        </w:tc>
      </w:tr>
      <w:tr w14:paraId="0C368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tcPr>
          <w:p w14:paraId="3566555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联系人：敬希</w:t>
            </w:r>
          </w:p>
        </w:tc>
        <w:tc>
          <w:tcPr>
            <w:tcW w:w="5333" w:type="dxa"/>
            <w:tcBorders>
              <w:top w:val="nil"/>
              <w:left w:val="nil"/>
              <w:bottom w:val="nil"/>
              <w:right w:val="single" w:color="auto" w:sz="4" w:space="0"/>
            </w:tcBorders>
          </w:tcPr>
          <w:p w14:paraId="7BD4688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联系方式：023-88890395</w:t>
            </w:r>
          </w:p>
        </w:tc>
      </w:tr>
      <w:tr w14:paraId="53D61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single" w:color="auto" w:sz="4" w:space="0"/>
              <w:right w:val="single" w:color="auto" w:sz="4" w:space="0"/>
            </w:tcBorders>
          </w:tcPr>
          <w:p w14:paraId="3F12F50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招标</w:t>
            </w:r>
            <w:r>
              <w:rPr>
                <w:rFonts w:hint="eastAsia" w:ascii="宋体" w:hAnsi="宋体" w:eastAsia="宋体" w:cs="宋体"/>
                <w:color w:val="auto"/>
                <w:sz w:val="21"/>
                <w:szCs w:val="21"/>
                <w:highlight w:val="none"/>
              </w:rPr>
              <w:t>人地址：重庆市渝北区嘉州路88号中渝国际都会4号写字楼21层</w:t>
            </w:r>
          </w:p>
        </w:tc>
      </w:tr>
    </w:tbl>
    <w:p w14:paraId="5E983FEF">
      <w:pPr>
        <w:rPr>
          <w:rFonts w:hint="eastAsia"/>
          <w:color w:val="auto"/>
          <w:highlight w:val="none"/>
        </w:rPr>
      </w:pPr>
    </w:p>
    <w:p w14:paraId="6E945FBF">
      <w:pPr>
        <w:bidi w:val="0"/>
        <w:jc w:val="right"/>
        <w:outlineLvl w:val="9"/>
        <w:rPr>
          <w:rFonts w:hint="eastAsia"/>
          <w:color w:val="auto"/>
          <w:highlight w:val="none"/>
        </w:rPr>
      </w:pPr>
    </w:p>
    <w:p w14:paraId="394704A7">
      <w:pPr>
        <w:bidi w:val="0"/>
        <w:jc w:val="right"/>
      </w:pPr>
      <w:bookmarkStart w:id="51" w:name="_Toc7989"/>
      <w:r>
        <w:rPr>
          <w:rFonts w:hint="eastAsia"/>
        </w:rPr>
        <w:t>重庆三峡银行股份有限公司</w:t>
      </w:r>
      <w:bookmarkEnd w:id="51"/>
    </w:p>
    <w:p w14:paraId="7C142E16">
      <w:pPr>
        <w:bidi w:val="0"/>
        <w:jc w:val="right"/>
        <w:outlineLvl w:val="9"/>
        <w:rPr>
          <w:color w:val="auto"/>
          <w:highlight w:val="none"/>
        </w:rPr>
      </w:pPr>
      <w:r>
        <w:rPr>
          <w:rFonts w:hint="eastAsia"/>
          <w:color w:val="auto"/>
          <w:highlight w:val="none"/>
        </w:rPr>
        <w:t>202</w:t>
      </w:r>
      <w:r>
        <w:rPr>
          <w:rFonts w:hint="eastAsia"/>
          <w:color w:val="auto"/>
          <w:highlight w:val="none"/>
          <w:lang w:val="en-US" w:eastAsia="zh-CN"/>
        </w:rPr>
        <w:t>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14:paraId="72E3044C">
      <w:pPr>
        <w:pStyle w:val="13"/>
        <w:outlineLvl w:val="9"/>
        <w:rPr>
          <w:rFonts w:ascii="宋体" w:eastAsia="宋体"/>
          <w:color w:val="auto"/>
          <w:highlight w:val="none"/>
        </w:rPr>
      </w:pPr>
    </w:p>
    <w:p w14:paraId="39086DE5">
      <w:pPr>
        <w:outlineLvl w:val="9"/>
        <w:rPr>
          <w:rFonts w:ascii="宋体" w:eastAsia="宋体"/>
          <w:color w:val="auto"/>
          <w:highlight w:val="none"/>
        </w:rPr>
      </w:pPr>
    </w:p>
    <w:p w14:paraId="5F494B5F">
      <w:pPr>
        <w:pStyle w:val="13"/>
        <w:outlineLvl w:val="9"/>
        <w:rPr>
          <w:rFonts w:ascii="宋体" w:eastAsia="宋体"/>
          <w:color w:val="auto"/>
          <w:highlight w:val="none"/>
        </w:rPr>
      </w:pPr>
    </w:p>
    <w:p w14:paraId="26070837">
      <w:pPr>
        <w:rPr>
          <w:rFonts w:ascii="宋体" w:eastAsia="宋体"/>
          <w:color w:val="auto"/>
          <w:highlight w:val="none"/>
        </w:rPr>
      </w:pPr>
      <w:r>
        <w:rPr>
          <w:rFonts w:ascii="宋体" w:eastAsia="宋体"/>
          <w:color w:val="auto"/>
          <w:highlight w:val="none"/>
        </w:rPr>
        <w:br w:type="page"/>
      </w:r>
    </w:p>
    <w:p w14:paraId="6D66F763">
      <w:pPr>
        <w:pStyle w:val="2"/>
        <w:bidi w:val="0"/>
        <w:rPr>
          <w:color w:val="auto"/>
          <w:highlight w:val="none"/>
          <w:lang w:val="en-US" w:eastAsia="zh-CN"/>
        </w:rPr>
      </w:pPr>
      <w:bookmarkStart w:id="52" w:name="_Toc14105"/>
      <w:bookmarkStart w:id="53" w:name="_Toc19463"/>
      <w:bookmarkStart w:id="54" w:name="_Toc860"/>
      <w:bookmarkStart w:id="55" w:name="_Toc9037"/>
      <w:bookmarkStart w:id="56" w:name="_Toc10372"/>
      <w:r>
        <w:rPr>
          <w:color w:val="auto"/>
          <w:highlight w:val="none"/>
          <w:lang w:val="en-US" w:eastAsia="zh-CN"/>
        </w:rPr>
        <w:t>第二章</w:t>
      </w:r>
      <w:r>
        <w:rPr>
          <w:rFonts w:hint="eastAsia"/>
          <w:color w:val="auto"/>
          <w:highlight w:val="none"/>
          <w:lang w:val="en-US" w:eastAsia="zh-CN"/>
        </w:rPr>
        <w:t xml:space="preserve"> </w:t>
      </w:r>
      <w:r>
        <w:rPr>
          <w:color w:val="auto"/>
          <w:highlight w:val="none"/>
          <w:lang w:val="en-US" w:eastAsia="zh-CN"/>
        </w:rPr>
        <w:t>投标人须知</w:t>
      </w:r>
      <w:bookmarkEnd w:id="52"/>
      <w:bookmarkEnd w:id="53"/>
      <w:bookmarkEnd w:id="54"/>
      <w:bookmarkEnd w:id="55"/>
      <w:bookmarkEnd w:id="56"/>
    </w:p>
    <w:p w14:paraId="35BB1F97">
      <w:pPr>
        <w:pStyle w:val="3"/>
        <w:bidi w:val="0"/>
        <w:rPr>
          <w:color w:val="auto"/>
          <w:highlight w:val="none"/>
          <w:lang w:val="en-US" w:eastAsia="zh-CN"/>
        </w:rPr>
      </w:pPr>
      <w:bookmarkStart w:id="57" w:name="_Toc148"/>
      <w:bookmarkStart w:id="58" w:name="_Toc13200"/>
      <w:bookmarkStart w:id="59" w:name="_Toc23111"/>
      <w:r>
        <w:rPr>
          <w:rFonts w:hint="eastAsia"/>
          <w:color w:val="auto"/>
          <w:highlight w:val="none"/>
          <w:lang w:val="en-US" w:eastAsia="zh-CN"/>
        </w:rPr>
        <w:t>投标人须知前附表</w:t>
      </w:r>
      <w:bookmarkEnd w:id="57"/>
      <w:bookmarkEnd w:id="58"/>
      <w:bookmarkEnd w:id="59"/>
    </w:p>
    <w:p w14:paraId="67092D1B">
      <w:pPr>
        <w:bidi w:val="0"/>
        <w:rPr>
          <w:color w:val="auto"/>
          <w:highlight w:val="none"/>
          <w:lang w:val="en-US" w:eastAsia="zh-CN"/>
        </w:rPr>
      </w:pPr>
      <w:r>
        <w:rPr>
          <w:color w:val="auto"/>
          <w:highlight w:val="none"/>
          <w:lang w:val="en-US" w:eastAsia="zh-CN"/>
        </w:rPr>
        <w:t>正文内容不允许修改。若投标人须知前附表与正文不一致的地方，以投标人须知前附表为准。</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275"/>
        <w:gridCol w:w="6313"/>
      </w:tblGrid>
      <w:tr w14:paraId="41CE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0FC3278E">
            <w:pPr>
              <w:pStyle w:val="46"/>
              <w:bidi w:val="0"/>
              <w:ind w:left="0" w:leftChars="0" w:right="0" w:rightChars="0" w:firstLine="0" w:firstLineChars="0"/>
              <w:jc w:val="center"/>
              <w:rPr>
                <w:rFonts w:hint="eastAsia"/>
                <w:b/>
                <w:bCs w:val="0"/>
                <w:lang w:val="en-US" w:eastAsia="zh-CN"/>
              </w:rPr>
            </w:pPr>
            <w:r>
              <w:rPr>
                <w:rFonts w:hint="eastAsia"/>
                <w:b/>
                <w:bCs w:val="0"/>
                <w:lang w:val="en-US" w:eastAsia="zh-CN"/>
              </w:rPr>
              <w:t>条款号</w:t>
            </w:r>
          </w:p>
        </w:tc>
        <w:tc>
          <w:tcPr>
            <w:tcW w:w="1275" w:type="dxa"/>
            <w:vAlign w:val="center"/>
          </w:tcPr>
          <w:p w14:paraId="146BAD8B">
            <w:pPr>
              <w:pStyle w:val="46"/>
              <w:bidi w:val="0"/>
              <w:ind w:left="0" w:leftChars="0" w:right="0" w:rightChars="0" w:firstLine="0" w:firstLineChars="0"/>
              <w:jc w:val="center"/>
              <w:rPr>
                <w:rFonts w:hint="eastAsia"/>
                <w:b/>
                <w:bCs w:val="0"/>
                <w:lang w:val="en-US" w:eastAsia="zh-CN"/>
              </w:rPr>
            </w:pPr>
            <w:r>
              <w:rPr>
                <w:rFonts w:hint="eastAsia"/>
                <w:b/>
                <w:bCs w:val="0"/>
                <w:lang w:val="en-US" w:eastAsia="zh-CN"/>
              </w:rPr>
              <w:t>条款名称</w:t>
            </w:r>
          </w:p>
        </w:tc>
        <w:tc>
          <w:tcPr>
            <w:tcW w:w="6313" w:type="dxa"/>
            <w:vAlign w:val="center"/>
          </w:tcPr>
          <w:p w14:paraId="65FB2815">
            <w:pPr>
              <w:pStyle w:val="46"/>
              <w:bidi w:val="0"/>
              <w:ind w:left="0" w:leftChars="0" w:right="0" w:rightChars="0" w:firstLine="0" w:firstLineChars="0"/>
              <w:jc w:val="center"/>
              <w:rPr>
                <w:rFonts w:hint="eastAsia"/>
                <w:b/>
                <w:bCs w:val="0"/>
                <w:lang w:val="en-US" w:eastAsia="zh-CN"/>
              </w:rPr>
            </w:pPr>
            <w:r>
              <w:rPr>
                <w:rFonts w:hint="eastAsia"/>
                <w:b/>
                <w:bCs w:val="0"/>
                <w:lang w:val="en-US" w:eastAsia="zh-CN"/>
              </w:rPr>
              <w:t>编列内容</w:t>
            </w:r>
          </w:p>
        </w:tc>
      </w:tr>
      <w:tr w14:paraId="5294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4EC78528">
            <w:pPr>
              <w:pStyle w:val="46"/>
              <w:bidi w:val="0"/>
              <w:rPr>
                <w:rFonts w:hint="eastAsia"/>
                <w:lang w:val="en-US" w:eastAsia="zh-CN"/>
              </w:rPr>
            </w:pPr>
            <w:r>
              <w:rPr>
                <w:rFonts w:hint="eastAsia"/>
                <w:lang w:val="en-US" w:eastAsia="zh-CN"/>
              </w:rPr>
              <w:t>1.1.2</w:t>
            </w:r>
          </w:p>
        </w:tc>
        <w:tc>
          <w:tcPr>
            <w:tcW w:w="1275" w:type="dxa"/>
            <w:tcBorders>
              <w:top w:val="single" w:color="auto" w:sz="4" w:space="0"/>
              <w:left w:val="single" w:color="auto" w:sz="4" w:space="0"/>
              <w:right w:val="single" w:color="auto" w:sz="4" w:space="0"/>
            </w:tcBorders>
            <w:vAlign w:val="center"/>
          </w:tcPr>
          <w:p w14:paraId="4A0C9D8A">
            <w:pPr>
              <w:pStyle w:val="46"/>
              <w:bidi w:val="0"/>
              <w:rPr>
                <w:rFonts w:hint="eastAsia"/>
                <w:lang w:val="en-US" w:eastAsia="zh-CN"/>
              </w:rPr>
            </w:pPr>
            <w:r>
              <w:rPr>
                <w:rFonts w:hint="eastAsia"/>
                <w:lang w:val="en-US" w:eastAsia="zh-CN"/>
              </w:rPr>
              <w:t>招标人</w:t>
            </w:r>
          </w:p>
        </w:tc>
        <w:tc>
          <w:tcPr>
            <w:tcW w:w="6313" w:type="dxa"/>
          </w:tcPr>
          <w:p w14:paraId="65DA380A">
            <w:pPr>
              <w:pStyle w:val="46"/>
              <w:bidi w:val="0"/>
              <w:rPr>
                <w:rFonts w:hint="eastAsia"/>
                <w:lang w:val="en-US" w:eastAsia="zh-CN"/>
              </w:rPr>
            </w:pPr>
            <w:r>
              <w:rPr>
                <w:rFonts w:hint="eastAsia"/>
                <w:lang w:val="en-US" w:eastAsia="zh-CN"/>
              </w:rPr>
              <w:t>名称：</w:t>
            </w:r>
            <w:r>
              <w:rPr>
                <w:rFonts w:hint="eastAsia"/>
              </w:rPr>
              <w:t>重庆三峡银行股份有限公司</w:t>
            </w:r>
          </w:p>
          <w:p w14:paraId="5AC194E6">
            <w:pPr>
              <w:pStyle w:val="46"/>
              <w:bidi w:val="0"/>
              <w:rPr>
                <w:rFonts w:hint="eastAsia"/>
                <w:lang w:val="en-US" w:eastAsia="zh-CN"/>
              </w:rPr>
            </w:pPr>
            <w:r>
              <w:rPr>
                <w:rFonts w:hint="eastAsia"/>
                <w:lang w:val="en-US" w:eastAsia="zh-CN"/>
              </w:rPr>
              <w:t>地址：重庆市渝北区嘉州路88号中渝国际都会4号写字楼21层</w:t>
            </w:r>
          </w:p>
          <w:p w14:paraId="391EA47F">
            <w:pPr>
              <w:pStyle w:val="46"/>
              <w:bidi w:val="0"/>
              <w:rPr>
                <w:rFonts w:hint="eastAsia"/>
                <w:lang w:val="en-US" w:eastAsia="zh-CN"/>
              </w:rPr>
            </w:pPr>
            <w:r>
              <w:rPr>
                <w:rFonts w:hint="eastAsia"/>
                <w:lang w:val="en-US" w:eastAsia="zh-CN"/>
              </w:rPr>
              <w:t>联系人：袁舒静</w:t>
            </w:r>
          </w:p>
          <w:p w14:paraId="108F7E53">
            <w:pPr>
              <w:pStyle w:val="46"/>
              <w:bidi w:val="0"/>
              <w:rPr>
                <w:rFonts w:hint="eastAsia"/>
                <w:lang w:val="en-US" w:eastAsia="zh-CN"/>
              </w:rPr>
            </w:pPr>
            <w:r>
              <w:rPr>
                <w:rFonts w:hint="eastAsia"/>
                <w:lang w:val="en-US" w:eastAsia="zh-CN"/>
              </w:rPr>
              <w:t>电话：023-88890080</w:t>
            </w:r>
          </w:p>
        </w:tc>
      </w:tr>
      <w:tr w14:paraId="14D8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06C7751F">
            <w:pPr>
              <w:pStyle w:val="46"/>
              <w:bidi w:val="0"/>
              <w:rPr>
                <w:rFonts w:hint="eastAsia"/>
                <w:lang w:val="en-US" w:eastAsia="zh-CN"/>
              </w:rPr>
            </w:pPr>
            <w:r>
              <w:rPr>
                <w:rFonts w:hint="eastAsia"/>
                <w:lang w:val="en-US" w:eastAsia="zh-CN"/>
              </w:rPr>
              <w:t>1.1.4</w:t>
            </w:r>
          </w:p>
        </w:tc>
        <w:tc>
          <w:tcPr>
            <w:tcW w:w="1275" w:type="dxa"/>
            <w:tcBorders>
              <w:top w:val="single" w:color="auto" w:sz="4" w:space="0"/>
              <w:left w:val="single" w:color="auto" w:sz="4" w:space="0"/>
              <w:right w:val="single" w:color="auto" w:sz="4" w:space="0"/>
            </w:tcBorders>
            <w:vAlign w:val="center"/>
          </w:tcPr>
          <w:p w14:paraId="31EE7121">
            <w:pPr>
              <w:pStyle w:val="46"/>
              <w:bidi w:val="0"/>
              <w:rPr>
                <w:rFonts w:hint="eastAsia"/>
                <w:lang w:val="en-US" w:eastAsia="zh-CN"/>
              </w:rPr>
            </w:pPr>
            <w:r>
              <w:rPr>
                <w:rFonts w:hint="eastAsia"/>
                <w:lang w:val="en-US" w:eastAsia="zh-CN"/>
              </w:rPr>
              <w:t>项目名称</w:t>
            </w:r>
          </w:p>
        </w:tc>
        <w:tc>
          <w:tcPr>
            <w:tcW w:w="6313" w:type="dxa"/>
          </w:tcPr>
          <w:p w14:paraId="6B99B128">
            <w:pPr>
              <w:pStyle w:val="46"/>
              <w:bidi w:val="0"/>
              <w:rPr>
                <w:rFonts w:hint="eastAsia"/>
                <w:lang w:val="en-US" w:eastAsia="zh-CN"/>
              </w:rPr>
            </w:pPr>
            <w:r>
              <w:rPr>
                <w:rFonts w:hint="eastAsia"/>
                <w:lang w:val="en-US" w:eastAsia="zh-CN"/>
              </w:rPr>
              <w:t>重庆三峡银行存取款一体机项目</w:t>
            </w:r>
          </w:p>
        </w:tc>
      </w:tr>
      <w:tr w14:paraId="34B4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492D7485">
            <w:pPr>
              <w:pStyle w:val="46"/>
              <w:bidi w:val="0"/>
              <w:rPr>
                <w:rFonts w:hint="eastAsia"/>
                <w:lang w:val="en-US" w:eastAsia="zh-CN"/>
              </w:rPr>
            </w:pPr>
            <w:r>
              <w:rPr>
                <w:rFonts w:hint="eastAsia"/>
                <w:lang w:val="en-US" w:eastAsia="zh-CN"/>
              </w:rPr>
              <w:t>1.1.5</w:t>
            </w:r>
          </w:p>
        </w:tc>
        <w:tc>
          <w:tcPr>
            <w:tcW w:w="1275" w:type="dxa"/>
            <w:tcBorders>
              <w:top w:val="single" w:color="auto" w:sz="4" w:space="0"/>
              <w:left w:val="single" w:color="auto" w:sz="4" w:space="0"/>
              <w:right w:val="single" w:color="auto" w:sz="4" w:space="0"/>
            </w:tcBorders>
            <w:vAlign w:val="center"/>
          </w:tcPr>
          <w:p w14:paraId="3DBE756E">
            <w:pPr>
              <w:pStyle w:val="46"/>
              <w:bidi w:val="0"/>
              <w:rPr>
                <w:rFonts w:hint="eastAsia"/>
                <w:lang w:val="en-US" w:eastAsia="zh-CN"/>
              </w:rPr>
            </w:pPr>
            <w:r>
              <w:rPr>
                <w:rFonts w:hint="eastAsia"/>
                <w:lang w:val="en-US" w:eastAsia="zh-CN"/>
              </w:rPr>
              <w:t>交货</w:t>
            </w:r>
            <w:r>
              <w:rPr>
                <w:rFonts w:hint="eastAsia"/>
              </w:rPr>
              <w:t>地点</w:t>
            </w:r>
          </w:p>
        </w:tc>
        <w:tc>
          <w:tcPr>
            <w:tcW w:w="6313" w:type="dxa"/>
          </w:tcPr>
          <w:p w14:paraId="777E1A15">
            <w:pPr>
              <w:pStyle w:val="46"/>
              <w:bidi w:val="0"/>
              <w:rPr>
                <w:rFonts w:hint="eastAsia"/>
                <w:lang w:val="en-US" w:eastAsia="zh-CN"/>
              </w:rPr>
            </w:pPr>
            <w:r>
              <w:rPr>
                <w:rFonts w:hint="eastAsia"/>
                <w:lang w:val="en-US" w:eastAsia="zh-CN"/>
              </w:rPr>
              <w:t>重庆市</w:t>
            </w:r>
          </w:p>
        </w:tc>
      </w:tr>
      <w:tr w14:paraId="2F1C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0D9D5F84">
            <w:pPr>
              <w:pStyle w:val="46"/>
              <w:bidi w:val="0"/>
              <w:rPr>
                <w:rFonts w:hint="eastAsia"/>
                <w:lang w:val="en-US" w:eastAsia="zh-CN"/>
              </w:rPr>
            </w:pPr>
            <w:r>
              <w:rPr>
                <w:rFonts w:hint="eastAsia"/>
                <w:lang w:val="en-US" w:eastAsia="zh-CN"/>
              </w:rPr>
              <w:t>1.2.1</w:t>
            </w:r>
          </w:p>
        </w:tc>
        <w:tc>
          <w:tcPr>
            <w:tcW w:w="1275" w:type="dxa"/>
            <w:tcBorders>
              <w:top w:val="single" w:color="auto" w:sz="4" w:space="0"/>
              <w:left w:val="single" w:color="auto" w:sz="4" w:space="0"/>
              <w:right w:val="single" w:color="auto" w:sz="4" w:space="0"/>
            </w:tcBorders>
            <w:vAlign w:val="center"/>
          </w:tcPr>
          <w:p w14:paraId="7DF14877">
            <w:pPr>
              <w:pStyle w:val="46"/>
              <w:bidi w:val="0"/>
              <w:rPr>
                <w:rFonts w:hint="eastAsia"/>
                <w:lang w:val="en-US" w:eastAsia="zh-CN"/>
              </w:rPr>
            </w:pPr>
            <w:r>
              <w:rPr>
                <w:rFonts w:hint="eastAsia"/>
                <w:lang w:val="en-US" w:eastAsia="zh-CN"/>
              </w:rPr>
              <w:t>资金来源及比例</w:t>
            </w:r>
          </w:p>
        </w:tc>
        <w:tc>
          <w:tcPr>
            <w:tcW w:w="6313" w:type="dxa"/>
          </w:tcPr>
          <w:p w14:paraId="25BF4F69">
            <w:pPr>
              <w:pStyle w:val="46"/>
              <w:bidi w:val="0"/>
              <w:rPr>
                <w:rFonts w:hint="eastAsia"/>
                <w:lang w:val="en-US" w:eastAsia="zh-CN"/>
              </w:rPr>
            </w:pPr>
            <w:r>
              <w:rPr>
                <w:rFonts w:hint="eastAsia"/>
              </w:rPr>
              <w:t>招标人自筹，100%</w:t>
            </w:r>
          </w:p>
        </w:tc>
      </w:tr>
      <w:tr w14:paraId="5067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604EF009">
            <w:pPr>
              <w:pStyle w:val="46"/>
              <w:bidi w:val="0"/>
              <w:rPr>
                <w:rFonts w:hint="eastAsia"/>
                <w:lang w:val="en-US" w:eastAsia="zh-CN"/>
              </w:rPr>
            </w:pPr>
            <w:r>
              <w:rPr>
                <w:rFonts w:hint="eastAsia"/>
                <w:lang w:val="en-US" w:eastAsia="zh-CN"/>
              </w:rPr>
              <w:t>1.2.2</w:t>
            </w:r>
          </w:p>
        </w:tc>
        <w:tc>
          <w:tcPr>
            <w:tcW w:w="1275" w:type="dxa"/>
            <w:tcBorders>
              <w:top w:val="single" w:color="auto" w:sz="4" w:space="0"/>
              <w:left w:val="single" w:color="auto" w:sz="4" w:space="0"/>
              <w:right w:val="single" w:color="auto" w:sz="4" w:space="0"/>
            </w:tcBorders>
            <w:vAlign w:val="center"/>
          </w:tcPr>
          <w:p w14:paraId="0D2B9732">
            <w:pPr>
              <w:pStyle w:val="46"/>
              <w:bidi w:val="0"/>
              <w:rPr>
                <w:rFonts w:hint="eastAsia"/>
                <w:lang w:val="en-US" w:eastAsia="zh-CN"/>
              </w:rPr>
            </w:pPr>
            <w:r>
              <w:rPr>
                <w:rFonts w:hint="eastAsia"/>
                <w:lang w:val="en-US" w:eastAsia="zh-CN"/>
              </w:rPr>
              <w:t>资金落实情况</w:t>
            </w:r>
          </w:p>
        </w:tc>
        <w:tc>
          <w:tcPr>
            <w:tcW w:w="6313" w:type="dxa"/>
          </w:tcPr>
          <w:p w14:paraId="73401D20">
            <w:pPr>
              <w:pStyle w:val="46"/>
              <w:bidi w:val="0"/>
              <w:rPr>
                <w:rFonts w:hint="eastAsia"/>
                <w:lang w:val="en-US" w:eastAsia="zh-CN"/>
              </w:rPr>
            </w:pPr>
            <w:r>
              <w:rPr>
                <w:rFonts w:hint="eastAsia"/>
                <w:lang w:val="en-US" w:eastAsia="zh-CN"/>
              </w:rPr>
              <w:t>已落实</w:t>
            </w:r>
          </w:p>
        </w:tc>
      </w:tr>
      <w:tr w14:paraId="0C6A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6724C1C4">
            <w:pPr>
              <w:pStyle w:val="46"/>
              <w:bidi w:val="0"/>
              <w:rPr>
                <w:rFonts w:hint="eastAsia"/>
                <w:lang w:val="en-US" w:eastAsia="zh-CN"/>
              </w:rPr>
            </w:pPr>
            <w:r>
              <w:rPr>
                <w:rFonts w:hint="eastAsia"/>
                <w:lang w:val="en-US" w:eastAsia="zh-CN"/>
              </w:rPr>
              <w:t>1.3.1</w:t>
            </w:r>
          </w:p>
        </w:tc>
        <w:tc>
          <w:tcPr>
            <w:tcW w:w="1275" w:type="dxa"/>
            <w:tcBorders>
              <w:top w:val="single" w:color="auto" w:sz="4" w:space="0"/>
              <w:left w:val="single" w:color="auto" w:sz="4" w:space="0"/>
              <w:right w:val="single" w:color="auto" w:sz="4" w:space="0"/>
            </w:tcBorders>
            <w:vAlign w:val="center"/>
          </w:tcPr>
          <w:p w14:paraId="5C9C5672">
            <w:pPr>
              <w:pStyle w:val="46"/>
              <w:bidi w:val="0"/>
              <w:rPr>
                <w:rFonts w:hint="eastAsia"/>
                <w:lang w:val="en-US" w:eastAsia="zh-CN"/>
              </w:rPr>
            </w:pPr>
            <w:r>
              <w:rPr>
                <w:rFonts w:hint="eastAsia"/>
                <w:lang w:val="en-US" w:eastAsia="zh-CN"/>
              </w:rPr>
              <w:t>招标范围</w:t>
            </w:r>
          </w:p>
        </w:tc>
        <w:tc>
          <w:tcPr>
            <w:tcW w:w="6313" w:type="dxa"/>
          </w:tcPr>
          <w:p w14:paraId="01282321">
            <w:pPr>
              <w:pStyle w:val="46"/>
              <w:bidi w:val="0"/>
              <w:rPr>
                <w:rFonts w:hint="eastAsia"/>
                <w:lang w:val="en-US" w:eastAsia="zh-CN"/>
              </w:rPr>
            </w:pPr>
            <w:r>
              <w:rPr>
                <w:rFonts w:hint="eastAsia"/>
              </w:rPr>
              <w:t>详见招标公告</w:t>
            </w:r>
          </w:p>
        </w:tc>
      </w:tr>
      <w:tr w14:paraId="7F42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093604E4">
            <w:pPr>
              <w:pStyle w:val="46"/>
              <w:bidi w:val="0"/>
              <w:rPr>
                <w:rFonts w:hint="eastAsia"/>
                <w:lang w:val="en-US" w:eastAsia="zh-CN"/>
              </w:rPr>
            </w:pPr>
            <w:r>
              <w:rPr>
                <w:rFonts w:hint="eastAsia"/>
                <w:lang w:val="en-US" w:eastAsia="zh-CN"/>
              </w:rPr>
              <w:t>1.3.2</w:t>
            </w:r>
          </w:p>
        </w:tc>
        <w:tc>
          <w:tcPr>
            <w:tcW w:w="1275" w:type="dxa"/>
            <w:tcBorders>
              <w:top w:val="single" w:color="auto" w:sz="4" w:space="0"/>
              <w:left w:val="single" w:color="auto" w:sz="4" w:space="0"/>
              <w:right w:val="single" w:color="auto" w:sz="4" w:space="0"/>
            </w:tcBorders>
            <w:vAlign w:val="center"/>
          </w:tcPr>
          <w:p w14:paraId="0ACB86CA">
            <w:pPr>
              <w:pStyle w:val="46"/>
              <w:bidi w:val="0"/>
              <w:rPr>
                <w:rFonts w:hint="eastAsia"/>
                <w:lang w:val="en-US" w:eastAsia="zh-CN"/>
              </w:rPr>
            </w:pPr>
            <w:r>
              <w:rPr>
                <w:rFonts w:hint="eastAsia"/>
                <w:lang w:val="en-US" w:eastAsia="zh-CN"/>
              </w:rPr>
              <w:t>交货期</w:t>
            </w:r>
          </w:p>
        </w:tc>
        <w:tc>
          <w:tcPr>
            <w:tcW w:w="6313" w:type="dxa"/>
          </w:tcPr>
          <w:p w14:paraId="663C2CF0">
            <w:pPr>
              <w:pStyle w:val="46"/>
              <w:bidi w:val="0"/>
              <w:rPr>
                <w:rFonts w:hint="eastAsia"/>
                <w:lang w:val="en-US" w:eastAsia="zh-CN"/>
              </w:rPr>
            </w:pPr>
            <w:r>
              <w:rPr>
                <w:rFonts w:hint="eastAsia"/>
              </w:rPr>
              <w:t>详见招标公告</w:t>
            </w:r>
          </w:p>
        </w:tc>
      </w:tr>
      <w:tr w14:paraId="0731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13FCC119">
            <w:pPr>
              <w:pStyle w:val="46"/>
              <w:bidi w:val="0"/>
              <w:rPr>
                <w:rFonts w:hint="eastAsia"/>
                <w:lang w:val="en-US" w:eastAsia="zh-CN"/>
              </w:rPr>
            </w:pPr>
            <w:r>
              <w:rPr>
                <w:rFonts w:hint="eastAsia"/>
                <w:lang w:val="en-US" w:eastAsia="zh-CN"/>
              </w:rPr>
              <w:t>1.3.3</w:t>
            </w:r>
          </w:p>
        </w:tc>
        <w:tc>
          <w:tcPr>
            <w:tcW w:w="1275" w:type="dxa"/>
            <w:tcBorders>
              <w:top w:val="single" w:color="auto" w:sz="4" w:space="0"/>
              <w:left w:val="single" w:color="auto" w:sz="4" w:space="0"/>
              <w:right w:val="single" w:color="auto" w:sz="4" w:space="0"/>
            </w:tcBorders>
            <w:vAlign w:val="center"/>
          </w:tcPr>
          <w:p w14:paraId="5A9416D8">
            <w:pPr>
              <w:pStyle w:val="46"/>
              <w:bidi w:val="0"/>
              <w:rPr>
                <w:rFonts w:hint="eastAsia"/>
                <w:lang w:val="en-US" w:eastAsia="zh-CN"/>
              </w:rPr>
            </w:pPr>
            <w:r>
              <w:rPr>
                <w:rFonts w:hint="eastAsia"/>
                <w:lang w:val="en-US" w:eastAsia="zh-CN"/>
              </w:rPr>
              <w:t>技术性能指标</w:t>
            </w:r>
          </w:p>
        </w:tc>
        <w:tc>
          <w:tcPr>
            <w:tcW w:w="6313" w:type="dxa"/>
          </w:tcPr>
          <w:p w14:paraId="52F7B1F9">
            <w:pPr>
              <w:pStyle w:val="46"/>
              <w:bidi w:val="0"/>
              <w:rPr>
                <w:rFonts w:hint="eastAsia"/>
                <w:lang w:val="en-US" w:eastAsia="zh-CN"/>
              </w:rPr>
            </w:pPr>
            <w:r>
              <w:rPr>
                <w:rFonts w:hint="eastAsia"/>
                <w:lang w:val="en-US" w:eastAsia="zh-CN"/>
              </w:rPr>
              <w:t>详见招标文件第五章第3条“技术要求”</w:t>
            </w:r>
          </w:p>
        </w:tc>
      </w:tr>
      <w:tr w14:paraId="181F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14252660">
            <w:pPr>
              <w:pStyle w:val="46"/>
              <w:bidi w:val="0"/>
              <w:rPr>
                <w:rFonts w:hint="eastAsia"/>
                <w:lang w:val="en-US" w:eastAsia="zh-CN"/>
              </w:rPr>
            </w:pPr>
          </w:p>
          <w:p w14:paraId="7D48EE23">
            <w:pPr>
              <w:pStyle w:val="46"/>
              <w:bidi w:val="0"/>
              <w:rPr>
                <w:rFonts w:hint="eastAsia"/>
                <w:lang w:val="en-US" w:eastAsia="zh-CN"/>
              </w:rPr>
            </w:pPr>
          </w:p>
          <w:p w14:paraId="7BD5F95C">
            <w:pPr>
              <w:pStyle w:val="46"/>
              <w:bidi w:val="0"/>
              <w:rPr>
                <w:rFonts w:hint="eastAsia"/>
                <w:lang w:val="en-US" w:eastAsia="zh-CN"/>
              </w:rPr>
            </w:pPr>
            <w:r>
              <w:rPr>
                <w:rFonts w:hint="eastAsia"/>
                <w:lang w:val="en-US" w:eastAsia="zh-CN"/>
              </w:rPr>
              <w:t>1.4.1</w:t>
            </w:r>
          </w:p>
        </w:tc>
        <w:tc>
          <w:tcPr>
            <w:tcW w:w="1275" w:type="dxa"/>
            <w:tcBorders>
              <w:top w:val="single" w:color="auto" w:sz="4" w:space="0"/>
              <w:left w:val="single" w:color="auto" w:sz="4" w:space="0"/>
              <w:right w:val="single" w:color="auto" w:sz="4" w:space="0"/>
            </w:tcBorders>
            <w:vAlign w:val="center"/>
          </w:tcPr>
          <w:p w14:paraId="5B5B81AC">
            <w:pPr>
              <w:pStyle w:val="46"/>
              <w:bidi w:val="0"/>
              <w:rPr>
                <w:rFonts w:hint="eastAsia"/>
                <w:lang w:val="en-US" w:eastAsia="zh-CN"/>
              </w:rPr>
            </w:pPr>
            <w:r>
              <w:rPr>
                <w:rFonts w:hint="eastAsia"/>
                <w:lang w:val="en-US" w:eastAsia="zh-CN"/>
              </w:rPr>
              <w:t>投标人资质条件、能力、信誉</w:t>
            </w:r>
          </w:p>
        </w:tc>
        <w:tc>
          <w:tcPr>
            <w:tcW w:w="6313" w:type="dxa"/>
          </w:tcPr>
          <w:p w14:paraId="4CF0E9DF">
            <w:pPr>
              <w:pStyle w:val="46"/>
              <w:bidi w:val="0"/>
              <w:rPr>
                <w:rFonts w:hint="eastAsia"/>
                <w:lang w:val="en-US" w:eastAsia="zh-CN"/>
              </w:rPr>
            </w:pPr>
            <w:r>
              <w:rPr>
                <w:rFonts w:hint="eastAsia"/>
                <w:lang w:val="en-US" w:eastAsia="zh-CN"/>
              </w:rPr>
              <w:t>（1）投标人应当具备承担投标项目的能力；</w:t>
            </w:r>
          </w:p>
          <w:p w14:paraId="1446C45D">
            <w:pPr>
              <w:pStyle w:val="46"/>
              <w:bidi w:val="0"/>
              <w:rPr>
                <w:rFonts w:hint="eastAsia"/>
                <w:lang w:val="en-US" w:eastAsia="zh-CN"/>
              </w:rPr>
            </w:pPr>
            <w:r>
              <w:rPr>
                <w:rFonts w:hint="eastAsia"/>
                <w:lang w:val="en-US" w:eastAsia="zh-CN"/>
              </w:rPr>
              <w:t>【提供投标人有效营业执照（副本）或直属的分支机构（直属的分支机构投标必须具有总公司的授权委托书）或事业单位法人证书（副本）或个体工商户营业执照或有效的自然人身份证明；投标人法定代表人身份证明和法定代表人授权委托书（直属分支机构参与项目的，提供分支机构负责人身份证明和负责人授权委托书）。】</w:t>
            </w:r>
          </w:p>
          <w:p w14:paraId="3F5E7C00">
            <w:pPr>
              <w:pStyle w:val="46"/>
              <w:bidi w:val="0"/>
              <w:rPr>
                <w:rFonts w:hint="eastAsia"/>
                <w:lang w:val="en-US" w:eastAsia="zh-CN"/>
              </w:rPr>
            </w:pPr>
            <w:r>
              <w:rPr>
                <w:rFonts w:hint="eastAsia"/>
                <w:lang w:val="en-US" w:eastAsia="zh-CN"/>
              </w:rPr>
              <w:t>注：若为法定代表人（分支机构负责人）办理并签署投标文件的，不提供授权委托书。</w:t>
            </w:r>
          </w:p>
          <w:p w14:paraId="2B9F6BF1">
            <w:pPr>
              <w:pStyle w:val="46"/>
              <w:bidi w:val="0"/>
              <w:rPr>
                <w:rFonts w:hint="eastAsia"/>
                <w:lang w:val="en-US" w:eastAsia="zh-CN"/>
              </w:rPr>
            </w:pPr>
            <w:r>
              <w:rPr>
                <w:rFonts w:hint="eastAsia"/>
                <w:lang w:val="en-US" w:eastAsia="zh-CN"/>
              </w:rPr>
              <w:t>（2）具有良好的商业信誉和健全的财务会计制度；【提供书面声明】（3）具有履行合同所必需的设备和专业技术能力；【提供书面声明】</w:t>
            </w:r>
          </w:p>
          <w:p w14:paraId="2DEA40AC">
            <w:pPr>
              <w:pStyle w:val="46"/>
              <w:bidi w:val="0"/>
              <w:rPr>
                <w:rFonts w:hint="eastAsia"/>
                <w:lang w:val="en-US" w:eastAsia="zh-CN"/>
              </w:rPr>
            </w:pPr>
            <w:r>
              <w:rPr>
                <w:rFonts w:hint="eastAsia"/>
                <w:lang w:val="en-US" w:eastAsia="zh-CN"/>
              </w:rPr>
              <w:t>（4）有依法缴纳税收和社会保障金的良好记录；【提供书面声明】</w:t>
            </w:r>
          </w:p>
          <w:p w14:paraId="5904BC3A">
            <w:pPr>
              <w:pStyle w:val="46"/>
              <w:bidi w:val="0"/>
              <w:rPr>
                <w:rFonts w:hint="eastAsia"/>
                <w:lang w:val="en-US" w:eastAsia="zh-CN"/>
              </w:rPr>
            </w:pPr>
            <w:r>
              <w:rPr>
                <w:rFonts w:hint="eastAsia"/>
                <w:lang w:val="en-US" w:eastAsia="zh-CN"/>
              </w:rPr>
              <w:t>（5）三年内在经营活动中没有重大违法记录；【提供书面声明】</w:t>
            </w:r>
          </w:p>
          <w:p w14:paraId="40B9033C">
            <w:pPr>
              <w:pStyle w:val="46"/>
              <w:bidi w:val="0"/>
              <w:rPr>
                <w:rFonts w:hint="eastAsia"/>
                <w:lang w:val="en-US" w:eastAsia="zh-CN"/>
              </w:rPr>
            </w:pPr>
            <w:r>
              <w:rPr>
                <w:rFonts w:hint="eastAsia"/>
                <w:lang w:val="en-US" w:eastAsia="zh-CN"/>
              </w:rPr>
              <w:t>（6）法人及法定代表人没有被人民法院列为失信被执行人名单；【提供中国执行信息公开网截图并加盖单位鲜章】</w:t>
            </w:r>
          </w:p>
          <w:p w14:paraId="62AD4100">
            <w:pPr>
              <w:pStyle w:val="46"/>
              <w:bidi w:val="0"/>
              <w:rPr>
                <w:rFonts w:hint="eastAsia"/>
                <w:lang w:val="en-US" w:eastAsia="zh-CN"/>
              </w:rPr>
            </w:pPr>
            <w:r>
              <w:rPr>
                <w:rFonts w:hint="eastAsia"/>
                <w:lang w:val="en-US" w:eastAsia="zh-CN"/>
              </w:rPr>
              <w:t>（7）本项目不允许任何形式的转包【提供书面声明】；</w:t>
            </w:r>
          </w:p>
          <w:p w14:paraId="0706E15C">
            <w:pPr>
              <w:pStyle w:val="46"/>
              <w:bidi w:val="0"/>
              <w:rPr>
                <w:rFonts w:hint="eastAsia"/>
                <w:lang w:val="en-US" w:eastAsia="zh-CN"/>
              </w:rPr>
            </w:pPr>
            <w:r>
              <w:rPr>
                <w:rFonts w:hint="eastAsia"/>
                <w:lang w:val="en-US" w:eastAsia="zh-CN"/>
              </w:rPr>
              <w:t>（8）本地具备维护人员和配件库；【提供重庆市内内房屋租赁合同或产权证明】</w:t>
            </w:r>
          </w:p>
          <w:p w14:paraId="2AF7F4EE">
            <w:pPr>
              <w:pStyle w:val="46"/>
              <w:bidi w:val="0"/>
              <w:rPr>
                <w:rFonts w:hint="eastAsia"/>
              </w:rPr>
            </w:pPr>
            <w:r>
              <w:rPr>
                <w:rFonts w:hint="eastAsia"/>
                <w:lang w:val="en-US" w:eastAsia="zh-CN"/>
              </w:rPr>
              <w:t>（9）</w:t>
            </w:r>
            <w:r>
              <w:rPr>
                <w:rFonts w:hint="eastAsia"/>
                <w:lang w:eastAsia="zh-CN"/>
              </w:rPr>
              <w:t>投标人</w:t>
            </w:r>
            <w:r>
              <w:rPr>
                <w:rFonts w:hint="eastAsia"/>
                <w:lang w:val="en-US" w:eastAsia="zh-CN"/>
              </w:rPr>
              <w:t>还应在</w:t>
            </w:r>
            <w:r>
              <w:rPr>
                <w:rFonts w:hint="eastAsia"/>
              </w:rPr>
              <w:t>人员、设备、资金等方面具有相应的</w:t>
            </w:r>
            <w:r>
              <w:rPr>
                <w:rFonts w:hint="eastAsia"/>
                <w:lang w:val="en-US" w:eastAsia="zh-CN"/>
              </w:rPr>
              <w:t>供货</w:t>
            </w:r>
            <w:r>
              <w:rPr>
                <w:rFonts w:hint="eastAsia"/>
              </w:rPr>
              <w:t>能力。</w:t>
            </w:r>
            <w:r>
              <w:rPr>
                <w:rFonts w:hint="eastAsia"/>
                <w:lang w:val="en-US" w:eastAsia="zh-CN"/>
              </w:rPr>
              <w:t>【提供书面声明】</w:t>
            </w:r>
          </w:p>
          <w:p w14:paraId="55B67ED6">
            <w:pPr>
              <w:pStyle w:val="46"/>
              <w:bidi w:val="0"/>
              <w:rPr>
                <w:rFonts w:hint="eastAsia"/>
                <w:lang w:val="en-US" w:eastAsia="zh-CN"/>
              </w:rPr>
            </w:pPr>
            <w:r>
              <w:rPr>
                <w:rFonts w:hint="eastAsia"/>
                <w:lang w:val="en-US" w:eastAsia="zh-CN"/>
              </w:rPr>
              <w:t>注：一个制造商对同一品牌同一型号的货物，仅能委托一个代理商参加投标。</w:t>
            </w:r>
          </w:p>
        </w:tc>
      </w:tr>
      <w:tr w14:paraId="5A64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4CFA0B26">
            <w:pPr>
              <w:pStyle w:val="46"/>
              <w:bidi w:val="0"/>
              <w:rPr>
                <w:rFonts w:hint="eastAsia"/>
                <w:lang w:val="en-US" w:eastAsia="zh-CN"/>
              </w:rPr>
            </w:pPr>
            <w:r>
              <w:rPr>
                <w:rFonts w:hint="eastAsia"/>
                <w:lang w:val="en-US" w:eastAsia="zh-CN"/>
              </w:rPr>
              <w:t>1.4.2</w:t>
            </w:r>
          </w:p>
        </w:tc>
        <w:tc>
          <w:tcPr>
            <w:tcW w:w="1275" w:type="dxa"/>
            <w:tcBorders>
              <w:top w:val="single" w:color="auto" w:sz="4" w:space="0"/>
              <w:left w:val="single" w:color="auto" w:sz="4" w:space="0"/>
              <w:right w:val="single" w:color="auto" w:sz="4" w:space="0"/>
            </w:tcBorders>
            <w:vAlign w:val="center"/>
          </w:tcPr>
          <w:p w14:paraId="32D5FB40">
            <w:pPr>
              <w:pStyle w:val="46"/>
              <w:bidi w:val="0"/>
              <w:rPr>
                <w:rFonts w:hint="eastAsia"/>
                <w:lang w:val="en-US" w:eastAsia="zh-CN"/>
              </w:rPr>
            </w:pPr>
            <w:r>
              <w:rPr>
                <w:rFonts w:hint="eastAsia"/>
                <w:lang w:val="en-US" w:eastAsia="zh-CN"/>
              </w:rPr>
              <w:t>是否接受联合体投标</w:t>
            </w:r>
          </w:p>
        </w:tc>
        <w:tc>
          <w:tcPr>
            <w:tcW w:w="6313" w:type="dxa"/>
          </w:tcPr>
          <w:p w14:paraId="01B49835">
            <w:pPr>
              <w:pStyle w:val="46"/>
              <w:bidi w:val="0"/>
              <w:rPr>
                <w:rFonts w:hint="eastAsia"/>
                <w:lang w:eastAsia="zh-CN"/>
              </w:rPr>
            </w:pPr>
            <w:r>
              <w:rPr>
                <w:rFonts w:hint="eastAsia"/>
                <w:lang w:val="en-US" w:eastAsia="zh-CN"/>
              </w:rPr>
              <w:t>☑不</w:t>
            </w:r>
            <w:r>
              <w:rPr>
                <w:rFonts w:hint="eastAsia"/>
                <w:lang w:eastAsia="zh-CN"/>
              </w:rPr>
              <w:t>接受</w:t>
            </w:r>
          </w:p>
          <w:p w14:paraId="6E863C92">
            <w:pPr>
              <w:pStyle w:val="46"/>
              <w:bidi w:val="0"/>
              <w:rPr>
                <w:rFonts w:hint="eastAsia"/>
                <w:lang w:val="en-US" w:eastAsia="zh-CN"/>
              </w:rPr>
            </w:pPr>
            <w:r>
              <w:rPr>
                <w:rFonts w:hint="eastAsia"/>
                <w:lang w:val="en-US" w:eastAsia="zh-CN"/>
              </w:rPr>
              <w:t>□</w:t>
            </w:r>
            <w:r>
              <w:rPr>
                <w:rFonts w:hint="eastAsia"/>
                <w:lang w:eastAsia="zh-CN"/>
              </w:rPr>
              <w:t>接受，</w:t>
            </w:r>
            <w:r>
              <w:rPr>
                <w:rFonts w:hint="eastAsia"/>
                <w:lang w:val="en-US" w:eastAsia="zh-CN"/>
              </w:rPr>
              <w:t>应满足下列要求：</w:t>
            </w:r>
          </w:p>
        </w:tc>
      </w:tr>
      <w:tr w14:paraId="04C9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597E4082">
            <w:pPr>
              <w:pStyle w:val="46"/>
              <w:bidi w:val="0"/>
              <w:rPr>
                <w:rFonts w:hint="eastAsia"/>
                <w:lang w:val="en-US" w:eastAsia="zh-CN"/>
              </w:rPr>
            </w:pPr>
            <w:r>
              <w:rPr>
                <w:rFonts w:hint="eastAsia"/>
                <w:lang w:val="en-US" w:eastAsia="zh-CN"/>
              </w:rPr>
              <w:t>1.9.1</w:t>
            </w:r>
          </w:p>
        </w:tc>
        <w:tc>
          <w:tcPr>
            <w:tcW w:w="1275" w:type="dxa"/>
            <w:tcBorders>
              <w:top w:val="single" w:color="auto" w:sz="4" w:space="0"/>
              <w:left w:val="single" w:color="auto" w:sz="4" w:space="0"/>
              <w:right w:val="single" w:color="auto" w:sz="4" w:space="0"/>
            </w:tcBorders>
            <w:vAlign w:val="center"/>
          </w:tcPr>
          <w:p w14:paraId="49AA6D50">
            <w:pPr>
              <w:pStyle w:val="46"/>
              <w:bidi w:val="0"/>
              <w:rPr>
                <w:rFonts w:hint="eastAsia"/>
                <w:lang w:val="en-US" w:eastAsia="zh-CN"/>
              </w:rPr>
            </w:pPr>
            <w:r>
              <w:rPr>
                <w:rFonts w:hint="eastAsia"/>
              </w:rPr>
              <w:t>踏勘现场</w:t>
            </w:r>
          </w:p>
        </w:tc>
        <w:tc>
          <w:tcPr>
            <w:tcW w:w="6313" w:type="dxa"/>
            <w:vAlign w:val="center"/>
          </w:tcPr>
          <w:p w14:paraId="2272FB74">
            <w:pPr>
              <w:pStyle w:val="46"/>
              <w:bidi w:val="0"/>
              <w:rPr>
                <w:rFonts w:hint="eastAsia"/>
                <w:lang w:val="en-US" w:eastAsia="zh-CN"/>
              </w:rPr>
            </w:pPr>
            <w:r>
              <w:rPr>
                <w:rFonts w:hint="eastAsia"/>
                <w:lang w:val="en-US" w:eastAsia="zh-CN"/>
              </w:rPr>
              <w:t>☑不组织</w:t>
            </w:r>
          </w:p>
          <w:p w14:paraId="08FFB3C5">
            <w:pPr>
              <w:pStyle w:val="46"/>
              <w:bidi w:val="0"/>
              <w:rPr>
                <w:rFonts w:hint="eastAsia"/>
              </w:rPr>
            </w:pPr>
            <w:r>
              <w:rPr>
                <w:rFonts w:hint="eastAsia"/>
              </w:rPr>
              <w:t>□组织，踏勘时间：</w:t>
            </w:r>
          </w:p>
          <w:p w14:paraId="7E8D54EA">
            <w:pPr>
              <w:pStyle w:val="46"/>
              <w:bidi w:val="0"/>
              <w:rPr>
                <w:rFonts w:hint="eastAsia"/>
                <w:lang w:val="en-US" w:eastAsia="zh-CN"/>
              </w:rPr>
            </w:pPr>
            <w:r>
              <w:rPr>
                <w:rFonts w:hint="eastAsia"/>
              </w:rPr>
              <w:t xml:space="preserve">        踏勘集中地点：</w:t>
            </w:r>
          </w:p>
        </w:tc>
      </w:tr>
      <w:tr w14:paraId="0CAC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5EB6C026">
            <w:pPr>
              <w:pStyle w:val="46"/>
              <w:bidi w:val="0"/>
              <w:rPr>
                <w:rFonts w:hint="eastAsia"/>
                <w:lang w:val="en-US" w:eastAsia="zh-CN"/>
              </w:rPr>
            </w:pPr>
            <w:r>
              <w:rPr>
                <w:rFonts w:hint="eastAsia"/>
                <w:lang w:val="en-US" w:eastAsia="zh-CN"/>
              </w:rPr>
              <w:t>1.10</w:t>
            </w:r>
          </w:p>
        </w:tc>
        <w:tc>
          <w:tcPr>
            <w:tcW w:w="1275" w:type="dxa"/>
            <w:tcBorders>
              <w:top w:val="single" w:color="auto" w:sz="4" w:space="0"/>
              <w:left w:val="single" w:color="auto" w:sz="4" w:space="0"/>
              <w:right w:val="single" w:color="auto" w:sz="4" w:space="0"/>
            </w:tcBorders>
            <w:vAlign w:val="center"/>
          </w:tcPr>
          <w:p w14:paraId="16509D1F">
            <w:pPr>
              <w:pStyle w:val="46"/>
              <w:bidi w:val="0"/>
              <w:rPr>
                <w:rFonts w:hint="eastAsia"/>
                <w:lang w:val="en-US" w:eastAsia="zh-CN"/>
              </w:rPr>
            </w:pPr>
            <w:r>
              <w:rPr>
                <w:rFonts w:hint="eastAsia"/>
                <w:lang w:val="en-US" w:eastAsia="zh-CN"/>
              </w:rPr>
              <w:t>分包</w:t>
            </w:r>
          </w:p>
        </w:tc>
        <w:tc>
          <w:tcPr>
            <w:tcW w:w="6313" w:type="dxa"/>
          </w:tcPr>
          <w:p w14:paraId="6A7E1873">
            <w:pPr>
              <w:pStyle w:val="46"/>
              <w:bidi w:val="0"/>
              <w:rPr>
                <w:rFonts w:hint="eastAsia"/>
                <w:lang w:val="en-US" w:eastAsia="zh-CN"/>
              </w:rPr>
            </w:pPr>
            <w:r>
              <w:rPr>
                <w:rFonts w:hint="eastAsia"/>
                <w:lang w:val="en-US" w:eastAsia="zh-CN"/>
              </w:rPr>
              <w:t>☑不允许</w:t>
            </w:r>
          </w:p>
          <w:p w14:paraId="7296BEEA">
            <w:pPr>
              <w:pStyle w:val="46"/>
              <w:bidi w:val="0"/>
              <w:rPr>
                <w:rFonts w:hint="eastAsia"/>
                <w:lang w:val="en-US" w:eastAsia="zh-CN"/>
              </w:rPr>
            </w:pPr>
            <w:r>
              <w:rPr>
                <w:rFonts w:hint="eastAsia"/>
                <w:lang w:val="en-US" w:eastAsia="zh-CN"/>
              </w:rPr>
              <w:t>□允许，分包内容要求：</w:t>
            </w:r>
          </w:p>
          <w:p w14:paraId="134030E2">
            <w:pPr>
              <w:pStyle w:val="46"/>
              <w:bidi w:val="0"/>
              <w:rPr>
                <w:rFonts w:hint="eastAsia"/>
                <w:lang w:val="en-US" w:eastAsia="zh-CN"/>
              </w:rPr>
            </w:pPr>
            <w:r>
              <w:rPr>
                <w:rFonts w:hint="eastAsia"/>
                <w:lang w:val="en-US" w:eastAsia="zh-CN"/>
              </w:rPr>
              <w:t>分包金额要求：</w:t>
            </w:r>
          </w:p>
          <w:p w14:paraId="0F9054AD">
            <w:pPr>
              <w:pStyle w:val="46"/>
              <w:bidi w:val="0"/>
              <w:rPr>
                <w:rFonts w:hint="eastAsia"/>
                <w:lang w:val="en-US" w:eastAsia="zh-CN"/>
              </w:rPr>
            </w:pPr>
            <w:r>
              <w:rPr>
                <w:rFonts w:hint="eastAsia"/>
                <w:lang w:val="en-US" w:eastAsia="zh-CN"/>
              </w:rPr>
              <w:t>对分包人的资质要求：</w:t>
            </w:r>
          </w:p>
        </w:tc>
      </w:tr>
      <w:tr w14:paraId="3003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21031432">
            <w:pPr>
              <w:pStyle w:val="46"/>
              <w:bidi w:val="0"/>
              <w:rPr>
                <w:rFonts w:hint="eastAsia"/>
                <w:lang w:val="en-US" w:eastAsia="zh-CN"/>
              </w:rPr>
            </w:pPr>
            <w:r>
              <w:rPr>
                <w:rFonts w:hint="eastAsia"/>
                <w:lang w:val="en-US" w:eastAsia="zh-CN"/>
              </w:rPr>
              <w:t>2.1</w:t>
            </w:r>
          </w:p>
        </w:tc>
        <w:tc>
          <w:tcPr>
            <w:tcW w:w="1275" w:type="dxa"/>
            <w:tcBorders>
              <w:top w:val="single" w:color="auto" w:sz="4" w:space="0"/>
              <w:left w:val="single" w:color="auto" w:sz="4" w:space="0"/>
              <w:right w:val="single" w:color="auto" w:sz="4" w:space="0"/>
            </w:tcBorders>
            <w:vAlign w:val="center"/>
          </w:tcPr>
          <w:p w14:paraId="42BF8951">
            <w:pPr>
              <w:pStyle w:val="46"/>
              <w:bidi w:val="0"/>
              <w:rPr>
                <w:rFonts w:hint="eastAsia"/>
                <w:lang w:val="en-US" w:eastAsia="zh-CN"/>
              </w:rPr>
            </w:pPr>
            <w:r>
              <w:rPr>
                <w:rFonts w:hint="eastAsia"/>
              </w:rPr>
              <w:t>构成招标文件的其他材料</w:t>
            </w:r>
          </w:p>
        </w:tc>
        <w:tc>
          <w:tcPr>
            <w:tcW w:w="6313" w:type="dxa"/>
            <w:vAlign w:val="center"/>
          </w:tcPr>
          <w:p w14:paraId="1ED39A84">
            <w:pPr>
              <w:pStyle w:val="46"/>
              <w:bidi w:val="0"/>
              <w:rPr>
                <w:rFonts w:hint="eastAsia"/>
                <w:lang w:val="en-US" w:eastAsia="zh-CN"/>
              </w:rPr>
            </w:pPr>
            <w:r>
              <w:rPr>
                <w:rFonts w:hint="eastAsia"/>
                <w:lang w:val="en-US" w:eastAsia="zh-CN"/>
              </w:rPr>
              <w:t>招标人发出的澄清及修改</w:t>
            </w:r>
          </w:p>
        </w:tc>
      </w:tr>
      <w:tr w14:paraId="39FC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Merge w:val="restart"/>
            <w:vAlign w:val="center"/>
          </w:tcPr>
          <w:p w14:paraId="351E6F58">
            <w:pPr>
              <w:pStyle w:val="46"/>
              <w:bidi w:val="0"/>
              <w:rPr>
                <w:rFonts w:hint="eastAsia"/>
                <w:lang w:val="en-US" w:eastAsia="zh-CN"/>
              </w:rPr>
            </w:pPr>
            <w:r>
              <w:rPr>
                <w:rFonts w:hint="eastAsia"/>
                <w:lang w:val="en-US" w:eastAsia="zh-CN"/>
              </w:rPr>
              <w:t>2.2.1</w:t>
            </w:r>
          </w:p>
        </w:tc>
        <w:tc>
          <w:tcPr>
            <w:tcW w:w="1275" w:type="dxa"/>
            <w:vMerge w:val="restart"/>
            <w:tcBorders>
              <w:top w:val="single" w:color="auto" w:sz="4" w:space="0"/>
              <w:left w:val="single" w:color="auto" w:sz="4" w:space="0"/>
              <w:right w:val="single" w:color="auto" w:sz="4" w:space="0"/>
            </w:tcBorders>
            <w:vAlign w:val="center"/>
          </w:tcPr>
          <w:p w14:paraId="584EDD37">
            <w:pPr>
              <w:pStyle w:val="46"/>
              <w:bidi w:val="0"/>
              <w:rPr>
                <w:rFonts w:hint="eastAsia"/>
                <w:lang w:val="en-US" w:eastAsia="zh-CN"/>
              </w:rPr>
            </w:pPr>
            <w:r>
              <w:rPr>
                <w:rFonts w:hint="eastAsia"/>
              </w:rPr>
              <w:t>投标人</w:t>
            </w:r>
            <w:r>
              <w:rPr>
                <w:rFonts w:hint="eastAsia"/>
                <w:lang w:val="en-US" w:eastAsia="zh-CN"/>
              </w:rPr>
              <w:t>对招标文件</w:t>
            </w:r>
            <w:r>
              <w:rPr>
                <w:rFonts w:hint="eastAsia"/>
              </w:rPr>
              <w:t>提出</w:t>
            </w:r>
            <w:r>
              <w:rPr>
                <w:rFonts w:hint="eastAsia"/>
                <w:lang w:val="en-US" w:eastAsia="zh-CN"/>
              </w:rPr>
              <w:t>疑问</w:t>
            </w:r>
            <w:r>
              <w:rPr>
                <w:rFonts w:hint="eastAsia"/>
              </w:rPr>
              <w:t>的截止时间</w:t>
            </w:r>
            <w:r>
              <w:rPr>
                <w:rFonts w:hint="eastAsia"/>
                <w:lang w:val="en-US" w:eastAsia="zh-CN"/>
              </w:rPr>
              <w:t>及形式</w:t>
            </w:r>
          </w:p>
        </w:tc>
        <w:tc>
          <w:tcPr>
            <w:tcW w:w="6313" w:type="dxa"/>
          </w:tcPr>
          <w:p w14:paraId="2F45FDB8">
            <w:pPr>
              <w:pStyle w:val="46"/>
              <w:bidi w:val="0"/>
              <w:rPr>
                <w:rFonts w:hint="eastAsia"/>
                <w:lang w:val="en-US" w:eastAsia="zh-CN"/>
              </w:rPr>
            </w:pPr>
            <w:r>
              <w:rPr>
                <w:rFonts w:hint="eastAsia"/>
                <w:lang w:val="en-US" w:eastAsia="zh-CN"/>
              </w:rPr>
              <w:t>时间：2024</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r>
              <w:rPr>
                <w:rFonts w:hint="eastAsia"/>
                <w:lang w:val="en-US" w:eastAsia="zh-CN"/>
              </w:rPr>
              <w:t>17</w:t>
            </w:r>
            <w:r>
              <w:rPr>
                <w:rFonts w:hint="eastAsia"/>
              </w:rPr>
              <w:t>时</w:t>
            </w:r>
            <w:r>
              <w:rPr>
                <w:rFonts w:hint="eastAsia"/>
                <w:lang w:val="en-US" w:eastAsia="zh-CN"/>
              </w:rPr>
              <w:t>00</w:t>
            </w:r>
            <w:r>
              <w:rPr>
                <w:rFonts w:hint="eastAsia"/>
              </w:rPr>
              <w:t>分</w:t>
            </w:r>
            <w:r>
              <w:rPr>
                <w:rFonts w:hint="eastAsia"/>
                <w:lang w:val="en-US" w:eastAsia="zh-CN"/>
              </w:rPr>
              <w:t>前</w:t>
            </w:r>
          </w:p>
        </w:tc>
      </w:tr>
      <w:tr w14:paraId="61A2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Merge w:val="continue"/>
          </w:tcPr>
          <w:p w14:paraId="115D6169">
            <w:pPr>
              <w:pStyle w:val="46"/>
              <w:bidi w:val="0"/>
            </w:pPr>
          </w:p>
        </w:tc>
        <w:tc>
          <w:tcPr>
            <w:tcW w:w="1275" w:type="dxa"/>
            <w:vMerge w:val="continue"/>
            <w:tcBorders>
              <w:top w:val="single" w:color="auto" w:sz="4" w:space="0"/>
              <w:left w:val="single" w:color="auto" w:sz="4" w:space="0"/>
              <w:right w:val="single" w:color="auto" w:sz="4" w:space="0"/>
            </w:tcBorders>
          </w:tcPr>
          <w:p w14:paraId="259EB89E">
            <w:pPr>
              <w:pStyle w:val="46"/>
              <w:bidi w:val="0"/>
            </w:pPr>
          </w:p>
        </w:tc>
        <w:tc>
          <w:tcPr>
            <w:tcW w:w="6313" w:type="dxa"/>
            <w:vAlign w:val="center"/>
          </w:tcPr>
          <w:p w14:paraId="6B26CCAB">
            <w:pPr>
              <w:pStyle w:val="46"/>
              <w:bidi w:val="0"/>
              <w:rPr>
                <w:rFonts w:hint="eastAsia"/>
                <w:lang w:val="en-US" w:eastAsia="zh-CN"/>
              </w:rPr>
            </w:pPr>
            <w:r>
              <w:rPr>
                <w:rFonts w:hint="eastAsia"/>
                <w:lang w:val="en-US" w:eastAsia="zh-CN"/>
              </w:rPr>
              <w:t>形式：</w:t>
            </w:r>
            <w:r>
              <w:rPr>
                <w:rFonts w:hint="eastAsia"/>
              </w:rPr>
              <w:t>详见招标公告</w:t>
            </w:r>
          </w:p>
        </w:tc>
      </w:tr>
      <w:tr w14:paraId="503B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Merge w:val="restart"/>
            <w:vAlign w:val="center"/>
          </w:tcPr>
          <w:p w14:paraId="7A16549B">
            <w:pPr>
              <w:pStyle w:val="46"/>
              <w:bidi w:val="0"/>
              <w:rPr>
                <w:rFonts w:hint="eastAsia"/>
                <w:lang w:val="en-US" w:eastAsia="zh-CN"/>
              </w:rPr>
            </w:pPr>
            <w:r>
              <w:rPr>
                <w:rFonts w:hint="eastAsia"/>
                <w:lang w:val="en-US" w:eastAsia="zh-CN"/>
              </w:rPr>
              <w:t>2.2.2</w:t>
            </w:r>
          </w:p>
        </w:tc>
        <w:tc>
          <w:tcPr>
            <w:tcW w:w="1275" w:type="dxa"/>
            <w:vMerge w:val="restart"/>
            <w:tcBorders>
              <w:top w:val="single" w:color="auto" w:sz="4" w:space="0"/>
              <w:left w:val="single" w:color="auto" w:sz="4" w:space="0"/>
              <w:right w:val="single" w:color="auto" w:sz="4" w:space="0"/>
            </w:tcBorders>
            <w:vAlign w:val="center"/>
          </w:tcPr>
          <w:p w14:paraId="78906AF3">
            <w:pPr>
              <w:pStyle w:val="46"/>
              <w:bidi w:val="0"/>
              <w:rPr>
                <w:rFonts w:hint="eastAsia"/>
                <w:lang w:val="en-US" w:eastAsia="zh-CN"/>
              </w:rPr>
            </w:pPr>
            <w:r>
              <w:rPr>
                <w:rFonts w:hint="eastAsia"/>
                <w:lang w:val="en-US" w:eastAsia="zh-CN"/>
              </w:rPr>
              <w:t>招标人对招标文件澄清的</w:t>
            </w:r>
            <w:r>
              <w:rPr>
                <w:rFonts w:hint="eastAsia"/>
              </w:rPr>
              <w:t>截止时间</w:t>
            </w:r>
            <w:r>
              <w:rPr>
                <w:rFonts w:hint="eastAsia"/>
                <w:lang w:val="en-US" w:eastAsia="zh-CN"/>
              </w:rPr>
              <w:t>及形式</w:t>
            </w:r>
          </w:p>
        </w:tc>
        <w:tc>
          <w:tcPr>
            <w:tcW w:w="6313" w:type="dxa"/>
          </w:tcPr>
          <w:p w14:paraId="325EACD3">
            <w:pPr>
              <w:pStyle w:val="46"/>
              <w:bidi w:val="0"/>
              <w:rPr>
                <w:rFonts w:hint="eastAsia"/>
                <w:lang w:val="en-US" w:eastAsia="zh-CN"/>
              </w:rPr>
            </w:pPr>
            <w:r>
              <w:rPr>
                <w:rFonts w:hint="eastAsia"/>
                <w:lang w:val="en-US" w:eastAsia="zh-CN"/>
              </w:rPr>
              <w:t>时间：2024</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r>
              <w:rPr>
                <w:rFonts w:hint="eastAsia"/>
                <w:lang w:val="en-US" w:eastAsia="zh-CN"/>
              </w:rPr>
              <w:t>17</w:t>
            </w:r>
            <w:r>
              <w:rPr>
                <w:rFonts w:hint="eastAsia"/>
              </w:rPr>
              <w:t>时</w:t>
            </w:r>
            <w:r>
              <w:rPr>
                <w:rFonts w:hint="eastAsia"/>
                <w:lang w:val="en-US" w:eastAsia="zh-CN"/>
              </w:rPr>
              <w:t>00</w:t>
            </w:r>
            <w:r>
              <w:rPr>
                <w:rFonts w:hint="eastAsia"/>
              </w:rPr>
              <w:t>分</w:t>
            </w:r>
            <w:r>
              <w:rPr>
                <w:rFonts w:hint="eastAsia"/>
                <w:lang w:val="en-US" w:eastAsia="zh-CN"/>
              </w:rPr>
              <w:t>前</w:t>
            </w:r>
          </w:p>
        </w:tc>
      </w:tr>
      <w:tr w14:paraId="431D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Merge w:val="continue"/>
          </w:tcPr>
          <w:p w14:paraId="2CB49EFB">
            <w:pPr>
              <w:pStyle w:val="46"/>
              <w:bidi w:val="0"/>
            </w:pPr>
          </w:p>
        </w:tc>
        <w:tc>
          <w:tcPr>
            <w:tcW w:w="1275" w:type="dxa"/>
            <w:vMerge w:val="continue"/>
            <w:tcBorders>
              <w:top w:val="single" w:color="auto" w:sz="4" w:space="0"/>
              <w:left w:val="single" w:color="auto" w:sz="4" w:space="0"/>
              <w:right w:val="single" w:color="auto" w:sz="4" w:space="0"/>
            </w:tcBorders>
          </w:tcPr>
          <w:p w14:paraId="198484F4">
            <w:pPr>
              <w:pStyle w:val="46"/>
              <w:bidi w:val="0"/>
            </w:pPr>
          </w:p>
        </w:tc>
        <w:tc>
          <w:tcPr>
            <w:tcW w:w="6313" w:type="dxa"/>
            <w:vAlign w:val="center"/>
          </w:tcPr>
          <w:p w14:paraId="795BD667">
            <w:pPr>
              <w:pStyle w:val="46"/>
              <w:bidi w:val="0"/>
              <w:rPr>
                <w:rFonts w:hint="eastAsia"/>
              </w:rPr>
            </w:pPr>
            <w:r>
              <w:rPr>
                <w:rFonts w:hint="eastAsia"/>
                <w:lang w:val="en-US" w:eastAsia="zh-CN"/>
              </w:rPr>
              <w:t>形式：</w:t>
            </w:r>
            <w:r>
              <w:rPr>
                <w:rFonts w:hint="eastAsia"/>
              </w:rPr>
              <w:t>详见招标公告</w:t>
            </w:r>
          </w:p>
        </w:tc>
      </w:tr>
      <w:tr w14:paraId="27B5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7AE0B29C">
            <w:pPr>
              <w:pStyle w:val="46"/>
              <w:bidi w:val="0"/>
              <w:rPr>
                <w:rFonts w:hint="eastAsia"/>
                <w:lang w:val="en-US" w:eastAsia="zh-CN"/>
              </w:rPr>
            </w:pPr>
            <w:r>
              <w:rPr>
                <w:rFonts w:hint="eastAsia"/>
                <w:lang w:val="en-US" w:eastAsia="zh-CN"/>
              </w:rPr>
              <w:t>2.2.3</w:t>
            </w:r>
          </w:p>
        </w:tc>
        <w:tc>
          <w:tcPr>
            <w:tcW w:w="1275" w:type="dxa"/>
            <w:tcBorders>
              <w:top w:val="single" w:color="auto" w:sz="4" w:space="0"/>
              <w:left w:val="single" w:color="auto" w:sz="4" w:space="0"/>
              <w:right w:val="single" w:color="auto" w:sz="4" w:space="0"/>
            </w:tcBorders>
            <w:vAlign w:val="center"/>
          </w:tcPr>
          <w:p w14:paraId="2F9F114E">
            <w:pPr>
              <w:pStyle w:val="46"/>
              <w:bidi w:val="0"/>
              <w:rPr>
                <w:rFonts w:hint="eastAsia"/>
                <w:lang w:val="en-US" w:eastAsia="zh-CN"/>
              </w:rPr>
            </w:pPr>
            <w:r>
              <w:rPr>
                <w:rFonts w:hint="eastAsia"/>
                <w:lang w:val="en-US" w:eastAsia="zh-CN"/>
              </w:rPr>
              <w:t>招标文件的修改</w:t>
            </w:r>
          </w:p>
        </w:tc>
        <w:tc>
          <w:tcPr>
            <w:tcW w:w="6313" w:type="dxa"/>
          </w:tcPr>
          <w:p w14:paraId="59CE8644">
            <w:pPr>
              <w:pStyle w:val="46"/>
              <w:bidi w:val="0"/>
              <w:rPr>
                <w:rFonts w:hint="eastAsia"/>
                <w:lang w:val="en-US" w:eastAsia="zh-CN"/>
              </w:rPr>
            </w:pPr>
            <w:r>
              <w:rPr>
                <w:rFonts w:hint="eastAsia"/>
              </w:rPr>
              <w:t>在《重庆市公共资源交易网（www.cqggzy.com）》上发布</w:t>
            </w:r>
          </w:p>
        </w:tc>
      </w:tr>
      <w:tr w14:paraId="0CF4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tcPr>
          <w:p w14:paraId="5A015B8B">
            <w:pPr>
              <w:pStyle w:val="46"/>
              <w:bidi w:val="0"/>
              <w:rPr>
                <w:rFonts w:hint="eastAsia"/>
                <w:lang w:val="en-US" w:eastAsia="zh-CN"/>
              </w:rPr>
            </w:pPr>
            <w:r>
              <w:rPr>
                <w:rFonts w:hint="eastAsia"/>
                <w:lang w:val="en-US" w:eastAsia="zh-CN"/>
              </w:rPr>
              <w:t>3.1</w:t>
            </w:r>
          </w:p>
        </w:tc>
        <w:tc>
          <w:tcPr>
            <w:tcW w:w="1275" w:type="dxa"/>
            <w:tcBorders>
              <w:top w:val="single" w:color="auto" w:sz="4" w:space="0"/>
              <w:left w:val="single" w:color="auto" w:sz="4" w:space="0"/>
              <w:right w:val="single" w:color="auto" w:sz="4" w:space="0"/>
            </w:tcBorders>
          </w:tcPr>
          <w:p w14:paraId="5592E3E2">
            <w:pPr>
              <w:pStyle w:val="46"/>
              <w:bidi w:val="0"/>
              <w:rPr>
                <w:rFonts w:hint="eastAsia"/>
              </w:rPr>
            </w:pPr>
            <w:r>
              <w:rPr>
                <w:rFonts w:hint="eastAsia"/>
              </w:rPr>
              <w:t>投标文件的组成</w:t>
            </w:r>
          </w:p>
        </w:tc>
        <w:tc>
          <w:tcPr>
            <w:tcW w:w="6313" w:type="dxa"/>
          </w:tcPr>
          <w:p w14:paraId="7B3AF78C">
            <w:pPr>
              <w:pStyle w:val="46"/>
              <w:bidi w:val="0"/>
              <w:rPr>
                <w:rFonts w:hint="eastAsia"/>
              </w:rPr>
            </w:pPr>
            <w:r>
              <w:rPr>
                <w:rFonts w:hint="eastAsia"/>
              </w:rPr>
              <w:t>投标文件</w:t>
            </w:r>
            <w:r>
              <w:rPr>
                <w:rFonts w:hint="eastAsia"/>
                <w:lang w:val="en-US" w:eastAsia="zh-CN"/>
              </w:rPr>
              <w:t>由</w:t>
            </w:r>
            <w:r>
              <w:rPr>
                <w:rFonts w:hint="eastAsia"/>
              </w:rPr>
              <w:t>投标人所作的一切有效补充、修改和承诺等文件组成，投标人应按照第</w:t>
            </w:r>
            <w:r>
              <w:rPr>
                <w:rFonts w:hint="eastAsia"/>
                <w:lang w:val="en-US" w:eastAsia="zh-CN"/>
              </w:rPr>
              <w:t>六</w:t>
            </w:r>
            <w:r>
              <w:rPr>
                <w:rFonts w:hint="eastAsia"/>
              </w:rPr>
              <w:t>章“投标文件格式”规定的目录顺序组织编写和装订，否则有可能影响投标人的投标文件评审。</w:t>
            </w:r>
          </w:p>
        </w:tc>
      </w:tr>
      <w:tr w14:paraId="267E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tcPr>
          <w:p w14:paraId="4679937B">
            <w:pPr>
              <w:pStyle w:val="46"/>
              <w:bidi w:val="0"/>
              <w:rPr>
                <w:rFonts w:hint="eastAsia"/>
                <w:lang w:val="en-US" w:eastAsia="zh-CN"/>
              </w:rPr>
            </w:pPr>
            <w:r>
              <w:rPr>
                <w:rFonts w:hint="eastAsia"/>
                <w:lang w:val="en-US" w:eastAsia="zh-CN"/>
              </w:rPr>
              <w:t>3.2</w:t>
            </w:r>
          </w:p>
        </w:tc>
        <w:tc>
          <w:tcPr>
            <w:tcW w:w="1275" w:type="dxa"/>
            <w:tcBorders>
              <w:top w:val="single" w:color="auto" w:sz="4" w:space="0"/>
              <w:left w:val="single" w:color="auto" w:sz="4" w:space="0"/>
              <w:right w:val="single" w:color="auto" w:sz="4" w:space="0"/>
            </w:tcBorders>
          </w:tcPr>
          <w:p w14:paraId="78419779">
            <w:pPr>
              <w:pStyle w:val="46"/>
              <w:bidi w:val="0"/>
              <w:rPr>
                <w:rFonts w:hint="eastAsia"/>
                <w:lang w:val="en-US" w:eastAsia="zh-CN"/>
              </w:rPr>
            </w:pPr>
            <w:r>
              <w:rPr>
                <w:rFonts w:hint="eastAsia"/>
                <w:lang w:val="en-US" w:eastAsia="zh-CN"/>
              </w:rPr>
              <w:t>投标报价</w:t>
            </w:r>
          </w:p>
        </w:tc>
        <w:tc>
          <w:tcPr>
            <w:tcW w:w="6313" w:type="dxa"/>
          </w:tcPr>
          <w:p w14:paraId="743D97CA">
            <w:pPr>
              <w:pStyle w:val="46"/>
              <w:bidi w:val="0"/>
              <w:rPr>
                <w:rFonts w:hint="eastAsia"/>
              </w:rPr>
            </w:pPr>
            <w:r>
              <w:rPr>
                <w:rFonts w:hint="eastAsia"/>
              </w:rPr>
              <w:t>投标人应严格按照“投标文件格式”填写报价。</w:t>
            </w:r>
          </w:p>
          <w:p w14:paraId="472D6007">
            <w:pPr>
              <w:pStyle w:val="46"/>
              <w:bidi w:val="0"/>
              <w:rPr>
                <w:rFonts w:hint="eastAsia"/>
              </w:rPr>
            </w:pPr>
            <w:r>
              <w:rPr>
                <w:rFonts w:hint="eastAsia"/>
              </w:rPr>
              <w:t>投标人的报价为一次性报价，即在投标有效期内投标价格固定不变。</w:t>
            </w:r>
          </w:p>
          <w:p w14:paraId="0C4DF210">
            <w:pPr>
              <w:pStyle w:val="46"/>
              <w:bidi w:val="0"/>
              <w:rPr>
                <w:rFonts w:hint="eastAsia"/>
              </w:rPr>
            </w:pPr>
            <w:r>
              <w:rPr>
                <w:rFonts w:hint="eastAsia"/>
              </w:rPr>
              <w:t>本项目只接受一个投标报价，有选择的或有条件的投标将不予接受。</w:t>
            </w:r>
          </w:p>
          <w:p w14:paraId="1136C6A8">
            <w:pPr>
              <w:pStyle w:val="46"/>
              <w:bidi w:val="0"/>
              <w:rPr>
                <w:rFonts w:hint="eastAsia"/>
                <w:lang w:eastAsia="zh-CN"/>
              </w:rPr>
            </w:pPr>
            <w:r>
              <w:rPr>
                <w:rFonts w:hint="eastAsia"/>
                <w:b/>
                <w:bCs w:val="0"/>
              </w:rPr>
              <w:t>最高投标限价（含增值税，税率</w:t>
            </w:r>
            <w:r>
              <w:rPr>
                <w:rFonts w:hint="eastAsia"/>
                <w:b/>
                <w:bCs w:val="0"/>
                <w:lang w:val="en-US" w:eastAsia="zh-CN"/>
              </w:rPr>
              <w:t>13</w:t>
            </w:r>
            <w:r>
              <w:rPr>
                <w:rFonts w:hint="eastAsia"/>
                <w:b/>
                <w:bCs w:val="0"/>
              </w:rPr>
              <w:t>%）</w:t>
            </w:r>
            <w:r>
              <w:rPr>
                <w:rFonts w:hint="eastAsia"/>
              </w:rPr>
              <w:t>：</w:t>
            </w:r>
          </w:p>
          <w:p w14:paraId="7E382386">
            <w:pPr>
              <w:pStyle w:val="46"/>
              <w:bidi w:val="0"/>
              <w:rPr>
                <w:rFonts w:hint="eastAsia"/>
                <w:lang w:eastAsia="zh-CN"/>
              </w:rPr>
            </w:pPr>
            <w:r>
              <w:rPr>
                <w:rFonts w:hint="eastAsia"/>
              </w:rPr>
              <w:t>存取款一体机（动态密码锁）人民币</w:t>
            </w:r>
            <w:r>
              <w:rPr>
                <w:rFonts w:hint="eastAsia"/>
                <w:lang w:val="en-US" w:eastAsia="zh-CN"/>
              </w:rPr>
              <w:t>4.9</w:t>
            </w:r>
            <w:r>
              <w:rPr>
                <w:rFonts w:hint="eastAsia"/>
              </w:rPr>
              <w:t>万/</w:t>
            </w:r>
            <w:r>
              <w:rPr>
                <w:rFonts w:hint="eastAsia"/>
                <w:lang w:val="en-US" w:eastAsia="zh-CN"/>
              </w:rPr>
              <w:t>台</w:t>
            </w:r>
            <w:r>
              <w:rPr>
                <w:rFonts w:hint="eastAsia"/>
                <w:lang w:eastAsia="zh-CN"/>
              </w:rPr>
              <w:t>。</w:t>
            </w:r>
          </w:p>
          <w:p w14:paraId="0BB27D9F">
            <w:pPr>
              <w:pStyle w:val="46"/>
              <w:bidi w:val="0"/>
              <w:rPr>
                <w:rFonts w:hint="eastAsia"/>
                <w:lang w:eastAsia="zh-CN"/>
              </w:rPr>
            </w:pPr>
            <w:r>
              <w:rPr>
                <w:rFonts w:hint="eastAsia"/>
              </w:rPr>
              <w:t>动态密码锁人民币</w:t>
            </w:r>
            <w:r>
              <w:rPr>
                <w:rFonts w:hint="eastAsia"/>
                <w:lang w:val="en-US" w:eastAsia="zh-CN"/>
              </w:rPr>
              <w:t>0.4</w:t>
            </w:r>
            <w:r>
              <w:rPr>
                <w:rFonts w:hint="eastAsia"/>
              </w:rPr>
              <w:t>万/</w:t>
            </w:r>
            <w:r>
              <w:rPr>
                <w:rFonts w:hint="eastAsia"/>
                <w:lang w:val="en-US" w:eastAsia="zh-CN"/>
              </w:rPr>
              <w:t>把</w:t>
            </w:r>
            <w:r>
              <w:rPr>
                <w:rFonts w:hint="eastAsia"/>
                <w:lang w:eastAsia="zh-CN"/>
              </w:rPr>
              <w:t>。</w:t>
            </w:r>
          </w:p>
          <w:p w14:paraId="181934A2">
            <w:pPr>
              <w:pStyle w:val="46"/>
              <w:bidi w:val="0"/>
              <w:rPr>
                <w:rFonts w:hint="eastAsia"/>
              </w:rPr>
            </w:pPr>
            <w:r>
              <w:rPr>
                <w:rFonts w:hint="eastAsia"/>
              </w:rPr>
              <w:t>存折打印机人民币</w:t>
            </w:r>
            <w:r>
              <w:rPr>
                <w:rFonts w:hint="eastAsia"/>
                <w:lang w:val="en-US" w:eastAsia="zh-CN"/>
              </w:rPr>
              <w:t>0.2</w:t>
            </w:r>
            <w:r>
              <w:rPr>
                <w:rFonts w:hint="eastAsia"/>
              </w:rPr>
              <w:t>万/</w:t>
            </w:r>
            <w:r>
              <w:rPr>
                <w:rFonts w:hint="eastAsia"/>
                <w:lang w:val="en-US" w:eastAsia="zh-CN"/>
              </w:rPr>
              <w:t>台</w:t>
            </w:r>
            <w:r>
              <w:rPr>
                <w:rFonts w:hint="eastAsia"/>
                <w:lang w:eastAsia="zh-CN"/>
              </w:rPr>
              <w:t>。</w:t>
            </w:r>
          </w:p>
        </w:tc>
      </w:tr>
      <w:tr w14:paraId="7060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tcPr>
          <w:p w14:paraId="52A9FC22">
            <w:pPr>
              <w:pStyle w:val="46"/>
              <w:bidi w:val="0"/>
              <w:rPr>
                <w:rFonts w:hint="eastAsia"/>
                <w:lang w:val="en-US" w:eastAsia="zh-CN"/>
              </w:rPr>
            </w:pPr>
            <w:r>
              <w:rPr>
                <w:rFonts w:hint="eastAsia"/>
                <w:lang w:val="en-US" w:eastAsia="zh-CN"/>
              </w:rPr>
              <w:t>3.3.1</w:t>
            </w:r>
          </w:p>
        </w:tc>
        <w:tc>
          <w:tcPr>
            <w:tcW w:w="1275" w:type="dxa"/>
            <w:tcBorders>
              <w:top w:val="single" w:color="auto" w:sz="4" w:space="0"/>
              <w:left w:val="single" w:color="auto" w:sz="4" w:space="0"/>
              <w:right w:val="single" w:color="auto" w:sz="4" w:space="0"/>
            </w:tcBorders>
          </w:tcPr>
          <w:p w14:paraId="7D03AF3C">
            <w:pPr>
              <w:pStyle w:val="46"/>
              <w:bidi w:val="0"/>
              <w:rPr>
                <w:rFonts w:hint="eastAsia"/>
              </w:rPr>
            </w:pPr>
            <w:r>
              <w:rPr>
                <w:rFonts w:hint="eastAsia"/>
              </w:rPr>
              <w:t>投标有效期</w:t>
            </w:r>
          </w:p>
        </w:tc>
        <w:tc>
          <w:tcPr>
            <w:tcW w:w="6313" w:type="dxa"/>
          </w:tcPr>
          <w:p w14:paraId="3D8F5D9C">
            <w:pPr>
              <w:pStyle w:val="46"/>
              <w:bidi w:val="0"/>
              <w:rPr>
                <w:rFonts w:hint="eastAsia"/>
                <w:lang w:val="en-US" w:eastAsia="zh-CN"/>
              </w:rPr>
            </w:pPr>
            <w:r>
              <w:rPr>
                <w:rFonts w:hint="eastAsia"/>
              </w:rPr>
              <w:t>投标截止日期后90天内</w:t>
            </w:r>
          </w:p>
        </w:tc>
      </w:tr>
      <w:tr w14:paraId="59DC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08C9D7B8">
            <w:pPr>
              <w:pStyle w:val="46"/>
              <w:bidi w:val="0"/>
              <w:rPr>
                <w:rFonts w:hint="eastAsia"/>
              </w:rPr>
            </w:pPr>
            <w:r>
              <w:rPr>
                <w:rFonts w:hint="eastAsia"/>
                <w:lang w:val="en-US" w:eastAsia="zh-CN"/>
              </w:rPr>
              <w:t>3.4.1</w:t>
            </w:r>
          </w:p>
        </w:tc>
        <w:tc>
          <w:tcPr>
            <w:tcW w:w="1275" w:type="dxa"/>
            <w:tcBorders>
              <w:top w:val="single" w:color="auto" w:sz="4" w:space="0"/>
              <w:left w:val="single" w:color="auto" w:sz="4" w:space="0"/>
              <w:right w:val="single" w:color="auto" w:sz="4" w:space="0"/>
            </w:tcBorders>
            <w:vAlign w:val="center"/>
          </w:tcPr>
          <w:p w14:paraId="78DD9084">
            <w:pPr>
              <w:pStyle w:val="46"/>
              <w:bidi w:val="0"/>
              <w:rPr>
                <w:rFonts w:hint="eastAsia"/>
              </w:rPr>
            </w:pPr>
            <w:r>
              <w:rPr>
                <w:rFonts w:hint="eastAsia"/>
              </w:rPr>
              <w:t>投标保证金</w:t>
            </w:r>
          </w:p>
        </w:tc>
        <w:tc>
          <w:tcPr>
            <w:tcW w:w="6313" w:type="dxa"/>
          </w:tcPr>
          <w:p w14:paraId="327560D5">
            <w:pPr>
              <w:pStyle w:val="46"/>
              <w:bidi w:val="0"/>
              <w:rPr>
                <w:rFonts w:hint="eastAsia"/>
                <w:lang w:val="en-US" w:eastAsia="zh-CN"/>
              </w:rPr>
            </w:pPr>
            <w:r>
              <w:rPr>
                <w:rFonts w:hint="eastAsia"/>
                <w:lang w:val="en-US" w:eastAsia="zh-CN"/>
              </w:rPr>
              <w:t>（1）是否要求投标人提交投标保证金：</w:t>
            </w:r>
          </w:p>
          <w:p w14:paraId="01DF0710">
            <w:pPr>
              <w:pStyle w:val="46"/>
              <w:bidi w:val="0"/>
              <w:rPr>
                <w:rFonts w:hint="eastAsia"/>
                <w:lang w:val="en-US" w:eastAsia="zh-CN"/>
              </w:rPr>
            </w:pPr>
            <w:r>
              <w:rPr>
                <w:rFonts w:hint="eastAsia"/>
                <w:lang w:val="en-US" w:eastAsia="zh-CN"/>
              </w:rPr>
              <w:t>□不要求。</w:t>
            </w:r>
          </w:p>
          <w:p w14:paraId="3CB25F63">
            <w:pPr>
              <w:pStyle w:val="46"/>
              <w:bidi w:val="0"/>
              <w:rPr>
                <w:rFonts w:hint="eastAsia"/>
                <w:lang w:val="en-US" w:eastAsia="zh-CN"/>
              </w:rPr>
            </w:pPr>
            <w:r>
              <w:rPr>
                <w:rFonts w:hint="eastAsia"/>
                <w:lang w:val="en-US" w:eastAsia="zh-CN"/>
              </w:rPr>
              <w:t>☑要求。</w:t>
            </w:r>
          </w:p>
          <w:p w14:paraId="4DCB607E">
            <w:pPr>
              <w:pStyle w:val="46"/>
              <w:bidi w:val="0"/>
              <w:rPr>
                <w:rFonts w:hint="eastAsia"/>
              </w:rPr>
            </w:pPr>
            <w:r>
              <w:rPr>
                <w:rFonts w:hint="eastAsia"/>
                <w:lang w:val="en-US" w:eastAsia="zh-CN"/>
              </w:rPr>
              <w:t>（2）</w:t>
            </w:r>
            <w:r>
              <w:rPr>
                <w:rFonts w:hint="eastAsia"/>
              </w:rPr>
              <w:t>投标人应在投标截止时间前，按投标文件规定向投标人缴纳投标保证金。</w:t>
            </w:r>
          </w:p>
          <w:p w14:paraId="0F44A9EC">
            <w:pPr>
              <w:pStyle w:val="46"/>
              <w:bidi w:val="0"/>
              <w:rPr>
                <w:rFonts w:hint="eastAsia"/>
              </w:rPr>
            </w:pPr>
            <w:r>
              <w:rPr>
                <w:rFonts w:hint="eastAsia"/>
                <w:lang w:val="en-US" w:eastAsia="zh-CN"/>
              </w:rPr>
              <w:t>（3）</w:t>
            </w:r>
            <w:r>
              <w:rPr>
                <w:rFonts w:hint="eastAsia"/>
              </w:rPr>
              <w:t>投标保证金为投标的有效约束条件。</w:t>
            </w:r>
          </w:p>
          <w:p w14:paraId="6B6A27F7">
            <w:pPr>
              <w:pStyle w:val="46"/>
              <w:bidi w:val="0"/>
              <w:rPr>
                <w:rFonts w:hint="eastAsia"/>
              </w:rPr>
            </w:pPr>
            <w:r>
              <w:rPr>
                <w:rFonts w:hint="eastAsia"/>
                <w:lang w:val="en-US" w:eastAsia="zh-CN"/>
              </w:rPr>
              <w:t>（4）</w:t>
            </w:r>
            <w:r>
              <w:rPr>
                <w:rFonts w:hint="eastAsia"/>
              </w:rPr>
              <w:t>投标保证金有效期与投标文件有效期一致。</w:t>
            </w:r>
          </w:p>
          <w:p w14:paraId="5ECF327C">
            <w:pPr>
              <w:pStyle w:val="46"/>
              <w:bidi w:val="0"/>
              <w:rPr>
                <w:rFonts w:hint="eastAsia"/>
                <w:lang w:val="en-US" w:eastAsia="zh-CN"/>
              </w:rPr>
            </w:pPr>
            <w:r>
              <w:rPr>
                <w:rFonts w:hint="eastAsia"/>
                <w:lang w:val="en-US" w:eastAsia="zh-CN"/>
              </w:rPr>
              <w:t>（5）</w:t>
            </w:r>
            <w:r>
              <w:rPr>
                <w:rFonts w:hint="eastAsia"/>
              </w:rPr>
              <w:t>投标保证金币种应与投标报价币种相同。</w:t>
            </w:r>
          </w:p>
          <w:p w14:paraId="4D6A0872">
            <w:pPr>
              <w:pStyle w:val="46"/>
              <w:bidi w:val="0"/>
              <w:rPr>
                <w:rFonts w:hint="eastAsia"/>
                <w:lang w:val="en-US" w:eastAsia="zh-CN"/>
              </w:rPr>
            </w:pPr>
            <w:r>
              <w:rPr>
                <w:rFonts w:hint="eastAsia"/>
                <w:lang w:val="en-US" w:eastAsia="zh-CN"/>
              </w:rPr>
              <w:t>（6）投标保证金的交纳方式：</w:t>
            </w:r>
          </w:p>
          <w:p w14:paraId="1BD6DA42">
            <w:pPr>
              <w:pStyle w:val="46"/>
              <w:bidi w:val="0"/>
              <w:rPr>
                <w:rFonts w:hint="eastAsia"/>
                <w:lang w:val="en-US" w:eastAsia="zh-CN"/>
              </w:rPr>
            </w:pPr>
            <w:r>
              <w:rPr>
                <w:rFonts w:hint="eastAsia"/>
                <w:lang w:val="en-US" w:eastAsia="zh-CN"/>
              </w:rPr>
              <w:t>以转账支票或电汇形式交纳投标保证金</w:t>
            </w:r>
          </w:p>
          <w:p w14:paraId="41864D02">
            <w:pPr>
              <w:pStyle w:val="46"/>
              <w:bidi w:val="0"/>
              <w:rPr>
                <w:rFonts w:hint="eastAsia"/>
                <w:lang w:val="en-US" w:eastAsia="zh-CN"/>
              </w:rPr>
            </w:pPr>
            <w:r>
              <w:rPr>
                <w:rFonts w:hint="eastAsia"/>
                <w:lang w:val="en-US" w:eastAsia="zh-CN"/>
              </w:rPr>
              <w:t>（7）投标保证金交款形式及要求：投标人从企业的账户在投标截止时间前通过转账支票直接划付或以电汇方式直接划付至公告下面</w:t>
            </w:r>
            <w:r>
              <w:rPr>
                <w:rFonts w:hint="eastAsia"/>
              </w:rPr>
              <w:t>指定的账户，否则，投标保证金无效。投标人自行考虑汇入到账时间风险</w:t>
            </w:r>
            <w:r>
              <w:rPr>
                <w:rFonts w:hint="eastAsia"/>
                <w:lang w:val="en-US" w:eastAsia="zh-CN"/>
              </w:rPr>
              <w:t>。若投标截止时间延期，则投标保证金提交的截止时间和投标截止时间应当保持一致。不满足上述要求的投标保证金无效。</w:t>
            </w:r>
          </w:p>
          <w:p w14:paraId="2CCFCF09">
            <w:pPr>
              <w:pStyle w:val="46"/>
              <w:bidi w:val="0"/>
              <w:rPr>
                <w:rFonts w:hint="eastAsia"/>
                <w:lang w:val="en-US" w:eastAsia="zh-CN"/>
              </w:rPr>
            </w:pPr>
            <w:r>
              <w:rPr>
                <w:rFonts w:hint="eastAsia"/>
                <w:lang w:val="en-US" w:eastAsia="zh-CN"/>
              </w:rPr>
              <w:t>投标人自行考虑汇入时间风险，如同城汇入、异地汇入、跨行汇入的时间要求，</w:t>
            </w:r>
            <w:r>
              <w:rPr>
                <w:rFonts w:hint="eastAsia"/>
              </w:rPr>
              <w:t>本项目投标保证金不接受任何形式保函（包括电子保函）</w:t>
            </w:r>
            <w:r>
              <w:rPr>
                <w:rFonts w:hint="eastAsia"/>
                <w:lang w:val="en-US" w:eastAsia="zh-CN"/>
              </w:rPr>
              <w:t>。</w:t>
            </w:r>
          </w:p>
          <w:p w14:paraId="069005CB">
            <w:pPr>
              <w:pStyle w:val="46"/>
              <w:bidi w:val="0"/>
              <w:rPr>
                <w:rFonts w:hint="eastAsia"/>
                <w:lang w:val="en-US" w:eastAsia="zh-CN"/>
              </w:rPr>
            </w:pPr>
            <w:r>
              <w:rPr>
                <w:rFonts w:hint="eastAsia"/>
                <w:lang w:val="en-US" w:eastAsia="zh-CN"/>
              </w:rPr>
              <w:t>（8）以转账支票或电汇形式提交投标保证金的金额：</w:t>
            </w:r>
            <w:r>
              <w:rPr>
                <w:rFonts w:hint="eastAsia"/>
                <w:b/>
                <w:bCs w:val="0"/>
                <w:lang w:val="en-US" w:eastAsia="zh-CN"/>
              </w:rPr>
              <w:t>人民币16000</w:t>
            </w:r>
            <w:r>
              <w:rPr>
                <w:rFonts w:hint="eastAsia"/>
                <w:b/>
                <w:bCs w:val="0"/>
              </w:rPr>
              <w:t>元整（大写：</w:t>
            </w:r>
            <w:r>
              <w:rPr>
                <w:rFonts w:hint="eastAsia"/>
                <w:b/>
                <w:bCs w:val="0"/>
                <w:lang w:val="en-US" w:eastAsia="zh-CN"/>
              </w:rPr>
              <w:t>壹万陆仟元整</w:t>
            </w:r>
            <w:r>
              <w:rPr>
                <w:rFonts w:hint="eastAsia"/>
                <w:b/>
                <w:bCs w:val="0"/>
              </w:rPr>
              <w:t>）</w:t>
            </w:r>
          </w:p>
          <w:p w14:paraId="76D30BDA">
            <w:pPr>
              <w:pStyle w:val="46"/>
              <w:bidi w:val="0"/>
              <w:rPr>
                <w:rFonts w:hint="eastAsia"/>
                <w:lang w:val="en-US" w:eastAsia="zh-CN"/>
              </w:rPr>
            </w:pPr>
            <w:r>
              <w:rPr>
                <w:rFonts w:hint="eastAsia"/>
                <w:lang w:val="en-US" w:eastAsia="zh-CN"/>
              </w:rPr>
              <w:t>（9）</w:t>
            </w:r>
            <w:r>
              <w:rPr>
                <w:rFonts w:hint="eastAsia"/>
                <w:b/>
                <w:bCs w:val="0"/>
                <w:lang w:val="en-US" w:eastAsia="zh-CN"/>
              </w:rPr>
              <w:t>投标保证金账户及账号（任选其一）</w:t>
            </w:r>
            <w:r>
              <w:rPr>
                <w:rFonts w:hint="eastAsia"/>
                <w:lang w:val="en-US" w:eastAsia="zh-CN"/>
              </w:rPr>
              <w:t>：</w:t>
            </w:r>
          </w:p>
          <w:p w14:paraId="2156ACDF">
            <w:pPr>
              <w:pStyle w:val="46"/>
              <w:bidi w:val="0"/>
              <w:rPr>
                <w:rFonts w:hint="eastAsia"/>
                <w:lang w:val="en-US" w:eastAsia="zh-CN"/>
              </w:rPr>
            </w:pPr>
            <w:r>
              <w:rPr>
                <w:rFonts w:hint="eastAsia"/>
              </w:rPr>
              <w:t>详见重庆市公共资源交易网（www.cqggzy.com）对应本项目投标公告信息栏中的保证金信息。</w:t>
            </w:r>
          </w:p>
          <w:p w14:paraId="7A07DF53">
            <w:pPr>
              <w:pStyle w:val="46"/>
              <w:bidi w:val="0"/>
              <w:rPr>
                <w:rFonts w:hint="eastAsia"/>
                <w:lang w:eastAsia="zh-CN"/>
              </w:rPr>
            </w:pPr>
            <w:r>
              <w:rPr>
                <w:rFonts w:hint="eastAsia"/>
                <w:lang w:val="en-US" w:eastAsia="zh-CN"/>
              </w:rPr>
              <w:t>（10）投标保证金以重庆市公共资源交易中心开标现场展示的保证金交纳情况为准。</w:t>
            </w:r>
          </w:p>
          <w:p w14:paraId="585636E1">
            <w:pPr>
              <w:pStyle w:val="46"/>
              <w:bidi w:val="0"/>
              <w:rPr>
                <w:rFonts w:hint="eastAsia"/>
                <w:lang w:val="en-US" w:eastAsia="zh-CN"/>
              </w:rPr>
            </w:pPr>
            <w:r>
              <w:rPr>
                <w:rFonts w:hint="eastAsia"/>
                <w:lang w:val="en-US" w:eastAsia="zh-CN"/>
              </w:rPr>
              <w:t>（11）若投标人为联合体，则由联合体牵头人提交投标保证金。</w:t>
            </w:r>
          </w:p>
          <w:p w14:paraId="6E594019">
            <w:pPr>
              <w:pStyle w:val="46"/>
              <w:bidi w:val="0"/>
              <w:rPr>
                <w:rFonts w:hint="eastAsia"/>
                <w:lang w:val="en-US" w:eastAsia="zh-CN"/>
              </w:rPr>
            </w:pPr>
            <w:r>
              <w:rPr>
                <w:rFonts w:hint="eastAsia"/>
                <w:lang w:val="en-US" w:eastAsia="zh-CN"/>
              </w:rPr>
              <w:t>（12）投标保证金的退还</w:t>
            </w:r>
          </w:p>
          <w:p w14:paraId="6EF892BE">
            <w:pPr>
              <w:pStyle w:val="46"/>
              <w:bidi w:val="0"/>
              <w:rPr>
                <w:rFonts w:hint="eastAsia"/>
                <w:lang w:val="en-US" w:eastAsia="zh-CN"/>
              </w:rPr>
            </w:pPr>
            <w:r>
              <w:rPr>
                <w:rFonts w:hint="eastAsia"/>
                <w:lang w:val="en-US" w:eastAsia="zh-CN"/>
              </w:rPr>
              <w:t>招标人应当在法定时间内确定中标人。招标人应当在中标通知书发出后2个工作日内将中标通知书和保证金退还通知抄告重庆市公共资源交易中心，重庆市公共资源交易中心在收到保证金退还通知后2个工作日内，向除中标人和中标候选人以外的投标人，退还投标保证金。</w:t>
            </w:r>
          </w:p>
          <w:p w14:paraId="25F3C213">
            <w:pPr>
              <w:pStyle w:val="46"/>
              <w:bidi w:val="0"/>
              <w:rPr>
                <w:rFonts w:hint="eastAsia"/>
                <w:lang w:val="en-US" w:eastAsia="zh-CN"/>
              </w:rPr>
            </w:pPr>
            <w:r>
              <w:rPr>
                <w:rFonts w:hint="eastAsia"/>
                <w:lang w:val="en-US" w:eastAsia="zh-CN"/>
              </w:rPr>
              <w:t>招标人应当在法定时间内和中标人签订合同。招标人应当在合同生效后2个工作日内将签订的合同和保证金退还通知抄告重庆市公共资源交易中心，重庆市公共资源交易中心在收到保证金退还通知后2个工作日内，向中标人和中标候选人退还投标保证金。</w:t>
            </w:r>
          </w:p>
          <w:p w14:paraId="581BD676">
            <w:pPr>
              <w:pStyle w:val="46"/>
              <w:bidi w:val="0"/>
              <w:rPr>
                <w:rFonts w:hint="eastAsia"/>
                <w:lang w:val="en-US" w:eastAsia="zh-CN"/>
              </w:rPr>
            </w:pPr>
            <w:r>
              <w:rPr>
                <w:rFonts w:hint="eastAsia"/>
                <w:lang w:val="en-US" w:eastAsia="zh-CN"/>
              </w:rPr>
              <w:t>投标保证金专用账户由重庆市公共资源交易中心制定，关于保证金相关情况的问题请咨询重庆市公共资源交易中心，联系电话023-63621694。</w:t>
            </w:r>
          </w:p>
        </w:tc>
      </w:tr>
      <w:tr w14:paraId="33E2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2ABC79DC">
            <w:pPr>
              <w:pStyle w:val="46"/>
              <w:bidi w:val="0"/>
              <w:rPr>
                <w:rFonts w:hint="eastAsia"/>
                <w:lang w:val="en-US" w:eastAsia="zh-CN"/>
              </w:rPr>
            </w:pPr>
            <w:r>
              <w:rPr>
                <w:rFonts w:hint="eastAsia"/>
                <w:lang w:val="en-US" w:eastAsia="zh-CN"/>
              </w:rPr>
              <w:t>3.7.3</w:t>
            </w:r>
          </w:p>
        </w:tc>
        <w:tc>
          <w:tcPr>
            <w:tcW w:w="1275" w:type="dxa"/>
            <w:tcBorders>
              <w:top w:val="single" w:color="auto" w:sz="4" w:space="0"/>
              <w:left w:val="single" w:color="auto" w:sz="4" w:space="0"/>
              <w:right w:val="single" w:color="auto" w:sz="4" w:space="0"/>
            </w:tcBorders>
            <w:vAlign w:val="center"/>
          </w:tcPr>
          <w:p w14:paraId="17531E95">
            <w:pPr>
              <w:pStyle w:val="46"/>
              <w:bidi w:val="0"/>
              <w:rPr>
                <w:rFonts w:hint="eastAsia"/>
                <w:lang w:val="en-US" w:eastAsia="zh-CN"/>
              </w:rPr>
            </w:pPr>
            <w:r>
              <w:rPr>
                <w:rFonts w:hint="eastAsia"/>
                <w:lang w:val="en-US" w:eastAsia="zh-CN"/>
              </w:rPr>
              <w:t>签字盖章要求</w:t>
            </w:r>
          </w:p>
        </w:tc>
        <w:tc>
          <w:tcPr>
            <w:tcW w:w="6313" w:type="dxa"/>
          </w:tcPr>
          <w:p w14:paraId="47D6F0C9">
            <w:pPr>
              <w:pStyle w:val="46"/>
              <w:bidi w:val="0"/>
              <w:rPr>
                <w:rFonts w:hint="eastAsia"/>
              </w:rPr>
            </w:pPr>
            <w:r>
              <w:rPr>
                <w:rFonts w:hint="eastAsia"/>
                <w:lang w:val="en-US" w:eastAsia="zh-CN"/>
              </w:rPr>
              <w:t>（1）</w:t>
            </w:r>
            <w:r>
              <w:rPr>
                <w:rFonts w:hint="eastAsia"/>
                <w:lang w:eastAsia="zh-CN"/>
              </w:rPr>
              <w:t>投标</w:t>
            </w:r>
            <w:r>
              <w:rPr>
                <w:rFonts w:hint="eastAsia"/>
              </w:rPr>
              <w:t>文件正本中，每一页均应由</w:t>
            </w:r>
            <w:r>
              <w:rPr>
                <w:rFonts w:hint="eastAsia"/>
                <w:lang w:eastAsia="zh-CN"/>
              </w:rPr>
              <w:t>投标</w:t>
            </w:r>
            <w:r>
              <w:rPr>
                <w:rFonts w:hint="eastAsia"/>
              </w:rPr>
              <w:t>人加盖公章，其中规定格式的文件应当按要求</w:t>
            </w:r>
            <w:r>
              <w:rPr>
                <w:rFonts w:hint="eastAsia"/>
                <w:lang w:eastAsia="zh-CN"/>
              </w:rPr>
              <w:t>签字</w:t>
            </w:r>
            <w:r>
              <w:rPr>
                <w:rFonts w:hint="eastAsia"/>
              </w:rPr>
              <w:t>和加盖</w:t>
            </w:r>
            <w:r>
              <w:rPr>
                <w:rFonts w:hint="eastAsia"/>
                <w:lang w:eastAsia="zh-CN"/>
              </w:rPr>
              <w:t>投标</w:t>
            </w:r>
            <w:r>
              <w:rPr>
                <w:rFonts w:hint="eastAsia"/>
              </w:rPr>
              <w:t>人公章。</w:t>
            </w:r>
          </w:p>
          <w:p w14:paraId="66DE658B">
            <w:pPr>
              <w:pStyle w:val="46"/>
              <w:bidi w:val="0"/>
              <w:rPr>
                <w:rFonts w:hint="eastAsia"/>
                <w:lang w:val="en-US" w:eastAsia="zh-CN"/>
              </w:rPr>
            </w:pPr>
            <w:r>
              <w:rPr>
                <w:rFonts w:hint="eastAsia"/>
                <w:lang w:val="en-US" w:eastAsia="zh-CN"/>
              </w:rPr>
              <w:t>（2）</w:t>
            </w:r>
            <w:r>
              <w:rPr>
                <w:rFonts w:hint="eastAsia"/>
              </w:rPr>
              <w:t>若</w:t>
            </w:r>
            <w:r>
              <w:rPr>
                <w:rFonts w:hint="eastAsia"/>
                <w:lang w:eastAsia="zh-CN"/>
              </w:rPr>
              <w:t>投标</w:t>
            </w:r>
            <w:r>
              <w:rPr>
                <w:rFonts w:hint="eastAsia"/>
              </w:rPr>
              <w:t>人对</w:t>
            </w:r>
            <w:r>
              <w:rPr>
                <w:rFonts w:hint="eastAsia"/>
                <w:lang w:eastAsia="zh-CN"/>
              </w:rPr>
              <w:t>投标</w:t>
            </w:r>
            <w:r>
              <w:rPr>
                <w:rFonts w:hint="eastAsia"/>
              </w:rPr>
              <w:t>文件的错处作必要修改，则应在修改处加盖</w:t>
            </w:r>
            <w:r>
              <w:rPr>
                <w:rFonts w:hint="eastAsia"/>
                <w:lang w:eastAsia="zh-CN"/>
              </w:rPr>
              <w:t>投标</w:t>
            </w:r>
            <w:r>
              <w:rPr>
                <w:rFonts w:hint="eastAsia"/>
              </w:rPr>
              <w:t>人公章或由法人或法人授权代表签字确认。</w:t>
            </w:r>
          </w:p>
        </w:tc>
      </w:tr>
      <w:tr w14:paraId="6C9A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54B6BE72">
            <w:pPr>
              <w:pStyle w:val="46"/>
              <w:bidi w:val="0"/>
              <w:rPr>
                <w:rFonts w:hint="eastAsia"/>
                <w:lang w:val="en-US" w:eastAsia="zh-CN"/>
              </w:rPr>
            </w:pPr>
            <w:r>
              <w:rPr>
                <w:rFonts w:hint="eastAsia"/>
                <w:lang w:val="en-US" w:eastAsia="zh-CN"/>
              </w:rPr>
              <w:t>3.7.4</w:t>
            </w:r>
          </w:p>
        </w:tc>
        <w:tc>
          <w:tcPr>
            <w:tcW w:w="1275" w:type="dxa"/>
            <w:tcBorders>
              <w:top w:val="single" w:color="auto" w:sz="4" w:space="0"/>
              <w:left w:val="single" w:color="auto" w:sz="4" w:space="0"/>
              <w:right w:val="single" w:color="auto" w:sz="4" w:space="0"/>
            </w:tcBorders>
            <w:vAlign w:val="center"/>
          </w:tcPr>
          <w:p w14:paraId="5BA39EFE">
            <w:pPr>
              <w:pStyle w:val="46"/>
              <w:bidi w:val="0"/>
              <w:rPr>
                <w:rFonts w:hint="eastAsia"/>
                <w:lang w:val="en-US" w:eastAsia="zh-CN"/>
              </w:rPr>
            </w:pPr>
            <w:r>
              <w:rPr>
                <w:rFonts w:hint="eastAsia"/>
                <w:lang w:val="en-US" w:eastAsia="zh-CN"/>
              </w:rPr>
              <w:t>投标文件的份数</w:t>
            </w:r>
          </w:p>
        </w:tc>
        <w:tc>
          <w:tcPr>
            <w:tcW w:w="6313" w:type="dxa"/>
          </w:tcPr>
          <w:p w14:paraId="33B084EC">
            <w:pPr>
              <w:pStyle w:val="46"/>
              <w:bidi w:val="0"/>
              <w:rPr>
                <w:rFonts w:hint="eastAsia"/>
                <w:lang w:val="en-US" w:eastAsia="zh-CN"/>
              </w:rPr>
            </w:pPr>
            <w:r>
              <w:rPr>
                <w:rFonts w:hint="eastAsia"/>
                <w:lang w:eastAsia="zh-CN"/>
              </w:rPr>
              <w:t>投标</w:t>
            </w:r>
            <w:r>
              <w:rPr>
                <w:rFonts w:hint="eastAsia"/>
              </w:rPr>
              <w:t>文件一式三份，其中正本一份，副本一份，电子文件一份（U盘）。</w:t>
            </w:r>
          </w:p>
        </w:tc>
      </w:tr>
      <w:tr w14:paraId="2773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0FAEE52D">
            <w:pPr>
              <w:pStyle w:val="46"/>
              <w:bidi w:val="0"/>
              <w:rPr>
                <w:rFonts w:hint="eastAsia"/>
                <w:lang w:val="en-US" w:eastAsia="zh-CN"/>
              </w:rPr>
            </w:pPr>
            <w:r>
              <w:rPr>
                <w:rFonts w:hint="eastAsia"/>
                <w:lang w:val="en-US" w:eastAsia="zh-CN"/>
              </w:rPr>
              <w:t>3.7.5</w:t>
            </w:r>
          </w:p>
        </w:tc>
        <w:tc>
          <w:tcPr>
            <w:tcW w:w="1275" w:type="dxa"/>
            <w:tcBorders>
              <w:top w:val="single" w:color="auto" w:sz="4" w:space="0"/>
              <w:left w:val="single" w:color="auto" w:sz="4" w:space="0"/>
              <w:right w:val="single" w:color="auto" w:sz="4" w:space="0"/>
            </w:tcBorders>
            <w:vAlign w:val="center"/>
          </w:tcPr>
          <w:p w14:paraId="7406046E">
            <w:pPr>
              <w:pStyle w:val="46"/>
              <w:bidi w:val="0"/>
              <w:rPr>
                <w:rFonts w:hint="eastAsia"/>
                <w:lang w:val="en-US" w:eastAsia="zh-CN"/>
              </w:rPr>
            </w:pPr>
            <w:r>
              <w:rPr>
                <w:rFonts w:hint="eastAsia"/>
                <w:lang w:val="en-US" w:eastAsia="zh-CN"/>
              </w:rPr>
              <w:t>编制要求</w:t>
            </w:r>
          </w:p>
        </w:tc>
        <w:tc>
          <w:tcPr>
            <w:tcW w:w="6313" w:type="dxa"/>
          </w:tcPr>
          <w:p w14:paraId="7A89D3B5">
            <w:pPr>
              <w:pStyle w:val="46"/>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正本和副本的封面上应清楚地标记“正本”或“副本”的字样，副本可为正本的复印件，当副本和正本不一致时，以纸质正本为准。</w:t>
            </w:r>
          </w:p>
          <w:p w14:paraId="0B794E15">
            <w:pPr>
              <w:pStyle w:val="46"/>
              <w:bidi w:val="0"/>
              <w:rPr>
                <w:rFonts w:hint="eastAsia"/>
                <w:lang w:val="en-US" w:eastAsia="zh-CN"/>
              </w:rPr>
            </w:pPr>
            <w:r>
              <w:rPr>
                <w:rFonts w:hint="eastAsia"/>
                <w:lang w:eastAsia="zh-CN"/>
              </w:rPr>
              <w:t>（</w:t>
            </w:r>
            <w:r>
              <w:rPr>
                <w:rFonts w:hint="eastAsia"/>
                <w:lang w:val="en-US" w:eastAsia="zh-CN"/>
              </w:rPr>
              <w:t>2</w:t>
            </w:r>
            <w:r>
              <w:rPr>
                <w:rFonts w:hint="eastAsia"/>
                <w:lang w:eastAsia="zh-CN"/>
              </w:rPr>
              <w:t>）</w:t>
            </w:r>
            <w:r>
              <w:rPr>
                <w:rFonts w:hint="eastAsia"/>
              </w:rPr>
              <w:t>电子文件应为</w:t>
            </w:r>
            <w:r>
              <w:rPr>
                <w:rFonts w:hint="eastAsia"/>
                <w:lang w:eastAsia="zh-CN"/>
              </w:rPr>
              <w:t>投标</w:t>
            </w:r>
            <w:r>
              <w:rPr>
                <w:rFonts w:hint="eastAsia"/>
              </w:rPr>
              <w:t>文件盖章后的PDF格式扫描件，文件名为“</w:t>
            </w:r>
            <w:r>
              <w:rPr>
                <w:rFonts w:hint="eastAsia"/>
                <w:lang w:eastAsia="zh-CN"/>
              </w:rPr>
              <w:t>投标</w:t>
            </w:r>
            <w:r>
              <w:rPr>
                <w:rFonts w:hint="eastAsia"/>
              </w:rPr>
              <w:t>人单位名简称+项目名简称”</w:t>
            </w:r>
            <w:r>
              <w:rPr>
                <w:rFonts w:hint="eastAsia"/>
                <w:lang w:eastAsia="zh-CN"/>
              </w:rPr>
              <w:t>。</w:t>
            </w:r>
          </w:p>
        </w:tc>
      </w:tr>
      <w:tr w14:paraId="0771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5EECC44C">
            <w:pPr>
              <w:pStyle w:val="46"/>
              <w:bidi w:val="0"/>
              <w:rPr>
                <w:rFonts w:hint="eastAsia"/>
                <w:lang w:val="en-US" w:eastAsia="zh-CN"/>
              </w:rPr>
            </w:pPr>
            <w:r>
              <w:rPr>
                <w:rFonts w:hint="eastAsia"/>
              </w:rPr>
              <w:t>4.1.1</w:t>
            </w:r>
          </w:p>
        </w:tc>
        <w:tc>
          <w:tcPr>
            <w:tcW w:w="1275" w:type="dxa"/>
            <w:tcBorders>
              <w:top w:val="single" w:color="auto" w:sz="4" w:space="0"/>
              <w:left w:val="single" w:color="auto" w:sz="4" w:space="0"/>
              <w:right w:val="single" w:color="auto" w:sz="4" w:space="0"/>
            </w:tcBorders>
            <w:vAlign w:val="center"/>
          </w:tcPr>
          <w:p w14:paraId="00CA92D1">
            <w:pPr>
              <w:pStyle w:val="46"/>
              <w:bidi w:val="0"/>
              <w:rPr>
                <w:rFonts w:hint="eastAsia"/>
                <w:lang w:val="en-US" w:eastAsia="zh-CN"/>
              </w:rPr>
            </w:pPr>
            <w:r>
              <w:rPr>
                <w:rFonts w:hint="eastAsia"/>
              </w:rPr>
              <w:t>投标文件的密封</w:t>
            </w:r>
          </w:p>
        </w:tc>
        <w:tc>
          <w:tcPr>
            <w:tcW w:w="6313" w:type="dxa"/>
          </w:tcPr>
          <w:p w14:paraId="647F10A9">
            <w:pPr>
              <w:pStyle w:val="46"/>
              <w:bidi w:val="0"/>
              <w:rPr>
                <w:rFonts w:hint="eastAsia"/>
              </w:rPr>
            </w:pPr>
            <w:r>
              <w:rPr>
                <w:rFonts w:hint="eastAsia"/>
              </w:rPr>
              <w:t>投标文件的正本、副本、电子文件装入一个文件大袋进行密封。密封袋上注明项目名称、投标人名称及“不准提前启封”字样。信封的封口须加盖投标人公章或授权代表签字。</w:t>
            </w:r>
          </w:p>
          <w:p w14:paraId="0E3BAF6D">
            <w:pPr>
              <w:pStyle w:val="46"/>
              <w:bidi w:val="0"/>
              <w:rPr>
                <w:rFonts w:hint="eastAsia"/>
                <w:lang w:val="en-US" w:eastAsia="zh-CN"/>
              </w:rPr>
            </w:pPr>
            <w:r>
              <w:rPr>
                <w:rFonts w:hint="eastAsia"/>
                <w:lang w:val="en-US" w:eastAsia="zh-CN"/>
              </w:rPr>
              <w:t>注：</w:t>
            </w:r>
            <w:r>
              <w:rPr>
                <w:rFonts w:hint="eastAsia"/>
              </w:rPr>
              <w:t>如果未按上述规定进行密封和标记，则其投标将作为无效投标处理。</w:t>
            </w:r>
          </w:p>
        </w:tc>
      </w:tr>
      <w:tr w14:paraId="388D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4D470312">
            <w:pPr>
              <w:pStyle w:val="46"/>
              <w:bidi w:val="0"/>
              <w:rPr>
                <w:rFonts w:hint="eastAsia"/>
              </w:rPr>
            </w:pPr>
            <w:r>
              <w:rPr>
                <w:rFonts w:hint="eastAsia"/>
                <w:lang w:val="en-US" w:eastAsia="zh-CN"/>
              </w:rPr>
              <w:t>4.2</w:t>
            </w:r>
          </w:p>
        </w:tc>
        <w:tc>
          <w:tcPr>
            <w:tcW w:w="1275" w:type="dxa"/>
            <w:tcBorders>
              <w:top w:val="single" w:color="auto" w:sz="4" w:space="0"/>
              <w:left w:val="single" w:color="auto" w:sz="4" w:space="0"/>
              <w:right w:val="single" w:color="auto" w:sz="4" w:space="0"/>
            </w:tcBorders>
            <w:vAlign w:val="center"/>
          </w:tcPr>
          <w:p w14:paraId="715C9729">
            <w:pPr>
              <w:pStyle w:val="46"/>
              <w:bidi w:val="0"/>
              <w:rPr>
                <w:rFonts w:hint="eastAsia"/>
              </w:rPr>
            </w:pPr>
            <w:r>
              <w:rPr>
                <w:rFonts w:hint="eastAsia"/>
                <w:lang w:eastAsia="zh-CN"/>
              </w:rPr>
              <w:t>投标文件的递交</w:t>
            </w:r>
          </w:p>
        </w:tc>
        <w:tc>
          <w:tcPr>
            <w:tcW w:w="6313" w:type="dxa"/>
            <w:vAlign w:val="center"/>
          </w:tcPr>
          <w:p w14:paraId="792CB539">
            <w:pPr>
              <w:pStyle w:val="46"/>
              <w:bidi w:val="0"/>
              <w:rPr>
                <w:rFonts w:hint="eastAsia"/>
                <w:lang w:val="en-US" w:eastAsia="zh-CN"/>
              </w:rPr>
            </w:pPr>
            <w:r>
              <w:rPr>
                <w:rFonts w:hint="eastAsia"/>
              </w:rPr>
              <w:t>电报、电话、</w:t>
            </w:r>
            <w:r>
              <w:rPr>
                <w:rFonts w:hint="eastAsia"/>
                <w:lang w:val="en-US" w:eastAsia="zh-CN"/>
              </w:rPr>
              <w:t>邮寄、</w:t>
            </w:r>
            <w:r>
              <w:rPr>
                <w:rFonts w:hint="eastAsia"/>
              </w:rPr>
              <w:t>传真形式的</w:t>
            </w:r>
            <w:r>
              <w:rPr>
                <w:rFonts w:hint="eastAsia"/>
                <w:lang w:eastAsia="zh-CN"/>
              </w:rPr>
              <w:t>投标</w:t>
            </w:r>
            <w:r>
              <w:rPr>
                <w:rFonts w:hint="eastAsia"/>
              </w:rPr>
              <w:t>文件概不接受。</w:t>
            </w:r>
          </w:p>
        </w:tc>
      </w:tr>
      <w:tr w14:paraId="6BF5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2A08EF71">
            <w:pPr>
              <w:pStyle w:val="46"/>
              <w:bidi w:val="0"/>
              <w:rPr>
                <w:rFonts w:hint="eastAsia"/>
              </w:rPr>
            </w:pPr>
            <w:r>
              <w:rPr>
                <w:rFonts w:hint="eastAsia"/>
              </w:rPr>
              <w:t>4.2.1</w:t>
            </w:r>
          </w:p>
        </w:tc>
        <w:tc>
          <w:tcPr>
            <w:tcW w:w="1275" w:type="dxa"/>
            <w:tcBorders>
              <w:top w:val="single" w:color="auto" w:sz="4" w:space="0"/>
              <w:left w:val="single" w:color="auto" w:sz="4" w:space="0"/>
              <w:right w:val="single" w:color="auto" w:sz="4" w:space="0"/>
            </w:tcBorders>
            <w:vAlign w:val="center"/>
          </w:tcPr>
          <w:p w14:paraId="294CEE3A">
            <w:pPr>
              <w:pStyle w:val="46"/>
              <w:bidi w:val="0"/>
              <w:rPr>
                <w:rFonts w:hint="eastAsia"/>
              </w:rPr>
            </w:pPr>
            <w:r>
              <w:rPr>
                <w:rFonts w:hint="eastAsia"/>
              </w:rPr>
              <w:t>投标截止时间</w:t>
            </w:r>
          </w:p>
        </w:tc>
        <w:tc>
          <w:tcPr>
            <w:tcW w:w="6313" w:type="dxa"/>
            <w:vAlign w:val="center"/>
          </w:tcPr>
          <w:p w14:paraId="0810957B">
            <w:pPr>
              <w:pStyle w:val="46"/>
              <w:bidi w:val="0"/>
              <w:rPr>
                <w:rFonts w:hint="eastAsia"/>
                <w:lang w:val="en-US" w:eastAsia="zh-CN"/>
              </w:rPr>
            </w:pPr>
            <w:r>
              <w:rPr>
                <w:rFonts w:hint="eastAsia"/>
                <w:lang w:val="en-US" w:eastAsia="zh-CN"/>
              </w:rPr>
              <w:t>详见招标公告规定的投标截止时间。</w:t>
            </w:r>
          </w:p>
        </w:tc>
      </w:tr>
      <w:tr w14:paraId="6A07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24C7213E">
            <w:pPr>
              <w:pStyle w:val="46"/>
              <w:bidi w:val="0"/>
              <w:rPr>
                <w:rFonts w:hint="eastAsia"/>
              </w:rPr>
            </w:pPr>
            <w:r>
              <w:rPr>
                <w:rFonts w:hint="eastAsia"/>
              </w:rPr>
              <w:t>4.2.2</w:t>
            </w:r>
          </w:p>
        </w:tc>
        <w:tc>
          <w:tcPr>
            <w:tcW w:w="1275" w:type="dxa"/>
            <w:tcBorders>
              <w:top w:val="single" w:color="auto" w:sz="4" w:space="0"/>
              <w:left w:val="single" w:color="auto" w:sz="4" w:space="0"/>
              <w:right w:val="single" w:color="auto" w:sz="4" w:space="0"/>
            </w:tcBorders>
            <w:vAlign w:val="center"/>
          </w:tcPr>
          <w:p w14:paraId="0FADCDEC">
            <w:pPr>
              <w:pStyle w:val="46"/>
              <w:bidi w:val="0"/>
              <w:rPr>
                <w:rFonts w:hint="eastAsia"/>
              </w:rPr>
            </w:pPr>
            <w:r>
              <w:rPr>
                <w:rFonts w:hint="eastAsia"/>
              </w:rPr>
              <w:t>递交投标文件地点</w:t>
            </w:r>
          </w:p>
        </w:tc>
        <w:tc>
          <w:tcPr>
            <w:tcW w:w="6313" w:type="dxa"/>
            <w:vAlign w:val="center"/>
          </w:tcPr>
          <w:p w14:paraId="2371D5DE">
            <w:pPr>
              <w:pStyle w:val="46"/>
              <w:bidi w:val="0"/>
              <w:rPr>
                <w:rFonts w:hint="eastAsia"/>
                <w:lang w:val="en-US" w:eastAsia="zh-CN"/>
              </w:rPr>
            </w:pPr>
            <w:r>
              <w:rPr>
                <w:rFonts w:hint="eastAsia"/>
                <w:lang w:val="en-US" w:eastAsia="zh-CN"/>
              </w:rPr>
              <w:t>重庆市公共资源交易中心开标区（具体请登陆重庆市公共资源交易网（www.cqggzy.com）查询或递交文件当日见交易中心大厅电子显示屏）</w:t>
            </w:r>
          </w:p>
        </w:tc>
      </w:tr>
      <w:tr w14:paraId="650D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1A393140">
            <w:pPr>
              <w:pStyle w:val="46"/>
              <w:bidi w:val="0"/>
              <w:rPr>
                <w:rFonts w:hint="eastAsia"/>
              </w:rPr>
            </w:pPr>
            <w:r>
              <w:rPr>
                <w:rFonts w:hint="eastAsia"/>
              </w:rPr>
              <w:t>4.2.3</w:t>
            </w:r>
          </w:p>
        </w:tc>
        <w:tc>
          <w:tcPr>
            <w:tcW w:w="1275" w:type="dxa"/>
            <w:tcBorders>
              <w:top w:val="single" w:color="auto" w:sz="4" w:space="0"/>
              <w:left w:val="single" w:color="auto" w:sz="4" w:space="0"/>
              <w:right w:val="single" w:color="auto" w:sz="4" w:space="0"/>
            </w:tcBorders>
            <w:vAlign w:val="center"/>
          </w:tcPr>
          <w:p w14:paraId="65E3DB1C">
            <w:pPr>
              <w:pStyle w:val="46"/>
              <w:bidi w:val="0"/>
              <w:rPr>
                <w:rFonts w:hint="eastAsia"/>
              </w:rPr>
            </w:pPr>
            <w:r>
              <w:rPr>
                <w:rFonts w:hint="eastAsia"/>
              </w:rPr>
              <w:t>投标文件是否退还</w:t>
            </w:r>
          </w:p>
        </w:tc>
        <w:tc>
          <w:tcPr>
            <w:tcW w:w="6313" w:type="dxa"/>
            <w:vAlign w:val="center"/>
          </w:tcPr>
          <w:p w14:paraId="7F7B2282">
            <w:pPr>
              <w:pStyle w:val="46"/>
              <w:bidi w:val="0"/>
              <w:rPr>
                <w:rFonts w:hint="eastAsia"/>
                <w:lang w:val="en-US" w:eastAsia="zh-CN"/>
              </w:rPr>
            </w:pPr>
            <w:r>
              <w:rPr>
                <w:rFonts w:hint="eastAsia"/>
                <w:lang w:val="en-US" w:eastAsia="zh-CN"/>
              </w:rPr>
              <w:t>否</w:t>
            </w:r>
          </w:p>
        </w:tc>
      </w:tr>
      <w:tr w14:paraId="4943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59201DEE">
            <w:pPr>
              <w:pStyle w:val="46"/>
              <w:bidi w:val="0"/>
              <w:rPr>
                <w:rFonts w:hint="eastAsia"/>
              </w:rPr>
            </w:pPr>
            <w:r>
              <w:rPr>
                <w:rFonts w:hint="eastAsia"/>
                <w:lang w:val="en-US" w:eastAsia="zh-CN"/>
              </w:rPr>
              <w:t>5.1</w:t>
            </w:r>
          </w:p>
        </w:tc>
        <w:tc>
          <w:tcPr>
            <w:tcW w:w="1275" w:type="dxa"/>
            <w:tcBorders>
              <w:top w:val="single" w:color="auto" w:sz="4" w:space="0"/>
              <w:left w:val="single" w:color="auto" w:sz="4" w:space="0"/>
              <w:right w:val="single" w:color="auto" w:sz="4" w:space="0"/>
            </w:tcBorders>
            <w:vAlign w:val="center"/>
          </w:tcPr>
          <w:p w14:paraId="39DE9E95">
            <w:pPr>
              <w:pStyle w:val="46"/>
              <w:bidi w:val="0"/>
              <w:rPr>
                <w:rFonts w:hint="eastAsia"/>
              </w:rPr>
            </w:pPr>
            <w:r>
              <w:rPr>
                <w:rFonts w:hint="eastAsia"/>
              </w:rPr>
              <w:t>开标时间和地点</w:t>
            </w:r>
          </w:p>
        </w:tc>
        <w:tc>
          <w:tcPr>
            <w:tcW w:w="6313" w:type="dxa"/>
          </w:tcPr>
          <w:p w14:paraId="74E03046">
            <w:pPr>
              <w:pStyle w:val="46"/>
              <w:bidi w:val="0"/>
              <w:rPr>
                <w:rFonts w:hint="eastAsia"/>
                <w:lang w:val="en-US" w:eastAsia="zh-CN"/>
              </w:rPr>
            </w:pPr>
            <w:r>
              <w:rPr>
                <w:rFonts w:hint="eastAsia"/>
                <w:lang w:val="en-US" w:eastAsia="zh-CN"/>
              </w:rPr>
              <w:t>开标时间：同投标截止时间</w:t>
            </w:r>
          </w:p>
          <w:p w14:paraId="72826B65">
            <w:pPr>
              <w:pStyle w:val="46"/>
              <w:bidi w:val="0"/>
              <w:rPr>
                <w:rFonts w:hint="eastAsia"/>
                <w:lang w:val="en-US" w:eastAsia="zh-CN"/>
              </w:rPr>
            </w:pPr>
            <w:r>
              <w:rPr>
                <w:rFonts w:hint="eastAsia"/>
                <w:lang w:val="en-US" w:eastAsia="zh-CN"/>
              </w:rPr>
              <w:t>开标地点：</w:t>
            </w:r>
            <w:r>
              <w:rPr>
                <w:rFonts w:hint="eastAsia"/>
              </w:rPr>
              <w:t>重庆市</w:t>
            </w:r>
            <w:r>
              <w:rPr>
                <w:rFonts w:hint="eastAsia"/>
                <w:lang w:val="en-US" w:eastAsia="zh-CN"/>
              </w:rPr>
              <w:t>渝北区清风北路6号渝兴广场B10栋</w:t>
            </w:r>
            <w:r>
              <w:rPr>
                <w:rFonts w:hint="eastAsia"/>
              </w:rPr>
              <w:t>公共资源交易中心开标室（具体请登陆重庆市公共资源交易网查询或递交</w:t>
            </w:r>
            <w:r>
              <w:rPr>
                <w:rFonts w:hint="eastAsia"/>
                <w:lang w:val="en-US" w:eastAsia="zh-CN"/>
              </w:rPr>
              <w:t>投标</w:t>
            </w:r>
            <w:r>
              <w:rPr>
                <w:rFonts w:hint="eastAsia"/>
              </w:rPr>
              <w:t>文件当日见交易中心大厅电子显示屏）。</w:t>
            </w:r>
          </w:p>
        </w:tc>
      </w:tr>
      <w:tr w14:paraId="24BB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313F1579">
            <w:pPr>
              <w:pStyle w:val="46"/>
              <w:bidi w:val="0"/>
              <w:rPr>
                <w:rFonts w:hint="eastAsia"/>
                <w:lang w:val="en-US" w:eastAsia="zh-CN"/>
              </w:rPr>
            </w:pPr>
            <w:r>
              <w:rPr>
                <w:rFonts w:hint="eastAsia"/>
                <w:lang w:val="en-US" w:eastAsia="zh-CN"/>
              </w:rPr>
              <w:t>5.2</w:t>
            </w:r>
          </w:p>
        </w:tc>
        <w:tc>
          <w:tcPr>
            <w:tcW w:w="1275" w:type="dxa"/>
            <w:tcBorders>
              <w:top w:val="single" w:color="auto" w:sz="4" w:space="0"/>
              <w:left w:val="single" w:color="auto" w:sz="4" w:space="0"/>
              <w:right w:val="single" w:color="auto" w:sz="4" w:space="0"/>
            </w:tcBorders>
            <w:vAlign w:val="center"/>
          </w:tcPr>
          <w:p w14:paraId="41188830">
            <w:pPr>
              <w:pStyle w:val="46"/>
              <w:bidi w:val="0"/>
              <w:rPr>
                <w:rFonts w:hint="eastAsia"/>
              </w:rPr>
            </w:pPr>
            <w:r>
              <w:rPr>
                <w:rFonts w:hint="eastAsia"/>
                <w:lang w:val="en-US" w:eastAsia="zh-CN"/>
              </w:rPr>
              <w:t>开标程序</w:t>
            </w:r>
          </w:p>
        </w:tc>
        <w:tc>
          <w:tcPr>
            <w:tcW w:w="6313" w:type="dxa"/>
          </w:tcPr>
          <w:p w14:paraId="163BB478">
            <w:pPr>
              <w:pStyle w:val="46"/>
              <w:bidi w:val="0"/>
              <w:rPr>
                <w:rFonts w:hint="eastAsia"/>
              </w:rPr>
            </w:pPr>
            <w:r>
              <w:rPr>
                <w:rFonts w:hint="eastAsia"/>
              </w:rPr>
              <w:t>主持人按下列程序进行投标：</w:t>
            </w:r>
          </w:p>
          <w:p w14:paraId="29081208">
            <w:pPr>
              <w:pStyle w:val="46"/>
              <w:bidi w:val="0"/>
              <w:rPr>
                <w:rFonts w:hint="eastAsia"/>
              </w:rPr>
            </w:pPr>
            <w:r>
              <w:rPr>
                <w:rFonts w:hint="eastAsia"/>
                <w:lang w:val="en-US" w:eastAsia="zh-CN"/>
              </w:rPr>
              <w:t>（1）</w:t>
            </w:r>
            <w:r>
              <w:rPr>
                <w:rFonts w:hint="eastAsia"/>
              </w:rPr>
              <w:t>宣布投标纪律；</w:t>
            </w:r>
          </w:p>
          <w:p w14:paraId="2F2E21DA">
            <w:pPr>
              <w:pStyle w:val="46"/>
              <w:bidi w:val="0"/>
              <w:rPr>
                <w:rFonts w:hint="eastAsia"/>
              </w:rPr>
            </w:pPr>
            <w:r>
              <w:rPr>
                <w:rFonts w:hint="eastAsia"/>
                <w:lang w:val="en-US" w:eastAsia="zh-CN"/>
              </w:rPr>
              <w:t>（2）</w:t>
            </w:r>
            <w:r>
              <w:rPr>
                <w:rFonts w:hint="eastAsia"/>
              </w:rPr>
              <w:t>公布在投标截止时间前递交投标文件的投标人名称，并点名确认投标人是否派人到场；</w:t>
            </w:r>
          </w:p>
          <w:p w14:paraId="53D651DD">
            <w:pPr>
              <w:pStyle w:val="46"/>
              <w:bidi w:val="0"/>
              <w:rPr>
                <w:rFonts w:hint="eastAsia"/>
              </w:rPr>
            </w:pPr>
            <w:r>
              <w:rPr>
                <w:rFonts w:hint="eastAsia"/>
                <w:lang w:val="en-US" w:eastAsia="zh-CN"/>
              </w:rPr>
              <w:t>（3）</w:t>
            </w:r>
            <w:r>
              <w:rPr>
                <w:rFonts w:hint="eastAsia"/>
              </w:rPr>
              <w:t>封装情况检查：投标人或者其推选的代表检查各投标文件的封装情况并确认；</w:t>
            </w:r>
          </w:p>
          <w:p w14:paraId="07EB7F67">
            <w:pPr>
              <w:pStyle w:val="46"/>
              <w:bidi w:val="0"/>
              <w:rPr>
                <w:rFonts w:hint="eastAsia"/>
              </w:rPr>
            </w:pPr>
            <w:r>
              <w:rPr>
                <w:rFonts w:hint="eastAsia"/>
                <w:lang w:val="en-US" w:eastAsia="zh-CN"/>
              </w:rPr>
              <w:t>（4）</w:t>
            </w:r>
            <w:r>
              <w:rPr>
                <w:rFonts w:hint="eastAsia"/>
              </w:rPr>
              <w:t>展示投标保证金，投标保证金缴款不全或有误的，则记录在案交由评审委员会评审；</w:t>
            </w:r>
          </w:p>
          <w:p w14:paraId="7699E7DB">
            <w:pPr>
              <w:pStyle w:val="46"/>
              <w:bidi w:val="0"/>
              <w:rPr>
                <w:rFonts w:hint="eastAsia"/>
              </w:rPr>
            </w:pPr>
            <w:r>
              <w:rPr>
                <w:rFonts w:hint="eastAsia"/>
                <w:lang w:val="en-US" w:eastAsia="zh-CN"/>
              </w:rPr>
              <w:t>（5）</w:t>
            </w:r>
            <w:r>
              <w:rPr>
                <w:rFonts w:hint="eastAsia"/>
              </w:rPr>
              <w:t>设有最高限价的，公布最高限价；</w:t>
            </w:r>
          </w:p>
          <w:p w14:paraId="3E73C2DF">
            <w:pPr>
              <w:pStyle w:val="46"/>
              <w:bidi w:val="0"/>
              <w:rPr>
                <w:rFonts w:hint="eastAsia"/>
              </w:rPr>
            </w:pPr>
            <w:r>
              <w:rPr>
                <w:rFonts w:hint="eastAsia"/>
                <w:lang w:val="en-US" w:eastAsia="zh-CN"/>
              </w:rPr>
              <w:t>（6）</w:t>
            </w:r>
            <w:r>
              <w:rPr>
                <w:rFonts w:hint="eastAsia"/>
              </w:rPr>
              <w:t>开启投标文件；</w:t>
            </w:r>
          </w:p>
          <w:p w14:paraId="26CAF4D1">
            <w:pPr>
              <w:pStyle w:val="46"/>
              <w:bidi w:val="0"/>
              <w:rPr>
                <w:rFonts w:hint="eastAsia"/>
                <w:lang w:eastAsia="zh-CN"/>
              </w:rPr>
            </w:pPr>
            <w:r>
              <w:rPr>
                <w:rFonts w:hint="eastAsia"/>
                <w:lang w:val="en-US" w:eastAsia="zh-CN"/>
              </w:rPr>
              <w:t>（7）公布投标人名称、投标报价及其他内容。投标人对开标有异议的，应当场或在线提出，由招标人或代理机构当场或在线答复。异议处理完毕后，汇总开标情况，生成开标记录表。</w:t>
            </w:r>
            <w:r>
              <w:rPr>
                <w:rFonts w:hint="eastAsia"/>
              </w:rPr>
              <w:t>有关人员在</w:t>
            </w:r>
            <w:r>
              <w:rPr>
                <w:rFonts w:hint="eastAsia"/>
                <w:lang w:val="en-US" w:eastAsia="zh-CN"/>
              </w:rPr>
              <w:t>开标</w:t>
            </w:r>
            <w:r>
              <w:rPr>
                <w:rFonts w:hint="eastAsia"/>
              </w:rPr>
              <w:t>记录上签字确认</w:t>
            </w:r>
            <w:r>
              <w:rPr>
                <w:rFonts w:hint="eastAsia"/>
                <w:lang w:eastAsia="zh-CN"/>
              </w:rPr>
              <w:t>。</w:t>
            </w:r>
          </w:p>
          <w:p w14:paraId="35D6B19C">
            <w:pPr>
              <w:pStyle w:val="46"/>
              <w:bidi w:val="0"/>
              <w:rPr>
                <w:rFonts w:hint="eastAsia"/>
                <w:lang w:val="en-US" w:eastAsia="zh-CN"/>
              </w:rPr>
            </w:pPr>
            <w:r>
              <w:rPr>
                <w:rFonts w:hint="eastAsia"/>
                <w:lang w:val="en-US" w:eastAsia="zh-CN"/>
              </w:rPr>
              <w:t>（8）开标</w:t>
            </w:r>
            <w:r>
              <w:rPr>
                <w:rFonts w:hint="eastAsia"/>
              </w:rPr>
              <w:t>结束。</w:t>
            </w:r>
          </w:p>
        </w:tc>
      </w:tr>
      <w:tr w14:paraId="4552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23278A4C">
            <w:pPr>
              <w:pStyle w:val="46"/>
              <w:bidi w:val="0"/>
              <w:rPr>
                <w:rFonts w:hint="eastAsia"/>
              </w:rPr>
            </w:pPr>
            <w:r>
              <w:rPr>
                <w:rFonts w:hint="eastAsia"/>
              </w:rPr>
              <w:t>6.1.1</w:t>
            </w:r>
          </w:p>
        </w:tc>
        <w:tc>
          <w:tcPr>
            <w:tcW w:w="1275" w:type="dxa"/>
            <w:tcBorders>
              <w:top w:val="single" w:color="auto" w:sz="4" w:space="0"/>
              <w:left w:val="single" w:color="auto" w:sz="4" w:space="0"/>
              <w:right w:val="single" w:color="auto" w:sz="4" w:space="0"/>
            </w:tcBorders>
            <w:vAlign w:val="center"/>
          </w:tcPr>
          <w:p w14:paraId="1F6A534D">
            <w:pPr>
              <w:pStyle w:val="46"/>
              <w:bidi w:val="0"/>
              <w:rPr>
                <w:rFonts w:hint="eastAsia"/>
              </w:rPr>
            </w:pPr>
            <w:r>
              <w:rPr>
                <w:rFonts w:hint="eastAsia"/>
              </w:rPr>
              <w:t>评标委员会的组建</w:t>
            </w:r>
          </w:p>
        </w:tc>
        <w:tc>
          <w:tcPr>
            <w:tcW w:w="6313" w:type="dxa"/>
          </w:tcPr>
          <w:p w14:paraId="345F3B63">
            <w:pPr>
              <w:pStyle w:val="46"/>
              <w:bidi w:val="0"/>
              <w:rPr>
                <w:rFonts w:hint="eastAsia"/>
                <w:lang w:val="en-US" w:eastAsia="zh-CN"/>
              </w:rPr>
            </w:pPr>
            <w:r>
              <w:rPr>
                <w:rFonts w:hint="eastAsia"/>
                <w:lang w:val="en-US" w:eastAsia="zh-CN"/>
              </w:rPr>
              <w:t>评标委员会构成： 3 人；由招标人按法律法规及相关规定依法组建评标委员会。</w:t>
            </w:r>
          </w:p>
        </w:tc>
      </w:tr>
      <w:tr w14:paraId="5D60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5967090F">
            <w:pPr>
              <w:pStyle w:val="46"/>
              <w:bidi w:val="0"/>
              <w:rPr>
                <w:rFonts w:hint="eastAsia"/>
              </w:rPr>
            </w:pPr>
            <w:r>
              <w:rPr>
                <w:rFonts w:hint="eastAsia"/>
              </w:rPr>
              <w:t>7.</w:t>
            </w:r>
            <w:r>
              <w:rPr>
                <w:rFonts w:hint="eastAsia"/>
                <w:lang w:val="en-US" w:eastAsia="zh-CN"/>
              </w:rPr>
              <w:t>1</w:t>
            </w:r>
          </w:p>
        </w:tc>
        <w:tc>
          <w:tcPr>
            <w:tcW w:w="1275" w:type="dxa"/>
            <w:tcBorders>
              <w:top w:val="single" w:color="auto" w:sz="4" w:space="0"/>
              <w:left w:val="single" w:color="auto" w:sz="4" w:space="0"/>
              <w:right w:val="single" w:color="auto" w:sz="4" w:space="0"/>
            </w:tcBorders>
            <w:vAlign w:val="center"/>
          </w:tcPr>
          <w:p w14:paraId="7F89C7FC">
            <w:pPr>
              <w:pStyle w:val="46"/>
              <w:bidi w:val="0"/>
              <w:rPr>
                <w:rFonts w:hint="eastAsia"/>
                <w:lang w:val="en-US" w:eastAsia="zh-CN"/>
              </w:rPr>
            </w:pPr>
            <w:r>
              <w:rPr>
                <w:rFonts w:hint="eastAsia"/>
                <w:lang w:val="en-US" w:eastAsia="zh-CN"/>
              </w:rPr>
              <w:t>定标方式</w:t>
            </w:r>
          </w:p>
        </w:tc>
        <w:tc>
          <w:tcPr>
            <w:tcW w:w="6313" w:type="dxa"/>
          </w:tcPr>
          <w:p w14:paraId="405DF27B">
            <w:pPr>
              <w:pStyle w:val="46"/>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是否授权评标委员会确定中标人</w:t>
            </w:r>
          </w:p>
          <w:p w14:paraId="7F857855">
            <w:pPr>
              <w:pStyle w:val="46"/>
              <w:bidi w:val="0"/>
              <w:rPr>
                <w:rFonts w:hint="eastAsia"/>
              </w:rPr>
            </w:pPr>
            <w:r>
              <w:rPr>
                <w:rFonts w:hint="eastAsia"/>
              </w:rPr>
              <w:t>□是</w:t>
            </w:r>
          </w:p>
          <w:p w14:paraId="378B7F2A">
            <w:pPr>
              <w:pStyle w:val="46"/>
              <w:bidi w:val="0"/>
              <w:rPr>
                <w:rFonts w:hint="eastAsia"/>
                <w:lang w:val="en-US" w:eastAsia="zh-CN"/>
              </w:rPr>
            </w:pPr>
            <w:r>
              <w:rPr>
                <w:rFonts w:hint="eastAsia"/>
                <w:lang w:eastAsia="zh-CN"/>
              </w:rPr>
              <w:t>☑</w:t>
            </w:r>
            <w:r>
              <w:rPr>
                <w:rFonts w:hint="eastAsia"/>
                <w:lang w:val="en-US" w:eastAsia="zh-CN"/>
              </w:rPr>
              <w:t>否，推荐的中标候选人数：3名</w:t>
            </w:r>
          </w:p>
          <w:p w14:paraId="575C1038">
            <w:pPr>
              <w:pStyle w:val="46"/>
              <w:bidi w:val="0"/>
              <w:rPr>
                <w:rFonts w:hint="eastAsia"/>
              </w:rPr>
            </w:pPr>
            <w:r>
              <w:rPr>
                <w:rFonts w:hint="eastAsia"/>
                <w:lang w:val="en-US" w:eastAsia="zh-CN"/>
              </w:rPr>
              <w:t>（2）</w:t>
            </w:r>
            <w:r>
              <w:rPr>
                <w:rFonts w:hint="eastAsia"/>
              </w:rPr>
              <w:t>不承诺最低价格</w:t>
            </w:r>
            <w:r>
              <w:rPr>
                <w:rFonts w:hint="eastAsia"/>
                <w:lang w:eastAsia="zh-CN"/>
              </w:rPr>
              <w:t>中标</w:t>
            </w:r>
            <w:r>
              <w:rPr>
                <w:rFonts w:hint="eastAsia"/>
              </w:rPr>
              <w:t>。</w:t>
            </w:r>
          </w:p>
          <w:p w14:paraId="2C3A4101">
            <w:pPr>
              <w:pStyle w:val="46"/>
              <w:bidi w:val="0"/>
              <w:rPr>
                <w:rFonts w:hint="eastAsia"/>
                <w:lang w:val="en-US" w:eastAsia="zh-CN"/>
              </w:rPr>
            </w:pPr>
            <w:r>
              <w:rPr>
                <w:rFonts w:hint="eastAsia"/>
                <w:lang w:val="en-US" w:eastAsia="zh-CN"/>
              </w:rPr>
              <w:t>（3）</w:t>
            </w:r>
            <w:r>
              <w:rPr>
                <w:rFonts w:hint="eastAsia"/>
              </w:rPr>
              <w:t>若</w:t>
            </w:r>
            <w:r>
              <w:rPr>
                <w:rFonts w:hint="eastAsia"/>
                <w:lang w:eastAsia="zh-CN"/>
              </w:rPr>
              <w:t>中标</w:t>
            </w:r>
            <w:r>
              <w:rPr>
                <w:rFonts w:hint="eastAsia"/>
              </w:rPr>
              <w:t>人</w:t>
            </w:r>
            <w:r>
              <w:rPr>
                <w:rFonts w:hint="eastAsia"/>
                <w:lang w:eastAsia="zh-CN"/>
              </w:rPr>
              <w:t>投标</w:t>
            </w:r>
            <w:r>
              <w:rPr>
                <w:rFonts w:hint="eastAsia"/>
              </w:rPr>
              <w:t>材料出现造假、不实等与实际查询结果不符或无故弃选的情况，</w:t>
            </w:r>
            <w:r>
              <w:rPr>
                <w:rFonts w:hint="eastAsia"/>
                <w:lang w:eastAsia="zh-CN"/>
              </w:rPr>
              <w:t>招标</w:t>
            </w:r>
            <w:r>
              <w:rPr>
                <w:rFonts w:hint="eastAsia"/>
              </w:rPr>
              <w:t>人有权选择重新</w:t>
            </w:r>
            <w:r>
              <w:rPr>
                <w:rFonts w:hint="eastAsia"/>
                <w:lang w:eastAsia="zh-CN"/>
              </w:rPr>
              <w:t>招标</w:t>
            </w:r>
            <w:r>
              <w:rPr>
                <w:rFonts w:hint="eastAsia"/>
              </w:rPr>
              <w:t>或顺延下一</w:t>
            </w:r>
            <w:r>
              <w:rPr>
                <w:rFonts w:hint="eastAsia"/>
                <w:lang w:eastAsia="zh-CN"/>
              </w:rPr>
              <w:t>中标</w:t>
            </w:r>
            <w:r>
              <w:rPr>
                <w:rFonts w:hint="eastAsia"/>
              </w:rPr>
              <w:t>候选人，由此带来的损失</w:t>
            </w:r>
            <w:r>
              <w:rPr>
                <w:rFonts w:hint="eastAsia"/>
                <w:lang w:eastAsia="zh-CN"/>
              </w:rPr>
              <w:t>招标</w:t>
            </w:r>
            <w:r>
              <w:rPr>
                <w:rFonts w:hint="eastAsia"/>
              </w:rPr>
              <w:t>人有权通过没收</w:t>
            </w:r>
            <w:r>
              <w:rPr>
                <w:rFonts w:hint="eastAsia"/>
                <w:lang w:eastAsia="zh-CN"/>
              </w:rPr>
              <w:t>投标</w:t>
            </w:r>
            <w:r>
              <w:rPr>
                <w:rFonts w:hint="eastAsia"/>
              </w:rPr>
              <w:t>保证金等方式进行追溯。</w:t>
            </w:r>
          </w:p>
        </w:tc>
      </w:tr>
      <w:tr w14:paraId="47E4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405E2B18">
            <w:pPr>
              <w:pStyle w:val="46"/>
              <w:bidi w:val="0"/>
              <w:rPr>
                <w:rFonts w:hint="eastAsia"/>
              </w:rPr>
            </w:pPr>
            <w:r>
              <w:rPr>
                <w:rFonts w:hint="eastAsia"/>
              </w:rPr>
              <w:t>7.</w:t>
            </w:r>
            <w:r>
              <w:rPr>
                <w:rFonts w:hint="eastAsia"/>
                <w:lang w:val="en-US" w:eastAsia="zh-CN"/>
              </w:rPr>
              <w:t>2</w:t>
            </w:r>
          </w:p>
        </w:tc>
        <w:tc>
          <w:tcPr>
            <w:tcW w:w="1275" w:type="dxa"/>
            <w:tcBorders>
              <w:top w:val="single" w:color="auto" w:sz="4" w:space="0"/>
              <w:left w:val="single" w:color="auto" w:sz="4" w:space="0"/>
              <w:right w:val="single" w:color="auto" w:sz="4" w:space="0"/>
            </w:tcBorders>
            <w:vAlign w:val="center"/>
          </w:tcPr>
          <w:p w14:paraId="3F16D926">
            <w:pPr>
              <w:pStyle w:val="46"/>
              <w:bidi w:val="0"/>
              <w:rPr>
                <w:rFonts w:hint="eastAsia"/>
              </w:rPr>
            </w:pPr>
            <w:r>
              <w:rPr>
                <w:rFonts w:hint="eastAsia"/>
              </w:rPr>
              <w:t>中标候选人公示媒介及期限</w:t>
            </w:r>
          </w:p>
        </w:tc>
        <w:tc>
          <w:tcPr>
            <w:tcW w:w="6313" w:type="dxa"/>
          </w:tcPr>
          <w:p w14:paraId="2F56FCC8">
            <w:pPr>
              <w:pStyle w:val="46"/>
              <w:bidi w:val="0"/>
              <w:rPr>
                <w:rFonts w:hint="eastAsia"/>
                <w:lang w:val="en-US" w:eastAsia="zh-CN"/>
              </w:rPr>
            </w:pPr>
            <w:r>
              <w:rPr>
                <w:rFonts w:hint="eastAsia"/>
                <w:lang w:val="en-US" w:eastAsia="zh-CN"/>
              </w:rPr>
              <w:t>公示媒介：</w:t>
            </w:r>
            <w:r>
              <w:rPr>
                <w:rFonts w:hint="eastAsia"/>
              </w:rPr>
              <w:t>重庆市公共资源交易网（</w:t>
            </w:r>
            <w:r>
              <w:rPr>
                <w:rFonts w:hint="eastAsia"/>
              </w:rPr>
              <w:fldChar w:fldCharType="begin"/>
            </w:r>
            <w:r>
              <w:instrText xml:space="preserve">HYPERLINK "http://www.cqggzy.com"</w:instrText>
            </w:r>
            <w:r>
              <w:rPr>
                <w:rFonts w:hint="eastAsia"/>
              </w:rPr>
              <w:fldChar w:fldCharType="separate"/>
            </w:r>
            <w:r>
              <w:rPr>
                <w:rFonts w:hint="eastAsia"/>
              </w:rPr>
              <w:t>www.cqggzy.com</w:t>
            </w:r>
            <w:r>
              <w:rPr>
                <w:rFonts w:hint="eastAsia"/>
              </w:rPr>
              <w:fldChar w:fldCharType="end"/>
            </w:r>
            <w:r>
              <w:rPr>
                <w:rFonts w:hint="eastAsia"/>
              </w:rPr>
              <w:t>）</w:t>
            </w:r>
          </w:p>
          <w:p w14:paraId="40D30BA7">
            <w:pPr>
              <w:pStyle w:val="46"/>
              <w:bidi w:val="0"/>
              <w:rPr>
                <w:rFonts w:hint="eastAsia"/>
                <w:lang w:val="en-US" w:eastAsia="zh-CN"/>
              </w:rPr>
            </w:pPr>
            <w:r>
              <w:rPr>
                <w:rFonts w:hint="eastAsia"/>
                <w:lang w:val="en-US" w:eastAsia="zh-CN"/>
              </w:rPr>
              <w:t>公示期限： 3 日</w:t>
            </w:r>
          </w:p>
        </w:tc>
      </w:tr>
      <w:tr w14:paraId="230F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51936B3D">
            <w:pPr>
              <w:pStyle w:val="46"/>
              <w:bidi w:val="0"/>
              <w:rPr>
                <w:rFonts w:hint="eastAsia"/>
              </w:rPr>
            </w:pPr>
            <w:r>
              <w:rPr>
                <w:rFonts w:hint="eastAsia"/>
              </w:rPr>
              <w:t>7.</w:t>
            </w:r>
            <w:r>
              <w:rPr>
                <w:rFonts w:hint="eastAsia"/>
                <w:lang w:val="en-US" w:eastAsia="zh-CN"/>
              </w:rPr>
              <w:t>4</w:t>
            </w:r>
            <w:r>
              <w:rPr>
                <w:rFonts w:hint="eastAsia"/>
              </w:rPr>
              <w:t>.1</w:t>
            </w:r>
          </w:p>
        </w:tc>
        <w:tc>
          <w:tcPr>
            <w:tcW w:w="1275" w:type="dxa"/>
            <w:tcBorders>
              <w:top w:val="single" w:color="auto" w:sz="4" w:space="0"/>
              <w:left w:val="single" w:color="auto" w:sz="4" w:space="0"/>
              <w:right w:val="single" w:color="auto" w:sz="4" w:space="0"/>
            </w:tcBorders>
            <w:vAlign w:val="center"/>
          </w:tcPr>
          <w:p w14:paraId="693F4967">
            <w:pPr>
              <w:pStyle w:val="46"/>
              <w:bidi w:val="0"/>
              <w:rPr>
                <w:rFonts w:hint="eastAsia"/>
                <w:lang w:val="en-US" w:eastAsia="zh-CN"/>
              </w:rPr>
            </w:pPr>
            <w:r>
              <w:rPr>
                <w:rFonts w:hint="eastAsia"/>
              </w:rPr>
              <w:t>履约</w:t>
            </w:r>
            <w:r>
              <w:rPr>
                <w:rFonts w:hint="eastAsia"/>
                <w:lang w:val="en-US" w:eastAsia="zh-CN"/>
              </w:rPr>
              <w:t>担保</w:t>
            </w:r>
          </w:p>
        </w:tc>
        <w:tc>
          <w:tcPr>
            <w:tcW w:w="6313" w:type="dxa"/>
          </w:tcPr>
          <w:p w14:paraId="1AD41C48">
            <w:pPr>
              <w:pStyle w:val="46"/>
              <w:bidi w:val="0"/>
              <w:rPr>
                <w:rFonts w:hint="eastAsia"/>
                <w:lang w:val="en-US" w:eastAsia="zh-CN"/>
              </w:rPr>
            </w:pPr>
            <w:r>
              <w:rPr>
                <w:rFonts w:hint="eastAsia"/>
                <w:lang w:val="en-US" w:eastAsia="zh-CN"/>
              </w:rPr>
              <w:t>是否要求中标人提交履约担保：</w:t>
            </w:r>
          </w:p>
          <w:p w14:paraId="6EFA5E4A">
            <w:pPr>
              <w:pStyle w:val="46"/>
              <w:bidi w:val="0"/>
              <w:rPr>
                <w:rFonts w:hint="eastAsia"/>
                <w:lang w:val="en-US" w:eastAsia="zh-CN"/>
              </w:rPr>
            </w:pPr>
            <w:r>
              <w:rPr>
                <w:rFonts w:hint="eastAsia"/>
                <w:lang w:val="en-US" w:eastAsia="zh-CN"/>
              </w:rPr>
              <w:t>☑要求，履约担保的形式：</w:t>
            </w:r>
          </w:p>
          <w:p w14:paraId="1D17FB1F">
            <w:pPr>
              <w:pStyle w:val="46"/>
              <w:bidi w:val="0"/>
              <w:rPr>
                <w:lang w:val="en-US" w:eastAsia="zh-CN"/>
              </w:rPr>
            </w:pPr>
            <w:r>
              <w:rPr>
                <w:rFonts w:hint="eastAsia"/>
                <w:lang w:val="en-US" w:eastAsia="zh-CN"/>
              </w:rPr>
              <w:t>履约担保的金额：100000.00元（人民币大写：壹拾万元整）</w:t>
            </w:r>
          </w:p>
          <w:p w14:paraId="096FC163">
            <w:pPr>
              <w:pStyle w:val="46"/>
              <w:bidi w:val="0"/>
              <w:rPr>
                <w:rFonts w:hint="eastAsia"/>
                <w:lang w:val="en-US" w:eastAsia="zh-CN"/>
              </w:rPr>
            </w:pPr>
            <w:r>
              <w:rPr>
                <w:rFonts w:hint="eastAsia"/>
                <w:lang w:val="en-US" w:eastAsia="zh-CN"/>
              </w:rPr>
              <w:t>□不要求</w:t>
            </w:r>
          </w:p>
        </w:tc>
      </w:tr>
      <w:tr w14:paraId="3DFD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08B5E4D3">
            <w:pPr>
              <w:pStyle w:val="46"/>
              <w:bidi w:val="0"/>
              <w:rPr>
                <w:rFonts w:hint="eastAsia"/>
                <w:lang w:val="en-US" w:eastAsia="zh-CN"/>
              </w:rPr>
            </w:pPr>
            <w:r>
              <w:rPr>
                <w:rFonts w:hint="eastAsia"/>
                <w:lang w:val="en-US" w:eastAsia="zh-CN"/>
              </w:rPr>
              <w:t>7.5</w:t>
            </w:r>
          </w:p>
        </w:tc>
        <w:tc>
          <w:tcPr>
            <w:tcW w:w="1275" w:type="dxa"/>
            <w:tcBorders>
              <w:top w:val="single" w:color="auto" w:sz="4" w:space="0"/>
              <w:left w:val="single" w:color="auto" w:sz="4" w:space="0"/>
              <w:right w:val="single" w:color="auto" w:sz="4" w:space="0"/>
            </w:tcBorders>
            <w:vAlign w:val="center"/>
          </w:tcPr>
          <w:p w14:paraId="6A290C2A">
            <w:pPr>
              <w:pStyle w:val="46"/>
              <w:bidi w:val="0"/>
              <w:rPr>
                <w:rFonts w:hint="eastAsia"/>
                <w:lang w:val="en-US" w:eastAsia="zh-CN"/>
              </w:rPr>
            </w:pPr>
            <w:r>
              <w:rPr>
                <w:rFonts w:hint="eastAsia"/>
                <w:lang w:val="en-US" w:eastAsia="zh-CN"/>
              </w:rPr>
              <w:t>签订合同</w:t>
            </w:r>
          </w:p>
        </w:tc>
        <w:tc>
          <w:tcPr>
            <w:tcW w:w="6313" w:type="dxa"/>
          </w:tcPr>
          <w:p w14:paraId="0D6DA868">
            <w:pPr>
              <w:pStyle w:val="46"/>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所签订的合同不得对</w:t>
            </w:r>
            <w:r>
              <w:rPr>
                <w:rFonts w:hint="eastAsia"/>
                <w:lang w:eastAsia="zh-CN"/>
              </w:rPr>
              <w:t>招标</w:t>
            </w:r>
            <w:r>
              <w:rPr>
                <w:rFonts w:hint="eastAsia"/>
              </w:rPr>
              <w:t>文件和</w:t>
            </w:r>
            <w:r>
              <w:rPr>
                <w:rFonts w:hint="eastAsia"/>
                <w:lang w:eastAsia="zh-CN"/>
              </w:rPr>
              <w:t>中标</w:t>
            </w:r>
            <w:r>
              <w:rPr>
                <w:rFonts w:hint="eastAsia"/>
              </w:rPr>
              <w:t>人</w:t>
            </w:r>
            <w:r>
              <w:rPr>
                <w:rFonts w:hint="eastAsia"/>
                <w:lang w:eastAsia="zh-CN"/>
              </w:rPr>
              <w:t>投标</w:t>
            </w:r>
            <w:r>
              <w:rPr>
                <w:rFonts w:hint="eastAsia"/>
              </w:rPr>
              <w:t>文件作实质性修改。</w:t>
            </w:r>
          </w:p>
          <w:p w14:paraId="0967CA0A">
            <w:pPr>
              <w:pStyle w:val="46"/>
              <w:bidi w:val="0"/>
              <w:rPr>
                <w:rFonts w:hint="eastAsia"/>
              </w:rPr>
            </w:pPr>
            <w:r>
              <w:rPr>
                <w:rFonts w:hint="eastAsia"/>
                <w:lang w:val="en-US" w:eastAsia="zh-CN"/>
              </w:rPr>
              <w:t>（2）</w:t>
            </w:r>
            <w:r>
              <w:rPr>
                <w:rFonts w:hint="eastAsia"/>
                <w:lang w:eastAsia="zh-CN"/>
              </w:rPr>
              <w:t>招标</w:t>
            </w:r>
            <w:r>
              <w:rPr>
                <w:rFonts w:hint="eastAsia"/>
              </w:rPr>
              <w:t>文件、</w:t>
            </w:r>
            <w:r>
              <w:rPr>
                <w:rFonts w:hint="eastAsia"/>
                <w:lang w:eastAsia="zh-CN"/>
              </w:rPr>
              <w:t>中标</w:t>
            </w:r>
            <w:r>
              <w:rPr>
                <w:rFonts w:hint="eastAsia"/>
              </w:rPr>
              <w:t>人的</w:t>
            </w:r>
            <w:r>
              <w:rPr>
                <w:rFonts w:hint="eastAsia"/>
                <w:lang w:eastAsia="zh-CN"/>
              </w:rPr>
              <w:t>投标</w:t>
            </w:r>
            <w:r>
              <w:rPr>
                <w:rFonts w:hint="eastAsia"/>
              </w:rPr>
              <w:t>文件及澄清文件等，均为签订合同的依据。</w:t>
            </w:r>
          </w:p>
          <w:p w14:paraId="2CA599E9">
            <w:pPr>
              <w:pStyle w:val="46"/>
              <w:bidi w:val="0"/>
              <w:rPr>
                <w:rFonts w:hint="eastAsia"/>
              </w:rPr>
            </w:pPr>
            <w:r>
              <w:rPr>
                <w:rFonts w:hint="eastAsia"/>
                <w:lang w:val="en-US" w:eastAsia="zh-CN"/>
              </w:rPr>
              <w:t>（3）</w:t>
            </w:r>
            <w:r>
              <w:rPr>
                <w:rFonts w:hint="eastAsia"/>
              </w:rPr>
              <w:t>合同生效条款由供需双方约定，法律、行政法规规定应当办理批准、登记等手续后生效的合同，依照其规定。</w:t>
            </w:r>
          </w:p>
          <w:p w14:paraId="43C3C7F0">
            <w:pPr>
              <w:pStyle w:val="46"/>
              <w:bidi w:val="0"/>
              <w:rPr>
                <w:rFonts w:hint="eastAsia"/>
              </w:rPr>
            </w:pPr>
            <w:r>
              <w:rPr>
                <w:rFonts w:hint="eastAsia"/>
                <w:lang w:val="en-US" w:eastAsia="zh-CN"/>
              </w:rPr>
              <w:t>（4）</w:t>
            </w:r>
            <w:r>
              <w:rPr>
                <w:rFonts w:hint="eastAsia"/>
              </w:rPr>
              <w:t>签订合同</w:t>
            </w:r>
            <w:r>
              <w:rPr>
                <w:rFonts w:hint="eastAsia"/>
                <w:lang w:val="en-US" w:eastAsia="zh-CN"/>
              </w:rPr>
              <w:t>前</w:t>
            </w:r>
            <w:r>
              <w:rPr>
                <w:rFonts w:hint="eastAsia"/>
              </w:rPr>
              <w:t>后，若</w:t>
            </w:r>
            <w:r>
              <w:rPr>
                <w:rFonts w:hint="eastAsia"/>
                <w:lang w:eastAsia="zh-CN"/>
              </w:rPr>
              <w:t>中标</w:t>
            </w:r>
            <w:r>
              <w:rPr>
                <w:rFonts w:hint="eastAsia"/>
              </w:rPr>
              <w:t>人无法按要求履约，</w:t>
            </w:r>
            <w:r>
              <w:rPr>
                <w:rFonts w:hint="eastAsia"/>
                <w:lang w:eastAsia="zh-CN"/>
              </w:rPr>
              <w:t>招标</w:t>
            </w:r>
            <w:r>
              <w:rPr>
                <w:rFonts w:hint="eastAsia"/>
              </w:rPr>
              <w:t>人可以废除</w:t>
            </w:r>
            <w:r>
              <w:rPr>
                <w:rFonts w:hint="eastAsia"/>
                <w:lang w:eastAsia="zh-CN"/>
              </w:rPr>
              <w:t>中标</w:t>
            </w:r>
            <w:r>
              <w:rPr>
                <w:rFonts w:hint="eastAsia"/>
              </w:rPr>
              <w:t>人资格，并可选择按照</w:t>
            </w:r>
            <w:r>
              <w:rPr>
                <w:rFonts w:hint="eastAsia"/>
                <w:lang w:eastAsia="zh-CN"/>
              </w:rPr>
              <w:t>中标</w:t>
            </w:r>
            <w:r>
              <w:rPr>
                <w:rFonts w:hint="eastAsia"/>
              </w:rPr>
              <w:t>候选人顺位与</w:t>
            </w:r>
            <w:r>
              <w:rPr>
                <w:rFonts w:hint="eastAsia"/>
                <w:lang w:val="en-US" w:eastAsia="zh-CN"/>
              </w:rPr>
              <w:t>下一</w:t>
            </w:r>
            <w:r>
              <w:rPr>
                <w:rFonts w:hint="eastAsia"/>
              </w:rPr>
              <w:t>候选人签订合同。</w:t>
            </w:r>
          </w:p>
          <w:p w14:paraId="6386F5DD">
            <w:pPr>
              <w:pStyle w:val="46"/>
              <w:bidi w:val="0"/>
              <w:rPr>
                <w:rFonts w:hint="eastAsia"/>
                <w:lang w:val="en-US" w:eastAsia="zh-CN"/>
              </w:rPr>
            </w:pPr>
            <w:r>
              <w:rPr>
                <w:rFonts w:hint="eastAsia"/>
                <w:lang w:val="en-US" w:eastAsia="zh-CN"/>
              </w:rPr>
              <w:t>（5）该项目不允许任何形式的转包。</w:t>
            </w:r>
          </w:p>
        </w:tc>
      </w:tr>
      <w:tr w14:paraId="1709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2BA41094">
            <w:pPr>
              <w:pStyle w:val="46"/>
              <w:bidi w:val="0"/>
              <w:rPr>
                <w:rFonts w:hint="eastAsia"/>
                <w:lang w:val="en-US" w:eastAsia="zh-CN"/>
              </w:rPr>
            </w:pPr>
            <w:r>
              <w:rPr>
                <w:rFonts w:hint="eastAsia"/>
                <w:lang w:val="en-US" w:eastAsia="zh-CN"/>
              </w:rPr>
              <w:t>9.2</w:t>
            </w:r>
          </w:p>
        </w:tc>
        <w:tc>
          <w:tcPr>
            <w:tcW w:w="1275" w:type="dxa"/>
            <w:tcBorders>
              <w:top w:val="single" w:color="auto" w:sz="4" w:space="0"/>
              <w:left w:val="single" w:color="auto" w:sz="4" w:space="0"/>
              <w:right w:val="single" w:color="auto" w:sz="4" w:space="0"/>
            </w:tcBorders>
            <w:vAlign w:val="center"/>
          </w:tcPr>
          <w:p w14:paraId="504716C7">
            <w:pPr>
              <w:pStyle w:val="46"/>
              <w:bidi w:val="0"/>
              <w:rPr>
                <w:rFonts w:hint="eastAsia"/>
                <w:lang w:val="en-US" w:eastAsia="zh-CN"/>
              </w:rPr>
            </w:pPr>
            <w:r>
              <w:rPr>
                <w:rFonts w:hint="eastAsia"/>
                <w:lang w:val="en-US" w:eastAsia="zh-CN"/>
              </w:rPr>
              <w:t>对投标人的纪律要求</w:t>
            </w:r>
          </w:p>
        </w:tc>
        <w:tc>
          <w:tcPr>
            <w:tcW w:w="6313" w:type="dxa"/>
          </w:tcPr>
          <w:p w14:paraId="7B39FB0D">
            <w:pPr>
              <w:pStyle w:val="46"/>
              <w:bidi w:val="0"/>
              <w:rPr>
                <w:rFonts w:hint="eastAsia"/>
              </w:rPr>
            </w:pPr>
            <w:r>
              <w:rPr>
                <w:rFonts w:hint="eastAsia"/>
                <w:lang w:val="en-US" w:eastAsia="zh-CN"/>
              </w:rPr>
              <w:t>一、</w:t>
            </w:r>
            <w:r>
              <w:rPr>
                <w:rFonts w:hint="eastAsia"/>
              </w:rPr>
              <w:t>有下列情形之一的，属于</w:t>
            </w:r>
            <w:r>
              <w:rPr>
                <w:rFonts w:hint="eastAsia"/>
                <w:lang w:eastAsia="zh-CN"/>
              </w:rPr>
              <w:t>投标</w:t>
            </w:r>
            <w:r>
              <w:rPr>
                <w:rFonts w:hint="eastAsia"/>
              </w:rPr>
              <w:t>人相互串通</w:t>
            </w:r>
            <w:r>
              <w:rPr>
                <w:rFonts w:hint="eastAsia"/>
                <w:lang w:eastAsia="zh-CN"/>
              </w:rPr>
              <w:t>投标</w:t>
            </w:r>
            <w:r>
              <w:rPr>
                <w:rFonts w:hint="eastAsia"/>
              </w:rPr>
              <w:t>：</w:t>
            </w:r>
          </w:p>
          <w:p w14:paraId="73093261">
            <w:pPr>
              <w:pStyle w:val="46"/>
              <w:bidi w:val="0"/>
              <w:rPr>
                <w:rFonts w:hint="eastAsia"/>
              </w:rPr>
            </w:pPr>
            <w:r>
              <w:rPr>
                <w:rFonts w:hint="eastAsia"/>
                <w:lang w:val="en-US" w:eastAsia="zh-CN"/>
              </w:rPr>
              <w:t>（1）</w:t>
            </w:r>
            <w:r>
              <w:rPr>
                <w:rFonts w:hint="eastAsia"/>
                <w:lang w:eastAsia="zh-CN"/>
              </w:rPr>
              <w:t>投标</w:t>
            </w:r>
            <w:r>
              <w:rPr>
                <w:rFonts w:hint="eastAsia"/>
              </w:rPr>
              <w:t>人之间协商</w:t>
            </w:r>
            <w:r>
              <w:rPr>
                <w:rFonts w:hint="eastAsia"/>
                <w:lang w:eastAsia="zh-CN"/>
              </w:rPr>
              <w:t>投标</w:t>
            </w:r>
            <w:r>
              <w:rPr>
                <w:rFonts w:hint="eastAsia"/>
              </w:rPr>
              <w:t>报价等</w:t>
            </w:r>
            <w:r>
              <w:rPr>
                <w:rFonts w:hint="eastAsia"/>
                <w:lang w:eastAsia="zh-CN"/>
              </w:rPr>
              <w:t>投标</w:t>
            </w:r>
            <w:r>
              <w:rPr>
                <w:rFonts w:hint="eastAsia"/>
              </w:rPr>
              <w:t>文件的实质性内容；</w:t>
            </w:r>
          </w:p>
          <w:p w14:paraId="1B3AB8B1">
            <w:pPr>
              <w:pStyle w:val="46"/>
              <w:bidi w:val="0"/>
              <w:rPr>
                <w:rFonts w:hint="eastAsia"/>
              </w:rPr>
            </w:pPr>
            <w:r>
              <w:rPr>
                <w:rFonts w:hint="eastAsia"/>
                <w:lang w:val="en-US" w:eastAsia="zh-CN"/>
              </w:rPr>
              <w:t>（2）</w:t>
            </w:r>
            <w:r>
              <w:rPr>
                <w:rFonts w:hint="eastAsia"/>
                <w:lang w:eastAsia="zh-CN"/>
              </w:rPr>
              <w:t>投标</w:t>
            </w:r>
            <w:r>
              <w:rPr>
                <w:rFonts w:hint="eastAsia"/>
              </w:rPr>
              <w:t>人之间约定</w:t>
            </w:r>
            <w:r>
              <w:rPr>
                <w:rFonts w:hint="eastAsia"/>
                <w:lang w:eastAsia="zh-CN"/>
              </w:rPr>
              <w:t>中标</w:t>
            </w:r>
            <w:r>
              <w:rPr>
                <w:rFonts w:hint="eastAsia"/>
              </w:rPr>
              <w:t>人；</w:t>
            </w:r>
          </w:p>
          <w:p w14:paraId="5624667B">
            <w:pPr>
              <w:pStyle w:val="46"/>
              <w:bidi w:val="0"/>
              <w:rPr>
                <w:rFonts w:hint="eastAsia"/>
              </w:rPr>
            </w:pPr>
            <w:r>
              <w:rPr>
                <w:rFonts w:hint="eastAsia"/>
                <w:lang w:val="en-US" w:eastAsia="zh-CN"/>
              </w:rPr>
              <w:t>（3）</w:t>
            </w:r>
            <w:r>
              <w:rPr>
                <w:rFonts w:hint="eastAsia"/>
                <w:lang w:eastAsia="zh-CN"/>
              </w:rPr>
              <w:t>投标</w:t>
            </w:r>
            <w:r>
              <w:rPr>
                <w:rFonts w:hint="eastAsia"/>
              </w:rPr>
              <w:t>人之间约定部分</w:t>
            </w:r>
            <w:r>
              <w:rPr>
                <w:rFonts w:hint="eastAsia"/>
                <w:lang w:eastAsia="zh-CN"/>
              </w:rPr>
              <w:t>投标</w:t>
            </w:r>
            <w:r>
              <w:rPr>
                <w:rFonts w:hint="eastAsia"/>
              </w:rPr>
              <w:t>人放弃</w:t>
            </w:r>
            <w:r>
              <w:rPr>
                <w:rFonts w:hint="eastAsia"/>
                <w:lang w:eastAsia="zh-CN"/>
              </w:rPr>
              <w:t>投标</w:t>
            </w:r>
            <w:r>
              <w:rPr>
                <w:rFonts w:hint="eastAsia"/>
              </w:rPr>
              <w:t>或者</w:t>
            </w:r>
            <w:r>
              <w:rPr>
                <w:rFonts w:hint="eastAsia"/>
                <w:lang w:eastAsia="zh-CN"/>
              </w:rPr>
              <w:t>中标</w:t>
            </w:r>
            <w:r>
              <w:rPr>
                <w:rFonts w:hint="eastAsia"/>
              </w:rPr>
              <w:t>；</w:t>
            </w:r>
          </w:p>
          <w:p w14:paraId="24E4276A">
            <w:pPr>
              <w:pStyle w:val="46"/>
              <w:bidi w:val="0"/>
              <w:rPr>
                <w:rFonts w:hint="eastAsia"/>
              </w:rPr>
            </w:pPr>
            <w:r>
              <w:rPr>
                <w:rFonts w:hint="eastAsia"/>
                <w:lang w:val="en-US" w:eastAsia="zh-CN"/>
              </w:rPr>
              <w:t>（4）</w:t>
            </w:r>
            <w:r>
              <w:rPr>
                <w:rFonts w:hint="eastAsia"/>
              </w:rPr>
              <w:t>属于同一集团、协会、商会等组织成员的</w:t>
            </w:r>
            <w:r>
              <w:rPr>
                <w:rFonts w:hint="eastAsia"/>
                <w:lang w:eastAsia="zh-CN"/>
              </w:rPr>
              <w:t>投标</w:t>
            </w:r>
            <w:r>
              <w:rPr>
                <w:rFonts w:hint="eastAsia"/>
              </w:rPr>
              <w:t>人按照该组织要求协同</w:t>
            </w:r>
            <w:r>
              <w:rPr>
                <w:rFonts w:hint="eastAsia"/>
                <w:lang w:eastAsia="zh-CN"/>
              </w:rPr>
              <w:t>投标</w:t>
            </w:r>
            <w:r>
              <w:rPr>
                <w:rFonts w:hint="eastAsia"/>
              </w:rPr>
              <w:t>；</w:t>
            </w:r>
          </w:p>
          <w:p w14:paraId="147F5099">
            <w:pPr>
              <w:pStyle w:val="46"/>
              <w:bidi w:val="0"/>
              <w:rPr>
                <w:rFonts w:hint="eastAsia"/>
              </w:rPr>
            </w:pPr>
            <w:r>
              <w:rPr>
                <w:rFonts w:hint="eastAsia"/>
                <w:lang w:val="en-US" w:eastAsia="zh-CN"/>
              </w:rPr>
              <w:t>（5）</w:t>
            </w:r>
            <w:r>
              <w:rPr>
                <w:rFonts w:hint="eastAsia"/>
                <w:lang w:eastAsia="zh-CN"/>
              </w:rPr>
              <w:t>投标</w:t>
            </w:r>
            <w:r>
              <w:rPr>
                <w:rFonts w:hint="eastAsia"/>
              </w:rPr>
              <w:t>人之间为谋取</w:t>
            </w:r>
            <w:r>
              <w:rPr>
                <w:rFonts w:hint="eastAsia"/>
                <w:lang w:eastAsia="zh-CN"/>
              </w:rPr>
              <w:t>中标</w:t>
            </w:r>
            <w:r>
              <w:rPr>
                <w:rFonts w:hint="eastAsia"/>
              </w:rPr>
              <w:t>或者排斥特定</w:t>
            </w:r>
            <w:r>
              <w:rPr>
                <w:rFonts w:hint="eastAsia"/>
                <w:lang w:eastAsia="zh-CN"/>
              </w:rPr>
              <w:t>投标</w:t>
            </w:r>
            <w:r>
              <w:rPr>
                <w:rFonts w:hint="eastAsia"/>
              </w:rPr>
              <w:t>人而采取的其他联合行动。</w:t>
            </w:r>
          </w:p>
          <w:p w14:paraId="4F1284C1">
            <w:pPr>
              <w:pStyle w:val="46"/>
              <w:bidi w:val="0"/>
              <w:rPr>
                <w:rFonts w:hint="eastAsia"/>
              </w:rPr>
            </w:pPr>
            <w:r>
              <w:rPr>
                <w:rFonts w:hint="eastAsia"/>
                <w:lang w:val="en-US" w:eastAsia="zh-CN"/>
              </w:rPr>
              <w:t>二、</w:t>
            </w:r>
            <w:r>
              <w:rPr>
                <w:rFonts w:hint="eastAsia"/>
              </w:rPr>
              <w:t>有下列情形之一的，视为</w:t>
            </w:r>
            <w:r>
              <w:rPr>
                <w:rFonts w:hint="eastAsia"/>
                <w:lang w:eastAsia="zh-CN"/>
              </w:rPr>
              <w:t>投标</w:t>
            </w:r>
            <w:r>
              <w:rPr>
                <w:rFonts w:hint="eastAsia"/>
              </w:rPr>
              <w:t>人相互串通</w:t>
            </w:r>
            <w:r>
              <w:rPr>
                <w:rFonts w:hint="eastAsia"/>
                <w:lang w:eastAsia="zh-CN"/>
              </w:rPr>
              <w:t>投标</w:t>
            </w:r>
            <w:r>
              <w:rPr>
                <w:rFonts w:hint="eastAsia"/>
              </w:rPr>
              <w:t>：</w:t>
            </w:r>
          </w:p>
          <w:p w14:paraId="7D8674A9">
            <w:pPr>
              <w:pStyle w:val="46"/>
              <w:bidi w:val="0"/>
              <w:rPr>
                <w:rFonts w:hint="eastAsia"/>
              </w:rPr>
            </w:pPr>
            <w:r>
              <w:rPr>
                <w:rFonts w:hint="eastAsia"/>
                <w:lang w:val="en-US" w:eastAsia="zh-CN"/>
              </w:rPr>
              <w:t>（1）</w:t>
            </w:r>
            <w:r>
              <w:rPr>
                <w:rFonts w:hint="eastAsia"/>
              </w:rPr>
              <w:t>不同</w:t>
            </w:r>
            <w:r>
              <w:rPr>
                <w:rFonts w:hint="eastAsia"/>
                <w:lang w:eastAsia="zh-CN"/>
              </w:rPr>
              <w:t>投标</w:t>
            </w:r>
            <w:r>
              <w:rPr>
                <w:rFonts w:hint="eastAsia"/>
              </w:rPr>
              <w:t>人的</w:t>
            </w:r>
            <w:r>
              <w:rPr>
                <w:rFonts w:hint="eastAsia"/>
                <w:lang w:eastAsia="zh-CN"/>
              </w:rPr>
              <w:t>投标</w:t>
            </w:r>
            <w:r>
              <w:rPr>
                <w:rFonts w:hint="eastAsia"/>
              </w:rPr>
              <w:t>文件由同一单位或者个人编制；</w:t>
            </w:r>
          </w:p>
          <w:p w14:paraId="45E00F66">
            <w:pPr>
              <w:pStyle w:val="46"/>
              <w:bidi w:val="0"/>
              <w:rPr>
                <w:rFonts w:hint="eastAsia"/>
              </w:rPr>
            </w:pPr>
            <w:r>
              <w:rPr>
                <w:rFonts w:hint="eastAsia"/>
                <w:lang w:val="en-US" w:eastAsia="zh-CN"/>
              </w:rPr>
              <w:t>（2）</w:t>
            </w:r>
            <w:r>
              <w:rPr>
                <w:rFonts w:hint="eastAsia"/>
              </w:rPr>
              <w:t>不同</w:t>
            </w:r>
            <w:r>
              <w:rPr>
                <w:rFonts w:hint="eastAsia"/>
                <w:lang w:eastAsia="zh-CN"/>
              </w:rPr>
              <w:t>投标</w:t>
            </w:r>
            <w:r>
              <w:rPr>
                <w:rFonts w:hint="eastAsia"/>
              </w:rPr>
              <w:t>人委托同一单位或者个人办理</w:t>
            </w:r>
            <w:r>
              <w:rPr>
                <w:rFonts w:hint="eastAsia"/>
                <w:lang w:eastAsia="zh-CN"/>
              </w:rPr>
              <w:t>投标</w:t>
            </w:r>
            <w:r>
              <w:rPr>
                <w:rFonts w:hint="eastAsia"/>
              </w:rPr>
              <w:t>事宜；</w:t>
            </w:r>
          </w:p>
          <w:p w14:paraId="62582B3A">
            <w:pPr>
              <w:pStyle w:val="46"/>
              <w:bidi w:val="0"/>
              <w:rPr>
                <w:rFonts w:hint="eastAsia"/>
              </w:rPr>
            </w:pPr>
            <w:r>
              <w:rPr>
                <w:rFonts w:hint="eastAsia"/>
                <w:lang w:val="en-US" w:eastAsia="zh-CN"/>
              </w:rPr>
              <w:t>（3）</w:t>
            </w:r>
            <w:r>
              <w:rPr>
                <w:rFonts w:hint="eastAsia"/>
              </w:rPr>
              <w:t>不同</w:t>
            </w:r>
            <w:r>
              <w:rPr>
                <w:rFonts w:hint="eastAsia"/>
                <w:lang w:eastAsia="zh-CN"/>
              </w:rPr>
              <w:t>投标</w:t>
            </w:r>
            <w:r>
              <w:rPr>
                <w:rFonts w:hint="eastAsia"/>
              </w:rPr>
              <w:t>人的</w:t>
            </w:r>
            <w:r>
              <w:rPr>
                <w:rFonts w:hint="eastAsia"/>
                <w:lang w:eastAsia="zh-CN"/>
              </w:rPr>
              <w:t>投标</w:t>
            </w:r>
            <w:r>
              <w:rPr>
                <w:rFonts w:hint="eastAsia"/>
              </w:rPr>
              <w:t>文件载明的项目管理成员为同一人；</w:t>
            </w:r>
          </w:p>
          <w:p w14:paraId="3C01927B">
            <w:pPr>
              <w:pStyle w:val="46"/>
              <w:bidi w:val="0"/>
              <w:rPr>
                <w:rFonts w:hint="eastAsia"/>
              </w:rPr>
            </w:pPr>
            <w:r>
              <w:rPr>
                <w:rFonts w:hint="eastAsia"/>
                <w:lang w:val="en-US" w:eastAsia="zh-CN"/>
              </w:rPr>
              <w:t>（4）</w:t>
            </w:r>
            <w:r>
              <w:rPr>
                <w:rFonts w:hint="eastAsia"/>
              </w:rPr>
              <w:t>不同</w:t>
            </w:r>
            <w:r>
              <w:rPr>
                <w:rFonts w:hint="eastAsia"/>
                <w:lang w:eastAsia="zh-CN"/>
              </w:rPr>
              <w:t>投标</w:t>
            </w:r>
            <w:r>
              <w:rPr>
                <w:rFonts w:hint="eastAsia"/>
              </w:rPr>
              <w:t>人的</w:t>
            </w:r>
            <w:r>
              <w:rPr>
                <w:rFonts w:hint="eastAsia"/>
                <w:lang w:eastAsia="zh-CN"/>
              </w:rPr>
              <w:t>投标</w:t>
            </w:r>
            <w:r>
              <w:rPr>
                <w:rFonts w:hint="eastAsia"/>
              </w:rPr>
              <w:t>文件相互混装；</w:t>
            </w:r>
          </w:p>
          <w:p w14:paraId="1D56D335">
            <w:pPr>
              <w:pStyle w:val="46"/>
              <w:bidi w:val="0"/>
              <w:rPr>
                <w:rFonts w:hint="eastAsia"/>
              </w:rPr>
            </w:pPr>
            <w:r>
              <w:rPr>
                <w:rFonts w:hint="eastAsia"/>
                <w:lang w:val="en-US" w:eastAsia="zh-CN"/>
              </w:rPr>
              <w:t>（5）</w:t>
            </w:r>
            <w:r>
              <w:rPr>
                <w:rFonts w:hint="eastAsia"/>
              </w:rPr>
              <w:t>不同</w:t>
            </w:r>
            <w:r>
              <w:rPr>
                <w:rFonts w:hint="eastAsia"/>
                <w:lang w:eastAsia="zh-CN"/>
              </w:rPr>
              <w:t>投标</w:t>
            </w:r>
            <w:r>
              <w:rPr>
                <w:rFonts w:hint="eastAsia"/>
              </w:rPr>
              <w:t>人的</w:t>
            </w:r>
            <w:r>
              <w:rPr>
                <w:rFonts w:hint="eastAsia"/>
                <w:lang w:eastAsia="zh-CN"/>
              </w:rPr>
              <w:t>投标</w:t>
            </w:r>
            <w:r>
              <w:rPr>
                <w:rFonts w:hint="eastAsia"/>
              </w:rPr>
              <w:t>保证金从同一单位或者个人的账户转出。</w:t>
            </w:r>
          </w:p>
          <w:p w14:paraId="37F8A503">
            <w:pPr>
              <w:pStyle w:val="46"/>
              <w:bidi w:val="0"/>
              <w:rPr>
                <w:rFonts w:hint="eastAsia"/>
              </w:rPr>
            </w:pPr>
            <w:r>
              <w:rPr>
                <w:rFonts w:hint="eastAsia"/>
                <w:lang w:val="en-US" w:eastAsia="zh-CN"/>
              </w:rPr>
              <w:t>三、</w:t>
            </w:r>
            <w:r>
              <w:rPr>
                <w:rFonts w:hint="eastAsia"/>
              </w:rPr>
              <w:t>使用通过受让或者租借等方式获取的资格、资质证书</w:t>
            </w:r>
            <w:r>
              <w:rPr>
                <w:rFonts w:hint="eastAsia"/>
                <w:lang w:eastAsia="zh-CN"/>
              </w:rPr>
              <w:t>投标</w:t>
            </w:r>
            <w:r>
              <w:rPr>
                <w:rFonts w:hint="eastAsia"/>
              </w:rPr>
              <w:t>的，属于以他人名义</w:t>
            </w:r>
            <w:r>
              <w:rPr>
                <w:rFonts w:hint="eastAsia"/>
                <w:lang w:eastAsia="zh-CN"/>
              </w:rPr>
              <w:t>投标</w:t>
            </w:r>
            <w:r>
              <w:rPr>
                <w:rFonts w:hint="eastAsia"/>
              </w:rPr>
              <w:t>。</w:t>
            </w:r>
          </w:p>
          <w:p w14:paraId="12214BC5">
            <w:pPr>
              <w:pStyle w:val="46"/>
              <w:bidi w:val="0"/>
              <w:rPr>
                <w:rFonts w:hint="eastAsia"/>
              </w:rPr>
            </w:pPr>
            <w:r>
              <w:rPr>
                <w:rFonts w:hint="eastAsia"/>
                <w:lang w:val="en-US" w:eastAsia="zh-CN"/>
              </w:rPr>
              <w:t>四、</w:t>
            </w:r>
            <w:r>
              <w:rPr>
                <w:rFonts w:hint="eastAsia"/>
                <w:lang w:eastAsia="zh-CN"/>
              </w:rPr>
              <w:t>投标</w:t>
            </w:r>
            <w:r>
              <w:rPr>
                <w:rFonts w:hint="eastAsia"/>
              </w:rPr>
              <w:t>人有下列情形之一的，属于弄虚作假的行为：</w:t>
            </w:r>
          </w:p>
          <w:p w14:paraId="53C048F7">
            <w:pPr>
              <w:pStyle w:val="46"/>
              <w:bidi w:val="0"/>
              <w:rPr>
                <w:rFonts w:hint="eastAsia"/>
              </w:rPr>
            </w:pPr>
            <w:r>
              <w:rPr>
                <w:rFonts w:hint="eastAsia"/>
                <w:lang w:val="en-US" w:eastAsia="zh-CN"/>
              </w:rPr>
              <w:t>（1）</w:t>
            </w:r>
            <w:r>
              <w:rPr>
                <w:rFonts w:hint="eastAsia"/>
              </w:rPr>
              <w:t>使用伪造、变造的许可证件；</w:t>
            </w:r>
          </w:p>
          <w:p w14:paraId="528C50EA">
            <w:pPr>
              <w:pStyle w:val="46"/>
              <w:bidi w:val="0"/>
              <w:rPr>
                <w:rFonts w:hint="eastAsia"/>
              </w:rPr>
            </w:pPr>
            <w:r>
              <w:rPr>
                <w:rFonts w:hint="eastAsia"/>
                <w:lang w:val="en-US" w:eastAsia="zh-CN"/>
              </w:rPr>
              <w:t>（2）</w:t>
            </w:r>
            <w:r>
              <w:rPr>
                <w:rFonts w:hint="eastAsia"/>
              </w:rPr>
              <w:t>提供虚假的财务状况或者虚假业绩；</w:t>
            </w:r>
          </w:p>
          <w:p w14:paraId="4D945858">
            <w:pPr>
              <w:pStyle w:val="46"/>
              <w:bidi w:val="0"/>
              <w:rPr>
                <w:rFonts w:hint="eastAsia"/>
              </w:rPr>
            </w:pPr>
            <w:r>
              <w:rPr>
                <w:rFonts w:hint="eastAsia"/>
                <w:lang w:val="en-US" w:eastAsia="zh-CN"/>
              </w:rPr>
              <w:t>（3）</w:t>
            </w:r>
            <w:r>
              <w:rPr>
                <w:rFonts w:hint="eastAsia"/>
              </w:rPr>
              <w:t>提供虚假的项目负责人或者主要技术人员简历、劳动关系证明；</w:t>
            </w:r>
          </w:p>
          <w:p w14:paraId="4A4B8750">
            <w:pPr>
              <w:pStyle w:val="46"/>
              <w:bidi w:val="0"/>
              <w:rPr>
                <w:rFonts w:hint="eastAsia"/>
              </w:rPr>
            </w:pPr>
            <w:r>
              <w:rPr>
                <w:rFonts w:hint="eastAsia"/>
                <w:lang w:val="en-US" w:eastAsia="zh-CN"/>
              </w:rPr>
              <w:t>（4）</w:t>
            </w:r>
            <w:r>
              <w:rPr>
                <w:rFonts w:hint="eastAsia"/>
              </w:rPr>
              <w:t>提供虚假的信用状况；</w:t>
            </w:r>
          </w:p>
          <w:p w14:paraId="1DF9DE15">
            <w:pPr>
              <w:pStyle w:val="46"/>
              <w:bidi w:val="0"/>
              <w:rPr>
                <w:rFonts w:hint="eastAsia"/>
              </w:rPr>
            </w:pPr>
            <w:r>
              <w:rPr>
                <w:rFonts w:hint="eastAsia"/>
                <w:lang w:val="en-US" w:eastAsia="zh-CN"/>
              </w:rPr>
              <w:t>（5）</w:t>
            </w:r>
            <w:r>
              <w:rPr>
                <w:rFonts w:hint="eastAsia"/>
              </w:rPr>
              <w:t>其它弄虚作假的行为。</w:t>
            </w:r>
          </w:p>
          <w:p w14:paraId="0516B3D0">
            <w:pPr>
              <w:pStyle w:val="46"/>
              <w:bidi w:val="0"/>
              <w:rPr>
                <w:rFonts w:hint="eastAsia"/>
                <w:lang w:val="en-US" w:eastAsia="zh-CN"/>
              </w:rPr>
            </w:pPr>
            <w:r>
              <w:rPr>
                <w:rFonts w:hint="eastAsia"/>
              </w:rPr>
              <w:t>针对以上情况，</w:t>
            </w:r>
            <w:r>
              <w:rPr>
                <w:rFonts w:hint="eastAsia"/>
                <w:lang w:eastAsia="zh-CN"/>
              </w:rPr>
              <w:t>招标</w:t>
            </w:r>
            <w:r>
              <w:rPr>
                <w:rFonts w:hint="eastAsia"/>
              </w:rPr>
              <w:t>人有权没收</w:t>
            </w:r>
            <w:r>
              <w:rPr>
                <w:rFonts w:hint="eastAsia"/>
                <w:lang w:eastAsia="zh-CN"/>
              </w:rPr>
              <w:t>投标</w:t>
            </w:r>
            <w:r>
              <w:rPr>
                <w:rFonts w:hint="eastAsia"/>
              </w:rPr>
              <w:t>人的</w:t>
            </w:r>
            <w:r>
              <w:rPr>
                <w:rFonts w:hint="eastAsia"/>
                <w:lang w:eastAsia="zh-CN"/>
              </w:rPr>
              <w:t>投标</w:t>
            </w:r>
            <w:r>
              <w:rPr>
                <w:rFonts w:hint="eastAsia"/>
              </w:rPr>
              <w:t>保证金，并保留进一步追究由此带来损失的权利。</w:t>
            </w:r>
          </w:p>
        </w:tc>
      </w:tr>
      <w:tr w14:paraId="540C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7762141B">
            <w:pPr>
              <w:pStyle w:val="46"/>
              <w:bidi w:val="0"/>
              <w:rPr>
                <w:rFonts w:hint="eastAsia"/>
                <w:lang w:val="en-US" w:eastAsia="zh-CN"/>
              </w:rPr>
            </w:pPr>
            <w:r>
              <w:rPr>
                <w:rFonts w:hint="eastAsia"/>
                <w:lang w:val="en-US" w:eastAsia="zh-CN"/>
              </w:rPr>
              <w:t>9.5</w:t>
            </w:r>
          </w:p>
        </w:tc>
        <w:tc>
          <w:tcPr>
            <w:tcW w:w="1275" w:type="dxa"/>
            <w:tcBorders>
              <w:top w:val="single" w:color="auto" w:sz="4" w:space="0"/>
              <w:left w:val="single" w:color="auto" w:sz="4" w:space="0"/>
              <w:right w:val="single" w:color="auto" w:sz="4" w:space="0"/>
            </w:tcBorders>
            <w:vAlign w:val="center"/>
          </w:tcPr>
          <w:p w14:paraId="326B5356">
            <w:pPr>
              <w:pStyle w:val="46"/>
              <w:bidi w:val="0"/>
              <w:rPr>
                <w:rFonts w:hint="eastAsia"/>
                <w:lang w:val="en-US" w:eastAsia="zh-CN"/>
              </w:rPr>
            </w:pPr>
            <w:r>
              <w:rPr>
                <w:rFonts w:hint="eastAsia"/>
                <w:lang w:val="en-US" w:eastAsia="zh-CN"/>
              </w:rPr>
              <w:t>投诉</w:t>
            </w:r>
          </w:p>
        </w:tc>
        <w:tc>
          <w:tcPr>
            <w:tcW w:w="6313" w:type="dxa"/>
          </w:tcPr>
          <w:p w14:paraId="2F90D6E8">
            <w:pPr>
              <w:pStyle w:val="46"/>
              <w:bidi w:val="0"/>
              <w:rPr>
                <w:rFonts w:hint="eastAsia"/>
              </w:rPr>
            </w:pPr>
            <w:r>
              <w:rPr>
                <w:rFonts w:hint="eastAsia"/>
                <w:lang w:val="en-US" w:eastAsia="zh-CN"/>
              </w:rPr>
              <w:t>招标异议</w:t>
            </w:r>
            <w:r>
              <w:rPr>
                <w:rFonts w:hint="eastAsia"/>
              </w:rPr>
              <w:t>邮箱：sx.jcb@ccqtgb.com</w:t>
            </w:r>
          </w:p>
          <w:p w14:paraId="79875690">
            <w:pPr>
              <w:pStyle w:val="46"/>
              <w:bidi w:val="0"/>
              <w:rPr>
                <w:rFonts w:hint="eastAsia"/>
                <w:lang w:val="en-US" w:eastAsia="zh-CN"/>
              </w:rPr>
            </w:pPr>
            <w:r>
              <w:rPr>
                <w:rFonts w:hint="eastAsia"/>
                <w:lang w:val="en-US" w:eastAsia="zh-CN"/>
              </w:rPr>
              <w:t>招标</w:t>
            </w:r>
            <w:r>
              <w:rPr>
                <w:rFonts w:hint="eastAsia"/>
              </w:rPr>
              <w:t>投诉邮箱：</w:t>
            </w:r>
            <w:bookmarkStart w:id="60" w:name="_Hlk74215856"/>
            <w:r>
              <w:rPr>
                <w:rFonts w:hint="eastAsia"/>
              </w:rPr>
              <w:t>sxyhjjz@ccqtgb.com</w:t>
            </w:r>
            <w:bookmarkEnd w:id="60"/>
          </w:p>
        </w:tc>
      </w:tr>
      <w:tr w14:paraId="5492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783469C1">
            <w:pPr>
              <w:pStyle w:val="46"/>
              <w:bidi w:val="0"/>
              <w:rPr>
                <w:rFonts w:hint="eastAsia"/>
                <w:lang w:val="en-US" w:eastAsia="zh-CN"/>
              </w:rPr>
            </w:pPr>
            <w:r>
              <w:rPr>
                <w:rFonts w:hint="eastAsia"/>
                <w:lang w:val="en-US" w:eastAsia="zh-CN"/>
              </w:rPr>
              <w:t>10</w:t>
            </w:r>
          </w:p>
        </w:tc>
        <w:tc>
          <w:tcPr>
            <w:tcW w:w="1275" w:type="dxa"/>
            <w:tcBorders>
              <w:top w:val="single" w:color="auto" w:sz="4" w:space="0"/>
              <w:left w:val="single" w:color="auto" w:sz="4" w:space="0"/>
              <w:right w:val="single" w:color="auto" w:sz="4" w:space="0"/>
            </w:tcBorders>
            <w:vAlign w:val="center"/>
          </w:tcPr>
          <w:p w14:paraId="65C75F67">
            <w:pPr>
              <w:pStyle w:val="46"/>
              <w:bidi w:val="0"/>
              <w:rPr>
                <w:rFonts w:hint="eastAsia"/>
                <w:lang w:val="en-US" w:eastAsia="zh-CN"/>
              </w:rPr>
            </w:pPr>
            <w:r>
              <w:rPr>
                <w:rFonts w:hint="eastAsia"/>
                <w:lang w:val="en-US" w:eastAsia="zh-CN"/>
              </w:rPr>
              <w:t>交易相关费用</w:t>
            </w:r>
          </w:p>
        </w:tc>
        <w:tc>
          <w:tcPr>
            <w:tcW w:w="6313" w:type="dxa"/>
          </w:tcPr>
          <w:p w14:paraId="71EB14DC">
            <w:pPr>
              <w:pStyle w:val="46"/>
              <w:bidi w:val="0"/>
              <w:rPr>
                <w:rFonts w:hint="eastAsia"/>
              </w:rPr>
            </w:pPr>
            <w:r>
              <w:rPr>
                <w:rFonts w:hint="eastAsia"/>
              </w:rPr>
              <w:t>投标人参与本投标项目时，一切与投标有关的费用均由投标人自理。</w:t>
            </w:r>
          </w:p>
          <w:p w14:paraId="1F565C9F">
            <w:pPr>
              <w:pStyle w:val="46"/>
              <w:bidi w:val="0"/>
              <w:rPr>
                <w:rFonts w:hint="eastAsia"/>
              </w:rPr>
            </w:pPr>
            <w:r>
              <w:rPr>
                <w:rFonts w:hint="eastAsia"/>
              </w:rPr>
              <w:t>本项目平台服务费为</w:t>
            </w:r>
            <w:r>
              <w:rPr>
                <w:rFonts w:hint="eastAsia"/>
                <w:lang w:val="en-US" w:eastAsia="zh-CN"/>
              </w:rPr>
              <w:t xml:space="preserve"> 15000 元</w:t>
            </w:r>
            <w:r>
              <w:rPr>
                <w:rFonts w:hint="eastAsia"/>
              </w:rPr>
              <w:t>，由</w:t>
            </w:r>
            <w:r>
              <w:rPr>
                <w:rFonts w:hint="eastAsia"/>
                <w:lang w:eastAsia="zh-CN"/>
              </w:rPr>
              <w:t>中标</w:t>
            </w:r>
            <w:r>
              <w:rPr>
                <w:rFonts w:hint="eastAsia"/>
              </w:rPr>
              <w:t>人向重庆联合产权交易所集团股份有限公司支付。</w:t>
            </w:r>
            <w:r>
              <w:rPr>
                <w:rFonts w:hint="eastAsia"/>
                <w:lang w:eastAsia="zh-CN"/>
              </w:rPr>
              <w:t>中标</w:t>
            </w:r>
            <w:r>
              <w:rPr>
                <w:rFonts w:hint="eastAsia"/>
              </w:rPr>
              <w:t>人应在领取</w:t>
            </w:r>
            <w:r>
              <w:rPr>
                <w:rFonts w:hint="eastAsia"/>
                <w:lang w:eastAsia="zh-CN"/>
              </w:rPr>
              <w:t>中标</w:t>
            </w:r>
            <w:r>
              <w:rPr>
                <w:rFonts w:hint="eastAsia"/>
              </w:rPr>
              <w:t>通知书时一次性缴纳</w:t>
            </w:r>
            <w:r>
              <w:rPr>
                <w:rFonts w:hint="eastAsia"/>
                <w:lang w:eastAsia="zh-CN"/>
              </w:rPr>
              <w:t>，请各投标人综合考虑进行报价。</w:t>
            </w:r>
          </w:p>
          <w:p w14:paraId="42AD4B4C">
            <w:pPr>
              <w:pStyle w:val="46"/>
              <w:bidi w:val="0"/>
              <w:rPr>
                <w:rFonts w:hint="eastAsia"/>
                <w:lang w:val="en-US" w:eastAsia="zh-CN"/>
              </w:rPr>
            </w:pPr>
            <w:r>
              <w:rPr>
                <w:rFonts w:hint="eastAsia"/>
                <w:lang w:val="en-US" w:eastAsia="zh-CN"/>
              </w:rPr>
              <w:t>上述平台服务费金额及计算均为含税价，税率为6%。</w:t>
            </w:r>
          </w:p>
        </w:tc>
      </w:tr>
      <w:tr w14:paraId="3F0D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 w:type="dxa"/>
            <w:vAlign w:val="center"/>
          </w:tcPr>
          <w:p w14:paraId="09D1C1F6">
            <w:pPr>
              <w:pStyle w:val="46"/>
              <w:bidi w:val="0"/>
              <w:rPr>
                <w:rFonts w:hint="eastAsia"/>
                <w:lang w:val="en-US" w:eastAsia="zh-CN"/>
              </w:rPr>
            </w:pPr>
            <w:r>
              <w:rPr>
                <w:rFonts w:hint="eastAsia"/>
                <w:lang w:val="en-US" w:eastAsia="zh-CN"/>
              </w:rPr>
              <w:t>11</w:t>
            </w:r>
          </w:p>
        </w:tc>
        <w:tc>
          <w:tcPr>
            <w:tcW w:w="1275" w:type="dxa"/>
            <w:tcBorders>
              <w:top w:val="single" w:color="auto" w:sz="4" w:space="0"/>
              <w:left w:val="single" w:color="auto" w:sz="4" w:space="0"/>
              <w:right w:val="single" w:color="auto" w:sz="4" w:space="0"/>
            </w:tcBorders>
            <w:vAlign w:val="center"/>
          </w:tcPr>
          <w:p w14:paraId="7FB70F08">
            <w:pPr>
              <w:pStyle w:val="46"/>
              <w:bidi w:val="0"/>
              <w:rPr>
                <w:rFonts w:hint="eastAsia"/>
              </w:rPr>
            </w:pPr>
            <w:r>
              <w:rPr>
                <w:rFonts w:hint="eastAsia"/>
              </w:rPr>
              <w:t>需要补充的其他内容</w:t>
            </w:r>
          </w:p>
        </w:tc>
        <w:tc>
          <w:tcPr>
            <w:tcW w:w="6313" w:type="dxa"/>
          </w:tcPr>
          <w:p w14:paraId="17625F74">
            <w:pPr>
              <w:pStyle w:val="46"/>
              <w:bidi w:val="0"/>
              <w:rPr>
                <w:rFonts w:hint="eastAsia"/>
              </w:rPr>
            </w:pPr>
            <w:bookmarkStart w:id="61" w:name="_Toc8930"/>
            <w:r>
              <w:rPr>
                <w:rFonts w:hint="eastAsia"/>
              </w:rPr>
              <w:t>终止</w:t>
            </w:r>
            <w:r>
              <w:rPr>
                <w:rFonts w:hint="eastAsia"/>
                <w:lang w:val="en-US" w:eastAsia="zh-CN"/>
              </w:rPr>
              <w:t>招</w:t>
            </w:r>
            <w:r>
              <w:rPr>
                <w:rFonts w:hint="eastAsia"/>
              </w:rPr>
              <w:t>标</w:t>
            </w:r>
            <w:bookmarkEnd w:id="61"/>
          </w:p>
          <w:p w14:paraId="3A050E9C">
            <w:pPr>
              <w:pStyle w:val="46"/>
              <w:bidi w:val="0"/>
              <w:rPr>
                <w:rFonts w:hint="eastAsia"/>
              </w:rPr>
            </w:pPr>
            <w:r>
              <w:rPr>
                <w:rFonts w:hint="eastAsia"/>
                <w:lang w:val="en-US" w:eastAsia="zh-CN"/>
              </w:rPr>
              <w:t>（1）</w:t>
            </w:r>
            <w:r>
              <w:rPr>
                <w:rFonts w:hint="eastAsia"/>
              </w:rPr>
              <w:t>因情况发生变化或其他原因造成该项目取消的，本次</w:t>
            </w:r>
            <w:r>
              <w:rPr>
                <w:rFonts w:hint="eastAsia"/>
                <w:lang w:eastAsia="zh-CN"/>
              </w:rPr>
              <w:t>招标</w:t>
            </w:r>
            <w:r>
              <w:rPr>
                <w:rFonts w:hint="eastAsia"/>
              </w:rPr>
              <w:t>自动终止，双方互不承担责任，</w:t>
            </w:r>
            <w:r>
              <w:rPr>
                <w:rFonts w:hint="eastAsia"/>
                <w:lang w:eastAsia="zh-CN"/>
              </w:rPr>
              <w:t>招标</w:t>
            </w:r>
            <w:r>
              <w:rPr>
                <w:rFonts w:hint="eastAsia"/>
              </w:rPr>
              <w:t>人无息退还</w:t>
            </w:r>
            <w:r>
              <w:rPr>
                <w:rFonts w:hint="eastAsia"/>
                <w:lang w:eastAsia="zh-CN"/>
              </w:rPr>
              <w:t>投标</w:t>
            </w:r>
            <w:r>
              <w:rPr>
                <w:rFonts w:hint="eastAsia"/>
              </w:rPr>
              <w:t>保证金。</w:t>
            </w:r>
          </w:p>
          <w:p w14:paraId="35D16F1F">
            <w:pPr>
              <w:pStyle w:val="46"/>
              <w:bidi w:val="0"/>
              <w:rPr>
                <w:rFonts w:hint="eastAsia"/>
              </w:rPr>
            </w:pPr>
            <w:r>
              <w:rPr>
                <w:rFonts w:hint="eastAsia"/>
                <w:lang w:val="en-US" w:eastAsia="zh-CN"/>
              </w:rPr>
              <w:t>（2）</w:t>
            </w:r>
            <w:r>
              <w:rPr>
                <w:rFonts w:hint="eastAsia"/>
              </w:rPr>
              <w:t>签订合同之前，</w:t>
            </w:r>
            <w:r>
              <w:rPr>
                <w:rFonts w:hint="eastAsia"/>
                <w:lang w:eastAsia="zh-CN"/>
              </w:rPr>
              <w:t>招标</w:t>
            </w:r>
            <w:r>
              <w:rPr>
                <w:rFonts w:hint="eastAsia"/>
              </w:rPr>
              <w:t>人发现</w:t>
            </w:r>
            <w:r>
              <w:rPr>
                <w:rFonts w:hint="eastAsia"/>
                <w:lang w:eastAsia="zh-CN"/>
              </w:rPr>
              <w:t>中标</w:t>
            </w:r>
            <w:r>
              <w:rPr>
                <w:rFonts w:hint="eastAsia"/>
              </w:rPr>
              <w:t>候选人经营、财务状况发生较大变化或存在违法行为，</w:t>
            </w:r>
            <w:r>
              <w:rPr>
                <w:rFonts w:hint="eastAsia"/>
                <w:lang w:eastAsia="zh-CN"/>
              </w:rPr>
              <w:t>招标</w:t>
            </w:r>
            <w:r>
              <w:rPr>
                <w:rFonts w:hint="eastAsia"/>
              </w:rPr>
              <w:t>人认为可能影响其履约能力的，</w:t>
            </w:r>
            <w:r>
              <w:rPr>
                <w:rFonts w:hint="eastAsia"/>
                <w:lang w:eastAsia="zh-CN"/>
              </w:rPr>
              <w:t>招标</w:t>
            </w:r>
            <w:r>
              <w:rPr>
                <w:rFonts w:hint="eastAsia"/>
              </w:rPr>
              <w:t>人可废除</w:t>
            </w:r>
            <w:r>
              <w:rPr>
                <w:rFonts w:hint="eastAsia"/>
                <w:lang w:eastAsia="zh-CN"/>
              </w:rPr>
              <w:t>中标</w:t>
            </w:r>
            <w:r>
              <w:rPr>
                <w:rFonts w:hint="eastAsia"/>
              </w:rPr>
              <w:t>人或</w:t>
            </w:r>
            <w:r>
              <w:rPr>
                <w:rFonts w:hint="eastAsia"/>
                <w:lang w:eastAsia="zh-CN"/>
              </w:rPr>
              <w:t>中标</w:t>
            </w:r>
            <w:r>
              <w:rPr>
                <w:rFonts w:hint="eastAsia"/>
              </w:rPr>
              <w:t>候选人资格。</w:t>
            </w:r>
          </w:p>
        </w:tc>
      </w:tr>
    </w:tbl>
    <w:p w14:paraId="2C36CD5D">
      <w:pPr>
        <w:rPr>
          <w:rFonts w:ascii="宋体" w:eastAsia="宋体" w:cs="Times New Roman"/>
          <w:snapToGrid/>
          <w:color w:val="auto"/>
          <w:kern w:val="2"/>
          <w:highlight w:val="none"/>
          <w:lang w:val="en-US" w:eastAsia="zh-CN" w:bidi="ar-SA"/>
        </w:rPr>
      </w:pPr>
      <w:r>
        <w:rPr>
          <w:rFonts w:hint="eastAsia" w:ascii="宋体" w:eastAsia="宋体" w:cs="Times New Roman"/>
          <w:snapToGrid/>
          <w:color w:val="auto"/>
          <w:kern w:val="2"/>
          <w:highlight w:val="none"/>
          <w:lang w:val="en-US" w:eastAsia="zh-CN" w:bidi="ar-SA"/>
        </w:rPr>
        <w:br w:type="page"/>
      </w:r>
    </w:p>
    <w:p w14:paraId="67A05265">
      <w:pPr>
        <w:pStyle w:val="3"/>
        <w:bidi w:val="0"/>
        <w:ind w:left="0" w:firstLine="0"/>
        <w:rPr>
          <w:rFonts w:hint="eastAsia"/>
          <w:color w:val="auto"/>
          <w:highlight w:val="none"/>
          <w:lang w:val="en-US" w:eastAsia="zh-CN"/>
        </w:rPr>
      </w:pPr>
      <w:bookmarkStart w:id="62" w:name="_Toc29165"/>
      <w:bookmarkStart w:id="63" w:name="_Toc22511"/>
      <w:bookmarkStart w:id="64" w:name="_Toc27770"/>
      <w:bookmarkStart w:id="65" w:name="_Toc27836"/>
      <w:bookmarkStart w:id="66" w:name="_Toc30270"/>
      <w:bookmarkStart w:id="67" w:name="_Toc492300620"/>
      <w:r>
        <w:rPr>
          <w:rFonts w:hint="eastAsia" w:ascii="宋体" w:hAnsi="宋体" w:eastAsia="宋体" w:cs="Times New Roman"/>
          <w:b/>
          <w:bCs/>
          <w:snapToGrid w:val="0"/>
          <w:color w:val="auto"/>
          <w:kern w:val="2"/>
          <w:sz w:val="24"/>
          <w:szCs w:val="24"/>
          <w:highlight w:val="none"/>
          <w:lang w:val="en-US" w:eastAsia="zh-CN" w:bidi="ar-SA"/>
        </w:rPr>
        <w:t>1.</w:t>
      </w:r>
      <w:r>
        <w:rPr>
          <w:rFonts w:hint="eastAsia" w:cs="Times New Roman"/>
          <w:b/>
          <w:bCs/>
          <w:snapToGrid w:val="0"/>
          <w:color w:val="auto"/>
          <w:kern w:val="2"/>
          <w:sz w:val="24"/>
          <w:szCs w:val="24"/>
          <w:highlight w:val="none"/>
          <w:lang w:val="en-US" w:eastAsia="zh-CN" w:bidi="ar-SA"/>
        </w:rPr>
        <w:t xml:space="preserve"> </w:t>
      </w:r>
      <w:r>
        <w:rPr>
          <w:rFonts w:hint="eastAsia"/>
          <w:color w:val="auto"/>
          <w:highlight w:val="none"/>
          <w:lang w:val="en-US" w:eastAsia="zh-CN"/>
        </w:rPr>
        <w:t>总则</w:t>
      </w:r>
      <w:bookmarkEnd w:id="62"/>
      <w:bookmarkEnd w:id="63"/>
      <w:bookmarkEnd w:id="64"/>
    </w:p>
    <w:p w14:paraId="438DB136">
      <w:pPr>
        <w:pStyle w:val="4"/>
        <w:bidi w:val="0"/>
        <w:rPr>
          <w:rFonts w:hint="eastAsia"/>
          <w:color w:val="auto"/>
          <w:highlight w:val="none"/>
          <w:lang w:val="en-US" w:eastAsia="zh-CN"/>
        </w:rPr>
      </w:pPr>
      <w:bookmarkStart w:id="68" w:name="_Toc11949"/>
      <w:bookmarkStart w:id="69" w:name="_Toc14325"/>
      <w:r>
        <w:rPr>
          <w:rFonts w:hint="eastAsia"/>
          <w:color w:val="auto"/>
          <w:highlight w:val="none"/>
          <w:lang w:val="en-US" w:eastAsia="zh-CN"/>
        </w:rPr>
        <w:t>1.1 招标项目概况</w:t>
      </w:r>
      <w:bookmarkEnd w:id="68"/>
      <w:bookmarkEnd w:id="69"/>
    </w:p>
    <w:p w14:paraId="43DC0BF6">
      <w:pPr>
        <w:bidi w:val="0"/>
        <w:rPr>
          <w:rFonts w:hint="eastAsia"/>
          <w:color w:val="auto"/>
          <w:highlight w:val="none"/>
          <w:lang w:val="en-US" w:eastAsia="zh-CN"/>
        </w:rPr>
      </w:pPr>
      <w:r>
        <w:rPr>
          <w:rFonts w:hint="eastAsia"/>
          <w:color w:val="auto"/>
          <w:highlight w:val="none"/>
          <w:lang w:val="en-US" w:eastAsia="zh-CN"/>
        </w:rPr>
        <w:t>1.1.1 根据《中华人民共和国招标投标法》、《中华人民共和国招标投标法实施条例》等有关法律、法规和规章的规定，本招标项目已具备招标条件，</w:t>
      </w:r>
      <w:r>
        <w:rPr>
          <w:rFonts w:hint="eastAsia"/>
          <w:color w:val="auto"/>
          <w:highlight w:val="none"/>
        </w:rPr>
        <w:t>现对本项目进行招标。</w:t>
      </w:r>
    </w:p>
    <w:p w14:paraId="10CCD150">
      <w:pPr>
        <w:bidi w:val="0"/>
        <w:rPr>
          <w:rFonts w:hint="eastAsia"/>
          <w:color w:val="auto"/>
          <w:highlight w:val="none"/>
          <w:lang w:val="en-US" w:eastAsia="zh-CN"/>
        </w:rPr>
      </w:pPr>
      <w:r>
        <w:rPr>
          <w:rFonts w:hint="eastAsia"/>
          <w:color w:val="auto"/>
          <w:highlight w:val="none"/>
          <w:lang w:val="en-US" w:eastAsia="zh-CN"/>
        </w:rPr>
        <w:t>1.1.2  招标人：见投标人须知前附表。</w:t>
      </w:r>
    </w:p>
    <w:p w14:paraId="587AFC3A">
      <w:pPr>
        <w:bidi w:val="0"/>
        <w:rPr>
          <w:rFonts w:hint="eastAsia"/>
          <w:color w:val="auto"/>
          <w:highlight w:val="none"/>
          <w:lang w:val="en-US" w:eastAsia="zh-CN"/>
        </w:rPr>
      </w:pPr>
      <w:r>
        <w:rPr>
          <w:rFonts w:hint="eastAsia"/>
          <w:color w:val="auto"/>
          <w:highlight w:val="none"/>
          <w:lang w:val="en-US" w:eastAsia="zh-CN"/>
        </w:rPr>
        <w:t>1.1.3  招标代理机构：见投标人须知前附表。</w:t>
      </w:r>
    </w:p>
    <w:p w14:paraId="4E24D29A">
      <w:pPr>
        <w:bidi w:val="0"/>
        <w:rPr>
          <w:rFonts w:hint="eastAsia"/>
          <w:color w:val="auto"/>
          <w:highlight w:val="none"/>
          <w:lang w:val="en-US" w:eastAsia="zh-CN"/>
        </w:rPr>
      </w:pPr>
      <w:r>
        <w:rPr>
          <w:rFonts w:hint="eastAsia"/>
          <w:color w:val="auto"/>
          <w:highlight w:val="none"/>
          <w:lang w:val="en-US" w:eastAsia="zh-CN"/>
        </w:rPr>
        <w:t>1.1.4  招标项目名称：见投标人须知前附表。</w:t>
      </w:r>
    </w:p>
    <w:p w14:paraId="59E6C558">
      <w:pPr>
        <w:bidi w:val="0"/>
        <w:rPr>
          <w:rFonts w:hint="eastAsia"/>
          <w:color w:val="auto"/>
          <w:highlight w:val="none"/>
          <w:lang w:val="en-US" w:eastAsia="zh-CN"/>
        </w:rPr>
      </w:pPr>
      <w:r>
        <w:rPr>
          <w:rFonts w:hint="eastAsia"/>
          <w:color w:val="auto"/>
          <w:highlight w:val="none"/>
          <w:lang w:val="en-US" w:eastAsia="zh-CN"/>
        </w:rPr>
        <w:t xml:space="preserve">1.1.5  </w:t>
      </w:r>
      <w:r>
        <w:rPr>
          <w:rFonts w:hint="eastAsia"/>
          <w:color w:val="auto"/>
          <w:highlight w:val="none"/>
        </w:rPr>
        <w:t>招标项目</w:t>
      </w:r>
      <w:r>
        <w:rPr>
          <w:rFonts w:hint="eastAsia"/>
          <w:color w:val="auto"/>
          <w:highlight w:val="none"/>
          <w:lang w:val="en-US" w:eastAsia="zh-CN"/>
        </w:rPr>
        <w:t>交货地点</w:t>
      </w:r>
      <w:r>
        <w:rPr>
          <w:rFonts w:hint="eastAsia"/>
          <w:color w:val="auto"/>
          <w:highlight w:val="none"/>
        </w:rPr>
        <w:t>：见投标人须知前附表。</w:t>
      </w:r>
    </w:p>
    <w:p w14:paraId="252D10A4">
      <w:pPr>
        <w:pStyle w:val="4"/>
        <w:bidi w:val="0"/>
        <w:rPr>
          <w:rFonts w:hint="eastAsia"/>
          <w:color w:val="auto"/>
          <w:highlight w:val="none"/>
          <w:lang w:val="en-US" w:eastAsia="zh-CN"/>
        </w:rPr>
      </w:pPr>
      <w:bookmarkStart w:id="70" w:name="_bookmark23"/>
      <w:bookmarkEnd w:id="70"/>
      <w:bookmarkStart w:id="71" w:name="_Toc20461"/>
      <w:bookmarkStart w:id="72" w:name="_Toc30338"/>
      <w:r>
        <w:rPr>
          <w:rFonts w:hint="eastAsia"/>
          <w:color w:val="auto"/>
          <w:highlight w:val="none"/>
          <w:lang w:val="en-US" w:eastAsia="zh-CN"/>
        </w:rPr>
        <w:t>1.2 招标项目的资金来源和落实情况</w:t>
      </w:r>
      <w:bookmarkEnd w:id="71"/>
      <w:bookmarkEnd w:id="72"/>
    </w:p>
    <w:p w14:paraId="3A8277D2">
      <w:pPr>
        <w:bidi w:val="0"/>
        <w:rPr>
          <w:rFonts w:hint="eastAsia"/>
          <w:color w:val="auto"/>
          <w:highlight w:val="none"/>
          <w:lang w:val="en-US" w:eastAsia="zh-CN"/>
        </w:rPr>
      </w:pPr>
      <w:r>
        <w:rPr>
          <w:rFonts w:hint="eastAsia"/>
          <w:color w:val="auto"/>
          <w:highlight w:val="none"/>
          <w:lang w:val="en-US" w:eastAsia="zh-CN"/>
        </w:rPr>
        <w:t>1.2.1  资金来源及比例：见投标人须知前附表。</w:t>
      </w:r>
    </w:p>
    <w:p w14:paraId="03E9D58C">
      <w:pPr>
        <w:bidi w:val="0"/>
        <w:rPr>
          <w:rFonts w:hint="eastAsia"/>
          <w:color w:val="auto"/>
          <w:highlight w:val="none"/>
          <w:lang w:val="en-US" w:eastAsia="zh-CN"/>
        </w:rPr>
      </w:pPr>
      <w:bookmarkStart w:id="73" w:name="_bookmark24"/>
      <w:bookmarkEnd w:id="73"/>
      <w:r>
        <w:rPr>
          <w:rFonts w:hint="eastAsia"/>
          <w:color w:val="auto"/>
          <w:highlight w:val="none"/>
          <w:lang w:val="en-US" w:eastAsia="zh-CN"/>
        </w:rPr>
        <w:t>1.2.2  资金落实情况：见投标人须知前附表。</w:t>
      </w:r>
    </w:p>
    <w:p w14:paraId="20357A99">
      <w:pPr>
        <w:pStyle w:val="4"/>
        <w:bidi w:val="0"/>
        <w:rPr>
          <w:rFonts w:hint="eastAsia"/>
          <w:color w:val="auto"/>
          <w:highlight w:val="none"/>
          <w:lang w:val="en-US" w:eastAsia="zh-CN"/>
        </w:rPr>
      </w:pPr>
      <w:bookmarkStart w:id="74" w:name="_Toc296602423"/>
      <w:bookmarkStart w:id="75" w:name="_Toc179632549"/>
      <w:bookmarkStart w:id="76" w:name="_Toc152042308"/>
      <w:bookmarkStart w:id="77" w:name="_Toc144974500"/>
      <w:bookmarkStart w:id="78" w:name="_Toc246996178"/>
      <w:bookmarkStart w:id="79" w:name="_Toc152045532"/>
      <w:bookmarkStart w:id="80" w:name="_Toc246996921"/>
      <w:bookmarkStart w:id="81" w:name="_Toc247085692"/>
      <w:bookmarkStart w:id="82" w:name="_Toc32576"/>
      <w:bookmarkStart w:id="83" w:name="_Toc26363"/>
      <w:r>
        <w:rPr>
          <w:rFonts w:hint="eastAsia"/>
          <w:color w:val="auto"/>
          <w:highlight w:val="none"/>
          <w:lang w:val="en-US" w:eastAsia="zh-CN"/>
        </w:rPr>
        <w:t>1.3 招标范围、交货期、</w:t>
      </w:r>
      <w:bookmarkEnd w:id="74"/>
      <w:bookmarkEnd w:id="75"/>
      <w:bookmarkEnd w:id="76"/>
      <w:bookmarkEnd w:id="77"/>
      <w:bookmarkEnd w:id="78"/>
      <w:bookmarkEnd w:id="79"/>
      <w:bookmarkEnd w:id="80"/>
      <w:bookmarkEnd w:id="81"/>
      <w:r>
        <w:rPr>
          <w:rFonts w:hint="eastAsia"/>
          <w:color w:val="auto"/>
          <w:highlight w:val="none"/>
          <w:lang w:val="en-US" w:eastAsia="zh-CN"/>
        </w:rPr>
        <w:t>技术性能指标</w:t>
      </w:r>
      <w:bookmarkEnd w:id="82"/>
    </w:p>
    <w:p w14:paraId="4A21D808">
      <w:pPr>
        <w:bidi w:val="0"/>
        <w:rPr>
          <w:rFonts w:hint="eastAsia"/>
          <w:color w:val="auto"/>
          <w:highlight w:val="none"/>
          <w:lang w:val="en-US" w:eastAsia="zh-CN"/>
        </w:rPr>
      </w:pPr>
      <w:r>
        <w:rPr>
          <w:rFonts w:hint="eastAsia"/>
          <w:color w:val="auto"/>
          <w:highlight w:val="none"/>
          <w:lang w:val="en-US" w:eastAsia="zh-CN"/>
        </w:rPr>
        <w:t>1.3.1 本次招标范围：见投标人须知前附表。</w:t>
      </w:r>
    </w:p>
    <w:p w14:paraId="00EA0991">
      <w:pPr>
        <w:bidi w:val="0"/>
        <w:rPr>
          <w:rFonts w:hint="eastAsia"/>
          <w:color w:val="auto"/>
          <w:highlight w:val="none"/>
          <w:lang w:val="en-US" w:eastAsia="zh-CN"/>
        </w:rPr>
      </w:pPr>
      <w:r>
        <w:rPr>
          <w:rFonts w:hint="eastAsia"/>
          <w:color w:val="auto"/>
          <w:highlight w:val="none"/>
          <w:lang w:val="en-US" w:eastAsia="zh-CN"/>
        </w:rPr>
        <w:t>1.3.2 本招标项目的交货期：见投标人须知前附表。</w:t>
      </w:r>
    </w:p>
    <w:p w14:paraId="0D8B2751">
      <w:pPr>
        <w:bidi w:val="0"/>
        <w:rPr>
          <w:rFonts w:hint="eastAsia"/>
          <w:color w:val="auto"/>
          <w:highlight w:val="none"/>
          <w:lang w:val="en-US" w:eastAsia="zh-CN"/>
        </w:rPr>
      </w:pPr>
      <w:r>
        <w:rPr>
          <w:rFonts w:hint="eastAsia"/>
          <w:color w:val="auto"/>
          <w:highlight w:val="none"/>
          <w:lang w:val="en-US" w:eastAsia="zh-CN"/>
        </w:rPr>
        <w:t>1.3.3 本招标项目的技术性能指标：见投标人须知前附表。</w:t>
      </w:r>
    </w:p>
    <w:p w14:paraId="75C18F63">
      <w:pPr>
        <w:pStyle w:val="4"/>
        <w:bidi w:val="0"/>
        <w:rPr>
          <w:rFonts w:hint="eastAsia"/>
          <w:color w:val="auto"/>
          <w:highlight w:val="none"/>
          <w:lang w:val="en-US" w:eastAsia="zh-CN"/>
        </w:rPr>
      </w:pPr>
      <w:bookmarkStart w:id="84" w:name="_Toc6211"/>
      <w:r>
        <w:rPr>
          <w:rFonts w:hint="eastAsia"/>
          <w:color w:val="auto"/>
          <w:highlight w:val="none"/>
          <w:lang w:val="en-US" w:eastAsia="zh-CN"/>
        </w:rPr>
        <w:t>1.4 投标人资格要求</w:t>
      </w:r>
      <w:bookmarkEnd w:id="83"/>
      <w:bookmarkEnd w:id="84"/>
    </w:p>
    <w:p w14:paraId="6AD17FE1">
      <w:pPr>
        <w:bidi w:val="0"/>
        <w:rPr>
          <w:rFonts w:hint="eastAsia"/>
          <w:color w:val="auto"/>
          <w:highlight w:val="none"/>
          <w:lang w:val="en-US" w:eastAsia="zh-CN"/>
        </w:rPr>
      </w:pPr>
      <w:r>
        <w:rPr>
          <w:rFonts w:hint="eastAsia"/>
          <w:color w:val="auto"/>
          <w:highlight w:val="none"/>
          <w:lang w:val="en-US" w:eastAsia="zh-CN"/>
        </w:rPr>
        <w:t>1.4.1  投标人应具备承担本招标项目资质条件、能力和信誉：</w:t>
      </w:r>
    </w:p>
    <w:p w14:paraId="56829D89">
      <w:pPr>
        <w:bidi w:val="0"/>
        <w:rPr>
          <w:rFonts w:hint="eastAsia"/>
          <w:color w:val="auto"/>
          <w:highlight w:val="none"/>
          <w:lang w:val="en-US" w:eastAsia="zh-CN"/>
        </w:rPr>
      </w:pPr>
      <w:r>
        <w:rPr>
          <w:rFonts w:hint="eastAsia"/>
          <w:color w:val="auto"/>
          <w:highlight w:val="none"/>
          <w:lang w:val="en-US" w:eastAsia="zh-CN"/>
        </w:rPr>
        <w:t>（1）资质要求：见投标人须知前附表；</w:t>
      </w:r>
    </w:p>
    <w:p w14:paraId="59E3EEB0">
      <w:pPr>
        <w:bidi w:val="0"/>
        <w:rPr>
          <w:rFonts w:hint="eastAsia"/>
          <w:color w:val="auto"/>
          <w:highlight w:val="none"/>
          <w:lang w:val="en-US" w:eastAsia="zh-CN"/>
        </w:rPr>
      </w:pPr>
      <w:r>
        <w:rPr>
          <w:rFonts w:hint="eastAsia"/>
          <w:color w:val="auto"/>
          <w:highlight w:val="none"/>
          <w:lang w:val="en-US" w:eastAsia="zh-CN"/>
        </w:rPr>
        <w:t>（2）财务要求：见投标人须知前附表；</w:t>
      </w:r>
    </w:p>
    <w:p w14:paraId="6435ED85">
      <w:pPr>
        <w:bidi w:val="0"/>
        <w:rPr>
          <w:rFonts w:hint="eastAsia"/>
          <w:color w:val="auto"/>
          <w:highlight w:val="none"/>
          <w:lang w:val="en-US" w:eastAsia="zh-CN"/>
        </w:rPr>
      </w:pPr>
      <w:r>
        <w:rPr>
          <w:rFonts w:hint="eastAsia"/>
          <w:color w:val="auto"/>
          <w:highlight w:val="none"/>
          <w:lang w:val="en-US" w:eastAsia="zh-CN"/>
        </w:rPr>
        <w:t>（3）业绩要求：见投标人须知前附表；</w:t>
      </w:r>
    </w:p>
    <w:p w14:paraId="0570AA92">
      <w:pPr>
        <w:bidi w:val="0"/>
        <w:rPr>
          <w:rFonts w:hint="eastAsia"/>
          <w:color w:val="auto"/>
          <w:highlight w:val="none"/>
          <w:lang w:val="en-US" w:eastAsia="zh-CN"/>
        </w:rPr>
      </w:pPr>
      <w:r>
        <w:rPr>
          <w:rFonts w:hint="eastAsia"/>
          <w:color w:val="auto"/>
          <w:highlight w:val="none"/>
          <w:lang w:val="en-US" w:eastAsia="zh-CN"/>
        </w:rPr>
        <w:t>（4）信誉要求：见投标人须知前附表；</w:t>
      </w:r>
    </w:p>
    <w:p w14:paraId="563DCF82">
      <w:pPr>
        <w:bidi w:val="0"/>
        <w:rPr>
          <w:rFonts w:hint="eastAsia"/>
          <w:color w:val="auto"/>
          <w:highlight w:val="none"/>
          <w:lang w:val="en-US" w:eastAsia="zh-CN"/>
        </w:rPr>
      </w:pPr>
      <w:r>
        <w:rPr>
          <w:rFonts w:hint="eastAsia"/>
          <w:color w:val="auto"/>
          <w:highlight w:val="none"/>
          <w:lang w:val="en-US" w:eastAsia="zh-CN"/>
        </w:rPr>
        <w:t>（5）其他要求：见投标人须知前附表。</w:t>
      </w:r>
    </w:p>
    <w:p w14:paraId="75E13ED2">
      <w:pPr>
        <w:bidi w:val="0"/>
        <w:rPr>
          <w:rFonts w:hint="eastAsia"/>
          <w:color w:val="auto"/>
          <w:highlight w:val="none"/>
          <w:lang w:val="en-US" w:eastAsia="zh-CN"/>
        </w:rPr>
      </w:pPr>
      <w:r>
        <w:rPr>
          <w:rFonts w:hint="eastAsia"/>
          <w:color w:val="auto"/>
          <w:highlight w:val="none"/>
          <w:lang w:val="en-US" w:eastAsia="zh-CN"/>
        </w:rPr>
        <w:t>投标人为代理经销商的，对投标人的资质要求包含对制造商的资质要求，对投标人的业绩要求包含对投标物资的业绩要求。</w:t>
      </w:r>
    </w:p>
    <w:p w14:paraId="79E8D3D4">
      <w:pPr>
        <w:bidi w:val="0"/>
        <w:rPr>
          <w:rFonts w:hint="eastAsia"/>
          <w:color w:val="auto"/>
          <w:highlight w:val="none"/>
          <w:lang w:val="en-US" w:eastAsia="zh-CN"/>
        </w:rPr>
      </w:pPr>
      <w:r>
        <w:rPr>
          <w:rFonts w:hint="eastAsia"/>
          <w:color w:val="auto"/>
          <w:highlight w:val="none"/>
          <w:lang w:val="en-US" w:eastAsia="zh-CN"/>
        </w:rPr>
        <w:t>1.4.2  投标人须知前附表规定接受联合体投标的，联合体除应符合本章第 1.4.1 项和投标人须知前附表的要求外，还应遵守以下规定：</w:t>
      </w:r>
    </w:p>
    <w:p w14:paraId="6216914E">
      <w:pPr>
        <w:bidi w:val="0"/>
        <w:rPr>
          <w:rFonts w:hint="eastAsia"/>
          <w:color w:val="auto"/>
          <w:highlight w:val="none"/>
          <w:lang w:val="en-US" w:eastAsia="zh-CN"/>
        </w:rPr>
      </w:pPr>
      <w:r>
        <w:rPr>
          <w:rFonts w:hint="eastAsia"/>
          <w:color w:val="auto"/>
          <w:highlight w:val="none"/>
          <w:lang w:val="en-US" w:eastAsia="zh-CN"/>
        </w:rPr>
        <w:t>（1）联合体各方应按招标文件提供的格式签订联合体协议书，明确联合体牵头人和各方权利义务，并承诺就中标项目向招标人承担连带责任；</w:t>
      </w:r>
    </w:p>
    <w:p w14:paraId="377341B9">
      <w:pPr>
        <w:bidi w:val="0"/>
        <w:rPr>
          <w:rFonts w:hint="eastAsia"/>
          <w:color w:val="auto"/>
          <w:highlight w:val="none"/>
          <w:lang w:val="en-US" w:eastAsia="zh-CN"/>
        </w:rPr>
      </w:pPr>
      <w:r>
        <w:rPr>
          <w:rFonts w:hint="eastAsia"/>
          <w:color w:val="auto"/>
          <w:highlight w:val="none"/>
          <w:lang w:val="en-US" w:eastAsia="zh-CN"/>
        </w:rPr>
        <w:t>（2）由同一专业的单位组成的联合体，按照资质等级较低的单位确定资质等级；</w:t>
      </w:r>
    </w:p>
    <w:p w14:paraId="56222738">
      <w:pPr>
        <w:bidi w:val="0"/>
        <w:rPr>
          <w:rFonts w:hint="eastAsia"/>
          <w:color w:val="auto"/>
          <w:highlight w:val="none"/>
          <w:lang w:val="en-US" w:eastAsia="zh-CN"/>
        </w:rPr>
      </w:pPr>
      <w:r>
        <w:rPr>
          <w:rFonts w:hint="eastAsia"/>
          <w:color w:val="auto"/>
          <w:highlight w:val="none"/>
          <w:lang w:val="en-US" w:eastAsia="zh-CN"/>
        </w:rPr>
        <w:t>（3）联合体各方不得再以自己名义单独或参加其他联合体在本招标项目中投标，否则各相关投标均无效。</w:t>
      </w:r>
    </w:p>
    <w:p w14:paraId="6BF84CF9">
      <w:pPr>
        <w:bidi w:val="0"/>
        <w:rPr>
          <w:rFonts w:hint="eastAsia"/>
          <w:color w:val="auto"/>
          <w:highlight w:val="none"/>
          <w:lang w:val="en-US" w:eastAsia="zh-CN"/>
        </w:rPr>
      </w:pPr>
      <w:r>
        <w:rPr>
          <w:rFonts w:hint="eastAsia"/>
          <w:color w:val="auto"/>
          <w:highlight w:val="none"/>
          <w:lang w:val="en-US" w:eastAsia="zh-CN"/>
        </w:rPr>
        <w:t>1.4.3  投标人不得存在下列情形之一：</w:t>
      </w:r>
    </w:p>
    <w:p w14:paraId="7AD1437C">
      <w:pPr>
        <w:bidi w:val="0"/>
        <w:rPr>
          <w:rFonts w:hint="eastAsia"/>
          <w:color w:val="auto"/>
          <w:highlight w:val="none"/>
        </w:rPr>
      </w:pPr>
      <w:r>
        <w:rPr>
          <w:rFonts w:hint="eastAsia"/>
          <w:color w:val="auto"/>
          <w:highlight w:val="none"/>
        </w:rPr>
        <w:t>（1）与招标人存在利害关系且可能影响招标公正性；</w:t>
      </w:r>
    </w:p>
    <w:p w14:paraId="2EF5D85D">
      <w:pPr>
        <w:bidi w:val="0"/>
        <w:rPr>
          <w:rFonts w:hint="eastAsia"/>
          <w:color w:val="auto"/>
          <w:highlight w:val="none"/>
        </w:rPr>
      </w:pPr>
      <w:r>
        <w:rPr>
          <w:rFonts w:hint="eastAsia"/>
          <w:color w:val="auto"/>
          <w:highlight w:val="none"/>
        </w:rPr>
        <w:t>（2）与本招标项目的其他投标人为同一个单位负责人；</w:t>
      </w:r>
    </w:p>
    <w:p w14:paraId="35EAD1E2">
      <w:pPr>
        <w:bidi w:val="0"/>
        <w:rPr>
          <w:rFonts w:hint="eastAsia"/>
          <w:color w:val="auto"/>
          <w:highlight w:val="none"/>
        </w:rPr>
      </w:pPr>
      <w:r>
        <w:rPr>
          <w:rFonts w:hint="eastAsia"/>
          <w:color w:val="auto"/>
          <w:highlight w:val="none"/>
        </w:rPr>
        <w:t>（3）与本招标项目的其他投标人存在控股、管理关系；</w:t>
      </w:r>
    </w:p>
    <w:p w14:paraId="3EF693B8">
      <w:pPr>
        <w:bidi w:val="0"/>
        <w:rPr>
          <w:rFonts w:hint="eastAsia"/>
          <w:color w:val="auto"/>
          <w:highlight w:val="none"/>
        </w:rPr>
      </w:pPr>
      <w:r>
        <w:rPr>
          <w:rFonts w:hint="eastAsia"/>
          <w:color w:val="auto"/>
          <w:highlight w:val="none"/>
        </w:rPr>
        <w:t>（4）与本招标项目其他投标人代理同一个制造商同一品牌同一型号的</w:t>
      </w:r>
      <w:r>
        <w:rPr>
          <w:rFonts w:hint="eastAsia"/>
          <w:color w:val="auto"/>
          <w:highlight w:val="none"/>
          <w:lang w:val="en-US" w:eastAsia="zh-CN"/>
        </w:rPr>
        <w:t>物资</w:t>
      </w:r>
      <w:r>
        <w:rPr>
          <w:rFonts w:hint="eastAsia"/>
          <w:color w:val="auto"/>
          <w:highlight w:val="none"/>
        </w:rPr>
        <w:t>投标；</w:t>
      </w:r>
    </w:p>
    <w:p w14:paraId="3C4124F8">
      <w:pPr>
        <w:bidi w:val="0"/>
        <w:rPr>
          <w:rFonts w:hint="eastAsia"/>
          <w:color w:val="auto"/>
          <w:highlight w:val="none"/>
        </w:rPr>
      </w:pPr>
      <w:r>
        <w:rPr>
          <w:rFonts w:hint="eastAsia"/>
          <w:color w:val="auto"/>
          <w:highlight w:val="none"/>
        </w:rPr>
        <w:t>（5）为本招标项目提供过设计、编制技术规范和其他文件的咨询服务；</w:t>
      </w:r>
    </w:p>
    <w:p w14:paraId="0145A251">
      <w:pPr>
        <w:bidi w:val="0"/>
        <w:rPr>
          <w:rFonts w:hint="eastAsia"/>
          <w:color w:val="auto"/>
          <w:highlight w:val="none"/>
        </w:rPr>
      </w:pPr>
      <w:r>
        <w:rPr>
          <w:rFonts w:hint="eastAsia"/>
          <w:color w:val="auto"/>
          <w:highlight w:val="none"/>
        </w:rPr>
        <w:t>（6）为本工程项目的相关监理人，或者与本工程项目的相关监理人存在隶属关系或者其他利害关系；</w:t>
      </w:r>
    </w:p>
    <w:p w14:paraId="6CBE2CE3">
      <w:pPr>
        <w:bidi w:val="0"/>
        <w:rPr>
          <w:rFonts w:hint="eastAsia"/>
          <w:color w:val="auto"/>
          <w:highlight w:val="none"/>
        </w:rPr>
      </w:pPr>
      <w:r>
        <w:rPr>
          <w:rFonts w:hint="eastAsia"/>
          <w:color w:val="auto"/>
          <w:highlight w:val="none"/>
        </w:rPr>
        <w:t>（7）为本招标项目的代建人；</w:t>
      </w:r>
    </w:p>
    <w:p w14:paraId="5651C169">
      <w:pPr>
        <w:bidi w:val="0"/>
        <w:rPr>
          <w:rFonts w:hint="eastAsia"/>
          <w:color w:val="auto"/>
          <w:highlight w:val="none"/>
        </w:rPr>
      </w:pPr>
      <w:r>
        <w:rPr>
          <w:rFonts w:hint="eastAsia"/>
          <w:color w:val="auto"/>
          <w:highlight w:val="none"/>
        </w:rPr>
        <w:t>（8）为本招标项目的招标代理机构；</w:t>
      </w:r>
    </w:p>
    <w:p w14:paraId="1081A975">
      <w:pPr>
        <w:bidi w:val="0"/>
        <w:rPr>
          <w:rFonts w:hint="eastAsia"/>
          <w:color w:val="auto"/>
          <w:highlight w:val="none"/>
        </w:rPr>
      </w:pPr>
      <w:r>
        <w:rPr>
          <w:rFonts w:hint="eastAsia"/>
          <w:color w:val="auto"/>
          <w:highlight w:val="none"/>
        </w:rPr>
        <w:t>（9）与本招标项目的监理人或代建人或招标代理机构同为一个法定代表人；</w:t>
      </w:r>
    </w:p>
    <w:p w14:paraId="4F8B0FFB">
      <w:pPr>
        <w:bidi w:val="0"/>
        <w:rPr>
          <w:rFonts w:hint="eastAsia"/>
          <w:color w:val="auto"/>
          <w:highlight w:val="none"/>
        </w:rPr>
      </w:pPr>
      <w:r>
        <w:rPr>
          <w:rFonts w:hint="eastAsia"/>
          <w:color w:val="auto"/>
          <w:highlight w:val="none"/>
        </w:rPr>
        <w:t>（10）与本招标项目的监理人或代建人或招标代理机构存在控股或参股关系；</w:t>
      </w:r>
    </w:p>
    <w:p w14:paraId="1BE7FF42">
      <w:pPr>
        <w:bidi w:val="0"/>
        <w:rPr>
          <w:rFonts w:hint="eastAsia"/>
          <w:color w:val="auto"/>
          <w:highlight w:val="none"/>
        </w:rPr>
      </w:pPr>
      <w:r>
        <w:rPr>
          <w:rFonts w:hint="eastAsia"/>
          <w:color w:val="auto"/>
          <w:highlight w:val="none"/>
        </w:rPr>
        <w:t>（11）被依法暂停或者取消投标资格；</w:t>
      </w:r>
    </w:p>
    <w:p w14:paraId="0DF42D84">
      <w:pPr>
        <w:bidi w:val="0"/>
        <w:rPr>
          <w:rFonts w:hint="eastAsia"/>
          <w:color w:val="auto"/>
          <w:highlight w:val="none"/>
        </w:rPr>
      </w:pPr>
      <w:r>
        <w:rPr>
          <w:rFonts w:hint="eastAsia"/>
          <w:color w:val="auto"/>
          <w:highlight w:val="none"/>
        </w:rPr>
        <w:t>（12）被责令停产停业、暂扣或者吊销许可证、暂扣或者吊销执照；</w:t>
      </w:r>
    </w:p>
    <w:p w14:paraId="2571AA6D">
      <w:pPr>
        <w:bidi w:val="0"/>
        <w:rPr>
          <w:rFonts w:hint="eastAsia"/>
          <w:color w:val="auto"/>
          <w:highlight w:val="none"/>
        </w:rPr>
      </w:pPr>
      <w:r>
        <w:rPr>
          <w:rFonts w:hint="eastAsia"/>
          <w:color w:val="auto"/>
          <w:highlight w:val="none"/>
        </w:rPr>
        <w:t>（13）进入清算程序，或被宣告破产，或其他丧失履约能力的情形；</w:t>
      </w:r>
    </w:p>
    <w:p w14:paraId="0F6575E7">
      <w:pPr>
        <w:bidi w:val="0"/>
        <w:rPr>
          <w:rFonts w:hint="eastAsia"/>
          <w:color w:val="auto"/>
          <w:highlight w:val="none"/>
        </w:rPr>
      </w:pPr>
      <w:r>
        <w:rPr>
          <w:rFonts w:hint="eastAsia"/>
          <w:color w:val="auto"/>
          <w:highlight w:val="none"/>
        </w:rPr>
        <w:t xml:space="preserve">（14）在最近三年内发生重大产品质量问题（以相关行业主管部门的行政处罚决定或司法机关出具的有关法律文书为准）； </w:t>
      </w:r>
    </w:p>
    <w:p w14:paraId="5E747C30">
      <w:pPr>
        <w:bidi w:val="0"/>
        <w:rPr>
          <w:rFonts w:hint="eastAsia"/>
          <w:color w:val="auto"/>
          <w:highlight w:val="none"/>
        </w:rPr>
      </w:pPr>
      <w:r>
        <w:rPr>
          <w:rFonts w:hint="eastAsia"/>
          <w:color w:val="auto"/>
          <w:highlight w:val="none"/>
        </w:rPr>
        <w:t>（15）被</w:t>
      </w:r>
      <w:r>
        <w:rPr>
          <w:rFonts w:hint="eastAsia"/>
          <w:color w:val="auto"/>
          <w:highlight w:val="none"/>
          <w:lang w:val="en-US" w:eastAsia="zh-CN"/>
        </w:rPr>
        <w:t>市场监督</w:t>
      </w:r>
      <w:r>
        <w:rPr>
          <w:rFonts w:hint="eastAsia"/>
          <w:color w:val="auto"/>
          <w:highlight w:val="none"/>
        </w:rPr>
        <w:t>管理机关在全国企业信用信息公示系统中列入严重违法失信企业名单；</w:t>
      </w:r>
    </w:p>
    <w:p w14:paraId="6EF51FBE">
      <w:pPr>
        <w:bidi w:val="0"/>
        <w:rPr>
          <w:rFonts w:hint="eastAsia"/>
          <w:color w:val="auto"/>
          <w:highlight w:val="none"/>
        </w:rPr>
      </w:pPr>
      <w:r>
        <w:rPr>
          <w:rFonts w:hint="eastAsia"/>
          <w:color w:val="auto"/>
          <w:highlight w:val="none"/>
        </w:rPr>
        <w:t xml:space="preserve">（16）被最高人民法院在“信用中国”网站（www.creditchina.gov.cn）或各级信用信息共享平台中列入失信被执行人名单； </w:t>
      </w:r>
    </w:p>
    <w:p w14:paraId="0C06E34C">
      <w:pPr>
        <w:bidi w:val="0"/>
        <w:rPr>
          <w:rFonts w:hint="eastAsia"/>
          <w:color w:val="auto"/>
          <w:highlight w:val="none"/>
        </w:rPr>
      </w:pPr>
      <w:r>
        <w:rPr>
          <w:rFonts w:hint="eastAsia"/>
          <w:color w:val="auto"/>
          <w:highlight w:val="none"/>
        </w:rPr>
        <w:t xml:space="preserve">（17）在近三年内投标人或其法定代表人、拟委任的项目负责人有行贿犯罪行为的（以检察机关职务犯罪预防部门出具的查询结果为准）； </w:t>
      </w:r>
    </w:p>
    <w:p w14:paraId="53A91739">
      <w:pPr>
        <w:bidi w:val="0"/>
        <w:rPr>
          <w:rFonts w:hint="eastAsia"/>
          <w:color w:val="auto"/>
          <w:highlight w:val="none"/>
        </w:rPr>
      </w:pPr>
      <w:r>
        <w:rPr>
          <w:rFonts w:hint="eastAsia"/>
          <w:color w:val="auto"/>
          <w:highlight w:val="none"/>
        </w:rPr>
        <w:t>（18）法律法规或投标人须知前附表规定的其他情形。</w:t>
      </w:r>
    </w:p>
    <w:p w14:paraId="63F99372">
      <w:pPr>
        <w:pStyle w:val="4"/>
        <w:bidi w:val="0"/>
        <w:rPr>
          <w:rFonts w:hint="eastAsia"/>
          <w:color w:val="auto"/>
          <w:highlight w:val="none"/>
          <w:lang w:val="en-US" w:eastAsia="zh-CN"/>
        </w:rPr>
      </w:pPr>
      <w:bookmarkStart w:id="85" w:name="_bookmark26"/>
      <w:bookmarkEnd w:id="85"/>
      <w:bookmarkStart w:id="86" w:name="_Toc19926"/>
      <w:bookmarkStart w:id="87" w:name="_Toc29235"/>
      <w:r>
        <w:rPr>
          <w:rFonts w:hint="eastAsia"/>
          <w:color w:val="auto"/>
          <w:highlight w:val="none"/>
          <w:lang w:val="en-US" w:eastAsia="zh-CN"/>
        </w:rPr>
        <w:t>1.5 费用承担</w:t>
      </w:r>
      <w:bookmarkEnd w:id="86"/>
      <w:bookmarkEnd w:id="87"/>
    </w:p>
    <w:p w14:paraId="1CA29FAF">
      <w:pPr>
        <w:bidi w:val="0"/>
        <w:rPr>
          <w:rFonts w:hint="eastAsia"/>
          <w:color w:val="auto"/>
          <w:highlight w:val="none"/>
          <w:lang w:val="en-US" w:eastAsia="zh-CN"/>
        </w:rPr>
      </w:pPr>
      <w:bookmarkStart w:id="88" w:name="_bookmark27"/>
      <w:bookmarkEnd w:id="88"/>
      <w:r>
        <w:rPr>
          <w:rFonts w:hint="eastAsia"/>
          <w:color w:val="auto"/>
          <w:highlight w:val="none"/>
          <w:lang w:val="en-US" w:eastAsia="zh-CN"/>
        </w:rPr>
        <w:t>投标人准备和参加投标活动发生的费用自理。</w:t>
      </w:r>
    </w:p>
    <w:p w14:paraId="674FF3DC">
      <w:pPr>
        <w:pStyle w:val="4"/>
        <w:bidi w:val="0"/>
        <w:rPr>
          <w:rFonts w:hint="eastAsia"/>
          <w:color w:val="auto"/>
          <w:highlight w:val="none"/>
          <w:lang w:val="en-US" w:eastAsia="zh-CN"/>
        </w:rPr>
      </w:pPr>
      <w:bookmarkStart w:id="89" w:name="_Toc4955"/>
      <w:bookmarkStart w:id="90" w:name="_Toc26543"/>
      <w:r>
        <w:rPr>
          <w:rFonts w:hint="eastAsia"/>
          <w:color w:val="auto"/>
          <w:highlight w:val="none"/>
          <w:lang w:val="en-US" w:eastAsia="zh-CN"/>
        </w:rPr>
        <w:t>1.6 保密</w:t>
      </w:r>
      <w:bookmarkEnd w:id="89"/>
      <w:bookmarkEnd w:id="90"/>
    </w:p>
    <w:p w14:paraId="229F7F23">
      <w:pPr>
        <w:bidi w:val="0"/>
        <w:rPr>
          <w:rFonts w:hint="eastAsia"/>
          <w:color w:val="auto"/>
          <w:highlight w:val="none"/>
          <w:lang w:val="en-US" w:eastAsia="zh-CN"/>
        </w:rPr>
      </w:pPr>
      <w:r>
        <w:rPr>
          <w:rFonts w:hint="eastAsia"/>
          <w:color w:val="auto"/>
          <w:highlight w:val="none"/>
          <w:lang w:val="en-US" w:eastAsia="zh-CN"/>
        </w:rPr>
        <w:t>参与招标投标活动的各方应对招标文件和投标文件中的商业和技术等秘密保密，否则应承</w:t>
      </w:r>
      <w:bookmarkStart w:id="91" w:name="_bookmark28"/>
      <w:bookmarkEnd w:id="91"/>
      <w:r>
        <w:rPr>
          <w:rFonts w:hint="eastAsia"/>
          <w:color w:val="auto"/>
          <w:highlight w:val="none"/>
          <w:lang w:val="en-US" w:eastAsia="zh-CN"/>
        </w:rPr>
        <w:t>担相应的法律责任。</w:t>
      </w:r>
    </w:p>
    <w:p w14:paraId="3A485E58">
      <w:pPr>
        <w:pStyle w:val="4"/>
        <w:bidi w:val="0"/>
        <w:rPr>
          <w:rFonts w:hint="eastAsia"/>
          <w:color w:val="auto"/>
          <w:highlight w:val="none"/>
          <w:lang w:val="en-US" w:eastAsia="zh-CN"/>
        </w:rPr>
      </w:pPr>
      <w:bookmarkStart w:id="92" w:name="_Toc26311"/>
      <w:bookmarkStart w:id="93" w:name="_Toc26108"/>
      <w:r>
        <w:rPr>
          <w:rFonts w:hint="eastAsia"/>
          <w:color w:val="auto"/>
          <w:highlight w:val="none"/>
          <w:lang w:val="en-US" w:eastAsia="zh-CN"/>
        </w:rPr>
        <w:t>1.7 语言文字</w:t>
      </w:r>
      <w:bookmarkEnd w:id="92"/>
      <w:bookmarkEnd w:id="93"/>
    </w:p>
    <w:p w14:paraId="00B3CACC">
      <w:pPr>
        <w:bidi w:val="0"/>
        <w:rPr>
          <w:rFonts w:hint="eastAsia"/>
          <w:color w:val="auto"/>
          <w:highlight w:val="none"/>
          <w:lang w:val="en-US" w:eastAsia="zh-CN"/>
        </w:rPr>
      </w:pPr>
      <w:r>
        <w:rPr>
          <w:rFonts w:hint="eastAsia"/>
          <w:color w:val="auto"/>
          <w:highlight w:val="none"/>
          <w:lang w:val="en-US" w:eastAsia="zh-CN"/>
        </w:rPr>
        <w:t>招标投标文件使用的语言文字为中文。专用术语使用外文的，应附有中文注释。</w:t>
      </w:r>
    </w:p>
    <w:p w14:paraId="3228A3C4">
      <w:pPr>
        <w:pStyle w:val="4"/>
        <w:bidi w:val="0"/>
        <w:rPr>
          <w:rFonts w:hint="eastAsia"/>
          <w:color w:val="auto"/>
          <w:highlight w:val="none"/>
          <w:lang w:val="en-US" w:eastAsia="zh-CN"/>
        </w:rPr>
      </w:pPr>
      <w:bookmarkStart w:id="94" w:name="_bookmark29"/>
      <w:bookmarkEnd w:id="94"/>
      <w:bookmarkStart w:id="95" w:name="_Toc4156"/>
      <w:bookmarkStart w:id="96" w:name="_Toc20103"/>
      <w:r>
        <w:rPr>
          <w:rFonts w:hint="eastAsia"/>
          <w:color w:val="auto"/>
          <w:highlight w:val="none"/>
          <w:lang w:val="en-US" w:eastAsia="zh-CN"/>
        </w:rPr>
        <w:t>1.8 计量单位</w:t>
      </w:r>
      <w:bookmarkEnd w:id="95"/>
      <w:bookmarkEnd w:id="96"/>
    </w:p>
    <w:p w14:paraId="7080966E">
      <w:pPr>
        <w:bidi w:val="0"/>
        <w:rPr>
          <w:rFonts w:hint="eastAsia"/>
          <w:color w:val="auto"/>
          <w:highlight w:val="none"/>
          <w:lang w:val="en-US" w:eastAsia="zh-CN"/>
        </w:rPr>
      </w:pPr>
      <w:bookmarkStart w:id="97" w:name="_bookmark30"/>
      <w:bookmarkEnd w:id="97"/>
      <w:r>
        <w:rPr>
          <w:rFonts w:hint="eastAsia"/>
          <w:color w:val="auto"/>
          <w:highlight w:val="none"/>
          <w:lang w:val="en-US" w:eastAsia="zh-CN"/>
        </w:rPr>
        <w:t>所有计量均采用中华人民共和国法定计量单位。</w:t>
      </w:r>
    </w:p>
    <w:p w14:paraId="1697542F">
      <w:pPr>
        <w:pStyle w:val="4"/>
        <w:bidi w:val="0"/>
        <w:rPr>
          <w:rFonts w:hint="eastAsia"/>
          <w:color w:val="auto"/>
          <w:highlight w:val="none"/>
          <w:lang w:val="en-US" w:eastAsia="zh-CN"/>
        </w:rPr>
      </w:pPr>
      <w:bookmarkStart w:id="98" w:name="_Toc18436"/>
      <w:bookmarkStart w:id="99" w:name="_Toc7455"/>
      <w:r>
        <w:rPr>
          <w:rFonts w:hint="eastAsia"/>
          <w:color w:val="auto"/>
          <w:highlight w:val="none"/>
          <w:lang w:val="en-US" w:eastAsia="zh-CN"/>
        </w:rPr>
        <w:t xml:space="preserve">1.9 </w:t>
      </w:r>
      <w:bookmarkEnd w:id="98"/>
      <w:r>
        <w:rPr>
          <w:rFonts w:hint="eastAsia"/>
          <w:color w:val="auto"/>
          <w:highlight w:val="none"/>
          <w:lang w:val="en-US" w:eastAsia="zh-CN"/>
        </w:rPr>
        <w:t>踏勘现场</w:t>
      </w:r>
      <w:bookmarkEnd w:id="99"/>
    </w:p>
    <w:p w14:paraId="04FA30D7">
      <w:pPr>
        <w:bidi w:val="0"/>
        <w:rPr>
          <w:rFonts w:hint="eastAsia"/>
          <w:color w:val="auto"/>
          <w:highlight w:val="none"/>
        </w:rPr>
      </w:pPr>
      <w:r>
        <w:rPr>
          <w:rFonts w:hint="eastAsia"/>
          <w:color w:val="auto"/>
          <w:highlight w:val="none"/>
          <w:lang w:val="en-US" w:eastAsia="zh-CN"/>
        </w:rPr>
        <w:t xml:space="preserve">1.9.1 </w:t>
      </w:r>
      <w:r>
        <w:rPr>
          <w:rFonts w:hint="eastAsia"/>
          <w:color w:val="auto"/>
          <w:highlight w:val="none"/>
        </w:rPr>
        <w:t xml:space="preserve">投标人须知前附表规定组织踏勘现场的，招标人按投标人须知前附表规定的时间、地点组织投标人踏勘项目现场。 </w:t>
      </w:r>
    </w:p>
    <w:p w14:paraId="019977D8">
      <w:pPr>
        <w:bidi w:val="0"/>
        <w:rPr>
          <w:rFonts w:hint="eastAsia"/>
          <w:color w:val="auto"/>
          <w:highlight w:val="none"/>
        </w:rPr>
      </w:pPr>
      <w:r>
        <w:rPr>
          <w:rFonts w:hint="eastAsia"/>
          <w:color w:val="auto"/>
          <w:highlight w:val="none"/>
          <w:lang w:val="en-US" w:eastAsia="zh-CN"/>
        </w:rPr>
        <w:t xml:space="preserve">1.9.2 </w:t>
      </w:r>
      <w:r>
        <w:rPr>
          <w:rFonts w:hint="eastAsia"/>
          <w:color w:val="auto"/>
          <w:highlight w:val="none"/>
        </w:rPr>
        <w:t>投标人踏勘现场发生的费用自理。</w:t>
      </w:r>
    </w:p>
    <w:p w14:paraId="64F9FEC6">
      <w:pPr>
        <w:bidi w:val="0"/>
        <w:rPr>
          <w:rFonts w:hint="eastAsia"/>
          <w:color w:val="auto"/>
          <w:highlight w:val="none"/>
        </w:rPr>
      </w:pPr>
      <w:r>
        <w:rPr>
          <w:rFonts w:hint="eastAsia"/>
          <w:color w:val="auto"/>
          <w:highlight w:val="none"/>
          <w:lang w:val="en-US" w:eastAsia="zh-CN"/>
        </w:rPr>
        <w:t xml:space="preserve">1.9.3 </w:t>
      </w:r>
      <w:r>
        <w:rPr>
          <w:rFonts w:hint="eastAsia"/>
          <w:color w:val="auto"/>
          <w:highlight w:val="none"/>
        </w:rPr>
        <w:t>除招标人的原因外，投标人自行负责在踏勘现场中所发生的人员伤亡和财产损失。</w:t>
      </w:r>
    </w:p>
    <w:p w14:paraId="6EE6F42A">
      <w:pPr>
        <w:bidi w:val="0"/>
        <w:rPr>
          <w:rFonts w:hint="eastAsia"/>
          <w:color w:val="auto"/>
          <w:highlight w:val="none"/>
          <w:lang w:val="en-US" w:eastAsia="zh-CN"/>
        </w:rPr>
      </w:pPr>
      <w:r>
        <w:rPr>
          <w:rFonts w:hint="eastAsia"/>
          <w:color w:val="auto"/>
          <w:highlight w:val="none"/>
          <w:lang w:val="en-US" w:eastAsia="zh-CN"/>
        </w:rPr>
        <w:t xml:space="preserve">1.9.4 </w:t>
      </w:r>
      <w:r>
        <w:rPr>
          <w:rFonts w:hint="eastAsia"/>
          <w:color w:val="auto"/>
          <w:highlight w:val="none"/>
        </w:rPr>
        <w:t>招标人在踏勘现场中介绍的场地和相关的周边环境情况，供投标人在编制投标文件时参考，招标人不对投标人据此作出的判断和决策负责。</w:t>
      </w:r>
    </w:p>
    <w:p w14:paraId="55050FC3">
      <w:pPr>
        <w:pStyle w:val="4"/>
        <w:bidi w:val="0"/>
        <w:rPr>
          <w:rFonts w:hint="eastAsia"/>
          <w:color w:val="auto"/>
          <w:highlight w:val="none"/>
          <w:lang w:val="en-US" w:eastAsia="zh-CN"/>
        </w:rPr>
      </w:pPr>
      <w:bookmarkStart w:id="100" w:name="_bookmark31"/>
      <w:bookmarkEnd w:id="100"/>
      <w:bookmarkStart w:id="101" w:name="_Toc16643"/>
      <w:bookmarkStart w:id="102" w:name="_Toc26178"/>
      <w:r>
        <w:rPr>
          <w:rFonts w:hint="eastAsia"/>
          <w:color w:val="auto"/>
          <w:highlight w:val="none"/>
          <w:lang w:val="en-US" w:eastAsia="zh-CN"/>
        </w:rPr>
        <w:t>1.10 分包</w:t>
      </w:r>
      <w:bookmarkEnd w:id="101"/>
      <w:bookmarkEnd w:id="102"/>
    </w:p>
    <w:p w14:paraId="4279FFF4">
      <w:pPr>
        <w:bidi w:val="0"/>
        <w:rPr>
          <w:rFonts w:hint="eastAsia"/>
          <w:color w:val="auto"/>
          <w:highlight w:val="none"/>
        </w:rPr>
      </w:pPr>
      <w:r>
        <w:rPr>
          <w:rFonts w:hint="eastAsia"/>
          <w:color w:val="auto"/>
          <w:highlight w:val="none"/>
        </w:rPr>
        <w:t>投标人拟在中标后将中标项目的非主体</w:t>
      </w:r>
      <w:r>
        <w:rPr>
          <w:rFonts w:hint="eastAsia"/>
          <w:color w:val="auto"/>
          <w:highlight w:val="none"/>
          <w:lang w:val="en-US" w:eastAsia="zh-CN"/>
        </w:rPr>
        <w:t>物资</w:t>
      </w:r>
      <w:r>
        <w:rPr>
          <w:rFonts w:hint="eastAsia"/>
          <w:color w:val="auto"/>
          <w:highlight w:val="none"/>
        </w:rPr>
        <w:t>进行分包的，应符合投标人须知前附表规定的分包内容、分包金额和资质要求等限制性条件。</w:t>
      </w:r>
    </w:p>
    <w:p w14:paraId="3C920ACC">
      <w:pPr>
        <w:pStyle w:val="4"/>
        <w:bidi w:val="0"/>
        <w:rPr>
          <w:rFonts w:hint="eastAsia"/>
          <w:color w:val="auto"/>
          <w:highlight w:val="none"/>
          <w:lang w:val="en-US" w:eastAsia="zh-CN"/>
        </w:rPr>
      </w:pPr>
      <w:bookmarkStart w:id="103" w:name="_Toc16183"/>
      <w:bookmarkStart w:id="104" w:name="_Toc704"/>
      <w:r>
        <w:rPr>
          <w:rFonts w:hint="eastAsia"/>
          <w:color w:val="auto"/>
          <w:highlight w:val="none"/>
          <w:lang w:val="en-US" w:eastAsia="zh-CN"/>
        </w:rPr>
        <w:t xml:space="preserve">1.11 </w:t>
      </w:r>
      <w:bookmarkEnd w:id="103"/>
      <w:r>
        <w:rPr>
          <w:rFonts w:hint="eastAsia"/>
          <w:color w:val="auto"/>
          <w:highlight w:val="none"/>
          <w:lang w:val="en-US" w:eastAsia="zh-CN"/>
        </w:rPr>
        <w:t>偏离</w:t>
      </w:r>
      <w:bookmarkEnd w:id="104"/>
    </w:p>
    <w:p w14:paraId="7E1ADCCF">
      <w:pPr>
        <w:bidi w:val="0"/>
        <w:rPr>
          <w:rFonts w:hint="eastAsia"/>
          <w:color w:val="auto"/>
          <w:highlight w:val="none"/>
        </w:rPr>
      </w:pPr>
      <w:r>
        <w:rPr>
          <w:rFonts w:hint="eastAsia"/>
          <w:color w:val="auto"/>
          <w:highlight w:val="none"/>
        </w:rPr>
        <w:t>投标人须知前附表允许投标文件偏离招标文件某些要求的，偏离应当符合招标文件规定 的偏离范围和幅度。</w:t>
      </w:r>
    </w:p>
    <w:p w14:paraId="5B03874E">
      <w:pPr>
        <w:pStyle w:val="3"/>
        <w:bidi w:val="0"/>
        <w:ind w:left="0" w:firstLine="0"/>
        <w:rPr>
          <w:rFonts w:hint="eastAsia"/>
          <w:color w:val="auto"/>
          <w:highlight w:val="none"/>
          <w:lang w:val="en-US" w:eastAsia="zh-CN"/>
        </w:rPr>
      </w:pPr>
      <w:bookmarkStart w:id="105" w:name="_bookmark33"/>
      <w:bookmarkEnd w:id="105"/>
      <w:bookmarkStart w:id="106" w:name="_bookmark34"/>
      <w:bookmarkEnd w:id="106"/>
      <w:bookmarkStart w:id="107" w:name="_Toc24569"/>
      <w:bookmarkStart w:id="108" w:name="_Toc23622"/>
      <w:bookmarkStart w:id="109" w:name="_Toc19457"/>
      <w:r>
        <w:rPr>
          <w:rFonts w:hint="eastAsia" w:ascii="宋体" w:hAnsi="宋体" w:eastAsia="宋体" w:cs="Times New Roman"/>
          <w:b/>
          <w:bCs/>
          <w:snapToGrid w:val="0"/>
          <w:color w:val="auto"/>
          <w:kern w:val="2"/>
          <w:sz w:val="24"/>
          <w:szCs w:val="24"/>
          <w:highlight w:val="none"/>
          <w:lang w:val="en-US" w:eastAsia="zh-CN" w:bidi="ar-SA"/>
        </w:rPr>
        <w:t>2.</w:t>
      </w:r>
      <w:r>
        <w:rPr>
          <w:rFonts w:hint="eastAsia" w:cs="Times New Roman"/>
          <w:b/>
          <w:bCs/>
          <w:snapToGrid w:val="0"/>
          <w:color w:val="auto"/>
          <w:kern w:val="2"/>
          <w:sz w:val="24"/>
          <w:szCs w:val="24"/>
          <w:highlight w:val="none"/>
          <w:lang w:val="en-US" w:eastAsia="zh-CN" w:bidi="ar-SA"/>
        </w:rPr>
        <w:t xml:space="preserve"> </w:t>
      </w:r>
      <w:r>
        <w:rPr>
          <w:rFonts w:hint="eastAsia"/>
          <w:color w:val="auto"/>
          <w:highlight w:val="none"/>
          <w:lang w:val="en-US" w:eastAsia="zh-CN"/>
        </w:rPr>
        <w:t>招标文件</w:t>
      </w:r>
      <w:bookmarkEnd w:id="107"/>
      <w:bookmarkEnd w:id="108"/>
      <w:bookmarkEnd w:id="109"/>
    </w:p>
    <w:p w14:paraId="5DF75A9D">
      <w:pPr>
        <w:pStyle w:val="4"/>
        <w:bidi w:val="0"/>
        <w:rPr>
          <w:rFonts w:hint="eastAsia"/>
          <w:color w:val="auto"/>
          <w:highlight w:val="none"/>
          <w:lang w:val="en-US" w:eastAsia="zh-CN"/>
        </w:rPr>
      </w:pPr>
      <w:bookmarkStart w:id="110" w:name="_Toc8434"/>
      <w:bookmarkStart w:id="111" w:name="_Toc1686"/>
      <w:r>
        <w:rPr>
          <w:rFonts w:hint="eastAsia"/>
          <w:color w:val="auto"/>
          <w:highlight w:val="none"/>
          <w:lang w:val="en-US" w:eastAsia="zh-CN"/>
        </w:rPr>
        <w:t>2.1 招标文件的组成</w:t>
      </w:r>
      <w:bookmarkEnd w:id="110"/>
      <w:bookmarkEnd w:id="111"/>
    </w:p>
    <w:p w14:paraId="051F9058">
      <w:pPr>
        <w:bidi w:val="0"/>
        <w:rPr>
          <w:rFonts w:hint="eastAsia"/>
          <w:color w:val="auto"/>
          <w:highlight w:val="none"/>
          <w:lang w:val="en-US" w:eastAsia="zh-CN"/>
        </w:rPr>
      </w:pPr>
      <w:r>
        <w:rPr>
          <w:rFonts w:hint="eastAsia"/>
          <w:color w:val="auto"/>
          <w:highlight w:val="none"/>
          <w:lang w:val="en-US" w:eastAsia="zh-CN"/>
        </w:rPr>
        <w:t>本招标文件包括：</w:t>
      </w:r>
    </w:p>
    <w:p w14:paraId="57054DFC">
      <w:pPr>
        <w:bidi w:val="0"/>
        <w:rPr>
          <w:rFonts w:hint="eastAsia"/>
          <w:color w:val="auto"/>
          <w:highlight w:val="none"/>
        </w:rPr>
      </w:pPr>
      <w:r>
        <w:rPr>
          <w:rFonts w:hint="eastAsia"/>
          <w:color w:val="auto"/>
          <w:highlight w:val="none"/>
        </w:rPr>
        <w:t>（1）招标公告（或投标邀请书）；</w:t>
      </w:r>
    </w:p>
    <w:p w14:paraId="066630EB">
      <w:pPr>
        <w:bidi w:val="0"/>
        <w:rPr>
          <w:rFonts w:hint="eastAsia"/>
          <w:color w:val="auto"/>
          <w:highlight w:val="none"/>
        </w:rPr>
      </w:pPr>
      <w:r>
        <w:rPr>
          <w:rFonts w:hint="eastAsia"/>
          <w:color w:val="auto"/>
          <w:highlight w:val="none"/>
        </w:rPr>
        <w:t>（2）投标人须知；</w:t>
      </w:r>
    </w:p>
    <w:p w14:paraId="37006783">
      <w:pPr>
        <w:bidi w:val="0"/>
        <w:rPr>
          <w:rFonts w:hint="eastAsia"/>
          <w:color w:val="auto"/>
          <w:highlight w:val="none"/>
        </w:rPr>
      </w:pPr>
      <w:r>
        <w:rPr>
          <w:rFonts w:hint="eastAsia"/>
          <w:color w:val="auto"/>
          <w:highlight w:val="none"/>
        </w:rPr>
        <w:t>（3）评标办法；</w:t>
      </w:r>
    </w:p>
    <w:p w14:paraId="71DE7B41">
      <w:pPr>
        <w:bidi w:val="0"/>
        <w:rPr>
          <w:rFonts w:hint="eastAsia"/>
          <w:color w:val="auto"/>
          <w:highlight w:val="none"/>
        </w:rPr>
      </w:pPr>
      <w:r>
        <w:rPr>
          <w:rFonts w:hint="eastAsia"/>
          <w:color w:val="auto"/>
          <w:highlight w:val="none"/>
        </w:rPr>
        <w:t>（4）合同条款及格式；</w:t>
      </w:r>
    </w:p>
    <w:p w14:paraId="04FE03ED">
      <w:pPr>
        <w:bidi w:val="0"/>
        <w:rPr>
          <w:rFonts w:hint="eastAsia"/>
          <w:color w:val="auto"/>
          <w:highlight w:val="none"/>
        </w:rPr>
      </w:pPr>
      <w:r>
        <w:rPr>
          <w:rFonts w:hint="eastAsia"/>
          <w:color w:val="auto"/>
          <w:highlight w:val="none"/>
        </w:rPr>
        <w:t>（5）</w:t>
      </w:r>
      <w:r>
        <w:rPr>
          <w:rFonts w:hint="eastAsia"/>
          <w:color w:val="auto"/>
          <w:highlight w:val="none"/>
          <w:lang w:val="en-US" w:eastAsia="zh-CN"/>
        </w:rPr>
        <w:t>供货要求</w:t>
      </w:r>
      <w:r>
        <w:rPr>
          <w:rFonts w:hint="eastAsia"/>
          <w:color w:val="auto"/>
          <w:highlight w:val="none"/>
        </w:rPr>
        <w:t>；</w:t>
      </w:r>
    </w:p>
    <w:p w14:paraId="0F7DA29E">
      <w:pPr>
        <w:bidi w:val="0"/>
        <w:rPr>
          <w:rFonts w:hint="eastAsia"/>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）投标文件格式；</w:t>
      </w:r>
    </w:p>
    <w:p w14:paraId="2A40D604">
      <w:pPr>
        <w:bidi w:val="0"/>
        <w:rPr>
          <w:rFonts w:hint="eastAsia"/>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）投标人须知前附表规定的其他材料。</w:t>
      </w:r>
    </w:p>
    <w:p w14:paraId="5CDD162C">
      <w:pPr>
        <w:bidi w:val="0"/>
        <w:rPr>
          <w:rFonts w:hint="eastAsia"/>
          <w:color w:val="auto"/>
          <w:highlight w:val="none"/>
          <w:lang w:val="en-US" w:eastAsia="zh-CN"/>
        </w:rPr>
      </w:pPr>
      <w:r>
        <w:rPr>
          <w:rFonts w:hint="eastAsia"/>
          <w:color w:val="auto"/>
          <w:highlight w:val="none"/>
          <w:lang w:val="en-US" w:eastAsia="zh-CN"/>
        </w:rPr>
        <w:t>根据本章第 2.2 款和第 2.3 款对招标文件所作的澄清、修改，构成招标文件的组</w:t>
      </w:r>
      <w:bookmarkStart w:id="112" w:name="_bookmark35"/>
      <w:bookmarkEnd w:id="112"/>
      <w:r>
        <w:rPr>
          <w:rFonts w:hint="eastAsia"/>
          <w:color w:val="auto"/>
          <w:highlight w:val="none"/>
          <w:lang w:val="en-US" w:eastAsia="zh-CN"/>
        </w:rPr>
        <w:t>成部分。</w:t>
      </w:r>
    </w:p>
    <w:p w14:paraId="7699F4AD">
      <w:pPr>
        <w:pStyle w:val="4"/>
        <w:bidi w:val="0"/>
        <w:rPr>
          <w:rFonts w:hint="eastAsia"/>
          <w:color w:val="auto"/>
          <w:highlight w:val="none"/>
          <w:lang w:val="en-US" w:eastAsia="zh-CN"/>
        </w:rPr>
      </w:pPr>
      <w:bookmarkStart w:id="113" w:name="_Toc21583"/>
      <w:bookmarkStart w:id="114" w:name="_Toc31785"/>
      <w:r>
        <w:rPr>
          <w:rFonts w:hint="eastAsia"/>
          <w:color w:val="auto"/>
          <w:highlight w:val="none"/>
          <w:lang w:val="en-US" w:eastAsia="zh-CN"/>
        </w:rPr>
        <w:t>2.2 招标文件的澄清</w:t>
      </w:r>
      <w:bookmarkEnd w:id="113"/>
      <w:bookmarkEnd w:id="114"/>
    </w:p>
    <w:p w14:paraId="0E91992D">
      <w:pPr>
        <w:bidi w:val="0"/>
        <w:rPr>
          <w:rFonts w:hint="eastAsia"/>
          <w:color w:val="auto"/>
          <w:highlight w:val="none"/>
        </w:rPr>
      </w:pPr>
      <w:r>
        <w:rPr>
          <w:rFonts w:hint="eastAsia"/>
          <w:color w:val="auto"/>
          <w:highlight w:val="none"/>
        </w:rPr>
        <w:t>2.2.1 投标人应仔细阅读和检查招标文件的全部内容。如发现缺页或附件不全，应及时向招标人提出，以便补齐。如有疑问，应在投标人须知前附表规定的时间前在相应法定网站提问，要求招标人对招标文件予以澄清。</w:t>
      </w:r>
    </w:p>
    <w:p w14:paraId="2D06F106">
      <w:pPr>
        <w:bidi w:val="0"/>
        <w:rPr>
          <w:rFonts w:hint="eastAsia"/>
          <w:color w:val="auto"/>
          <w:highlight w:val="none"/>
        </w:rPr>
      </w:pPr>
      <w:r>
        <w:rPr>
          <w:rFonts w:hint="eastAsia"/>
          <w:color w:val="auto"/>
          <w:highlight w:val="none"/>
        </w:rPr>
        <w:t>2.2.2 招标文件的澄清将在投标人须知前附表规定的时间在相应法定网站发布，但不指明澄清问题的来源。</w:t>
      </w:r>
    </w:p>
    <w:p w14:paraId="76FCB786">
      <w:pPr>
        <w:bidi w:val="0"/>
        <w:rPr>
          <w:rFonts w:hint="eastAsia"/>
          <w:color w:val="auto"/>
          <w:highlight w:val="none"/>
        </w:rPr>
      </w:pPr>
      <w:r>
        <w:rPr>
          <w:rFonts w:hint="eastAsia"/>
          <w:color w:val="auto"/>
          <w:highlight w:val="none"/>
        </w:rPr>
        <w:t>2.2.3 招标人对招标文件的修改内容可能影响投标文件编制的，须在投标截止时间15日前发布，发布时间至投标截止时间不足15日的，须相应延后投标截止时间。</w:t>
      </w:r>
    </w:p>
    <w:p w14:paraId="0B8152E1">
      <w:pPr>
        <w:bidi w:val="0"/>
        <w:rPr>
          <w:rFonts w:hint="eastAsia"/>
          <w:color w:val="auto"/>
          <w:highlight w:val="none"/>
        </w:rPr>
      </w:pPr>
      <w:r>
        <w:rPr>
          <w:rFonts w:hint="eastAsia"/>
          <w:color w:val="auto"/>
          <w:highlight w:val="none"/>
        </w:rPr>
        <w:t>2.2.4 投标人对招标文件和澄清修改仍有异议的，可于投标截止时间10日前，通过自行在重庆市公共资源交易网（http://www.cqggzy.com/）投标公告的“我要提问”栏目匿名提出。投标人未提出，则视为投标人已全面确认投标文件内容。招标人应将答复以修改的形式在相应法定网站发布。修改内容可能影响投标文件编制的，须在投标截止时间15日前发布，发布时间至投标截止时间不足15日的，须相应延后投标截止时间。</w:t>
      </w:r>
    </w:p>
    <w:p w14:paraId="28BFA865">
      <w:pPr>
        <w:pStyle w:val="4"/>
        <w:bidi w:val="0"/>
        <w:rPr>
          <w:rFonts w:hint="eastAsia"/>
          <w:color w:val="auto"/>
          <w:highlight w:val="none"/>
          <w:lang w:val="en-US" w:eastAsia="zh-CN"/>
        </w:rPr>
      </w:pPr>
      <w:bookmarkStart w:id="115" w:name="_Toc5837"/>
      <w:bookmarkStart w:id="116" w:name="_Toc4841"/>
      <w:r>
        <w:rPr>
          <w:rFonts w:hint="eastAsia"/>
          <w:color w:val="auto"/>
          <w:highlight w:val="none"/>
          <w:lang w:val="en-US" w:eastAsia="zh-CN"/>
        </w:rPr>
        <w:t>2.3 招标文件的修改</w:t>
      </w:r>
      <w:bookmarkEnd w:id="115"/>
      <w:bookmarkEnd w:id="116"/>
    </w:p>
    <w:p w14:paraId="74D22A27">
      <w:pPr>
        <w:bidi w:val="0"/>
        <w:rPr>
          <w:rFonts w:hint="eastAsia"/>
          <w:color w:val="auto"/>
          <w:highlight w:val="none"/>
        </w:rPr>
      </w:pPr>
      <w:r>
        <w:rPr>
          <w:rFonts w:hint="eastAsia"/>
          <w:color w:val="auto"/>
          <w:highlight w:val="none"/>
        </w:rPr>
        <w:t>按照本章第2.2款招标文件的澄清相关内容及方式执行。</w:t>
      </w:r>
    </w:p>
    <w:p w14:paraId="0F5E8AB0">
      <w:pPr>
        <w:pStyle w:val="4"/>
        <w:bidi w:val="0"/>
        <w:rPr>
          <w:rFonts w:hint="eastAsia"/>
          <w:color w:val="auto"/>
          <w:highlight w:val="none"/>
          <w:lang w:val="en-US" w:eastAsia="zh-CN"/>
        </w:rPr>
      </w:pPr>
      <w:bookmarkStart w:id="117" w:name="_Toc29173"/>
      <w:bookmarkStart w:id="118" w:name="_Toc15173"/>
      <w:r>
        <w:rPr>
          <w:rFonts w:hint="eastAsia"/>
          <w:color w:val="auto"/>
          <w:highlight w:val="none"/>
          <w:lang w:val="en-US" w:eastAsia="zh-CN"/>
        </w:rPr>
        <w:t>2.4 招标文件的异议</w:t>
      </w:r>
      <w:bookmarkEnd w:id="117"/>
      <w:bookmarkEnd w:id="118"/>
    </w:p>
    <w:p w14:paraId="7CBF41E0">
      <w:pPr>
        <w:bidi w:val="0"/>
        <w:rPr>
          <w:rFonts w:hint="eastAsia"/>
          <w:color w:val="auto"/>
          <w:highlight w:val="none"/>
          <w:lang w:val="en-US" w:eastAsia="zh-CN"/>
        </w:rPr>
      </w:pPr>
      <w:r>
        <w:rPr>
          <w:rFonts w:hint="eastAsia"/>
          <w:color w:val="auto"/>
          <w:highlight w:val="none"/>
          <w:lang w:val="en-US" w:eastAsia="zh-CN"/>
        </w:rPr>
        <w:t>投标人或者其他利害关系人对招标文件有异议的，应当在投标截止时间10日前以书面形式提出。招标人将在收到异议之日起3日内作出答复；作出答复前，将暂停招标投标活动。</w:t>
      </w:r>
    </w:p>
    <w:p w14:paraId="534F67FF">
      <w:pPr>
        <w:pStyle w:val="3"/>
        <w:bidi w:val="0"/>
        <w:rPr>
          <w:rFonts w:hint="eastAsia"/>
          <w:color w:val="auto"/>
          <w:highlight w:val="none"/>
          <w:lang w:val="en-US" w:eastAsia="zh-CN"/>
        </w:rPr>
      </w:pPr>
      <w:bookmarkStart w:id="119" w:name="_bookmark39"/>
      <w:bookmarkEnd w:id="119"/>
      <w:bookmarkStart w:id="120" w:name="_bookmark38"/>
      <w:bookmarkEnd w:id="120"/>
      <w:bookmarkStart w:id="121" w:name="_Toc17655"/>
      <w:bookmarkStart w:id="122" w:name="_Toc3549"/>
      <w:bookmarkStart w:id="123" w:name="_Toc5175"/>
      <w:r>
        <w:rPr>
          <w:rFonts w:hint="eastAsia"/>
          <w:color w:val="auto"/>
          <w:highlight w:val="none"/>
          <w:lang w:val="en-US" w:eastAsia="zh-CN"/>
        </w:rPr>
        <w:t>3. 投标文件</w:t>
      </w:r>
      <w:bookmarkEnd w:id="121"/>
      <w:bookmarkEnd w:id="122"/>
      <w:bookmarkEnd w:id="123"/>
    </w:p>
    <w:p w14:paraId="65B6E9C5">
      <w:pPr>
        <w:pStyle w:val="4"/>
        <w:bidi w:val="0"/>
        <w:rPr>
          <w:rFonts w:hint="eastAsia"/>
          <w:color w:val="auto"/>
          <w:highlight w:val="none"/>
          <w:lang w:val="en-US" w:eastAsia="zh-CN"/>
        </w:rPr>
      </w:pPr>
      <w:bookmarkStart w:id="124" w:name="_Toc26160"/>
      <w:bookmarkStart w:id="125" w:name="_Toc20931"/>
      <w:r>
        <w:rPr>
          <w:rFonts w:hint="eastAsia"/>
          <w:color w:val="auto"/>
          <w:highlight w:val="none"/>
          <w:lang w:val="en-US" w:eastAsia="zh-CN"/>
        </w:rPr>
        <w:t>3.1 投标文件的组成</w:t>
      </w:r>
      <w:bookmarkEnd w:id="124"/>
      <w:bookmarkEnd w:id="125"/>
    </w:p>
    <w:p w14:paraId="4E7FAC8F">
      <w:pPr>
        <w:bidi w:val="0"/>
        <w:rPr>
          <w:rFonts w:hint="eastAsia"/>
          <w:color w:val="auto"/>
          <w:highlight w:val="none"/>
          <w:lang w:val="en-US" w:eastAsia="zh-CN"/>
        </w:rPr>
      </w:pPr>
      <w:r>
        <w:rPr>
          <w:rFonts w:hint="eastAsia"/>
          <w:color w:val="auto"/>
          <w:highlight w:val="none"/>
          <w:lang w:val="en-US" w:eastAsia="zh-CN"/>
        </w:rPr>
        <w:t>3.1.1  投标文件应包括下列内容：</w:t>
      </w:r>
    </w:p>
    <w:p w14:paraId="172BDB5C">
      <w:pPr>
        <w:bidi w:val="0"/>
        <w:rPr>
          <w:rFonts w:hint="eastAsia"/>
          <w:color w:val="auto"/>
          <w:highlight w:val="none"/>
        </w:rPr>
      </w:pPr>
      <w:r>
        <w:rPr>
          <w:rFonts w:hint="eastAsia"/>
          <w:color w:val="auto"/>
          <w:highlight w:val="none"/>
        </w:rPr>
        <w:t>（1）投标函</w:t>
      </w:r>
    </w:p>
    <w:p w14:paraId="76DACF83">
      <w:pPr>
        <w:bidi w:val="0"/>
        <w:rPr>
          <w:rFonts w:hint="eastAsia"/>
          <w:color w:val="auto"/>
          <w:highlight w:val="none"/>
          <w:lang w:eastAsia="zh-CN"/>
        </w:rPr>
      </w:pPr>
      <w:r>
        <w:rPr>
          <w:rFonts w:hint="eastAsia"/>
          <w:color w:val="auto"/>
          <w:highlight w:val="none"/>
        </w:rPr>
        <w:t>（</w:t>
      </w: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分项报价表（如有）</w:t>
      </w:r>
      <w:r>
        <w:rPr>
          <w:rFonts w:hint="eastAsia"/>
          <w:color w:val="auto"/>
          <w:highlight w:val="none"/>
        </w:rPr>
        <w:t>；</w:t>
      </w:r>
    </w:p>
    <w:p w14:paraId="5CA04684">
      <w:pPr>
        <w:bidi w:val="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）法定代表人身份证明或授权委托书；</w:t>
      </w:r>
    </w:p>
    <w:p w14:paraId="731D415D">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投标保证金</w:t>
      </w:r>
    </w:p>
    <w:p w14:paraId="4DB8C3C8">
      <w:pPr>
        <w:bidi w:val="0"/>
        <w:rPr>
          <w:rFonts w:hint="eastAsia"/>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w:t>
      </w:r>
      <w:r>
        <w:rPr>
          <w:rFonts w:hint="eastAsia"/>
          <w:color w:val="auto"/>
          <w:highlight w:val="none"/>
          <w:lang w:val="en-US" w:eastAsia="zh-CN"/>
        </w:rPr>
        <w:t>联合体协议书（如有）</w:t>
      </w:r>
      <w:r>
        <w:rPr>
          <w:rFonts w:hint="eastAsia"/>
          <w:color w:val="auto"/>
          <w:highlight w:val="none"/>
        </w:rPr>
        <w:t>；</w:t>
      </w:r>
    </w:p>
    <w:p w14:paraId="62A7211B">
      <w:pPr>
        <w:bidi w:val="0"/>
        <w:rPr>
          <w:rFonts w:hint="eastAsia"/>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）商务和技术偏差表；</w:t>
      </w:r>
    </w:p>
    <w:p w14:paraId="555A4E84">
      <w:pPr>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rFonts w:hint="eastAsia"/>
          <w:color w:val="auto"/>
          <w:highlight w:val="none"/>
          <w:lang w:val="en-US" w:eastAsia="zh-CN"/>
        </w:rPr>
        <w:t>技术资料（如有）</w:t>
      </w:r>
      <w:r>
        <w:rPr>
          <w:rFonts w:hint="eastAsia"/>
          <w:color w:val="auto"/>
          <w:highlight w:val="none"/>
        </w:rPr>
        <w:t>；</w:t>
      </w:r>
    </w:p>
    <w:p w14:paraId="12EB65F2">
      <w:pPr>
        <w:bidi w:val="0"/>
        <w:rPr>
          <w:rFonts w:hint="eastAsia"/>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）资格审查资料；</w:t>
      </w:r>
    </w:p>
    <w:p w14:paraId="5B3BAB4E">
      <w:pPr>
        <w:bidi w:val="0"/>
        <w:rPr>
          <w:rFonts w:hint="eastAsia"/>
          <w:color w:val="auto"/>
          <w:highlight w:val="none"/>
        </w:rPr>
      </w:pPr>
      <w:r>
        <w:rPr>
          <w:rFonts w:hint="eastAsia"/>
          <w:color w:val="auto"/>
          <w:highlight w:val="none"/>
        </w:rPr>
        <w:t>（</w:t>
      </w:r>
      <w:r>
        <w:rPr>
          <w:rFonts w:hint="eastAsia"/>
          <w:color w:val="auto"/>
          <w:highlight w:val="none"/>
          <w:lang w:val="en-US" w:eastAsia="zh-CN"/>
        </w:rPr>
        <w:t>9</w:t>
      </w:r>
      <w:r>
        <w:rPr>
          <w:rFonts w:hint="eastAsia"/>
          <w:color w:val="auto"/>
          <w:highlight w:val="none"/>
        </w:rPr>
        <w:t>）投标人须知前附表规定的其他材料。</w:t>
      </w:r>
    </w:p>
    <w:p w14:paraId="0D1AADF9">
      <w:pPr>
        <w:bidi w:val="0"/>
        <w:rPr>
          <w:rFonts w:hint="eastAsia"/>
          <w:color w:val="auto"/>
          <w:highlight w:val="none"/>
          <w:lang w:val="en-US" w:eastAsia="zh-CN"/>
        </w:rPr>
      </w:pPr>
      <w:r>
        <w:rPr>
          <w:rFonts w:hint="eastAsia"/>
          <w:color w:val="auto"/>
          <w:highlight w:val="none"/>
          <w:lang w:val="en-US" w:eastAsia="zh-CN"/>
        </w:rPr>
        <w:t>投标人在评标过程中作出的符合法律法规和招标文件规定的澄清确认，构成投标文件的组成部分。</w:t>
      </w:r>
    </w:p>
    <w:p w14:paraId="14E423F3">
      <w:pPr>
        <w:bidi w:val="0"/>
        <w:rPr>
          <w:rFonts w:hint="eastAsia"/>
          <w:color w:val="auto"/>
          <w:highlight w:val="none"/>
          <w:lang w:val="en-US" w:eastAsia="zh-CN"/>
        </w:rPr>
      </w:pPr>
      <w:r>
        <w:rPr>
          <w:rFonts w:hint="eastAsia"/>
          <w:color w:val="auto"/>
          <w:highlight w:val="none"/>
          <w:lang w:val="en-US" w:eastAsia="zh-CN"/>
        </w:rPr>
        <w:t>3.1.2  投标人须知前附表规定不接受联合体投标的，或投标人没有组成联合体的，投标文件不包括本章第 3.1.1（4） 目所指的联合体协议书。</w:t>
      </w:r>
    </w:p>
    <w:p w14:paraId="2B310318">
      <w:pPr>
        <w:bidi w:val="0"/>
        <w:rPr>
          <w:rFonts w:hint="eastAsia"/>
          <w:color w:val="auto"/>
          <w:highlight w:val="none"/>
          <w:lang w:val="en-US" w:eastAsia="zh-CN"/>
        </w:rPr>
      </w:pPr>
      <w:r>
        <w:rPr>
          <w:rFonts w:hint="eastAsia"/>
          <w:color w:val="auto"/>
          <w:highlight w:val="none"/>
          <w:lang w:val="en-US" w:eastAsia="zh-CN"/>
        </w:rPr>
        <w:t>3.1.3  投标人须知前附表未要求提交投标保证金的，投标文件不包括本章第 3.1.1 （5）目所</w:t>
      </w:r>
      <w:bookmarkStart w:id="126" w:name="_bookmark40"/>
      <w:bookmarkEnd w:id="126"/>
      <w:r>
        <w:rPr>
          <w:rFonts w:hint="eastAsia"/>
          <w:color w:val="auto"/>
          <w:highlight w:val="none"/>
          <w:lang w:val="en-US" w:eastAsia="zh-CN"/>
        </w:rPr>
        <w:t>指的投标保证金。</w:t>
      </w:r>
    </w:p>
    <w:p w14:paraId="1E8FC5C3">
      <w:pPr>
        <w:pStyle w:val="4"/>
        <w:bidi w:val="0"/>
        <w:rPr>
          <w:rFonts w:hint="eastAsia"/>
          <w:color w:val="auto"/>
          <w:highlight w:val="none"/>
          <w:lang w:val="en-US" w:eastAsia="zh-CN"/>
        </w:rPr>
      </w:pPr>
      <w:bookmarkStart w:id="127" w:name="_Toc4997"/>
      <w:bookmarkStart w:id="128" w:name="_Toc16425"/>
      <w:r>
        <w:rPr>
          <w:rFonts w:hint="eastAsia"/>
          <w:color w:val="auto"/>
          <w:highlight w:val="none"/>
          <w:lang w:val="en-US" w:eastAsia="zh-CN"/>
        </w:rPr>
        <w:t>3.2 投标报价</w:t>
      </w:r>
      <w:bookmarkEnd w:id="127"/>
      <w:bookmarkEnd w:id="128"/>
    </w:p>
    <w:p w14:paraId="20596277">
      <w:pPr>
        <w:bidi w:val="0"/>
        <w:rPr>
          <w:rFonts w:hint="eastAsia"/>
          <w:color w:val="auto"/>
          <w:highlight w:val="none"/>
        </w:rPr>
      </w:pPr>
      <w:r>
        <w:rPr>
          <w:rFonts w:hint="eastAsia"/>
          <w:color w:val="auto"/>
          <w:highlight w:val="none"/>
        </w:rPr>
        <w:t>3.2.1  投标报价应包括国家规定的增值税税金，除投标人须知前附表另有规定外，增值税税金按一般计税方法计算。投标人应按第六章“投标文件格式”的要求在投标函中进行报价，采用</w:t>
      </w:r>
      <w:r>
        <w:rPr>
          <w:rFonts w:hint="eastAsia"/>
          <w:color w:val="auto"/>
          <w:highlight w:val="none"/>
          <w:lang w:val="en-US" w:eastAsia="zh-CN"/>
        </w:rPr>
        <w:t>分项</w:t>
      </w:r>
      <w:r>
        <w:rPr>
          <w:rFonts w:hint="eastAsia"/>
          <w:color w:val="auto"/>
          <w:highlight w:val="none"/>
        </w:rPr>
        <w:t>报价的，还应填写</w:t>
      </w:r>
      <w:r>
        <w:rPr>
          <w:rFonts w:hint="eastAsia"/>
          <w:color w:val="auto"/>
          <w:highlight w:val="none"/>
          <w:lang w:val="en-US" w:eastAsia="zh-CN"/>
        </w:rPr>
        <w:t>分项报价表</w:t>
      </w:r>
      <w:r>
        <w:rPr>
          <w:rFonts w:hint="eastAsia"/>
          <w:color w:val="auto"/>
          <w:highlight w:val="none"/>
        </w:rPr>
        <w:t>。</w:t>
      </w:r>
    </w:p>
    <w:p w14:paraId="1B944C90">
      <w:pPr>
        <w:bidi w:val="0"/>
        <w:rPr>
          <w:rFonts w:hint="eastAsia"/>
          <w:color w:val="auto"/>
          <w:highlight w:val="none"/>
        </w:rPr>
      </w:pPr>
      <w:r>
        <w:rPr>
          <w:rFonts w:hint="eastAsia"/>
          <w:color w:val="auto"/>
          <w:highlight w:val="none"/>
        </w:rPr>
        <w:t>3.2.2  投标人应充分了解该项目的总体情况以及影响投标报价的其他要素。</w:t>
      </w:r>
    </w:p>
    <w:p w14:paraId="42521B25">
      <w:pPr>
        <w:bidi w:val="0"/>
        <w:rPr>
          <w:rFonts w:hint="eastAsia"/>
          <w:color w:val="auto"/>
          <w:highlight w:val="none"/>
        </w:rPr>
      </w:pPr>
      <w:r>
        <w:rPr>
          <w:rFonts w:hint="eastAsia"/>
          <w:color w:val="auto"/>
          <w:highlight w:val="none"/>
        </w:rPr>
        <w:t>3.2.3  投标报价为各分项报价金额之和，投标报价与分项报价的合价不一致的，应以各分项 合价累计数为准，修正投标报价；如分项报价中存在缺漏项，则视为缺漏项价格已包含在其他 分项报价之中。投标人在投标截止时间前修改投标函中的投标报价总额，应同时修改投标文件 “分项报价表”中的相应报价。此修改须符合本章第 4.3 款的有关要求。</w:t>
      </w:r>
    </w:p>
    <w:p w14:paraId="1F1C8C0E">
      <w:pPr>
        <w:bidi w:val="0"/>
        <w:rPr>
          <w:rFonts w:hint="eastAsia"/>
          <w:color w:val="auto"/>
          <w:highlight w:val="none"/>
        </w:rPr>
      </w:pPr>
      <w:r>
        <w:rPr>
          <w:rFonts w:hint="eastAsia"/>
          <w:color w:val="auto"/>
          <w:highlight w:val="none"/>
        </w:rPr>
        <w:t>3.2.4  本项目的报价方式见投标人须知前附表。招标人设有最高投标限价的，投标人的投标报价不得超过最高投标限价，最高投标限价在投标人须知前附表中载明。</w:t>
      </w:r>
    </w:p>
    <w:p w14:paraId="75C9C5BE">
      <w:pPr>
        <w:bidi w:val="0"/>
        <w:rPr>
          <w:rFonts w:hint="eastAsia"/>
          <w:color w:val="auto"/>
          <w:highlight w:val="none"/>
          <w:lang w:val="en-US" w:eastAsia="zh-CN"/>
        </w:rPr>
      </w:pPr>
      <w:r>
        <w:rPr>
          <w:rFonts w:hint="eastAsia"/>
          <w:color w:val="auto"/>
          <w:highlight w:val="none"/>
        </w:rPr>
        <w:t>3.2.5  投标报价的其他要求见投标人须知前附表。</w:t>
      </w:r>
    </w:p>
    <w:p w14:paraId="5ECBF494">
      <w:pPr>
        <w:pStyle w:val="4"/>
        <w:bidi w:val="0"/>
        <w:rPr>
          <w:rFonts w:hint="eastAsia"/>
          <w:color w:val="auto"/>
          <w:highlight w:val="none"/>
          <w:lang w:val="en-US" w:eastAsia="zh-CN"/>
        </w:rPr>
      </w:pPr>
      <w:bookmarkStart w:id="129" w:name="_Toc16198"/>
      <w:bookmarkStart w:id="130" w:name="_Toc31056"/>
      <w:r>
        <w:rPr>
          <w:rFonts w:hint="eastAsia"/>
          <w:color w:val="auto"/>
          <w:highlight w:val="none"/>
          <w:lang w:val="en-US" w:eastAsia="zh-CN"/>
        </w:rPr>
        <w:t>3.3 投标有效期</w:t>
      </w:r>
      <w:bookmarkEnd w:id="129"/>
      <w:bookmarkEnd w:id="130"/>
    </w:p>
    <w:p w14:paraId="593DF831">
      <w:pPr>
        <w:bidi w:val="0"/>
        <w:rPr>
          <w:rFonts w:hint="eastAsia"/>
          <w:color w:val="auto"/>
          <w:highlight w:val="none"/>
          <w:lang w:val="en-US" w:eastAsia="zh-CN"/>
        </w:rPr>
      </w:pPr>
      <w:r>
        <w:rPr>
          <w:rFonts w:hint="eastAsia"/>
          <w:color w:val="auto"/>
          <w:highlight w:val="none"/>
          <w:lang w:val="en-US" w:eastAsia="zh-CN"/>
        </w:rPr>
        <w:t>3.3.1  除投标人须知前附表另有规定外，投标有效期为90天。</w:t>
      </w:r>
    </w:p>
    <w:p w14:paraId="2A895995">
      <w:pPr>
        <w:bidi w:val="0"/>
        <w:rPr>
          <w:rFonts w:hint="eastAsia"/>
          <w:color w:val="auto"/>
          <w:highlight w:val="none"/>
          <w:lang w:val="en-US" w:eastAsia="zh-CN"/>
        </w:rPr>
      </w:pPr>
      <w:r>
        <w:rPr>
          <w:rFonts w:hint="eastAsia"/>
          <w:color w:val="auto"/>
          <w:highlight w:val="none"/>
          <w:lang w:val="en-US" w:eastAsia="zh-CN"/>
        </w:rPr>
        <w:t>3.3.2  在投标有效期内，投标人撤销或修改其投标文件的，应承担招标文件和法律规定的责任。</w:t>
      </w:r>
    </w:p>
    <w:p w14:paraId="1D6D6C66">
      <w:pPr>
        <w:bidi w:val="0"/>
        <w:rPr>
          <w:rFonts w:hint="eastAsia"/>
          <w:color w:val="auto"/>
          <w:highlight w:val="none"/>
        </w:rPr>
      </w:pPr>
      <w:r>
        <w:rPr>
          <w:rFonts w:hint="eastAsia"/>
          <w:color w:val="auto"/>
          <w:highlight w:val="none"/>
          <w:lang w:val="en-US"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w:t>
      </w:r>
      <w:r>
        <w:rPr>
          <w:rFonts w:hint="eastAsia"/>
          <w:color w:val="auto"/>
          <w:highlight w:val="none"/>
        </w:rPr>
        <w:t>但投标人有权收回其投标保证金。</w:t>
      </w:r>
    </w:p>
    <w:p w14:paraId="4C769710">
      <w:pPr>
        <w:pStyle w:val="4"/>
        <w:bidi w:val="0"/>
        <w:rPr>
          <w:rFonts w:hint="eastAsia"/>
          <w:color w:val="auto"/>
          <w:highlight w:val="none"/>
          <w:lang w:val="en-US" w:eastAsia="zh-CN"/>
        </w:rPr>
      </w:pPr>
      <w:bookmarkStart w:id="131" w:name="_Toc2285"/>
      <w:bookmarkStart w:id="132" w:name="_Toc3198"/>
      <w:r>
        <w:rPr>
          <w:rFonts w:hint="eastAsia"/>
          <w:color w:val="auto"/>
          <w:highlight w:val="none"/>
          <w:lang w:val="en-US" w:eastAsia="zh-CN"/>
        </w:rPr>
        <w:t>3.4 投标保证金</w:t>
      </w:r>
      <w:bookmarkEnd w:id="131"/>
      <w:bookmarkEnd w:id="132"/>
    </w:p>
    <w:p w14:paraId="2255CF43">
      <w:pPr>
        <w:bidi w:val="0"/>
        <w:rPr>
          <w:rFonts w:hint="eastAsia"/>
          <w:color w:val="auto"/>
          <w:highlight w:val="none"/>
          <w:lang w:val="en-US" w:eastAsia="zh-CN"/>
        </w:rPr>
      </w:pPr>
      <w:r>
        <w:rPr>
          <w:rFonts w:hint="eastAsia"/>
          <w:color w:val="auto"/>
          <w:highlight w:val="none"/>
          <w:lang w:val="en-US" w:eastAsia="zh-CN"/>
        </w:rPr>
        <w:t xml:space="preserve">3.4.1  </w:t>
      </w:r>
      <w:r>
        <w:rPr>
          <w:rFonts w:hint="eastAsia"/>
          <w:color w:val="auto"/>
          <w:highlight w:val="none"/>
        </w:rPr>
        <w:t>投标人须知前附表规定递交投标保证金的，投标人在递交投标文件的同时，应按投标人须知前附表规定的金额</w:t>
      </w:r>
      <w:r>
        <w:rPr>
          <w:rFonts w:hint="eastAsia"/>
          <w:color w:val="auto"/>
          <w:highlight w:val="none"/>
          <w:lang w:eastAsia="zh-CN"/>
        </w:rPr>
        <w:t>、</w:t>
      </w:r>
      <w:r>
        <w:rPr>
          <w:rFonts w:hint="eastAsia"/>
          <w:color w:val="auto"/>
          <w:highlight w:val="none"/>
        </w:rPr>
        <w:t>形式递交投标保证金，并作为其投标文件的组成部分。</w:t>
      </w:r>
      <w:r>
        <w:rPr>
          <w:rFonts w:hint="eastAsia"/>
          <w:color w:val="auto"/>
          <w:highlight w:val="none"/>
          <w:lang w:val="en-US" w:eastAsia="zh-CN"/>
        </w:rPr>
        <w:t>联合体投标的，其投标保证金可以由牵头人递交，并应符合投标人须知前附表的规定。</w:t>
      </w:r>
    </w:p>
    <w:p w14:paraId="2D152F6D">
      <w:pPr>
        <w:bidi w:val="0"/>
        <w:rPr>
          <w:rFonts w:hint="eastAsia"/>
          <w:color w:val="auto"/>
          <w:highlight w:val="none"/>
          <w:lang w:val="en-US" w:eastAsia="zh-CN"/>
        </w:rPr>
      </w:pPr>
      <w:r>
        <w:rPr>
          <w:rFonts w:hint="eastAsia"/>
          <w:color w:val="auto"/>
          <w:highlight w:val="none"/>
          <w:lang w:val="en-US" w:eastAsia="zh-CN"/>
        </w:rPr>
        <w:t>3.4.2  投标人不按本章第 3.4.1项要求提交投标保证金的，评标委员会将否决其投标。</w:t>
      </w:r>
    </w:p>
    <w:p w14:paraId="4A6229F6">
      <w:pPr>
        <w:bidi w:val="0"/>
        <w:rPr>
          <w:rFonts w:hint="eastAsia"/>
          <w:color w:val="auto"/>
          <w:highlight w:val="none"/>
          <w:lang w:val="en-US" w:eastAsia="zh-CN"/>
        </w:rPr>
      </w:pPr>
      <w:r>
        <w:rPr>
          <w:rFonts w:hint="eastAsia"/>
          <w:color w:val="auto"/>
          <w:highlight w:val="none"/>
          <w:lang w:val="en-US" w:eastAsia="zh-CN"/>
        </w:rPr>
        <w:t xml:space="preserve">3.4.3  </w:t>
      </w:r>
      <w:r>
        <w:rPr>
          <w:rFonts w:hint="eastAsia"/>
          <w:color w:val="auto"/>
          <w:highlight w:val="none"/>
        </w:rPr>
        <w:t>投标保证金退还：见投标人须知前附表</w:t>
      </w:r>
      <w:r>
        <w:rPr>
          <w:rFonts w:hint="eastAsia"/>
          <w:color w:val="auto"/>
          <w:highlight w:val="none"/>
          <w:lang w:val="en-US" w:eastAsia="zh-CN"/>
        </w:rPr>
        <w:t>3.4.1</w:t>
      </w:r>
      <w:r>
        <w:rPr>
          <w:rFonts w:hint="eastAsia"/>
          <w:color w:val="auto"/>
          <w:highlight w:val="none"/>
        </w:rPr>
        <w:t>。</w:t>
      </w:r>
    </w:p>
    <w:p w14:paraId="22406C9E">
      <w:pPr>
        <w:bidi w:val="0"/>
        <w:rPr>
          <w:rFonts w:hint="eastAsia"/>
          <w:color w:val="auto"/>
          <w:highlight w:val="none"/>
          <w:lang w:val="en-US" w:eastAsia="zh-CN"/>
        </w:rPr>
      </w:pPr>
      <w:r>
        <w:rPr>
          <w:rFonts w:hint="eastAsia"/>
          <w:color w:val="auto"/>
          <w:highlight w:val="none"/>
          <w:lang w:val="en-US" w:eastAsia="zh-CN"/>
        </w:rPr>
        <w:t>3.4.4  有下列情形之一的，投标保证金将不予退还：</w:t>
      </w:r>
    </w:p>
    <w:p w14:paraId="5D5CB0C8">
      <w:pPr>
        <w:bidi w:val="0"/>
        <w:rPr>
          <w:rFonts w:hint="eastAsia"/>
          <w:color w:val="auto"/>
          <w:highlight w:val="none"/>
          <w:lang w:val="en-US" w:eastAsia="zh-CN"/>
        </w:rPr>
      </w:pPr>
      <w:r>
        <w:rPr>
          <w:rFonts w:hint="eastAsia"/>
          <w:color w:val="auto"/>
          <w:highlight w:val="none"/>
          <w:lang w:val="en-US" w:eastAsia="zh-CN"/>
        </w:rPr>
        <w:t>（1）投标人在投标有效期内撤销投标文件；</w:t>
      </w:r>
    </w:p>
    <w:p w14:paraId="62ECAA3D">
      <w:pPr>
        <w:bidi w:val="0"/>
        <w:rPr>
          <w:rFonts w:hint="eastAsia"/>
          <w:color w:val="auto"/>
          <w:highlight w:val="none"/>
          <w:lang w:val="en-US" w:eastAsia="zh-CN"/>
        </w:rPr>
      </w:pPr>
      <w:r>
        <w:rPr>
          <w:rFonts w:hint="eastAsia"/>
          <w:color w:val="auto"/>
          <w:highlight w:val="none"/>
          <w:lang w:val="en-US" w:eastAsia="zh-CN"/>
        </w:rPr>
        <w:t>（2）中标人在收到中标通知书后，无正当理由不与招标人订立合同，在签订合同时向招标人提出附加条件，或者不按照招标文件要求提交履约保证金；</w:t>
      </w:r>
    </w:p>
    <w:p w14:paraId="3F33D4E1">
      <w:pPr>
        <w:bidi w:val="0"/>
        <w:rPr>
          <w:rFonts w:hint="eastAsia"/>
          <w:color w:val="auto"/>
          <w:highlight w:val="none"/>
        </w:rPr>
      </w:pPr>
      <w:r>
        <w:rPr>
          <w:rFonts w:hint="eastAsia"/>
          <w:color w:val="auto"/>
          <w:highlight w:val="none"/>
          <w:lang w:val="en-US" w:eastAsia="zh-CN"/>
        </w:rPr>
        <w:t>（3）</w:t>
      </w:r>
      <w:r>
        <w:rPr>
          <w:rFonts w:hint="eastAsia"/>
          <w:color w:val="auto"/>
          <w:highlight w:val="none"/>
        </w:rPr>
        <w:t>投标人在投标过程中弄虚作假，提供虚假材料的；</w:t>
      </w:r>
    </w:p>
    <w:p w14:paraId="38EAD66B">
      <w:pPr>
        <w:bidi w:val="0"/>
        <w:rPr>
          <w:rFonts w:hint="eastAsia"/>
          <w:color w:val="auto"/>
          <w:highlight w:val="none"/>
        </w:rPr>
      </w:pPr>
      <w:r>
        <w:rPr>
          <w:rFonts w:hint="eastAsia"/>
          <w:color w:val="auto"/>
          <w:highlight w:val="none"/>
          <w:lang w:val="en-US" w:eastAsia="zh-CN"/>
        </w:rPr>
        <w:t>（4）</w:t>
      </w:r>
      <w:r>
        <w:rPr>
          <w:rFonts w:hint="eastAsia"/>
          <w:color w:val="auto"/>
          <w:highlight w:val="none"/>
          <w:lang w:eastAsia="zh-CN"/>
        </w:rPr>
        <w:t>中标</w:t>
      </w:r>
      <w:r>
        <w:rPr>
          <w:rFonts w:hint="eastAsia"/>
          <w:color w:val="auto"/>
          <w:highlight w:val="none"/>
        </w:rPr>
        <w:t>人将</w:t>
      </w:r>
      <w:r>
        <w:rPr>
          <w:rFonts w:hint="eastAsia"/>
          <w:color w:val="auto"/>
          <w:highlight w:val="none"/>
          <w:lang w:eastAsia="zh-CN"/>
        </w:rPr>
        <w:t>中标</w:t>
      </w:r>
      <w:r>
        <w:rPr>
          <w:rFonts w:hint="eastAsia"/>
          <w:color w:val="auto"/>
          <w:highlight w:val="none"/>
        </w:rPr>
        <w:t>项目转让给他人或者在投标文件中未说明且未经</w:t>
      </w:r>
      <w:r>
        <w:rPr>
          <w:rFonts w:hint="eastAsia"/>
          <w:color w:val="auto"/>
          <w:highlight w:val="none"/>
          <w:lang w:val="en-US" w:eastAsia="zh-CN"/>
        </w:rPr>
        <w:t>招标</w:t>
      </w:r>
      <w:r>
        <w:rPr>
          <w:rFonts w:hint="eastAsia"/>
          <w:color w:val="auto"/>
          <w:highlight w:val="none"/>
        </w:rPr>
        <w:t>单位同意，将</w:t>
      </w:r>
      <w:r>
        <w:rPr>
          <w:rFonts w:hint="eastAsia"/>
          <w:color w:val="auto"/>
          <w:highlight w:val="none"/>
          <w:lang w:eastAsia="zh-CN"/>
        </w:rPr>
        <w:t>中标</w:t>
      </w:r>
      <w:r>
        <w:rPr>
          <w:rFonts w:hint="eastAsia"/>
          <w:color w:val="auto"/>
          <w:highlight w:val="none"/>
        </w:rPr>
        <w:t>项目分包给他人的；</w:t>
      </w:r>
    </w:p>
    <w:p w14:paraId="508B0ED8">
      <w:pPr>
        <w:bidi w:val="0"/>
        <w:rPr>
          <w:rFonts w:hint="eastAsia"/>
          <w:color w:val="auto"/>
          <w:highlight w:val="none"/>
          <w:lang w:val="en-US" w:eastAsia="zh-CN"/>
        </w:rPr>
      </w:pPr>
      <w:r>
        <w:rPr>
          <w:rFonts w:hint="eastAsia"/>
          <w:color w:val="auto"/>
          <w:highlight w:val="none"/>
          <w:lang w:val="en-US" w:eastAsia="zh-CN"/>
        </w:rPr>
        <w:t>（5）</w:t>
      </w:r>
      <w:r>
        <w:rPr>
          <w:rFonts w:hint="eastAsia"/>
          <w:color w:val="auto"/>
          <w:highlight w:val="none"/>
        </w:rPr>
        <w:t>其他严重扰乱</w:t>
      </w:r>
      <w:r>
        <w:rPr>
          <w:rFonts w:hint="eastAsia"/>
          <w:color w:val="auto"/>
          <w:highlight w:val="none"/>
          <w:lang w:val="en-US" w:eastAsia="zh-CN"/>
        </w:rPr>
        <w:t>招标投标</w:t>
      </w:r>
      <w:r>
        <w:rPr>
          <w:rFonts w:hint="eastAsia"/>
          <w:color w:val="auto"/>
          <w:highlight w:val="none"/>
        </w:rPr>
        <w:t>程序的；</w:t>
      </w:r>
    </w:p>
    <w:p w14:paraId="1C8B3427">
      <w:pPr>
        <w:bidi w:val="0"/>
        <w:rPr>
          <w:rFonts w:hint="eastAsia"/>
          <w:color w:val="auto"/>
          <w:highlight w:val="none"/>
          <w:lang w:val="en-US" w:eastAsia="zh-CN"/>
        </w:rPr>
      </w:pPr>
      <w:bookmarkStart w:id="133" w:name="_bookmark43"/>
      <w:bookmarkEnd w:id="133"/>
      <w:r>
        <w:rPr>
          <w:rFonts w:hint="eastAsia"/>
          <w:color w:val="auto"/>
          <w:highlight w:val="none"/>
          <w:lang w:val="en-US" w:eastAsia="zh-CN"/>
        </w:rPr>
        <w:t>（6）发生投标人须知前附表规定的其他可以不予退还投标保证金的情形。</w:t>
      </w:r>
    </w:p>
    <w:p w14:paraId="7915ED63">
      <w:pPr>
        <w:pStyle w:val="4"/>
        <w:bidi w:val="0"/>
        <w:rPr>
          <w:rFonts w:hint="eastAsia"/>
          <w:color w:val="auto"/>
          <w:highlight w:val="none"/>
          <w:lang w:val="en-US" w:eastAsia="zh-CN"/>
        </w:rPr>
      </w:pPr>
      <w:bookmarkStart w:id="134" w:name="_Toc57820583"/>
      <w:bookmarkStart w:id="135" w:name="_Toc509218733"/>
      <w:bookmarkStart w:id="136" w:name="_Toc287620708"/>
      <w:bookmarkStart w:id="137" w:name="_Toc224103340"/>
      <w:bookmarkStart w:id="138" w:name="_Toc430530458"/>
      <w:bookmarkStart w:id="139" w:name="_Toc287607769"/>
      <w:bookmarkStart w:id="140" w:name="_Toc277082575"/>
      <w:bookmarkStart w:id="141" w:name="_Toc200513149"/>
      <w:bookmarkStart w:id="142" w:name="_Toc9521"/>
      <w:r>
        <w:rPr>
          <w:rFonts w:hint="eastAsia"/>
          <w:color w:val="auto"/>
          <w:highlight w:val="none"/>
          <w:lang w:val="en-US" w:eastAsia="zh-CN"/>
        </w:rPr>
        <w:t>3.5</w:t>
      </w:r>
      <w:bookmarkEnd w:id="134"/>
      <w:bookmarkEnd w:id="135"/>
      <w:bookmarkEnd w:id="136"/>
      <w:bookmarkEnd w:id="137"/>
      <w:bookmarkEnd w:id="138"/>
      <w:bookmarkEnd w:id="139"/>
      <w:bookmarkEnd w:id="140"/>
      <w:bookmarkEnd w:id="141"/>
      <w:bookmarkStart w:id="143" w:name="_Toc200513150"/>
      <w:bookmarkStart w:id="144" w:name="_Toc287620709"/>
      <w:bookmarkStart w:id="145" w:name="_Toc509218734"/>
      <w:bookmarkStart w:id="146" w:name="_Toc277082576"/>
      <w:bookmarkStart w:id="147" w:name="_Toc224103341"/>
      <w:bookmarkStart w:id="148" w:name="_Toc57820584"/>
      <w:bookmarkStart w:id="149" w:name="_Toc430530459"/>
      <w:bookmarkStart w:id="150" w:name="_Toc287607770"/>
      <w:r>
        <w:rPr>
          <w:rFonts w:hint="eastAsia"/>
          <w:color w:val="auto"/>
          <w:highlight w:val="none"/>
          <w:lang w:val="en-US" w:eastAsia="zh-CN"/>
        </w:rPr>
        <w:t xml:space="preserve"> 资格审查资料</w:t>
      </w:r>
      <w:bookmarkEnd w:id="142"/>
      <w:bookmarkEnd w:id="143"/>
      <w:bookmarkEnd w:id="144"/>
      <w:bookmarkEnd w:id="145"/>
      <w:bookmarkEnd w:id="146"/>
      <w:bookmarkEnd w:id="147"/>
      <w:bookmarkEnd w:id="148"/>
      <w:bookmarkEnd w:id="149"/>
      <w:bookmarkEnd w:id="150"/>
    </w:p>
    <w:p w14:paraId="1B09A1DB">
      <w:pPr>
        <w:bidi w:val="0"/>
        <w:rPr>
          <w:rFonts w:hint="eastAsia"/>
          <w:color w:val="auto"/>
          <w:highlight w:val="none"/>
        </w:rPr>
      </w:pPr>
      <w:r>
        <w:rPr>
          <w:rFonts w:hint="eastAsia"/>
          <w:color w:val="auto"/>
          <w:highlight w:val="none"/>
        </w:rPr>
        <w:t>投标人应附投标人须知前附表第1.4.1项中要求的相关证明材料。</w:t>
      </w:r>
    </w:p>
    <w:p w14:paraId="5965BAB6">
      <w:pPr>
        <w:bidi w:val="0"/>
        <w:rPr>
          <w:rFonts w:hint="eastAsia"/>
          <w:color w:val="auto"/>
          <w:highlight w:val="none"/>
        </w:rPr>
      </w:pPr>
      <w:r>
        <w:rPr>
          <w:rFonts w:hint="eastAsia"/>
          <w:color w:val="auto"/>
          <w:highlight w:val="none"/>
        </w:rPr>
        <w:t>投标人须知前附表规定接受联合体投标的，详见投标人须知前附表联合体投标相关内容。</w:t>
      </w:r>
    </w:p>
    <w:p w14:paraId="5E5DD107">
      <w:pPr>
        <w:pStyle w:val="4"/>
        <w:bidi w:val="0"/>
        <w:rPr>
          <w:rFonts w:hint="eastAsia"/>
          <w:color w:val="auto"/>
          <w:highlight w:val="none"/>
          <w:lang w:val="en-US" w:eastAsia="zh-CN"/>
        </w:rPr>
      </w:pPr>
      <w:bookmarkStart w:id="151" w:name="_Toc4732"/>
      <w:bookmarkStart w:id="152" w:name="_Toc14897"/>
      <w:r>
        <w:rPr>
          <w:rFonts w:hint="eastAsia"/>
          <w:color w:val="auto"/>
          <w:highlight w:val="none"/>
          <w:lang w:val="en-US" w:eastAsia="zh-CN"/>
        </w:rPr>
        <w:t>3.6 备选投标方案</w:t>
      </w:r>
      <w:bookmarkEnd w:id="151"/>
      <w:bookmarkEnd w:id="152"/>
    </w:p>
    <w:p w14:paraId="74813829">
      <w:pPr>
        <w:bidi w:val="0"/>
        <w:rPr>
          <w:rFonts w:hint="eastAsia"/>
          <w:color w:val="auto"/>
          <w:highlight w:val="none"/>
        </w:rPr>
      </w:pPr>
      <w:r>
        <w:rPr>
          <w:rFonts w:hint="eastAsia"/>
          <w:color w:val="auto"/>
          <w:highlight w:val="none"/>
        </w:rPr>
        <w:t>除投标人须知前附表另有规定外，投标人不得递交备选投标方案。允许投标人递交备选投标方案的，只有中标人所递交的备选投标方案方可予以考虑。评标委员会认为中标人的备 选投标方案优于其按照招标文件要求编制的投标方案的，招标人可以接受该备选投标方案。</w:t>
      </w:r>
    </w:p>
    <w:p w14:paraId="3628A432">
      <w:pPr>
        <w:pStyle w:val="4"/>
        <w:bidi w:val="0"/>
        <w:rPr>
          <w:rFonts w:hint="eastAsia"/>
          <w:color w:val="auto"/>
          <w:highlight w:val="none"/>
          <w:lang w:val="en-US" w:eastAsia="zh-CN"/>
        </w:rPr>
      </w:pPr>
      <w:bookmarkStart w:id="153" w:name="_Toc32122"/>
      <w:bookmarkStart w:id="154" w:name="_Toc2382"/>
      <w:r>
        <w:rPr>
          <w:rFonts w:hint="eastAsia"/>
          <w:color w:val="auto"/>
          <w:highlight w:val="none"/>
          <w:lang w:val="en-US" w:eastAsia="zh-CN"/>
        </w:rPr>
        <w:t>3.7 投标文件的编制</w:t>
      </w:r>
      <w:bookmarkEnd w:id="153"/>
      <w:bookmarkEnd w:id="154"/>
    </w:p>
    <w:p w14:paraId="0E6B7B9C">
      <w:pPr>
        <w:bidi w:val="0"/>
        <w:rPr>
          <w:rFonts w:hint="eastAsia"/>
          <w:color w:val="auto"/>
          <w:highlight w:val="none"/>
        </w:rPr>
      </w:pPr>
      <w:r>
        <w:rPr>
          <w:rFonts w:hint="eastAsia"/>
          <w:color w:val="auto"/>
          <w:highlight w:val="none"/>
        </w:rPr>
        <w:t>3.7.1  投标文件应按第</w:t>
      </w:r>
      <w:r>
        <w:rPr>
          <w:rFonts w:hint="eastAsia"/>
          <w:color w:val="auto"/>
          <w:highlight w:val="none"/>
          <w:lang w:val="en-US" w:eastAsia="zh-CN"/>
        </w:rPr>
        <w:t>六</w:t>
      </w:r>
      <w:r>
        <w:rPr>
          <w:rFonts w:hint="eastAsia"/>
          <w:color w:val="auto"/>
          <w:highlight w:val="none"/>
        </w:rPr>
        <w:t>章“投标文件格式”进行编写，如有必要，可以增加附页，作为投标文件的组成部分。</w:t>
      </w:r>
    </w:p>
    <w:p w14:paraId="2AD70B50">
      <w:pPr>
        <w:bidi w:val="0"/>
        <w:rPr>
          <w:rFonts w:hint="eastAsia"/>
          <w:color w:val="auto"/>
          <w:highlight w:val="none"/>
        </w:rPr>
      </w:pPr>
      <w:r>
        <w:rPr>
          <w:rFonts w:hint="eastAsia"/>
          <w:color w:val="auto"/>
          <w:highlight w:val="none"/>
        </w:rPr>
        <w:t>3.7.2  投标文件应当对招标文件有关</w:t>
      </w:r>
      <w:r>
        <w:rPr>
          <w:rFonts w:hint="eastAsia"/>
          <w:color w:val="auto"/>
          <w:highlight w:val="none"/>
          <w:lang w:val="en-US" w:eastAsia="zh-CN"/>
        </w:rPr>
        <w:t>供货期</w:t>
      </w:r>
      <w:r>
        <w:rPr>
          <w:rFonts w:hint="eastAsia"/>
          <w:color w:val="auto"/>
          <w:highlight w:val="none"/>
        </w:rPr>
        <w:t>、投标有效期、</w:t>
      </w:r>
      <w:r>
        <w:rPr>
          <w:rFonts w:hint="eastAsia"/>
          <w:color w:val="auto"/>
          <w:highlight w:val="none"/>
          <w:lang w:val="en-US" w:eastAsia="zh-CN"/>
        </w:rPr>
        <w:t>供货</w:t>
      </w:r>
      <w:r>
        <w:rPr>
          <w:rFonts w:hint="eastAsia"/>
          <w:color w:val="auto"/>
          <w:highlight w:val="none"/>
        </w:rPr>
        <w:t>要求、招标范围等实质性内容做出响应。</w:t>
      </w:r>
    </w:p>
    <w:p w14:paraId="538A82E1">
      <w:pPr>
        <w:bidi w:val="0"/>
        <w:rPr>
          <w:rFonts w:hint="eastAsia"/>
          <w:color w:val="auto"/>
          <w:highlight w:val="none"/>
        </w:rPr>
      </w:pPr>
      <w:r>
        <w:rPr>
          <w:rFonts w:hint="eastAsia"/>
          <w:color w:val="auto"/>
          <w:highlight w:val="none"/>
        </w:rPr>
        <w:t>3.7.3  投标文件的</w:t>
      </w:r>
      <w:r>
        <w:rPr>
          <w:rFonts w:hint="eastAsia"/>
          <w:color w:val="auto"/>
          <w:highlight w:val="none"/>
          <w:lang w:eastAsia="zh-CN"/>
        </w:rPr>
        <w:t>签字</w:t>
      </w:r>
      <w:r>
        <w:rPr>
          <w:rFonts w:hint="eastAsia"/>
          <w:color w:val="auto"/>
          <w:highlight w:val="none"/>
        </w:rPr>
        <w:t>盖章要求：按本章投标人须知前附表第3.7.3项执行。</w:t>
      </w:r>
    </w:p>
    <w:p w14:paraId="5EA50F50">
      <w:pPr>
        <w:bidi w:val="0"/>
        <w:rPr>
          <w:rFonts w:hint="eastAsia"/>
          <w:color w:val="auto"/>
          <w:highlight w:val="none"/>
        </w:rPr>
      </w:pPr>
      <w:r>
        <w:rPr>
          <w:rFonts w:hint="eastAsia"/>
          <w:color w:val="auto"/>
          <w:highlight w:val="none"/>
        </w:rPr>
        <w:t>3.7.4  投标文件份数：投标人网上提交加密投标文件一份。</w:t>
      </w:r>
    </w:p>
    <w:p w14:paraId="75A0DAE5">
      <w:pPr>
        <w:bidi w:val="0"/>
        <w:rPr>
          <w:rFonts w:hint="eastAsia"/>
          <w:color w:val="auto"/>
          <w:highlight w:val="none"/>
        </w:rPr>
      </w:pPr>
      <w:r>
        <w:rPr>
          <w:rFonts w:hint="eastAsia"/>
          <w:color w:val="auto"/>
          <w:highlight w:val="none"/>
        </w:rPr>
        <w:t>3.7.5  投标文件应按规定格式排版，并编制目录，具体编制要求见投标人须知前附表规定。</w:t>
      </w:r>
    </w:p>
    <w:p w14:paraId="796C0A5B">
      <w:pPr>
        <w:pStyle w:val="3"/>
        <w:bidi w:val="0"/>
        <w:rPr>
          <w:rFonts w:hint="eastAsia"/>
          <w:color w:val="auto"/>
          <w:highlight w:val="none"/>
          <w:lang w:val="en-US" w:eastAsia="zh-CN"/>
        </w:rPr>
      </w:pPr>
      <w:bookmarkStart w:id="155" w:name="_bookmark48"/>
      <w:bookmarkEnd w:id="155"/>
      <w:bookmarkStart w:id="156" w:name="_bookmark47"/>
      <w:bookmarkEnd w:id="156"/>
      <w:bookmarkStart w:id="157" w:name="_Toc11693"/>
      <w:bookmarkStart w:id="158" w:name="_Toc31255"/>
      <w:bookmarkStart w:id="159" w:name="_Toc12514"/>
      <w:r>
        <w:rPr>
          <w:rFonts w:hint="eastAsia"/>
          <w:color w:val="auto"/>
          <w:highlight w:val="none"/>
          <w:lang w:val="en-US" w:eastAsia="zh-CN"/>
        </w:rPr>
        <w:t>4.投标</w:t>
      </w:r>
      <w:bookmarkEnd w:id="157"/>
      <w:bookmarkEnd w:id="158"/>
      <w:bookmarkEnd w:id="159"/>
    </w:p>
    <w:p w14:paraId="3FB577F4">
      <w:pPr>
        <w:pStyle w:val="4"/>
        <w:bidi w:val="0"/>
        <w:rPr>
          <w:rFonts w:hint="eastAsia"/>
          <w:color w:val="auto"/>
          <w:highlight w:val="none"/>
          <w:lang w:val="en-US" w:eastAsia="zh-CN"/>
        </w:rPr>
      </w:pPr>
      <w:bookmarkStart w:id="160" w:name="_Toc27678"/>
      <w:bookmarkStart w:id="161" w:name="_Toc11566"/>
      <w:r>
        <w:rPr>
          <w:rFonts w:hint="eastAsia"/>
          <w:color w:val="auto"/>
          <w:highlight w:val="none"/>
          <w:lang w:val="en-US" w:eastAsia="zh-CN"/>
        </w:rPr>
        <w:t>4.1 投标文件的密封和标记</w:t>
      </w:r>
      <w:bookmarkEnd w:id="160"/>
      <w:bookmarkEnd w:id="161"/>
    </w:p>
    <w:p w14:paraId="3B69379A">
      <w:pPr>
        <w:bidi w:val="0"/>
        <w:rPr>
          <w:rFonts w:hint="eastAsia"/>
          <w:color w:val="auto"/>
          <w:highlight w:val="none"/>
          <w:lang w:val="en-US" w:eastAsia="zh-CN"/>
        </w:rPr>
      </w:pPr>
      <w:r>
        <w:rPr>
          <w:rFonts w:hint="eastAsia"/>
          <w:color w:val="auto"/>
          <w:highlight w:val="none"/>
          <w:lang w:val="en-US" w:eastAsia="zh-CN"/>
        </w:rPr>
        <w:t>4.1.1 投标文件的密封：见投标人须知前附表。</w:t>
      </w:r>
    </w:p>
    <w:p w14:paraId="1C622992">
      <w:pPr>
        <w:bidi w:val="0"/>
        <w:rPr>
          <w:rFonts w:hint="eastAsia"/>
          <w:color w:val="auto"/>
          <w:highlight w:val="none"/>
          <w:lang w:val="en-US" w:eastAsia="zh-CN"/>
        </w:rPr>
      </w:pPr>
      <w:r>
        <w:rPr>
          <w:rFonts w:hint="eastAsia"/>
          <w:color w:val="auto"/>
          <w:highlight w:val="none"/>
          <w:lang w:val="en-US" w:eastAsia="zh-CN"/>
        </w:rPr>
        <w:t>4.1.2  投标文件封套上应写明的内容见投标人须知前附表。</w:t>
      </w:r>
    </w:p>
    <w:p w14:paraId="0A1BCEAA">
      <w:pPr>
        <w:bidi w:val="0"/>
        <w:rPr>
          <w:rFonts w:hint="eastAsia"/>
          <w:color w:val="auto"/>
          <w:highlight w:val="none"/>
          <w:lang w:val="en-US" w:eastAsia="zh-CN"/>
        </w:rPr>
      </w:pPr>
      <w:bookmarkStart w:id="162" w:name="_bookmark49"/>
      <w:bookmarkEnd w:id="162"/>
      <w:r>
        <w:rPr>
          <w:rFonts w:hint="eastAsia"/>
          <w:color w:val="auto"/>
          <w:highlight w:val="none"/>
          <w:lang w:val="en-US" w:eastAsia="zh-CN"/>
        </w:rPr>
        <w:t>4.1.3  未按本章第 4.1.1 项要求密封的投标文件，招标人将予以拒收。</w:t>
      </w:r>
    </w:p>
    <w:p w14:paraId="5BAC4CAB">
      <w:pPr>
        <w:pStyle w:val="4"/>
        <w:bidi w:val="0"/>
        <w:rPr>
          <w:rFonts w:hint="eastAsia"/>
          <w:color w:val="auto"/>
          <w:highlight w:val="none"/>
          <w:lang w:val="en-US" w:eastAsia="zh-CN"/>
        </w:rPr>
      </w:pPr>
      <w:bookmarkStart w:id="163" w:name="_Toc19492"/>
      <w:bookmarkStart w:id="164" w:name="_Toc13315"/>
      <w:r>
        <w:rPr>
          <w:rFonts w:hint="eastAsia"/>
          <w:color w:val="auto"/>
          <w:highlight w:val="none"/>
          <w:lang w:val="en-US" w:eastAsia="zh-CN"/>
        </w:rPr>
        <w:t>4.2 投标文件的递交</w:t>
      </w:r>
      <w:bookmarkEnd w:id="163"/>
      <w:bookmarkEnd w:id="164"/>
    </w:p>
    <w:p w14:paraId="1795CBB0">
      <w:pPr>
        <w:bidi w:val="0"/>
        <w:rPr>
          <w:rFonts w:hint="eastAsia"/>
          <w:color w:val="auto"/>
          <w:highlight w:val="none"/>
          <w:lang w:val="en-US" w:eastAsia="zh-CN"/>
        </w:rPr>
      </w:pPr>
      <w:r>
        <w:rPr>
          <w:rFonts w:hint="eastAsia"/>
          <w:color w:val="auto"/>
          <w:highlight w:val="none"/>
          <w:lang w:val="en-US" w:eastAsia="zh-CN"/>
        </w:rPr>
        <w:t>4.2.1  投标人应在投标人须知前附表规定的投标截止时间前递交投标文件。</w:t>
      </w:r>
    </w:p>
    <w:p w14:paraId="520C16CB">
      <w:pPr>
        <w:bidi w:val="0"/>
        <w:rPr>
          <w:rFonts w:hint="eastAsia"/>
          <w:color w:val="auto"/>
          <w:highlight w:val="none"/>
          <w:lang w:val="en-US" w:eastAsia="zh-CN"/>
        </w:rPr>
      </w:pPr>
      <w:r>
        <w:rPr>
          <w:rFonts w:hint="eastAsia"/>
          <w:color w:val="auto"/>
          <w:highlight w:val="none"/>
          <w:lang w:val="en-US" w:eastAsia="zh-CN"/>
        </w:rPr>
        <w:t xml:space="preserve">4.2.2  </w:t>
      </w:r>
      <w:r>
        <w:rPr>
          <w:rFonts w:hint="eastAsia"/>
          <w:color w:val="auto"/>
          <w:highlight w:val="none"/>
        </w:rPr>
        <w:t>投标人递交投标文件的地点：见投标人须知前附表。</w:t>
      </w:r>
    </w:p>
    <w:p w14:paraId="6B3DFB01">
      <w:pPr>
        <w:bidi w:val="0"/>
        <w:rPr>
          <w:rFonts w:hint="eastAsia"/>
          <w:color w:val="auto"/>
          <w:highlight w:val="none"/>
          <w:lang w:val="en-US" w:eastAsia="zh-CN"/>
        </w:rPr>
      </w:pPr>
      <w:r>
        <w:rPr>
          <w:rFonts w:hint="eastAsia"/>
          <w:color w:val="auto"/>
          <w:highlight w:val="none"/>
          <w:lang w:val="en-US" w:eastAsia="zh-CN"/>
        </w:rPr>
        <w:t>4.2.3  除投标人须知前附表另有规定外，投标人所递交的投标文件不予退还。</w:t>
      </w:r>
    </w:p>
    <w:p w14:paraId="401234F1">
      <w:pPr>
        <w:bidi w:val="0"/>
        <w:rPr>
          <w:rFonts w:hint="eastAsia"/>
          <w:color w:val="auto"/>
          <w:highlight w:val="none"/>
          <w:lang w:val="en-US" w:eastAsia="zh-CN"/>
        </w:rPr>
      </w:pPr>
      <w:r>
        <w:rPr>
          <w:rFonts w:hint="eastAsia"/>
          <w:color w:val="auto"/>
          <w:highlight w:val="none"/>
          <w:lang w:val="en-US" w:eastAsia="zh-CN"/>
        </w:rPr>
        <w:t>4.2.4 逾期送达的投标文件，不予接收。</w:t>
      </w:r>
    </w:p>
    <w:p w14:paraId="3E815B53">
      <w:pPr>
        <w:pStyle w:val="4"/>
        <w:bidi w:val="0"/>
        <w:rPr>
          <w:rFonts w:hint="eastAsia"/>
          <w:color w:val="auto"/>
          <w:highlight w:val="none"/>
          <w:lang w:val="en-US" w:eastAsia="zh-CN"/>
        </w:rPr>
      </w:pPr>
      <w:bookmarkStart w:id="165" w:name="_bookmark50"/>
      <w:bookmarkEnd w:id="165"/>
      <w:bookmarkStart w:id="166" w:name="_Toc180"/>
      <w:bookmarkStart w:id="167" w:name="_Toc28129"/>
      <w:r>
        <w:rPr>
          <w:rFonts w:hint="eastAsia"/>
          <w:color w:val="auto"/>
          <w:highlight w:val="none"/>
          <w:lang w:val="en-US" w:eastAsia="zh-CN"/>
        </w:rPr>
        <w:t>4.3 投标文件的修改与撤回</w:t>
      </w:r>
      <w:bookmarkEnd w:id="166"/>
      <w:bookmarkEnd w:id="167"/>
    </w:p>
    <w:p w14:paraId="2302561D">
      <w:pPr>
        <w:bidi w:val="0"/>
        <w:rPr>
          <w:rFonts w:hint="eastAsia"/>
          <w:color w:val="auto"/>
          <w:highlight w:val="none"/>
        </w:rPr>
      </w:pPr>
      <w:r>
        <w:rPr>
          <w:rFonts w:hint="eastAsia"/>
          <w:color w:val="auto"/>
          <w:highlight w:val="none"/>
        </w:rPr>
        <w:t>在投标人须知前附表第</w:t>
      </w:r>
      <w:r>
        <w:rPr>
          <w:rFonts w:hint="eastAsia"/>
          <w:color w:val="auto"/>
          <w:highlight w:val="none"/>
          <w:lang w:val="en-US" w:eastAsia="zh-CN"/>
        </w:rPr>
        <w:t>4</w:t>
      </w:r>
      <w:r>
        <w:rPr>
          <w:rFonts w:hint="eastAsia"/>
          <w:color w:val="auto"/>
          <w:highlight w:val="none"/>
        </w:rPr>
        <w:t>.2.</w:t>
      </w:r>
      <w:r>
        <w:rPr>
          <w:rFonts w:hint="eastAsia"/>
          <w:color w:val="auto"/>
          <w:highlight w:val="none"/>
          <w:lang w:val="en-US" w:eastAsia="zh-CN"/>
        </w:rPr>
        <w:t>1</w:t>
      </w:r>
      <w:r>
        <w:rPr>
          <w:rFonts w:hint="eastAsia"/>
          <w:color w:val="auto"/>
          <w:highlight w:val="none"/>
        </w:rPr>
        <w:t>项规定的投标截止时间前，投标人可以修改或撤回已递交的投标文件。投标人修改投标文件的，应按照本章第 3.7.3 项的要求重新对投标文件进行</w:t>
      </w:r>
      <w:r>
        <w:rPr>
          <w:rFonts w:hint="eastAsia"/>
          <w:color w:val="auto"/>
          <w:highlight w:val="none"/>
          <w:lang w:val="en-US" w:eastAsia="zh-CN"/>
        </w:rPr>
        <w:t>签字或盖</w:t>
      </w:r>
      <w:r>
        <w:rPr>
          <w:rFonts w:hint="eastAsia"/>
          <w:color w:val="auto"/>
          <w:highlight w:val="none"/>
        </w:rPr>
        <w:t>章，再按照本章第 4.2 款的要求提交。</w:t>
      </w:r>
    </w:p>
    <w:p w14:paraId="29B75637">
      <w:pPr>
        <w:pStyle w:val="3"/>
        <w:bidi w:val="0"/>
        <w:rPr>
          <w:rFonts w:hint="eastAsia"/>
          <w:color w:val="auto"/>
          <w:highlight w:val="none"/>
          <w:lang w:val="en-US" w:eastAsia="zh-CN"/>
        </w:rPr>
      </w:pPr>
      <w:bookmarkStart w:id="168" w:name="_bookmark52"/>
      <w:bookmarkEnd w:id="168"/>
      <w:bookmarkStart w:id="169" w:name="_bookmark51"/>
      <w:bookmarkEnd w:id="169"/>
      <w:bookmarkStart w:id="170" w:name="_Toc12556"/>
      <w:bookmarkStart w:id="171" w:name="_Toc20762"/>
      <w:bookmarkStart w:id="172" w:name="_Toc2341"/>
      <w:r>
        <w:rPr>
          <w:rFonts w:hint="eastAsia"/>
          <w:color w:val="auto"/>
          <w:highlight w:val="none"/>
          <w:lang w:val="en-US" w:eastAsia="zh-CN"/>
        </w:rPr>
        <w:t>5.开标</w:t>
      </w:r>
      <w:bookmarkEnd w:id="170"/>
      <w:bookmarkEnd w:id="171"/>
      <w:bookmarkEnd w:id="172"/>
    </w:p>
    <w:p w14:paraId="67000FF9">
      <w:pPr>
        <w:pStyle w:val="4"/>
        <w:bidi w:val="0"/>
        <w:rPr>
          <w:rFonts w:hint="eastAsia"/>
          <w:color w:val="auto"/>
          <w:highlight w:val="none"/>
          <w:lang w:val="en-US" w:eastAsia="zh-CN"/>
        </w:rPr>
      </w:pPr>
      <w:bookmarkStart w:id="173" w:name="_bookmark53"/>
      <w:bookmarkEnd w:id="173"/>
      <w:bookmarkStart w:id="174" w:name="_Toc246"/>
      <w:bookmarkStart w:id="175" w:name="_Toc4633"/>
      <w:r>
        <w:rPr>
          <w:rFonts w:hint="eastAsia"/>
          <w:color w:val="auto"/>
          <w:highlight w:val="none"/>
          <w:lang w:val="en-US" w:eastAsia="zh-CN"/>
        </w:rPr>
        <w:t>5.1 开标时间和地点</w:t>
      </w:r>
      <w:bookmarkEnd w:id="174"/>
      <w:bookmarkEnd w:id="175"/>
    </w:p>
    <w:p w14:paraId="4764CA77">
      <w:pPr>
        <w:bidi w:val="0"/>
        <w:rPr>
          <w:rFonts w:hint="eastAsia"/>
          <w:color w:val="auto"/>
          <w:highlight w:val="none"/>
        </w:rPr>
      </w:pPr>
      <w:r>
        <w:rPr>
          <w:rFonts w:hint="eastAsia"/>
          <w:color w:val="auto"/>
          <w:highlight w:val="none"/>
        </w:rPr>
        <w:t xml:space="preserve">5.1.1  招标人在投标人须知前附表第 </w:t>
      </w:r>
      <w:r>
        <w:rPr>
          <w:rFonts w:hint="eastAsia"/>
          <w:color w:val="auto"/>
          <w:highlight w:val="none"/>
          <w:lang w:val="en-US" w:eastAsia="zh-CN"/>
        </w:rPr>
        <w:t>4</w:t>
      </w:r>
      <w:r>
        <w:rPr>
          <w:rFonts w:hint="eastAsia"/>
          <w:color w:val="auto"/>
          <w:highlight w:val="none"/>
        </w:rPr>
        <w:t>.2.</w:t>
      </w:r>
      <w:r>
        <w:rPr>
          <w:rFonts w:hint="eastAsia"/>
          <w:color w:val="auto"/>
          <w:highlight w:val="none"/>
          <w:lang w:val="en-US" w:eastAsia="zh-CN"/>
        </w:rPr>
        <w:t xml:space="preserve">1 </w:t>
      </w:r>
      <w:r>
        <w:rPr>
          <w:rFonts w:hint="eastAsia"/>
          <w:color w:val="auto"/>
          <w:highlight w:val="none"/>
        </w:rPr>
        <w:t>项规定的投标截止时间（开标时间）和投标人须知前附表规定的地点公开开标，并邀请所有投标人的法定代表人或其委托代理人准时参加。</w:t>
      </w:r>
    </w:p>
    <w:p w14:paraId="778BAF28">
      <w:pPr>
        <w:bidi w:val="0"/>
        <w:rPr>
          <w:rFonts w:hint="eastAsia"/>
          <w:color w:val="auto"/>
          <w:highlight w:val="none"/>
        </w:rPr>
      </w:pPr>
      <w:r>
        <w:rPr>
          <w:rFonts w:hint="eastAsia"/>
          <w:color w:val="auto"/>
          <w:highlight w:val="none"/>
        </w:rPr>
        <w:t>5.1.2  投标人在投标人须知前附表规定的</w:t>
      </w:r>
      <w:r>
        <w:rPr>
          <w:rFonts w:hint="eastAsia"/>
          <w:color w:val="auto"/>
          <w:highlight w:val="none"/>
          <w:lang w:val="en-US" w:eastAsia="zh-CN"/>
        </w:rPr>
        <w:t>开标</w:t>
      </w:r>
      <w:r>
        <w:rPr>
          <w:rFonts w:hint="eastAsia"/>
          <w:color w:val="auto"/>
          <w:highlight w:val="none"/>
        </w:rPr>
        <w:t>时间</w:t>
      </w:r>
      <w:r>
        <w:rPr>
          <w:rFonts w:hint="eastAsia"/>
          <w:color w:val="auto"/>
          <w:highlight w:val="none"/>
          <w:lang w:val="en-US" w:eastAsia="zh-CN"/>
        </w:rPr>
        <w:t>前</w:t>
      </w:r>
      <w:r>
        <w:rPr>
          <w:rFonts w:hint="eastAsia"/>
          <w:color w:val="auto"/>
          <w:highlight w:val="none"/>
        </w:rPr>
        <w:t>到开标现场完成投标文件</w:t>
      </w:r>
      <w:r>
        <w:rPr>
          <w:rFonts w:hint="eastAsia"/>
          <w:color w:val="auto"/>
          <w:highlight w:val="none"/>
          <w:lang w:val="en-US" w:eastAsia="zh-CN"/>
        </w:rPr>
        <w:t>的递交</w:t>
      </w:r>
      <w:r>
        <w:rPr>
          <w:rFonts w:hint="eastAsia"/>
          <w:color w:val="auto"/>
          <w:highlight w:val="none"/>
        </w:rPr>
        <w:t>。</w:t>
      </w:r>
    </w:p>
    <w:p w14:paraId="78BAAAE8">
      <w:pPr>
        <w:pStyle w:val="4"/>
        <w:bidi w:val="0"/>
        <w:rPr>
          <w:rFonts w:hint="eastAsia"/>
          <w:color w:val="auto"/>
          <w:highlight w:val="none"/>
          <w:lang w:val="en-US" w:eastAsia="zh-CN"/>
        </w:rPr>
      </w:pPr>
      <w:bookmarkStart w:id="176" w:name="_bookmark54"/>
      <w:bookmarkEnd w:id="176"/>
      <w:bookmarkStart w:id="177" w:name="_Toc4120"/>
      <w:bookmarkStart w:id="178" w:name="_Toc17447"/>
      <w:r>
        <w:rPr>
          <w:rFonts w:hint="eastAsia"/>
          <w:color w:val="auto"/>
          <w:highlight w:val="none"/>
          <w:lang w:val="en-US" w:eastAsia="zh-CN"/>
        </w:rPr>
        <w:t>5.2 开标程序</w:t>
      </w:r>
      <w:bookmarkEnd w:id="177"/>
      <w:bookmarkEnd w:id="178"/>
    </w:p>
    <w:p w14:paraId="4E98BBB5">
      <w:pPr>
        <w:bidi w:val="0"/>
        <w:rPr>
          <w:rFonts w:hint="eastAsia"/>
          <w:color w:val="auto"/>
          <w:highlight w:val="none"/>
          <w:lang w:val="en-US" w:eastAsia="zh-CN"/>
        </w:rPr>
      </w:pPr>
      <w:r>
        <w:rPr>
          <w:rFonts w:hint="eastAsia"/>
          <w:color w:val="auto"/>
          <w:highlight w:val="none"/>
          <w:lang w:val="en-US" w:eastAsia="zh-CN"/>
        </w:rPr>
        <w:t>详见投标人须知前附表。</w:t>
      </w:r>
    </w:p>
    <w:p w14:paraId="65C41276">
      <w:pPr>
        <w:pStyle w:val="3"/>
        <w:bidi w:val="0"/>
        <w:rPr>
          <w:rFonts w:hint="eastAsia"/>
          <w:color w:val="auto"/>
          <w:highlight w:val="none"/>
          <w:lang w:val="en-US" w:eastAsia="zh-CN"/>
        </w:rPr>
      </w:pPr>
      <w:bookmarkStart w:id="179" w:name="_bookmark57"/>
      <w:bookmarkEnd w:id="179"/>
      <w:bookmarkStart w:id="180" w:name="_bookmark56"/>
      <w:bookmarkEnd w:id="180"/>
      <w:bookmarkStart w:id="181" w:name="_Toc27665"/>
      <w:bookmarkStart w:id="182" w:name="_Toc697"/>
      <w:bookmarkStart w:id="183" w:name="_Toc28709"/>
      <w:r>
        <w:rPr>
          <w:rFonts w:hint="eastAsia"/>
          <w:color w:val="auto"/>
          <w:highlight w:val="none"/>
          <w:lang w:val="en-US" w:eastAsia="zh-CN"/>
        </w:rPr>
        <w:t>6.评标</w:t>
      </w:r>
      <w:bookmarkEnd w:id="181"/>
      <w:bookmarkEnd w:id="182"/>
      <w:bookmarkEnd w:id="183"/>
    </w:p>
    <w:p w14:paraId="6D86CB99">
      <w:pPr>
        <w:pStyle w:val="4"/>
        <w:bidi w:val="0"/>
        <w:rPr>
          <w:rFonts w:hint="eastAsia"/>
          <w:color w:val="auto"/>
          <w:highlight w:val="none"/>
          <w:lang w:val="en-US" w:eastAsia="zh-CN"/>
        </w:rPr>
      </w:pPr>
      <w:bookmarkStart w:id="184" w:name="_Toc1381"/>
      <w:bookmarkStart w:id="185" w:name="_Toc1867"/>
      <w:r>
        <w:rPr>
          <w:rFonts w:hint="eastAsia"/>
          <w:color w:val="auto"/>
          <w:highlight w:val="none"/>
          <w:lang w:val="en-US" w:eastAsia="zh-CN"/>
        </w:rPr>
        <w:t>6.1 评标委员会</w:t>
      </w:r>
      <w:bookmarkEnd w:id="184"/>
      <w:bookmarkEnd w:id="185"/>
    </w:p>
    <w:p w14:paraId="605DDBA2">
      <w:pPr>
        <w:bidi w:val="0"/>
        <w:rPr>
          <w:rFonts w:hint="eastAsia"/>
          <w:color w:val="auto"/>
          <w:highlight w:val="none"/>
          <w:lang w:val="en-US" w:eastAsia="zh-CN"/>
        </w:rPr>
      </w:pPr>
      <w:r>
        <w:rPr>
          <w:rFonts w:hint="eastAsia"/>
          <w:color w:val="auto"/>
          <w:highlight w:val="none"/>
          <w:lang w:val="en-US"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56E43C8">
      <w:pPr>
        <w:bidi w:val="0"/>
        <w:rPr>
          <w:rFonts w:hint="eastAsia"/>
          <w:color w:val="auto"/>
          <w:highlight w:val="none"/>
          <w:lang w:val="en-US" w:eastAsia="zh-CN"/>
        </w:rPr>
      </w:pPr>
      <w:r>
        <w:rPr>
          <w:rFonts w:hint="eastAsia"/>
          <w:color w:val="auto"/>
          <w:highlight w:val="none"/>
          <w:lang w:val="en-US" w:eastAsia="zh-CN"/>
        </w:rPr>
        <w:t>6.1.2  评标委员会成员有下列情形之一的，应当回避：</w:t>
      </w:r>
    </w:p>
    <w:p w14:paraId="7C572AEC">
      <w:pPr>
        <w:bidi w:val="0"/>
        <w:rPr>
          <w:rFonts w:hint="eastAsia"/>
          <w:color w:val="auto"/>
          <w:highlight w:val="none"/>
          <w:lang w:val="en-US" w:eastAsia="zh-CN"/>
        </w:rPr>
      </w:pPr>
      <w:r>
        <w:rPr>
          <w:rFonts w:hint="eastAsia"/>
          <w:color w:val="auto"/>
          <w:highlight w:val="none"/>
          <w:lang w:val="en-US" w:eastAsia="zh-CN"/>
        </w:rPr>
        <w:t>（1）投标人或投标人主要负责人的近亲属；</w:t>
      </w:r>
    </w:p>
    <w:p w14:paraId="76717FAC">
      <w:pPr>
        <w:bidi w:val="0"/>
        <w:rPr>
          <w:rFonts w:hint="eastAsia"/>
          <w:color w:val="auto"/>
          <w:highlight w:val="none"/>
          <w:lang w:val="en-US" w:eastAsia="zh-CN"/>
        </w:rPr>
      </w:pPr>
      <w:r>
        <w:rPr>
          <w:rFonts w:hint="eastAsia"/>
          <w:color w:val="auto"/>
          <w:highlight w:val="none"/>
          <w:lang w:val="en-US" w:eastAsia="zh-CN"/>
        </w:rPr>
        <w:t>（2）项目主管部门或者监督部门的人员；</w:t>
      </w:r>
    </w:p>
    <w:p w14:paraId="3659785E">
      <w:pPr>
        <w:bidi w:val="0"/>
        <w:rPr>
          <w:rFonts w:hint="eastAsia"/>
          <w:color w:val="auto"/>
          <w:highlight w:val="none"/>
          <w:lang w:val="en-US" w:eastAsia="zh-CN"/>
        </w:rPr>
      </w:pPr>
      <w:r>
        <w:rPr>
          <w:rFonts w:hint="eastAsia"/>
          <w:color w:val="auto"/>
          <w:highlight w:val="none"/>
          <w:lang w:val="en-US" w:eastAsia="zh-CN"/>
        </w:rPr>
        <w:t>（3）与投标人有经济利益关系，可能影响对投标公正评审的；</w:t>
      </w:r>
    </w:p>
    <w:p w14:paraId="12D2E6BD">
      <w:pPr>
        <w:bidi w:val="0"/>
        <w:rPr>
          <w:rFonts w:hint="eastAsia"/>
          <w:color w:val="auto"/>
          <w:highlight w:val="none"/>
          <w:lang w:val="en-US" w:eastAsia="zh-CN"/>
        </w:rPr>
      </w:pPr>
      <w:r>
        <w:rPr>
          <w:rFonts w:hint="eastAsia"/>
          <w:color w:val="auto"/>
          <w:highlight w:val="none"/>
          <w:lang w:val="en-US" w:eastAsia="zh-CN"/>
        </w:rPr>
        <w:t>（4）曾因在招标、评标以及其他与招标投标有关活动中从事违法行为而受过行政处罚 或刑事处罚的；</w:t>
      </w:r>
    </w:p>
    <w:p w14:paraId="7DBD3907">
      <w:pPr>
        <w:bidi w:val="0"/>
        <w:rPr>
          <w:rFonts w:hint="eastAsia"/>
          <w:color w:val="auto"/>
          <w:highlight w:val="none"/>
          <w:lang w:val="en-US" w:eastAsia="zh-CN"/>
        </w:rPr>
      </w:pPr>
      <w:r>
        <w:rPr>
          <w:rFonts w:hint="eastAsia"/>
          <w:color w:val="auto"/>
          <w:highlight w:val="none"/>
          <w:lang w:val="en-US" w:eastAsia="zh-CN"/>
        </w:rPr>
        <w:t>（5）与投标人有其他利害关系。</w:t>
      </w:r>
    </w:p>
    <w:p w14:paraId="053C68A1">
      <w:pPr>
        <w:bidi w:val="0"/>
        <w:rPr>
          <w:rFonts w:hint="eastAsia"/>
          <w:color w:val="auto"/>
          <w:highlight w:val="none"/>
          <w:lang w:val="en-US" w:eastAsia="zh-CN"/>
        </w:rPr>
      </w:pPr>
      <w:r>
        <w:rPr>
          <w:rFonts w:hint="eastAsia"/>
          <w:color w:val="auto"/>
          <w:highlight w:val="none"/>
          <w:lang w:val="en-US" w:eastAsia="zh-CN"/>
        </w:rPr>
        <w:t>6.1.3  评标过程中，评标委员会成员有回避事由、擅离职守或者因健康等原因不能继续评标的，招标人有权更换。被更换的评标委员会成员作出的评审结论无效，由更换后的评标委员会</w:t>
      </w:r>
      <w:bookmarkStart w:id="186" w:name="_bookmark58"/>
      <w:bookmarkEnd w:id="186"/>
      <w:r>
        <w:rPr>
          <w:rFonts w:hint="eastAsia"/>
          <w:color w:val="auto"/>
          <w:highlight w:val="none"/>
          <w:lang w:val="en-US" w:eastAsia="zh-CN"/>
        </w:rPr>
        <w:t>成员重新进行评审。</w:t>
      </w:r>
    </w:p>
    <w:p w14:paraId="44FCD089">
      <w:pPr>
        <w:pStyle w:val="4"/>
        <w:bidi w:val="0"/>
        <w:rPr>
          <w:rFonts w:hint="eastAsia"/>
          <w:color w:val="auto"/>
          <w:highlight w:val="none"/>
          <w:lang w:val="en-US" w:eastAsia="zh-CN"/>
        </w:rPr>
      </w:pPr>
      <w:bookmarkStart w:id="187" w:name="_Toc9100"/>
      <w:bookmarkStart w:id="188" w:name="_Toc25791"/>
      <w:r>
        <w:rPr>
          <w:rFonts w:hint="eastAsia"/>
          <w:color w:val="auto"/>
          <w:highlight w:val="none"/>
          <w:lang w:val="en-US" w:eastAsia="zh-CN"/>
        </w:rPr>
        <w:t>6.2 评标原则</w:t>
      </w:r>
      <w:bookmarkEnd w:id="187"/>
      <w:bookmarkEnd w:id="188"/>
    </w:p>
    <w:p w14:paraId="3BE20DB8">
      <w:pPr>
        <w:bidi w:val="0"/>
        <w:rPr>
          <w:rFonts w:hint="eastAsia"/>
          <w:color w:val="auto"/>
          <w:highlight w:val="none"/>
          <w:lang w:val="en-US" w:eastAsia="zh-CN"/>
        </w:rPr>
      </w:pPr>
      <w:r>
        <w:rPr>
          <w:rFonts w:hint="eastAsia"/>
          <w:color w:val="auto"/>
          <w:highlight w:val="none"/>
          <w:lang w:val="en-US" w:eastAsia="zh-CN"/>
        </w:rPr>
        <w:t>评标活动遵循公平、公正、科学和择优的原则。</w:t>
      </w:r>
    </w:p>
    <w:p w14:paraId="1184A29B">
      <w:pPr>
        <w:pStyle w:val="4"/>
        <w:bidi w:val="0"/>
        <w:rPr>
          <w:rFonts w:hint="eastAsia"/>
          <w:color w:val="auto"/>
          <w:highlight w:val="none"/>
          <w:lang w:val="en-US" w:eastAsia="zh-CN"/>
        </w:rPr>
      </w:pPr>
      <w:bookmarkStart w:id="189" w:name="_bookmark59"/>
      <w:bookmarkEnd w:id="189"/>
      <w:bookmarkStart w:id="190" w:name="_Toc30222"/>
      <w:bookmarkStart w:id="191" w:name="_Toc1581"/>
      <w:r>
        <w:rPr>
          <w:rFonts w:hint="eastAsia"/>
          <w:color w:val="auto"/>
          <w:highlight w:val="none"/>
          <w:lang w:val="en-US" w:eastAsia="zh-CN"/>
        </w:rPr>
        <w:t>6.3 评标</w:t>
      </w:r>
      <w:bookmarkEnd w:id="190"/>
      <w:bookmarkEnd w:id="191"/>
    </w:p>
    <w:p w14:paraId="4808C6AF">
      <w:pPr>
        <w:bidi w:val="0"/>
        <w:rPr>
          <w:rFonts w:hint="eastAsia"/>
          <w:color w:val="auto"/>
          <w:highlight w:val="none"/>
          <w:lang w:val="en-US" w:eastAsia="zh-CN"/>
        </w:rPr>
      </w:pPr>
      <w:r>
        <w:rPr>
          <w:rFonts w:hint="eastAsia"/>
          <w:color w:val="auto"/>
          <w:highlight w:val="none"/>
          <w:lang w:val="en-US" w:eastAsia="zh-CN"/>
        </w:rPr>
        <w:t>评标委员会按照第三章“评标办法”规定的方法、评审因素、标准和程序对投标文件进行评审。第三章“评标办法”没有规定的方法、评审因素和标准，不作为评标依据。</w:t>
      </w:r>
    </w:p>
    <w:p w14:paraId="3DC8322E">
      <w:pPr>
        <w:pStyle w:val="3"/>
        <w:bidi w:val="0"/>
        <w:rPr>
          <w:rFonts w:hint="eastAsia"/>
          <w:color w:val="auto"/>
          <w:highlight w:val="none"/>
          <w:lang w:val="en-US" w:eastAsia="zh-CN"/>
        </w:rPr>
      </w:pPr>
      <w:bookmarkStart w:id="192" w:name="_Toc27149"/>
      <w:bookmarkStart w:id="193" w:name="_Toc6201"/>
      <w:bookmarkStart w:id="194" w:name="_Toc19961"/>
      <w:r>
        <w:rPr>
          <w:rFonts w:hint="eastAsia"/>
          <w:color w:val="auto"/>
          <w:highlight w:val="none"/>
          <w:lang w:val="en-US" w:eastAsia="zh-CN"/>
        </w:rPr>
        <w:t>7.合同授予</w:t>
      </w:r>
      <w:bookmarkEnd w:id="192"/>
      <w:bookmarkEnd w:id="193"/>
      <w:bookmarkEnd w:id="194"/>
    </w:p>
    <w:p w14:paraId="26ADB5F7">
      <w:pPr>
        <w:pStyle w:val="4"/>
        <w:bidi w:val="0"/>
        <w:rPr>
          <w:rFonts w:hint="eastAsia"/>
          <w:color w:val="auto"/>
          <w:highlight w:val="none"/>
          <w:lang w:val="en-US" w:eastAsia="zh-CN"/>
        </w:rPr>
      </w:pPr>
      <w:bookmarkStart w:id="195" w:name="_Toc246996954"/>
      <w:bookmarkStart w:id="196" w:name="_Toc179632585"/>
      <w:bookmarkStart w:id="197" w:name="_Toc17744"/>
      <w:bookmarkStart w:id="198" w:name="_Toc144974535"/>
      <w:bookmarkStart w:id="199" w:name="_Toc152042343"/>
      <w:bookmarkStart w:id="200" w:name="_Toc246996211"/>
      <w:bookmarkStart w:id="201" w:name="_Toc296602456"/>
      <w:bookmarkStart w:id="202" w:name="_Toc247085725"/>
      <w:bookmarkStart w:id="203" w:name="_Toc152045567"/>
      <w:bookmarkStart w:id="204" w:name="_Toc5347"/>
      <w:r>
        <w:rPr>
          <w:rFonts w:hint="eastAsia"/>
          <w:color w:val="auto"/>
          <w:highlight w:val="none"/>
          <w:lang w:val="en-US" w:eastAsia="zh-CN"/>
        </w:rPr>
        <w:t>7.1 定标方式</w:t>
      </w:r>
      <w:bookmarkEnd w:id="195"/>
      <w:bookmarkEnd w:id="196"/>
      <w:bookmarkEnd w:id="197"/>
      <w:bookmarkEnd w:id="198"/>
      <w:bookmarkEnd w:id="199"/>
      <w:bookmarkEnd w:id="200"/>
      <w:bookmarkEnd w:id="201"/>
      <w:bookmarkEnd w:id="202"/>
      <w:bookmarkEnd w:id="203"/>
    </w:p>
    <w:p w14:paraId="51DD2D6D">
      <w:pPr>
        <w:bidi w:val="0"/>
        <w:rPr>
          <w:rFonts w:hint="eastAsia"/>
          <w:color w:val="auto"/>
          <w:highlight w:val="none"/>
        </w:rPr>
      </w:pPr>
      <w:r>
        <w:rPr>
          <w:rFonts w:hint="eastAsia"/>
          <w:color w:val="auto"/>
          <w:highlight w:val="none"/>
        </w:rPr>
        <w:t>除投标人须知前附表规定评标委员会直接确定中标人外，招标人依据评标委员会推荐的中标候选人确定中标人，评标委员会推荐中标候选人的人数见投标人须知前附表。</w:t>
      </w:r>
    </w:p>
    <w:bookmarkEnd w:id="204"/>
    <w:p w14:paraId="4D483656">
      <w:pPr>
        <w:pStyle w:val="4"/>
        <w:bidi w:val="0"/>
        <w:rPr>
          <w:rFonts w:hint="eastAsia"/>
          <w:color w:val="auto"/>
          <w:highlight w:val="none"/>
          <w:lang w:val="en-US" w:eastAsia="zh-CN"/>
        </w:rPr>
      </w:pPr>
      <w:bookmarkStart w:id="205" w:name="_Toc296602457"/>
      <w:bookmarkStart w:id="206" w:name="_Toc24659"/>
      <w:bookmarkStart w:id="207" w:name="_Toc15762"/>
      <w:r>
        <w:rPr>
          <w:rFonts w:hint="eastAsia"/>
          <w:color w:val="auto"/>
          <w:highlight w:val="none"/>
          <w:lang w:val="en-US" w:eastAsia="zh-CN"/>
        </w:rPr>
        <w:t>7.2 中标候选人公示</w:t>
      </w:r>
      <w:bookmarkEnd w:id="205"/>
      <w:bookmarkEnd w:id="206"/>
    </w:p>
    <w:p w14:paraId="32793FCD">
      <w:pPr>
        <w:bidi w:val="0"/>
        <w:rPr>
          <w:rFonts w:hint="eastAsia"/>
          <w:color w:val="auto"/>
          <w:highlight w:val="none"/>
        </w:rPr>
      </w:pPr>
      <w:r>
        <w:rPr>
          <w:rFonts w:hint="eastAsia"/>
          <w:color w:val="auto"/>
          <w:highlight w:val="none"/>
        </w:rPr>
        <w:t>招标人在投标人须知前附表规定的媒介公示中标候选人。</w:t>
      </w:r>
    </w:p>
    <w:p w14:paraId="3C2FDA63">
      <w:pPr>
        <w:pStyle w:val="4"/>
        <w:bidi w:val="0"/>
        <w:rPr>
          <w:rFonts w:hint="eastAsia"/>
          <w:color w:val="auto"/>
          <w:highlight w:val="none"/>
          <w:lang w:val="en-US" w:eastAsia="zh-CN"/>
        </w:rPr>
      </w:pPr>
      <w:bookmarkStart w:id="208" w:name="_Toc247085726"/>
      <w:bookmarkStart w:id="209" w:name="_Toc246996955"/>
      <w:bookmarkStart w:id="210" w:name="_Toc144974536"/>
      <w:bookmarkStart w:id="211" w:name="_Toc246996212"/>
      <w:bookmarkStart w:id="212" w:name="_Toc152045568"/>
      <w:bookmarkStart w:id="213" w:name="_Toc179632586"/>
      <w:bookmarkStart w:id="214" w:name="_Toc296602458"/>
      <w:bookmarkStart w:id="215" w:name="_Toc1175"/>
      <w:bookmarkStart w:id="216" w:name="_Toc152042344"/>
      <w:r>
        <w:rPr>
          <w:rFonts w:hint="eastAsia"/>
          <w:color w:val="auto"/>
          <w:highlight w:val="none"/>
          <w:lang w:val="en-US" w:eastAsia="zh-CN"/>
        </w:rPr>
        <w:t>7.3 中标通知</w:t>
      </w:r>
      <w:bookmarkEnd w:id="208"/>
      <w:bookmarkEnd w:id="209"/>
      <w:bookmarkEnd w:id="210"/>
      <w:bookmarkEnd w:id="211"/>
      <w:bookmarkEnd w:id="212"/>
      <w:bookmarkEnd w:id="213"/>
      <w:bookmarkEnd w:id="214"/>
      <w:bookmarkEnd w:id="215"/>
      <w:bookmarkEnd w:id="216"/>
    </w:p>
    <w:p w14:paraId="1AC773B5">
      <w:pPr>
        <w:bidi w:val="0"/>
        <w:rPr>
          <w:rFonts w:hint="eastAsia"/>
          <w:color w:val="auto"/>
          <w:highlight w:val="none"/>
        </w:rPr>
      </w:pPr>
      <w:r>
        <w:rPr>
          <w:rFonts w:hint="eastAsia"/>
          <w:color w:val="auto"/>
          <w:highlight w:val="none"/>
        </w:rPr>
        <w:t>在本章第3.3款规定的投标有效期内，招标人以书面形式向中标人发出中标通知书，同时将中标结果通知未中标的投标人。</w:t>
      </w:r>
    </w:p>
    <w:bookmarkEnd w:id="207"/>
    <w:p w14:paraId="037FEE58">
      <w:pPr>
        <w:pStyle w:val="4"/>
        <w:bidi w:val="0"/>
        <w:rPr>
          <w:rFonts w:hint="eastAsia"/>
          <w:color w:val="auto"/>
          <w:highlight w:val="none"/>
          <w:lang w:val="en-US" w:eastAsia="zh-CN"/>
        </w:rPr>
      </w:pPr>
      <w:bookmarkStart w:id="217" w:name="_Toc296602459"/>
      <w:bookmarkStart w:id="218" w:name="_Toc152042345"/>
      <w:bookmarkStart w:id="219" w:name="_Toc247085727"/>
      <w:bookmarkStart w:id="220" w:name="_Toc1233"/>
      <w:bookmarkStart w:id="221" w:name="_Toc246996956"/>
      <w:bookmarkStart w:id="222" w:name="_Toc179632587"/>
      <w:bookmarkStart w:id="223" w:name="_Toc152045569"/>
      <w:bookmarkStart w:id="224" w:name="_Toc246996213"/>
      <w:bookmarkStart w:id="225" w:name="_Toc144974537"/>
      <w:r>
        <w:rPr>
          <w:rFonts w:hint="eastAsia"/>
          <w:color w:val="auto"/>
          <w:highlight w:val="none"/>
          <w:lang w:val="en-US" w:eastAsia="zh-CN"/>
        </w:rPr>
        <w:t>7.4 履约担保</w:t>
      </w:r>
      <w:bookmarkEnd w:id="217"/>
      <w:bookmarkEnd w:id="218"/>
      <w:bookmarkEnd w:id="219"/>
      <w:bookmarkEnd w:id="220"/>
      <w:bookmarkEnd w:id="221"/>
      <w:bookmarkEnd w:id="222"/>
      <w:bookmarkEnd w:id="223"/>
      <w:bookmarkEnd w:id="224"/>
      <w:bookmarkEnd w:id="225"/>
    </w:p>
    <w:p w14:paraId="006DD8C2">
      <w:pPr>
        <w:bidi w:val="0"/>
        <w:rPr>
          <w:rFonts w:hint="eastAsia"/>
          <w:color w:val="auto"/>
          <w:highlight w:val="none"/>
        </w:rPr>
      </w:pPr>
      <w:r>
        <w:rPr>
          <w:rFonts w:hint="eastAsia"/>
          <w:color w:val="auto"/>
          <w:highlight w:val="none"/>
          <w:lang w:val="en-US" w:eastAsia="zh-CN"/>
        </w:rPr>
        <w:t>7.4.1</w:t>
      </w:r>
      <w:r>
        <w:rPr>
          <w:rFonts w:hint="eastAsia"/>
          <w:color w:val="auto"/>
          <w:highlight w:val="none"/>
        </w:rPr>
        <w:t>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p>
    <w:p w14:paraId="1509F99B">
      <w:pPr>
        <w:bidi w:val="0"/>
        <w:rPr>
          <w:rFonts w:hint="eastAsia"/>
          <w:color w:val="auto"/>
          <w:highlight w:val="none"/>
        </w:rPr>
      </w:pPr>
      <w:r>
        <w:rPr>
          <w:rFonts w:hint="eastAsia"/>
          <w:color w:val="auto"/>
          <w:highlight w:val="none"/>
          <w:lang w:val="en-US" w:eastAsia="zh-CN"/>
        </w:rPr>
        <w:t xml:space="preserve">7.4.2 </w:t>
      </w:r>
      <w:r>
        <w:rPr>
          <w:rFonts w:hint="eastAsia"/>
          <w:color w:val="auto"/>
          <w:highlight w:val="none"/>
        </w:rPr>
        <w:t>中标人不能按本章第</w:t>
      </w:r>
      <w:r>
        <w:rPr>
          <w:rFonts w:hint="eastAsia"/>
          <w:color w:val="auto"/>
          <w:highlight w:val="none"/>
          <w:lang w:val="en-US" w:eastAsia="zh-CN"/>
        </w:rPr>
        <w:t>7.4.1</w:t>
      </w:r>
      <w:r>
        <w:rPr>
          <w:rFonts w:hint="eastAsia"/>
          <w:color w:val="auto"/>
          <w:highlight w:val="none"/>
        </w:rPr>
        <w:t>项要求提交履约担保的，视为放弃中标，其投标保证金不予退还，给招标人造成的损失超过投标保证金数额的，中标人还应当对超过部分予以赔偿。</w:t>
      </w:r>
    </w:p>
    <w:p w14:paraId="12FA8C01">
      <w:pPr>
        <w:pStyle w:val="4"/>
        <w:bidi w:val="0"/>
        <w:rPr>
          <w:rFonts w:hint="eastAsia"/>
          <w:color w:val="auto"/>
          <w:highlight w:val="none"/>
          <w:lang w:val="en-US" w:eastAsia="zh-CN"/>
        </w:rPr>
      </w:pPr>
      <w:bookmarkStart w:id="226" w:name="_Toc152042346"/>
      <w:bookmarkStart w:id="227" w:name="_Toc296602460"/>
      <w:bookmarkStart w:id="228" w:name="_Toc179632588"/>
      <w:bookmarkStart w:id="229" w:name="_Toc152045570"/>
      <w:bookmarkStart w:id="230" w:name="_Toc144974538"/>
      <w:bookmarkStart w:id="231" w:name="_Toc5701"/>
      <w:bookmarkStart w:id="232" w:name="_Toc247085728"/>
      <w:bookmarkStart w:id="233" w:name="_Toc246996214"/>
      <w:bookmarkStart w:id="234" w:name="_Toc246996957"/>
      <w:r>
        <w:rPr>
          <w:rFonts w:hint="eastAsia"/>
          <w:color w:val="auto"/>
          <w:highlight w:val="none"/>
          <w:lang w:val="en-US" w:eastAsia="zh-CN"/>
        </w:rPr>
        <w:t>7.5 签订合同</w:t>
      </w:r>
      <w:bookmarkEnd w:id="226"/>
      <w:bookmarkEnd w:id="227"/>
      <w:bookmarkEnd w:id="228"/>
      <w:bookmarkEnd w:id="229"/>
      <w:bookmarkEnd w:id="230"/>
      <w:bookmarkEnd w:id="231"/>
      <w:bookmarkEnd w:id="232"/>
      <w:bookmarkEnd w:id="233"/>
      <w:bookmarkEnd w:id="234"/>
    </w:p>
    <w:p w14:paraId="4DAE9CE6">
      <w:pPr>
        <w:bidi w:val="0"/>
        <w:rPr>
          <w:rFonts w:hint="eastAsia"/>
          <w:color w:val="auto"/>
          <w:highlight w:val="none"/>
        </w:rPr>
      </w:pPr>
      <w:r>
        <w:rPr>
          <w:rFonts w:hint="eastAsia"/>
          <w:color w:val="auto"/>
          <w:highlight w:val="none"/>
          <w:lang w:val="en-US" w:eastAsia="zh-CN"/>
        </w:rPr>
        <w:t xml:space="preserve">7.5.1 </w:t>
      </w:r>
      <w:r>
        <w:rPr>
          <w:rFonts w:hint="eastAsia"/>
          <w:color w:val="auto"/>
          <w:highlight w:val="none"/>
        </w:rPr>
        <w:t>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5AC43DB5">
      <w:pPr>
        <w:bidi w:val="0"/>
        <w:rPr>
          <w:rFonts w:hint="eastAsia"/>
          <w:color w:val="auto"/>
          <w:highlight w:val="none"/>
          <w:lang w:val="en-US" w:eastAsia="zh-CN"/>
        </w:rPr>
      </w:pPr>
      <w:r>
        <w:rPr>
          <w:rFonts w:hint="eastAsia"/>
          <w:color w:val="auto"/>
          <w:highlight w:val="none"/>
          <w:lang w:val="en-US" w:eastAsia="zh-CN"/>
        </w:rPr>
        <w:t xml:space="preserve">7.5.2 </w:t>
      </w:r>
      <w:r>
        <w:rPr>
          <w:rFonts w:hint="eastAsia"/>
          <w:color w:val="auto"/>
          <w:highlight w:val="none"/>
        </w:rPr>
        <w:t>发出中标通知书后，招标人无正当理由拒签合同的，招标人向中标人退还投标保证金；给中标人造成损失的，还应当赔偿损失。</w:t>
      </w:r>
    </w:p>
    <w:p w14:paraId="567120E4">
      <w:pPr>
        <w:pStyle w:val="3"/>
        <w:bidi w:val="0"/>
        <w:rPr>
          <w:rFonts w:hint="eastAsia"/>
          <w:color w:val="auto"/>
          <w:highlight w:val="none"/>
          <w:lang w:val="en-US" w:eastAsia="zh-CN"/>
        </w:rPr>
      </w:pPr>
      <w:bookmarkStart w:id="235" w:name="_Toc24561"/>
      <w:bookmarkStart w:id="236" w:name="_Toc57820604"/>
      <w:bookmarkStart w:id="237" w:name="_Toc277082595"/>
      <w:bookmarkStart w:id="238" w:name="_Toc287607789"/>
      <w:bookmarkStart w:id="239" w:name="_Toc430530478"/>
      <w:bookmarkStart w:id="240" w:name="_Toc287620728"/>
      <w:bookmarkStart w:id="241" w:name="_Toc200513169"/>
      <w:bookmarkStart w:id="242" w:name="_Toc224103360"/>
      <w:bookmarkStart w:id="243" w:name="_Toc509218753"/>
      <w:bookmarkStart w:id="244" w:name="_Toc29972"/>
      <w:r>
        <w:rPr>
          <w:rFonts w:hint="eastAsia"/>
          <w:color w:val="auto"/>
          <w:highlight w:val="none"/>
          <w:lang w:val="en-US" w:eastAsia="zh-CN"/>
        </w:rPr>
        <w:t>8.重新招标和不再招标</w:t>
      </w:r>
      <w:bookmarkEnd w:id="235"/>
      <w:bookmarkEnd w:id="236"/>
      <w:bookmarkEnd w:id="237"/>
      <w:bookmarkEnd w:id="238"/>
      <w:bookmarkEnd w:id="239"/>
      <w:bookmarkEnd w:id="240"/>
      <w:bookmarkEnd w:id="241"/>
      <w:bookmarkEnd w:id="242"/>
      <w:bookmarkEnd w:id="243"/>
      <w:bookmarkEnd w:id="244"/>
    </w:p>
    <w:p w14:paraId="2CB94C32">
      <w:pPr>
        <w:pStyle w:val="4"/>
        <w:bidi w:val="0"/>
        <w:rPr>
          <w:rFonts w:hint="eastAsia"/>
          <w:color w:val="auto"/>
          <w:highlight w:val="none"/>
          <w:lang w:val="en-US" w:eastAsia="zh-CN"/>
        </w:rPr>
      </w:pPr>
      <w:bookmarkStart w:id="245" w:name="_Toc509218754"/>
      <w:bookmarkStart w:id="246" w:name="_Toc224103361"/>
      <w:bookmarkStart w:id="247" w:name="_Toc287607790"/>
      <w:bookmarkStart w:id="248" w:name="_Toc277082596"/>
      <w:bookmarkStart w:id="249" w:name="_Toc200513170"/>
      <w:bookmarkStart w:id="250" w:name="_Toc287620729"/>
      <w:bookmarkStart w:id="251" w:name="_Toc57820605"/>
      <w:bookmarkStart w:id="252" w:name="_Toc430530479"/>
      <w:bookmarkStart w:id="253" w:name="_Toc11138"/>
      <w:r>
        <w:rPr>
          <w:rFonts w:hint="eastAsia"/>
          <w:color w:val="auto"/>
          <w:highlight w:val="none"/>
          <w:lang w:val="en-US" w:eastAsia="zh-CN"/>
        </w:rPr>
        <w:t>8.1  重新招标</w:t>
      </w:r>
      <w:bookmarkEnd w:id="245"/>
      <w:bookmarkEnd w:id="246"/>
      <w:bookmarkEnd w:id="247"/>
      <w:bookmarkEnd w:id="248"/>
      <w:bookmarkEnd w:id="249"/>
      <w:bookmarkEnd w:id="250"/>
      <w:bookmarkEnd w:id="251"/>
      <w:bookmarkEnd w:id="252"/>
      <w:r>
        <w:rPr>
          <w:rFonts w:hint="eastAsia"/>
          <w:color w:val="auto"/>
          <w:highlight w:val="none"/>
          <w:lang w:val="en-US" w:eastAsia="zh-CN"/>
        </w:rPr>
        <w:t>的情形</w:t>
      </w:r>
      <w:bookmarkEnd w:id="253"/>
    </w:p>
    <w:p w14:paraId="2A20ED63">
      <w:pPr>
        <w:bidi w:val="0"/>
        <w:rPr>
          <w:rFonts w:hint="eastAsia"/>
          <w:color w:val="auto"/>
          <w:highlight w:val="none"/>
        </w:rPr>
      </w:pPr>
      <w:r>
        <w:rPr>
          <w:rFonts w:hint="eastAsia"/>
          <w:color w:val="auto"/>
          <w:highlight w:val="none"/>
        </w:rPr>
        <w:t>有下列情形之一的，招标人将重新招标：</w:t>
      </w:r>
    </w:p>
    <w:p w14:paraId="6A7BF6ED">
      <w:pPr>
        <w:bidi w:val="0"/>
        <w:rPr>
          <w:rFonts w:hint="eastAsia"/>
          <w:color w:val="auto"/>
          <w:highlight w:val="none"/>
        </w:rPr>
      </w:pPr>
      <w:r>
        <w:rPr>
          <w:rFonts w:hint="eastAsia"/>
          <w:color w:val="auto"/>
          <w:highlight w:val="none"/>
        </w:rPr>
        <w:t>（1）投标截止时间止，投标人少于 3 个的；</w:t>
      </w:r>
    </w:p>
    <w:p w14:paraId="59AAD1AD">
      <w:pPr>
        <w:bidi w:val="0"/>
        <w:rPr>
          <w:rFonts w:hint="eastAsia"/>
          <w:color w:val="auto"/>
          <w:highlight w:val="none"/>
        </w:rPr>
      </w:pPr>
      <w:r>
        <w:rPr>
          <w:rFonts w:hint="eastAsia"/>
          <w:color w:val="auto"/>
          <w:highlight w:val="none"/>
        </w:rPr>
        <w:t>（2）经评标委员会评审后否决所有投标的；</w:t>
      </w:r>
    </w:p>
    <w:p w14:paraId="6510010A">
      <w:pPr>
        <w:bidi w:val="0"/>
        <w:rPr>
          <w:rFonts w:hint="eastAsia"/>
          <w:color w:val="auto"/>
          <w:highlight w:val="none"/>
        </w:rPr>
      </w:pPr>
      <w:r>
        <w:rPr>
          <w:rFonts w:hint="eastAsia"/>
          <w:color w:val="auto"/>
          <w:highlight w:val="none"/>
        </w:rPr>
        <w:t>（3）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14:paraId="6726BC54">
      <w:pPr>
        <w:bidi w:val="0"/>
        <w:rPr>
          <w:rFonts w:hint="eastAsia"/>
          <w:color w:val="auto"/>
          <w:highlight w:val="none"/>
        </w:rPr>
      </w:pPr>
      <w:r>
        <w:rPr>
          <w:rFonts w:hint="eastAsia"/>
          <w:color w:val="auto"/>
          <w:highlight w:val="none"/>
        </w:rPr>
        <w:t>（4）法律法规规定的其他情形。</w:t>
      </w:r>
    </w:p>
    <w:p w14:paraId="6FAF5B38">
      <w:pPr>
        <w:pStyle w:val="4"/>
        <w:bidi w:val="0"/>
        <w:rPr>
          <w:rFonts w:hint="eastAsia"/>
          <w:color w:val="auto"/>
          <w:highlight w:val="none"/>
          <w:lang w:val="en-US" w:eastAsia="zh-CN"/>
        </w:rPr>
      </w:pPr>
      <w:bookmarkStart w:id="254" w:name="_Toc277082597"/>
      <w:bookmarkStart w:id="255" w:name="_Toc200513171"/>
      <w:bookmarkStart w:id="256" w:name="_Toc57820606"/>
      <w:bookmarkStart w:id="257" w:name="_Toc287607791"/>
      <w:bookmarkStart w:id="258" w:name="_Toc9985"/>
      <w:bookmarkStart w:id="259" w:name="_Toc509218755"/>
      <w:bookmarkStart w:id="260" w:name="_Toc224103362"/>
      <w:bookmarkStart w:id="261" w:name="_Toc287620730"/>
      <w:bookmarkStart w:id="262" w:name="_Toc430530480"/>
      <w:r>
        <w:rPr>
          <w:rFonts w:hint="eastAsia"/>
          <w:color w:val="auto"/>
          <w:highlight w:val="none"/>
          <w:lang w:val="en-US" w:eastAsia="zh-CN"/>
        </w:rPr>
        <w:t>8.2  重新招标和不再招标</w:t>
      </w:r>
      <w:bookmarkEnd w:id="254"/>
      <w:bookmarkEnd w:id="255"/>
      <w:bookmarkEnd w:id="256"/>
      <w:bookmarkEnd w:id="257"/>
      <w:bookmarkEnd w:id="258"/>
      <w:bookmarkEnd w:id="259"/>
      <w:bookmarkEnd w:id="260"/>
      <w:bookmarkEnd w:id="261"/>
      <w:bookmarkEnd w:id="262"/>
    </w:p>
    <w:p w14:paraId="62745891">
      <w:pPr>
        <w:bidi w:val="0"/>
        <w:rPr>
          <w:rFonts w:hint="eastAsia"/>
          <w:color w:val="auto"/>
          <w:highlight w:val="none"/>
          <w:lang w:val="en-US" w:eastAsia="zh-CN"/>
        </w:rPr>
      </w:pPr>
      <w:r>
        <w:rPr>
          <w:rFonts w:hint="eastAsia"/>
          <w:color w:val="auto"/>
          <w:highlight w:val="none"/>
          <w:lang w:val="en-US" w:eastAsia="zh-CN"/>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p>
    <w:p w14:paraId="4D5D036C">
      <w:pPr>
        <w:pStyle w:val="3"/>
        <w:bidi w:val="0"/>
        <w:rPr>
          <w:rFonts w:hint="eastAsia"/>
          <w:color w:val="auto"/>
          <w:highlight w:val="none"/>
          <w:lang w:val="en-US" w:eastAsia="zh-CN"/>
        </w:rPr>
      </w:pPr>
      <w:bookmarkStart w:id="263" w:name="_bookmark68"/>
      <w:bookmarkEnd w:id="263"/>
      <w:bookmarkStart w:id="264" w:name="_bookmark69"/>
      <w:bookmarkEnd w:id="264"/>
      <w:bookmarkStart w:id="265" w:name="_Toc21026"/>
      <w:bookmarkStart w:id="266" w:name="_Toc28961"/>
      <w:bookmarkStart w:id="267" w:name="_Toc31422"/>
      <w:r>
        <w:rPr>
          <w:rFonts w:hint="eastAsia"/>
          <w:color w:val="auto"/>
          <w:highlight w:val="none"/>
          <w:lang w:val="en-US" w:eastAsia="zh-CN"/>
        </w:rPr>
        <w:t>9.纪律和监督</w:t>
      </w:r>
      <w:bookmarkEnd w:id="265"/>
      <w:bookmarkEnd w:id="266"/>
      <w:bookmarkEnd w:id="267"/>
    </w:p>
    <w:p w14:paraId="34864369">
      <w:pPr>
        <w:pStyle w:val="4"/>
        <w:bidi w:val="0"/>
        <w:rPr>
          <w:rFonts w:hint="eastAsia"/>
          <w:color w:val="auto"/>
          <w:highlight w:val="none"/>
          <w:lang w:val="en-US" w:eastAsia="zh-CN"/>
        </w:rPr>
      </w:pPr>
      <w:bookmarkStart w:id="268" w:name="_Toc3921"/>
      <w:r>
        <w:rPr>
          <w:rFonts w:hint="eastAsia"/>
          <w:color w:val="auto"/>
          <w:highlight w:val="none"/>
          <w:lang w:val="en-US" w:eastAsia="zh-CN"/>
        </w:rPr>
        <w:t>9.1 对招标人的纪律要求</w:t>
      </w:r>
      <w:bookmarkEnd w:id="268"/>
    </w:p>
    <w:p w14:paraId="173561ED">
      <w:pPr>
        <w:bidi w:val="0"/>
        <w:rPr>
          <w:rFonts w:hint="eastAsia"/>
          <w:color w:val="auto"/>
          <w:highlight w:val="none"/>
          <w:lang w:val="en-US" w:eastAsia="zh-CN"/>
        </w:rPr>
      </w:pPr>
      <w:r>
        <w:rPr>
          <w:rFonts w:hint="eastAsia"/>
          <w:color w:val="auto"/>
          <w:highlight w:val="none"/>
          <w:lang w:val="en-US" w:eastAsia="zh-CN"/>
        </w:rPr>
        <w:t>招标人不得泄露招标投标活动中应当保密的情况和资料，不得与投标人串通损害国家利益</w:t>
      </w:r>
      <w:bookmarkStart w:id="269" w:name="_bookmark70"/>
      <w:bookmarkEnd w:id="269"/>
      <w:r>
        <w:rPr>
          <w:rFonts w:hint="eastAsia"/>
          <w:color w:val="auto"/>
          <w:highlight w:val="none"/>
          <w:lang w:val="en-US" w:eastAsia="zh-CN"/>
        </w:rPr>
        <w:t>、社会公共利益或者他人合法权益。</w:t>
      </w:r>
    </w:p>
    <w:p w14:paraId="20B6F3BD">
      <w:pPr>
        <w:pStyle w:val="4"/>
        <w:bidi w:val="0"/>
        <w:rPr>
          <w:rFonts w:hint="eastAsia"/>
          <w:color w:val="auto"/>
          <w:highlight w:val="none"/>
          <w:lang w:val="en-US" w:eastAsia="zh-CN"/>
        </w:rPr>
      </w:pPr>
      <w:bookmarkStart w:id="270" w:name="_Toc5565"/>
      <w:r>
        <w:rPr>
          <w:rFonts w:hint="eastAsia"/>
          <w:color w:val="auto"/>
          <w:highlight w:val="none"/>
          <w:lang w:val="en-US" w:eastAsia="zh-CN"/>
        </w:rPr>
        <w:t>9.2 对投标人的纪律要求</w:t>
      </w:r>
      <w:bookmarkEnd w:id="270"/>
    </w:p>
    <w:p w14:paraId="691EB271">
      <w:pPr>
        <w:bidi w:val="0"/>
        <w:rPr>
          <w:rFonts w:hint="eastAsia"/>
          <w:color w:val="auto"/>
          <w:highlight w:val="none"/>
          <w:lang w:val="en-US" w:eastAsia="zh-CN"/>
        </w:rPr>
      </w:pPr>
      <w:r>
        <w:rPr>
          <w:rFonts w:hint="eastAsia"/>
          <w:color w:val="auto"/>
          <w:highlight w:val="none"/>
          <w:lang w:val="en-US" w:eastAsia="zh-CN"/>
        </w:rPr>
        <w:t>投标人不得相互串通投标或者与招标人串通投标，不得向招标人或者评标委员会成员行贿谋取中标，不得以他人名义投标或者以其他方式弄虚作假骗取中标；投标人不得以任何方式干</w:t>
      </w:r>
      <w:bookmarkStart w:id="271" w:name="_bookmark71"/>
      <w:bookmarkEnd w:id="271"/>
      <w:r>
        <w:rPr>
          <w:rFonts w:hint="eastAsia"/>
          <w:color w:val="auto"/>
          <w:highlight w:val="none"/>
          <w:lang w:val="en-US" w:eastAsia="zh-CN"/>
        </w:rPr>
        <w:t>扰、影响评标工作。</w:t>
      </w:r>
    </w:p>
    <w:p w14:paraId="48BFDBCC">
      <w:pPr>
        <w:pStyle w:val="4"/>
        <w:bidi w:val="0"/>
        <w:rPr>
          <w:rFonts w:hint="eastAsia"/>
          <w:color w:val="auto"/>
          <w:highlight w:val="none"/>
          <w:lang w:val="en-US" w:eastAsia="zh-CN"/>
        </w:rPr>
      </w:pPr>
      <w:bookmarkStart w:id="272" w:name="_Toc7042"/>
      <w:r>
        <w:rPr>
          <w:rFonts w:hint="eastAsia"/>
          <w:color w:val="auto"/>
          <w:highlight w:val="none"/>
          <w:lang w:val="en-US" w:eastAsia="zh-CN"/>
        </w:rPr>
        <w:t>9.3 对评标委员会成员的纪律要求</w:t>
      </w:r>
      <w:bookmarkEnd w:id="272"/>
    </w:p>
    <w:p w14:paraId="056D6F1A">
      <w:pPr>
        <w:bidi w:val="0"/>
        <w:rPr>
          <w:rFonts w:hint="eastAsia"/>
          <w:color w:val="auto"/>
          <w:highlight w:val="none"/>
          <w:lang w:val="en-US" w:eastAsia="zh-CN"/>
        </w:rPr>
      </w:pPr>
      <w:r>
        <w:rPr>
          <w:rFonts w:hint="eastAsia"/>
          <w:color w:val="auto"/>
          <w:highlight w:val="none"/>
          <w:lang w:val="en-US"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273" w:name="_bookmark72"/>
      <w:bookmarkEnd w:id="273"/>
      <w:r>
        <w:rPr>
          <w:rFonts w:hint="eastAsia"/>
          <w:color w:val="auto"/>
          <w:highlight w:val="none"/>
          <w:lang w:val="en-US" w:eastAsia="zh-CN"/>
        </w:rPr>
        <w:t>三章“评标办法”没有规定的评审因素和标准进行评标。</w:t>
      </w:r>
    </w:p>
    <w:p w14:paraId="68D701AD">
      <w:pPr>
        <w:pStyle w:val="4"/>
        <w:bidi w:val="0"/>
        <w:rPr>
          <w:rFonts w:hint="eastAsia"/>
          <w:color w:val="auto"/>
          <w:highlight w:val="none"/>
          <w:lang w:val="en-US" w:eastAsia="zh-CN"/>
        </w:rPr>
      </w:pPr>
      <w:bookmarkStart w:id="274" w:name="_Toc1610"/>
      <w:r>
        <w:rPr>
          <w:rFonts w:hint="eastAsia"/>
          <w:color w:val="auto"/>
          <w:highlight w:val="none"/>
          <w:lang w:val="en-US" w:eastAsia="zh-CN"/>
        </w:rPr>
        <w:t>9.4 对与评标活动有关的工作人员的纪律要求</w:t>
      </w:r>
      <w:bookmarkEnd w:id="274"/>
    </w:p>
    <w:p w14:paraId="2582BEF4">
      <w:pPr>
        <w:bidi w:val="0"/>
        <w:rPr>
          <w:rFonts w:hint="eastAsia"/>
          <w:color w:val="auto"/>
          <w:highlight w:val="none"/>
          <w:lang w:val="en-US" w:eastAsia="zh-CN"/>
        </w:rPr>
      </w:pPr>
      <w:r>
        <w:rPr>
          <w:rFonts w:hint="eastAsia"/>
          <w:color w:val="auto"/>
          <w:highlight w:val="none"/>
          <w:lang w:val="en-US" w:eastAsia="zh-CN"/>
        </w:rPr>
        <w:t>与评标活动有关的工作人员不得收受他人的财物或者其他好处，不得向他人透露对投标文件的评审和比较、中标候选人的推荐情况以及评标有关的其他情况。在评标活动中，与评标活</w:t>
      </w:r>
      <w:bookmarkStart w:id="275" w:name="_bookmark73"/>
      <w:bookmarkEnd w:id="275"/>
      <w:r>
        <w:rPr>
          <w:rFonts w:hint="eastAsia"/>
          <w:color w:val="auto"/>
          <w:highlight w:val="none"/>
          <w:lang w:val="en-US" w:eastAsia="zh-CN"/>
        </w:rPr>
        <w:t>动有关的工作人员不得擅离职守，影响评标程序正常进行。</w:t>
      </w:r>
    </w:p>
    <w:p w14:paraId="6D8A2779">
      <w:pPr>
        <w:pStyle w:val="4"/>
        <w:bidi w:val="0"/>
        <w:rPr>
          <w:rFonts w:hint="eastAsia"/>
          <w:color w:val="auto"/>
          <w:highlight w:val="none"/>
          <w:lang w:val="en-US" w:eastAsia="zh-CN"/>
        </w:rPr>
      </w:pPr>
      <w:bookmarkStart w:id="276" w:name="_Toc15385"/>
      <w:r>
        <w:rPr>
          <w:rFonts w:hint="eastAsia"/>
          <w:color w:val="auto"/>
          <w:highlight w:val="none"/>
          <w:lang w:val="en-US" w:eastAsia="zh-CN"/>
        </w:rPr>
        <w:t>9.5 投诉</w:t>
      </w:r>
      <w:bookmarkEnd w:id="276"/>
    </w:p>
    <w:p w14:paraId="6E72122E">
      <w:pPr>
        <w:bidi w:val="0"/>
        <w:rPr>
          <w:rFonts w:hint="eastAsia"/>
          <w:color w:val="auto"/>
          <w:highlight w:val="none"/>
        </w:rPr>
      </w:pPr>
      <w:r>
        <w:rPr>
          <w:rFonts w:hint="eastAsia"/>
          <w:color w:val="auto"/>
          <w:highlight w:val="none"/>
        </w:rPr>
        <w:t>投标人和其他利害关系人认为本次招标活动违反法律、法规和规章规定的，有权向有关监督部门投诉。</w:t>
      </w:r>
    </w:p>
    <w:p w14:paraId="3CDE970D">
      <w:pPr>
        <w:pStyle w:val="3"/>
        <w:bidi w:val="0"/>
        <w:rPr>
          <w:rFonts w:hint="eastAsia"/>
          <w:color w:val="auto"/>
          <w:highlight w:val="none"/>
          <w:lang w:val="en-US" w:eastAsia="zh-CN"/>
        </w:rPr>
      </w:pPr>
      <w:bookmarkStart w:id="277" w:name="_Toc13432"/>
      <w:bookmarkStart w:id="278" w:name="_Toc17675"/>
      <w:bookmarkStart w:id="279" w:name="_Toc14565"/>
      <w:r>
        <w:rPr>
          <w:rFonts w:hint="eastAsia"/>
          <w:color w:val="auto"/>
          <w:highlight w:val="none"/>
          <w:lang w:val="en-US" w:eastAsia="zh-CN"/>
        </w:rPr>
        <w:t>10.交易相关费用</w:t>
      </w:r>
      <w:bookmarkEnd w:id="277"/>
      <w:bookmarkEnd w:id="278"/>
      <w:bookmarkEnd w:id="279"/>
    </w:p>
    <w:p w14:paraId="6C75B3EB">
      <w:pPr>
        <w:bidi w:val="0"/>
        <w:rPr>
          <w:rFonts w:hint="eastAsia"/>
          <w:color w:val="auto"/>
          <w:highlight w:val="none"/>
          <w:lang w:val="en-US" w:eastAsia="zh-CN"/>
        </w:rPr>
      </w:pPr>
      <w:r>
        <w:rPr>
          <w:rFonts w:hint="eastAsia"/>
          <w:color w:val="auto"/>
          <w:highlight w:val="none"/>
          <w:lang w:val="en-US" w:eastAsia="zh-CN"/>
        </w:rPr>
        <w:t>交易相关费用：见投标人须知前附表。</w:t>
      </w:r>
    </w:p>
    <w:p w14:paraId="2EE06184">
      <w:pPr>
        <w:pStyle w:val="3"/>
        <w:bidi w:val="0"/>
        <w:rPr>
          <w:rFonts w:hint="eastAsia"/>
          <w:color w:val="auto"/>
          <w:highlight w:val="none"/>
          <w:lang w:val="en-US" w:eastAsia="zh-CN"/>
        </w:rPr>
      </w:pPr>
      <w:bookmarkStart w:id="280" w:name="_bookmark75"/>
      <w:bookmarkEnd w:id="280"/>
      <w:bookmarkStart w:id="281" w:name="_bookmark74"/>
      <w:bookmarkEnd w:id="281"/>
      <w:bookmarkStart w:id="282" w:name="_Toc9677"/>
      <w:bookmarkStart w:id="283" w:name="_Toc12614"/>
      <w:bookmarkStart w:id="284" w:name="_Toc19992"/>
      <w:r>
        <w:rPr>
          <w:rFonts w:hint="eastAsia"/>
          <w:color w:val="auto"/>
          <w:highlight w:val="none"/>
          <w:lang w:val="en-US" w:eastAsia="zh-CN"/>
        </w:rPr>
        <w:t>11.需要补充的其他内容</w:t>
      </w:r>
      <w:bookmarkEnd w:id="282"/>
      <w:bookmarkEnd w:id="283"/>
      <w:bookmarkEnd w:id="284"/>
    </w:p>
    <w:p w14:paraId="0F283D4E">
      <w:pPr>
        <w:bidi w:val="0"/>
        <w:rPr>
          <w:rFonts w:hint="eastAsia"/>
          <w:color w:val="auto"/>
          <w:highlight w:val="none"/>
          <w:lang w:val="en-US" w:eastAsia="zh-CN"/>
        </w:rPr>
      </w:pPr>
      <w:r>
        <w:rPr>
          <w:rFonts w:hint="eastAsia"/>
          <w:color w:val="auto"/>
          <w:highlight w:val="none"/>
          <w:lang w:val="en-US" w:eastAsia="zh-CN"/>
        </w:rPr>
        <w:t>需要补充的其他内容：见投标人须知前附表。</w:t>
      </w:r>
    </w:p>
    <w:p w14:paraId="1FB72CCF">
      <w:pPr>
        <w:bidi w:val="0"/>
        <w:rPr>
          <w:rFonts w:hint="eastAsia"/>
          <w:color w:val="auto"/>
          <w:highlight w:val="none"/>
          <w:lang w:val="en-US" w:eastAsia="zh-CN"/>
        </w:rPr>
      </w:pPr>
    </w:p>
    <w:p w14:paraId="5622DE93">
      <w:pPr>
        <w:pStyle w:val="4"/>
        <w:spacing w:before="0" w:after="0" w:line="360" w:lineRule="auto"/>
        <w:ind w:left="0" w:firstLine="211" w:firstLineChars="100"/>
        <w:outlineLvl w:val="9"/>
        <w:rPr>
          <w:rFonts w:hint="eastAsia" w:ascii="宋体" w:hAnsi="宋体" w:eastAsia="宋体" w:cs="宋体"/>
          <w:color w:val="auto"/>
          <w:sz w:val="21"/>
          <w:szCs w:val="21"/>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6144"/>
        </w:sectPr>
      </w:pPr>
    </w:p>
    <w:p w14:paraId="15068E22">
      <w:pPr>
        <w:pStyle w:val="3"/>
        <w:bidi w:val="0"/>
        <w:rPr>
          <w:rFonts w:hint="eastAsia"/>
        </w:rPr>
      </w:pPr>
      <w:bookmarkStart w:id="285" w:name="_Toc13338"/>
      <w:r>
        <w:rPr>
          <w:rFonts w:hint="eastAsia"/>
        </w:rPr>
        <w:t>附件一：开标记录表</w:t>
      </w:r>
      <w:bookmarkEnd w:id="65"/>
      <w:bookmarkEnd w:id="66"/>
      <w:bookmarkEnd w:id="67"/>
      <w:bookmarkEnd w:id="285"/>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7"/>
        <w:gridCol w:w="4380"/>
        <w:gridCol w:w="2418"/>
        <w:gridCol w:w="1831"/>
        <w:gridCol w:w="1695"/>
        <w:gridCol w:w="2713"/>
      </w:tblGrid>
      <w:tr w14:paraId="1C082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000" w:type="pct"/>
            <w:gridSpan w:val="6"/>
            <w:tcBorders>
              <w:top w:val="nil"/>
              <w:left w:val="nil"/>
              <w:bottom w:val="nil"/>
              <w:right w:val="nil"/>
            </w:tcBorders>
            <w:shd w:val="clear" w:color="auto" w:fill="auto"/>
            <w:vAlign w:val="center"/>
          </w:tcPr>
          <w:p w14:paraId="023F8F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single"/>
                <w:lang w:val="en-US" w:eastAsia="zh-CN"/>
              </w:rPr>
              <w:t xml:space="preserve">                           </w:t>
            </w:r>
            <w:r>
              <w:rPr>
                <w:rFonts w:hint="eastAsia" w:ascii="宋体" w:hAnsi="宋体" w:eastAsia="宋体" w:cs="宋体"/>
                <w:b/>
                <w:bCs/>
                <w:i w:val="0"/>
                <w:iCs w:val="0"/>
                <w:color w:val="auto"/>
                <w:kern w:val="0"/>
                <w:sz w:val="28"/>
                <w:szCs w:val="28"/>
                <w:highlight w:val="none"/>
                <w:u w:val="none"/>
                <w:lang w:val="en-US" w:eastAsia="zh-CN"/>
              </w:rPr>
              <w:t>项目</w:t>
            </w:r>
          </w:p>
        </w:tc>
      </w:tr>
      <w:tr w14:paraId="5FDA7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6"/>
            <w:tcBorders>
              <w:top w:val="nil"/>
              <w:left w:val="nil"/>
              <w:bottom w:val="nil"/>
              <w:right w:val="nil"/>
            </w:tcBorders>
            <w:shd w:val="clear" w:color="auto" w:fill="auto"/>
            <w:vAlign w:val="center"/>
          </w:tcPr>
          <w:p w14:paraId="5A4EE5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rPr>
              <w:t>开标记录表</w:t>
            </w:r>
          </w:p>
        </w:tc>
      </w:tr>
      <w:tr w14:paraId="1209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BD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序号</w:t>
            </w:r>
          </w:p>
        </w:tc>
        <w:tc>
          <w:tcPr>
            <w:tcW w:w="1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7B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投标单位名称</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5F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投标报价</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24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投标保证金</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15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密封情况</w:t>
            </w: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0D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授权代表签字</w:t>
            </w:r>
          </w:p>
        </w:tc>
      </w:tr>
      <w:tr w14:paraId="0E479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C1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1545" w:type="pct"/>
            <w:tcBorders>
              <w:top w:val="single" w:color="000000" w:sz="4" w:space="0"/>
              <w:left w:val="single" w:color="000000" w:sz="4" w:space="0"/>
              <w:bottom w:val="single" w:color="000000" w:sz="4" w:space="0"/>
              <w:right w:val="single" w:color="000000" w:sz="4" w:space="0"/>
            </w:tcBorders>
            <w:shd w:val="clear" w:color="auto" w:fill="auto"/>
          </w:tcPr>
          <w:p w14:paraId="38BF9276">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rPr>
                <w:rFonts w:hint="eastAsia" w:ascii="宋体" w:hAnsi="宋体" w:eastAsia="宋体" w:cs="宋体"/>
                <w:i w:val="0"/>
                <w:iCs w:val="0"/>
                <w:color w:val="auto"/>
                <w:sz w:val="28"/>
                <w:szCs w:val="28"/>
                <w:highlight w:val="none"/>
                <w:u w:val="none"/>
              </w:rPr>
            </w:pP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8851">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rPr>
                <w:rFonts w:hint="eastAsia" w:ascii="宋体" w:hAnsi="宋体" w:eastAsia="宋体" w:cs="宋体"/>
                <w:i w:val="0"/>
                <w:iCs w:val="0"/>
                <w:color w:val="auto"/>
                <w:sz w:val="24"/>
                <w:szCs w:val="24"/>
                <w:highlight w:val="none"/>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18A75">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eastAsia" w:ascii="宋体" w:hAnsi="宋体" w:eastAsia="宋体" w:cs="宋体"/>
                <w:i w:val="0"/>
                <w:iCs w:val="0"/>
                <w:color w:val="auto"/>
                <w:sz w:val="24"/>
                <w:szCs w:val="24"/>
                <w:highlight w:val="none"/>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203C">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eastAsia" w:ascii="宋体" w:hAnsi="宋体" w:eastAsia="宋体" w:cs="宋体"/>
                <w:i w:val="0"/>
                <w:iCs w:val="0"/>
                <w:color w:val="auto"/>
                <w:sz w:val="24"/>
                <w:szCs w:val="24"/>
                <w:highlight w:val="none"/>
                <w:u w:val="none"/>
              </w:rPr>
            </w:pP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C1A6">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rPr>
                <w:rFonts w:hint="eastAsia" w:ascii="宋体" w:hAnsi="宋体" w:eastAsia="宋体" w:cs="宋体"/>
                <w:i w:val="0"/>
                <w:iCs w:val="0"/>
                <w:color w:val="auto"/>
                <w:sz w:val="24"/>
                <w:szCs w:val="24"/>
                <w:highlight w:val="none"/>
                <w:u w:val="none"/>
              </w:rPr>
            </w:pPr>
          </w:p>
        </w:tc>
      </w:tr>
      <w:tr w14:paraId="48D98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18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w:t>
            </w:r>
          </w:p>
        </w:tc>
        <w:tc>
          <w:tcPr>
            <w:tcW w:w="1545" w:type="pct"/>
            <w:tcBorders>
              <w:top w:val="single" w:color="000000" w:sz="4" w:space="0"/>
              <w:left w:val="single" w:color="000000" w:sz="4" w:space="0"/>
              <w:bottom w:val="single" w:color="000000" w:sz="4" w:space="0"/>
              <w:right w:val="single" w:color="000000" w:sz="4" w:space="0"/>
            </w:tcBorders>
            <w:shd w:val="clear" w:color="auto" w:fill="auto"/>
          </w:tcPr>
          <w:p w14:paraId="5C635777">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rPr>
                <w:rFonts w:hint="eastAsia" w:ascii="宋体" w:hAnsi="宋体" w:eastAsia="宋体" w:cs="宋体"/>
                <w:i w:val="0"/>
                <w:iCs w:val="0"/>
                <w:color w:val="auto"/>
                <w:sz w:val="28"/>
                <w:szCs w:val="28"/>
                <w:highlight w:val="none"/>
                <w:u w:val="none"/>
              </w:rPr>
            </w:pP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E9AF">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rPr>
                <w:rFonts w:hint="eastAsia" w:ascii="宋体" w:hAnsi="宋体" w:eastAsia="宋体" w:cs="宋体"/>
                <w:i w:val="0"/>
                <w:iCs w:val="0"/>
                <w:color w:val="auto"/>
                <w:sz w:val="24"/>
                <w:szCs w:val="24"/>
                <w:highlight w:val="none"/>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1AEEC">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eastAsia" w:ascii="宋体" w:hAnsi="宋体" w:eastAsia="宋体" w:cs="宋体"/>
                <w:i w:val="0"/>
                <w:iCs w:val="0"/>
                <w:color w:val="auto"/>
                <w:sz w:val="24"/>
                <w:szCs w:val="24"/>
                <w:highlight w:val="none"/>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3BC57">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eastAsia" w:ascii="宋体" w:hAnsi="宋体" w:eastAsia="宋体" w:cs="宋体"/>
                <w:i w:val="0"/>
                <w:iCs w:val="0"/>
                <w:color w:val="auto"/>
                <w:sz w:val="24"/>
                <w:szCs w:val="24"/>
                <w:highlight w:val="none"/>
                <w:u w:val="none"/>
              </w:rPr>
            </w:pP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442D">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rPr>
                <w:rFonts w:hint="eastAsia" w:ascii="宋体" w:hAnsi="宋体" w:eastAsia="宋体" w:cs="宋体"/>
                <w:i w:val="0"/>
                <w:iCs w:val="0"/>
                <w:color w:val="auto"/>
                <w:sz w:val="24"/>
                <w:szCs w:val="24"/>
                <w:highlight w:val="none"/>
                <w:u w:val="none"/>
              </w:rPr>
            </w:pPr>
          </w:p>
        </w:tc>
      </w:tr>
      <w:tr w14:paraId="6700B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D1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w:t>
            </w:r>
          </w:p>
        </w:tc>
        <w:tc>
          <w:tcPr>
            <w:tcW w:w="1545" w:type="pct"/>
            <w:tcBorders>
              <w:top w:val="single" w:color="000000" w:sz="4" w:space="0"/>
              <w:left w:val="single" w:color="000000" w:sz="4" w:space="0"/>
              <w:bottom w:val="single" w:color="000000" w:sz="4" w:space="0"/>
              <w:right w:val="single" w:color="000000" w:sz="4" w:space="0"/>
            </w:tcBorders>
            <w:shd w:val="clear" w:color="auto" w:fill="auto"/>
          </w:tcPr>
          <w:p w14:paraId="1B5BD4C5">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rPr>
                <w:rFonts w:hint="eastAsia" w:ascii="宋体" w:hAnsi="宋体" w:eastAsia="宋体" w:cs="宋体"/>
                <w:i w:val="0"/>
                <w:iCs w:val="0"/>
                <w:color w:val="auto"/>
                <w:sz w:val="28"/>
                <w:szCs w:val="28"/>
                <w:highlight w:val="none"/>
                <w:u w:val="none"/>
              </w:rPr>
            </w:pPr>
          </w:p>
        </w:tc>
        <w:tc>
          <w:tcPr>
            <w:tcW w:w="852" w:type="pct"/>
            <w:tcBorders>
              <w:top w:val="single" w:color="000000" w:sz="4" w:space="0"/>
              <w:left w:val="single" w:color="000000" w:sz="4" w:space="0"/>
              <w:bottom w:val="single" w:color="000000" w:sz="4" w:space="0"/>
              <w:right w:val="single" w:color="000000" w:sz="4" w:space="0"/>
            </w:tcBorders>
            <w:shd w:val="clear" w:color="auto" w:fill="auto"/>
          </w:tcPr>
          <w:p w14:paraId="754CA8C8">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rPr>
                <w:rFonts w:hint="eastAsia" w:ascii="宋体" w:hAnsi="宋体" w:eastAsia="宋体" w:cs="宋体"/>
                <w:i w:val="0"/>
                <w:iCs w:val="0"/>
                <w:color w:val="auto"/>
                <w:sz w:val="28"/>
                <w:szCs w:val="28"/>
                <w:highlight w:val="none"/>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1148">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eastAsia" w:ascii="宋体" w:hAnsi="宋体" w:eastAsia="宋体" w:cs="宋体"/>
                <w:i w:val="0"/>
                <w:iCs w:val="0"/>
                <w:color w:val="auto"/>
                <w:sz w:val="24"/>
                <w:szCs w:val="24"/>
                <w:highlight w:val="none"/>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63C2">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eastAsia" w:ascii="宋体" w:hAnsi="宋体" w:eastAsia="宋体" w:cs="宋体"/>
                <w:i w:val="0"/>
                <w:iCs w:val="0"/>
                <w:color w:val="auto"/>
                <w:sz w:val="24"/>
                <w:szCs w:val="24"/>
                <w:highlight w:val="none"/>
                <w:u w:val="none"/>
              </w:rPr>
            </w:pP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7DEE">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rPr>
                <w:rFonts w:hint="eastAsia" w:ascii="宋体" w:hAnsi="宋体" w:eastAsia="宋体" w:cs="宋体"/>
                <w:i w:val="0"/>
                <w:iCs w:val="0"/>
                <w:color w:val="auto"/>
                <w:sz w:val="24"/>
                <w:szCs w:val="24"/>
                <w:highlight w:val="none"/>
                <w:u w:val="none"/>
              </w:rPr>
            </w:pPr>
          </w:p>
        </w:tc>
      </w:tr>
      <w:tr w14:paraId="412EE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3F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w:t>
            </w:r>
          </w:p>
        </w:tc>
        <w:tc>
          <w:tcPr>
            <w:tcW w:w="1545" w:type="pct"/>
            <w:tcBorders>
              <w:top w:val="single" w:color="000000" w:sz="4" w:space="0"/>
              <w:left w:val="single" w:color="000000" w:sz="4" w:space="0"/>
              <w:bottom w:val="single" w:color="000000" w:sz="4" w:space="0"/>
              <w:right w:val="single" w:color="000000" w:sz="4" w:space="0"/>
            </w:tcBorders>
            <w:shd w:val="clear" w:color="auto" w:fill="auto"/>
          </w:tcPr>
          <w:p w14:paraId="2A0BD28E">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rPr>
                <w:rFonts w:hint="eastAsia" w:ascii="宋体" w:hAnsi="宋体" w:eastAsia="宋体" w:cs="宋体"/>
                <w:i w:val="0"/>
                <w:iCs w:val="0"/>
                <w:color w:val="auto"/>
                <w:sz w:val="28"/>
                <w:szCs w:val="28"/>
                <w:highlight w:val="none"/>
                <w:u w:val="none"/>
              </w:rPr>
            </w:pPr>
          </w:p>
        </w:tc>
        <w:tc>
          <w:tcPr>
            <w:tcW w:w="852" w:type="pct"/>
            <w:tcBorders>
              <w:top w:val="single" w:color="000000" w:sz="4" w:space="0"/>
              <w:left w:val="single" w:color="000000" w:sz="4" w:space="0"/>
              <w:bottom w:val="single" w:color="000000" w:sz="4" w:space="0"/>
              <w:right w:val="single" w:color="000000" w:sz="4" w:space="0"/>
            </w:tcBorders>
            <w:shd w:val="clear" w:color="auto" w:fill="auto"/>
          </w:tcPr>
          <w:p w14:paraId="1EF3F23E">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rPr>
                <w:rFonts w:hint="eastAsia" w:ascii="宋体" w:hAnsi="宋体" w:eastAsia="宋体" w:cs="宋体"/>
                <w:i w:val="0"/>
                <w:iCs w:val="0"/>
                <w:color w:val="auto"/>
                <w:sz w:val="28"/>
                <w:szCs w:val="28"/>
                <w:highlight w:val="none"/>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0D92">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eastAsia" w:ascii="宋体" w:hAnsi="宋体" w:eastAsia="宋体" w:cs="宋体"/>
                <w:i w:val="0"/>
                <w:iCs w:val="0"/>
                <w:color w:val="auto"/>
                <w:sz w:val="24"/>
                <w:szCs w:val="24"/>
                <w:highlight w:val="none"/>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38389">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eastAsia" w:ascii="宋体" w:hAnsi="宋体" w:eastAsia="宋体" w:cs="宋体"/>
                <w:i w:val="0"/>
                <w:iCs w:val="0"/>
                <w:color w:val="auto"/>
                <w:sz w:val="24"/>
                <w:szCs w:val="24"/>
                <w:highlight w:val="none"/>
                <w:u w:val="none"/>
              </w:rPr>
            </w:pP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F35E">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rPr>
                <w:rFonts w:hint="eastAsia" w:ascii="宋体" w:hAnsi="宋体" w:eastAsia="宋体" w:cs="宋体"/>
                <w:i w:val="0"/>
                <w:iCs w:val="0"/>
                <w:color w:val="auto"/>
                <w:sz w:val="24"/>
                <w:szCs w:val="24"/>
                <w:highlight w:val="none"/>
                <w:u w:val="none"/>
              </w:rPr>
            </w:pPr>
          </w:p>
        </w:tc>
      </w:tr>
      <w:tr w14:paraId="4779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1" w:type="pct"/>
            <w:tcBorders>
              <w:top w:val="single" w:color="000000" w:sz="4" w:space="0"/>
              <w:left w:val="single" w:color="000000" w:sz="4" w:space="0"/>
              <w:bottom w:val="nil"/>
              <w:right w:val="single" w:color="000000" w:sz="4" w:space="0"/>
            </w:tcBorders>
            <w:shd w:val="clear" w:color="auto" w:fill="auto"/>
            <w:noWrap/>
            <w:vAlign w:val="center"/>
          </w:tcPr>
          <w:p w14:paraId="714F04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5</w:t>
            </w:r>
          </w:p>
        </w:tc>
        <w:tc>
          <w:tcPr>
            <w:tcW w:w="1545" w:type="pct"/>
            <w:tcBorders>
              <w:top w:val="single" w:color="000000" w:sz="4" w:space="0"/>
              <w:left w:val="single" w:color="000000" w:sz="4" w:space="0"/>
              <w:bottom w:val="nil"/>
              <w:right w:val="single" w:color="000000" w:sz="4" w:space="0"/>
            </w:tcBorders>
            <w:shd w:val="clear" w:color="auto" w:fill="auto"/>
          </w:tcPr>
          <w:p w14:paraId="6013BF48">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rPr>
                <w:rFonts w:hint="eastAsia" w:ascii="宋体" w:hAnsi="宋体" w:eastAsia="宋体" w:cs="宋体"/>
                <w:i w:val="0"/>
                <w:iCs w:val="0"/>
                <w:color w:val="auto"/>
                <w:sz w:val="28"/>
                <w:szCs w:val="28"/>
                <w:highlight w:val="none"/>
                <w:u w:val="none"/>
              </w:rPr>
            </w:pPr>
          </w:p>
        </w:tc>
        <w:tc>
          <w:tcPr>
            <w:tcW w:w="852" w:type="pct"/>
            <w:tcBorders>
              <w:top w:val="single" w:color="000000" w:sz="4" w:space="0"/>
              <w:left w:val="single" w:color="000000" w:sz="4" w:space="0"/>
              <w:bottom w:val="nil"/>
              <w:right w:val="single" w:color="000000" w:sz="4" w:space="0"/>
            </w:tcBorders>
            <w:shd w:val="clear" w:color="auto" w:fill="auto"/>
          </w:tcPr>
          <w:p w14:paraId="40AE5CEE">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rPr>
                <w:rFonts w:hint="eastAsia" w:ascii="宋体" w:hAnsi="宋体" w:eastAsia="宋体" w:cs="宋体"/>
                <w:i w:val="0"/>
                <w:iCs w:val="0"/>
                <w:color w:val="auto"/>
                <w:sz w:val="28"/>
                <w:szCs w:val="28"/>
                <w:highlight w:val="none"/>
                <w:u w:val="none"/>
              </w:rPr>
            </w:pPr>
          </w:p>
        </w:tc>
        <w:tc>
          <w:tcPr>
            <w:tcW w:w="646" w:type="pct"/>
            <w:tcBorders>
              <w:top w:val="single" w:color="000000" w:sz="4" w:space="0"/>
              <w:left w:val="single" w:color="000000" w:sz="4" w:space="0"/>
              <w:bottom w:val="nil"/>
              <w:right w:val="single" w:color="000000" w:sz="4" w:space="0"/>
            </w:tcBorders>
            <w:shd w:val="clear" w:color="auto" w:fill="auto"/>
            <w:vAlign w:val="center"/>
          </w:tcPr>
          <w:p w14:paraId="4DD4D9AE">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eastAsia" w:ascii="宋体" w:hAnsi="宋体" w:eastAsia="宋体" w:cs="宋体"/>
                <w:i w:val="0"/>
                <w:iCs w:val="0"/>
                <w:color w:val="auto"/>
                <w:sz w:val="24"/>
                <w:szCs w:val="24"/>
                <w:highlight w:val="none"/>
                <w:u w:val="none"/>
              </w:rPr>
            </w:pPr>
          </w:p>
        </w:tc>
        <w:tc>
          <w:tcPr>
            <w:tcW w:w="598" w:type="pct"/>
            <w:tcBorders>
              <w:top w:val="single" w:color="000000" w:sz="4" w:space="0"/>
              <w:left w:val="single" w:color="000000" w:sz="4" w:space="0"/>
              <w:bottom w:val="nil"/>
              <w:right w:val="single" w:color="000000" w:sz="4" w:space="0"/>
            </w:tcBorders>
            <w:shd w:val="clear" w:color="auto" w:fill="auto"/>
            <w:vAlign w:val="center"/>
          </w:tcPr>
          <w:p w14:paraId="0E179A8B">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eastAsia" w:ascii="宋体" w:hAnsi="宋体" w:eastAsia="宋体" w:cs="宋体"/>
                <w:i w:val="0"/>
                <w:iCs w:val="0"/>
                <w:color w:val="auto"/>
                <w:sz w:val="24"/>
                <w:szCs w:val="24"/>
                <w:highlight w:val="none"/>
                <w:u w:val="none"/>
              </w:rPr>
            </w:pPr>
          </w:p>
        </w:tc>
        <w:tc>
          <w:tcPr>
            <w:tcW w:w="954" w:type="pct"/>
            <w:tcBorders>
              <w:top w:val="single" w:color="000000" w:sz="4" w:space="0"/>
              <w:left w:val="single" w:color="000000" w:sz="4" w:space="0"/>
              <w:bottom w:val="nil"/>
              <w:right w:val="single" w:color="000000" w:sz="4" w:space="0"/>
            </w:tcBorders>
            <w:shd w:val="clear" w:color="auto" w:fill="auto"/>
            <w:noWrap/>
            <w:vAlign w:val="center"/>
          </w:tcPr>
          <w:p w14:paraId="7B042C0E">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center"/>
              <w:rPr>
                <w:rFonts w:hint="eastAsia" w:ascii="宋体" w:hAnsi="宋体" w:eastAsia="宋体" w:cs="宋体"/>
                <w:i w:val="0"/>
                <w:iCs w:val="0"/>
                <w:color w:val="auto"/>
                <w:sz w:val="24"/>
                <w:szCs w:val="24"/>
                <w:highlight w:val="none"/>
                <w:u w:val="none"/>
              </w:rPr>
            </w:pPr>
          </w:p>
        </w:tc>
      </w:tr>
      <w:tr w14:paraId="0C2B8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CA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最高限价：</w:t>
            </w:r>
          </w:p>
        </w:tc>
      </w:tr>
      <w:tr w14:paraId="50B5C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6"/>
            <w:tcBorders>
              <w:top w:val="nil"/>
              <w:left w:val="nil"/>
              <w:bottom w:val="nil"/>
              <w:right w:val="nil"/>
            </w:tcBorders>
            <w:shd w:val="clear" w:color="auto" w:fill="auto"/>
            <w:vAlign w:val="center"/>
          </w:tcPr>
          <w:p w14:paraId="2C9BE2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招标人代表：                     记录员：                     监督人代表：                     主持人：</w:t>
            </w:r>
          </w:p>
        </w:tc>
      </w:tr>
      <w:tr w14:paraId="406C8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99" w:type="pct"/>
            <w:gridSpan w:val="3"/>
            <w:vMerge w:val="restart"/>
            <w:tcBorders>
              <w:top w:val="nil"/>
              <w:left w:val="nil"/>
              <w:bottom w:val="nil"/>
              <w:right w:val="nil"/>
            </w:tcBorders>
            <w:shd w:val="clear" w:color="auto" w:fill="auto"/>
            <w:noWrap/>
            <w:vAlign w:val="center"/>
          </w:tcPr>
          <w:p w14:paraId="4C7F4C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实际开标地点：重庆市公共资源交易中心-第    开标室</w:t>
            </w:r>
          </w:p>
        </w:tc>
        <w:tc>
          <w:tcPr>
            <w:tcW w:w="2200" w:type="pct"/>
            <w:gridSpan w:val="3"/>
            <w:vMerge w:val="restart"/>
            <w:tcBorders>
              <w:top w:val="nil"/>
              <w:left w:val="nil"/>
              <w:bottom w:val="nil"/>
              <w:right w:val="nil"/>
            </w:tcBorders>
            <w:shd w:val="clear" w:color="auto" w:fill="auto"/>
            <w:vAlign w:val="center"/>
          </w:tcPr>
          <w:p w14:paraId="5EB8D0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rPr>
              <w:t xml:space="preserve">开标时间：     年   月   日    </w:t>
            </w:r>
          </w:p>
        </w:tc>
      </w:tr>
      <w:tr w14:paraId="547B6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99" w:type="pct"/>
            <w:gridSpan w:val="3"/>
            <w:vMerge w:val="continue"/>
            <w:tcBorders>
              <w:top w:val="nil"/>
              <w:left w:val="nil"/>
              <w:bottom w:val="nil"/>
              <w:right w:val="nil"/>
            </w:tcBorders>
            <w:shd w:val="clear" w:color="auto" w:fill="auto"/>
            <w:noWrap/>
            <w:vAlign w:val="center"/>
          </w:tcPr>
          <w:p w14:paraId="2322C1FA">
            <w:pPr>
              <w:rPr>
                <w:color w:val="auto"/>
                <w:highlight w:val="none"/>
              </w:rPr>
            </w:pPr>
          </w:p>
        </w:tc>
        <w:tc>
          <w:tcPr>
            <w:tcW w:w="2200" w:type="pct"/>
            <w:gridSpan w:val="3"/>
            <w:vMerge w:val="continue"/>
            <w:tcBorders>
              <w:top w:val="nil"/>
              <w:left w:val="nil"/>
              <w:bottom w:val="nil"/>
              <w:right w:val="nil"/>
            </w:tcBorders>
            <w:shd w:val="clear" w:color="auto" w:fill="auto"/>
            <w:vAlign w:val="center"/>
          </w:tcPr>
          <w:p w14:paraId="1853DCC1">
            <w:pPr>
              <w:rPr>
                <w:color w:val="auto"/>
                <w:highlight w:val="none"/>
              </w:rPr>
            </w:pPr>
          </w:p>
        </w:tc>
      </w:tr>
    </w:tbl>
    <w:p w14:paraId="30AA7720">
      <w:pPr>
        <w:spacing w:before="0" w:after="0" w:line="360" w:lineRule="auto"/>
        <w:ind w:firstLine="0" w:firstLineChars="0"/>
        <w:outlineLvl w:val="9"/>
        <w:rPr>
          <w:rFonts w:hint="eastAsia" w:ascii="宋体" w:hAnsi="宋体" w:eastAsia="宋体" w:cs="宋体"/>
          <w:b/>
          <w:bCs/>
          <w:color w:val="auto"/>
          <w:sz w:val="21"/>
          <w:szCs w:val="21"/>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6144"/>
        </w:sectPr>
      </w:pPr>
      <w:bookmarkStart w:id="286" w:name="_Toc14964"/>
      <w:bookmarkStart w:id="287" w:name="_Toc2540"/>
      <w:bookmarkStart w:id="288" w:name="_Toc20090"/>
      <w:bookmarkStart w:id="289" w:name="_Toc492300621"/>
    </w:p>
    <w:p w14:paraId="41719737">
      <w:pPr>
        <w:pStyle w:val="3"/>
        <w:bidi w:val="0"/>
        <w:rPr>
          <w:rFonts w:hint="eastAsia"/>
        </w:rPr>
      </w:pPr>
      <w:bookmarkStart w:id="290" w:name="_Toc5824"/>
      <w:r>
        <w:rPr>
          <w:rFonts w:hint="eastAsia"/>
        </w:rPr>
        <w:t>附件</w:t>
      </w:r>
      <w:r>
        <w:rPr>
          <w:rFonts w:hint="eastAsia"/>
          <w:lang w:val="en-US" w:eastAsia="zh-CN"/>
        </w:rPr>
        <w:t>二</w:t>
      </w:r>
      <w:r>
        <w:rPr>
          <w:rFonts w:hint="eastAsia"/>
        </w:rPr>
        <w:t>：问题澄清通知</w:t>
      </w:r>
      <w:bookmarkEnd w:id="286"/>
      <w:bookmarkEnd w:id="287"/>
      <w:bookmarkEnd w:id="288"/>
      <w:bookmarkEnd w:id="289"/>
      <w:bookmarkEnd w:id="290"/>
    </w:p>
    <w:p w14:paraId="0B78C4D9">
      <w:pPr>
        <w:spacing w:line="360" w:lineRule="auto"/>
        <w:jc w:val="center"/>
        <w:rPr>
          <w:rFonts w:hint="eastAsia" w:ascii="宋体" w:hAnsi="宋体" w:eastAsia="宋体" w:cs="宋体"/>
          <w:color w:val="auto"/>
          <w:highlight w:val="none"/>
        </w:rPr>
      </w:pPr>
    </w:p>
    <w:p w14:paraId="2F9B31D1">
      <w:pPr>
        <w:spacing w:line="360" w:lineRule="auto"/>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问题澄清通知</w:t>
      </w:r>
    </w:p>
    <w:p w14:paraId="25CD029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（编号</w:t>
      </w:r>
      <w:r>
        <w:rPr>
          <w:rFonts w:hint="eastAsia" w:ascii="宋体" w:hAnsi="宋体" w:eastAsia="宋体" w:cs="宋体"/>
          <w:color w:val="auto"/>
          <w:highlight w:val="none"/>
          <w:lang w:eastAsia="zh-CN"/>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highlight w:val="none"/>
        </w:rPr>
        <w:t>）</w:t>
      </w:r>
    </w:p>
    <w:p w14:paraId="32B659B6">
      <w:pPr>
        <w:spacing w:line="360" w:lineRule="auto"/>
        <w:rPr>
          <w:rFonts w:hint="eastAsia" w:ascii="宋体" w:hAnsi="宋体" w:eastAsia="宋体" w:cs="宋体"/>
          <w:color w:val="auto"/>
          <w:highlight w:val="none"/>
        </w:rPr>
      </w:pPr>
    </w:p>
    <w:p w14:paraId="576F7D0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（投标人名称）</w:t>
      </w:r>
      <w:r>
        <w:rPr>
          <w:rFonts w:hint="eastAsia" w:ascii="宋体" w:hAnsi="宋体" w:eastAsia="宋体" w:cs="宋体"/>
          <w:color w:val="auto"/>
          <w:highlight w:val="none"/>
        </w:rPr>
        <w:t>：</w:t>
      </w:r>
    </w:p>
    <w:p w14:paraId="2CE87A73">
      <w:pPr>
        <w:spacing w:line="360" w:lineRule="auto"/>
        <w:rPr>
          <w:rFonts w:hint="eastAsia" w:ascii="宋体" w:hAnsi="宋体" w:eastAsia="宋体" w:cs="宋体"/>
          <w:color w:val="auto"/>
          <w:highlight w:val="none"/>
        </w:rPr>
      </w:pPr>
    </w:p>
    <w:p w14:paraId="53D9FA9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评标委员会对你方的投标文件进行了仔细的审查，现需你方对下列问题以书</w:t>
      </w:r>
      <w:bookmarkStart w:id="291" w:name="_Toc152042352"/>
      <w:bookmarkStart w:id="292" w:name="_Toc144974544"/>
      <w:bookmarkStart w:id="293" w:name="_Toc247514000"/>
      <w:bookmarkStart w:id="294" w:name="_Toc369531565"/>
      <w:bookmarkStart w:id="295" w:name="_Toc352691521"/>
      <w:bookmarkStart w:id="296" w:name="_Toc247527601"/>
      <w:bookmarkStart w:id="297" w:name="_Toc152045576"/>
      <w:bookmarkStart w:id="298" w:name="_Toc23050"/>
      <w:bookmarkStart w:id="299" w:name="_Toc300834996"/>
      <w:bookmarkStart w:id="300" w:name="_Toc361508634"/>
      <w:bookmarkStart w:id="301" w:name="_Toc384308260"/>
      <w:r>
        <w:rPr>
          <w:rFonts w:hint="eastAsia" w:ascii="宋体" w:hAnsi="宋体" w:eastAsia="宋体" w:cs="宋体"/>
          <w:color w:val="auto"/>
          <w:highlight w:val="none"/>
        </w:rPr>
        <w:t>面形式予以澄清、说明或补正：</w:t>
      </w:r>
    </w:p>
    <w:bookmarkEnd w:id="291"/>
    <w:bookmarkEnd w:id="292"/>
    <w:bookmarkEnd w:id="293"/>
    <w:bookmarkEnd w:id="294"/>
    <w:bookmarkEnd w:id="295"/>
    <w:bookmarkEnd w:id="296"/>
    <w:bookmarkEnd w:id="297"/>
    <w:bookmarkEnd w:id="298"/>
    <w:bookmarkEnd w:id="299"/>
    <w:bookmarkEnd w:id="300"/>
    <w:bookmarkEnd w:id="301"/>
    <w:p w14:paraId="078B2028">
      <w:pPr>
        <w:spacing w:line="360" w:lineRule="auto"/>
        <w:ind w:firstLine="420" w:firstLineChars="200"/>
        <w:rPr>
          <w:rFonts w:hint="eastAsia" w:ascii="宋体" w:hAnsi="宋体" w:eastAsia="宋体" w:cs="宋体"/>
          <w:color w:val="auto"/>
          <w:highlight w:val="none"/>
        </w:rPr>
      </w:pPr>
      <w:bookmarkStart w:id="302" w:name="_Toc247514002"/>
      <w:bookmarkStart w:id="303" w:name="_Toc369531567"/>
      <w:bookmarkStart w:id="304" w:name="_Toc152045578"/>
      <w:bookmarkStart w:id="305" w:name="_Toc384308262"/>
      <w:bookmarkStart w:id="306" w:name="_Toc361508636"/>
      <w:bookmarkStart w:id="307" w:name="_Toc300834998"/>
      <w:bookmarkStart w:id="308" w:name="_Toc352691523"/>
      <w:bookmarkStart w:id="309" w:name="_Toc152042354"/>
      <w:bookmarkStart w:id="310" w:name="_Toc247527603"/>
      <w:bookmarkStart w:id="311" w:name="_Toc6580"/>
      <w:bookmarkStart w:id="312" w:name="_Toc144974546"/>
      <w:r>
        <w:rPr>
          <w:rFonts w:hint="eastAsia" w:ascii="宋体" w:hAnsi="宋体" w:eastAsia="宋体" w:cs="宋体"/>
          <w:color w:val="auto"/>
          <w:highlight w:val="none"/>
        </w:rPr>
        <w:t>1.</w:t>
      </w:r>
    </w:p>
    <w:p w14:paraId="08D4B84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p>
    <w:p w14:paraId="630F340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p>
    <w:p w14:paraId="5C17DDE4">
      <w:pPr>
        <w:spacing w:line="360" w:lineRule="auto"/>
        <w:ind w:firstLine="420" w:firstLineChars="200"/>
        <w:rPr>
          <w:rFonts w:hint="eastAsia" w:ascii="宋体" w:hAnsi="宋体" w:eastAsia="宋体" w:cs="宋体"/>
          <w:color w:val="auto"/>
          <w:highlight w:val="none"/>
        </w:rPr>
      </w:pPr>
    </w:p>
    <w:p w14:paraId="6268D5CD">
      <w:pPr>
        <w:spacing w:line="360" w:lineRule="auto"/>
        <w:ind w:firstLine="420" w:firstLineChars="200"/>
        <w:rPr>
          <w:rFonts w:hint="eastAsia" w:ascii="宋体" w:hAnsi="宋体" w:eastAsia="宋体" w:cs="宋体"/>
          <w:color w:val="auto"/>
          <w:highlight w:val="none"/>
        </w:rPr>
      </w:pPr>
    </w:p>
    <w:p w14:paraId="5C9181C9">
      <w:pPr>
        <w:spacing w:line="360" w:lineRule="auto"/>
        <w:ind w:firstLine="420" w:firstLineChars="200"/>
        <w:rPr>
          <w:rFonts w:hint="eastAsia" w:ascii="宋体" w:hAnsi="宋体" w:eastAsia="宋体" w:cs="宋体"/>
          <w:color w:val="auto"/>
          <w:highlight w:val="none"/>
        </w:rPr>
      </w:pPr>
    </w:p>
    <w:p w14:paraId="79DBA7C7">
      <w:pPr>
        <w:bidi w:val="0"/>
        <w:rPr>
          <w:rFonts w:hint="eastAsia"/>
          <w:color w:val="auto"/>
          <w:highlight w:val="none"/>
        </w:rPr>
      </w:pPr>
      <w:r>
        <w:rPr>
          <w:rFonts w:hint="eastAsia"/>
          <w:color w:val="auto"/>
          <w:highlight w:val="none"/>
        </w:rPr>
        <w:t>请将上述问题的澄清于    年    月    日    时前通过重庆市公共资源交易网（www.cqggzy.com）提交。</w:t>
      </w:r>
    </w:p>
    <w:p w14:paraId="18ACCEDA">
      <w:pPr>
        <w:autoSpaceDE w:val="0"/>
        <w:autoSpaceDN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p>
    <w:p w14:paraId="3F141D96">
      <w:pPr>
        <w:tabs>
          <w:tab w:val="left" w:pos="6400"/>
        </w:tabs>
        <w:autoSpaceDE w:val="0"/>
        <w:autoSpaceDN w:val="0"/>
        <w:adjustRightInd w:val="0"/>
        <w:snapToGrid w:val="0"/>
        <w:spacing w:line="360" w:lineRule="auto"/>
        <w:jc w:val="righ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w:t>
      </w:r>
      <w:r>
        <w:rPr>
          <w:rFonts w:hint="eastAsia" w:ascii="宋体" w:hAnsi="宋体" w:eastAsia="宋体" w:cs="宋体"/>
          <w:color w:val="auto"/>
          <w:highlight w:val="none"/>
        </w:rPr>
        <w:t>评标委员会</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cs="宋体"/>
          <w:color w:val="auto"/>
          <w:highlight w:val="none"/>
          <w:lang w:val="en-US" w:eastAsia="zh-CN"/>
        </w:rPr>
        <w:t>签字</w:t>
      </w:r>
      <w:r>
        <w:rPr>
          <w:rFonts w:hint="eastAsia" w:ascii="宋体" w:hAnsi="宋体" w:eastAsia="宋体" w:cs="宋体"/>
          <w:color w:val="auto"/>
          <w:highlight w:val="none"/>
        </w:rPr>
        <w:t>）</w:t>
      </w:r>
    </w:p>
    <w:bookmarkEnd w:id="302"/>
    <w:bookmarkEnd w:id="303"/>
    <w:bookmarkEnd w:id="304"/>
    <w:bookmarkEnd w:id="305"/>
    <w:bookmarkEnd w:id="306"/>
    <w:bookmarkEnd w:id="307"/>
    <w:bookmarkEnd w:id="308"/>
    <w:bookmarkEnd w:id="309"/>
    <w:bookmarkEnd w:id="310"/>
    <w:bookmarkEnd w:id="311"/>
    <w:p w14:paraId="128981C2">
      <w:pPr>
        <w:spacing w:line="360" w:lineRule="auto"/>
        <w:rPr>
          <w:rFonts w:hint="eastAsia" w:ascii="宋体" w:hAnsi="宋体" w:eastAsia="宋体" w:cs="宋体"/>
          <w:color w:val="auto"/>
          <w:highlight w:val="none"/>
        </w:rPr>
      </w:pPr>
      <w:bookmarkStart w:id="313" w:name="_Toc152042355"/>
    </w:p>
    <w:p w14:paraId="43A28863">
      <w:pPr>
        <w:spacing w:line="360" w:lineRule="auto"/>
        <w:ind w:right="1680"/>
        <w:jc w:val="righ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62E75735">
      <w:pPr>
        <w:spacing w:line="360" w:lineRule="auto"/>
        <w:rPr>
          <w:rFonts w:hint="eastAsia" w:ascii="宋体" w:hAnsi="宋体" w:eastAsia="宋体" w:cs="宋体"/>
          <w:color w:val="auto"/>
          <w:highlight w:val="none"/>
        </w:rPr>
      </w:pPr>
    </w:p>
    <w:p w14:paraId="268F544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86D3F82">
      <w:pPr>
        <w:pStyle w:val="3"/>
        <w:bidi w:val="0"/>
        <w:rPr>
          <w:rFonts w:hint="eastAsia"/>
        </w:rPr>
      </w:pPr>
      <w:bookmarkStart w:id="314" w:name="_Toc5013"/>
      <w:bookmarkStart w:id="315" w:name="_Toc10329"/>
      <w:bookmarkStart w:id="316" w:name="_Toc12213"/>
      <w:bookmarkStart w:id="317" w:name="_Toc492300622"/>
      <w:r>
        <w:rPr>
          <w:rFonts w:hint="eastAsia"/>
        </w:rPr>
        <w:t>附件</w:t>
      </w:r>
      <w:r>
        <w:rPr>
          <w:rFonts w:hint="eastAsia"/>
          <w:lang w:val="en-US" w:eastAsia="zh-CN"/>
        </w:rPr>
        <w:t>三</w:t>
      </w:r>
      <w:r>
        <w:rPr>
          <w:rFonts w:hint="eastAsia"/>
        </w:rPr>
        <w:t>：问题的澄清</w:t>
      </w:r>
      <w:bookmarkEnd w:id="314"/>
      <w:bookmarkEnd w:id="315"/>
      <w:bookmarkEnd w:id="316"/>
      <w:bookmarkEnd w:id="317"/>
    </w:p>
    <w:p w14:paraId="64ADC5EC">
      <w:pPr>
        <w:spacing w:line="360" w:lineRule="auto"/>
        <w:jc w:val="center"/>
        <w:rPr>
          <w:rFonts w:hint="eastAsia" w:ascii="宋体" w:hAnsi="宋体" w:eastAsia="宋体" w:cs="宋体"/>
          <w:color w:val="auto"/>
          <w:sz w:val="21"/>
          <w:highlight w:val="none"/>
        </w:rPr>
      </w:pPr>
    </w:p>
    <w:p w14:paraId="34E6E75F">
      <w:pPr>
        <w:spacing w:line="360" w:lineRule="auto"/>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问</w:t>
      </w:r>
      <w:bookmarkEnd w:id="313"/>
      <w:r>
        <w:rPr>
          <w:rFonts w:hint="eastAsia" w:ascii="宋体" w:hAnsi="宋体" w:eastAsia="宋体" w:cs="宋体"/>
          <w:color w:val="auto"/>
          <w:sz w:val="21"/>
          <w:highlight w:val="none"/>
        </w:rPr>
        <w:t>题</w:t>
      </w:r>
      <w:bookmarkStart w:id="318" w:name="_Toc247514003"/>
      <w:bookmarkStart w:id="319" w:name="_Toc384308263"/>
      <w:bookmarkStart w:id="320" w:name="_Toc361508637"/>
      <w:bookmarkStart w:id="321" w:name="_Toc300834999"/>
      <w:bookmarkStart w:id="322" w:name="_Toc3622"/>
      <w:bookmarkStart w:id="323" w:name="_Toc247527604"/>
      <w:bookmarkStart w:id="324" w:name="_Toc369531568"/>
      <w:bookmarkStart w:id="325" w:name="_Toc352691524"/>
      <w:bookmarkStart w:id="326" w:name="_Toc152042356"/>
      <w:bookmarkStart w:id="327" w:name="_Toc152045579"/>
      <w:r>
        <w:rPr>
          <w:rFonts w:hint="eastAsia" w:ascii="宋体" w:hAnsi="宋体" w:eastAsia="宋体" w:cs="宋体"/>
          <w:color w:val="auto"/>
          <w:sz w:val="21"/>
          <w:highlight w:val="none"/>
        </w:rPr>
        <w:t>的澄清</w:t>
      </w:r>
    </w:p>
    <w:p w14:paraId="6FECA075">
      <w:pPr>
        <w:spacing w:line="360" w:lineRule="auto"/>
        <w:ind w:firstLine="3465" w:firstLineChars="1650"/>
        <w:rPr>
          <w:rFonts w:hint="eastAsia" w:ascii="宋体" w:hAnsi="宋体" w:eastAsia="宋体" w:cs="宋体"/>
          <w:color w:val="auto"/>
          <w:highlight w:val="none"/>
        </w:rPr>
      </w:pPr>
      <w:r>
        <w:rPr>
          <w:rFonts w:hint="eastAsia" w:ascii="宋体" w:hAnsi="宋体" w:eastAsia="宋体" w:cs="宋体"/>
          <w:color w:val="auto"/>
          <w:highlight w:val="none"/>
        </w:rPr>
        <w:t>（编号</w:t>
      </w:r>
      <w:bookmarkEnd w:id="312"/>
      <w:bookmarkEnd w:id="318"/>
      <w:bookmarkEnd w:id="319"/>
      <w:bookmarkEnd w:id="320"/>
      <w:bookmarkEnd w:id="321"/>
      <w:bookmarkEnd w:id="322"/>
      <w:bookmarkEnd w:id="323"/>
      <w:bookmarkEnd w:id="324"/>
      <w:bookmarkEnd w:id="325"/>
      <w:bookmarkEnd w:id="326"/>
      <w:bookmarkEnd w:id="327"/>
      <w:r>
        <w:rPr>
          <w:rFonts w:hint="eastAsia" w:ascii="宋体" w:hAnsi="宋体" w:eastAsia="宋体" w:cs="宋体"/>
          <w:color w:val="auto"/>
          <w:highlight w:val="none"/>
          <w:lang w:eastAsia="zh-CN"/>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highlight w:val="none"/>
        </w:rPr>
        <w:t>）</w:t>
      </w:r>
    </w:p>
    <w:p w14:paraId="1000054F">
      <w:pPr>
        <w:spacing w:line="360" w:lineRule="auto"/>
        <w:rPr>
          <w:rFonts w:hint="eastAsia" w:ascii="宋体" w:hAnsi="宋体" w:eastAsia="宋体" w:cs="宋体"/>
          <w:color w:val="auto"/>
          <w:highlight w:val="none"/>
        </w:rPr>
      </w:pPr>
    </w:p>
    <w:p w14:paraId="4F1126E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评标委员会：</w:t>
      </w:r>
    </w:p>
    <w:p w14:paraId="40446568">
      <w:pPr>
        <w:spacing w:line="360" w:lineRule="auto"/>
        <w:rPr>
          <w:rFonts w:hint="eastAsia" w:ascii="宋体" w:hAnsi="宋体" w:eastAsia="宋体" w:cs="宋体"/>
          <w:color w:val="auto"/>
          <w:highlight w:val="none"/>
        </w:rPr>
      </w:pPr>
    </w:p>
    <w:p w14:paraId="661E443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问题澄清通知（编号</w:t>
      </w:r>
      <w:r>
        <w:rPr>
          <w:rFonts w:hint="eastAsia" w:ascii="宋体" w:hAnsi="宋体" w:eastAsia="宋体" w:cs="宋体"/>
          <w:color w:val="auto"/>
          <w:highlight w:val="none"/>
          <w:lang w:eastAsia="zh-CN"/>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highlight w:val="none"/>
        </w:rPr>
        <w:t>）已收悉，现澄清、说明或补正如下：</w:t>
      </w:r>
    </w:p>
    <w:p w14:paraId="649FB8A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p>
    <w:p w14:paraId="14DC3E3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p>
    <w:p w14:paraId="3BC0ADD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p>
    <w:p w14:paraId="54379406">
      <w:pPr>
        <w:spacing w:line="360" w:lineRule="auto"/>
        <w:ind w:firstLine="420" w:firstLineChars="200"/>
        <w:rPr>
          <w:rFonts w:hint="eastAsia" w:ascii="宋体" w:hAnsi="宋体" w:eastAsia="宋体" w:cs="宋体"/>
          <w:color w:val="auto"/>
          <w:highlight w:val="none"/>
        </w:rPr>
      </w:pPr>
    </w:p>
    <w:p w14:paraId="73BFC787">
      <w:pPr>
        <w:spacing w:line="360" w:lineRule="auto"/>
        <w:ind w:firstLine="420" w:firstLineChars="200"/>
        <w:rPr>
          <w:rFonts w:hint="eastAsia" w:ascii="宋体" w:hAnsi="宋体" w:eastAsia="宋体" w:cs="宋体"/>
          <w:color w:val="auto"/>
          <w:highlight w:val="none"/>
        </w:rPr>
      </w:pPr>
    </w:p>
    <w:p w14:paraId="0BAFE194">
      <w:pPr>
        <w:spacing w:line="360" w:lineRule="auto"/>
        <w:ind w:firstLine="420" w:firstLineChars="200"/>
        <w:rPr>
          <w:rFonts w:hint="eastAsia" w:ascii="宋体" w:hAnsi="宋体" w:eastAsia="宋体" w:cs="宋体"/>
          <w:color w:val="auto"/>
          <w:highlight w:val="none"/>
        </w:rPr>
      </w:pPr>
    </w:p>
    <w:p w14:paraId="0C1831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上述问题澄清、说明或补正，不改变我方投标文件的实质性内容，构成我方投标文件的组成部分。</w:t>
      </w:r>
    </w:p>
    <w:p w14:paraId="59094627">
      <w:pPr>
        <w:spacing w:line="360" w:lineRule="auto"/>
        <w:ind w:firstLine="420" w:firstLineChars="200"/>
        <w:rPr>
          <w:rFonts w:hint="eastAsia" w:ascii="宋体" w:hAnsi="宋体" w:eastAsia="宋体" w:cs="宋体"/>
          <w:color w:val="auto"/>
          <w:highlight w:val="none"/>
        </w:rPr>
      </w:pPr>
    </w:p>
    <w:p w14:paraId="7C72275D">
      <w:pPr>
        <w:spacing w:line="360" w:lineRule="auto"/>
        <w:ind w:firstLine="420" w:firstLineChars="200"/>
        <w:rPr>
          <w:rFonts w:hint="eastAsia" w:ascii="宋体" w:hAnsi="宋体" w:eastAsia="宋体" w:cs="宋体"/>
          <w:color w:val="auto"/>
          <w:highlight w:val="none"/>
        </w:rPr>
      </w:pPr>
    </w:p>
    <w:p w14:paraId="7B964200">
      <w:pPr>
        <w:tabs>
          <w:tab w:val="left" w:pos="7035"/>
        </w:tabs>
        <w:autoSpaceDE w:val="0"/>
        <w:autoSpaceDN w:val="0"/>
        <w:adjustRightInd w:val="0"/>
        <w:snapToGrid w:val="0"/>
        <w:spacing w:line="360" w:lineRule="auto"/>
        <w:ind w:firstLine="2551" w:firstLineChars="1215"/>
        <w:jc w:val="right"/>
        <w:rPr>
          <w:rFonts w:hint="eastAsia" w:ascii="宋体" w:hAnsi="宋体" w:eastAsia="宋体" w:cs="宋体"/>
          <w:snapToGrid w:val="0"/>
          <w:color w:val="auto"/>
          <w:kern w:val="0"/>
          <w:szCs w:val="21"/>
          <w:highlight w:val="none"/>
        </w:rPr>
      </w:pPr>
      <w:bookmarkStart w:id="328" w:name="_Toc384308266"/>
      <w:bookmarkStart w:id="329" w:name="_Toc247527606"/>
      <w:bookmarkStart w:id="330" w:name="_Toc152042358"/>
      <w:bookmarkStart w:id="331" w:name="_Toc300835002"/>
      <w:bookmarkStart w:id="332" w:name="_Toc15139"/>
      <w:bookmarkStart w:id="333" w:name="_Toc352691527"/>
      <w:bookmarkStart w:id="334" w:name="_Toc144974548"/>
      <w:bookmarkStart w:id="335" w:name="_Toc152045581"/>
      <w:bookmarkStart w:id="336" w:name="_Toc361508640"/>
      <w:bookmarkStart w:id="337" w:name="_Toc369531571"/>
      <w:bookmarkStart w:id="338" w:name="_Toc247514005"/>
      <w:r>
        <w:rPr>
          <w:rFonts w:hint="eastAsia" w:ascii="宋体" w:hAnsi="宋体" w:eastAsia="宋体" w:cs="宋体"/>
          <w:snapToGrid w:val="0"/>
          <w:color w:val="auto"/>
          <w:kern w:val="0"/>
          <w:szCs w:val="21"/>
          <w:highlight w:val="none"/>
        </w:rPr>
        <w:t>投标人</w:t>
      </w:r>
      <w:r>
        <w:rPr>
          <w:rFonts w:hint="eastAsia" w:ascii="宋体" w:hAnsi="宋体" w:eastAsia="宋体" w:cs="宋体"/>
          <w:snapToGrid w:val="0"/>
          <w:color w:val="auto"/>
          <w:kern w:val="0"/>
          <w:szCs w:val="21"/>
          <w:highlight w:val="none"/>
          <w:lang w:eastAsia="zh-CN"/>
        </w:rPr>
        <w:t>：</w:t>
      </w:r>
      <w:r>
        <w:rPr>
          <w:rFonts w:hint="eastAsia"/>
          <w:color w:val="auto"/>
          <w:highlight w:val="none"/>
          <w:u w:val="single"/>
        </w:rPr>
        <w:t xml:space="preserve">          </w:t>
      </w:r>
      <w:r>
        <w:rPr>
          <w:rFonts w:hint="eastAsia" w:ascii="宋体" w:hAnsi="宋体" w:eastAsia="宋体" w:cs="宋体"/>
          <w:snapToGrid w:val="0"/>
          <w:color w:val="auto"/>
          <w:kern w:val="0"/>
          <w:szCs w:val="21"/>
          <w:highlight w:val="none"/>
        </w:rPr>
        <w:t xml:space="preserve">（盖单位法人章） </w:t>
      </w:r>
    </w:p>
    <w:p w14:paraId="6E52D87E">
      <w:pPr>
        <w:tabs>
          <w:tab w:val="left" w:pos="6620"/>
          <w:tab w:val="left" w:pos="7040"/>
        </w:tabs>
        <w:autoSpaceDE w:val="0"/>
        <w:autoSpaceDN w:val="0"/>
        <w:adjustRightInd w:val="0"/>
        <w:snapToGrid w:val="0"/>
        <w:spacing w:line="360" w:lineRule="auto"/>
        <w:ind w:firstLine="2520" w:firstLineChars="1200"/>
        <w:jc w:val="both"/>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w:t>
      </w:r>
      <w:r>
        <w:rPr>
          <w:rFonts w:hint="eastAsia" w:ascii="宋体" w:hAnsi="宋体" w:cs="宋体"/>
          <w:snapToGrid w:val="0"/>
          <w:color w:val="auto"/>
          <w:kern w:val="0"/>
          <w:szCs w:val="21"/>
          <w:highlight w:val="none"/>
          <w:lang w:val="en-US" w:eastAsia="zh-CN"/>
        </w:rPr>
        <w:t>/</w:t>
      </w:r>
      <w:r>
        <w:rPr>
          <w:rFonts w:hint="eastAsia" w:ascii="宋体" w:hAnsi="宋体" w:eastAsia="宋体" w:cs="宋体"/>
          <w:snapToGrid w:val="0"/>
          <w:color w:val="auto"/>
          <w:kern w:val="0"/>
          <w:szCs w:val="21"/>
          <w:highlight w:val="none"/>
        </w:rPr>
        <w:t>委托代理人</w:t>
      </w:r>
      <w:r>
        <w:rPr>
          <w:rFonts w:hint="eastAsia" w:ascii="宋体" w:hAnsi="宋体" w:eastAsia="宋体" w:cs="宋体"/>
          <w:snapToGrid w:val="0"/>
          <w:color w:val="auto"/>
          <w:kern w:val="0"/>
          <w:szCs w:val="21"/>
          <w:highlight w:val="none"/>
          <w:lang w:eastAsia="zh-CN"/>
        </w:rPr>
        <w:t>：</w:t>
      </w:r>
      <w:r>
        <w:rPr>
          <w:rFonts w:hint="eastAsia"/>
          <w:color w:val="auto"/>
          <w:highlight w:val="none"/>
          <w:u w:val="single"/>
        </w:rPr>
        <w:t xml:space="preserve">       </w:t>
      </w:r>
      <w:r>
        <w:rPr>
          <w:rFonts w:hint="eastAsia" w:ascii="宋体" w:hAnsi="宋体" w:eastAsia="宋体" w:cs="宋体"/>
          <w:snapToGrid w:val="0"/>
          <w:color w:val="auto"/>
          <w:kern w:val="0"/>
          <w:szCs w:val="21"/>
          <w:highlight w:val="none"/>
        </w:rPr>
        <w:t>（</w:t>
      </w:r>
      <w:r>
        <w:rPr>
          <w:rFonts w:hint="eastAsia" w:ascii="宋体" w:hAnsi="宋体" w:cs="宋体"/>
          <w:snapToGrid w:val="0"/>
          <w:color w:val="auto"/>
          <w:kern w:val="0"/>
          <w:szCs w:val="21"/>
          <w:highlight w:val="none"/>
          <w:lang w:val="en-US" w:eastAsia="zh-CN"/>
        </w:rPr>
        <w:t>签字</w:t>
      </w:r>
      <w:r>
        <w:rPr>
          <w:rFonts w:hint="eastAsia" w:ascii="宋体" w:hAnsi="宋体" w:eastAsia="宋体" w:cs="宋体"/>
          <w:snapToGrid w:val="0"/>
          <w:color w:val="auto"/>
          <w:kern w:val="0"/>
          <w:szCs w:val="21"/>
          <w:highlight w:val="none"/>
        </w:rPr>
        <w:t>或盖章）</w:t>
      </w:r>
    </w:p>
    <w:p w14:paraId="7D44B4F6">
      <w:pPr>
        <w:spacing w:line="360" w:lineRule="auto"/>
        <w:ind w:right="1260"/>
        <w:jc w:val="righ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bookmarkEnd w:id="328"/>
    <w:bookmarkEnd w:id="329"/>
    <w:bookmarkEnd w:id="330"/>
    <w:bookmarkEnd w:id="331"/>
    <w:bookmarkEnd w:id="332"/>
    <w:bookmarkEnd w:id="333"/>
    <w:bookmarkEnd w:id="334"/>
    <w:bookmarkEnd w:id="335"/>
    <w:bookmarkEnd w:id="336"/>
    <w:bookmarkEnd w:id="337"/>
    <w:bookmarkEnd w:id="338"/>
    <w:p w14:paraId="36822E9F">
      <w:pPr>
        <w:spacing w:line="360" w:lineRule="auto"/>
        <w:rPr>
          <w:rFonts w:hint="eastAsia" w:ascii="宋体" w:hAnsi="宋体" w:eastAsia="宋体" w:cs="宋体"/>
          <w:color w:val="auto"/>
          <w:highlight w:val="none"/>
        </w:rPr>
      </w:pPr>
    </w:p>
    <w:p w14:paraId="6EAA75E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0F3A811">
      <w:pPr>
        <w:pStyle w:val="3"/>
        <w:bidi w:val="0"/>
        <w:rPr>
          <w:rFonts w:hint="eastAsia"/>
        </w:rPr>
      </w:pPr>
      <w:bookmarkStart w:id="339" w:name="_Toc5665"/>
      <w:bookmarkStart w:id="340" w:name="_Toc31317"/>
      <w:r>
        <w:rPr>
          <w:rFonts w:hint="eastAsia"/>
        </w:rPr>
        <w:t>附件四</w:t>
      </w:r>
      <w:r>
        <w:rPr>
          <w:rFonts w:hint="eastAsia"/>
          <w:lang w:eastAsia="zh-CN"/>
        </w:rPr>
        <w:t>：</w:t>
      </w:r>
      <w:r>
        <w:rPr>
          <w:rFonts w:hint="eastAsia"/>
        </w:rPr>
        <w:t>中标通知书</w:t>
      </w:r>
      <w:bookmarkEnd w:id="339"/>
      <w:bookmarkEnd w:id="340"/>
    </w:p>
    <w:p w14:paraId="7AF2FB92">
      <w:pPr>
        <w:pStyle w:val="13"/>
        <w:spacing w:line="360" w:lineRule="auto"/>
        <w:rPr>
          <w:rFonts w:hint="eastAsia" w:ascii="宋体" w:hAnsi="宋体" w:eastAsia="宋体" w:cs="宋体"/>
          <w:color w:val="auto"/>
          <w:szCs w:val="21"/>
          <w:highlight w:val="none"/>
        </w:rPr>
      </w:pPr>
    </w:p>
    <w:p w14:paraId="56E42C52">
      <w:pPr>
        <w:pStyle w:val="13"/>
        <w:spacing w:line="360" w:lineRule="auto"/>
        <w:rPr>
          <w:rFonts w:hint="eastAsia" w:ascii="宋体" w:hAnsi="宋体" w:eastAsia="宋体" w:cs="宋体"/>
          <w:color w:val="auto"/>
          <w:szCs w:val="21"/>
          <w:highlight w:val="none"/>
        </w:rPr>
      </w:pPr>
    </w:p>
    <w:p w14:paraId="3D599394">
      <w:pPr>
        <w:widowControl w:val="0"/>
        <w:kinsoku/>
        <w:autoSpaceDE/>
        <w:autoSpaceDN/>
        <w:adjustRightInd/>
        <w:snapToGrid/>
        <w:spacing w:line="360" w:lineRule="auto"/>
        <w:jc w:val="center"/>
        <w:textAlignment w:val="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中标通知书</w:t>
      </w:r>
    </w:p>
    <w:p w14:paraId="4A4C119B">
      <w:pPr>
        <w:pStyle w:val="13"/>
        <w:spacing w:line="360" w:lineRule="auto"/>
        <w:rPr>
          <w:rFonts w:hint="eastAsia" w:ascii="宋体" w:hAnsi="宋体" w:eastAsia="宋体" w:cs="宋体"/>
          <w:color w:val="auto"/>
          <w:szCs w:val="21"/>
          <w:highlight w:val="none"/>
        </w:rPr>
      </w:pPr>
    </w:p>
    <w:p w14:paraId="65495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（中标人名称）：</w:t>
      </w:r>
    </w:p>
    <w:p w14:paraId="11101509">
      <w:pPr>
        <w:spacing w:line="360" w:lineRule="auto"/>
        <w:rPr>
          <w:rFonts w:hint="eastAsia" w:ascii="宋体" w:hAnsi="宋体" w:eastAsia="宋体" w:cs="宋体"/>
          <w:color w:val="auto"/>
          <w:szCs w:val="21"/>
          <w:highlight w:val="none"/>
        </w:rPr>
      </w:pPr>
    </w:p>
    <w:p w14:paraId="589348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你方于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（投标日期）所递交的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（项目名称）投标文件已被我方接受，被确定为中标人。</w:t>
      </w:r>
    </w:p>
    <w:p w14:paraId="09FB16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0345F8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请你方在接到本通知书后的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（指定地点）与我方签订合同，在此之前按招标文件第二章“投标人须知”第7.4款规定向我方提交履约担保。</w:t>
      </w:r>
    </w:p>
    <w:p w14:paraId="2D74B3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特此通知。</w:t>
      </w:r>
    </w:p>
    <w:p w14:paraId="527C3231">
      <w:pPr>
        <w:spacing w:line="360" w:lineRule="auto"/>
        <w:rPr>
          <w:rFonts w:hint="eastAsia" w:ascii="宋体" w:hAnsi="宋体" w:eastAsia="宋体" w:cs="宋体"/>
          <w:color w:val="auto"/>
          <w:szCs w:val="21"/>
          <w:highlight w:val="none"/>
        </w:rPr>
      </w:pPr>
    </w:p>
    <w:p w14:paraId="2FEA73E4">
      <w:pPr>
        <w:spacing w:line="360" w:lineRule="auto"/>
        <w:rPr>
          <w:rFonts w:hint="eastAsia" w:ascii="宋体" w:hAnsi="宋体" w:eastAsia="宋体" w:cs="宋体"/>
          <w:color w:val="auto"/>
          <w:szCs w:val="21"/>
          <w:highlight w:val="none"/>
        </w:rPr>
      </w:pPr>
    </w:p>
    <w:p w14:paraId="29DE30F0">
      <w:pPr>
        <w:spacing w:line="360" w:lineRule="auto"/>
        <w:rPr>
          <w:rFonts w:hint="eastAsia" w:ascii="宋体" w:hAnsi="宋体" w:eastAsia="宋体" w:cs="宋体"/>
          <w:color w:val="auto"/>
          <w:szCs w:val="21"/>
          <w:highlight w:val="none"/>
        </w:rPr>
      </w:pPr>
    </w:p>
    <w:p w14:paraId="65E3234D">
      <w:pPr>
        <w:spacing w:line="360" w:lineRule="auto"/>
        <w:ind w:firstLine="3238" w:firstLineChars="1542"/>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4C1838A6">
      <w:pPr>
        <w:spacing w:line="360" w:lineRule="auto"/>
        <w:ind w:firstLine="3238" w:firstLineChars="1542"/>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cs="宋体"/>
          <w:color w:val="auto"/>
          <w:szCs w:val="21"/>
          <w:highlight w:val="none"/>
          <w:lang w:val="en-US" w:eastAsia="zh-CN"/>
        </w:rPr>
        <w:t>或盖章</w:t>
      </w:r>
      <w:r>
        <w:rPr>
          <w:rFonts w:hint="eastAsia" w:ascii="宋体" w:hAnsi="宋体" w:eastAsia="宋体" w:cs="宋体"/>
          <w:color w:val="auto"/>
          <w:szCs w:val="21"/>
          <w:highlight w:val="none"/>
        </w:rPr>
        <w:t>）</w:t>
      </w:r>
    </w:p>
    <w:p w14:paraId="325A3701">
      <w:pPr>
        <w:spacing w:line="360" w:lineRule="auto"/>
        <w:ind w:firstLine="3548" w:firstLineChars="169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059A954">
      <w:pPr>
        <w:pStyle w:val="13"/>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color w:val="auto"/>
          <w:szCs w:val="21"/>
          <w:highlight w:val="none"/>
          <w:lang w:val="en-US" w:eastAsia="zh-CN"/>
        </w:rPr>
      </w:pPr>
      <w:bookmarkStart w:id="341" w:name="_bookmark80"/>
      <w:bookmarkEnd w:id="341"/>
      <w:bookmarkStart w:id="342" w:name="_bookmark81"/>
      <w:bookmarkEnd w:id="342"/>
    </w:p>
    <w:p w14:paraId="18DB9887">
      <w:pPr>
        <w:spacing w:line="360" w:lineRule="auto"/>
        <w:rPr>
          <w:rFonts w:hint="eastAsia" w:ascii="宋体" w:hAnsi="宋体" w:eastAsia="宋体" w:cs="宋体"/>
          <w:color w:val="auto"/>
          <w:highlight w:val="none"/>
          <w:lang w:val="en-US" w:eastAsia="zh-CN"/>
        </w:rPr>
      </w:pPr>
    </w:p>
    <w:p w14:paraId="64EBA562">
      <w:pPr>
        <w:pStyle w:val="13"/>
        <w:spacing w:line="360" w:lineRule="auto"/>
        <w:rPr>
          <w:rFonts w:hint="eastAsia" w:ascii="宋体" w:hAnsi="宋体" w:eastAsia="宋体" w:cs="宋体"/>
          <w:color w:val="auto"/>
          <w:szCs w:val="21"/>
          <w:highlight w:val="none"/>
          <w:lang w:val="en-US" w:eastAsia="zh-CN"/>
        </w:rPr>
      </w:pPr>
    </w:p>
    <w:p w14:paraId="078EF491">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16A0AF07">
      <w:pPr>
        <w:pStyle w:val="2"/>
        <w:bidi w:val="0"/>
        <w:rPr>
          <w:color w:val="auto"/>
          <w:highlight w:val="none"/>
        </w:rPr>
      </w:pPr>
      <w:bookmarkStart w:id="343" w:name="_Toc14210"/>
      <w:bookmarkStart w:id="344" w:name="_Toc23639"/>
      <w:bookmarkStart w:id="345" w:name="_Toc57820625"/>
      <w:bookmarkStart w:id="346" w:name="_Toc15706"/>
      <w:bookmarkStart w:id="347" w:name="_Toc509218774"/>
      <w:bookmarkStart w:id="348" w:name="_Toc2669"/>
      <w:bookmarkStart w:id="349" w:name="_Toc32154"/>
      <w:bookmarkStart w:id="350" w:name="_Toc15201"/>
      <w:bookmarkStart w:id="351" w:name="_Toc152042377"/>
      <w:bookmarkStart w:id="352" w:name="_Toc152045600"/>
      <w:bookmarkStart w:id="353" w:name="_Toc144974567"/>
      <w:bookmarkStart w:id="354" w:name="_Toc330213998"/>
      <w:bookmarkStart w:id="355" w:name="_Toc379581361"/>
      <w:r>
        <w:rPr>
          <w:color w:val="auto"/>
          <w:highlight w:val="none"/>
        </w:rPr>
        <w:t>第三章</w:t>
      </w:r>
      <w:r>
        <w:rPr>
          <w:rFonts w:hint="eastAsia"/>
          <w:color w:val="auto"/>
          <w:highlight w:val="none"/>
          <w:lang w:val="en-US" w:eastAsia="zh-CN"/>
        </w:rPr>
        <w:t xml:space="preserve"> </w:t>
      </w:r>
      <w:r>
        <w:rPr>
          <w:color w:val="auto"/>
          <w:highlight w:val="none"/>
        </w:rPr>
        <w:t>评标办法（综合评估法）</w:t>
      </w:r>
      <w:bookmarkEnd w:id="343"/>
      <w:bookmarkEnd w:id="344"/>
      <w:bookmarkEnd w:id="345"/>
      <w:bookmarkEnd w:id="346"/>
      <w:bookmarkEnd w:id="347"/>
      <w:bookmarkEnd w:id="348"/>
      <w:bookmarkEnd w:id="349"/>
      <w:bookmarkEnd w:id="350"/>
      <w:bookmarkStart w:id="356" w:name="_Toc287620750"/>
      <w:bookmarkStart w:id="357" w:name="_Toc224103383"/>
      <w:bookmarkStart w:id="358" w:name="_Toc430530499"/>
      <w:bookmarkStart w:id="359" w:name="_Toc287607811"/>
      <w:bookmarkStart w:id="360" w:name="_Toc277082617"/>
    </w:p>
    <w:p w14:paraId="6E8BF2D5">
      <w:pPr>
        <w:pStyle w:val="3"/>
        <w:bidi w:val="0"/>
        <w:rPr>
          <w:rFonts w:hint="eastAsia"/>
          <w:color w:val="auto"/>
          <w:highlight w:val="none"/>
        </w:rPr>
      </w:pPr>
      <w:bookmarkStart w:id="361" w:name="_Toc9062"/>
      <w:bookmarkStart w:id="362" w:name="_Toc6504"/>
      <w:bookmarkStart w:id="363" w:name="_Toc4910"/>
      <w:bookmarkStart w:id="364" w:name="_Toc509218775"/>
      <w:bookmarkStart w:id="365" w:name="_Toc57820626"/>
      <w:bookmarkStart w:id="366" w:name="_Toc23521"/>
      <w:r>
        <w:rPr>
          <w:rFonts w:hint="eastAsia"/>
          <w:color w:val="auto"/>
          <w:highlight w:val="none"/>
        </w:rPr>
        <w:t>评标办法前附表</w:t>
      </w:r>
      <w:bookmarkEnd w:id="361"/>
      <w:bookmarkEnd w:id="362"/>
      <w:bookmarkEnd w:id="363"/>
      <w:bookmarkEnd w:id="364"/>
      <w:bookmarkEnd w:id="365"/>
      <w:bookmarkEnd w:id="366"/>
    </w:p>
    <w:bookmarkEnd w:id="356"/>
    <w:bookmarkEnd w:id="357"/>
    <w:bookmarkEnd w:id="358"/>
    <w:bookmarkEnd w:id="359"/>
    <w:bookmarkEnd w:id="360"/>
    <w:p w14:paraId="6230E723">
      <w:pPr>
        <w:bidi w:val="0"/>
        <w:rPr>
          <w:rFonts w:hint="eastAsia"/>
          <w:color w:val="auto"/>
          <w:highlight w:val="none"/>
          <w:lang w:val="en-US" w:eastAsia="zh-CN"/>
        </w:rPr>
      </w:pPr>
      <w:r>
        <w:rPr>
          <w:rFonts w:hint="eastAsia"/>
          <w:color w:val="auto"/>
          <w:highlight w:val="none"/>
          <w:lang w:val="en-US" w:eastAsia="zh-CN"/>
        </w:rPr>
        <w:t>评标办法中的评审内容必须和投标人须知中的对应内容一致，若投标人须知中未作要求的内容，不得列入评标办法作为评定依据。</w:t>
      </w:r>
    </w:p>
    <w:tbl>
      <w:tblPr>
        <w:tblStyle w:val="23"/>
        <w:tblW w:w="502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1"/>
        <w:gridCol w:w="850"/>
        <w:gridCol w:w="155"/>
        <w:gridCol w:w="701"/>
        <w:gridCol w:w="928"/>
        <w:gridCol w:w="825"/>
        <w:gridCol w:w="4195"/>
      </w:tblGrid>
      <w:tr w14:paraId="6E6CA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 w:hRule="atLeast"/>
        </w:trPr>
        <w:tc>
          <w:tcPr>
            <w:tcW w:w="923" w:type="pct"/>
            <w:gridSpan w:val="2"/>
            <w:vAlign w:val="center"/>
          </w:tcPr>
          <w:p w14:paraId="1402189F">
            <w:pPr>
              <w:pStyle w:val="46"/>
              <w:bidi w:val="0"/>
              <w:ind w:left="0" w:leftChars="0" w:right="0" w:rightChars="0" w:firstLine="0" w:firstLineChars="0"/>
              <w:jc w:val="center"/>
              <w:rPr>
                <w:rFonts w:hint="eastAsia"/>
                <w:b/>
                <w:bCs w:val="0"/>
                <w:lang w:val="en-US" w:eastAsia="zh-CN"/>
              </w:rPr>
            </w:pPr>
            <w:r>
              <w:rPr>
                <w:rFonts w:hint="eastAsia"/>
                <w:b/>
                <w:bCs w:val="0"/>
                <w:lang w:val="en-US" w:eastAsia="zh-CN"/>
              </w:rPr>
              <w:t>条款号</w:t>
            </w:r>
          </w:p>
        </w:tc>
        <w:tc>
          <w:tcPr>
            <w:tcW w:w="1069" w:type="pct"/>
            <w:gridSpan w:val="3"/>
            <w:vAlign w:val="center"/>
          </w:tcPr>
          <w:p w14:paraId="1EA5FA02">
            <w:pPr>
              <w:pStyle w:val="46"/>
              <w:bidi w:val="0"/>
              <w:ind w:left="0" w:leftChars="0" w:right="0" w:rightChars="0" w:firstLine="0" w:firstLineChars="0"/>
              <w:jc w:val="center"/>
              <w:rPr>
                <w:rFonts w:hint="eastAsia"/>
                <w:b/>
                <w:bCs w:val="0"/>
                <w:lang w:val="en-US" w:eastAsia="zh-CN"/>
              </w:rPr>
            </w:pPr>
            <w:r>
              <w:rPr>
                <w:rFonts w:hint="eastAsia"/>
                <w:b/>
                <w:bCs w:val="0"/>
                <w:lang w:val="en-US" w:eastAsia="zh-CN"/>
              </w:rPr>
              <w:t>评审因素</w:t>
            </w:r>
          </w:p>
        </w:tc>
        <w:tc>
          <w:tcPr>
            <w:tcW w:w="3007" w:type="pct"/>
            <w:gridSpan w:val="2"/>
            <w:vAlign w:val="center"/>
          </w:tcPr>
          <w:p w14:paraId="5FDB5150">
            <w:pPr>
              <w:pStyle w:val="46"/>
              <w:bidi w:val="0"/>
              <w:ind w:left="0" w:leftChars="0" w:right="0" w:rightChars="0" w:firstLine="0" w:firstLineChars="0"/>
              <w:jc w:val="center"/>
              <w:rPr>
                <w:rFonts w:hint="eastAsia"/>
                <w:b/>
                <w:bCs w:val="0"/>
                <w:lang w:val="en-US" w:eastAsia="zh-CN"/>
              </w:rPr>
            </w:pPr>
            <w:r>
              <w:rPr>
                <w:rFonts w:hint="eastAsia"/>
                <w:b/>
                <w:bCs w:val="0"/>
                <w:lang w:val="en-US" w:eastAsia="zh-CN"/>
              </w:rPr>
              <w:t>评审标准</w:t>
            </w:r>
          </w:p>
        </w:tc>
      </w:tr>
      <w:tr w14:paraId="75AA2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Align w:val="center"/>
          </w:tcPr>
          <w:p w14:paraId="46298F17">
            <w:pPr>
              <w:pStyle w:val="46"/>
              <w:bidi w:val="0"/>
              <w:ind w:left="0" w:leftChars="0" w:right="0" w:rightChars="0" w:firstLine="0" w:firstLineChars="0"/>
              <w:jc w:val="center"/>
              <w:rPr>
                <w:rFonts w:hint="eastAsia"/>
              </w:rPr>
            </w:pPr>
            <w:r>
              <w:rPr>
                <w:rFonts w:hint="eastAsia"/>
              </w:rPr>
              <w:t>1</w:t>
            </w:r>
          </w:p>
        </w:tc>
        <w:tc>
          <w:tcPr>
            <w:tcW w:w="508" w:type="pct"/>
            <w:tcBorders>
              <w:top w:val="single" w:color="000000" w:sz="2" w:space="0"/>
              <w:left w:val="single" w:color="000000" w:sz="2" w:space="0"/>
              <w:right w:val="single" w:color="000000" w:sz="2" w:space="0"/>
            </w:tcBorders>
            <w:vAlign w:val="center"/>
          </w:tcPr>
          <w:p w14:paraId="1CC1405C">
            <w:pPr>
              <w:pStyle w:val="46"/>
              <w:bidi w:val="0"/>
              <w:rPr>
                <w:rFonts w:hint="eastAsia"/>
              </w:rPr>
            </w:pPr>
            <w:r>
              <w:rPr>
                <w:rFonts w:hint="eastAsia"/>
              </w:rPr>
              <w:t>评标方法</w:t>
            </w:r>
          </w:p>
        </w:tc>
        <w:tc>
          <w:tcPr>
            <w:tcW w:w="1069" w:type="pct"/>
            <w:gridSpan w:val="3"/>
            <w:tcBorders>
              <w:top w:val="single" w:color="000000" w:sz="2" w:space="0"/>
              <w:left w:val="single" w:color="000000" w:sz="2" w:space="0"/>
              <w:right w:val="single" w:color="000000" w:sz="2" w:space="0"/>
            </w:tcBorders>
            <w:vAlign w:val="center"/>
          </w:tcPr>
          <w:p w14:paraId="68BEB795">
            <w:pPr>
              <w:pStyle w:val="46"/>
              <w:bidi w:val="0"/>
              <w:rPr>
                <w:rFonts w:hint="eastAsia"/>
              </w:rPr>
            </w:pPr>
            <w:r>
              <w:rPr>
                <w:rFonts w:hint="eastAsia"/>
              </w:rPr>
              <w:t>中标候选人排序方法</w:t>
            </w:r>
          </w:p>
        </w:tc>
        <w:tc>
          <w:tcPr>
            <w:tcW w:w="3007" w:type="pct"/>
            <w:gridSpan w:val="2"/>
            <w:vAlign w:val="center"/>
          </w:tcPr>
          <w:p w14:paraId="541CA422">
            <w:pPr>
              <w:pStyle w:val="46"/>
              <w:bidi w:val="0"/>
              <w:rPr>
                <w:rFonts w:hint="eastAsia"/>
              </w:rPr>
            </w:pPr>
            <w:r>
              <w:rPr>
                <w:rFonts w:hint="eastAsia"/>
              </w:rPr>
              <w:t>本次评标采用综合评估法。评标委员会按照本章第 2.2 款规定的评分标准进行</w:t>
            </w:r>
            <w:r>
              <w:rPr>
                <w:rFonts w:hint="eastAsia"/>
                <w:lang w:eastAsia="zh-CN"/>
              </w:rPr>
              <w:t>评分</w:t>
            </w:r>
            <w:r>
              <w:rPr>
                <w:rFonts w:hint="eastAsia"/>
              </w:rPr>
              <w:t>，按得分由高到低顺序推荐中标候选人，或根据招标人授权直接确定中标人。综合评分相等时，以投标报价低的优先；投标报价相等的，由评标委员会按照本地装机规模原则排序。</w:t>
            </w:r>
          </w:p>
        </w:tc>
      </w:tr>
      <w:tr w14:paraId="68B0F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Merge w:val="restart"/>
            <w:tcBorders>
              <w:bottom w:val="nil"/>
            </w:tcBorders>
            <w:vAlign w:val="center"/>
          </w:tcPr>
          <w:p w14:paraId="04C3505C">
            <w:pPr>
              <w:pStyle w:val="46"/>
              <w:bidi w:val="0"/>
              <w:ind w:left="0" w:leftChars="0" w:right="0" w:rightChars="0" w:firstLine="0" w:firstLineChars="0"/>
              <w:jc w:val="center"/>
              <w:rPr>
                <w:rFonts w:hint="eastAsia"/>
              </w:rPr>
            </w:pPr>
            <w:r>
              <w:rPr>
                <w:rFonts w:hint="eastAsia"/>
              </w:rPr>
              <w:t>2.1.1</w:t>
            </w:r>
          </w:p>
        </w:tc>
        <w:tc>
          <w:tcPr>
            <w:tcW w:w="508" w:type="pct"/>
            <w:vMerge w:val="restart"/>
            <w:tcBorders>
              <w:bottom w:val="nil"/>
            </w:tcBorders>
            <w:vAlign w:val="center"/>
          </w:tcPr>
          <w:p w14:paraId="756A2EDD">
            <w:pPr>
              <w:pStyle w:val="46"/>
              <w:bidi w:val="0"/>
              <w:rPr>
                <w:rFonts w:hint="eastAsia"/>
              </w:rPr>
            </w:pPr>
            <w:r>
              <w:rPr>
                <w:rFonts w:hint="eastAsia"/>
              </w:rPr>
              <w:t>形式评审标准</w:t>
            </w:r>
          </w:p>
        </w:tc>
        <w:tc>
          <w:tcPr>
            <w:tcW w:w="1069" w:type="pct"/>
            <w:gridSpan w:val="3"/>
            <w:tcBorders>
              <w:top w:val="single" w:color="000000" w:sz="2" w:space="0"/>
              <w:left w:val="single" w:color="000000" w:sz="2" w:space="0"/>
              <w:right w:val="single" w:color="000000" w:sz="2" w:space="0"/>
            </w:tcBorders>
            <w:vAlign w:val="center"/>
          </w:tcPr>
          <w:p w14:paraId="770C1880">
            <w:pPr>
              <w:pStyle w:val="46"/>
              <w:bidi w:val="0"/>
              <w:rPr>
                <w:rFonts w:hint="eastAsia"/>
              </w:rPr>
            </w:pPr>
            <w:r>
              <w:rPr>
                <w:rFonts w:hint="eastAsia"/>
              </w:rPr>
              <w:t>投标人名称</w:t>
            </w:r>
          </w:p>
        </w:tc>
        <w:tc>
          <w:tcPr>
            <w:tcW w:w="3007" w:type="pct"/>
            <w:gridSpan w:val="2"/>
            <w:vAlign w:val="center"/>
          </w:tcPr>
          <w:p w14:paraId="6E019DCC">
            <w:pPr>
              <w:pStyle w:val="46"/>
              <w:bidi w:val="0"/>
              <w:rPr>
                <w:rFonts w:hint="eastAsia"/>
              </w:rPr>
            </w:pPr>
            <w:r>
              <w:rPr>
                <w:rFonts w:hint="eastAsia"/>
                <w:lang w:val="en-US" w:eastAsia="zh-CN"/>
              </w:rPr>
              <w:t>与营业执照及资质证书一致</w:t>
            </w:r>
          </w:p>
        </w:tc>
      </w:tr>
      <w:tr w14:paraId="13CF9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Merge w:val="continue"/>
            <w:tcBorders>
              <w:top w:val="nil"/>
              <w:bottom w:val="nil"/>
            </w:tcBorders>
            <w:vAlign w:val="center"/>
          </w:tcPr>
          <w:p w14:paraId="2CCEE982">
            <w:pPr>
              <w:pStyle w:val="46"/>
              <w:bidi w:val="0"/>
              <w:ind w:left="0" w:leftChars="0" w:right="0" w:rightChars="0" w:firstLine="0" w:firstLineChars="0"/>
              <w:jc w:val="center"/>
              <w:rPr>
                <w:rFonts w:hint="eastAsia"/>
              </w:rPr>
            </w:pPr>
          </w:p>
        </w:tc>
        <w:tc>
          <w:tcPr>
            <w:tcW w:w="508" w:type="pct"/>
            <w:vMerge w:val="continue"/>
            <w:tcBorders>
              <w:top w:val="nil"/>
              <w:bottom w:val="nil"/>
            </w:tcBorders>
            <w:vAlign w:val="center"/>
          </w:tcPr>
          <w:p w14:paraId="419B17CD">
            <w:pPr>
              <w:pStyle w:val="46"/>
              <w:bidi w:val="0"/>
              <w:rPr>
                <w:rFonts w:hint="eastAsia"/>
              </w:rPr>
            </w:pPr>
          </w:p>
        </w:tc>
        <w:tc>
          <w:tcPr>
            <w:tcW w:w="1069" w:type="pct"/>
            <w:gridSpan w:val="3"/>
            <w:tcBorders>
              <w:top w:val="single" w:color="000000" w:sz="2" w:space="0"/>
              <w:left w:val="single" w:color="000000" w:sz="2" w:space="0"/>
              <w:right w:val="single" w:color="000000" w:sz="2" w:space="0"/>
            </w:tcBorders>
            <w:vAlign w:val="center"/>
          </w:tcPr>
          <w:p w14:paraId="0CFEEB75">
            <w:pPr>
              <w:pStyle w:val="46"/>
              <w:bidi w:val="0"/>
              <w:rPr>
                <w:rFonts w:hint="eastAsia"/>
              </w:rPr>
            </w:pPr>
            <w:r>
              <w:rPr>
                <w:rFonts w:hint="eastAsia"/>
              </w:rPr>
              <w:t>投标文件格式</w:t>
            </w:r>
          </w:p>
        </w:tc>
        <w:tc>
          <w:tcPr>
            <w:tcW w:w="3007" w:type="pct"/>
            <w:gridSpan w:val="2"/>
            <w:vAlign w:val="center"/>
          </w:tcPr>
          <w:p w14:paraId="25FFBA04">
            <w:pPr>
              <w:pStyle w:val="46"/>
              <w:bidi w:val="0"/>
              <w:rPr>
                <w:rFonts w:hint="eastAsia"/>
                <w:lang w:val="en-US" w:eastAsia="zh-CN"/>
              </w:rPr>
            </w:pPr>
            <w:r>
              <w:rPr>
                <w:rFonts w:hint="eastAsia"/>
                <w:lang w:val="en-US" w:eastAsia="zh-CN"/>
              </w:rPr>
              <w:t>符合第六章“投标文件格式”的规定</w:t>
            </w:r>
          </w:p>
        </w:tc>
      </w:tr>
      <w:tr w14:paraId="7B205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Merge w:val="continue"/>
            <w:tcBorders>
              <w:top w:val="nil"/>
              <w:bottom w:val="nil"/>
            </w:tcBorders>
            <w:vAlign w:val="center"/>
          </w:tcPr>
          <w:p w14:paraId="1A29F5DB">
            <w:pPr>
              <w:pStyle w:val="46"/>
              <w:bidi w:val="0"/>
              <w:ind w:left="0" w:leftChars="0" w:right="0" w:rightChars="0" w:firstLine="0" w:firstLineChars="0"/>
              <w:jc w:val="center"/>
              <w:rPr>
                <w:rFonts w:hint="eastAsia"/>
              </w:rPr>
            </w:pPr>
          </w:p>
        </w:tc>
        <w:tc>
          <w:tcPr>
            <w:tcW w:w="508" w:type="pct"/>
            <w:vMerge w:val="continue"/>
            <w:tcBorders>
              <w:top w:val="nil"/>
              <w:bottom w:val="nil"/>
            </w:tcBorders>
            <w:vAlign w:val="center"/>
          </w:tcPr>
          <w:p w14:paraId="62A7AD32">
            <w:pPr>
              <w:pStyle w:val="46"/>
              <w:bidi w:val="0"/>
              <w:rPr>
                <w:rFonts w:hint="eastAsia"/>
              </w:rPr>
            </w:pPr>
          </w:p>
        </w:tc>
        <w:tc>
          <w:tcPr>
            <w:tcW w:w="1069" w:type="pct"/>
            <w:gridSpan w:val="3"/>
            <w:tcBorders>
              <w:top w:val="single" w:color="000000" w:sz="2" w:space="0"/>
              <w:left w:val="single" w:color="000000" w:sz="2" w:space="0"/>
              <w:right w:val="single" w:color="000000" w:sz="2" w:space="0"/>
            </w:tcBorders>
            <w:vAlign w:val="center"/>
          </w:tcPr>
          <w:p w14:paraId="5C8716D0">
            <w:pPr>
              <w:pStyle w:val="46"/>
              <w:bidi w:val="0"/>
              <w:rPr>
                <w:rFonts w:hint="eastAsia"/>
              </w:rPr>
            </w:pPr>
            <w:r>
              <w:rPr>
                <w:rFonts w:hint="eastAsia"/>
              </w:rPr>
              <w:t>报价唯一</w:t>
            </w:r>
          </w:p>
        </w:tc>
        <w:tc>
          <w:tcPr>
            <w:tcW w:w="3007" w:type="pct"/>
            <w:gridSpan w:val="2"/>
            <w:vAlign w:val="center"/>
          </w:tcPr>
          <w:p w14:paraId="6CF30AE7">
            <w:pPr>
              <w:pStyle w:val="46"/>
              <w:bidi w:val="0"/>
              <w:rPr>
                <w:rFonts w:hint="eastAsia"/>
                <w:lang w:val="en-US" w:eastAsia="zh-CN"/>
              </w:rPr>
            </w:pPr>
            <w:r>
              <w:rPr>
                <w:rFonts w:hint="eastAsia"/>
              </w:rPr>
              <w:t>只能有一个有效报价</w:t>
            </w:r>
          </w:p>
        </w:tc>
      </w:tr>
      <w:tr w14:paraId="5ED10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Merge w:val="continue"/>
            <w:tcBorders>
              <w:top w:val="nil"/>
            </w:tcBorders>
            <w:vAlign w:val="center"/>
          </w:tcPr>
          <w:p w14:paraId="54EC24FA">
            <w:pPr>
              <w:pStyle w:val="46"/>
              <w:bidi w:val="0"/>
              <w:ind w:left="0" w:leftChars="0" w:right="0" w:rightChars="0" w:firstLine="0" w:firstLineChars="0"/>
              <w:jc w:val="center"/>
              <w:rPr>
                <w:rFonts w:hint="eastAsia"/>
              </w:rPr>
            </w:pPr>
          </w:p>
        </w:tc>
        <w:tc>
          <w:tcPr>
            <w:tcW w:w="508" w:type="pct"/>
            <w:vMerge w:val="continue"/>
            <w:tcBorders>
              <w:top w:val="nil"/>
            </w:tcBorders>
            <w:vAlign w:val="center"/>
          </w:tcPr>
          <w:p w14:paraId="42C86FDE">
            <w:pPr>
              <w:pStyle w:val="46"/>
              <w:bidi w:val="0"/>
              <w:rPr>
                <w:rFonts w:hint="eastAsia"/>
              </w:rPr>
            </w:pPr>
          </w:p>
        </w:tc>
        <w:tc>
          <w:tcPr>
            <w:tcW w:w="1069" w:type="pct"/>
            <w:gridSpan w:val="3"/>
            <w:tcBorders>
              <w:top w:val="single" w:color="000000" w:sz="2" w:space="0"/>
              <w:left w:val="single" w:color="000000" w:sz="2" w:space="0"/>
              <w:right w:val="single" w:color="000000" w:sz="2" w:space="0"/>
            </w:tcBorders>
            <w:vAlign w:val="center"/>
          </w:tcPr>
          <w:p w14:paraId="230D9487">
            <w:pPr>
              <w:pStyle w:val="46"/>
              <w:bidi w:val="0"/>
              <w:rPr>
                <w:rFonts w:hint="eastAsia"/>
                <w:lang w:val="en-US" w:eastAsia="zh-CN"/>
              </w:rPr>
            </w:pPr>
            <w:r>
              <w:rPr>
                <w:rFonts w:hint="eastAsia"/>
                <w:lang w:eastAsia="zh-CN"/>
              </w:rPr>
              <w:t>联合体投标</w:t>
            </w:r>
          </w:p>
        </w:tc>
        <w:tc>
          <w:tcPr>
            <w:tcW w:w="3007" w:type="pct"/>
            <w:gridSpan w:val="2"/>
            <w:vAlign w:val="center"/>
          </w:tcPr>
          <w:p w14:paraId="200CC7B8">
            <w:pPr>
              <w:pStyle w:val="46"/>
              <w:bidi w:val="0"/>
              <w:rPr>
                <w:rFonts w:hint="eastAsia"/>
                <w:lang w:val="en-US" w:eastAsia="zh-CN"/>
              </w:rPr>
            </w:pPr>
            <w:r>
              <w:rPr>
                <w:rFonts w:hint="eastAsia"/>
              </w:rPr>
              <w:t>符合第二章“</w:t>
            </w:r>
            <w:r>
              <w:rPr>
                <w:rFonts w:hint="eastAsia"/>
                <w:lang w:eastAsia="zh-CN"/>
              </w:rPr>
              <w:t>投标人</w:t>
            </w:r>
            <w:r>
              <w:rPr>
                <w:rFonts w:hint="eastAsia"/>
              </w:rPr>
              <w:t>须知”</w:t>
            </w:r>
            <w:r>
              <w:rPr>
                <w:rFonts w:hint="eastAsia"/>
                <w:lang w:val="en-US" w:eastAsia="zh-CN"/>
              </w:rPr>
              <w:t>1.4.2 条</w:t>
            </w:r>
            <w:r>
              <w:rPr>
                <w:rFonts w:hint="eastAsia"/>
              </w:rPr>
              <w:t>规定</w:t>
            </w:r>
          </w:p>
        </w:tc>
      </w:tr>
      <w:tr w14:paraId="1654B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Merge w:val="continue"/>
            <w:tcBorders>
              <w:top w:val="nil"/>
            </w:tcBorders>
            <w:vAlign w:val="center"/>
          </w:tcPr>
          <w:p w14:paraId="66F4FA10">
            <w:pPr>
              <w:pStyle w:val="46"/>
              <w:bidi w:val="0"/>
              <w:ind w:left="0" w:leftChars="0" w:right="0" w:rightChars="0" w:firstLine="0" w:firstLineChars="0"/>
              <w:jc w:val="center"/>
              <w:rPr>
                <w:rFonts w:hint="eastAsia"/>
              </w:rPr>
            </w:pPr>
          </w:p>
        </w:tc>
        <w:tc>
          <w:tcPr>
            <w:tcW w:w="508" w:type="pct"/>
            <w:vMerge w:val="continue"/>
            <w:tcBorders>
              <w:top w:val="nil"/>
            </w:tcBorders>
            <w:vAlign w:val="center"/>
          </w:tcPr>
          <w:p w14:paraId="44E44F67">
            <w:pPr>
              <w:pStyle w:val="46"/>
              <w:bidi w:val="0"/>
              <w:rPr>
                <w:rFonts w:hint="eastAsia"/>
              </w:rPr>
            </w:pPr>
          </w:p>
        </w:tc>
        <w:tc>
          <w:tcPr>
            <w:tcW w:w="1069" w:type="pct"/>
            <w:gridSpan w:val="3"/>
            <w:tcBorders>
              <w:top w:val="single" w:color="000000" w:sz="2" w:space="0"/>
              <w:left w:val="single" w:color="000000" w:sz="2" w:space="0"/>
              <w:right w:val="single" w:color="000000" w:sz="2" w:space="0"/>
            </w:tcBorders>
            <w:vAlign w:val="center"/>
          </w:tcPr>
          <w:p w14:paraId="491425CD">
            <w:pPr>
              <w:pStyle w:val="46"/>
              <w:bidi w:val="0"/>
              <w:rPr>
                <w:rFonts w:hint="eastAsia"/>
                <w:lang w:eastAsia="zh-CN"/>
              </w:rPr>
            </w:pPr>
            <w:r>
              <w:rPr>
                <w:rFonts w:hint="eastAsia"/>
                <w:lang w:val="en-US" w:eastAsia="zh-CN"/>
              </w:rPr>
              <w:t>投标文件的签署</w:t>
            </w:r>
          </w:p>
        </w:tc>
        <w:tc>
          <w:tcPr>
            <w:tcW w:w="3007" w:type="pct"/>
            <w:gridSpan w:val="2"/>
            <w:vAlign w:val="center"/>
          </w:tcPr>
          <w:p w14:paraId="455537C8">
            <w:pPr>
              <w:pStyle w:val="46"/>
              <w:bidi w:val="0"/>
              <w:rPr>
                <w:rFonts w:hint="eastAsia"/>
              </w:rPr>
            </w:pPr>
            <w:r>
              <w:rPr>
                <w:rFonts w:hint="eastAsia"/>
                <w:lang w:val="en-US" w:eastAsia="zh-CN"/>
              </w:rPr>
              <w:t>符合第二章“投标人须知”第3.7.3项规定</w:t>
            </w:r>
          </w:p>
        </w:tc>
      </w:tr>
      <w:tr w14:paraId="1CC77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Merge w:val="continue"/>
            <w:tcBorders>
              <w:top w:val="nil"/>
            </w:tcBorders>
            <w:vAlign w:val="center"/>
          </w:tcPr>
          <w:p w14:paraId="2B1808EA">
            <w:pPr>
              <w:pStyle w:val="46"/>
              <w:bidi w:val="0"/>
              <w:ind w:left="0" w:leftChars="0" w:right="0" w:rightChars="0" w:firstLine="0" w:firstLineChars="0"/>
              <w:jc w:val="center"/>
              <w:rPr>
                <w:rFonts w:hint="eastAsia"/>
              </w:rPr>
            </w:pPr>
          </w:p>
        </w:tc>
        <w:tc>
          <w:tcPr>
            <w:tcW w:w="508" w:type="pct"/>
            <w:vMerge w:val="continue"/>
            <w:tcBorders>
              <w:top w:val="nil"/>
            </w:tcBorders>
            <w:vAlign w:val="center"/>
          </w:tcPr>
          <w:p w14:paraId="2B1A5C26">
            <w:pPr>
              <w:pStyle w:val="46"/>
              <w:bidi w:val="0"/>
              <w:rPr>
                <w:rFonts w:hint="eastAsia"/>
              </w:rPr>
            </w:pPr>
          </w:p>
        </w:tc>
        <w:tc>
          <w:tcPr>
            <w:tcW w:w="1069" w:type="pct"/>
            <w:gridSpan w:val="3"/>
            <w:tcBorders>
              <w:top w:val="single" w:color="000000" w:sz="2" w:space="0"/>
              <w:left w:val="single" w:color="000000" w:sz="2" w:space="0"/>
              <w:right w:val="single" w:color="000000" w:sz="2" w:space="0"/>
            </w:tcBorders>
            <w:vAlign w:val="center"/>
          </w:tcPr>
          <w:p w14:paraId="6570F335">
            <w:pPr>
              <w:pStyle w:val="46"/>
              <w:bidi w:val="0"/>
              <w:rPr>
                <w:rFonts w:hint="eastAsia"/>
                <w:lang w:eastAsia="zh-CN"/>
              </w:rPr>
            </w:pPr>
            <w:r>
              <w:rPr>
                <w:rFonts w:hint="eastAsia"/>
                <w:lang w:eastAsia="zh-CN"/>
              </w:rPr>
              <w:t>投标文件的份数</w:t>
            </w:r>
          </w:p>
        </w:tc>
        <w:tc>
          <w:tcPr>
            <w:tcW w:w="3007" w:type="pct"/>
            <w:gridSpan w:val="2"/>
            <w:vAlign w:val="center"/>
          </w:tcPr>
          <w:p w14:paraId="1320310D">
            <w:pPr>
              <w:pStyle w:val="46"/>
              <w:bidi w:val="0"/>
              <w:rPr>
                <w:rFonts w:hint="eastAsia"/>
              </w:rPr>
            </w:pPr>
            <w:r>
              <w:rPr>
                <w:rFonts w:hint="eastAsia"/>
              </w:rPr>
              <w:t>符合第二章“</w:t>
            </w:r>
            <w:r>
              <w:rPr>
                <w:rFonts w:hint="eastAsia"/>
                <w:lang w:eastAsia="zh-CN"/>
              </w:rPr>
              <w:t>投标人</w:t>
            </w:r>
            <w:r>
              <w:rPr>
                <w:rFonts w:hint="eastAsia"/>
              </w:rPr>
              <w:t>须知”</w:t>
            </w:r>
            <w:r>
              <w:rPr>
                <w:rFonts w:hint="eastAsia"/>
                <w:lang w:val="en-US" w:eastAsia="zh-CN"/>
              </w:rPr>
              <w:t>3.7.4 条</w:t>
            </w:r>
            <w:r>
              <w:rPr>
                <w:rFonts w:hint="eastAsia"/>
              </w:rPr>
              <w:t>规定</w:t>
            </w:r>
          </w:p>
        </w:tc>
      </w:tr>
      <w:tr w14:paraId="38C0E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Merge w:val="continue"/>
            <w:tcBorders>
              <w:top w:val="nil"/>
            </w:tcBorders>
            <w:vAlign w:val="center"/>
          </w:tcPr>
          <w:p w14:paraId="05061DAE">
            <w:pPr>
              <w:pStyle w:val="46"/>
              <w:bidi w:val="0"/>
              <w:ind w:left="0" w:leftChars="0" w:right="0" w:rightChars="0" w:firstLine="0" w:firstLineChars="0"/>
              <w:jc w:val="center"/>
              <w:rPr>
                <w:rFonts w:hint="eastAsia"/>
              </w:rPr>
            </w:pPr>
          </w:p>
        </w:tc>
        <w:tc>
          <w:tcPr>
            <w:tcW w:w="508" w:type="pct"/>
            <w:vMerge w:val="continue"/>
            <w:tcBorders>
              <w:top w:val="nil"/>
            </w:tcBorders>
            <w:vAlign w:val="center"/>
          </w:tcPr>
          <w:p w14:paraId="0CB46C43">
            <w:pPr>
              <w:pStyle w:val="46"/>
              <w:bidi w:val="0"/>
              <w:rPr>
                <w:rFonts w:hint="eastAsia"/>
              </w:rPr>
            </w:pPr>
          </w:p>
        </w:tc>
        <w:tc>
          <w:tcPr>
            <w:tcW w:w="1069" w:type="pct"/>
            <w:gridSpan w:val="3"/>
            <w:tcBorders>
              <w:top w:val="single" w:color="000000" w:sz="2" w:space="0"/>
              <w:left w:val="single" w:color="000000" w:sz="2" w:space="0"/>
              <w:right w:val="single" w:color="000000" w:sz="2" w:space="0"/>
            </w:tcBorders>
            <w:vAlign w:val="center"/>
          </w:tcPr>
          <w:p w14:paraId="78DD4046">
            <w:pPr>
              <w:pStyle w:val="46"/>
              <w:bidi w:val="0"/>
              <w:rPr>
                <w:rFonts w:hint="eastAsia"/>
                <w:lang w:eastAsia="zh-CN"/>
              </w:rPr>
            </w:pPr>
            <w:r>
              <w:rPr>
                <w:rFonts w:hint="eastAsia"/>
                <w:lang w:eastAsia="zh-CN"/>
              </w:rPr>
              <w:t>投标文件的密封</w:t>
            </w:r>
          </w:p>
        </w:tc>
        <w:tc>
          <w:tcPr>
            <w:tcW w:w="3007" w:type="pct"/>
            <w:gridSpan w:val="2"/>
            <w:vAlign w:val="center"/>
          </w:tcPr>
          <w:p w14:paraId="600E19B8">
            <w:pPr>
              <w:pStyle w:val="46"/>
              <w:bidi w:val="0"/>
              <w:rPr>
                <w:rFonts w:hint="eastAsia"/>
                <w:lang w:eastAsia="zh-CN"/>
              </w:rPr>
            </w:pPr>
            <w:r>
              <w:rPr>
                <w:rFonts w:hint="eastAsia"/>
              </w:rPr>
              <w:t>符合第二章“</w:t>
            </w:r>
            <w:r>
              <w:rPr>
                <w:rFonts w:hint="eastAsia"/>
                <w:lang w:eastAsia="zh-CN"/>
              </w:rPr>
              <w:t>投标人</w:t>
            </w:r>
            <w:r>
              <w:rPr>
                <w:rFonts w:hint="eastAsia"/>
              </w:rPr>
              <w:t>须知”</w:t>
            </w:r>
            <w:r>
              <w:rPr>
                <w:rFonts w:hint="eastAsia"/>
                <w:lang w:val="en-US" w:eastAsia="zh-CN"/>
              </w:rPr>
              <w:t>4.1.1 条</w:t>
            </w:r>
            <w:r>
              <w:rPr>
                <w:rFonts w:hint="eastAsia"/>
              </w:rPr>
              <w:t>规定</w:t>
            </w:r>
          </w:p>
        </w:tc>
      </w:tr>
      <w:tr w14:paraId="31826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Merge w:val="restart"/>
            <w:vAlign w:val="center"/>
          </w:tcPr>
          <w:p w14:paraId="3E4A3BFE">
            <w:pPr>
              <w:pStyle w:val="46"/>
              <w:bidi w:val="0"/>
              <w:ind w:left="0" w:leftChars="0" w:right="0" w:rightChars="0" w:firstLine="0" w:firstLineChars="0"/>
              <w:jc w:val="center"/>
              <w:rPr>
                <w:rFonts w:hint="eastAsia"/>
              </w:rPr>
            </w:pPr>
            <w:r>
              <w:rPr>
                <w:rFonts w:hint="eastAsia"/>
              </w:rPr>
              <w:t>2.1.2</w:t>
            </w:r>
          </w:p>
        </w:tc>
        <w:tc>
          <w:tcPr>
            <w:tcW w:w="508" w:type="pct"/>
            <w:vMerge w:val="restart"/>
            <w:tcBorders>
              <w:top w:val="single" w:color="000000" w:sz="2" w:space="0"/>
              <w:left w:val="single" w:color="000000" w:sz="2" w:space="0"/>
              <w:right w:val="single" w:color="000000" w:sz="2" w:space="0"/>
            </w:tcBorders>
            <w:vAlign w:val="center"/>
          </w:tcPr>
          <w:p w14:paraId="3C03C720">
            <w:pPr>
              <w:pStyle w:val="46"/>
              <w:bidi w:val="0"/>
              <w:rPr>
                <w:rFonts w:hint="eastAsia"/>
              </w:rPr>
            </w:pPr>
            <w:r>
              <w:rPr>
                <w:rFonts w:hint="eastAsia"/>
              </w:rPr>
              <w:t>资格评审标准</w:t>
            </w:r>
          </w:p>
        </w:tc>
        <w:tc>
          <w:tcPr>
            <w:tcW w:w="1069" w:type="pct"/>
            <w:gridSpan w:val="3"/>
            <w:tcBorders>
              <w:top w:val="single" w:color="000000" w:sz="2" w:space="0"/>
              <w:left w:val="single" w:color="000000" w:sz="2" w:space="0"/>
              <w:right w:val="single" w:color="000000" w:sz="2" w:space="0"/>
            </w:tcBorders>
            <w:vAlign w:val="center"/>
          </w:tcPr>
          <w:p w14:paraId="28229044">
            <w:pPr>
              <w:pStyle w:val="46"/>
              <w:bidi w:val="0"/>
              <w:rPr>
                <w:rFonts w:hint="eastAsia"/>
              </w:rPr>
            </w:pPr>
            <w:r>
              <w:rPr>
                <w:rFonts w:hint="eastAsia"/>
              </w:rPr>
              <w:t>营业执照</w:t>
            </w:r>
          </w:p>
        </w:tc>
        <w:tc>
          <w:tcPr>
            <w:tcW w:w="3007" w:type="pct"/>
            <w:gridSpan w:val="2"/>
            <w:vAlign w:val="center"/>
          </w:tcPr>
          <w:p w14:paraId="4341446F">
            <w:pPr>
              <w:pStyle w:val="46"/>
              <w:bidi w:val="0"/>
              <w:rPr>
                <w:rFonts w:hint="eastAsia"/>
              </w:rPr>
            </w:pPr>
            <w:r>
              <w:rPr>
                <w:rFonts w:hint="eastAsia"/>
                <w:lang w:val="en-US" w:eastAsia="zh-CN"/>
              </w:rPr>
              <w:t>具备有效的</w:t>
            </w:r>
            <w:r>
              <w:rPr>
                <w:rFonts w:hint="eastAsia"/>
              </w:rPr>
              <w:t>营业执照</w:t>
            </w:r>
          </w:p>
        </w:tc>
      </w:tr>
      <w:tr w14:paraId="33643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Merge w:val="continue"/>
            <w:vAlign w:val="center"/>
          </w:tcPr>
          <w:p w14:paraId="7007A600">
            <w:pPr>
              <w:pStyle w:val="46"/>
              <w:bidi w:val="0"/>
              <w:rPr>
                <w:rFonts w:hint="eastAsia"/>
              </w:rPr>
            </w:pPr>
          </w:p>
        </w:tc>
        <w:tc>
          <w:tcPr>
            <w:tcW w:w="508" w:type="pct"/>
            <w:vMerge w:val="continue"/>
            <w:tcBorders>
              <w:top w:val="single" w:color="000000" w:sz="2" w:space="0"/>
              <w:left w:val="single" w:color="000000" w:sz="2" w:space="0"/>
              <w:right w:val="single" w:color="000000" w:sz="2" w:space="0"/>
            </w:tcBorders>
            <w:vAlign w:val="center"/>
          </w:tcPr>
          <w:p w14:paraId="2511E73D">
            <w:pPr>
              <w:pStyle w:val="46"/>
              <w:bidi w:val="0"/>
              <w:rPr>
                <w:rFonts w:hint="eastAsia"/>
              </w:rPr>
            </w:pPr>
          </w:p>
        </w:tc>
        <w:tc>
          <w:tcPr>
            <w:tcW w:w="1069" w:type="pct"/>
            <w:gridSpan w:val="3"/>
            <w:tcBorders>
              <w:top w:val="single" w:color="000000" w:sz="2" w:space="0"/>
              <w:left w:val="single" w:color="000000" w:sz="2" w:space="0"/>
              <w:right w:val="single" w:color="000000" w:sz="2" w:space="0"/>
            </w:tcBorders>
            <w:vAlign w:val="center"/>
          </w:tcPr>
          <w:p w14:paraId="623EB381">
            <w:pPr>
              <w:pStyle w:val="46"/>
              <w:bidi w:val="0"/>
              <w:rPr>
                <w:rFonts w:hint="eastAsia"/>
                <w:lang w:val="en-US" w:eastAsia="zh-CN"/>
              </w:rPr>
            </w:pPr>
            <w:r>
              <w:rPr>
                <w:rFonts w:hint="eastAsia"/>
                <w:lang w:val="en-US" w:eastAsia="zh-CN"/>
              </w:rPr>
              <w:t>资格条件要求</w:t>
            </w:r>
          </w:p>
        </w:tc>
        <w:tc>
          <w:tcPr>
            <w:tcW w:w="3007" w:type="pct"/>
            <w:gridSpan w:val="2"/>
            <w:vAlign w:val="center"/>
          </w:tcPr>
          <w:p w14:paraId="1DF1A2D9">
            <w:pPr>
              <w:pStyle w:val="46"/>
              <w:bidi w:val="0"/>
              <w:rPr>
                <w:rFonts w:hint="eastAsia"/>
                <w:lang w:val="en-US" w:eastAsia="zh-CN"/>
              </w:rPr>
            </w:pPr>
            <w:r>
              <w:rPr>
                <w:rFonts w:hint="eastAsia"/>
                <w:lang w:val="en-US" w:eastAsia="zh-CN"/>
              </w:rPr>
              <w:t>符合第二章“投标人须知”第1.4.1项规定</w:t>
            </w:r>
          </w:p>
        </w:tc>
      </w:tr>
      <w:tr w14:paraId="29DBB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016" w:type="pct"/>
            <w:gridSpan w:val="3"/>
            <w:vAlign w:val="center"/>
          </w:tcPr>
          <w:p w14:paraId="0633AADF">
            <w:pPr>
              <w:pStyle w:val="46"/>
              <w:bidi w:val="0"/>
              <w:ind w:left="0" w:leftChars="0" w:right="0" w:rightChars="0" w:firstLine="0" w:firstLineChars="0"/>
              <w:jc w:val="center"/>
              <w:rPr>
                <w:rFonts w:hint="eastAsia"/>
                <w:b/>
                <w:bCs w:val="0"/>
                <w:lang w:val="en-US" w:eastAsia="zh-CN"/>
              </w:rPr>
            </w:pPr>
            <w:bookmarkStart w:id="367" w:name="_Toc49247698"/>
            <w:r>
              <w:rPr>
                <w:rFonts w:hint="eastAsia"/>
                <w:b/>
                <w:bCs w:val="0"/>
                <w:lang w:val="en-US" w:eastAsia="zh-CN"/>
              </w:rPr>
              <w:t>条款号</w:t>
            </w:r>
          </w:p>
        </w:tc>
        <w:tc>
          <w:tcPr>
            <w:tcW w:w="976" w:type="pct"/>
            <w:gridSpan w:val="2"/>
            <w:tcBorders>
              <w:top w:val="single" w:color="000000" w:sz="2" w:space="0"/>
              <w:left w:val="single" w:color="000000" w:sz="2" w:space="0"/>
              <w:right w:val="single" w:color="000000" w:sz="2" w:space="0"/>
            </w:tcBorders>
            <w:vAlign w:val="center"/>
          </w:tcPr>
          <w:p w14:paraId="048E5F34">
            <w:pPr>
              <w:pStyle w:val="46"/>
              <w:bidi w:val="0"/>
              <w:ind w:left="0" w:leftChars="0" w:right="0" w:rightChars="0" w:firstLine="0" w:firstLineChars="0"/>
              <w:jc w:val="center"/>
              <w:rPr>
                <w:rFonts w:hint="eastAsia"/>
                <w:b/>
                <w:bCs w:val="0"/>
                <w:lang w:val="en-US" w:eastAsia="zh-CN"/>
              </w:rPr>
            </w:pPr>
            <w:r>
              <w:rPr>
                <w:rFonts w:hint="eastAsia"/>
                <w:b/>
                <w:bCs w:val="0"/>
                <w:lang w:val="en-US" w:eastAsia="zh-CN"/>
              </w:rPr>
              <w:t>评审因素</w:t>
            </w:r>
          </w:p>
        </w:tc>
        <w:tc>
          <w:tcPr>
            <w:tcW w:w="3007" w:type="pct"/>
            <w:gridSpan w:val="2"/>
            <w:vAlign w:val="center"/>
          </w:tcPr>
          <w:p w14:paraId="25922289">
            <w:pPr>
              <w:pStyle w:val="46"/>
              <w:bidi w:val="0"/>
              <w:ind w:left="0" w:leftChars="0" w:right="0" w:rightChars="0" w:firstLine="0" w:firstLineChars="0"/>
              <w:jc w:val="center"/>
              <w:rPr>
                <w:rFonts w:hint="eastAsia"/>
                <w:b/>
                <w:bCs w:val="0"/>
                <w:lang w:val="en-US" w:eastAsia="zh-CN"/>
              </w:rPr>
            </w:pPr>
            <w:r>
              <w:rPr>
                <w:rFonts w:hint="eastAsia"/>
                <w:b/>
                <w:bCs w:val="0"/>
                <w:lang w:val="en-US" w:eastAsia="zh-CN"/>
              </w:rPr>
              <w:t>评审标准</w:t>
            </w:r>
          </w:p>
        </w:tc>
      </w:tr>
      <w:tr w14:paraId="04AC4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Merge w:val="restart"/>
            <w:vAlign w:val="center"/>
          </w:tcPr>
          <w:p w14:paraId="4692A573">
            <w:pPr>
              <w:pStyle w:val="46"/>
              <w:bidi w:val="0"/>
              <w:ind w:left="0" w:leftChars="0" w:right="0" w:rightChars="0" w:firstLine="0" w:firstLineChars="0"/>
              <w:jc w:val="center"/>
              <w:rPr>
                <w:rFonts w:hint="eastAsia"/>
                <w:lang w:val="en-US" w:eastAsia="zh-CN"/>
              </w:rPr>
            </w:pPr>
            <w:r>
              <w:rPr>
                <w:rFonts w:hint="eastAsia"/>
              </w:rPr>
              <w:t>2.1.</w:t>
            </w:r>
            <w:r>
              <w:rPr>
                <w:rFonts w:hint="eastAsia"/>
                <w:lang w:val="en-US" w:eastAsia="zh-CN"/>
              </w:rPr>
              <w:t>3</w:t>
            </w:r>
          </w:p>
        </w:tc>
        <w:tc>
          <w:tcPr>
            <w:tcW w:w="601" w:type="pct"/>
            <w:gridSpan w:val="2"/>
            <w:vMerge w:val="restart"/>
            <w:tcBorders>
              <w:top w:val="single" w:color="000000" w:sz="2" w:space="0"/>
              <w:left w:val="single" w:color="000000" w:sz="2" w:space="0"/>
              <w:right w:val="single" w:color="000000" w:sz="2" w:space="0"/>
            </w:tcBorders>
            <w:vAlign w:val="center"/>
          </w:tcPr>
          <w:p w14:paraId="4790E364">
            <w:pPr>
              <w:pStyle w:val="46"/>
              <w:bidi w:val="0"/>
              <w:rPr>
                <w:rFonts w:hint="eastAsia"/>
              </w:rPr>
            </w:pPr>
            <w:r>
              <w:rPr>
                <w:rFonts w:hint="eastAsia"/>
                <w:lang w:val="en-US" w:eastAsia="zh-CN"/>
              </w:rPr>
              <w:t>响应性评审标准</w:t>
            </w:r>
          </w:p>
        </w:tc>
        <w:tc>
          <w:tcPr>
            <w:tcW w:w="976" w:type="pct"/>
            <w:gridSpan w:val="2"/>
            <w:tcBorders>
              <w:top w:val="single" w:color="000000" w:sz="2" w:space="0"/>
              <w:left w:val="single" w:color="000000" w:sz="2" w:space="0"/>
              <w:right w:val="single" w:color="000000" w:sz="2" w:space="0"/>
            </w:tcBorders>
            <w:vAlign w:val="center"/>
          </w:tcPr>
          <w:p w14:paraId="3668E318">
            <w:pPr>
              <w:pStyle w:val="46"/>
              <w:bidi w:val="0"/>
              <w:rPr>
                <w:rFonts w:hint="eastAsia"/>
                <w:lang w:val="en-US" w:eastAsia="zh-CN"/>
              </w:rPr>
            </w:pPr>
            <w:r>
              <w:rPr>
                <w:rFonts w:hint="eastAsia"/>
                <w:lang w:val="en-US" w:eastAsia="zh-CN"/>
              </w:rPr>
              <w:t>投标报价</w:t>
            </w:r>
          </w:p>
        </w:tc>
        <w:tc>
          <w:tcPr>
            <w:tcW w:w="3007" w:type="pct"/>
            <w:gridSpan w:val="2"/>
            <w:vAlign w:val="center"/>
          </w:tcPr>
          <w:p w14:paraId="313E8E01">
            <w:pPr>
              <w:pStyle w:val="46"/>
              <w:bidi w:val="0"/>
              <w:rPr>
                <w:rFonts w:hint="eastAsia"/>
              </w:rPr>
            </w:pPr>
            <w:r>
              <w:rPr>
                <w:rFonts w:hint="eastAsia"/>
              </w:rPr>
              <w:t>符合第二章“投标人须知”第 3.2款规定</w:t>
            </w:r>
          </w:p>
        </w:tc>
      </w:tr>
      <w:tr w14:paraId="63F61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Merge w:val="continue"/>
            <w:vAlign w:val="center"/>
          </w:tcPr>
          <w:p w14:paraId="6CBC134E">
            <w:pPr>
              <w:pStyle w:val="46"/>
              <w:bidi w:val="0"/>
              <w:rPr>
                <w:rFonts w:hint="eastAsia"/>
              </w:rPr>
            </w:pPr>
          </w:p>
        </w:tc>
        <w:tc>
          <w:tcPr>
            <w:tcW w:w="601" w:type="pct"/>
            <w:gridSpan w:val="2"/>
            <w:vMerge w:val="continue"/>
            <w:tcBorders>
              <w:top w:val="single" w:color="000000" w:sz="2" w:space="0"/>
              <w:left w:val="single" w:color="000000" w:sz="2" w:space="0"/>
              <w:right w:val="single" w:color="000000" w:sz="2" w:space="0"/>
            </w:tcBorders>
            <w:vAlign w:val="center"/>
          </w:tcPr>
          <w:p w14:paraId="6793E7C7">
            <w:pPr>
              <w:pStyle w:val="46"/>
              <w:bidi w:val="0"/>
              <w:rPr>
                <w:rFonts w:hint="eastAsia"/>
              </w:rPr>
            </w:pPr>
          </w:p>
        </w:tc>
        <w:tc>
          <w:tcPr>
            <w:tcW w:w="976" w:type="pct"/>
            <w:gridSpan w:val="2"/>
            <w:tcBorders>
              <w:top w:val="single" w:color="000000" w:sz="2" w:space="0"/>
              <w:left w:val="single" w:color="000000" w:sz="2" w:space="0"/>
              <w:right w:val="single" w:color="000000" w:sz="2" w:space="0"/>
            </w:tcBorders>
            <w:vAlign w:val="center"/>
          </w:tcPr>
          <w:p w14:paraId="4BCDB984">
            <w:pPr>
              <w:pStyle w:val="46"/>
              <w:bidi w:val="0"/>
              <w:rPr>
                <w:rFonts w:hint="eastAsia"/>
              </w:rPr>
            </w:pPr>
            <w:r>
              <w:rPr>
                <w:rFonts w:hint="eastAsia"/>
              </w:rPr>
              <w:t>投标内容</w:t>
            </w:r>
          </w:p>
        </w:tc>
        <w:tc>
          <w:tcPr>
            <w:tcW w:w="3007" w:type="pct"/>
            <w:gridSpan w:val="2"/>
            <w:vAlign w:val="center"/>
          </w:tcPr>
          <w:p w14:paraId="6DD3A7C1">
            <w:pPr>
              <w:pStyle w:val="46"/>
              <w:bidi w:val="0"/>
              <w:rPr>
                <w:rFonts w:hint="eastAsia"/>
                <w:lang w:val="en-US" w:eastAsia="zh-CN"/>
              </w:rPr>
            </w:pPr>
            <w:r>
              <w:rPr>
                <w:rFonts w:hint="eastAsia"/>
                <w:lang w:val="en-US" w:eastAsia="zh-CN"/>
              </w:rPr>
              <w:t xml:space="preserve">1. </w:t>
            </w:r>
            <w:r>
              <w:rPr>
                <w:rFonts w:hint="eastAsia"/>
              </w:rPr>
              <w:t>符合第二章“投标人须知”第1.3.1项规定</w:t>
            </w:r>
          </w:p>
          <w:p w14:paraId="3F554F8B">
            <w:pPr>
              <w:pStyle w:val="46"/>
              <w:bidi w:val="0"/>
              <w:rPr>
                <w:rFonts w:hint="default"/>
                <w:lang w:val="en-US" w:eastAsia="zh-CN"/>
              </w:rPr>
            </w:pPr>
            <w:r>
              <w:rPr>
                <w:rFonts w:hint="eastAsia"/>
                <w:lang w:val="en-US" w:eastAsia="zh-CN"/>
              </w:rPr>
              <w:t>2. 根据第一章“2. 投标人资格要求”和第五章“项目要求”的要求规定，提供对应材料，内容齐全、无遗漏；</w:t>
            </w:r>
          </w:p>
        </w:tc>
      </w:tr>
      <w:tr w14:paraId="4DD9D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Merge w:val="continue"/>
            <w:vAlign w:val="center"/>
          </w:tcPr>
          <w:p w14:paraId="61FEA03C">
            <w:pPr>
              <w:pStyle w:val="46"/>
              <w:bidi w:val="0"/>
              <w:rPr>
                <w:rFonts w:hint="eastAsia"/>
              </w:rPr>
            </w:pPr>
          </w:p>
        </w:tc>
        <w:tc>
          <w:tcPr>
            <w:tcW w:w="601" w:type="pct"/>
            <w:gridSpan w:val="2"/>
            <w:vMerge w:val="continue"/>
            <w:tcBorders>
              <w:top w:val="single" w:color="000000" w:sz="2" w:space="0"/>
              <w:left w:val="single" w:color="000000" w:sz="2" w:space="0"/>
              <w:right w:val="single" w:color="000000" w:sz="2" w:space="0"/>
            </w:tcBorders>
            <w:vAlign w:val="center"/>
          </w:tcPr>
          <w:p w14:paraId="25C1ACB3">
            <w:pPr>
              <w:pStyle w:val="46"/>
              <w:bidi w:val="0"/>
              <w:rPr>
                <w:rFonts w:hint="eastAsia"/>
              </w:rPr>
            </w:pPr>
          </w:p>
        </w:tc>
        <w:tc>
          <w:tcPr>
            <w:tcW w:w="976" w:type="pct"/>
            <w:gridSpan w:val="2"/>
            <w:tcBorders>
              <w:top w:val="single" w:color="000000" w:sz="2" w:space="0"/>
              <w:left w:val="single" w:color="000000" w:sz="2" w:space="0"/>
              <w:right w:val="single" w:color="000000" w:sz="2" w:space="0"/>
            </w:tcBorders>
            <w:vAlign w:val="center"/>
          </w:tcPr>
          <w:p w14:paraId="18D4EEE4">
            <w:pPr>
              <w:pStyle w:val="46"/>
              <w:bidi w:val="0"/>
              <w:rPr>
                <w:rFonts w:hint="eastAsia"/>
              </w:rPr>
            </w:pPr>
            <w:r>
              <w:rPr>
                <w:rFonts w:hint="eastAsia"/>
                <w:lang w:val="en-US" w:eastAsia="zh-CN"/>
              </w:rPr>
              <w:t>交货期</w:t>
            </w:r>
          </w:p>
        </w:tc>
        <w:tc>
          <w:tcPr>
            <w:tcW w:w="3007" w:type="pct"/>
            <w:gridSpan w:val="2"/>
            <w:vAlign w:val="center"/>
          </w:tcPr>
          <w:p w14:paraId="1328658B">
            <w:pPr>
              <w:pStyle w:val="46"/>
              <w:bidi w:val="0"/>
              <w:rPr>
                <w:rFonts w:hint="eastAsia"/>
                <w:lang w:val="en-US" w:eastAsia="zh-CN"/>
              </w:rPr>
            </w:pPr>
            <w:r>
              <w:rPr>
                <w:rFonts w:hint="eastAsia"/>
                <w:lang w:val="en-US" w:eastAsia="zh-CN"/>
              </w:rPr>
              <w:t>根据投标函，</w:t>
            </w:r>
            <w:r>
              <w:rPr>
                <w:rFonts w:hint="eastAsia"/>
              </w:rPr>
              <w:t>符合第二章“投标人须知”第1.3.2项规定</w:t>
            </w:r>
          </w:p>
        </w:tc>
      </w:tr>
      <w:tr w14:paraId="6E31E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Merge w:val="continue"/>
            <w:vAlign w:val="center"/>
          </w:tcPr>
          <w:p w14:paraId="5D655938">
            <w:pPr>
              <w:pStyle w:val="46"/>
              <w:bidi w:val="0"/>
              <w:rPr>
                <w:rFonts w:hint="eastAsia"/>
              </w:rPr>
            </w:pPr>
          </w:p>
        </w:tc>
        <w:tc>
          <w:tcPr>
            <w:tcW w:w="601" w:type="pct"/>
            <w:gridSpan w:val="2"/>
            <w:vMerge w:val="continue"/>
            <w:tcBorders>
              <w:top w:val="single" w:color="000000" w:sz="2" w:space="0"/>
              <w:left w:val="single" w:color="000000" w:sz="2" w:space="0"/>
              <w:right w:val="single" w:color="000000" w:sz="2" w:space="0"/>
            </w:tcBorders>
            <w:vAlign w:val="center"/>
          </w:tcPr>
          <w:p w14:paraId="4259BAFD">
            <w:pPr>
              <w:pStyle w:val="46"/>
              <w:bidi w:val="0"/>
              <w:rPr>
                <w:rFonts w:hint="eastAsia"/>
              </w:rPr>
            </w:pPr>
          </w:p>
        </w:tc>
        <w:tc>
          <w:tcPr>
            <w:tcW w:w="976" w:type="pct"/>
            <w:gridSpan w:val="2"/>
            <w:tcBorders>
              <w:top w:val="single" w:color="000000" w:sz="2" w:space="0"/>
              <w:left w:val="single" w:color="000000" w:sz="2" w:space="0"/>
              <w:right w:val="single" w:color="000000" w:sz="2" w:space="0"/>
            </w:tcBorders>
            <w:vAlign w:val="center"/>
          </w:tcPr>
          <w:p w14:paraId="4CDA71F9">
            <w:pPr>
              <w:pStyle w:val="46"/>
              <w:bidi w:val="0"/>
              <w:rPr>
                <w:rFonts w:hint="eastAsia"/>
                <w:lang w:val="en-US" w:eastAsia="zh-CN"/>
              </w:rPr>
            </w:pPr>
            <w:r>
              <w:rPr>
                <w:rFonts w:hint="eastAsia"/>
                <w:lang w:val="en-US" w:eastAsia="zh-CN"/>
              </w:rPr>
              <w:t>技术性能指标</w:t>
            </w:r>
          </w:p>
        </w:tc>
        <w:tc>
          <w:tcPr>
            <w:tcW w:w="3007" w:type="pct"/>
            <w:gridSpan w:val="2"/>
            <w:vAlign w:val="center"/>
          </w:tcPr>
          <w:p w14:paraId="63DEA3F5">
            <w:pPr>
              <w:pStyle w:val="46"/>
              <w:bidi w:val="0"/>
              <w:rPr>
                <w:rFonts w:hint="eastAsia"/>
                <w:lang w:val="en-US" w:eastAsia="zh-CN"/>
              </w:rPr>
            </w:pPr>
            <w:r>
              <w:rPr>
                <w:rFonts w:hint="eastAsia"/>
                <w:lang w:val="en-US" w:eastAsia="zh-CN"/>
              </w:rPr>
              <w:t>根据第五章第3 条“技术要求”内容，提供技术条款偏离表，内容齐全、无遗漏，无负偏差。</w:t>
            </w:r>
          </w:p>
        </w:tc>
      </w:tr>
      <w:tr w14:paraId="7D892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Merge w:val="continue"/>
            <w:vAlign w:val="center"/>
          </w:tcPr>
          <w:p w14:paraId="6AE78A31">
            <w:pPr>
              <w:pStyle w:val="46"/>
              <w:bidi w:val="0"/>
              <w:rPr>
                <w:rFonts w:hint="eastAsia"/>
              </w:rPr>
            </w:pPr>
          </w:p>
        </w:tc>
        <w:tc>
          <w:tcPr>
            <w:tcW w:w="601" w:type="pct"/>
            <w:gridSpan w:val="2"/>
            <w:vMerge w:val="continue"/>
            <w:tcBorders>
              <w:top w:val="single" w:color="000000" w:sz="2" w:space="0"/>
              <w:left w:val="single" w:color="000000" w:sz="2" w:space="0"/>
              <w:right w:val="single" w:color="000000" w:sz="2" w:space="0"/>
            </w:tcBorders>
            <w:vAlign w:val="center"/>
          </w:tcPr>
          <w:p w14:paraId="77418586">
            <w:pPr>
              <w:pStyle w:val="46"/>
              <w:bidi w:val="0"/>
              <w:rPr>
                <w:rFonts w:hint="eastAsia"/>
              </w:rPr>
            </w:pPr>
          </w:p>
        </w:tc>
        <w:tc>
          <w:tcPr>
            <w:tcW w:w="976" w:type="pct"/>
            <w:gridSpan w:val="2"/>
            <w:tcBorders>
              <w:top w:val="single" w:color="000000" w:sz="2" w:space="0"/>
              <w:left w:val="single" w:color="000000" w:sz="2" w:space="0"/>
              <w:right w:val="single" w:color="000000" w:sz="2" w:space="0"/>
            </w:tcBorders>
            <w:vAlign w:val="center"/>
          </w:tcPr>
          <w:p w14:paraId="181914DE">
            <w:pPr>
              <w:pStyle w:val="46"/>
              <w:bidi w:val="0"/>
              <w:rPr>
                <w:rFonts w:hint="eastAsia"/>
              </w:rPr>
            </w:pPr>
            <w:r>
              <w:rPr>
                <w:rFonts w:hint="eastAsia"/>
              </w:rPr>
              <w:t>投标保证金</w:t>
            </w:r>
          </w:p>
        </w:tc>
        <w:tc>
          <w:tcPr>
            <w:tcW w:w="3007" w:type="pct"/>
            <w:gridSpan w:val="2"/>
            <w:vAlign w:val="center"/>
          </w:tcPr>
          <w:p w14:paraId="3BEBC975">
            <w:pPr>
              <w:pStyle w:val="46"/>
              <w:bidi w:val="0"/>
              <w:rPr>
                <w:rFonts w:hint="eastAsia"/>
                <w:lang w:val="en-US" w:eastAsia="zh-CN"/>
              </w:rPr>
            </w:pPr>
            <w:r>
              <w:rPr>
                <w:rFonts w:hint="eastAsia"/>
              </w:rPr>
              <w:t>符合第二章“投标人须知”第3.4.1项规定</w:t>
            </w:r>
            <w:r>
              <w:rPr>
                <w:rFonts w:hint="eastAsia"/>
                <w:lang w:eastAsia="zh-CN"/>
              </w:rPr>
              <w:t>（</w:t>
            </w:r>
            <w:r>
              <w:rPr>
                <w:rFonts w:hint="eastAsia"/>
              </w:rPr>
              <w:t>投标保证金以重庆市公共资源交易中心开标现场展示的保证金交纳情况为准</w:t>
            </w:r>
            <w:r>
              <w:rPr>
                <w:rFonts w:hint="eastAsia"/>
                <w:lang w:eastAsia="zh-CN"/>
              </w:rPr>
              <w:t>）</w:t>
            </w:r>
          </w:p>
        </w:tc>
      </w:tr>
      <w:tr w14:paraId="47A47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Merge w:val="continue"/>
            <w:vAlign w:val="center"/>
          </w:tcPr>
          <w:p w14:paraId="274CEAB7">
            <w:pPr>
              <w:pStyle w:val="46"/>
              <w:bidi w:val="0"/>
              <w:rPr>
                <w:rFonts w:hint="eastAsia"/>
              </w:rPr>
            </w:pPr>
          </w:p>
        </w:tc>
        <w:tc>
          <w:tcPr>
            <w:tcW w:w="601" w:type="pct"/>
            <w:gridSpan w:val="2"/>
            <w:vMerge w:val="continue"/>
            <w:tcBorders>
              <w:top w:val="single" w:color="000000" w:sz="2" w:space="0"/>
              <w:left w:val="single" w:color="000000" w:sz="2" w:space="0"/>
              <w:right w:val="single" w:color="000000" w:sz="2" w:space="0"/>
            </w:tcBorders>
            <w:vAlign w:val="center"/>
          </w:tcPr>
          <w:p w14:paraId="4C65C0DC">
            <w:pPr>
              <w:pStyle w:val="46"/>
              <w:bidi w:val="0"/>
              <w:rPr>
                <w:rFonts w:hint="eastAsia"/>
              </w:rPr>
            </w:pPr>
          </w:p>
        </w:tc>
        <w:tc>
          <w:tcPr>
            <w:tcW w:w="976" w:type="pct"/>
            <w:gridSpan w:val="2"/>
            <w:tcBorders>
              <w:top w:val="single" w:color="000000" w:sz="2" w:space="0"/>
              <w:left w:val="single" w:color="000000" w:sz="2" w:space="0"/>
              <w:right w:val="single" w:color="000000" w:sz="2" w:space="0"/>
            </w:tcBorders>
            <w:vAlign w:val="center"/>
          </w:tcPr>
          <w:p w14:paraId="1BF970CA">
            <w:pPr>
              <w:pStyle w:val="46"/>
              <w:bidi w:val="0"/>
              <w:rPr>
                <w:rFonts w:hint="eastAsia"/>
              </w:rPr>
            </w:pPr>
            <w:r>
              <w:rPr>
                <w:rFonts w:hint="eastAsia"/>
              </w:rPr>
              <w:t>权利义务</w:t>
            </w:r>
          </w:p>
        </w:tc>
        <w:tc>
          <w:tcPr>
            <w:tcW w:w="3007" w:type="pct"/>
            <w:gridSpan w:val="2"/>
            <w:vAlign w:val="center"/>
          </w:tcPr>
          <w:p w14:paraId="5E772957">
            <w:pPr>
              <w:pStyle w:val="46"/>
              <w:bidi w:val="0"/>
              <w:rPr>
                <w:rFonts w:hint="eastAsia"/>
                <w:lang w:val="en-US" w:eastAsia="zh-CN"/>
              </w:rPr>
            </w:pPr>
            <w:r>
              <w:rPr>
                <w:rFonts w:hint="eastAsia"/>
              </w:rPr>
              <w:t>符合第四章“合同条款及格式”规定（由投标人承诺，承诺书格式详见</w:t>
            </w:r>
            <w:r>
              <w:rPr>
                <w:rFonts w:hint="eastAsia"/>
                <w:lang w:val="en-US" w:eastAsia="zh-CN"/>
              </w:rPr>
              <w:t>投标函</w:t>
            </w:r>
            <w:r>
              <w:rPr>
                <w:rFonts w:hint="eastAsia"/>
              </w:rPr>
              <w:t>。）</w:t>
            </w:r>
          </w:p>
        </w:tc>
      </w:tr>
      <w:tr w14:paraId="62B7B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Merge w:val="continue"/>
            <w:vAlign w:val="center"/>
          </w:tcPr>
          <w:p w14:paraId="5996109A">
            <w:pPr>
              <w:pStyle w:val="46"/>
              <w:bidi w:val="0"/>
              <w:rPr>
                <w:rFonts w:hint="eastAsia"/>
              </w:rPr>
            </w:pPr>
          </w:p>
        </w:tc>
        <w:tc>
          <w:tcPr>
            <w:tcW w:w="601" w:type="pct"/>
            <w:gridSpan w:val="2"/>
            <w:vMerge w:val="continue"/>
            <w:tcBorders>
              <w:top w:val="single" w:color="000000" w:sz="2" w:space="0"/>
              <w:left w:val="single" w:color="000000" w:sz="2" w:space="0"/>
              <w:right w:val="single" w:color="000000" w:sz="2" w:space="0"/>
            </w:tcBorders>
            <w:vAlign w:val="center"/>
          </w:tcPr>
          <w:p w14:paraId="20F042BB">
            <w:pPr>
              <w:pStyle w:val="46"/>
              <w:bidi w:val="0"/>
              <w:rPr>
                <w:rFonts w:hint="eastAsia"/>
              </w:rPr>
            </w:pPr>
          </w:p>
        </w:tc>
        <w:tc>
          <w:tcPr>
            <w:tcW w:w="976" w:type="pct"/>
            <w:gridSpan w:val="2"/>
            <w:tcBorders>
              <w:top w:val="single" w:color="000000" w:sz="2" w:space="0"/>
              <w:left w:val="single" w:color="000000" w:sz="2" w:space="0"/>
              <w:right w:val="single" w:color="000000" w:sz="2" w:space="0"/>
            </w:tcBorders>
            <w:vAlign w:val="center"/>
          </w:tcPr>
          <w:p w14:paraId="479A2881">
            <w:pPr>
              <w:pStyle w:val="46"/>
              <w:bidi w:val="0"/>
              <w:rPr>
                <w:rFonts w:hint="eastAsia"/>
                <w:lang w:val="en-US" w:eastAsia="zh-CN"/>
              </w:rPr>
            </w:pPr>
            <w:r>
              <w:rPr>
                <w:rFonts w:hint="eastAsia"/>
              </w:rPr>
              <w:t>实质性要求</w:t>
            </w:r>
          </w:p>
        </w:tc>
        <w:tc>
          <w:tcPr>
            <w:tcW w:w="3007" w:type="pct"/>
            <w:gridSpan w:val="2"/>
            <w:vAlign w:val="center"/>
          </w:tcPr>
          <w:p w14:paraId="7408C445">
            <w:pPr>
              <w:pStyle w:val="46"/>
              <w:bidi w:val="0"/>
              <w:rPr>
                <w:rFonts w:hint="eastAsia"/>
                <w:lang w:val="en-US" w:eastAsia="zh-CN"/>
              </w:rPr>
            </w:pPr>
            <w:r>
              <w:rPr>
                <w:rFonts w:hint="eastAsia"/>
                <w:lang w:val="en-US" w:eastAsia="zh-CN"/>
              </w:rPr>
              <w:t>根据第五章“项目要求”的规定，在响应承诺函中对第五章内容做出整体承诺。</w:t>
            </w:r>
          </w:p>
        </w:tc>
      </w:tr>
      <w:tr w14:paraId="1ED8B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Align w:val="center"/>
          </w:tcPr>
          <w:p w14:paraId="61097E2B">
            <w:pPr>
              <w:pStyle w:val="46"/>
              <w:bidi w:val="0"/>
              <w:ind w:left="0" w:leftChars="0" w:right="0" w:rightChars="0" w:firstLine="0" w:firstLineChars="0"/>
              <w:jc w:val="center"/>
              <w:rPr>
                <w:rFonts w:hint="eastAsia"/>
                <w:b/>
                <w:bCs w:val="0"/>
              </w:rPr>
            </w:pPr>
            <w:r>
              <w:rPr>
                <w:rFonts w:hint="eastAsia"/>
                <w:b/>
                <w:bCs w:val="0"/>
              </w:rPr>
              <w:t>条款号</w:t>
            </w:r>
          </w:p>
        </w:tc>
        <w:tc>
          <w:tcPr>
            <w:tcW w:w="1022" w:type="pct"/>
            <w:gridSpan w:val="3"/>
            <w:tcBorders>
              <w:top w:val="single" w:color="000000" w:sz="2" w:space="0"/>
              <w:left w:val="single" w:color="000000" w:sz="2" w:space="0"/>
              <w:right w:val="single" w:color="000000" w:sz="2" w:space="0"/>
            </w:tcBorders>
            <w:vAlign w:val="center"/>
          </w:tcPr>
          <w:p w14:paraId="71913B27">
            <w:pPr>
              <w:pStyle w:val="46"/>
              <w:bidi w:val="0"/>
              <w:ind w:left="0" w:leftChars="0" w:right="0" w:rightChars="0" w:firstLine="0" w:firstLineChars="0"/>
              <w:jc w:val="center"/>
              <w:rPr>
                <w:rFonts w:hint="eastAsia"/>
                <w:b/>
                <w:bCs w:val="0"/>
                <w:lang w:eastAsia="zh-CN"/>
              </w:rPr>
            </w:pPr>
            <w:r>
              <w:rPr>
                <w:rFonts w:hint="eastAsia"/>
                <w:b/>
                <w:bCs w:val="0"/>
              </w:rPr>
              <w:t>条款名称</w:t>
            </w:r>
          </w:p>
        </w:tc>
        <w:tc>
          <w:tcPr>
            <w:tcW w:w="3562" w:type="pct"/>
            <w:gridSpan w:val="3"/>
            <w:vAlign w:val="center"/>
          </w:tcPr>
          <w:p w14:paraId="042FF8B7">
            <w:pPr>
              <w:pStyle w:val="46"/>
              <w:bidi w:val="0"/>
              <w:ind w:left="0" w:leftChars="0" w:right="0" w:rightChars="0" w:firstLine="0" w:firstLineChars="0"/>
              <w:jc w:val="center"/>
              <w:rPr>
                <w:rFonts w:hint="eastAsia"/>
                <w:b/>
                <w:bCs w:val="0"/>
              </w:rPr>
            </w:pPr>
            <w:r>
              <w:rPr>
                <w:rFonts w:hint="eastAsia"/>
                <w:b/>
                <w:bCs w:val="0"/>
              </w:rPr>
              <w:t>编列内容</w:t>
            </w:r>
          </w:p>
        </w:tc>
      </w:tr>
      <w:tr w14:paraId="60630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Align w:val="center"/>
          </w:tcPr>
          <w:p w14:paraId="638C494A">
            <w:pPr>
              <w:pStyle w:val="46"/>
              <w:bidi w:val="0"/>
              <w:ind w:left="0" w:leftChars="0" w:right="0" w:rightChars="0" w:firstLine="0" w:firstLineChars="0"/>
              <w:jc w:val="center"/>
              <w:rPr>
                <w:rFonts w:hint="eastAsia"/>
              </w:rPr>
            </w:pPr>
            <w:r>
              <w:rPr>
                <w:rFonts w:hint="eastAsia"/>
              </w:rPr>
              <w:t>2.2.1</w:t>
            </w:r>
          </w:p>
        </w:tc>
        <w:tc>
          <w:tcPr>
            <w:tcW w:w="1022" w:type="pct"/>
            <w:gridSpan w:val="3"/>
            <w:tcBorders>
              <w:top w:val="single" w:color="000000" w:sz="2" w:space="0"/>
              <w:left w:val="single" w:color="000000" w:sz="2" w:space="0"/>
              <w:right w:val="single" w:color="000000" w:sz="2" w:space="0"/>
            </w:tcBorders>
            <w:vAlign w:val="center"/>
          </w:tcPr>
          <w:p w14:paraId="069561D6">
            <w:pPr>
              <w:pStyle w:val="46"/>
              <w:bidi w:val="0"/>
              <w:rPr>
                <w:rFonts w:hint="eastAsia"/>
              </w:rPr>
            </w:pPr>
            <w:r>
              <w:rPr>
                <w:rFonts w:hint="eastAsia"/>
              </w:rPr>
              <w:t>分值构成</w:t>
            </w:r>
          </w:p>
          <w:p w14:paraId="3EBC6F3C">
            <w:pPr>
              <w:pStyle w:val="46"/>
              <w:bidi w:val="0"/>
              <w:rPr>
                <w:rFonts w:hint="eastAsia"/>
                <w:lang w:eastAsia="zh-CN"/>
              </w:rPr>
            </w:pPr>
            <w:r>
              <w:rPr>
                <w:rFonts w:hint="eastAsia"/>
              </w:rPr>
              <w:t>(总分 100 分)</w:t>
            </w:r>
          </w:p>
        </w:tc>
        <w:tc>
          <w:tcPr>
            <w:tcW w:w="3562" w:type="pct"/>
            <w:gridSpan w:val="3"/>
            <w:vAlign w:val="center"/>
          </w:tcPr>
          <w:p w14:paraId="677A3854">
            <w:pPr>
              <w:pStyle w:val="46"/>
              <w:bidi w:val="0"/>
              <w:rPr>
                <w:rFonts w:hint="eastAsia"/>
              </w:rPr>
            </w:pPr>
            <w:r>
              <w:rPr>
                <w:rFonts w:hint="eastAsia"/>
              </w:rPr>
              <w:t>投标报价</w:t>
            </w:r>
            <w:r>
              <w:rPr>
                <w:rFonts w:hint="eastAsia"/>
                <w:lang w:eastAsia="zh-CN"/>
              </w:rPr>
              <w:t>：</w:t>
            </w:r>
            <w:r>
              <w:rPr>
                <w:rFonts w:hint="eastAsia"/>
                <w:lang w:val="en-US" w:eastAsia="zh-CN"/>
              </w:rPr>
              <w:t>40</w:t>
            </w:r>
            <w:r>
              <w:rPr>
                <w:rFonts w:hint="eastAsia"/>
              </w:rPr>
              <w:t>分</w:t>
            </w:r>
          </w:p>
          <w:p w14:paraId="79FE04CD">
            <w:pPr>
              <w:pStyle w:val="46"/>
              <w:bidi w:val="0"/>
              <w:rPr>
                <w:rFonts w:hint="eastAsia"/>
              </w:rPr>
            </w:pPr>
            <w:r>
              <w:rPr>
                <w:rFonts w:hint="eastAsia"/>
                <w:lang w:val="en-US" w:eastAsia="zh-CN"/>
              </w:rPr>
              <w:t>商务部分：60分</w:t>
            </w:r>
          </w:p>
        </w:tc>
      </w:tr>
      <w:tr w14:paraId="61FB0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Align w:val="center"/>
          </w:tcPr>
          <w:p w14:paraId="59A0905D">
            <w:pPr>
              <w:pStyle w:val="46"/>
              <w:bidi w:val="0"/>
              <w:ind w:left="0" w:leftChars="0" w:right="0" w:rightChars="0" w:firstLine="0" w:firstLineChars="0"/>
              <w:jc w:val="center"/>
              <w:rPr>
                <w:rFonts w:hint="eastAsia"/>
                <w:b/>
                <w:bCs w:val="0"/>
              </w:rPr>
            </w:pPr>
            <w:r>
              <w:rPr>
                <w:rFonts w:hint="eastAsia"/>
                <w:b/>
                <w:bCs w:val="0"/>
              </w:rPr>
              <w:t>条款号</w:t>
            </w:r>
          </w:p>
        </w:tc>
        <w:tc>
          <w:tcPr>
            <w:tcW w:w="2072" w:type="pct"/>
            <w:gridSpan w:val="5"/>
            <w:tcBorders>
              <w:top w:val="single" w:color="000000" w:sz="2" w:space="0"/>
              <w:left w:val="single" w:color="000000" w:sz="2" w:space="0"/>
              <w:right w:val="single" w:color="000000" w:sz="2" w:space="0"/>
            </w:tcBorders>
            <w:vAlign w:val="center"/>
          </w:tcPr>
          <w:p w14:paraId="7C349197">
            <w:pPr>
              <w:pStyle w:val="46"/>
              <w:bidi w:val="0"/>
              <w:ind w:left="0" w:leftChars="0" w:right="0" w:rightChars="0" w:firstLine="0" w:firstLineChars="0"/>
              <w:jc w:val="center"/>
              <w:rPr>
                <w:rFonts w:hint="eastAsia"/>
                <w:b/>
                <w:bCs w:val="0"/>
              </w:rPr>
            </w:pPr>
            <w:r>
              <w:rPr>
                <w:rFonts w:hint="eastAsia"/>
                <w:b/>
                <w:bCs w:val="0"/>
              </w:rPr>
              <w:t>条款名称</w:t>
            </w:r>
          </w:p>
        </w:tc>
        <w:tc>
          <w:tcPr>
            <w:tcW w:w="2513" w:type="pct"/>
            <w:vAlign w:val="center"/>
          </w:tcPr>
          <w:p w14:paraId="5B1B5C6E">
            <w:pPr>
              <w:pStyle w:val="46"/>
              <w:bidi w:val="0"/>
              <w:ind w:left="0" w:leftChars="0" w:right="0" w:rightChars="0" w:firstLine="0" w:firstLineChars="0"/>
              <w:jc w:val="center"/>
              <w:rPr>
                <w:rFonts w:hint="eastAsia"/>
                <w:b/>
                <w:bCs w:val="0"/>
              </w:rPr>
            </w:pPr>
            <w:r>
              <w:rPr>
                <w:rFonts w:hint="eastAsia"/>
                <w:b/>
                <w:bCs w:val="0"/>
              </w:rPr>
              <w:t>编列内容</w:t>
            </w:r>
          </w:p>
        </w:tc>
      </w:tr>
      <w:tr w14:paraId="539E7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Align w:val="center"/>
          </w:tcPr>
          <w:p w14:paraId="3F2DE70E">
            <w:pPr>
              <w:pStyle w:val="46"/>
              <w:bidi w:val="0"/>
              <w:ind w:left="0" w:leftChars="0" w:right="0" w:rightChars="0" w:firstLine="0" w:firstLineChars="0"/>
              <w:jc w:val="center"/>
              <w:rPr>
                <w:rFonts w:hint="eastAsia"/>
              </w:rPr>
            </w:pPr>
            <w:r>
              <w:rPr>
                <w:rFonts w:hint="eastAsia"/>
              </w:rPr>
              <w:t>2.2.2</w:t>
            </w:r>
          </w:p>
          <w:p w14:paraId="2F562B07">
            <w:pPr>
              <w:pStyle w:val="46"/>
              <w:bidi w:val="0"/>
              <w:ind w:left="0" w:leftChars="0" w:right="0" w:rightChars="0" w:firstLine="0" w:firstLineChars="0"/>
              <w:jc w:val="center"/>
              <w:rPr>
                <w:rFonts w:hint="eastAsia"/>
              </w:rPr>
            </w:pPr>
            <w:r>
              <w:rPr>
                <w:rFonts w:hint="eastAsia"/>
                <w:lang w:eastAsia="zh-CN"/>
              </w:rPr>
              <w:t>（</w:t>
            </w:r>
            <w:r>
              <w:rPr>
                <w:rFonts w:hint="eastAsia"/>
                <w:lang w:val="en-US" w:eastAsia="zh-CN"/>
              </w:rPr>
              <w:t>1</w:t>
            </w:r>
            <w:r>
              <w:rPr>
                <w:rFonts w:hint="eastAsia"/>
                <w:lang w:eastAsia="zh-CN"/>
              </w:rPr>
              <w:t>）</w:t>
            </w:r>
          </w:p>
        </w:tc>
        <w:tc>
          <w:tcPr>
            <w:tcW w:w="2072" w:type="pct"/>
            <w:gridSpan w:val="5"/>
            <w:tcBorders>
              <w:top w:val="single" w:color="000000" w:sz="2" w:space="0"/>
              <w:left w:val="single" w:color="000000" w:sz="2" w:space="0"/>
              <w:right w:val="single" w:color="000000" w:sz="2" w:space="0"/>
            </w:tcBorders>
            <w:vAlign w:val="center"/>
          </w:tcPr>
          <w:p w14:paraId="4BC88B44">
            <w:pPr>
              <w:pStyle w:val="46"/>
              <w:bidi w:val="0"/>
              <w:rPr>
                <w:rFonts w:hint="eastAsia"/>
                <w:lang w:val="en-US" w:eastAsia="zh-CN"/>
              </w:rPr>
            </w:pPr>
            <w:r>
              <w:rPr>
                <w:rFonts w:hint="eastAsia"/>
                <w:lang w:val="en-US" w:eastAsia="zh-CN"/>
              </w:rPr>
              <w:t>存取款一体机（动态密码锁）报价</w:t>
            </w:r>
          </w:p>
          <w:p w14:paraId="05DCEB03">
            <w:pPr>
              <w:pStyle w:val="46"/>
              <w:bidi w:val="0"/>
              <w:rPr>
                <w:rFonts w:hint="eastAsia"/>
                <w:lang w:eastAsia="zh-CN"/>
              </w:rPr>
            </w:pPr>
            <w:r>
              <w:rPr>
                <w:rFonts w:hint="eastAsia"/>
              </w:rPr>
              <w:t>评标基准价计算方法</w:t>
            </w:r>
          </w:p>
        </w:tc>
        <w:tc>
          <w:tcPr>
            <w:tcW w:w="2513" w:type="pct"/>
            <w:vMerge w:val="restart"/>
            <w:vAlign w:val="center"/>
          </w:tcPr>
          <w:p w14:paraId="295622A9">
            <w:pPr>
              <w:pStyle w:val="46"/>
              <w:bidi w:val="0"/>
              <w:rPr>
                <w:rFonts w:hint="eastAsia"/>
              </w:rPr>
            </w:pPr>
            <w:r>
              <w:rPr>
                <w:rFonts w:hint="eastAsia"/>
                <w:lang w:eastAsia="zh-CN"/>
              </w:rPr>
              <w:t>四个</w:t>
            </w:r>
            <w:r>
              <w:rPr>
                <w:rFonts w:hint="eastAsia"/>
                <w:lang w:val="en-US" w:eastAsia="zh-CN"/>
              </w:rPr>
              <w:t>报价相加后，投标总报价</w:t>
            </w:r>
            <w:r>
              <w:rPr>
                <w:rFonts w:hint="eastAsia"/>
                <w:lang w:eastAsia="zh-CN"/>
              </w:rPr>
              <w:t>最低</w:t>
            </w:r>
            <w:r>
              <w:rPr>
                <w:rFonts w:hint="eastAsia"/>
                <w:lang w:val="en-US" w:eastAsia="zh-CN"/>
              </w:rPr>
              <w:t>的</w:t>
            </w:r>
            <w:r>
              <w:rPr>
                <w:rFonts w:hint="eastAsia"/>
                <w:lang w:eastAsia="zh-CN"/>
              </w:rPr>
              <w:t>等于评</w:t>
            </w:r>
            <w:r>
              <w:rPr>
                <w:rFonts w:hint="eastAsia"/>
              </w:rPr>
              <w:t>审</w:t>
            </w:r>
            <w:r>
              <w:rPr>
                <w:rFonts w:hint="eastAsia"/>
                <w:lang w:eastAsia="zh-CN"/>
              </w:rPr>
              <w:t>基准价</w:t>
            </w:r>
          </w:p>
        </w:tc>
      </w:tr>
      <w:tr w14:paraId="6B9A1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Align w:val="center"/>
          </w:tcPr>
          <w:p w14:paraId="1EA8AA81">
            <w:pPr>
              <w:pStyle w:val="46"/>
              <w:bidi w:val="0"/>
              <w:ind w:left="0" w:leftChars="0" w:right="0" w:rightChars="0" w:firstLine="0" w:firstLineChars="0"/>
              <w:jc w:val="center"/>
              <w:rPr>
                <w:rFonts w:hint="eastAsia"/>
              </w:rPr>
            </w:pPr>
            <w:r>
              <w:rPr>
                <w:rFonts w:hint="eastAsia"/>
              </w:rPr>
              <w:t>2.2.2</w:t>
            </w:r>
          </w:p>
          <w:p w14:paraId="0616A41E">
            <w:pPr>
              <w:pStyle w:val="46"/>
              <w:bidi w:val="0"/>
              <w:ind w:left="0" w:leftChars="0" w:right="0" w:rightChars="0" w:firstLine="0" w:firstLineChars="0"/>
              <w:jc w:val="center"/>
              <w:rPr>
                <w:rFonts w:hint="eastAsia"/>
              </w:rPr>
            </w:pPr>
            <w:r>
              <w:rPr>
                <w:rFonts w:hint="eastAsia"/>
                <w:lang w:eastAsia="zh-CN"/>
              </w:rPr>
              <w:t>（</w:t>
            </w:r>
            <w:r>
              <w:rPr>
                <w:rFonts w:hint="eastAsia"/>
                <w:lang w:val="en-US" w:eastAsia="zh-CN"/>
              </w:rPr>
              <w:t>2</w:t>
            </w:r>
            <w:r>
              <w:rPr>
                <w:rFonts w:hint="eastAsia"/>
                <w:lang w:eastAsia="zh-CN"/>
              </w:rPr>
              <w:t>）</w:t>
            </w:r>
          </w:p>
        </w:tc>
        <w:tc>
          <w:tcPr>
            <w:tcW w:w="2072" w:type="pct"/>
            <w:gridSpan w:val="5"/>
            <w:tcBorders>
              <w:top w:val="single" w:color="000000" w:sz="2" w:space="0"/>
              <w:left w:val="single" w:color="000000" w:sz="2" w:space="0"/>
              <w:right w:val="single" w:color="000000" w:sz="2" w:space="0"/>
            </w:tcBorders>
            <w:vAlign w:val="center"/>
          </w:tcPr>
          <w:p w14:paraId="7C4CB69E">
            <w:pPr>
              <w:pStyle w:val="46"/>
              <w:bidi w:val="0"/>
              <w:rPr>
                <w:rFonts w:hint="eastAsia"/>
                <w:lang w:val="en-US" w:eastAsia="zh-CN"/>
              </w:rPr>
            </w:pPr>
            <w:r>
              <w:rPr>
                <w:rFonts w:hint="eastAsia"/>
                <w:lang w:val="en-US" w:eastAsia="zh-CN"/>
              </w:rPr>
              <w:t>动态密码锁（含安装）报价</w:t>
            </w:r>
          </w:p>
          <w:p w14:paraId="54D508C0">
            <w:pPr>
              <w:pStyle w:val="46"/>
              <w:bidi w:val="0"/>
              <w:rPr>
                <w:rFonts w:hint="eastAsia"/>
                <w:lang w:val="en-US" w:eastAsia="zh-CN"/>
              </w:rPr>
            </w:pPr>
            <w:r>
              <w:rPr>
                <w:rFonts w:hint="eastAsia"/>
              </w:rPr>
              <w:t>评标基准价计算方法</w:t>
            </w:r>
          </w:p>
        </w:tc>
        <w:tc>
          <w:tcPr>
            <w:tcW w:w="2513" w:type="pct"/>
            <w:vMerge w:val="continue"/>
            <w:vAlign w:val="center"/>
          </w:tcPr>
          <w:p w14:paraId="7E86D7E7">
            <w:pPr>
              <w:pStyle w:val="46"/>
              <w:bidi w:val="0"/>
              <w:rPr>
                <w:rFonts w:hint="eastAsia"/>
              </w:rPr>
            </w:pPr>
          </w:p>
        </w:tc>
      </w:tr>
      <w:tr w14:paraId="6E546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Align w:val="center"/>
          </w:tcPr>
          <w:p w14:paraId="5D576023">
            <w:pPr>
              <w:pStyle w:val="46"/>
              <w:bidi w:val="0"/>
              <w:ind w:left="0" w:leftChars="0" w:right="0" w:rightChars="0" w:firstLine="0" w:firstLineChars="0"/>
              <w:jc w:val="center"/>
              <w:rPr>
                <w:rFonts w:hint="eastAsia"/>
              </w:rPr>
            </w:pPr>
            <w:r>
              <w:rPr>
                <w:rFonts w:hint="eastAsia"/>
              </w:rPr>
              <w:t>2.2.2</w:t>
            </w:r>
          </w:p>
          <w:p w14:paraId="711916B8">
            <w:pPr>
              <w:pStyle w:val="46"/>
              <w:bidi w:val="0"/>
              <w:ind w:left="0" w:leftChars="0" w:right="0" w:rightChars="0" w:firstLine="0" w:firstLineChars="0"/>
              <w:jc w:val="center"/>
              <w:rPr>
                <w:rFonts w:hint="eastAsia"/>
              </w:rPr>
            </w:pPr>
            <w:r>
              <w:rPr>
                <w:rFonts w:hint="eastAsia"/>
                <w:lang w:eastAsia="zh-CN"/>
              </w:rPr>
              <w:t>（</w:t>
            </w:r>
            <w:r>
              <w:rPr>
                <w:rFonts w:hint="eastAsia"/>
                <w:lang w:val="en-US" w:eastAsia="zh-CN"/>
              </w:rPr>
              <w:t>3</w:t>
            </w:r>
            <w:r>
              <w:rPr>
                <w:rFonts w:hint="eastAsia"/>
                <w:lang w:eastAsia="zh-CN"/>
              </w:rPr>
              <w:t>）</w:t>
            </w:r>
          </w:p>
        </w:tc>
        <w:tc>
          <w:tcPr>
            <w:tcW w:w="2072" w:type="pct"/>
            <w:gridSpan w:val="5"/>
            <w:tcBorders>
              <w:top w:val="single" w:color="000000" w:sz="2" w:space="0"/>
              <w:left w:val="single" w:color="000000" w:sz="2" w:space="0"/>
              <w:right w:val="single" w:color="000000" w:sz="2" w:space="0"/>
            </w:tcBorders>
            <w:vAlign w:val="center"/>
          </w:tcPr>
          <w:p w14:paraId="16FFECC6">
            <w:pPr>
              <w:pStyle w:val="46"/>
              <w:bidi w:val="0"/>
              <w:rPr>
                <w:rFonts w:hint="eastAsia"/>
                <w:lang w:val="en-US" w:eastAsia="zh-CN"/>
              </w:rPr>
            </w:pPr>
            <w:r>
              <w:rPr>
                <w:rFonts w:hint="eastAsia"/>
                <w:lang w:val="en-US" w:eastAsia="zh-CN"/>
              </w:rPr>
              <w:t>存折打印机（含安装）报价</w:t>
            </w:r>
          </w:p>
          <w:p w14:paraId="5DC8FD94">
            <w:pPr>
              <w:pStyle w:val="46"/>
              <w:bidi w:val="0"/>
              <w:rPr>
                <w:rFonts w:hint="eastAsia"/>
                <w:lang w:val="en-US" w:eastAsia="zh-CN"/>
              </w:rPr>
            </w:pPr>
            <w:r>
              <w:rPr>
                <w:rFonts w:hint="eastAsia"/>
              </w:rPr>
              <w:t>评标基准价计算方法</w:t>
            </w:r>
          </w:p>
        </w:tc>
        <w:tc>
          <w:tcPr>
            <w:tcW w:w="2513" w:type="pct"/>
            <w:vMerge w:val="continue"/>
            <w:vAlign w:val="center"/>
          </w:tcPr>
          <w:p w14:paraId="5F89B912">
            <w:pPr>
              <w:pStyle w:val="46"/>
              <w:bidi w:val="0"/>
              <w:rPr>
                <w:rFonts w:hint="eastAsia"/>
              </w:rPr>
            </w:pPr>
          </w:p>
        </w:tc>
      </w:tr>
      <w:tr w14:paraId="7623A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Align w:val="center"/>
          </w:tcPr>
          <w:p w14:paraId="535061E7">
            <w:pPr>
              <w:pStyle w:val="46"/>
              <w:bidi w:val="0"/>
              <w:ind w:left="0" w:leftChars="0" w:right="0" w:rightChars="0" w:firstLine="0" w:firstLineChars="0"/>
              <w:jc w:val="center"/>
              <w:rPr>
                <w:rFonts w:hint="eastAsia"/>
              </w:rPr>
            </w:pPr>
            <w:r>
              <w:rPr>
                <w:rFonts w:hint="eastAsia"/>
              </w:rPr>
              <w:t>2.2.2</w:t>
            </w:r>
          </w:p>
          <w:p w14:paraId="6FEF90D1">
            <w:pPr>
              <w:pStyle w:val="46"/>
              <w:bidi w:val="0"/>
              <w:ind w:left="0" w:leftChars="0" w:right="0" w:rightChars="0" w:firstLine="0" w:firstLineChars="0"/>
              <w:jc w:val="center"/>
              <w:rPr>
                <w:rFonts w:hint="eastAsia"/>
              </w:rPr>
            </w:pPr>
            <w:r>
              <w:rPr>
                <w:rFonts w:hint="eastAsia"/>
                <w:lang w:eastAsia="zh-CN"/>
              </w:rPr>
              <w:t>（</w:t>
            </w:r>
            <w:r>
              <w:rPr>
                <w:rFonts w:hint="eastAsia"/>
                <w:lang w:val="en-US" w:eastAsia="zh-CN"/>
              </w:rPr>
              <w:t>4</w:t>
            </w:r>
            <w:r>
              <w:rPr>
                <w:rFonts w:hint="eastAsia"/>
                <w:lang w:eastAsia="zh-CN"/>
              </w:rPr>
              <w:t>）</w:t>
            </w:r>
          </w:p>
        </w:tc>
        <w:tc>
          <w:tcPr>
            <w:tcW w:w="2072" w:type="pct"/>
            <w:gridSpan w:val="5"/>
            <w:tcBorders>
              <w:top w:val="single" w:color="000000" w:sz="2" w:space="0"/>
              <w:left w:val="single" w:color="000000" w:sz="2" w:space="0"/>
              <w:right w:val="single" w:color="000000" w:sz="2" w:space="0"/>
            </w:tcBorders>
            <w:vAlign w:val="center"/>
          </w:tcPr>
          <w:p w14:paraId="40D38115">
            <w:pPr>
              <w:pStyle w:val="46"/>
              <w:bidi w:val="0"/>
              <w:rPr>
                <w:rFonts w:hint="default"/>
                <w:lang w:val="en-US" w:eastAsia="zh-CN"/>
              </w:rPr>
            </w:pPr>
            <w:r>
              <w:rPr>
                <w:rFonts w:hint="eastAsia"/>
                <w:lang w:val="en-US" w:eastAsia="zh-CN"/>
              </w:rPr>
              <w:t>循环钞箱报价</w:t>
            </w:r>
          </w:p>
          <w:p w14:paraId="36EBF613">
            <w:pPr>
              <w:pStyle w:val="46"/>
              <w:bidi w:val="0"/>
              <w:rPr>
                <w:rFonts w:hint="eastAsia"/>
                <w:lang w:val="en-US" w:eastAsia="zh-CN"/>
              </w:rPr>
            </w:pPr>
            <w:r>
              <w:rPr>
                <w:rFonts w:hint="eastAsia"/>
              </w:rPr>
              <w:t>评标基准价计算方法</w:t>
            </w:r>
          </w:p>
        </w:tc>
        <w:tc>
          <w:tcPr>
            <w:tcW w:w="2513" w:type="pct"/>
            <w:vMerge w:val="continue"/>
            <w:vAlign w:val="center"/>
          </w:tcPr>
          <w:p w14:paraId="1ECE4886">
            <w:pPr>
              <w:pStyle w:val="46"/>
              <w:bidi w:val="0"/>
              <w:rPr>
                <w:rFonts w:hint="eastAsia"/>
              </w:rPr>
            </w:pPr>
          </w:p>
        </w:tc>
      </w:tr>
      <w:tr w14:paraId="78BF1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016" w:type="pct"/>
            <w:gridSpan w:val="3"/>
            <w:vAlign w:val="center"/>
          </w:tcPr>
          <w:p w14:paraId="1ECFAF77">
            <w:pPr>
              <w:pStyle w:val="46"/>
              <w:bidi w:val="0"/>
              <w:ind w:left="0" w:leftChars="0" w:right="0" w:rightChars="0" w:firstLine="0" w:firstLineChars="0"/>
              <w:jc w:val="center"/>
              <w:rPr>
                <w:rFonts w:hint="eastAsia"/>
                <w:b/>
                <w:bCs w:val="0"/>
              </w:rPr>
            </w:pPr>
            <w:r>
              <w:rPr>
                <w:rFonts w:hint="eastAsia"/>
                <w:b/>
                <w:bCs w:val="0"/>
                <w:lang w:val="en-US" w:eastAsia="zh-CN"/>
              </w:rPr>
              <w:t>条款号</w:t>
            </w:r>
          </w:p>
        </w:tc>
        <w:tc>
          <w:tcPr>
            <w:tcW w:w="976" w:type="pct"/>
            <w:gridSpan w:val="2"/>
            <w:tcBorders>
              <w:top w:val="single" w:color="000000" w:sz="2" w:space="0"/>
              <w:left w:val="single" w:color="000000" w:sz="2" w:space="0"/>
              <w:right w:val="single" w:color="000000" w:sz="2" w:space="0"/>
            </w:tcBorders>
            <w:vAlign w:val="center"/>
          </w:tcPr>
          <w:p w14:paraId="4094E9AC">
            <w:pPr>
              <w:pStyle w:val="46"/>
              <w:bidi w:val="0"/>
              <w:ind w:left="0" w:leftChars="0" w:right="0" w:rightChars="0" w:firstLine="0" w:firstLineChars="0"/>
              <w:jc w:val="center"/>
              <w:rPr>
                <w:rFonts w:hint="eastAsia"/>
                <w:b/>
                <w:bCs w:val="0"/>
              </w:rPr>
            </w:pPr>
            <w:r>
              <w:rPr>
                <w:rFonts w:hint="eastAsia"/>
                <w:b/>
                <w:bCs w:val="0"/>
                <w:lang w:val="en-US" w:eastAsia="zh-CN"/>
              </w:rPr>
              <w:t>评审因素</w:t>
            </w:r>
          </w:p>
        </w:tc>
        <w:tc>
          <w:tcPr>
            <w:tcW w:w="3007" w:type="pct"/>
            <w:gridSpan w:val="2"/>
            <w:vAlign w:val="center"/>
          </w:tcPr>
          <w:p w14:paraId="6F0F1CAB">
            <w:pPr>
              <w:pStyle w:val="46"/>
              <w:bidi w:val="0"/>
              <w:ind w:left="0" w:leftChars="0" w:right="0" w:rightChars="0" w:firstLine="0" w:firstLineChars="0"/>
              <w:jc w:val="center"/>
              <w:rPr>
                <w:rFonts w:hint="eastAsia"/>
                <w:b/>
                <w:bCs w:val="0"/>
                <w:lang w:val="en-US" w:eastAsia="zh-CN"/>
              </w:rPr>
            </w:pPr>
            <w:r>
              <w:rPr>
                <w:rFonts w:hint="eastAsia"/>
                <w:b/>
                <w:bCs w:val="0"/>
                <w:lang w:val="en-US" w:eastAsia="zh-CN"/>
              </w:rPr>
              <w:t>评审标准</w:t>
            </w:r>
          </w:p>
        </w:tc>
      </w:tr>
      <w:tr w14:paraId="2464E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Merge w:val="restart"/>
            <w:vAlign w:val="center"/>
          </w:tcPr>
          <w:p w14:paraId="4855D5EC">
            <w:pPr>
              <w:pStyle w:val="46"/>
              <w:bidi w:val="0"/>
              <w:ind w:left="0" w:leftChars="0" w:right="0" w:rightChars="0" w:firstLine="0" w:firstLineChars="0"/>
              <w:jc w:val="center"/>
              <w:rPr>
                <w:rFonts w:hint="eastAsia"/>
              </w:rPr>
            </w:pPr>
            <w:r>
              <w:rPr>
                <w:rFonts w:hint="eastAsia"/>
              </w:rPr>
              <w:t>2.2.4</w:t>
            </w:r>
          </w:p>
          <w:p w14:paraId="75FF609E">
            <w:pPr>
              <w:pStyle w:val="46"/>
              <w:bidi w:val="0"/>
              <w:ind w:left="0" w:leftChars="0" w:right="0" w:rightChars="0" w:firstLine="0" w:firstLineChars="0"/>
              <w:jc w:val="center"/>
              <w:rPr>
                <w:rFonts w:hint="eastAsia"/>
                <w:lang w:eastAsia="zh-CN"/>
              </w:rPr>
            </w:pPr>
            <w:r>
              <w:rPr>
                <w:rFonts w:hint="eastAsia"/>
              </w:rPr>
              <w:t>（</w:t>
            </w:r>
            <w:r>
              <w:rPr>
                <w:rFonts w:hint="eastAsia"/>
                <w:lang w:val="en-US" w:eastAsia="zh-CN"/>
              </w:rPr>
              <w:t>1</w:t>
            </w:r>
            <w:r>
              <w:rPr>
                <w:rFonts w:hint="eastAsia"/>
              </w:rPr>
              <w:t>）</w:t>
            </w:r>
          </w:p>
        </w:tc>
        <w:tc>
          <w:tcPr>
            <w:tcW w:w="601" w:type="pct"/>
            <w:gridSpan w:val="2"/>
            <w:vMerge w:val="restart"/>
            <w:tcBorders>
              <w:top w:val="single" w:color="000000" w:sz="2" w:space="0"/>
              <w:left w:val="single" w:color="000000" w:sz="2" w:space="0"/>
              <w:right w:val="single" w:color="000000" w:sz="2" w:space="0"/>
            </w:tcBorders>
            <w:vAlign w:val="center"/>
          </w:tcPr>
          <w:p w14:paraId="2C3B1284">
            <w:pPr>
              <w:pStyle w:val="46"/>
              <w:bidi w:val="0"/>
              <w:rPr>
                <w:rFonts w:hint="eastAsia"/>
              </w:rPr>
            </w:pPr>
            <w:r>
              <w:rPr>
                <w:rFonts w:hint="eastAsia"/>
              </w:rPr>
              <w:t>商务评分标准</w:t>
            </w:r>
            <w:r>
              <w:rPr>
                <w:rFonts w:hint="eastAsia"/>
                <w:lang w:val="en-US" w:eastAsia="zh-CN"/>
              </w:rPr>
              <w:t>(A)</w:t>
            </w:r>
          </w:p>
        </w:tc>
        <w:tc>
          <w:tcPr>
            <w:tcW w:w="976" w:type="pct"/>
            <w:gridSpan w:val="2"/>
            <w:tcBorders>
              <w:top w:val="single" w:color="000000" w:sz="2" w:space="0"/>
              <w:left w:val="single" w:color="000000" w:sz="2" w:space="0"/>
              <w:right w:val="single" w:color="000000" w:sz="2" w:space="0"/>
            </w:tcBorders>
            <w:vAlign w:val="center"/>
          </w:tcPr>
          <w:p w14:paraId="4B9CAEC7">
            <w:pPr>
              <w:pStyle w:val="46"/>
              <w:bidi w:val="0"/>
              <w:rPr>
                <w:lang w:val="en-US" w:eastAsia="zh-CN"/>
              </w:rPr>
            </w:pPr>
            <w:r>
              <w:rPr>
                <w:rFonts w:hint="eastAsia"/>
                <w:lang w:val="en-US" w:eastAsia="zh-CN"/>
              </w:rPr>
              <w:t>本地维护站</w:t>
            </w:r>
          </w:p>
          <w:p w14:paraId="5640B063">
            <w:pPr>
              <w:pStyle w:val="46"/>
              <w:bidi w:val="0"/>
              <w:rPr>
                <w:rFonts w:hint="eastAsia"/>
              </w:rPr>
            </w:pPr>
            <w:r>
              <w:rPr>
                <w:rFonts w:hint="eastAsia"/>
                <w:lang w:val="en-US" w:eastAsia="zh-CN"/>
              </w:rPr>
              <w:t>（</w:t>
            </w:r>
            <w:r>
              <w:rPr>
                <w:lang w:val="en-US" w:eastAsia="zh-CN"/>
              </w:rPr>
              <w:t>10</w:t>
            </w:r>
            <w:r>
              <w:rPr>
                <w:rFonts w:hint="eastAsia"/>
                <w:lang w:val="en-US" w:eastAsia="zh-CN"/>
              </w:rPr>
              <w:t>分）</w:t>
            </w:r>
          </w:p>
        </w:tc>
        <w:tc>
          <w:tcPr>
            <w:tcW w:w="3007" w:type="pct"/>
            <w:gridSpan w:val="2"/>
            <w:vAlign w:val="center"/>
          </w:tcPr>
          <w:p w14:paraId="298B4F8C">
            <w:pPr>
              <w:pStyle w:val="46"/>
              <w:bidi w:val="0"/>
              <w:rPr>
                <w:rFonts w:hint="eastAsia"/>
                <w:lang w:val="en-US" w:eastAsia="zh-CN"/>
              </w:rPr>
            </w:pPr>
            <w:r>
              <w:rPr>
                <w:rFonts w:hint="eastAsia"/>
              </w:rPr>
              <w:t>提供重庆市内房屋租赁、产权证明，同一区、县内出现多个维护站的按一个计算</w:t>
            </w:r>
            <w:r>
              <w:rPr>
                <w:rFonts w:hint="eastAsia"/>
                <w:lang w:eastAsia="zh-CN"/>
              </w:rPr>
              <w:t>。</w:t>
            </w:r>
            <w:r>
              <w:rPr>
                <w:rFonts w:hint="eastAsia"/>
              </w:rPr>
              <w:t>每</w:t>
            </w:r>
            <w:r>
              <w:rPr>
                <w:rFonts w:hint="eastAsia"/>
                <w:lang w:eastAsia="zh-CN"/>
              </w:rPr>
              <w:t>有</w:t>
            </w:r>
            <w:r>
              <w:rPr>
                <w:rFonts w:hint="eastAsia"/>
                <w:lang w:val="en-US" w:eastAsia="zh-CN"/>
              </w:rPr>
              <w:t>1</w:t>
            </w:r>
            <w:r>
              <w:rPr>
                <w:rFonts w:hint="eastAsia"/>
              </w:rPr>
              <w:t>个维护站</w:t>
            </w:r>
            <w:r>
              <w:rPr>
                <w:rFonts w:hint="eastAsia"/>
                <w:lang w:eastAsia="zh-CN"/>
              </w:rPr>
              <w:t>得</w:t>
            </w:r>
            <w:r>
              <w:rPr>
                <w:rFonts w:hint="eastAsia"/>
              </w:rPr>
              <w:t>0.25分，依次递增</w:t>
            </w:r>
            <w:r>
              <w:rPr>
                <w:rFonts w:hint="eastAsia"/>
                <w:lang w:eastAsia="zh-CN"/>
              </w:rPr>
              <w:t>，满分</w:t>
            </w:r>
            <w:r>
              <w:rPr>
                <w:lang w:eastAsia="zh-CN"/>
              </w:rPr>
              <w:t>10</w:t>
            </w:r>
            <w:r>
              <w:rPr>
                <w:rFonts w:hint="eastAsia"/>
                <w:lang w:val="en-US" w:eastAsia="zh-CN"/>
              </w:rPr>
              <w:t>分</w:t>
            </w:r>
            <w:r>
              <w:rPr>
                <w:rFonts w:hint="eastAsia"/>
              </w:rPr>
              <w:t>。（开标后行方将进行核实，弄虚作假将取消投标资格，并列入行方黑名单）</w:t>
            </w:r>
          </w:p>
        </w:tc>
      </w:tr>
      <w:tr w14:paraId="000E4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Merge w:val="continue"/>
            <w:vAlign w:val="center"/>
          </w:tcPr>
          <w:p w14:paraId="2C62F163">
            <w:pPr>
              <w:pStyle w:val="46"/>
              <w:bidi w:val="0"/>
              <w:ind w:left="0" w:leftChars="0" w:right="0" w:rightChars="0" w:firstLine="0" w:firstLineChars="0"/>
              <w:jc w:val="center"/>
              <w:rPr>
                <w:rFonts w:hint="eastAsia"/>
              </w:rPr>
            </w:pPr>
          </w:p>
        </w:tc>
        <w:tc>
          <w:tcPr>
            <w:tcW w:w="601" w:type="pct"/>
            <w:gridSpan w:val="2"/>
            <w:vMerge w:val="continue"/>
            <w:tcBorders>
              <w:top w:val="single" w:color="000000" w:sz="2" w:space="0"/>
              <w:left w:val="single" w:color="000000" w:sz="2" w:space="0"/>
              <w:right w:val="single" w:color="000000" w:sz="2" w:space="0"/>
            </w:tcBorders>
            <w:vAlign w:val="center"/>
          </w:tcPr>
          <w:p w14:paraId="1F4D7EEB">
            <w:pPr>
              <w:pStyle w:val="46"/>
              <w:bidi w:val="0"/>
              <w:rPr>
                <w:rFonts w:hint="eastAsia"/>
              </w:rPr>
            </w:pPr>
          </w:p>
        </w:tc>
        <w:tc>
          <w:tcPr>
            <w:tcW w:w="976" w:type="pct"/>
            <w:gridSpan w:val="2"/>
            <w:tcBorders>
              <w:top w:val="single" w:color="000000" w:sz="2" w:space="0"/>
              <w:left w:val="single" w:color="000000" w:sz="2" w:space="0"/>
              <w:right w:val="single" w:color="000000" w:sz="2" w:space="0"/>
            </w:tcBorders>
            <w:vAlign w:val="center"/>
          </w:tcPr>
          <w:p w14:paraId="32A97127">
            <w:pPr>
              <w:pStyle w:val="46"/>
              <w:bidi w:val="0"/>
              <w:rPr>
                <w:rFonts w:hint="eastAsia"/>
              </w:rPr>
            </w:pPr>
            <w:r>
              <w:rPr>
                <w:rFonts w:hint="eastAsia"/>
              </w:rPr>
              <w:t>本地装机规模（</w:t>
            </w:r>
            <w:r>
              <w:t>10</w:t>
            </w:r>
            <w:r>
              <w:rPr>
                <w:rFonts w:hint="eastAsia"/>
              </w:rPr>
              <w:t>分）</w:t>
            </w:r>
          </w:p>
        </w:tc>
        <w:tc>
          <w:tcPr>
            <w:tcW w:w="3007" w:type="pct"/>
            <w:gridSpan w:val="2"/>
            <w:vAlign w:val="center"/>
          </w:tcPr>
          <w:p w14:paraId="01282D2D">
            <w:pPr>
              <w:pStyle w:val="46"/>
              <w:bidi w:val="0"/>
              <w:rPr>
                <w:rFonts w:hint="eastAsia"/>
                <w:lang w:val="en-US" w:eastAsia="zh-CN"/>
              </w:rPr>
            </w:pPr>
            <w:r>
              <w:rPr>
                <w:rFonts w:hint="eastAsia"/>
              </w:rPr>
              <w:t>根据重庆市内安装存取款一体机数量的多少打分，满分10分，每500台</w:t>
            </w:r>
            <w:r>
              <w:rPr>
                <w:rFonts w:hint="eastAsia"/>
                <w:lang w:eastAsia="zh-CN"/>
              </w:rPr>
              <w:t>得</w:t>
            </w:r>
            <w:r>
              <w:rPr>
                <w:rFonts w:hint="eastAsia"/>
              </w:rPr>
              <w:t>1，超过300台（含）不足500台计0.5分，300台以下不计分。提供设备安装地址清单，必须为存取款一体机安装清单。（开标后行方将进行核实，弄虚作假将取消投标资格，并列入行方黑名单）</w:t>
            </w:r>
          </w:p>
        </w:tc>
      </w:tr>
      <w:tr w14:paraId="14D92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Merge w:val="continue"/>
            <w:vAlign w:val="center"/>
          </w:tcPr>
          <w:p w14:paraId="1FEFFF5E">
            <w:pPr>
              <w:pStyle w:val="46"/>
              <w:bidi w:val="0"/>
              <w:ind w:left="0" w:leftChars="0" w:right="0" w:rightChars="0" w:firstLine="0" w:firstLineChars="0"/>
              <w:jc w:val="center"/>
              <w:rPr>
                <w:rFonts w:hint="eastAsia"/>
              </w:rPr>
            </w:pPr>
          </w:p>
        </w:tc>
        <w:tc>
          <w:tcPr>
            <w:tcW w:w="601" w:type="pct"/>
            <w:gridSpan w:val="2"/>
            <w:vMerge w:val="continue"/>
            <w:tcBorders>
              <w:top w:val="single" w:color="000000" w:sz="2" w:space="0"/>
              <w:left w:val="single" w:color="000000" w:sz="2" w:space="0"/>
              <w:right w:val="single" w:color="000000" w:sz="2" w:space="0"/>
            </w:tcBorders>
            <w:vAlign w:val="center"/>
          </w:tcPr>
          <w:p w14:paraId="772A25DD">
            <w:pPr>
              <w:pStyle w:val="46"/>
              <w:bidi w:val="0"/>
              <w:rPr>
                <w:rFonts w:hint="eastAsia"/>
              </w:rPr>
            </w:pPr>
          </w:p>
        </w:tc>
        <w:tc>
          <w:tcPr>
            <w:tcW w:w="976" w:type="pct"/>
            <w:gridSpan w:val="2"/>
            <w:tcBorders>
              <w:top w:val="single" w:color="000000" w:sz="2" w:space="0"/>
              <w:left w:val="single" w:color="000000" w:sz="2" w:space="0"/>
              <w:right w:val="single" w:color="000000" w:sz="2" w:space="0"/>
            </w:tcBorders>
            <w:vAlign w:val="center"/>
          </w:tcPr>
          <w:p w14:paraId="27586330">
            <w:pPr>
              <w:pStyle w:val="46"/>
              <w:bidi w:val="0"/>
              <w:rPr>
                <w:rFonts w:hint="eastAsia"/>
              </w:rPr>
            </w:pPr>
            <w:r>
              <w:rPr>
                <w:rFonts w:hint="eastAsia"/>
              </w:rPr>
              <w:t>本地合作案例（</w:t>
            </w:r>
            <w:r>
              <w:t>10</w:t>
            </w:r>
            <w:r>
              <w:rPr>
                <w:rFonts w:hint="eastAsia"/>
              </w:rPr>
              <w:t>分）</w:t>
            </w:r>
          </w:p>
        </w:tc>
        <w:tc>
          <w:tcPr>
            <w:tcW w:w="3007" w:type="pct"/>
            <w:gridSpan w:val="2"/>
            <w:vAlign w:val="center"/>
          </w:tcPr>
          <w:p w14:paraId="279E7061">
            <w:pPr>
              <w:pStyle w:val="46"/>
              <w:bidi w:val="0"/>
              <w:rPr>
                <w:rFonts w:hint="eastAsia"/>
                <w:lang w:val="en-US" w:eastAsia="zh-CN"/>
              </w:rPr>
            </w:pPr>
            <w:r>
              <w:rPr>
                <w:rFonts w:hint="eastAsia"/>
                <w:lang w:eastAsia="zh-CN"/>
              </w:rPr>
              <w:t>根据投标人202</w:t>
            </w:r>
            <w:r>
              <w:rPr>
                <w:lang w:eastAsia="zh-CN"/>
              </w:rPr>
              <w:t>1</w:t>
            </w:r>
            <w:r>
              <w:rPr>
                <w:rFonts w:hint="eastAsia"/>
                <w:lang w:eastAsia="zh-CN"/>
              </w:rPr>
              <w:t>年至今</w:t>
            </w:r>
            <w:r>
              <w:rPr>
                <w:lang w:eastAsia="zh-CN"/>
              </w:rPr>
              <w:t>(合同签订时间为准)</w:t>
            </w:r>
            <w:r>
              <w:rPr>
                <w:rFonts w:hint="eastAsia"/>
                <w:lang w:eastAsia="zh-CN"/>
              </w:rPr>
              <w:t>与重庆市内</w:t>
            </w:r>
            <w:r>
              <w:rPr>
                <w:rFonts w:hint="eastAsia"/>
              </w:rPr>
              <w:t>银行合作</w:t>
            </w:r>
            <w:r>
              <w:rPr>
                <w:rFonts w:hint="eastAsia"/>
                <w:lang w:eastAsia="zh-CN"/>
              </w:rPr>
              <w:t>的</w:t>
            </w:r>
            <w:r>
              <w:rPr>
                <w:rFonts w:hint="eastAsia"/>
              </w:rPr>
              <w:t>案列</w:t>
            </w:r>
            <w:r>
              <w:rPr>
                <w:rFonts w:hint="eastAsia"/>
                <w:lang w:eastAsia="zh-CN"/>
              </w:rPr>
              <w:t>数量打分，每有一个得</w:t>
            </w:r>
            <w:r>
              <w:rPr>
                <w:rFonts w:hint="eastAsia"/>
              </w:rPr>
              <w:t>0.5分</w:t>
            </w:r>
            <w:r>
              <w:t>（1个银行多份合同，只算1个案例）</w:t>
            </w:r>
            <w:r>
              <w:rPr>
                <w:rFonts w:hint="eastAsia"/>
                <w:lang w:eastAsia="zh-CN"/>
              </w:rPr>
              <w:t>，满分</w:t>
            </w:r>
            <w:r>
              <w:rPr>
                <w:rFonts w:hint="eastAsia"/>
                <w:lang w:val="en-US" w:eastAsia="zh-CN"/>
              </w:rPr>
              <w:t>10分</w:t>
            </w:r>
            <w:r>
              <w:rPr>
                <w:rFonts w:hint="eastAsia"/>
              </w:rPr>
              <w:t>。202</w:t>
            </w:r>
            <w:r>
              <w:t>1</w:t>
            </w:r>
            <w:r>
              <w:rPr>
                <w:rFonts w:hint="eastAsia"/>
              </w:rPr>
              <w:t>年至今存取款一体机合作案列（合同日期不清晰不计分，提供非存取款一体机合同计零分，并取消本次投标资格）。</w:t>
            </w:r>
            <w:r>
              <w:rPr>
                <w:rFonts w:hint="eastAsia"/>
                <w:lang w:eastAsia="zh-CN"/>
              </w:rPr>
              <w:t>重庆市内有效</w:t>
            </w:r>
            <w:r>
              <w:rPr>
                <w:rFonts w:hint="eastAsia"/>
              </w:rPr>
              <w:t>银行为：工商、农业、中国、建设、交通、邮储、招商、兴业、中信、平安、浦发、光大、民生、华夏、</w:t>
            </w:r>
            <w:r>
              <w:t>恒丰、浙商、渤海、广发、</w:t>
            </w:r>
            <w:r>
              <w:rPr>
                <w:rFonts w:hint="eastAsia"/>
              </w:rPr>
              <w:t>重庆、重庆农商。</w:t>
            </w:r>
          </w:p>
        </w:tc>
      </w:tr>
      <w:tr w14:paraId="7C187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Merge w:val="continue"/>
            <w:vAlign w:val="center"/>
          </w:tcPr>
          <w:p w14:paraId="0DB8C5DC">
            <w:pPr>
              <w:pStyle w:val="46"/>
              <w:bidi w:val="0"/>
              <w:ind w:left="0" w:leftChars="0" w:right="0" w:rightChars="0" w:firstLine="0" w:firstLineChars="0"/>
              <w:jc w:val="center"/>
              <w:rPr>
                <w:rFonts w:hint="eastAsia"/>
              </w:rPr>
            </w:pPr>
          </w:p>
        </w:tc>
        <w:tc>
          <w:tcPr>
            <w:tcW w:w="601" w:type="pct"/>
            <w:gridSpan w:val="2"/>
            <w:vMerge w:val="continue"/>
            <w:tcBorders>
              <w:top w:val="single" w:color="000000" w:sz="2" w:space="0"/>
              <w:left w:val="single" w:color="000000" w:sz="2" w:space="0"/>
              <w:right w:val="single" w:color="000000" w:sz="2" w:space="0"/>
            </w:tcBorders>
            <w:vAlign w:val="center"/>
          </w:tcPr>
          <w:p w14:paraId="17C47E3C">
            <w:pPr>
              <w:pStyle w:val="46"/>
              <w:bidi w:val="0"/>
              <w:rPr>
                <w:rFonts w:hint="eastAsia"/>
              </w:rPr>
            </w:pPr>
          </w:p>
        </w:tc>
        <w:tc>
          <w:tcPr>
            <w:tcW w:w="976" w:type="pct"/>
            <w:gridSpan w:val="2"/>
            <w:tcBorders>
              <w:top w:val="single" w:color="000000" w:sz="2" w:space="0"/>
              <w:left w:val="single" w:color="000000" w:sz="2" w:space="0"/>
              <w:right w:val="single" w:color="000000" w:sz="2" w:space="0"/>
            </w:tcBorders>
            <w:vAlign w:val="center"/>
          </w:tcPr>
          <w:p w14:paraId="0A2EA8BA">
            <w:pPr>
              <w:pStyle w:val="46"/>
              <w:bidi w:val="0"/>
              <w:rPr>
                <w:rFonts w:hint="eastAsia"/>
              </w:rPr>
            </w:pPr>
            <w:r>
              <w:rPr>
                <w:rFonts w:hint="eastAsia"/>
                <w:lang w:val="en-US" w:eastAsia="zh-CN"/>
              </w:rPr>
              <w:t>现金额情况（5分）</w:t>
            </w:r>
          </w:p>
        </w:tc>
        <w:tc>
          <w:tcPr>
            <w:tcW w:w="3007" w:type="pct"/>
            <w:gridSpan w:val="2"/>
            <w:vAlign w:val="center"/>
          </w:tcPr>
          <w:p w14:paraId="589CE4A8">
            <w:pPr>
              <w:pStyle w:val="46"/>
              <w:bidi w:val="0"/>
              <w:rPr>
                <w:rFonts w:hint="eastAsia"/>
                <w:lang w:val="en-US" w:eastAsia="zh-CN"/>
              </w:rPr>
            </w:pPr>
            <w:r>
              <w:rPr>
                <w:rFonts w:hint="eastAsia"/>
              </w:rPr>
              <w:t>根据财务报表中近三年销售商品、提供劳务收到的现金</w:t>
            </w:r>
            <w:r>
              <w:rPr>
                <w:rFonts w:hint="eastAsia"/>
                <w:lang w:eastAsia="zh-CN"/>
              </w:rPr>
              <w:t>额</w:t>
            </w:r>
            <w:r>
              <w:rPr>
                <w:rFonts w:hint="eastAsia"/>
              </w:rPr>
              <w:t>合计</w:t>
            </w:r>
            <w:r>
              <w:rPr>
                <w:rFonts w:hint="eastAsia"/>
                <w:lang w:eastAsia="zh-CN"/>
              </w:rPr>
              <w:t>由高到低</w:t>
            </w:r>
            <w:r>
              <w:rPr>
                <w:rFonts w:hint="eastAsia"/>
              </w:rPr>
              <w:t>排序，</w:t>
            </w:r>
            <w:r>
              <w:rPr>
                <w:rFonts w:hint="eastAsia"/>
                <w:lang w:eastAsia="zh-CN"/>
              </w:rPr>
              <w:t>排名第一的得满分5</w:t>
            </w:r>
            <w:r>
              <w:rPr>
                <w:rFonts w:hint="eastAsia"/>
                <w:lang w:val="en-US" w:eastAsia="zh-CN"/>
              </w:rPr>
              <w:t>分，排名第二至第五的</w:t>
            </w:r>
            <w:r>
              <w:rPr>
                <w:rFonts w:hint="eastAsia"/>
              </w:rPr>
              <w:t>依次递减1分，</w:t>
            </w:r>
            <w:r>
              <w:rPr>
                <w:rFonts w:hint="eastAsia"/>
                <w:lang w:val="en-US" w:eastAsia="zh-CN"/>
              </w:rPr>
              <w:t>排名第六及之后的不得分</w:t>
            </w:r>
            <w:r>
              <w:rPr>
                <w:rFonts w:hint="eastAsia"/>
              </w:rPr>
              <w:t>。（提供财报复印件上数据模糊不得分）</w:t>
            </w:r>
          </w:p>
        </w:tc>
      </w:tr>
      <w:tr w14:paraId="55C1C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Merge w:val="continue"/>
            <w:vAlign w:val="center"/>
          </w:tcPr>
          <w:p w14:paraId="14CD8B71">
            <w:pPr>
              <w:pStyle w:val="46"/>
              <w:bidi w:val="0"/>
              <w:ind w:left="0" w:leftChars="0" w:right="0" w:rightChars="0" w:firstLine="0" w:firstLineChars="0"/>
              <w:jc w:val="center"/>
              <w:rPr>
                <w:rFonts w:hint="eastAsia"/>
              </w:rPr>
            </w:pPr>
          </w:p>
        </w:tc>
        <w:tc>
          <w:tcPr>
            <w:tcW w:w="601" w:type="pct"/>
            <w:gridSpan w:val="2"/>
            <w:vMerge w:val="continue"/>
            <w:tcBorders>
              <w:top w:val="single" w:color="000000" w:sz="2" w:space="0"/>
              <w:left w:val="single" w:color="000000" w:sz="2" w:space="0"/>
              <w:right w:val="single" w:color="000000" w:sz="2" w:space="0"/>
            </w:tcBorders>
            <w:vAlign w:val="center"/>
          </w:tcPr>
          <w:p w14:paraId="1207D681">
            <w:pPr>
              <w:pStyle w:val="46"/>
              <w:bidi w:val="0"/>
              <w:rPr>
                <w:rFonts w:hint="eastAsia"/>
              </w:rPr>
            </w:pPr>
          </w:p>
        </w:tc>
        <w:tc>
          <w:tcPr>
            <w:tcW w:w="976" w:type="pct"/>
            <w:gridSpan w:val="2"/>
            <w:tcBorders>
              <w:top w:val="single" w:color="000000" w:sz="2" w:space="0"/>
              <w:left w:val="single" w:color="000000" w:sz="2" w:space="0"/>
              <w:right w:val="single" w:color="000000" w:sz="2" w:space="0"/>
            </w:tcBorders>
            <w:vAlign w:val="center"/>
          </w:tcPr>
          <w:p w14:paraId="3EAA7729">
            <w:pPr>
              <w:pStyle w:val="46"/>
              <w:bidi w:val="0"/>
              <w:rPr>
                <w:rFonts w:hint="eastAsia"/>
              </w:rPr>
            </w:pPr>
            <w:r>
              <w:rPr>
                <w:rFonts w:hint="eastAsia"/>
                <w:lang w:val="en-US" w:eastAsia="zh-CN"/>
              </w:rPr>
              <w:t>利润情况（5分）</w:t>
            </w:r>
          </w:p>
        </w:tc>
        <w:tc>
          <w:tcPr>
            <w:tcW w:w="3007" w:type="pct"/>
            <w:gridSpan w:val="2"/>
            <w:vAlign w:val="center"/>
          </w:tcPr>
          <w:p w14:paraId="45664B10">
            <w:pPr>
              <w:pStyle w:val="46"/>
              <w:bidi w:val="0"/>
              <w:rPr>
                <w:rFonts w:hint="eastAsia"/>
                <w:lang w:val="en-US" w:eastAsia="zh-CN"/>
              </w:rPr>
            </w:pPr>
            <w:r>
              <w:rPr>
                <w:rFonts w:hint="eastAsia"/>
              </w:rPr>
              <w:t>根据财务报表中近三年营业利润情况打分，满分5分。利润均为正增长得满分，利润出现负增长不得分。（提供财报复印件上数据模糊不得分）</w:t>
            </w:r>
          </w:p>
        </w:tc>
      </w:tr>
      <w:tr w14:paraId="3D8D7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Merge w:val="restart"/>
            <w:vAlign w:val="center"/>
          </w:tcPr>
          <w:p w14:paraId="736CD17B">
            <w:pPr>
              <w:pStyle w:val="46"/>
              <w:bidi w:val="0"/>
              <w:ind w:left="0" w:leftChars="0" w:right="0" w:rightChars="0" w:firstLine="0" w:firstLineChars="0"/>
              <w:jc w:val="center"/>
              <w:rPr>
                <w:rFonts w:hint="eastAsia"/>
              </w:rPr>
            </w:pPr>
            <w:r>
              <w:rPr>
                <w:rFonts w:hint="eastAsia"/>
              </w:rPr>
              <w:t>2.2.4</w:t>
            </w:r>
          </w:p>
          <w:p w14:paraId="2DA41A93">
            <w:pPr>
              <w:pStyle w:val="46"/>
              <w:bidi w:val="0"/>
              <w:ind w:left="0" w:leftChars="0" w:right="0" w:rightChars="0" w:firstLine="0" w:firstLineChars="0"/>
              <w:jc w:val="center"/>
              <w:rPr>
                <w:rFonts w:hint="eastAsia"/>
                <w:lang w:eastAsia="zh-CN"/>
              </w:rPr>
            </w:pPr>
            <w:r>
              <w:rPr>
                <w:rFonts w:hint="eastAsia"/>
              </w:rPr>
              <w:t>（</w:t>
            </w:r>
            <w:r>
              <w:rPr>
                <w:rFonts w:hint="eastAsia"/>
                <w:lang w:val="en-US" w:eastAsia="zh-CN"/>
              </w:rPr>
              <w:t>2</w:t>
            </w:r>
            <w:r>
              <w:rPr>
                <w:rFonts w:hint="eastAsia"/>
              </w:rPr>
              <w:t>）</w:t>
            </w:r>
          </w:p>
        </w:tc>
        <w:tc>
          <w:tcPr>
            <w:tcW w:w="601" w:type="pct"/>
            <w:gridSpan w:val="2"/>
            <w:vMerge w:val="restart"/>
            <w:tcBorders>
              <w:top w:val="single" w:color="000000" w:sz="2" w:space="0"/>
              <w:left w:val="single" w:color="000000" w:sz="2" w:space="0"/>
              <w:right w:val="single" w:color="000000" w:sz="2" w:space="0"/>
            </w:tcBorders>
            <w:vAlign w:val="center"/>
          </w:tcPr>
          <w:p w14:paraId="347AD909">
            <w:pPr>
              <w:pStyle w:val="46"/>
              <w:bidi w:val="0"/>
              <w:rPr>
                <w:rFonts w:hint="eastAsia"/>
              </w:rPr>
            </w:pPr>
            <w:r>
              <w:rPr>
                <w:rFonts w:hint="eastAsia"/>
                <w:lang w:val="en-US" w:eastAsia="zh-CN"/>
              </w:rPr>
              <w:t>报价</w:t>
            </w:r>
            <w:r>
              <w:rPr>
                <w:rFonts w:hint="eastAsia"/>
              </w:rPr>
              <w:t>评分标准</w:t>
            </w:r>
            <w:r>
              <w:rPr>
                <w:rFonts w:hint="eastAsia"/>
                <w:lang w:val="en-US" w:eastAsia="zh-CN"/>
              </w:rPr>
              <w:t>(B)</w:t>
            </w:r>
          </w:p>
        </w:tc>
        <w:tc>
          <w:tcPr>
            <w:tcW w:w="976" w:type="pct"/>
            <w:gridSpan w:val="2"/>
            <w:tcBorders>
              <w:top w:val="single" w:color="000000" w:sz="2" w:space="0"/>
              <w:left w:val="single" w:color="000000" w:sz="2" w:space="0"/>
              <w:right w:val="single" w:color="000000" w:sz="2" w:space="0"/>
            </w:tcBorders>
            <w:vAlign w:val="center"/>
          </w:tcPr>
          <w:p w14:paraId="727081E5">
            <w:pPr>
              <w:pStyle w:val="46"/>
              <w:bidi w:val="0"/>
              <w:rPr>
                <w:rFonts w:hint="eastAsia"/>
                <w:lang w:val="en-US" w:eastAsia="zh-CN"/>
              </w:rPr>
            </w:pPr>
            <w:r>
              <w:rPr>
                <w:rFonts w:hint="eastAsia"/>
                <w:lang w:val="en-US" w:eastAsia="zh-CN"/>
              </w:rPr>
              <w:t>存取款一体机报价</w:t>
            </w:r>
            <w:r>
              <w:rPr>
                <w:lang w:val="en-US" w:eastAsia="zh-CN"/>
              </w:rPr>
              <w:t>（动态密码锁）</w:t>
            </w:r>
          </w:p>
          <w:p w14:paraId="51CC0813">
            <w:pPr>
              <w:pStyle w:val="46"/>
              <w:bidi w:val="0"/>
              <w:rPr>
                <w:rFonts w:hint="eastAsia"/>
                <w:lang w:val="en-US" w:eastAsia="zh-CN"/>
              </w:rPr>
            </w:pPr>
            <w:r>
              <w:rPr>
                <w:rFonts w:hint="eastAsia"/>
                <w:lang w:val="en-US" w:eastAsia="zh-CN"/>
              </w:rPr>
              <w:t>（</w:t>
            </w:r>
            <w:r>
              <w:rPr>
                <w:lang w:val="en-US" w:eastAsia="zh-CN"/>
              </w:rPr>
              <w:t>40</w:t>
            </w:r>
            <w:r>
              <w:rPr>
                <w:rFonts w:hint="eastAsia"/>
                <w:lang w:val="en-US" w:eastAsia="zh-CN"/>
              </w:rPr>
              <w:t>分）</w:t>
            </w:r>
          </w:p>
        </w:tc>
        <w:tc>
          <w:tcPr>
            <w:tcW w:w="3007" w:type="pct"/>
            <w:gridSpan w:val="2"/>
            <w:vMerge w:val="restart"/>
            <w:vAlign w:val="center"/>
          </w:tcPr>
          <w:p w14:paraId="7F63C62D">
            <w:pPr>
              <w:pStyle w:val="46"/>
              <w:bidi w:val="0"/>
              <w:rPr>
                <w:rFonts w:hint="eastAsia"/>
              </w:rPr>
            </w:pPr>
            <w:r>
              <w:rPr>
                <w:lang w:eastAsia="zh-CN"/>
              </w:rPr>
              <w:t>存取款一体机（动态密码锁）、动态密码锁、循环钞箱、存折打印机四个项目的</w:t>
            </w:r>
            <w:r>
              <w:rPr>
                <w:rFonts w:hint="eastAsia"/>
                <w:lang w:val="en-US" w:eastAsia="zh-CN"/>
              </w:rPr>
              <w:t>投标总报价最低的</w:t>
            </w:r>
            <w:r>
              <w:rPr>
                <w:rFonts w:hint="eastAsia"/>
                <w:lang w:eastAsia="zh-CN"/>
              </w:rPr>
              <w:t>等于评</w:t>
            </w:r>
            <w:r>
              <w:rPr>
                <w:rFonts w:hint="eastAsia"/>
              </w:rPr>
              <w:t>审</w:t>
            </w:r>
            <w:r>
              <w:rPr>
                <w:rFonts w:hint="eastAsia"/>
                <w:lang w:eastAsia="zh-CN"/>
              </w:rPr>
              <w:t>基准价</w:t>
            </w:r>
            <w:r>
              <w:rPr>
                <w:lang w:eastAsia="zh-CN"/>
              </w:rPr>
              <w:t>，</w:t>
            </w:r>
            <w:r>
              <w:rPr>
                <w:rFonts w:hint="eastAsia"/>
                <w:lang w:eastAsia="zh-CN"/>
              </w:rPr>
              <w:t>满分</w:t>
            </w:r>
            <w:r>
              <w:rPr>
                <w:lang w:eastAsia="zh-CN"/>
              </w:rPr>
              <w:t>60</w:t>
            </w:r>
            <w:r>
              <w:rPr>
                <w:rFonts w:hint="eastAsia"/>
              </w:rPr>
              <w:t>分。</w:t>
            </w:r>
          </w:p>
          <w:p w14:paraId="598C21E6">
            <w:pPr>
              <w:pStyle w:val="46"/>
              <w:bidi w:val="0"/>
              <w:rPr>
                <w:rFonts w:hint="eastAsia"/>
              </w:rPr>
            </w:pPr>
            <w:r>
              <w:rPr>
                <w:rFonts w:hint="eastAsia"/>
              </w:rPr>
              <w:t>计算各有效</w:t>
            </w:r>
            <w:r>
              <w:rPr>
                <w:rFonts w:hint="eastAsia"/>
                <w:lang w:val="en-US" w:eastAsia="zh-CN"/>
              </w:rPr>
              <w:t>投标总报价</w:t>
            </w:r>
            <w:r>
              <w:rPr>
                <w:rFonts w:hint="eastAsia"/>
              </w:rPr>
              <w:t>与评标基准价的偏离度。偏离度=（</w:t>
            </w:r>
            <w:r>
              <w:rPr>
                <w:rFonts w:hint="eastAsia"/>
                <w:lang w:val="en-US" w:eastAsia="zh-CN"/>
              </w:rPr>
              <w:t>投标</w:t>
            </w:r>
            <w:r>
              <w:rPr>
                <w:lang w:eastAsia="zh-CN"/>
              </w:rPr>
              <w:t>合计</w:t>
            </w:r>
            <w:r>
              <w:rPr>
                <w:rFonts w:hint="eastAsia"/>
              </w:rPr>
              <w:t>报价/评标基准价-1）*100%；</w:t>
            </w:r>
          </w:p>
          <w:p w14:paraId="78F7FFA6">
            <w:pPr>
              <w:pStyle w:val="46"/>
              <w:bidi w:val="0"/>
              <w:rPr>
                <w:rFonts w:hint="eastAsia"/>
              </w:rPr>
            </w:pPr>
            <w:r>
              <w:rPr>
                <w:rFonts w:hint="eastAsia"/>
              </w:rPr>
              <w:t>在此基础上，</w:t>
            </w:r>
            <w:r>
              <w:rPr>
                <w:rFonts w:hint="eastAsia"/>
                <w:lang w:eastAsia="zh-CN"/>
              </w:rPr>
              <w:t>投标人</w:t>
            </w:r>
            <w:r>
              <w:rPr>
                <w:rFonts w:hint="eastAsia"/>
                <w:lang w:val="en-US" w:eastAsia="zh-CN"/>
              </w:rPr>
              <w:t>投标总报价</w:t>
            </w:r>
            <w:r>
              <w:rPr>
                <w:rFonts w:hint="eastAsia"/>
              </w:rPr>
              <w:t>与评审基准价相比，价格每</w:t>
            </w:r>
            <w:r>
              <w:rPr>
                <w:rFonts w:hint="eastAsia"/>
                <w:lang w:val="en-US" w:eastAsia="zh-CN"/>
              </w:rPr>
              <w:t>增加</w:t>
            </w:r>
            <w:r>
              <w:rPr>
                <w:rFonts w:hint="eastAsia"/>
              </w:rPr>
              <w:t>1%扣1分，</w:t>
            </w:r>
            <w:r>
              <w:t>不足1%扣0.5分，</w:t>
            </w:r>
            <w:r>
              <w:rPr>
                <w:rFonts w:hint="eastAsia"/>
                <w:lang w:val="en-US" w:eastAsia="zh-CN"/>
              </w:rPr>
              <w:t>扣完为止</w:t>
            </w:r>
            <w:r>
              <w:rPr>
                <w:rFonts w:hint="eastAsia"/>
              </w:rPr>
              <w:t>。</w:t>
            </w:r>
          </w:p>
        </w:tc>
      </w:tr>
      <w:tr w14:paraId="2C42E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vMerge w:val="continue"/>
            <w:vAlign w:val="center"/>
          </w:tcPr>
          <w:p w14:paraId="2261A404">
            <w:pPr>
              <w:pStyle w:val="46"/>
              <w:bidi w:val="0"/>
              <w:ind w:left="0" w:leftChars="0" w:right="0" w:rightChars="0" w:firstLine="0" w:firstLineChars="0"/>
              <w:jc w:val="center"/>
              <w:rPr>
                <w:rFonts w:hint="eastAsia"/>
              </w:rPr>
            </w:pPr>
          </w:p>
        </w:tc>
        <w:tc>
          <w:tcPr>
            <w:gridSpan w:val="2"/>
            <w:vMerge w:val="continue"/>
            <w:tcBorders>
              <w:top w:val="single" w:color="000000" w:sz="2" w:space="0"/>
              <w:left w:val="single" w:color="000000" w:sz="2" w:space="0"/>
              <w:right w:val="single" w:color="000000" w:sz="2" w:space="0"/>
            </w:tcBorders>
            <w:vAlign w:val="center"/>
          </w:tcPr>
          <w:p w14:paraId="1B5A4434">
            <w:pPr>
              <w:pStyle w:val="46"/>
              <w:bidi w:val="0"/>
              <w:rPr>
                <w:rFonts w:hint="eastAsia"/>
              </w:rPr>
            </w:pPr>
          </w:p>
        </w:tc>
        <w:tc>
          <w:tcPr>
            <w:tcW w:w="976" w:type="pct"/>
            <w:gridSpan w:val="2"/>
            <w:tcBorders>
              <w:top w:val="single" w:color="000000" w:sz="2" w:space="0"/>
              <w:left w:val="single" w:color="000000" w:sz="2" w:space="0"/>
              <w:right w:val="single" w:color="000000" w:sz="2" w:space="0"/>
            </w:tcBorders>
            <w:vAlign w:val="center"/>
          </w:tcPr>
          <w:p w14:paraId="0217081B">
            <w:pPr>
              <w:pStyle w:val="46"/>
              <w:bidi w:val="0"/>
              <w:rPr>
                <w:rFonts w:hint="eastAsia"/>
                <w:lang w:val="en-US" w:eastAsia="zh-CN"/>
              </w:rPr>
            </w:pPr>
            <w:r>
              <w:rPr>
                <w:lang w:val="en-US" w:eastAsia="zh-CN"/>
              </w:rPr>
              <w:t>动态密码锁（含安装）（15分）</w:t>
            </w:r>
          </w:p>
        </w:tc>
        <w:tc>
          <w:tcPr>
            <w:tcW w:w="3007" w:type="pct"/>
            <w:gridSpan w:val="2"/>
            <w:vMerge w:val="continue"/>
            <w:vAlign w:val="center"/>
          </w:tcPr>
          <w:p w14:paraId="524B6590">
            <w:pPr>
              <w:pStyle w:val="46"/>
              <w:bidi w:val="0"/>
              <w:rPr>
                <w:rFonts w:hint="eastAsia"/>
              </w:rPr>
            </w:pPr>
          </w:p>
        </w:tc>
      </w:tr>
      <w:tr w14:paraId="090ED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vMerge w:val="continue"/>
            <w:vAlign w:val="center"/>
          </w:tcPr>
          <w:p w14:paraId="2FDE95F3">
            <w:pPr>
              <w:pStyle w:val="46"/>
              <w:bidi w:val="0"/>
              <w:ind w:left="0" w:leftChars="0" w:right="0" w:rightChars="0" w:firstLine="0" w:firstLineChars="0"/>
              <w:jc w:val="center"/>
              <w:rPr>
                <w:rFonts w:hint="eastAsia"/>
              </w:rPr>
            </w:pPr>
          </w:p>
        </w:tc>
        <w:tc>
          <w:tcPr>
            <w:tcW w:w="601" w:type="pct"/>
            <w:gridSpan w:val="2"/>
            <w:vMerge w:val="continue"/>
            <w:tcBorders>
              <w:top w:val="single" w:color="000000" w:sz="2" w:space="0"/>
              <w:left w:val="single" w:color="000000" w:sz="2" w:space="0"/>
              <w:right w:val="single" w:color="000000" w:sz="2" w:space="0"/>
            </w:tcBorders>
            <w:vAlign w:val="center"/>
          </w:tcPr>
          <w:p w14:paraId="27F155B5">
            <w:pPr>
              <w:pStyle w:val="46"/>
              <w:bidi w:val="0"/>
              <w:rPr>
                <w:rFonts w:hint="eastAsia"/>
              </w:rPr>
            </w:pPr>
          </w:p>
        </w:tc>
        <w:tc>
          <w:tcPr>
            <w:tcW w:w="976" w:type="pct"/>
            <w:gridSpan w:val="2"/>
            <w:tcBorders>
              <w:top w:val="single" w:color="000000" w:sz="2" w:space="0"/>
              <w:left w:val="single" w:color="000000" w:sz="2" w:space="0"/>
              <w:right w:val="single" w:color="000000" w:sz="2" w:space="0"/>
            </w:tcBorders>
            <w:vAlign w:val="center"/>
          </w:tcPr>
          <w:p w14:paraId="2C62D0F4">
            <w:pPr>
              <w:pStyle w:val="46"/>
              <w:bidi w:val="0"/>
              <w:rPr>
                <w:rFonts w:hint="eastAsia"/>
                <w:lang w:val="en-US" w:eastAsia="zh-CN"/>
              </w:rPr>
            </w:pPr>
            <w:r>
              <w:rPr>
                <w:rFonts w:hint="eastAsia"/>
                <w:lang w:val="en-US" w:eastAsia="zh-CN"/>
              </w:rPr>
              <w:t>循环钞箱报价</w:t>
            </w:r>
          </w:p>
          <w:p w14:paraId="78DEBBD6">
            <w:pPr>
              <w:pStyle w:val="46"/>
              <w:bidi w:val="0"/>
              <w:rPr>
                <w:rFonts w:hint="eastAsia"/>
                <w:lang w:val="en-US" w:eastAsia="zh-CN"/>
              </w:rPr>
            </w:pPr>
            <w:r>
              <w:rPr>
                <w:rFonts w:hint="eastAsia"/>
                <w:lang w:val="en-US" w:eastAsia="zh-CN"/>
              </w:rPr>
              <w:t>（3分）</w:t>
            </w:r>
          </w:p>
        </w:tc>
        <w:tc>
          <w:tcPr>
            <w:tcW w:w="3007" w:type="pct"/>
            <w:gridSpan w:val="2"/>
            <w:vMerge w:val="continue"/>
            <w:vAlign w:val="center"/>
          </w:tcPr>
          <w:p w14:paraId="59AE7C93">
            <w:pPr>
              <w:pStyle w:val="46"/>
              <w:bidi w:val="0"/>
              <w:rPr>
                <w:rFonts w:hint="eastAsia"/>
              </w:rPr>
            </w:pPr>
          </w:p>
        </w:tc>
      </w:tr>
      <w:tr w14:paraId="5B091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vMerge w:val="continue"/>
            <w:vAlign w:val="center"/>
          </w:tcPr>
          <w:p w14:paraId="67BC92B1">
            <w:pPr>
              <w:pStyle w:val="46"/>
              <w:bidi w:val="0"/>
              <w:ind w:left="0" w:leftChars="0" w:right="0" w:rightChars="0" w:firstLine="0" w:firstLineChars="0"/>
              <w:jc w:val="center"/>
              <w:rPr>
                <w:rFonts w:hint="eastAsia"/>
              </w:rPr>
            </w:pPr>
          </w:p>
        </w:tc>
        <w:tc>
          <w:tcPr>
            <w:gridSpan w:val="2"/>
            <w:vMerge w:val="continue"/>
            <w:tcBorders>
              <w:top w:val="single" w:color="000000" w:sz="2" w:space="0"/>
              <w:left w:val="single" w:color="000000" w:sz="2" w:space="0"/>
              <w:right w:val="single" w:color="000000" w:sz="2" w:space="0"/>
            </w:tcBorders>
            <w:vAlign w:val="center"/>
          </w:tcPr>
          <w:p w14:paraId="406D2A3E">
            <w:pPr>
              <w:pStyle w:val="46"/>
              <w:bidi w:val="0"/>
              <w:rPr>
                <w:rFonts w:hint="eastAsia"/>
              </w:rPr>
            </w:pPr>
          </w:p>
        </w:tc>
        <w:tc>
          <w:tcPr>
            <w:tcW w:w="976" w:type="pct"/>
            <w:gridSpan w:val="2"/>
            <w:tcBorders>
              <w:top w:val="single" w:color="000000" w:sz="2" w:space="0"/>
              <w:left w:val="single" w:color="000000" w:sz="2" w:space="0"/>
              <w:right w:val="single" w:color="000000" w:sz="2" w:space="0"/>
            </w:tcBorders>
            <w:vAlign w:val="center"/>
          </w:tcPr>
          <w:p w14:paraId="23C01078">
            <w:pPr>
              <w:pStyle w:val="46"/>
              <w:bidi w:val="0"/>
              <w:rPr>
                <w:rFonts w:hint="eastAsia"/>
                <w:lang w:val="en-US" w:eastAsia="zh-CN"/>
              </w:rPr>
            </w:pPr>
            <w:r>
              <w:rPr>
                <w:rFonts w:hint="eastAsia"/>
                <w:lang w:val="en-US" w:eastAsia="zh-CN"/>
              </w:rPr>
              <w:t>存折打印机报价</w:t>
            </w:r>
          </w:p>
          <w:p w14:paraId="02A11A04">
            <w:pPr>
              <w:pStyle w:val="46"/>
              <w:bidi w:val="0"/>
              <w:rPr>
                <w:rFonts w:hint="eastAsia"/>
                <w:lang w:val="en-US" w:eastAsia="zh-CN"/>
              </w:rPr>
            </w:pPr>
            <w:r>
              <w:rPr>
                <w:rFonts w:hint="eastAsia"/>
                <w:lang w:val="en-US" w:eastAsia="zh-CN"/>
              </w:rPr>
              <w:t>（2分）</w:t>
            </w:r>
          </w:p>
        </w:tc>
        <w:tc>
          <w:tcPr>
            <w:tcW w:w="3007" w:type="pct"/>
            <w:gridSpan w:val="2"/>
            <w:vMerge w:val="continue"/>
            <w:vAlign w:val="center"/>
          </w:tcPr>
          <w:p w14:paraId="71C20B56">
            <w:pPr>
              <w:pStyle w:val="46"/>
              <w:bidi w:val="0"/>
              <w:rPr>
                <w:rFonts w:hint="eastAsia"/>
              </w:rPr>
            </w:pPr>
          </w:p>
        </w:tc>
      </w:tr>
      <w:tr w14:paraId="7C7D3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14" w:type="pct"/>
            <w:tcBorders>
              <w:bottom w:val="single" w:color="auto" w:sz="4" w:space="0"/>
            </w:tcBorders>
            <w:vAlign w:val="center"/>
          </w:tcPr>
          <w:p w14:paraId="2CE2EC89">
            <w:pPr>
              <w:pStyle w:val="46"/>
              <w:bidi w:val="0"/>
              <w:ind w:left="0" w:leftChars="0" w:right="0" w:rightChars="0" w:firstLine="0" w:firstLineChars="0"/>
              <w:jc w:val="center"/>
              <w:rPr>
                <w:rFonts w:hint="eastAsia"/>
                <w:lang w:eastAsia="zh-CN"/>
              </w:rPr>
            </w:pPr>
            <w:r>
              <w:rPr>
                <w:rFonts w:hint="eastAsia"/>
                <w:lang w:val="en-US" w:eastAsia="zh-CN"/>
              </w:rPr>
              <w:t>3.2.3</w:t>
            </w:r>
          </w:p>
        </w:tc>
        <w:tc>
          <w:tcPr>
            <w:tcW w:w="1578" w:type="pct"/>
            <w:gridSpan w:val="4"/>
            <w:tcBorders>
              <w:bottom w:val="single" w:color="auto" w:sz="4" w:space="0"/>
            </w:tcBorders>
            <w:vAlign w:val="center"/>
          </w:tcPr>
          <w:p w14:paraId="5994948B">
            <w:pPr>
              <w:pStyle w:val="46"/>
              <w:bidi w:val="0"/>
              <w:rPr>
                <w:rFonts w:hint="eastAsia"/>
                <w:lang w:val="en-US" w:eastAsia="zh-CN"/>
              </w:rPr>
            </w:pPr>
            <w:r>
              <w:rPr>
                <w:rFonts w:hint="eastAsia"/>
                <w:lang w:val="en-US" w:eastAsia="zh-CN"/>
              </w:rPr>
              <w:t>投标人得分</w:t>
            </w:r>
          </w:p>
        </w:tc>
        <w:tc>
          <w:tcPr>
            <w:tcW w:w="3007" w:type="pct"/>
            <w:gridSpan w:val="2"/>
            <w:vAlign w:val="center"/>
          </w:tcPr>
          <w:p w14:paraId="36F35821">
            <w:pPr>
              <w:pStyle w:val="46"/>
              <w:bidi w:val="0"/>
              <w:rPr>
                <w:rFonts w:hint="eastAsia"/>
              </w:rPr>
            </w:pPr>
            <w:r>
              <w:rPr>
                <w:rFonts w:hint="eastAsia"/>
                <w:lang w:val="en-US" w:eastAsia="zh-CN"/>
              </w:rPr>
              <w:t>投标人得分=A+B</w:t>
            </w:r>
          </w:p>
        </w:tc>
      </w:tr>
    </w:tbl>
    <w:p w14:paraId="17A1F6D9">
      <w:pPr>
        <w:pStyle w:val="3"/>
        <w:bidi w:val="0"/>
        <w:rPr>
          <w:rFonts w:hint="eastAsia"/>
          <w:color w:val="auto"/>
          <w:highlight w:val="none"/>
        </w:rPr>
      </w:pPr>
      <w:bookmarkStart w:id="368" w:name="_Toc31193"/>
      <w:bookmarkStart w:id="369" w:name="_Toc16675"/>
      <w:bookmarkStart w:id="370" w:name="_Toc57795929"/>
      <w:bookmarkStart w:id="371" w:name="_Toc15152"/>
      <w:bookmarkStart w:id="372" w:name="_Toc25892"/>
      <w:r>
        <w:rPr>
          <w:rFonts w:hint="eastAsia"/>
          <w:color w:val="auto"/>
          <w:highlight w:val="none"/>
        </w:rPr>
        <w:t>1. 评标方法</w:t>
      </w:r>
      <w:bookmarkEnd w:id="368"/>
      <w:bookmarkEnd w:id="369"/>
      <w:bookmarkEnd w:id="370"/>
      <w:bookmarkEnd w:id="371"/>
      <w:bookmarkEnd w:id="372"/>
    </w:p>
    <w:p w14:paraId="297940D8">
      <w:pPr>
        <w:bidi w:val="0"/>
        <w:rPr>
          <w:rFonts w:hint="eastAsia"/>
        </w:rPr>
      </w:pPr>
      <w:r>
        <w:rPr>
          <w:rFonts w:hint="eastAsia"/>
        </w:rPr>
        <w:t>本次评标采用综合评估法。评标委员会按照本章第 2.2 款规定的评分标准进行</w:t>
      </w:r>
      <w:r>
        <w:rPr>
          <w:rFonts w:hint="eastAsia"/>
          <w:lang w:eastAsia="zh-CN"/>
        </w:rPr>
        <w:t>评分</w:t>
      </w:r>
      <w:r>
        <w:rPr>
          <w:rFonts w:hint="eastAsia"/>
        </w:rPr>
        <w:t>，按得分由高到低顺序推荐中标候选人，或根据招标人授权直接确定中标人。综合评分相等时，以投标报价低的优先；投标报价相等的，以技术得分高的优先；如果技术得分也相等，按照评标办法前附表的规定确定中标候选人顺序。</w:t>
      </w:r>
    </w:p>
    <w:p w14:paraId="695B5AFD">
      <w:pPr>
        <w:pStyle w:val="3"/>
        <w:bidi w:val="0"/>
        <w:rPr>
          <w:rFonts w:hint="eastAsia"/>
          <w:color w:val="auto"/>
          <w:highlight w:val="none"/>
        </w:rPr>
      </w:pPr>
      <w:bookmarkStart w:id="373" w:name="_Toc21666"/>
      <w:bookmarkStart w:id="374" w:name="_Toc277082619"/>
      <w:bookmarkStart w:id="375" w:name="_Toc33106453"/>
      <w:bookmarkStart w:id="376" w:name="_Toc287620752"/>
      <w:bookmarkStart w:id="377" w:name="_Toc57795930"/>
      <w:bookmarkStart w:id="378" w:name="_Toc17963"/>
      <w:bookmarkStart w:id="379" w:name="_Toc287607813"/>
      <w:bookmarkStart w:id="380" w:name="_Toc509218777"/>
      <w:bookmarkStart w:id="381" w:name="_Toc25528"/>
      <w:bookmarkStart w:id="382" w:name="_Toc224103385"/>
      <w:bookmarkStart w:id="383" w:name="_Toc430530501"/>
      <w:bookmarkStart w:id="384" w:name="_Toc5269"/>
      <w:bookmarkStart w:id="385" w:name="_Toc200513199"/>
      <w:r>
        <w:rPr>
          <w:rFonts w:hint="eastAsia"/>
          <w:color w:val="auto"/>
          <w:highlight w:val="none"/>
        </w:rPr>
        <w:t>2. 评审标准</w:t>
      </w:r>
      <w:bookmarkEnd w:id="373"/>
      <w:bookmarkEnd w:id="374"/>
      <w:bookmarkEnd w:id="375"/>
      <w:bookmarkEnd w:id="376"/>
      <w:bookmarkEnd w:id="377"/>
      <w:bookmarkEnd w:id="378"/>
      <w:bookmarkEnd w:id="379"/>
      <w:bookmarkEnd w:id="380"/>
      <w:bookmarkEnd w:id="381"/>
      <w:bookmarkEnd w:id="382"/>
      <w:bookmarkEnd w:id="383"/>
      <w:bookmarkEnd w:id="384"/>
      <w:bookmarkEnd w:id="385"/>
    </w:p>
    <w:p w14:paraId="43197DBB">
      <w:pPr>
        <w:pStyle w:val="4"/>
        <w:bidi w:val="0"/>
        <w:rPr>
          <w:rFonts w:hint="eastAsia"/>
          <w:color w:val="auto"/>
          <w:highlight w:val="none"/>
        </w:rPr>
      </w:pPr>
      <w:bookmarkStart w:id="386" w:name="_Toc509218778"/>
      <w:bookmarkStart w:id="387" w:name="_Toc287620753"/>
      <w:bookmarkStart w:id="388" w:name="_Toc32324"/>
      <w:bookmarkStart w:id="389" w:name="_Toc287607814"/>
      <w:bookmarkStart w:id="390" w:name="_Toc200513200"/>
      <w:bookmarkStart w:id="391" w:name="_Toc430530502"/>
      <w:bookmarkStart w:id="392" w:name="_Toc19806"/>
      <w:bookmarkStart w:id="393" w:name="_Toc33106454"/>
      <w:bookmarkStart w:id="394" w:name="_Toc224103386"/>
      <w:bookmarkStart w:id="395" w:name="_Toc8194"/>
      <w:bookmarkStart w:id="396" w:name="_Toc277082620"/>
      <w:bookmarkStart w:id="397" w:name="_Toc57795931"/>
      <w:r>
        <w:rPr>
          <w:rFonts w:hint="eastAsia"/>
          <w:color w:val="auto"/>
          <w:highlight w:val="none"/>
        </w:rPr>
        <w:t>2.1 初步评审标准</w:t>
      </w:r>
      <w:bookmarkEnd w:id="386"/>
      <w:bookmarkEnd w:id="387"/>
      <w:bookmarkEnd w:id="388"/>
      <w:bookmarkEnd w:id="389"/>
      <w:bookmarkEnd w:id="390"/>
      <w:bookmarkEnd w:id="391"/>
      <w:bookmarkEnd w:id="392"/>
      <w:bookmarkEnd w:id="393"/>
      <w:bookmarkEnd w:id="394"/>
      <w:bookmarkEnd w:id="395"/>
      <w:bookmarkEnd w:id="396"/>
      <w:bookmarkEnd w:id="397"/>
    </w:p>
    <w:p w14:paraId="2B10E698">
      <w:pPr>
        <w:bidi w:val="0"/>
        <w:rPr>
          <w:rFonts w:hint="eastAsia"/>
          <w:color w:val="auto"/>
          <w:highlight w:val="none"/>
          <w:lang w:val="en-US" w:eastAsia="zh-CN"/>
        </w:rPr>
      </w:pPr>
      <w:r>
        <w:rPr>
          <w:rFonts w:hint="eastAsia"/>
          <w:color w:val="auto"/>
          <w:highlight w:val="none"/>
          <w:lang w:val="en-US" w:eastAsia="zh-CN"/>
        </w:rPr>
        <w:t>2.1.1  形式评审标准：见评标办法前附表。</w:t>
      </w:r>
    </w:p>
    <w:p w14:paraId="5B163A75">
      <w:pPr>
        <w:bidi w:val="0"/>
        <w:rPr>
          <w:rFonts w:hint="eastAsia"/>
          <w:color w:val="auto"/>
          <w:highlight w:val="none"/>
          <w:lang w:val="en-US" w:eastAsia="zh-CN"/>
        </w:rPr>
      </w:pPr>
      <w:r>
        <w:rPr>
          <w:rFonts w:hint="eastAsia"/>
          <w:color w:val="auto"/>
          <w:highlight w:val="none"/>
          <w:lang w:val="en-US" w:eastAsia="zh-CN"/>
        </w:rPr>
        <w:t>2.1.2  资格评审标准：见评标办法前附表。</w:t>
      </w:r>
    </w:p>
    <w:p w14:paraId="6E74E43A">
      <w:pPr>
        <w:bidi w:val="0"/>
        <w:rPr>
          <w:rFonts w:hint="eastAsia"/>
          <w:color w:val="auto"/>
          <w:highlight w:val="none"/>
          <w:lang w:val="en-US" w:eastAsia="zh-CN"/>
        </w:rPr>
      </w:pPr>
      <w:bookmarkStart w:id="398" w:name="_bookmark87"/>
      <w:bookmarkEnd w:id="398"/>
      <w:r>
        <w:rPr>
          <w:rFonts w:hint="eastAsia"/>
          <w:color w:val="auto"/>
          <w:highlight w:val="none"/>
          <w:lang w:val="en-US" w:eastAsia="zh-CN"/>
        </w:rPr>
        <w:t>2.1.3  响应性评审标准：见评标办法前附表。</w:t>
      </w:r>
    </w:p>
    <w:p w14:paraId="340A3654">
      <w:pPr>
        <w:pStyle w:val="4"/>
        <w:bidi w:val="0"/>
        <w:rPr>
          <w:rFonts w:hint="eastAsia"/>
          <w:color w:val="auto"/>
          <w:highlight w:val="none"/>
        </w:rPr>
      </w:pPr>
      <w:bookmarkStart w:id="399" w:name="_Toc509218779"/>
      <w:bookmarkStart w:id="400" w:name="_Toc33106455"/>
      <w:bookmarkStart w:id="401" w:name="_Toc31354"/>
      <w:bookmarkStart w:id="402" w:name="_Toc1715"/>
      <w:bookmarkStart w:id="403" w:name="_Toc287620754"/>
      <w:bookmarkStart w:id="404" w:name="_Toc224103387"/>
      <w:bookmarkStart w:id="405" w:name="_Toc430530503"/>
      <w:bookmarkStart w:id="406" w:name="_Toc287607815"/>
      <w:bookmarkStart w:id="407" w:name="_Toc57795932"/>
      <w:bookmarkStart w:id="408" w:name="_Toc26746"/>
      <w:bookmarkStart w:id="409" w:name="_Toc277082621"/>
      <w:bookmarkStart w:id="410" w:name="_Toc200513201"/>
      <w:r>
        <w:rPr>
          <w:rFonts w:hint="eastAsia"/>
          <w:color w:val="auto"/>
          <w:highlight w:val="none"/>
        </w:rPr>
        <w:t>2.2 分值构成与评分标准</w:t>
      </w:r>
      <w:bookmarkEnd w:id="399"/>
      <w:bookmarkEnd w:id="400"/>
      <w:bookmarkEnd w:id="401"/>
      <w:bookmarkEnd w:id="402"/>
      <w:bookmarkEnd w:id="403"/>
      <w:bookmarkEnd w:id="404"/>
      <w:bookmarkEnd w:id="405"/>
      <w:bookmarkEnd w:id="406"/>
      <w:bookmarkEnd w:id="407"/>
      <w:bookmarkEnd w:id="408"/>
      <w:bookmarkEnd w:id="409"/>
      <w:bookmarkEnd w:id="410"/>
    </w:p>
    <w:p w14:paraId="49C1D4C4">
      <w:pPr>
        <w:bidi w:val="0"/>
        <w:rPr>
          <w:color w:val="auto"/>
          <w:highlight w:val="none"/>
          <w:lang w:val="en-US" w:eastAsia="zh-CN"/>
        </w:rPr>
      </w:pPr>
      <w:r>
        <w:rPr>
          <w:rFonts w:hint="eastAsia"/>
          <w:color w:val="auto"/>
          <w:highlight w:val="none"/>
          <w:lang w:val="en-US" w:eastAsia="zh-CN"/>
        </w:rPr>
        <w:t>2.2.1 分值构成</w:t>
      </w:r>
    </w:p>
    <w:p w14:paraId="196EE061">
      <w:pPr>
        <w:bidi w:val="0"/>
        <w:rPr>
          <w:rFonts w:hint="eastAsia"/>
          <w:color w:val="auto"/>
          <w:highlight w:val="none"/>
          <w:lang w:val="en-US" w:eastAsia="zh-CN"/>
        </w:rPr>
      </w:pPr>
      <w:r>
        <w:rPr>
          <w:rFonts w:hint="eastAsia"/>
          <w:color w:val="auto"/>
          <w:highlight w:val="none"/>
          <w:lang w:val="en-US" w:eastAsia="zh-CN"/>
        </w:rPr>
        <w:t>（1）商务部分：见评标办法前附表；</w:t>
      </w:r>
    </w:p>
    <w:p w14:paraId="1164BB3B">
      <w:pPr>
        <w:bidi w:val="0"/>
        <w:rPr>
          <w:rFonts w:hint="eastAsia"/>
          <w:color w:val="auto"/>
          <w:highlight w:val="none"/>
          <w:lang w:val="en-US" w:eastAsia="zh-CN"/>
        </w:rPr>
      </w:pPr>
      <w:r>
        <w:rPr>
          <w:rFonts w:hint="eastAsia"/>
          <w:color w:val="auto"/>
          <w:highlight w:val="none"/>
          <w:lang w:val="en-US" w:eastAsia="zh-CN"/>
        </w:rPr>
        <w:t>（2）技术部分：见评标办法前附表；</w:t>
      </w:r>
    </w:p>
    <w:p w14:paraId="324EF628">
      <w:pPr>
        <w:bidi w:val="0"/>
        <w:rPr>
          <w:rFonts w:hint="eastAsia"/>
          <w:color w:val="auto"/>
          <w:highlight w:val="none"/>
          <w:lang w:val="en-US" w:eastAsia="zh-CN"/>
        </w:rPr>
      </w:pPr>
      <w:r>
        <w:rPr>
          <w:rFonts w:hint="eastAsia"/>
          <w:color w:val="auto"/>
          <w:highlight w:val="none"/>
          <w:lang w:val="en-US" w:eastAsia="zh-CN"/>
        </w:rPr>
        <w:t>（3）投标报价：见评标办法前附表；</w:t>
      </w:r>
    </w:p>
    <w:p w14:paraId="5E0CEE6C">
      <w:pPr>
        <w:bidi w:val="0"/>
        <w:rPr>
          <w:rFonts w:hint="eastAsia"/>
          <w:color w:val="auto"/>
          <w:highlight w:val="none"/>
          <w:lang w:val="en-US" w:eastAsia="zh-CN"/>
        </w:rPr>
      </w:pPr>
      <w:r>
        <w:rPr>
          <w:rFonts w:hint="eastAsia"/>
          <w:color w:val="auto"/>
          <w:highlight w:val="none"/>
          <w:lang w:val="en-US" w:eastAsia="zh-CN"/>
        </w:rPr>
        <w:t>（4）其他评分因素：见评标办法前附表。</w:t>
      </w:r>
    </w:p>
    <w:p w14:paraId="69A5FD75">
      <w:pPr>
        <w:bidi w:val="0"/>
        <w:rPr>
          <w:rFonts w:hint="eastAsia"/>
          <w:color w:val="auto"/>
          <w:highlight w:val="none"/>
          <w:lang w:val="en-US" w:eastAsia="zh-CN"/>
        </w:rPr>
      </w:pPr>
      <w:r>
        <w:rPr>
          <w:rFonts w:hint="eastAsia"/>
          <w:color w:val="auto"/>
          <w:highlight w:val="none"/>
          <w:lang w:val="en-US" w:eastAsia="zh-CN"/>
        </w:rPr>
        <w:t>2.2.2  评标基准价计算</w:t>
      </w:r>
    </w:p>
    <w:p w14:paraId="08D8934C">
      <w:pPr>
        <w:bidi w:val="0"/>
        <w:rPr>
          <w:rFonts w:hint="eastAsia"/>
          <w:color w:val="auto"/>
          <w:highlight w:val="none"/>
          <w:lang w:val="en-US" w:eastAsia="zh-CN"/>
        </w:rPr>
      </w:pPr>
      <w:r>
        <w:rPr>
          <w:rFonts w:hint="eastAsia"/>
          <w:color w:val="auto"/>
          <w:highlight w:val="none"/>
          <w:lang w:val="en-US" w:eastAsia="zh-CN"/>
        </w:rPr>
        <w:t>评标基准价计算方法：见评标办法前附表。</w:t>
      </w:r>
    </w:p>
    <w:p w14:paraId="08C64825">
      <w:pPr>
        <w:bidi w:val="0"/>
        <w:rPr>
          <w:rFonts w:hint="eastAsia"/>
          <w:color w:val="auto"/>
          <w:highlight w:val="none"/>
          <w:lang w:val="en-US" w:eastAsia="zh-CN"/>
        </w:rPr>
      </w:pPr>
      <w:r>
        <w:rPr>
          <w:rFonts w:hint="eastAsia"/>
          <w:color w:val="auto"/>
          <w:highlight w:val="none"/>
          <w:lang w:val="en-US" w:eastAsia="zh-CN"/>
        </w:rPr>
        <w:t>2.2.3  投标报价的偏差率计算</w:t>
      </w:r>
    </w:p>
    <w:p w14:paraId="753F1705">
      <w:pPr>
        <w:bidi w:val="0"/>
        <w:rPr>
          <w:rFonts w:hint="eastAsia"/>
          <w:color w:val="auto"/>
          <w:highlight w:val="none"/>
          <w:lang w:val="en-US" w:eastAsia="zh-CN"/>
        </w:rPr>
      </w:pPr>
      <w:r>
        <w:rPr>
          <w:rFonts w:hint="eastAsia"/>
          <w:color w:val="auto"/>
          <w:highlight w:val="none"/>
          <w:lang w:val="en-US" w:eastAsia="zh-CN"/>
        </w:rPr>
        <w:t>投标报价的偏差率计算公式：见评标办法前附表。</w:t>
      </w:r>
    </w:p>
    <w:p w14:paraId="7A81DAA0">
      <w:pPr>
        <w:bidi w:val="0"/>
        <w:rPr>
          <w:rFonts w:hint="eastAsia"/>
          <w:color w:val="auto"/>
          <w:highlight w:val="none"/>
          <w:lang w:val="en-US" w:eastAsia="zh-CN"/>
        </w:rPr>
      </w:pPr>
      <w:r>
        <w:rPr>
          <w:rFonts w:hint="eastAsia"/>
          <w:color w:val="auto"/>
          <w:highlight w:val="none"/>
          <w:lang w:val="en-US" w:eastAsia="zh-CN"/>
        </w:rPr>
        <w:t>2.2.4  评分标准</w:t>
      </w:r>
    </w:p>
    <w:p w14:paraId="49CBB6D1">
      <w:pPr>
        <w:bidi w:val="0"/>
        <w:rPr>
          <w:rFonts w:hint="eastAsia"/>
          <w:color w:val="auto"/>
          <w:highlight w:val="none"/>
          <w:lang w:val="en-US" w:eastAsia="zh-CN"/>
        </w:rPr>
      </w:pPr>
      <w:r>
        <w:rPr>
          <w:rFonts w:hint="eastAsia"/>
          <w:color w:val="auto"/>
          <w:highlight w:val="none"/>
          <w:lang w:val="en-US" w:eastAsia="zh-CN"/>
        </w:rPr>
        <w:t>（1）商务评分标准：见评标办法前附表；</w:t>
      </w:r>
    </w:p>
    <w:p w14:paraId="0F51EDF0">
      <w:pPr>
        <w:bidi w:val="0"/>
        <w:rPr>
          <w:rFonts w:hint="eastAsia"/>
          <w:color w:val="auto"/>
          <w:highlight w:val="none"/>
          <w:lang w:val="en-US" w:eastAsia="zh-CN"/>
        </w:rPr>
      </w:pPr>
      <w:r>
        <w:rPr>
          <w:rFonts w:hint="eastAsia"/>
          <w:color w:val="auto"/>
          <w:highlight w:val="none"/>
          <w:lang w:val="en-US" w:eastAsia="zh-CN"/>
        </w:rPr>
        <w:t>（2）技术评分标准：见评标办法前附表；</w:t>
      </w:r>
    </w:p>
    <w:p w14:paraId="4795AE69">
      <w:pPr>
        <w:bidi w:val="0"/>
        <w:rPr>
          <w:rFonts w:hint="eastAsia"/>
          <w:color w:val="auto"/>
          <w:highlight w:val="none"/>
          <w:lang w:val="en-US" w:eastAsia="zh-CN"/>
        </w:rPr>
      </w:pPr>
      <w:r>
        <w:rPr>
          <w:rFonts w:hint="eastAsia"/>
          <w:color w:val="auto"/>
          <w:highlight w:val="none"/>
          <w:lang w:val="en-US" w:eastAsia="zh-CN"/>
        </w:rPr>
        <w:t>（3）投标报价评分标准：见评标办法前附表；</w:t>
      </w:r>
    </w:p>
    <w:p w14:paraId="34084A5C">
      <w:pPr>
        <w:bidi w:val="0"/>
        <w:rPr>
          <w:rFonts w:hint="eastAsia"/>
          <w:color w:val="auto"/>
          <w:highlight w:val="none"/>
          <w:lang w:val="en-US" w:eastAsia="zh-CN"/>
        </w:rPr>
      </w:pPr>
      <w:r>
        <w:rPr>
          <w:rFonts w:hint="eastAsia"/>
          <w:color w:val="auto"/>
          <w:highlight w:val="none"/>
          <w:lang w:val="en-US" w:eastAsia="zh-CN"/>
        </w:rPr>
        <w:t>（4）其他因素评分标准：见评标办法前附表。</w:t>
      </w:r>
    </w:p>
    <w:p w14:paraId="070AC8E8">
      <w:pPr>
        <w:pStyle w:val="3"/>
        <w:bidi w:val="0"/>
        <w:rPr>
          <w:rFonts w:hint="eastAsia"/>
          <w:color w:val="auto"/>
          <w:highlight w:val="none"/>
        </w:rPr>
      </w:pPr>
      <w:bookmarkStart w:id="411" w:name="_Toc287620755"/>
      <w:bookmarkStart w:id="412" w:name="_Toc200513202"/>
      <w:bookmarkStart w:id="413" w:name="_Toc21601"/>
      <w:bookmarkStart w:id="414" w:name="_Toc224103388"/>
      <w:bookmarkStart w:id="415" w:name="_Toc277082622"/>
      <w:bookmarkStart w:id="416" w:name="_Toc509218780"/>
      <w:bookmarkStart w:id="417" w:name="_Toc287607816"/>
      <w:bookmarkStart w:id="418" w:name="_Toc57795933"/>
      <w:bookmarkStart w:id="419" w:name="_Toc16373"/>
      <w:bookmarkStart w:id="420" w:name="_Toc33106456"/>
      <w:bookmarkStart w:id="421" w:name="_Toc2750"/>
      <w:bookmarkStart w:id="422" w:name="_Toc25966"/>
      <w:bookmarkStart w:id="423" w:name="_Toc430530504"/>
      <w:r>
        <w:rPr>
          <w:rFonts w:hint="eastAsia"/>
          <w:color w:val="auto"/>
          <w:highlight w:val="none"/>
        </w:rPr>
        <w:t>3. 评标程序</w:t>
      </w:r>
      <w:bookmarkEnd w:id="411"/>
      <w:bookmarkEnd w:id="412"/>
      <w:bookmarkEnd w:id="413"/>
      <w:bookmarkEnd w:id="414"/>
      <w:bookmarkEnd w:id="415"/>
      <w:bookmarkEnd w:id="416"/>
      <w:bookmarkEnd w:id="417"/>
      <w:bookmarkEnd w:id="418"/>
      <w:bookmarkEnd w:id="419"/>
      <w:bookmarkEnd w:id="420"/>
      <w:bookmarkEnd w:id="421"/>
      <w:bookmarkEnd w:id="422"/>
      <w:bookmarkEnd w:id="423"/>
    </w:p>
    <w:p w14:paraId="044EDEAA">
      <w:pPr>
        <w:pStyle w:val="4"/>
        <w:bidi w:val="0"/>
        <w:rPr>
          <w:rFonts w:hint="eastAsia"/>
          <w:color w:val="auto"/>
          <w:highlight w:val="none"/>
        </w:rPr>
      </w:pPr>
      <w:bookmarkStart w:id="424" w:name="_Toc224103389"/>
      <w:bookmarkStart w:id="425" w:name="_Toc277082623"/>
      <w:bookmarkStart w:id="426" w:name="_Toc200513203"/>
      <w:bookmarkStart w:id="427" w:name="_Toc287607817"/>
      <w:bookmarkStart w:id="428" w:name="_Toc57795934"/>
      <w:bookmarkStart w:id="429" w:name="_Toc26538"/>
      <w:bookmarkStart w:id="430" w:name="_Toc430530505"/>
      <w:bookmarkStart w:id="431" w:name="_Toc33106457"/>
      <w:bookmarkStart w:id="432" w:name="_Toc10455"/>
      <w:bookmarkStart w:id="433" w:name="_Toc15003"/>
      <w:bookmarkStart w:id="434" w:name="_Toc509218781"/>
      <w:bookmarkStart w:id="435" w:name="_Toc287620756"/>
      <w:r>
        <w:rPr>
          <w:rFonts w:hint="eastAsia"/>
          <w:color w:val="auto"/>
          <w:highlight w:val="none"/>
        </w:rPr>
        <w:t>3.1 初步评审</w:t>
      </w:r>
      <w:bookmarkEnd w:id="424"/>
      <w:bookmarkEnd w:id="425"/>
      <w:bookmarkEnd w:id="426"/>
      <w:bookmarkEnd w:id="427"/>
      <w:bookmarkEnd w:id="428"/>
      <w:bookmarkEnd w:id="429"/>
      <w:bookmarkEnd w:id="430"/>
      <w:bookmarkEnd w:id="431"/>
      <w:bookmarkEnd w:id="432"/>
      <w:bookmarkEnd w:id="433"/>
      <w:bookmarkEnd w:id="434"/>
      <w:bookmarkEnd w:id="435"/>
    </w:p>
    <w:p w14:paraId="4381DB2F">
      <w:pPr>
        <w:bidi w:val="0"/>
        <w:rPr>
          <w:rFonts w:hint="eastAsia"/>
          <w:color w:val="auto"/>
          <w:highlight w:val="none"/>
          <w:lang w:val="en-US" w:eastAsia="zh-CN"/>
        </w:rPr>
      </w:pPr>
      <w:r>
        <w:rPr>
          <w:rFonts w:hint="eastAsia"/>
          <w:color w:val="auto"/>
          <w:highlight w:val="none"/>
          <w:lang w:val="en-US" w:eastAsia="zh-CN"/>
        </w:rPr>
        <w:t>3.1.1  评标委员会依据本章第2.1款规定的标准对投标文件进行初步评审。有一项不符合评审标准的，评标委员会应当否决其投标。</w:t>
      </w:r>
    </w:p>
    <w:p w14:paraId="0B3233F3">
      <w:pPr>
        <w:bidi w:val="0"/>
        <w:rPr>
          <w:rFonts w:hint="eastAsia"/>
          <w:color w:val="auto"/>
          <w:highlight w:val="none"/>
          <w:lang w:val="en-US" w:eastAsia="zh-CN"/>
        </w:rPr>
      </w:pPr>
      <w:r>
        <w:rPr>
          <w:rFonts w:hint="eastAsia"/>
          <w:color w:val="auto"/>
          <w:highlight w:val="none"/>
          <w:lang w:val="en-US" w:eastAsia="zh-CN"/>
        </w:rPr>
        <w:t>3.1.2  投标人有以下情形之一的，评标委员会应当否决其投标：</w:t>
      </w:r>
    </w:p>
    <w:p w14:paraId="79830458">
      <w:pPr>
        <w:bidi w:val="0"/>
        <w:rPr>
          <w:rFonts w:hint="eastAsia"/>
          <w:color w:val="auto"/>
          <w:highlight w:val="none"/>
        </w:rPr>
      </w:pPr>
      <w:r>
        <w:rPr>
          <w:rFonts w:hint="eastAsia"/>
          <w:color w:val="auto"/>
          <w:highlight w:val="none"/>
        </w:rPr>
        <w:t>（1）第二章“投标人须知”第1.4.3项规定的任何一种情形的；</w:t>
      </w:r>
    </w:p>
    <w:p w14:paraId="0FBF94F6">
      <w:pPr>
        <w:bidi w:val="0"/>
        <w:rPr>
          <w:rFonts w:hint="eastAsia"/>
          <w:color w:val="auto"/>
          <w:highlight w:val="none"/>
        </w:rPr>
      </w:pPr>
      <w:r>
        <w:rPr>
          <w:rFonts w:hint="eastAsia"/>
          <w:color w:val="auto"/>
          <w:highlight w:val="none"/>
        </w:rPr>
        <w:t>（2）串通投标或弄虚作假或有其他违法行为的；</w:t>
      </w:r>
    </w:p>
    <w:p w14:paraId="760F4AAE">
      <w:pPr>
        <w:bidi w:val="0"/>
        <w:rPr>
          <w:rFonts w:hint="eastAsia"/>
          <w:color w:val="auto"/>
          <w:highlight w:val="none"/>
        </w:rPr>
      </w:pPr>
      <w:r>
        <w:rPr>
          <w:rFonts w:hint="eastAsia"/>
          <w:color w:val="auto"/>
          <w:highlight w:val="none"/>
        </w:rPr>
        <w:t>（3）不按评标委员会要求澄清、说明或补正的。</w:t>
      </w:r>
    </w:p>
    <w:p w14:paraId="40A63DF7">
      <w:pPr>
        <w:bidi w:val="0"/>
        <w:rPr>
          <w:rFonts w:hint="eastAsia"/>
          <w:color w:val="auto"/>
          <w:highlight w:val="none"/>
          <w:lang w:val="en-US" w:eastAsia="zh-CN"/>
        </w:rPr>
      </w:pPr>
      <w:r>
        <w:rPr>
          <w:rFonts w:hint="eastAsia"/>
          <w:color w:val="auto"/>
          <w:highlight w:val="none"/>
          <w:lang w:val="en-US" w:eastAsia="zh-CN"/>
        </w:rPr>
        <w:t>3.1.3  投标报价有算术错误及其他错误的，评标委员会按以下原则要求投标人对投标报价进行修正，并要求投标人书面澄清确认。投标人拒不澄清确认的，评标委员会应当否决其投标：</w:t>
      </w:r>
    </w:p>
    <w:p w14:paraId="3A199DE9">
      <w:pPr>
        <w:bidi w:val="0"/>
        <w:rPr>
          <w:rFonts w:hint="eastAsia"/>
          <w:color w:val="auto"/>
          <w:highlight w:val="none"/>
        </w:rPr>
      </w:pPr>
      <w:r>
        <w:rPr>
          <w:rFonts w:hint="eastAsia"/>
          <w:color w:val="auto"/>
          <w:highlight w:val="none"/>
        </w:rPr>
        <w:t xml:space="preserve">（1）投标文件中的大写金额与小写金额不一致的，以大写金额为准； </w:t>
      </w:r>
    </w:p>
    <w:p w14:paraId="566D88BD">
      <w:pPr>
        <w:bidi w:val="0"/>
        <w:rPr>
          <w:rFonts w:hint="eastAsia"/>
          <w:color w:val="auto"/>
          <w:highlight w:val="none"/>
        </w:rPr>
      </w:pPr>
      <w:r>
        <w:rPr>
          <w:rFonts w:hint="eastAsia"/>
          <w:color w:val="auto"/>
          <w:highlight w:val="none"/>
        </w:rPr>
        <w:t xml:space="preserve">（2）总价金额与单价金额不一致的，以单价金额为准，但单价金额小数点有明显错误的除外； </w:t>
      </w:r>
    </w:p>
    <w:p w14:paraId="76FF39D7">
      <w:pPr>
        <w:bidi w:val="0"/>
        <w:rPr>
          <w:rFonts w:hint="eastAsia"/>
          <w:color w:val="auto"/>
          <w:highlight w:val="none"/>
        </w:rPr>
      </w:pPr>
      <w:r>
        <w:rPr>
          <w:rFonts w:hint="eastAsia"/>
          <w:color w:val="auto"/>
          <w:highlight w:val="none"/>
        </w:rPr>
        <w:t xml:space="preserve">（3）投标报价为各分项报价金额之和，投标报价与分项报价的合价不一致的，应以各分项合价累计数为准，修正投标报价； </w:t>
      </w:r>
    </w:p>
    <w:p w14:paraId="1F91CC17">
      <w:pPr>
        <w:bidi w:val="0"/>
        <w:rPr>
          <w:rFonts w:hint="eastAsia"/>
          <w:color w:val="auto"/>
          <w:highlight w:val="none"/>
        </w:rPr>
      </w:pPr>
      <w:r>
        <w:rPr>
          <w:rFonts w:hint="eastAsia"/>
          <w:color w:val="auto"/>
          <w:highlight w:val="none"/>
        </w:rPr>
        <w:t>（4）如果分项报价中存在缺漏项，则视为缺漏项价格已包含在其他分项报价之中。</w:t>
      </w:r>
    </w:p>
    <w:p w14:paraId="624B3328">
      <w:pPr>
        <w:pStyle w:val="4"/>
        <w:bidi w:val="0"/>
        <w:rPr>
          <w:rFonts w:hint="eastAsia"/>
          <w:color w:val="auto"/>
          <w:highlight w:val="none"/>
          <w:lang w:val="en-US" w:eastAsia="zh-CN"/>
        </w:rPr>
      </w:pPr>
      <w:bookmarkStart w:id="436" w:name="_Toc2529"/>
      <w:bookmarkStart w:id="437" w:name="_Toc224103390"/>
      <w:bookmarkStart w:id="438" w:name="_Toc23454"/>
      <w:bookmarkStart w:id="439" w:name="_Toc33106458"/>
      <w:bookmarkStart w:id="440" w:name="_Toc277082624"/>
      <w:bookmarkStart w:id="441" w:name="_Toc2546"/>
      <w:bookmarkStart w:id="442" w:name="_Toc200513204"/>
      <w:bookmarkStart w:id="443" w:name="_Toc430530506"/>
      <w:bookmarkStart w:id="444" w:name="_Toc509218782"/>
      <w:bookmarkStart w:id="445" w:name="_Toc287607818"/>
      <w:bookmarkStart w:id="446" w:name="_Toc57795935"/>
      <w:bookmarkStart w:id="447" w:name="_Toc287620757"/>
      <w:r>
        <w:rPr>
          <w:rFonts w:hint="eastAsia"/>
          <w:color w:val="auto"/>
          <w:highlight w:val="none"/>
        </w:rPr>
        <w:t>3.2 详细评审</w:t>
      </w:r>
      <w:bookmarkEnd w:id="436"/>
      <w:bookmarkEnd w:id="437"/>
      <w:bookmarkEnd w:id="438"/>
      <w:bookmarkEnd w:id="439"/>
      <w:bookmarkEnd w:id="440"/>
      <w:bookmarkEnd w:id="441"/>
      <w:bookmarkEnd w:id="442"/>
      <w:bookmarkEnd w:id="443"/>
      <w:bookmarkEnd w:id="444"/>
      <w:bookmarkEnd w:id="445"/>
      <w:bookmarkEnd w:id="446"/>
      <w:bookmarkEnd w:id="447"/>
    </w:p>
    <w:p w14:paraId="6298528C">
      <w:pPr>
        <w:bidi w:val="0"/>
        <w:rPr>
          <w:rFonts w:hint="eastAsia"/>
          <w:color w:val="auto"/>
          <w:highlight w:val="none"/>
          <w:lang w:val="en-US" w:eastAsia="zh-CN"/>
        </w:rPr>
      </w:pPr>
      <w:r>
        <w:rPr>
          <w:rFonts w:hint="eastAsia"/>
          <w:color w:val="auto"/>
          <w:highlight w:val="none"/>
          <w:lang w:val="en-US" w:eastAsia="zh-CN"/>
        </w:rPr>
        <w:t>3.2.1  评标委员会按本章第 2.2 款规定的量化因素和分值进行打分，并计算出综合评估得分。</w:t>
      </w:r>
    </w:p>
    <w:p w14:paraId="042B082C">
      <w:pPr>
        <w:bidi w:val="0"/>
        <w:rPr>
          <w:rFonts w:hint="eastAsia"/>
          <w:color w:val="auto"/>
          <w:highlight w:val="none"/>
          <w:lang w:val="en-US" w:eastAsia="zh-CN"/>
        </w:rPr>
      </w:pPr>
      <w:r>
        <w:rPr>
          <w:rFonts w:hint="eastAsia"/>
          <w:color w:val="auto"/>
          <w:highlight w:val="none"/>
          <w:lang w:val="en-US" w:eastAsia="zh-CN"/>
        </w:rPr>
        <w:t>（1）按本章第 2.2.4（1） 目规定的评审因素和分值对商务部分计算出得分A；</w:t>
      </w:r>
    </w:p>
    <w:p w14:paraId="55B3C756">
      <w:pPr>
        <w:bidi w:val="0"/>
        <w:rPr>
          <w:rFonts w:hint="eastAsia"/>
          <w:color w:val="auto"/>
          <w:highlight w:val="none"/>
          <w:lang w:val="en-US" w:eastAsia="zh-CN"/>
        </w:rPr>
      </w:pPr>
      <w:r>
        <w:rPr>
          <w:rFonts w:hint="eastAsia"/>
          <w:color w:val="auto"/>
          <w:highlight w:val="none"/>
          <w:lang w:val="en-US" w:eastAsia="zh-CN"/>
        </w:rPr>
        <w:t>（2）按本章第 2.2.4（2） 目规定的评审因素和分值对技术部分计算出得分B；</w:t>
      </w:r>
    </w:p>
    <w:p w14:paraId="527FA5AF">
      <w:pPr>
        <w:bidi w:val="0"/>
        <w:rPr>
          <w:rFonts w:hint="eastAsia"/>
          <w:color w:val="auto"/>
          <w:highlight w:val="none"/>
          <w:lang w:val="en-US" w:eastAsia="zh-CN"/>
        </w:rPr>
      </w:pPr>
      <w:r>
        <w:rPr>
          <w:rFonts w:hint="eastAsia"/>
          <w:color w:val="auto"/>
          <w:highlight w:val="none"/>
          <w:lang w:val="en-US" w:eastAsia="zh-CN"/>
        </w:rPr>
        <w:t>（3）按本章第 2.2.4（3） 目规定的评审因素和分值对投标报价计算出得分C；</w:t>
      </w:r>
    </w:p>
    <w:p w14:paraId="2267E3B6">
      <w:pPr>
        <w:bidi w:val="0"/>
        <w:rPr>
          <w:rFonts w:hint="eastAsia"/>
          <w:color w:val="auto"/>
          <w:highlight w:val="none"/>
          <w:lang w:val="en-US" w:eastAsia="zh-CN"/>
        </w:rPr>
      </w:pPr>
      <w:r>
        <w:rPr>
          <w:rFonts w:hint="eastAsia"/>
          <w:color w:val="auto"/>
          <w:highlight w:val="none"/>
          <w:lang w:val="en-US" w:eastAsia="zh-CN"/>
        </w:rPr>
        <w:t>（4）按本章第 2.2.4（4） 目规定的评审因素和分值对其他部分计算出得分D。</w:t>
      </w:r>
    </w:p>
    <w:p w14:paraId="60AE7716">
      <w:pPr>
        <w:bidi w:val="0"/>
        <w:rPr>
          <w:rFonts w:hint="eastAsia"/>
          <w:color w:val="auto"/>
          <w:highlight w:val="none"/>
          <w:lang w:val="en-US" w:eastAsia="zh-CN"/>
        </w:rPr>
      </w:pPr>
      <w:r>
        <w:rPr>
          <w:rFonts w:hint="eastAsia"/>
          <w:color w:val="auto"/>
          <w:highlight w:val="none"/>
          <w:lang w:val="en-US" w:eastAsia="zh-CN"/>
        </w:rPr>
        <w:t>3.2.2  评分分值计算保留小数点后两位，小数点后第三位“四舍五入”。</w:t>
      </w:r>
    </w:p>
    <w:p w14:paraId="4405D0E5">
      <w:pPr>
        <w:bidi w:val="0"/>
        <w:rPr>
          <w:rFonts w:hint="eastAsia"/>
          <w:color w:val="auto"/>
          <w:highlight w:val="none"/>
          <w:lang w:val="en-US" w:eastAsia="zh-CN"/>
        </w:rPr>
      </w:pPr>
      <w:r>
        <w:rPr>
          <w:rFonts w:hint="eastAsia"/>
          <w:color w:val="auto"/>
          <w:highlight w:val="none"/>
          <w:lang w:val="en-US" w:eastAsia="zh-CN"/>
        </w:rPr>
        <w:t>3.2.3  投标人得分=A+B+C+D。</w:t>
      </w:r>
    </w:p>
    <w:p w14:paraId="4A193F5E">
      <w:pPr>
        <w:bidi w:val="0"/>
        <w:rPr>
          <w:rFonts w:hint="eastAsia"/>
          <w:color w:val="auto"/>
          <w:highlight w:val="none"/>
          <w:lang w:val="en-US" w:eastAsia="zh-CN"/>
        </w:rPr>
      </w:pPr>
      <w:r>
        <w:rPr>
          <w:rFonts w:hint="eastAsia"/>
          <w:color w:val="auto"/>
          <w:highlight w:val="none"/>
          <w:lang w:val="en-US" w:eastAsia="zh-CN"/>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35B21AEF">
      <w:pPr>
        <w:pStyle w:val="4"/>
        <w:bidi w:val="0"/>
        <w:rPr>
          <w:rFonts w:hint="eastAsia"/>
          <w:color w:val="auto"/>
          <w:highlight w:val="none"/>
          <w:lang w:val="en-US" w:eastAsia="zh-CN"/>
        </w:rPr>
      </w:pPr>
      <w:bookmarkStart w:id="448" w:name="_Toc15445"/>
      <w:bookmarkStart w:id="449" w:name="_Toc11245"/>
      <w:r>
        <w:rPr>
          <w:rFonts w:hint="eastAsia"/>
          <w:color w:val="auto"/>
          <w:highlight w:val="none"/>
        </w:rPr>
        <w:t>3.3 投标文件的澄清</w:t>
      </w:r>
      <w:bookmarkEnd w:id="448"/>
      <w:r>
        <w:rPr>
          <w:rFonts w:hint="eastAsia"/>
          <w:color w:val="auto"/>
          <w:highlight w:val="none"/>
          <w:lang w:val="en-US" w:eastAsia="zh-CN"/>
        </w:rPr>
        <w:t>和补正</w:t>
      </w:r>
      <w:bookmarkEnd w:id="449"/>
    </w:p>
    <w:p w14:paraId="7BA18902">
      <w:pPr>
        <w:bidi w:val="0"/>
        <w:rPr>
          <w:rFonts w:hint="eastAsia"/>
          <w:color w:val="auto"/>
          <w:highlight w:val="none"/>
        </w:rPr>
      </w:pPr>
      <w:r>
        <w:rPr>
          <w:rFonts w:hint="eastAsia"/>
          <w:color w:val="auto"/>
          <w:highlight w:val="none"/>
        </w:rPr>
        <w:t>3.3.1在评标过程中，评标委员会可以书面形式要求投标人对所提交投标文件中不明确的内容进行书面澄清或说明，或者对细微偏差进行补正。评标委员会不接受投标人主动提出的澄清、说明或补正。</w:t>
      </w:r>
    </w:p>
    <w:p w14:paraId="11F63368">
      <w:pPr>
        <w:bidi w:val="0"/>
        <w:rPr>
          <w:rFonts w:hint="eastAsia"/>
          <w:color w:val="auto"/>
          <w:highlight w:val="none"/>
        </w:rPr>
      </w:pPr>
      <w:r>
        <w:rPr>
          <w:rFonts w:hint="eastAsia"/>
          <w:color w:val="auto"/>
          <w:highlight w:val="none"/>
        </w:rPr>
        <w:t>3.3.2 澄清、说明和补正不得改变投标文件的实质性内容。投标人的书面澄清、说明和补正属于投标文件的组成部分。</w:t>
      </w:r>
    </w:p>
    <w:p w14:paraId="6234C44A">
      <w:pPr>
        <w:bidi w:val="0"/>
        <w:rPr>
          <w:rFonts w:hint="eastAsia"/>
          <w:color w:val="auto"/>
          <w:highlight w:val="none"/>
        </w:rPr>
      </w:pPr>
      <w:r>
        <w:rPr>
          <w:rFonts w:hint="eastAsia"/>
          <w:color w:val="auto"/>
          <w:highlight w:val="none"/>
        </w:rPr>
        <w:t>3.3.3 评标委员会对投标人提交的澄清、说明或补正有疑问的，可以要求投标人进一步澄清、说明或补正，直至满足评标委员会的要求。</w:t>
      </w:r>
    </w:p>
    <w:p w14:paraId="27A4E1FC">
      <w:pPr>
        <w:pStyle w:val="4"/>
        <w:bidi w:val="0"/>
        <w:rPr>
          <w:rFonts w:hint="eastAsia"/>
          <w:color w:val="auto"/>
          <w:highlight w:val="none"/>
        </w:rPr>
      </w:pPr>
      <w:bookmarkStart w:id="450" w:name="_Toc224103392"/>
      <w:bookmarkStart w:id="451" w:name="_Toc200513206"/>
      <w:bookmarkStart w:id="452" w:name="_Toc287607820"/>
      <w:bookmarkStart w:id="453" w:name="_Toc24932"/>
      <w:bookmarkStart w:id="454" w:name="_Toc19558"/>
      <w:bookmarkStart w:id="455" w:name="_Toc509218784"/>
      <w:bookmarkStart w:id="456" w:name="_Toc33106460"/>
      <w:bookmarkStart w:id="457" w:name="_Toc430530508"/>
      <w:bookmarkStart w:id="458" w:name="_Toc277082626"/>
      <w:bookmarkStart w:id="459" w:name="_Toc57795937"/>
      <w:bookmarkStart w:id="460" w:name="_Toc28455"/>
      <w:bookmarkStart w:id="461" w:name="_Toc287620759"/>
      <w:r>
        <w:rPr>
          <w:rFonts w:hint="eastAsia"/>
          <w:color w:val="auto"/>
          <w:highlight w:val="none"/>
        </w:rPr>
        <w:t>3.4 评标结果</w:t>
      </w:r>
      <w:bookmarkEnd w:id="450"/>
      <w:bookmarkEnd w:id="451"/>
      <w:bookmarkEnd w:id="452"/>
      <w:bookmarkEnd w:id="453"/>
      <w:bookmarkEnd w:id="454"/>
      <w:bookmarkEnd w:id="455"/>
      <w:bookmarkEnd w:id="456"/>
      <w:bookmarkEnd w:id="457"/>
      <w:bookmarkEnd w:id="458"/>
      <w:bookmarkEnd w:id="459"/>
      <w:bookmarkEnd w:id="460"/>
      <w:bookmarkEnd w:id="461"/>
    </w:p>
    <w:p w14:paraId="76344C4F">
      <w:pPr>
        <w:bidi w:val="0"/>
        <w:rPr>
          <w:rFonts w:hint="eastAsia"/>
          <w:color w:val="auto"/>
          <w:highlight w:val="none"/>
          <w:lang w:val="en-US" w:eastAsia="zh-CN"/>
        </w:rPr>
      </w:pPr>
      <w:r>
        <w:rPr>
          <w:rFonts w:hint="eastAsia"/>
          <w:color w:val="auto"/>
          <w:highlight w:val="none"/>
          <w:lang w:val="en-US" w:eastAsia="zh-CN"/>
        </w:rPr>
        <w:t>3.4.1  除第二章“投标人须知”前附表授权直接确定中标人外，评标委员会按照得分由高到低的顺序推荐中标候选人。</w:t>
      </w:r>
    </w:p>
    <w:p w14:paraId="216509BD">
      <w:pPr>
        <w:bidi w:val="0"/>
        <w:rPr>
          <w:rFonts w:hint="eastAsia"/>
          <w:color w:val="auto"/>
          <w:highlight w:val="none"/>
          <w:lang w:val="en-US" w:eastAsia="zh-CN"/>
        </w:rPr>
      </w:pPr>
      <w:r>
        <w:rPr>
          <w:rFonts w:hint="eastAsia"/>
          <w:color w:val="auto"/>
          <w:highlight w:val="none"/>
          <w:lang w:val="en-US" w:eastAsia="zh-CN"/>
        </w:rPr>
        <w:t>3.4.2  评标委员会完成评标后，应当向招标人提交书面评标报告。</w:t>
      </w:r>
    </w:p>
    <w:p w14:paraId="53D9B9F3">
      <w:pPr>
        <w:widowControl/>
        <w:kinsoku/>
        <w:autoSpaceDE/>
        <w:autoSpaceDN/>
        <w:adjustRightInd/>
        <w:snapToGrid/>
        <w:spacing w:line="360" w:lineRule="auto"/>
        <w:ind w:firstLine="0" w:firstLineChars="0"/>
        <w:jc w:val="left"/>
        <w:textAlignment w:val="auto"/>
        <w:rPr>
          <w:rFonts w:hint="eastAsia" w:ascii="宋体" w:hAnsi="宋体" w:eastAsia="宋体" w:cs="宋体"/>
          <w:snapToGrid/>
          <w:color w:val="auto"/>
          <w:kern w:val="0"/>
          <w:szCs w:val="21"/>
          <w:highlight w:val="none"/>
          <w:lang w:val="en-US" w:eastAsia="zh-CN" w:bidi="ar-SA"/>
        </w:rPr>
      </w:pPr>
      <w:r>
        <w:rPr>
          <w:rFonts w:hint="eastAsia" w:ascii="宋体" w:hAnsi="宋体" w:eastAsia="宋体" w:cs="宋体"/>
          <w:snapToGrid/>
          <w:color w:val="auto"/>
          <w:kern w:val="0"/>
          <w:szCs w:val="21"/>
          <w:highlight w:val="none"/>
          <w:lang w:val="en-US" w:eastAsia="zh-CN" w:bidi="ar-SA"/>
        </w:rPr>
        <w:br w:type="page"/>
      </w:r>
    </w:p>
    <w:bookmarkEnd w:id="351"/>
    <w:bookmarkEnd w:id="352"/>
    <w:bookmarkEnd w:id="353"/>
    <w:bookmarkEnd w:id="354"/>
    <w:bookmarkEnd w:id="355"/>
    <w:bookmarkEnd w:id="367"/>
    <w:p w14:paraId="26749F85">
      <w:pPr>
        <w:pStyle w:val="2"/>
        <w:bidi w:val="0"/>
        <w:rPr>
          <w:rFonts w:hint="eastAsia"/>
          <w:color w:val="auto"/>
          <w:highlight w:val="none"/>
        </w:rPr>
      </w:pPr>
      <w:bookmarkStart w:id="462" w:name="_Toc509218785"/>
      <w:bookmarkStart w:id="463" w:name="_Toc12914"/>
      <w:bookmarkStart w:id="464" w:name="_Toc430530509"/>
      <w:bookmarkStart w:id="465" w:name="_Toc16400"/>
      <w:bookmarkStart w:id="466" w:name="_Toc57820636"/>
      <w:bookmarkStart w:id="467" w:name="_Toc530"/>
      <w:bookmarkStart w:id="468" w:name="_Toc2246"/>
      <w:bookmarkStart w:id="469" w:name="_Toc27514"/>
      <w:bookmarkStart w:id="470" w:name="_Toc27436"/>
      <w:bookmarkStart w:id="471" w:name="_Toc12225"/>
      <w:bookmarkStart w:id="472" w:name="_Toc3625"/>
      <w:r>
        <w:rPr>
          <w:rFonts w:hint="eastAsia"/>
          <w:color w:val="auto"/>
          <w:highlight w:val="none"/>
          <w:lang w:val="en-US" w:eastAsia="zh-CN"/>
        </w:rPr>
        <w:t>第四章</w:t>
      </w:r>
      <w:r>
        <w:rPr>
          <w:rFonts w:hint="eastAsia"/>
          <w:color w:val="auto"/>
          <w:highlight w:val="none"/>
        </w:rPr>
        <w:t xml:space="preserve"> 合同条款及格式</w:t>
      </w:r>
      <w:bookmarkEnd w:id="462"/>
      <w:bookmarkEnd w:id="463"/>
      <w:bookmarkEnd w:id="464"/>
      <w:bookmarkEnd w:id="465"/>
      <w:bookmarkEnd w:id="466"/>
      <w:bookmarkEnd w:id="467"/>
      <w:bookmarkEnd w:id="468"/>
      <w:bookmarkEnd w:id="469"/>
      <w:bookmarkEnd w:id="470"/>
    </w:p>
    <w:p w14:paraId="1DDA2331">
      <w:pPr>
        <w:bidi w:val="0"/>
        <w:ind w:left="0" w:right="0" w:firstLine="0" w:firstLineChars="0"/>
        <w:jc w:val="center"/>
        <w:outlineLvl w:val="9"/>
        <w:rPr>
          <w:color w:val="auto"/>
          <w:highlight w:val="none"/>
          <w:lang w:val="en-US" w:eastAsia="zh-CN"/>
        </w:rPr>
      </w:pPr>
      <w:r>
        <w:rPr>
          <w:rFonts w:hint="eastAsia"/>
          <w:color w:val="auto"/>
          <w:highlight w:val="none"/>
          <w:lang w:val="en-US" w:eastAsia="zh-CN"/>
        </w:rPr>
        <w:t>[提示：由招标人自行编制]</w:t>
      </w:r>
    </w:p>
    <w:p w14:paraId="5AC0409D">
      <w:pPr>
        <w:keepNext w:val="0"/>
        <w:keepLines w:val="0"/>
        <w:pageBreakBefore w:val="0"/>
        <w:widowControl w:val="0"/>
        <w:kinsoku/>
        <w:wordWrap/>
        <w:overflowPunct/>
        <w:topLinePunct w:val="0"/>
        <w:autoSpaceDE w:val="0"/>
        <w:autoSpaceDN w:val="0"/>
        <w:bidi w:val="0"/>
        <w:adjustRightInd/>
        <w:snapToGrid/>
        <w:ind w:left="0" w:right="0"/>
        <w:jc w:val="center"/>
        <w:textAlignment w:val="auto"/>
        <w:outlineLvl w:val="9"/>
        <w:rPr>
          <w:rFonts w:hint="eastAsia"/>
          <w:color w:val="auto"/>
          <w:highlight w:val="none"/>
          <w:lang w:val="en-US" w:eastAsia="zh-CN"/>
        </w:rPr>
      </w:pPr>
      <w:r>
        <w:rPr>
          <w:rFonts w:hint="eastAsia"/>
          <w:color w:val="auto"/>
          <w:highlight w:val="none"/>
          <w:lang w:val="en-US" w:eastAsia="zh-CN"/>
        </w:rPr>
        <w:t>（本章节的合同条款及格式仅供参考，具体以合同签订时为准）</w:t>
      </w:r>
    </w:p>
    <w:p w14:paraId="57AC6095">
      <w:pPr>
        <w:outlineLvl w:val="9"/>
        <w:rPr>
          <w:rFonts w:hint="eastAsia"/>
          <w:color w:val="auto"/>
          <w:highlight w:val="none"/>
        </w:rPr>
      </w:pPr>
    </w:p>
    <w:p w14:paraId="29557C73">
      <w:pPr>
        <w:autoSpaceDE/>
        <w:autoSpaceDN/>
        <w:spacing w:line="240" w:lineRule="auto"/>
        <w:ind w:firstLine="0" w:firstLineChars="0"/>
        <w:jc w:val="center"/>
        <w:outlineLvl w:val="9"/>
        <w:rPr>
          <w:rFonts w:hint="eastAsia" w:ascii="仿宋_GB2312" w:hAnsi="Calibri" w:eastAsia="仿宋_GB2312" w:cs="Calibri"/>
          <w:b/>
          <w:color w:val="auto"/>
          <w:sz w:val="32"/>
          <w:szCs w:val="32"/>
          <w:highlight w:val="none"/>
        </w:rPr>
      </w:pPr>
      <w:r>
        <w:rPr>
          <w:rFonts w:hint="eastAsia" w:ascii="仿宋_GB2312" w:hAnsi="Calibri" w:eastAsia="仿宋_GB2312" w:cs="Calibri"/>
          <w:b/>
          <w:color w:val="auto"/>
          <w:sz w:val="32"/>
          <w:szCs w:val="32"/>
          <w:highlight w:val="none"/>
        </w:rPr>
        <w:t>重庆三峡银行存取款一体机采购合同</w:t>
      </w:r>
    </w:p>
    <w:p w14:paraId="3238682F">
      <w:pPr>
        <w:bidi w:val="0"/>
        <w:rPr>
          <w:rFonts w:hint="eastAsia"/>
        </w:rPr>
      </w:pPr>
      <w:r>
        <w:rPr>
          <w:rFonts w:hint="eastAsia"/>
        </w:rPr>
        <w:t xml:space="preserve">                          </w:t>
      </w:r>
      <w:r>
        <w:rPr>
          <w:rFonts w:hint="eastAsia"/>
          <w:lang w:val="en-US" w:eastAsia="zh-CN"/>
        </w:rPr>
        <w:t xml:space="preserve">                 </w:t>
      </w:r>
      <w:r>
        <w:rPr>
          <w:rFonts w:hint="eastAsia"/>
        </w:rPr>
        <w:t xml:space="preserve">      合同编号：</w:t>
      </w:r>
    </w:p>
    <w:p w14:paraId="635DD9FF">
      <w:pPr>
        <w:bidi w:val="0"/>
        <w:rPr>
          <w:rFonts w:hint="eastAsia"/>
        </w:rPr>
      </w:pPr>
    </w:p>
    <w:p w14:paraId="4A0FFB23">
      <w:pPr>
        <w:bidi w:val="0"/>
        <w:rPr>
          <w:rFonts w:hint="eastAsia"/>
        </w:rPr>
      </w:pPr>
      <w:r>
        <w:rPr>
          <w:rFonts w:hint="eastAsia"/>
        </w:rPr>
        <w:t>甲方：重庆三峡银行股份有限公司</w:t>
      </w:r>
    </w:p>
    <w:p w14:paraId="7AD662F3">
      <w:pPr>
        <w:bidi w:val="0"/>
        <w:rPr>
          <w:rFonts w:hint="eastAsia"/>
        </w:rPr>
      </w:pPr>
      <w:r>
        <w:rPr>
          <w:rFonts w:hint="eastAsia"/>
        </w:rPr>
        <w:t>电话：023-88890080                        传真：023-88890094</w:t>
      </w:r>
    </w:p>
    <w:p w14:paraId="1257499F">
      <w:pPr>
        <w:bidi w:val="0"/>
        <w:rPr>
          <w:rFonts w:hint="eastAsia"/>
        </w:rPr>
      </w:pPr>
      <w:r>
        <w:rPr>
          <w:rFonts w:hint="eastAsia"/>
        </w:rPr>
        <w:t>地址：重庆市江北区汇川门路99号</w:t>
      </w:r>
    </w:p>
    <w:p w14:paraId="6524A0B5">
      <w:pPr>
        <w:bidi w:val="0"/>
        <w:rPr>
          <w:rFonts w:hint="eastAsia"/>
        </w:rPr>
      </w:pPr>
    </w:p>
    <w:p w14:paraId="270395A3">
      <w:pPr>
        <w:bidi w:val="0"/>
        <w:rPr>
          <w:rFonts w:hint="eastAsia"/>
        </w:rPr>
      </w:pPr>
      <w:r>
        <w:rPr>
          <w:rFonts w:hint="eastAsia"/>
        </w:rPr>
        <w:t xml:space="preserve">乙方：                            （以下简称乙方） </w:t>
      </w:r>
    </w:p>
    <w:p w14:paraId="6A215D1A">
      <w:pPr>
        <w:bidi w:val="0"/>
        <w:rPr>
          <w:rFonts w:hint="eastAsia"/>
        </w:rPr>
      </w:pPr>
      <w:r>
        <w:rPr>
          <w:rFonts w:hint="eastAsia"/>
        </w:rPr>
        <w:t>电话：                               传真：</w:t>
      </w:r>
    </w:p>
    <w:p w14:paraId="73F43416">
      <w:pPr>
        <w:bidi w:val="0"/>
        <w:rPr>
          <w:rFonts w:hint="eastAsia"/>
        </w:rPr>
      </w:pPr>
      <w:r>
        <w:rPr>
          <w:rFonts w:hint="eastAsia"/>
        </w:rPr>
        <w:t>地址：</w:t>
      </w:r>
    </w:p>
    <w:p w14:paraId="17B904B0">
      <w:pPr>
        <w:autoSpaceDE/>
        <w:autoSpaceDN/>
        <w:spacing w:line="240" w:lineRule="auto"/>
        <w:ind w:firstLine="0" w:firstLineChars="0"/>
        <w:outlineLvl w:val="9"/>
        <w:rPr>
          <w:rFonts w:hint="eastAsia" w:ascii="仿宋_GB2312" w:hAnsi="Calibri" w:eastAsia="仿宋_GB2312" w:cs="Calibri"/>
          <w:color w:val="auto"/>
          <w:sz w:val="28"/>
          <w:szCs w:val="28"/>
          <w:highlight w:val="none"/>
        </w:rPr>
      </w:pPr>
    </w:p>
    <w:p w14:paraId="6AF9BF78">
      <w:pPr>
        <w:bidi w:val="0"/>
        <w:rPr>
          <w:rFonts w:hint="eastAsia"/>
        </w:rPr>
      </w:pPr>
      <w:r>
        <w:rPr>
          <w:rFonts w:hint="eastAsia"/>
        </w:rPr>
        <w:t>甲、乙双方本着平等自愿、互惠互利、共同发展的原则，经友好协商，并在国家法律法规和行业政策允许的范围内就存取款一体机合作项目达成如下协议：</w:t>
      </w:r>
    </w:p>
    <w:p w14:paraId="06D8BDEB">
      <w:pPr>
        <w:pStyle w:val="48"/>
        <w:bidi w:val="0"/>
        <w:rPr>
          <w:rFonts w:hint="eastAsia"/>
        </w:rPr>
      </w:pPr>
      <w:r>
        <w:rPr>
          <w:rFonts w:hint="eastAsia"/>
        </w:rPr>
        <w:t>第一条  合作内容</w:t>
      </w:r>
    </w:p>
    <w:p w14:paraId="1FF46754">
      <w:pPr>
        <w:bidi w:val="0"/>
        <w:rPr>
          <w:rFonts w:hint="eastAsia"/>
        </w:rPr>
      </w:pPr>
      <w:r>
        <w:rPr>
          <w:rFonts w:hint="eastAsia"/>
        </w:rPr>
        <w:t>（一）甲方根据自身业务发展需要，确定存取款一体机采购批次、数量及供货时间。</w:t>
      </w:r>
    </w:p>
    <w:p w14:paraId="76034C6B">
      <w:pPr>
        <w:bidi w:val="0"/>
        <w:rPr>
          <w:rFonts w:hint="eastAsia"/>
        </w:rPr>
      </w:pPr>
      <w:r>
        <w:rPr>
          <w:rFonts w:hint="eastAsia"/>
        </w:rPr>
        <w:t>（二）合作期间，若单台存取一体款机的价格上浮的，仍按本合同约定价格执行，甲方无需支付上浮部分价格；单台存取款一体机的价格下浮动超过5%（含）的，甲方可向乙方提出议价需求，并以议价结果作为采购依据，签订补充协议。</w:t>
      </w:r>
    </w:p>
    <w:p w14:paraId="100699EE">
      <w:pPr>
        <w:bidi w:val="0"/>
        <w:rPr>
          <w:rFonts w:hint="eastAsia"/>
        </w:rPr>
      </w:pPr>
      <w:r>
        <w:rPr>
          <w:rFonts w:hint="eastAsia"/>
        </w:rPr>
        <w:t>（三）本项目中甲方向乙方所采购的所有存取款一体机乙方均需参与后期设备维护，维护期自设备正式对外使用之日（设备正式对外使用之日以甲方验收通过后书面确认的时间为准）起满6年为维护期，维护期内乙方需无条件向甲方提供长期有效的技术支持，配合甲方解决设备运行过程中遇到的技术性问题。维护期满后，甲方若需乙方继续进行维护工作，由双方另行约定。</w:t>
      </w:r>
    </w:p>
    <w:p w14:paraId="1893053C">
      <w:pPr>
        <w:bidi w:val="0"/>
        <w:rPr>
          <w:rFonts w:hint="eastAsia"/>
        </w:rPr>
      </w:pPr>
      <w:r>
        <w:rPr>
          <w:rFonts w:hint="eastAsia"/>
        </w:rPr>
        <w:t>（四）乙方对甲方采购机型进行维护（详见附件三），包括但不限于：设备日常保养、软硬件升级、故障模块更换等。并满足甲方业务需求及监管部门相关要求作出的任何升级改造。</w:t>
      </w:r>
    </w:p>
    <w:p w14:paraId="56BE9BF4">
      <w:pPr>
        <w:bidi w:val="0"/>
        <w:rPr>
          <w:rFonts w:hint="eastAsia"/>
        </w:rPr>
      </w:pPr>
      <w:r>
        <w:rPr>
          <w:rFonts w:hint="eastAsia"/>
        </w:rPr>
        <w:t>（五）乙方向甲方出售存取款一体机</w:t>
      </w:r>
      <w:r>
        <w:t>（动态密码锁）</w:t>
      </w:r>
      <w:r>
        <w:rPr>
          <w:rFonts w:hint="eastAsia"/>
        </w:rPr>
        <w:t>，型号为：       ,设备每台单价价格为含税价     元</w:t>
      </w:r>
      <w:r>
        <w:t>；</w:t>
      </w:r>
      <w:r>
        <w:rPr>
          <w:rFonts w:hint="eastAsia"/>
        </w:rPr>
        <w:t>乙方向甲方出售的存取款一体机需包含《设备配置清单》（附件一）列出所有功能模块和设备部件，具体设备采购数量以甲方出具的《重庆三峡银行自助设备发货通知书》（附件二）为准。若甲方需另行采购附件一所列设备配置，价格按照附件一执行（零整比不高于设备价格的30%）。</w:t>
      </w:r>
    </w:p>
    <w:p w14:paraId="47BA5DDE">
      <w:pPr>
        <w:bidi w:val="0"/>
        <w:rPr>
          <w:rFonts w:hint="eastAsia"/>
        </w:rPr>
      </w:pPr>
      <w:r>
        <w:rPr>
          <w:rFonts w:hint="eastAsia"/>
        </w:rPr>
        <w:t>（六）乙方向甲方出售存折打印机（选配功能），型号为：     ，其每台存折打印机含税单价为：    元</w:t>
      </w:r>
      <w:r>
        <w:t>；</w:t>
      </w:r>
      <w:r>
        <w:rPr>
          <w:rFonts w:hint="eastAsia"/>
        </w:rPr>
        <w:t>乙方向甲方出售</w:t>
      </w:r>
      <w:r>
        <w:t>动态密码锁</w:t>
      </w:r>
      <w:r>
        <w:rPr>
          <w:rFonts w:hint="eastAsia"/>
        </w:rPr>
        <w:t>（选配功能），型号为：</w:t>
      </w:r>
      <w:r>
        <w:t xml:space="preserve">   </w:t>
      </w:r>
      <w:r>
        <w:rPr>
          <w:rFonts w:hint="eastAsia"/>
        </w:rPr>
        <w:t xml:space="preserve"> ，其每</w:t>
      </w:r>
      <w:r>
        <w:t>把动态密码锁</w:t>
      </w:r>
      <w:r>
        <w:rPr>
          <w:rFonts w:hint="eastAsia"/>
        </w:rPr>
        <w:t>含税单价为：        元</w:t>
      </w:r>
      <w:r>
        <w:t>；</w:t>
      </w:r>
      <w:r>
        <w:rPr>
          <w:rFonts w:hint="eastAsia"/>
        </w:rPr>
        <w:t>乙方向甲方出售存取款一体机循环钞箱含税单价为：    元。</w:t>
      </w:r>
    </w:p>
    <w:p w14:paraId="731189AE">
      <w:pPr>
        <w:bidi w:val="0"/>
        <w:rPr>
          <w:rFonts w:hint="eastAsia"/>
        </w:rPr>
      </w:pPr>
      <w:r>
        <w:rPr>
          <w:rFonts w:hint="eastAsia"/>
        </w:rPr>
        <w:t>（</w:t>
      </w:r>
      <w:r>
        <w:t>七</w:t>
      </w:r>
      <w:r>
        <w:rPr>
          <w:rFonts w:hint="eastAsia"/>
        </w:rPr>
        <w:t>）甲、乙双方在签订本合同的同时需签订《重庆三峡银行存取款一体机技术服务协议》作为本合同不可分割之部分（附件三）。</w:t>
      </w:r>
    </w:p>
    <w:p w14:paraId="64DC2A41">
      <w:pPr>
        <w:bidi w:val="0"/>
      </w:pPr>
      <w:r>
        <w:t>（八）甲方承诺签订本合同后将最少采购乙方50把动态密码锁（含整机和单把锁具）。</w:t>
      </w:r>
    </w:p>
    <w:p w14:paraId="51BC4563">
      <w:pPr>
        <w:bidi w:val="0"/>
        <w:rPr>
          <w:rFonts w:hint="eastAsia"/>
        </w:rPr>
      </w:pPr>
      <w:r>
        <w:rPr>
          <w:rFonts w:hint="eastAsia"/>
        </w:rPr>
        <w:t>（</w:t>
      </w:r>
      <w:r>
        <w:t>九</w:t>
      </w:r>
      <w:r>
        <w:rPr>
          <w:rFonts w:hint="eastAsia"/>
        </w:rPr>
        <w:t>）甲方按自身需要向乙方提出送货要求，甲方在本合同项下没有必须向乙方订货的义务，双方按实际交付的货物数量结算。如果甲方在本合同有效期内没有向乙方提出送货的要求，本合同自行终止，乙方无权要求甲方承担违约责任，甲方无需向乙方支付任何费用。</w:t>
      </w:r>
    </w:p>
    <w:p w14:paraId="11D743D9">
      <w:pPr>
        <w:pStyle w:val="48"/>
        <w:bidi w:val="0"/>
        <w:rPr>
          <w:rFonts w:hint="eastAsia"/>
        </w:rPr>
      </w:pPr>
      <w:r>
        <w:rPr>
          <w:rFonts w:hint="eastAsia"/>
        </w:rPr>
        <w:t>第二条  付款方式</w:t>
      </w:r>
    </w:p>
    <w:p w14:paraId="32F2299E">
      <w:pPr>
        <w:bidi w:val="0"/>
      </w:pPr>
      <w:r>
        <w:t>（一）</w:t>
      </w:r>
      <w:r>
        <w:rPr>
          <w:rFonts w:hint="eastAsia"/>
        </w:rPr>
        <w:t>本合同中的一切价款、费用、金额等均以人民币进行结算、支付；</w:t>
      </w:r>
    </w:p>
    <w:p w14:paraId="5199A2AB">
      <w:pPr>
        <w:bidi w:val="0"/>
        <w:rPr>
          <w:rFonts w:hint="eastAsia"/>
        </w:rPr>
      </w:pPr>
      <w:r>
        <w:rPr>
          <w:rFonts w:hint="eastAsia"/>
        </w:rPr>
        <w:t>（二）</w:t>
      </w:r>
      <w:r>
        <w:t>甲乙双方签订采购合同后，乙方须在合同签订之日起10日内向甲方缴纳10万元质保金，</w:t>
      </w:r>
      <w:r>
        <w:rPr>
          <w:rFonts w:hint="eastAsia"/>
        </w:rPr>
        <w:t>待该合同最后采购的一台设备使用满6年</w:t>
      </w:r>
      <w:r>
        <w:t>，设备</w:t>
      </w:r>
      <w:r>
        <w:rPr>
          <w:rFonts w:hint="eastAsia"/>
        </w:rPr>
        <w:t>无重大故障，且</w:t>
      </w:r>
      <w:r>
        <w:t>乙</w:t>
      </w:r>
      <w:r>
        <w:rPr>
          <w:rFonts w:hint="eastAsia"/>
        </w:rPr>
        <w:t>方不存在任何违约行为的情况下，</w:t>
      </w:r>
      <w:r>
        <w:t>甲</w:t>
      </w:r>
      <w:r>
        <w:rPr>
          <w:rFonts w:hint="eastAsia"/>
        </w:rPr>
        <w:t>方向</w:t>
      </w:r>
      <w:r>
        <w:t>乙</w:t>
      </w:r>
      <w:r>
        <w:rPr>
          <w:rFonts w:hint="eastAsia"/>
        </w:rPr>
        <w:t>方无息返还质保金。</w:t>
      </w:r>
    </w:p>
    <w:p w14:paraId="4A5ED804">
      <w:pPr>
        <w:bidi w:val="0"/>
        <w:rPr>
          <w:rFonts w:hint="eastAsia"/>
        </w:rPr>
      </w:pPr>
      <w:r>
        <w:rPr>
          <w:rFonts w:hint="eastAsia"/>
        </w:rPr>
        <w:t>（</w:t>
      </w:r>
      <w:r>
        <w:t>三</w:t>
      </w:r>
      <w:r>
        <w:rPr>
          <w:rFonts w:hint="eastAsia"/>
        </w:rPr>
        <w:t>）本合同中乙方存取款一体机安装到甲方指定位置投入正常使用并经甲方验收通过后，次月由乙方向甲方提交对账单，双方核对采购的设备数目无误后，乙方向甲方出具存取款一体机采购发票（设备采购款项：13%的增值税专用发票），甲方收到乙方发票后30日内将设备采购款项通过转账形式划到乙方指定的乙方银行账户;</w:t>
      </w:r>
    </w:p>
    <w:p w14:paraId="64380C64">
      <w:pPr>
        <w:bidi w:val="0"/>
        <w:rPr>
          <w:rFonts w:hint="eastAsia"/>
        </w:rPr>
      </w:pPr>
      <w:r>
        <w:rPr>
          <w:rFonts w:hint="eastAsia"/>
        </w:rPr>
        <w:t>（</w:t>
      </w:r>
      <w:r>
        <w:t>四</w:t>
      </w:r>
      <w:r>
        <w:rPr>
          <w:rFonts w:hint="eastAsia"/>
        </w:rPr>
        <w:t>）若本合同提前终止的，甲方将不再支付剩余的维护费用，包括合同终止时未满整年的情况，该年的维护费用亦不予支付；</w:t>
      </w:r>
    </w:p>
    <w:p w14:paraId="6DF46F71">
      <w:pPr>
        <w:bidi w:val="0"/>
        <w:rPr>
          <w:rFonts w:hint="eastAsia"/>
        </w:rPr>
      </w:pPr>
      <w:r>
        <w:rPr>
          <w:rFonts w:hint="eastAsia"/>
        </w:rPr>
        <w:t>（</w:t>
      </w:r>
      <w:r>
        <w:t>五</w:t>
      </w:r>
      <w:r>
        <w:rPr>
          <w:rFonts w:hint="eastAsia"/>
        </w:rPr>
        <w:t>）乙方指定的银行账户信息：</w:t>
      </w:r>
    </w:p>
    <w:p w14:paraId="36E0BACC">
      <w:pPr>
        <w:bidi w:val="0"/>
        <w:rPr>
          <w:rFonts w:hint="eastAsia"/>
        </w:rPr>
      </w:pPr>
      <w:r>
        <w:rPr>
          <w:rFonts w:hint="eastAsia"/>
        </w:rPr>
        <w:t>户  名：</w:t>
      </w:r>
    </w:p>
    <w:p w14:paraId="36A2D528">
      <w:pPr>
        <w:bidi w:val="0"/>
        <w:rPr>
          <w:rFonts w:hint="eastAsia"/>
        </w:rPr>
      </w:pPr>
      <w:r>
        <w:rPr>
          <w:rFonts w:hint="eastAsia"/>
        </w:rPr>
        <w:t>开户行：</w:t>
      </w:r>
    </w:p>
    <w:p w14:paraId="30200655">
      <w:pPr>
        <w:bidi w:val="0"/>
        <w:rPr>
          <w:rFonts w:hint="eastAsia"/>
        </w:rPr>
      </w:pPr>
      <w:r>
        <w:rPr>
          <w:rFonts w:hint="eastAsia"/>
        </w:rPr>
        <w:t>账  号：</w:t>
      </w:r>
    </w:p>
    <w:p w14:paraId="03E68B00">
      <w:pPr>
        <w:bidi w:val="0"/>
        <w:rPr>
          <w:rFonts w:hint="eastAsia"/>
        </w:rPr>
      </w:pPr>
      <w:r>
        <w:rPr>
          <w:rFonts w:hint="eastAsia"/>
        </w:rPr>
        <w:t>（</w:t>
      </w:r>
      <w:r>
        <w:t>六</w:t>
      </w:r>
      <w:r>
        <w:rPr>
          <w:rFonts w:hint="eastAsia"/>
        </w:rPr>
        <w:t>）在质保期内（维护期内），如乙方未按约定履行维护义务，甲方有权另行委托第三方进行维修（维护），由此产生的费用从质保金中扣除，不足部分由乙方按要求补足。</w:t>
      </w:r>
    </w:p>
    <w:p w14:paraId="6711D058">
      <w:pPr>
        <w:bidi w:val="0"/>
        <w:rPr>
          <w:rFonts w:hint="eastAsia"/>
        </w:rPr>
      </w:pPr>
      <w:r>
        <w:rPr>
          <w:rFonts w:hint="eastAsia"/>
        </w:rPr>
        <w:t>（</w:t>
      </w:r>
      <w:r>
        <w:t>七</w:t>
      </w:r>
      <w:r>
        <w:rPr>
          <w:rFonts w:hint="eastAsia"/>
        </w:rPr>
        <w:t>）本条约定的开具发票所涉及到的相应税费由乙方交纳。若乙方提供的发票不符合约定，甲方有权拒绝支付任何款项并不承担逾期付款违约责任。相关税费如遇国家税务政策调整，按调整后的国家税务政策开具增值税专用发票。</w:t>
      </w:r>
    </w:p>
    <w:p w14:paraId="7D0B50CB">
      <w:pPr>
        <w:pStyle w:val="48"/>
        <w:bidi w:val="0"/>
        <w:rPr>
          <w:rFonts w:hint="eastAsia"/>
        </w:rPr>
      </w:pPr>
      <w:r>
        <w:rPr>
          <w:rFonts w:hint="eastAsia"/>
        </w:rPr>
        <w:t>第三条  相关标准及违约责任</w:t>
      </w:r>
    </w:p>
    <w:p w14:paraId="3DDE1E61">
      <w:pPr>
        <w:bidi w:val="0"/>
        <w:rPr>
          <w:rFonts w:hint="eastAsia"/>
        </w:rPr>
      </w:pPr>
      <w:r>
        <w:rPr>
          <w:rFonts w:hint="eastAsia"/>
        </w:rPr>
        <w:t>（一）乙方在收到甲方出具的《重庆三峡银行自助设备发货通知书》后15日内将存取款一体机送达指定地址且按甲方要求和标准安装到位并通过甲方书面确认，其间发生的一切费用、风险由乙方承担。</w:t>
      </w:r>
    </w:p>
    <w:p w14:paraId="306C31C8">
      <w:pPr>
        <w:bidi w:val="0"/>
        <w:rPr>
          <w:rFonts w:hint="eastAsia"/>
        </w:rPr>
      </w:pPr>
      <w:r>
        <w:rPr>
          <w:rFonts w:hint="eastAsia"/>
        </w:rPr>
        <w:t>（二）乙方如未在甲方规定时间内将存取款一体机送达指定安装地点并安装到位时，甲方可拒绝签字确认，且每延迟一天，乙方须向甲方支付1000元违约金，同时甲方有权拒收该设备并更换其他品牌设备（因甲方临时变更设备安装地址除外），由此给甲方造成的损失，乙方应全额赔偿。延迟超过7日，甲方有权解除本合同。</w:t>
      </w:r>
    </w:p>
    <w:p w14:paraId="78F59BEA">
      <w:pPr>
        <w:bidi w:val="0"/>
        <w:rPr>
          <w:rFonts w:hint="eastAsia"/>
        </w:rPr>
      </w:pPr>
      <w:r>
        <w:rPr>
          <w:rFonts w:hint="eastAsia"/>
        </w:rPr>
        <w:t>（三）甲方验收存取款一体机时发现设备外观损毁、配件不全或其他严重质量问题时，甲方有权要求乙方一周内补齐配件或免费重新更换新设备。否则，甲方有权随时解除本合同，不予支付任何费用，且乙方应赔偿给甲方造成的所有损失。</w:t>
      </w:r>
    </w:p>
    <w:p w14:paraId="4E3C1385">
      <w:pPr>
        <w:bidi w:val="0"/>
        <w:rPr>
          <w:rFonts w:hint="eastAsia"/>
        </w:rPr>
      </w:pPr>
      <w:r>
        <w:rPr>
          <w:rFonts w:hint="eastAsia"/>
        </w:rPr>
        <w:t>（四）甲方取款机安装场地达不到安装要求时，由乙方在三日内提出整改意见，并指导甲方完成整改。</w:t>
      </w:r>
    </w:p>
    <w:p w14:paraId="2BB6D14E">
      <w:pPr>
        <w:bidi w:val="0"/>
        <w:rPr>
          <w:rFonts w:hint="eastAsia"/>
        </w:rPr>
      </w:pPr>
      <w:r>
        <w:rPr>
          <w:rFonts w:hint="eastAsia"/>
        </w:rPr>
        <w:t>（五）甲方对存取款一体机验收时需提前2天通知乙方做好相应准备工作，且验收过程中乙方工作人员必须到场全程参与。</w:t>
      </w:r>
    </w:p>
    <w:p w14:paraId="44378622">
      <w:pPr>
        <w:bidi w:val="0"/>
        <w:rPr>
          <w:rFonts w:hint="eastAsia"/>
        </w:rPr>
      </w:pPr>
      <w:r>
        <w:rPr>
          <w:rFonts w:hint="eastAsia"/>
        </w:rPr>
        <w:t>（六）因存取款一体机漏电、静电、感应电或设备自身原因导致的火灾等情况发生时，造成的财产损失或导致的人体不适、人身伤害、财产损失等安全事故，由乙方承担全部赔偿责任，同时乙方需承担甲方因此事件采取紧急应对措施所涉及到的全部费用。</w:t>
      </w:r>
    </w:p>
    <w:p w14:paraId="250ED8B4">
      <w:pPr>
        <w:bidi w:val="0"/>
        <w:rPr>
          <w:rFonts w:hint="eastAsia"/>
        </w:rPr>
      </w:pPr>
      <w:r>
        <w:rPr>
          <w:rFonts w:hint="eastAsia"/>
        </w:rPr>
        <w:t>（七）存取款一体机安装到位后由乙方对其设备进行加固处理：采用膨胀螺丝、专业加固卡等不易破坏的金属材质埋入地下，同时地面部位与设备的连接处需用电焊焊死，保证其不松动、不脱落、不易破坏，乙方未对设备进行加固或加固不牢时，甲方有权拒绝设备验收并要求乙方进行整改，直至达到相关安防标准,由此产生的费用由乙方承担。若整改后仍未通过甲方验收，甲方有权随时解除本合同，不予支付任何费用，且乙方应赔偿给甲方造成的所有损失。</w:t>
      </w:r>
    </w:p>
    <w:p w14:paraId="1CCF2B7F">
      <w:pPr>
        <w:bidi w:val="0"/>
        <w:rPr>
          <w:rFonts w:hint="eastAsia"/>
        </w:rPr>
      </w:pPr>
      <w:r>
        <w:rPr>
          <w:rFonts w:hint="eastAsia"/>
        </w:rPr>
        <w:t>（八）存取款一体机因自身原因或乙方原因造成吐钞异常或发生账务差错时，所造成的甲方损失由乙方全部承担。因甲方系统故障或甲方原因造成的自助设备吐钞异常或账务差错时，乙方不承担任何责任。如出现设备吐钞异常或账务差错责任不明的情况时，由乙方先行垫付相关差错金额。</w:t>
      </w:r>
    </w:p>
    <w:p w14:paraId="6A5B5832">
      <w:pPr>
        <w:bidi w:val="0"/>
        <w:rPr>
          <w:rFonts w:hint="eastAsia"/>
        </w:rPr>
      </w:pPr>
      <w:r>
        <w:rPr>
          <w:rFonts w:hint="eastAsia"/>
        </w:rPr>
        <w:t>（九）存取款一体机无论任何形式收取到假币、变造币等非法定正常流通币种时，乙方须立即按照1:1的比例对甲方进行赔付。同时，甲方需全力配合乙方进行相关取证工作。</w:t>
      </w:r>
    </w:p>
    <w:p w14:paraId="0585EEC5">
      <w:pPr>
        <w:bidi w:val="0"/>
      </w:pPr>
      <w:r>
        <w:rPr>
          <w:rFonts w:hint="eastAsia"/>
        </w:rPr>
        <w:t>（十）甲乙双方另行签订《重庆三峡银行存取款一体机技术服务协议》，界定存取款一体机服务范围、要求及标准等事项，该协议作为《重庆三峡银行存取款一体机采购合同》的重要组成部分，因乙方提供存取款一体机设计缺陷造成设备不能恢复正常运行或未达到《重庆三峡银行存取款一体机技术服务协议》中约定时，甲方有权要求乙方免费更换该型号的新设备或将设备直接退还乙方，乙方根据甲方固定资产剩余残值向甲方退还已付设备采购款项，同时甲方重新更换其他厂商设备，由此产生和涉及到的运费、设备安装拆除费、当年设备售后服务费（维护费用）等一切费用均由乙方承担，甲方不再支付任何费用。</w:t>
      </w:r>
    </w:p>
    <w:p w14:paraId="785E475B">
      <w:pPr>
        <w:pStyle w:val="48"/>
        <w:bidi w:val="0"/>
        <w:rPr>
          <w:rFonts w:hint="eastAsia"/>
        </w:rPr>
      </w:pPr>
      <w:r>
        <w:rPr>
          <w:rFonts w:hint="eastAsia"/>
        </w:rPr>
        <w:t>第四条  知识产权</w:t>
      </w:r>
    </w:p>
    <w:p w14:paraId="14DB1827">
      <w:pPr>
        <w:bidi w:val="0"/>
        <w:rPr>
          <w:rFonts w:hint="eastAsia"/>
        </w:rPr>
      </w:pPr>
      <w:r>
        <w:rPr>
          <w:rFonts w:hint="eastAsia"/>
        </w:rPr>
        <w:t>乙方依据本合同向甲方提供的任何产品（包括但不限于：设备硬件、设备软件、设备配件、设备本身等）和服务不存在侵犯任何其他方知识产权或专利权的情形；如甲方因此遭受任何第三方的起诉或索赔，乙方承诺主动与起诉方或索赔方进行交涉，为甲方的应诉或处理索赔事宜支付费用，支付甲方因败诉或被索赔应偿付的赔偿款，并对甲方由此造成的全部损失进行赔偿。</w:t>
      </w:r>
    </w:p>
    <w:p w14:paraId="2DF23A98">
      <w:pPr>
        <w:pStyle w:val="48"/>
        <w:bidi w:val="0"/>
        <w:rPr>
          <w:rFonts w:hint="eastAsia"/>
          <w:lang w:val="en-US" w:eastAsia="zh-CN"/>
        </w:rPr>
      </w:pPr>
      <w:r>
        <w:rPr>
          <w:rFonts w:hint="eastAsia"/>
          <w:lang w:val="en-US" w:eastAsia="zh-CN"/>
        </w:rPr>
        <w:t>第五条  争议解决方式</w:t>
      </w:r>
    </w:p>
    <w:p w14:paraId="44F7361E">
      <w:pPr>
        <w:bidi w:val="0"/>
        <w:rPr>
          <w:rFonts w:hint="eastAsia"/>
          <w:lang w:val="en-US" w:eastAsia="zh-CN"/>
        </w:rPr>
      </w:pPr>
      <w:r>
        <w:rPr>
          <w:rFonts w:hint="eastAsia"/>
          <w:lang w:val="en-US" w:eastAsia="zh-CN"/>
        </w:rPr>
        <w:t>（一）甲、乙双方在本合同的履行过程中发生争议时应本着友好协商、平等互利的原则协商解决；协商不成时任何一方均有权向本合同首部载明的甲方地址所在地有管辖权的人民法院提起诉讼；</w:t>
      </w:r>
    </w:p>
    <w:p w14:paraId="04E5833C">
      <w:pPr>
        <w:bidi w:val="0"/>
        <w:rPr>
          <w:rFonts w:hint="eastAsia"/>
          <w:lang w:val="en-US" w:eastAsia="zh-CN"/>
        </w:rPr>
      </w:pPr>
      <w:r>
        <w:rPr>
          <w:rFonts w:hint="eastAsia"/>
          <w:lang w:val="en-US" w:eastAsia="zh-CN"/>
        </w:rPr>
        <w:t>（二）诉讼期间双方应继续履行合同中没有争议部分的义务。</w:t>
      </w:r>
    </w:p>
    <w:p w14:paraId="19F3F3FF">
      <w:pPr>
        <w:pStyle w:val="48"/>
        <w:bidi w:val="0"/>
        <w:rPr>
          <w:rFonts w:hint="eastAsia"/>
          <w:lang w:val="en-US" w:eastAsia="zh-CN"/>
        </w:rPr>
      </w:pPr>
      <w:r>
        <w:rPr>
          <w:rFonts w:hint="eastAsia"/>
          <w:lang w:val="en-US" w:eastAsia="zh-CN"/>
        </w:rPr>
        <w:t>第六条 通知与送达</w:t>
      </w:r>
    </w:p>
    <w:p w14:paraId="709C03BB">
      <w:pPr>
        <w:bidi w:val="0"/>
        <w:rPr>
          <w:rFonts w:hint="eastAsia"/>
          <w:lang w:val="en-US" w:eastAsia="zh-CN"/>
        </w:rPr>
      </w:pPr>
      <w:r>
        <w:rPr>
          <w:rFonts w:hint="eastAsia"/>
          <w:lang w:val="en-US" w:eastAsia="zh-CN"/>
        </w:rPr>
        <w:t>除双方另有约定，本合同项下的所有通知均应通过书面形式，按本合同载明的住所/地址及联系方式进行，乙方地址、联系方式如有变动，应于10日内以书面形式通知甲方，甲方住所/地址、联系方式如有变动，应采用公告、网上银行、电话银行等方式通知乙方。否则，向本合同所载明的住所/地址和联系方式发送有关文件，均视为送达。</w:t>
      </w:r>
    </w:p>
    <w:p w14:paraId="0155A555">
      <w:pPr>
        <w:bidi w:val="0"/>
        <w:rPr>
          <w:rFonts w:hint="eastAsia"/>
          <w:lang w:val="en-US" w:eastAsia="zh-CN"/>
        </w:rPr>
      </w:pPr>
      <w:r>
        <w:rPr>
          <w:rFonts w:hint="eastAsia"/>
          <w:lang w:val="en-US" w:eastAsia="zh-CN"/>
        </w:rPr>
        <w:t>发生纠纷的，本合同所载明的住所/地址为司法送达地址，法院、仲裁机构等有权机关依照前述地址邮寄的传票、证据、通知、裁定、判决等诉讼（仲裁）文书及执行阶段法律文书资料，无论是否签收，均视为送达，当事人承担法律责任。</w:t>
      </w:r>
    </w:p>
    <w:p w14:paraId="4FF2E517">
      <w:pPr>
        <w:pStyle w:val="48"/>
        <w:bidi w:val="0"/>
        <w:rPr>
          <w:rFonts w:hint="eastAsia"/>
          <w:lang w:val="en-US" w:eastAsia="zh-CN"/>
        </w:rPr>
      </w:pPr>
      <w:r>
        <w:rPr>
          <w:rFonts w:hint="eastAsia"/>
          <w:lang w:val="en-US" w:eastAsia="zh-CN"/>
        </w:rPr>
        <w:t>第七条  其他</w:t>
      </w:r>
    </w:p>
    <w:p w14:paraId="415324E6">
      <w:pPr>
        <w:bidi w:val="0"/>
        <w:rPr>
          <w:rFonts w:hint="eastAsia"/>
        </w:rPr>
      </w:pPr>
      <w:r>
        <w:rPr>
          <w:rFonts w:hint="eastAsia"/>
        </w:rPr>
        <w:t>（一）除非本合同另有约定外，本合同中权利、义务所涉及到的内容均指在合作服务期内；</w:t>
      </w:r>
    </w:p>
    <w:p w14:paraId="50F20558">
      <w:pPr>
        <w:bidi w:val="0"/>
        <w:rPr>
          <w:rFonts w:hint="eastAsia"/>
        </w:rPr>
      </w:pPr>
      <w:r>
        <w:rPr>
          <w:rFonts w:hint="eastAsia"/>
        </w:rPr>
        <w:t>（二）本合同壹式陆份，甲、乙双方各执叁份，自双方加盖公章之日起正式生效，每份合同具有同等法律效力；</w:t>
      </w:r>
    </w:p>
    <w:p w14:paraId="49234AED">
      <w:pPr>
        <w:bidi w:val="0"/>
        <w:rPr>
          <w:rFonts w:hint="eastAsia"/>
        </w:rPr>
      </w:pPr>
      <w:r>
        <w:rPr>
          <w:rFonts w:hint="eastAsia"/>
        </w:rPr>
        <w:t>（三）未尽事宜双方协商解决，可另行签订补充合同和附件，经双方加盖公章后生效；</w:t>
      </w:r>
    </w:p>
    <w:p w14:paraId="07BCED2E">
      <w:pPr>
        <w:bidi w:val="0"/>
        <w:rPr>
          <w:rFonts w:hint="eastAsia"/>
        </w:rPr>
      </w:pPr>
      <w:r>
        <w:rPr>
          <w:rFonts w:hint="eastAsia"/>
        </w:rPr>
        <w:t>（四）甲方有权经提前通知乙方后随时解除或终止本合同；</w:t>
      </w:r>
    </w:p>
    <w:p w14:paraId="78A87607">
      <w:pPr>
        <w:bidi w:val="0"/>
        <w:rPr>
          <w:rFonts w:hint="eastAsia"/>
        </w:rPr>
      </w:pPr>
      <w:r>
        <w:rPr>
          <w:rFonts w:hint="eastAsia"/>
        </w:rPr>
        <w:t>（五）本合同于    年   月   日在重庆市签署，自签订之日起生效，有效期至    年   月   日。合同期满后，如双方无异议，合同自动顺延一年，但最长顺延年限不超过两年。</w:t>
      </w:r>
    </w:p>
    <w:p w14:paraId="1A434B46">
      <w:pPr>
        <w:bidi w:val="0"/>
        <w:rPr>
          <w:rFonts w:hint="eastAsia"/>
          <w:lang w:val="en-US" w:eastAsia="zh-CN"/>
        </w:rPr>
      </w:pPr>
      <w:r>
        <w:rPr>
          <w:rFonts w:hint="eastAsia"/>
          <w:lang w:val="en-US" w:eastAsia="zh-CN"/>
        </w:rPr>
        <w:t xml:space="preserve">附件一：《设备配置清单》 </w:t>
      </w:r>
    </w:p>
    <w:p w14:paraId="352298A5">
      <w:pPr>
        <w:bidi w:val="0"/>
        <w:rPr>
          <w:rFonts w:hint="eastAsia"/>
          <w:lang w:val="en-US" w:eastAsia="zh-CN"/>
        </w:rPr>
      </w:pPr>
      <w:r>
        <w:rPr>
          <w:rFonts w:hint="eastAsia"/>
          <w:lang w:val="en-US" w:eastAsia="zh-CN"/>
        </w:rPr>
        <w:t>附件二：《重庆三峡银行自助设备发货通知书》</w:t>
      </w:r>
    </w:p>
    <w:p w14:paraId="7010A680">
      <w:pPr>
        <w:bidi w:val="0"/>
        <w:rPr>
          <w:rFonts w:hint="eastAsia"/>
        </w:rPr>
      </w:pPr>
      <w:r>
        <w:rPr>
          <w:rFonts w:hint="eastAsia"/>
        </w:rPr>
        <w:t>附件三：《重庆三峡银行存取款一体机技术服务协议》</w:t>
      </w:r>
    </w:p>
    <w:p w14:paraId="585EC868">
      <w:pPr>
        <w:bidi w:val="0"/>
        <w:rPr>
          <w:rFonts w:hint="eastAsia"/>
        </w:rPr>
      </w:pPr>
    </w:p>
    <w:p w14:paraId="77AAC38D">
      <w:pPr>
        <w:bidi w:val="0"/>
        <w:rPr>
          <w:rFonts w:hint="eastAsia"/>
        </w:rPr>
      </w:pPr>
    </w:p>
    <w:p w14:paraId="63833D25">
      <w:pPr>
        <w:bidi w:val="0"/>
        <w:rPr>
          <w:rFonts w:hint="eastAsia"/>
        </w:rPr>
      </w:pPr>
      <w:r>
        <w:rPr>
          <w:rFonts w:hint="eastAsia"/>
        </w:rPr>
        <w:t>甲方（盖章）：                      乙方（盖章）：</w:t>
      </w:r>
    </w:p>
    <w:p w14:paraId="69971874">
      <w:pPr>
        <w:bidi w:val="0"/>
        <w:rPr>
          <w:rFonts w:hint="eastAsia"/>
        </w:rPr>
      </w:pPr>
      <w:r>
        <w:rPr>
          <w:rFonts w:hint="eastAsia"/>
        </w:rPr>
        <w:t xml:space="preserve">重庆三峡银行股份有限公司                                 </w:t>
      </w:r>
    </w:p>
    <w:p w14:paraId="27C203C4">
      <w:pPr>
        <w:bidi w:val="0"/>
        <w:rPr>
          <w:rFonts w:hint="eastAsia"/>
          <w:lang w:val="en-US" w:eastAsia="zh-CN"/>
        </w:rPr>
      </w:pPr>
    </w:p>
    <w:p w14:paraId="06F8652E">
      <w:pPr>
        <w:bidi w:val="0"/>
        <w:rPr>
          <w:rFonts w:hint="eastAsia"/>
          <w:lang w:val="en-US" w:eastAsia="zh-CN"/>
        </w:rPr>
      </w:pPr>
    </w:p>
    <w:p w14:paraId="19BE51A8">
      <w:pPr>
        <w:bidi w:val="0"/>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6144"/>
        </w:sectPr>
      </w:pPr>
    </w:p>
    <w:p w14:paraId="25A78734">
      <w:pPr>
        <w:pStyle w:val="48"/>
        <w:bidi w:val="0"/>
        <w:rPr>
          <w:rFonts w:hint="eastAsia"/>
          <w:lang w:val="en-US" w:eastAsia="zh-CN"/>
        </w:rPr>
      </w:pPr>
      <w:r>
        <w:rPr>
          <w:rFonts w:hint="eastAsia"/>
          <w:lang w:val="en-US" w:eastAsia="zh-CN"/>
        </w:rPr>
        <w:t>附件：一</w:t>
      </w:r>
    </w:p>
    <w:tbl>
      <w:tblPr>
        <w:tblStyle w:val="23"/>
        <w:tblW w:w="8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
        <w:gridCol w:w="2460"/>
        <w:gridCol w:w="1215"/>
        <w:gridCol w:w="990"/>
        <w:gridCol w:w="990"/>
        <w:gridCol w:w="2235"/>
      </w:tblGrid>
      <w:tr w14:paraId="6D605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640" w:type="dxa"/>
            <w:gridSpan w:val="6"/>
            <w:tcBorders>
              <w:top w:val="nil"/>
              <w:left w:val="nil"/>
              <w:bottom w:val="single" w:color="auto" w:sz="6" w:space="0"/>
              <w:right w:val="nil"/>
            </w:tcBorders>
            <w:noWrap/>
            <w:vAlign w:val="center"/>
          </w:tcPr>
          <w:p w14:paraId="3D3EF4DE">
            <w:pPr>
              <w:autoSpaceDE/>
              <w:autoSpaceDN/>
              <w:spacing w:line="240" w:lineRule="auto"/>
              <w:ind w:firstLine="0" w:firstLineChars="0"/>
              <w:jc w:val="center"/>
              <w:outlineLvl w:val="9"/>
              <w:rPr>
                <w:rFonts w:ascii="Calibri" w:hAnsi="Calibri" w:eastAsia="宋体" w:cs="Calibri"/>
                <w:color w:val="auto"/>
                <w:sz w:val="21"/>
                <w:szCs w:val="21"/>
                <w:highlight w:val="none"/>
              </w:rPr>
            </w:pPr>
            <w:r>
              <w:rPr>
                <w:rFonts w:hint="eastAsia" w:ascii="宋体" w:hAnsi="Calibri" w:eastAsia="宋体" w:cs="Calibri"/>
                <w:b/>
                <w:color w:val="auto"/>
                <w:sz w:val="32"/>
                <w:szCs w:val="32"/>
                <w:highlight w:val="none"/>
              </w:rPr>
              <w:t>设备配置清单</w:t>
            </w:r>
          </w:p>
        </w:tc>
      </w:tr>
      <w:tr w14:paraId="1F5F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7FA98F21">
            <w:pPr>
              <w:autoSpaceDE/>
              <w:autoSpaceDN/>
              <w:spacing w:line="240" w:lineRule="auto"/>
              <w:ind w:firstLine="0" w:firstLineChars="0"/>
              <w:jc w:val="center"/>
              <w:outlineLvl w:val="9"/>
              <w:rPr>
                <w:rFonts w:ascii="Calibri" w:hAnsi="Calibri" w:eastAsia="宋体" w:cs="Calibri"/>
                <w:color w:val="auto"/>
                <w:sz w:val="21"/>
                <w:szCs w:val="21"/>
                <w:highlight w:val="none"/>
              </w:rPr>
            </w:pPr>
            <w:r>
              <w:rPr>
                <w:rFonts w:hint="eastAsia" w:ascii="宋体" w:hAnsi="Calibri" w:eastAsia="宋体" w:cs="Calibri"/>
                <w:color w:val="auto"/>
                <w:sz w:val="20"/>
                <w:szCs w:val="20"/>
                <w:highlight w:val="none"/>
              </w:rPr>
              <w:t>序号</w:t>
            </w:r>
          </w:p>
        </w:tc>
        <w:tc>
          <w:tcPr>
            <w:tcW w:w="2460" w:type="dxa"/>
            <w:tcBorders>
              <w:top w:val="single" w:color="auto" w:sz="6" w:space="0"/>
              <w:left w:val="single" w:color="auto" w:sz="6" w:space="0"/>
              <w:bottom w:val="single" w:color="auto" w:sz="6" w:space="0"/>
              <w:right w:val="single" w:color="auto" w:sz="6" w:space="0"/>
            </w:tcBorders>
            <w:noWrap/>
            <w:vAlign w:val="center"/>
          </w:tcPr>
          <w:p w14:paraId="6759BFF0">
            <w:pPr>
              <w:autoSpaceDE/>
              <w:autoSpaceDN/>
              <w:spacing w:line="240" w:lineRule="auto"/>
              <w:ind w:firstLine="0" w:firstLineChars="0"/>
              <w:jc w:val="center"/>
              <w:outlineLvl w:val="9"/>
              <w:rPr>
                <w:rFonts w:ascii="Calibri" w:hAnsi="Calibri" w:eastAsia="宋体" w:cs="Calibri"/>
                <w:color w:val="auto"/>
                <w:sz w:val="21"/>
                <w:szCs w:val="21"/>
                <w:highlight w:val="none"/>
              </w:rPr>
            </w:pPr>
            <w:r>
              <w:rPr>
                <w:rFonts w:hint="eastAsia" w:ascii="宋体" w:hAnsi="Calibri" w:eastAsia="宋体" w:cs="Calibri"/>
                <w:color w:val="auto"/>
                <w:sz w:val="20"/>
                <w:szCs w:val="20"/>
                <w:highlight w:val="none"/>
              </w:rPr>
              <w:t>模块名称</w:t>
            </w:r>
          </w:p>
        </w:tc>
        <w:tc>
          <w:tcPr>
            <w:tcW w:w="1215" w:type="dxa"/>
            <w:tcBorders>
              <w:top w:val="single" w:color="auto" w:sz="6" w:space="0"/>
              <w:left w:val="single" w:color="auto" w:sz="6" w:space="0"/>
              <w:bottom w:val="single" w:color="auto" w:sz="6" w:space="0"/>
              <w:right w:val="single" w:color="auto" w:sz="6" w:space="0"/>
            </w:tcBorders>
            <w:noWrap/>
            <w:vAlign w:val="center"/>
          </w:tcPr>
          <w:p w14:paraId="2535227B">
            <w:pPr>
              <w:autoSpaceDE/>
              <w:autoSpaceDN/>
              <w:spacing w:line="240" w:lineRule="auto"/>
              <w:ind w:firstLine="0" w:firstLineChars="0"/>
              <w:jc w:val="center"/>
              <w:outlineLvl w:val="9"/>
              <w:rPr>
                <w:rFonts w:ascii="Calibri" w:hAnsi="Calibri" w:eastAsia="宋体" w:cs="Calibri"/>
                <w:color w:val="auto"/>
                <w:sz w:val="21"/>
                <w:szCs w:val="21"/>
                <w:highlight w:val="none"/>
              </w:rPr>
            </w:pPr>
            <w:r>
              <w:rPr>
                <w:rFonts w:hint="eastAsia" w:ascii="宋体" w:hAnsi="Calibri" w:eastAsia="宋体" w:cs="Calibri"/>
                <w:color w:val="auto"/>
                <w:sz w:val="20"/>
                <w:szCs w:val="20"/>
                <w:highlight w:val="none"/>
              </w:rPr>
              <w:t>品牌</w:t>
            </w:r>
          </w:p>
        </w:tc>
        <w:tc>
          <w:tcPr>
            <w:tcW w:w="990" w:type="dxa"/>
            <w:tcBorders>
              <w:top w:val="single" w:color="auto" w:sz="6" w:space="0"/>
              <w:left w:val="single" w:color="auto" w:sz="6" w:space="0"/>
              <w:bottom w:val="single" w:color="auto" w:sz="6" w:space="0"/>
              <w:right w:val="single" w:color="auto" w:sz="6" w:space="0"/>
            </w:tcBorders>
            <w:noWrap/>
            <w:vAlign w:val="center"/>
          </w:tcPr>
          <w:p w14:paraId="6C2682C3">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r>
              <w:rPr>
                <w:rFonts w:hint="eastAsia" w:ascii="宋体" w:hAnsi="Calibri" w:eastAsia="宋体" w:cs="Calibri"/>
                <w:color w:val="auto"/>
                <w:sz w:val="20"/>
                <w:szCs w:val="21"/>
                <w:highlight w:val="none"/>
              </w:rPr>
              <w:t>数量</w:t>
            </w:r>
          </w:p>
        </w:tc>
        <w:tc>
          <w:tcPr>
            <w:tcW w:w="990" w:type="dxa"/>
            <w:tcBorders>
              <w:top w:val="single" w:color="auto" w:sz="6" w:space="0"/>
              <w:left w:val="single" w:color="auto" w:sz="6" w:space="0"/>
              <w:bottom w:val="single" w:color="auto" w:sz="6" w:space="0"/>
              <w:right w:val="single" w:color="auto" w:sz="6" w:space="0"/>
            </w:tcBorders>
            <w:noWrap/>
            <w:vAlign w:val="center"/>
          </w:tcPr>
          <w:p w14:paraId="37335D0D">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r>
              <w:rPr>
                <w:rFonts w:hint="eastAsia" w:ascii="宋体" w:hAnsi="Calibri" w:eastAsia="宋体" w:cs="Calibri"/>
                <w:color w:val="auto"/>
                <w:sz w:val="20"/>
                <w:szCs w:val="21"/>
                <w:highlight w:val="none"/>
              </w:rPr>
              <w:t>单价</w:t>
            </w:r>
          </w:p>
        </w:tc>
        <w:tc>
          <w:tcPr>
            <w:tcW w:w="2235" w:type="dxa"/>
            <w:tcBorders>
              <w:top w:val="single" w:color="auto" w:sz="6" w:space="0"/>
              <w:left w:val="single" w:color="auto" w:sz="6" w:space="0"/>
              <w:bottom w:val="single" w:color="auto" w:sz="6" w:space="0"/>
              <w:right w:val="single" w:color="auto" w:sz="6" w:space="0"/>
            </w:tcBorders>
            <w:noWrap/>
            <w:vAlign w:val="center"/>
          </w:tcPr>
          <w:p w14:paraId="48BDF91F">
            <w:pPr>
              <w:autoSpaceDE/>
              <w:autoSpaceDN/>
              <w:spacing w:line="240" w:lineRule="auto"/>
              <w:ind w:firstLine="0" w:firstLineChars="0"/>
              <w:jc w:val="center"/>
              <w:outlineLvl w:val="9"/>
              <w:rPr>
                <w:rFonts w:ascii="Calibri" w:hAnsi="Calibri" w:eastAsia="宋体" w:cs="Calibri"/>
                <w:color w:val="auto"/>
                <w:sz w:val="21"/>
                <w:szCs w:val="21"/>
                <w:highlight w:val="none"/>
              </w:rPr>
            </w:pPr>
            <w:r>
              <w:rPr>
                <w:rFonts w:hint="eastAsia" w:ascii="宋体" w:hAnsi="Calibri" w:eastAsia="宋体" w:cs="Calibri"/>
                <w:color w:val="auto"/>
                <w:sz w:val="20"/>
                <w:szCs w:val="20"/>
                <w:highlight w:val="none"/>
              </w:rPr>
              <w:t>型号</w:t>
            </w:r>
          </w:p>
        </w:tc>
      </w:tr>
      <w:tr w14:paraId="18CF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7D7E9CCD">
            <w:pPr>
              <w:autoSpaceDE/>
              <w:autoSpaceDN/>
              <w:spacing w:line="240" w:lineRule="auto"/>
              <w:ind w:firstLine="0" w:firstLineChars="0"/>
              <w:jc w:val="center"/>
              <w:outlineLvl w:val="9"/>
              <w:rPr>
                <w:rFonts w:ascii="Lucida Sans" w:hAnsi="Lucida Sans" w:eastAsia="宋体" w:cs="Calibri"/>
                <w:color w:val="auto"/>
                <w:sz w:val="20"/>
                <w:szCs w:val="21"/>
                <w:highlight w:val="none"/>
              </w:rPr>
            </w:pPr>
            <w:r>
              <w:rPr>
                <w:rFonts w:ascii="Lucida Sans" w:hAnsi="Lucida Sans" w:eastAsia="宋体" w:cs="Calibri"/>
                <w:color w:val="auto"/>
                <w:sz w:val="20"/>
                <w:szCs w:val="21"/>
                <w:highlight w:val="none"/>
              </w:rPr>
              <w:t>1</w:t>
            </w:r>
          </w:p>
        </w:tc>
        <w:tc>
          <w:tcPr>
            <w:tcW w:w="2460" w:type="dxa"/>
            <w:tcBorders>
              <w:top w:val="single" w:color="auto" w:sz="6" w:space="0"/>
              <w:left w:val="single" w:color="auto" w:sz="6" w:space="0"/>
              <w:bottom w:val="single" w:color="auto" w:sz="6" w:space="0"/>
              <w:right w:val="single" w:color="auto" w:sz="6" w:space="0"/>
            </w:tcBorders>
            <w:noWrap/>
            <w:vAlign w:val="center"/>
          </w:tcPr>
          <w:p w14:paraId="44C3724F">
            <w:pPr>
              <w:autoSpaceDE/>
              <w:autoSpaceDN/>
              <w:spacing w:line="240" w:lineRule="auto"/>
              <w:ind w:firstLine="0" w:firstLineChars="0"/>
              <w:outlineLvl w:val="9"/>
              <w:rPr>
                <w:rFonts w:ascii="Calibri" w:hAnsi="Calibri" w:eastAsia="宋体" w:cs="Calibri"/>
                <w:color w:val="auto"/>
                <w:sz w:val="21"/>
                <w:szCs w:val="21"/>
                <w:highlight w:val="none"/>
              </w:rPr>
            </w:pPr>
            <w:r>
              <w:rPr>
                <w:rFonts w:hint="eastAsia" w:ascii="宋体" w:hAnsi="Calibri" w:eastAsia="宋体" w:cs="Calibri"/>
                <w:color w:val="auto"/>
                <w:sz w:val="20"/>
                <w:szCs w:val="20"/>
                <w:highlight w:val="none"/>
              </w:rPr>
              <w:t>工控机</w:t>
            </w:r>
          </w:p>
        </w:tc>
        <w:tc>
          <w:tcPr>
            <w:tcW w:w="1215" w:type="dxa"/>
            <w:tcBorders>
              <w:top w:val="single" w:color="auto" w:sz="6" w:space="0"/>
              <w:left w:val="single" w:color="auto" w:sz="6" w:space="0"/>
              <w:bottom w:val="single" w:color="auto" w:sz="6" w:space="0"/>
              <w:right w:val="single" w:color="auto" w:sz="6" w:space="0"/>
            </w:tcBorders>
            <w:noWrap/>
            <w:vAlign w:val="center"/>
          </w:tcPr>
          <w:p w14:paraId="26B91547">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0FF243C8">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422D09EA">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444471B4">
            <w:pPr>
              <w:autoSpaceDE/>
              <w:autoSpaceDN/>
              <w:spacing w:line="240" w:lineRule="auto"/>
              <w:ind w:firstLine="0" w:firstLineChars="0"/>
              <w:outlineLvl w:val="9"/>
              <w:rPr>
                <w:rFonts w:ascii="Lucida Sans" w:hAnsi="Lucida Sans" w:eastAsia="宋体" w:cs="Calibri"/>
                <w:color w:val="auto"/>
                <w:sz w:val="20"/>
                <w:szCs w:val="21"/>
                <w:highlight w:val="none"/>
              </w:rPr>
            </w:pPr>
          </w:p>
        </w:tc>
      </w:tr>
      <w:tr w14:paraId="49680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14A24B36">
            <w:pPr>
              <w:autoSpaceDE/>
              <w:autoSpaceDN/>
              <w:spacing w:line="240" w:lineRule="auto"/>
              <w:ind w:firstLine="0" w:firstLineChars="0"/>
              <w:jc w:val="center"/>
              <w:outlineLvl w:val="9"/>
              <w:rPr>
                <w:rFonts w:ascii="Lucida Sans" w:hAnsi="Lucida Sans" w:eastAsia="宋体" w:cs="Calibri"/>
                <w:color w:val="auto"/>
                <w:sz w:val="20"/>
                <w:szCs w:val="21"/>
                <w:highlight w:val="none"/>
              </w:rPr>
            </w:pPr>
            <w:r>
              <w:rPr>
                <w:rFonts w:ascii="Lucida Sans" w:hAnsi="Lucida Sans" w:eastAsia="宋体" w:cs="Calibri"/>
                <w:color w:val="auto"/>
                <w:sz w:val="20"/>
                <w:szCs w:val="21"/>
                <w:highlight w:val="none"/>
              </w:rPr>
              <w:t>2</w:t>
            </w:r>
          </w:p>
        </w:tc>
        <w:tc>
          <w:tcPr>
            <w:tcW w:w="2460" w:type="dxa"/>
            <w:tcBorders>
              <w:top w:val="single" w:color="auto" w:sz="6" w:space="0"/>
              <w:left w:val="single" w:color="auto" w:sz="6" w:space="0"/>
              <w:bottom w:val="single" w:color="auto" w:sz="6" w:space="0"/>
              <w:right w:val="single" w:color="auto" w:sz="6" w:space="0"/>
            </w:tcBorders>
            <w:noWrap/>
            <w:vAlign w:val="center"/>
          </w:tcPr>
          <w:p w14:paraId="74FB2B78">
            <w:pPr>
              <w:autoSpaceDE/>
              <w:autoSpaceDN/>
              <w:spacing w:line="240" w:lineRule="auto"/>
              <w:ind w:firstLine="0" w:firstLineChars="0"/>
              <w:outlineLvl w:val="9"/>
              <w:rPr>
                <w:rFonts w:hint="eastAsia" w:ascii="宋体" w:hAnsi="Calibri" w:eastAsia="宋体" w:cs="Calibri"/>
                <w:color w:val="auto"/>
                <w:sz w:val="20"/>
                <w:szCs w:val="21"/>
                <w:highlight w:val="none"/>
              </w:rPr>
            </w:pPr>
            <w:r>
              <w:rPr>
                <w:rFonts w:hint="eastAsia" w:ascii="宋体" w:hAnsi="Calibri" w:eastAsia="宋体" w:cs="Calibri"/>
                <w:color w:val="auto"/>
                <w:sz w:val="20"/>
                <w:szCs w:val="21"/>
                <w:highlight w:val="none"/>
              </w:rPr>
              <w:t>显示屏外屏</w:t>
            </w:r>
          </w:p>
        </w:tc>
        <w:tc>
          <w:tcPr>
            <w:tcW w:w="1215" w:type="dxa"/>
            <w:tcBorders>
              <w:top w:val="single" w:color="auto" w:sz="6" w:space="0"/>
              <w:left w:val="single" w:color="auto" w:sz="6" w:space="0"/>
              <w:bottom w:val="single" w:color="auto" w:sz="6" w:space="0"/>
              <w:right w:val="single" w:color="auto" w:sz="6" w:space="0"/>
            </w:tcBorders>
            <w:noWrap/>
            <w:vAlign w:val="center"/>
          </w:tcPr>
          <w:p w14:paraId="222EEDBD">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3B8CF406">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4119FA22">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33AA65B6">
            <w:pPr>
              <w:autoSpaceDE/>
              <w:autoSpaceDN/>
              <w:spacing w:line="240" w:lineRule="auto"/>
              <w:ind w:firstLine="0" w:firstLineChars="0"/>
              <w:outlineLvl w:val="9"/>
              <w:rPr>
                <w:rFonts w:ascii="Lucida Sans" w:hAnsi="Lucida Sans" w:eastAsia="宋体" w:cs="Calibri"/>
                <w:color w:val="auto"/>
                <w:sz w:val="20"/>
                <w:szCs w:val="21"/>
                <w:highlight w:val="none"/>
              </w:rPr>
            </w:pPr>
          </w:p>
        </w:tc>
      </w:tr>
      <w:tr w14:paraId="301DE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69C65633">
            <w:pPr>
              <w:autoSpaceDE/>
              <w:autoSpaceDN/>
              <w:spacing w:line="240" w:lineRule="auto"/>
              <w:ind w:firstLine="0" w:firstLineChars="0"/>
              <w:jc w:val="center"/>
              <w:outlineLvl w:val="9"/>
              <w:rPr>
                <w:rFonts w:ascii="Lucida Sans" w:hAnsi="Lucida Sans" w:eastAsia="宋体" w:cs="Calibri"/>
                <w:color w:val="auto"/>
                <w:sz w:val="20"/>
                <w:szCs w:val="21"/>
                <w:highlight w:val="none"/>
              </w:rPr>
            </w:pPr>
            <w:r>
              <w:rPr>
                <w:rFonts w:ascii="Lucida Sans" w:hAnsi="Lucida Sans" w:eastAsia="宋体" w:cs="Calibri"/>
                <w:color w:val="auto"/>
                <w:sz w:val="20"/>
                <w:szCs w:val="21"/>
                <w:highlight w:val="none"/>
              </w:rPr>
              <w:t>3</w:t>
            </w:r>
          </w:p>
        </w:tc>
        <w:tc>
          <w:tcPr>
            <w:tcW w:w="2460" w:type="dxa"/>
            <w:tcBorders>
              <w:top w:val="single" w:color="auto" w:sz="6" w:space="0"/>
              <w:left w:val="single" w:color="auto" w:sz="6" w:space="0"/>
              <w:bottom w:val="single" w:color="auto" w:sz="6" w:space="0"/>
              <w:right w:val="single" w:color="auto" w:sz="6" w:space="0"/>
            </w:tcBorders>
            <w:noWrap/>
            <w:vAlign w:val="center"/>
          </w:tcPr>
          <w:p w14:paraId="2B49A64E">
            <w:pPr>
              <w:autoSpaceDE/>
              <w:autoSpaceDN/>
              <w:spacing w:line="240" w:lineRule="auto"/>
              <w:ind w:firstLine="0" w:firstLineChars="0"/>
              <w:outlineLvl w:val="9"/>
              <w:rPr>
                <w:rFonts w:hint="eastAsia" w:ascii="宋体" w:hAnsi="Calibri" w:eastAsia="宋体" w:cs="Calibri"/>
                <w:color w:val="auto"/>
                <w:sz w:val="20"/>
                <w:szCs w:val="21"/>
                <w:highlight w:val="none"/>
              </w:rPr>
            </w:pPr>
            <w:r>
              <w:rPr>
                <w:rFonts w:hint="eastAsia" w:ascii="宋体" w:hAnsi="Calibri" w:eastAsia="宋体" w:cs="Calibri"/>
                <w:color w:val="auto"/>
                <w:sz w:val="20"/>
                <w:szCs w:val="21"/>
                <w:highlight w:val="none"/>
              </w:rPr>
              <w:t>显示屏内屏</w:t>
            </w:r>
          </w:p>
        </w:tc>
        <w:tc>
          <w:tcPr>
            <w:tcW w:w="1215" w:type="dxa"/>
            <w:tcBorders>
              <w:top w:val="single" w:color="auto" w:sz="6" w:space="0"/>
              <w:left w:val="single" w:color="auto" w:sz="6" w:space="0"/>
              <w:bottom w:val="single" w:color="auto" w:sz="6" w:space="0"/>
              <w:right w:val="single" w:color="auto" w:sz="6" w:space="0"/>
            </w:tcBorders>
            <w:noWrap/>
            <w:vAlign w:val="center"/>
          </w:tcPr>
          <w:p w14:paraId="061EE3C3">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24DAA631">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06C44FC2">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4D07E405">
            <w:pPr>
              <w:autoSpaceDE/>
              <w:autoSpaceDN/>
              <w:spacing w:line="240" w:lineRule="auto"/>
              <w:ind w:firstLine="0" w:firstLineChars="0"/>
              <w:outlineLvl w:val="9"/>
              <w:rPr>
                <w:rFonts w:ascii="Lucida Sans" w:hAnsi="Lucida Sans" w:eastAsia="宋体" w:cs="Calibri"/>
                <w:color w:val="auto"/>
                <w:sz w:val="20"/>
                <w:szCs w:val="21"/>
                <w:highlight w:val="none"/>
              </w:rPr>
            </w:pPr>
          </w:p>
        </w:tc>
      </w:tr>
      <w:tr w14:paraId="34A0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5FCFB96C">
            <w:pPr>
              <w:autoSpaceDE/>
              <w:autoSpaceDN/>
              <w:spacing w:line="240" w:lineRule="auto"/>
              <w:ind w:firstLine="0" w:firstLineChars="0"/>
              <w:jc w:val="center"/>
              <w:outlineLvl w:val="9"/>
              <w:rPr>
                <w:rFonts w:ascii="Lucida Sans" w:hAnsi="Lucida Sans" w:eastAsia="宋体" w:cs="Calibri"/>
                <w:color w:val="auto"/>
                <w:sz w:val="20"/>
                <w:szCs w:val="21"/>
                <w:highlight w:val="none"/>
              </w:rPr>
            </w:pPr>
            <w:r>
              <w:rPr>
                <w:rFonts w:ascii="Lucida Sans" w:hAnsi="Lucida Sans" w:eastAsia="宋体" w:cs="Calibri"/>
                <w:color w:val="auto"/>
                <w:sz w:val="20"/>
                <w:szCs w:val="21"/>
                <w:highlight w:val="none"/>
              </w:rPr>
              <w:t>4</w:t>
            </w:r>
          </w:p>
        </w:tc>
        <w:tc>
          <w:tcPr>
            <w:tcW w:w="2460" w:type="dxa"/>
            <w:tcBorders>
              <w:top w:val="single" w:color="auto" w:sz="6" w:space="0"/>
              <w:left w:val="single" w:color="auto" w:sz="6" w:space="0"/>
              <w:bottom w:val="single" w:color="auto" w:sz="6" w:space="0"/>
              <w:right w:val="single" w:color="auto" w:sz="6" w:space="0"/>
            </w:tcBorders>
            <w:noWrap/>
            <w:vAlign w:val="center"/>
          </w:tcPr>
          <w:p w14:paraId="472D8DC1">
            <w:pPr>
              <w:autoSpaceDE/>
              <w:autoSpaceDN/>
              <w:spacing w:line="240" w:lineRule="auto"/>
              <w:ind w:firstLine="0" w:firstLineChars="0"/>
              <w:outlineLvl w:val="9"/>
              <w:rPr>
                <w:rFonts w:hint="eastAsia" w:ascii="宋体" w:hAnsi="Calibri" w:eastAsia="宋体" w:cs="Calibri"/>
                <w:color w:val="auto"/>
                <w:sz w:val="20"/>
                <w:szCs w:val="21"/>
                <w:highlight w:val="none"/>
              </w:rPr>
            </w:pPr>
            <w:r>
              <w:rPr>
                <w:rFonts w:hint="eastAsia" w:ascii="宋体" w:hAnsi="Calibri" w:eastAsia="宋体" w:cs="Calibri"/>
                <w:color w:val="auto"/>
                <w:sz w:val="20"/>
                <w:szCs w:val="21"/>
                <w:highlight w:val="none"/>
              </w:rPr>
              <w:t>管理员操作面板（后屏）</w:t>
            </w:r>
          </w:p>
        </w:tc>
        <w:tc>
          <w:tcPr>
            <w:tcW w:w="1215" w:type="dxa"/>
            <w:tcBorders>
              <w:top w:val="single" w:color="auto" w:sz="6" w:space="0"/>
              <w:left w:val="single" w:color="auto" w:sz="6" w:space="0"/>
              <w:bottom w:val="single" w:color="auto" w:sz="6" w:space="0"/>
              <w:right w:val="single" w:color="auto" w:sz="6" w:space="0"/>
            </w:tcBorders>
            <w:noWrap/>
            <w:vAlign w:val="center"/>
          </w:tcPr>
          <w:p w14:paraId="7CFC7310">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nil"/>
              <w:right w:val="single" w:color="auto" w:sz="6" w:space="0"/>
            </w:tcBorders>
            <w:noWrap/>
            <w:vAlign w:val="center"/>
          </w:tcPr>
          <w:p w14:paraId="79E9C1E2">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nil"/>
              <w:right w:val="single" w:color="auto" w:sz="6" w:space="0"/>
            </w:tcBorders>
            <w:noWrap/>
            <w:vAlign w:val="center"/>
          </w:tcPr>
          <w:p w14:paraId="66CB2F4D">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311CDF23">
            <w:pPr>
              <w:autoSpaceDE/>
              <w:autoSpaceDN/>
              <w:spacing w:line="240" w:lineRule="auto"/>
              <w:ind w:firstLine="0" w:firstLineChars="0"/>
              <w:outlineLvl w:val="9"/>
              <w:rPr>
                <w:rFonts w:ascii="Lucida Sans" w:hAnsi="Lucida Sans" w:eastAsia="宋体" w:cs="Calibri"/>
                <w:color w:val="auto"/>
                <w:sz w:val="20"/>
                <w:szCs w:val="21"/>
                <w:highlight w:val="none"/>
              </w:rPr>
            </w:pPr>
          </w:p>
        </w:tc>
      </w:tr>
      <w:tr w14:paraId="69AB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26A08BA9">
            <w:pPr>
              <w:autoSpaceDE/>
              <w:autoSpaceDN/>
              <w:spacing w:line="240" w:lineRule="auto"/>
              <w:ind w:firstLine="0" w:firstLineChars="0"/>
              <w:jc w:val="center"/>
              <w:outlineLvl w:val="9"/>
              <w:rPr>
                <w:rFonts w:ascii="Lucida Sans" w:hAnsi="Lucida Sans" w:eastAsia="宋体" w:cs="Calibri"/>
                <w:color w:val="auto"/>
                <w:sz w:val="20"/>
                <w:szCs w:val="21"/>
                <w:highlight w:val="none"/>
              </w:rPr>
            </w:pPr>
            <w:r>
              <w:rPr>
                <w:rFonts w:ascii="Lucida Sans" w:hAnsi="Lucida Sans" w:eastAsia="宋体" w:cs="Calibri"/>
                <w:color w:val="auto"/>
                <w:sz w:val="20"/>
                <w:szCs w:val="21"/>
                <w:highlight w:val="none"/>
              </w:rPr>
              <w:t>5</w:t>
            </w:r>
          </w:p>
        </w:tc>
        <w:tc>
          <w:tcPr>
            <w:tcW w:w="2460" w:type="dxa"/>
            <w:tcBorders>
              <w:top w:val="single" w:color="auto" w:sz="6" w:space="0"/>
              <w:left w:val="single" w:color="auto" w:sz="6" w:space="0"/>
              <w:bottom w:val="single" w:color="auto" w:sz="6" w:space="0"/>
              <w:right w:val="single" w:color="auto" w:sz="6" w:space="0"/>
            </w:tcBorders>
            <w:noWrap/>
            <w:vAlign w:val="center"/>
          </w:tcPr>
          <w:p w14:paraId="6AFFDEA7">
            <w:pPr>
              <w:autoSpaceDE/>
              <w:autoSpaceDN/>
              <w:spacing w:line="240" w:lineRule="auto"/>
              <w:ind w:firstLine="0" w:firstLineChars="0"/>
              <w:outlineLvl w:val="9"/>
              <w:rPr>
                <w:rFonts w:hint="eastAsia" w:ascii="宋体" w:hAnsi="Calibri" w:eastAsia="宋体" w:cs="Calibri"/>
                <w:color w:val="auto"/>
                <w:sz w:val="20"/>
                <w:szCs w:val="21"/>
                <w:highlight w:val="none"/>
              </w:rPr>
            </w:pPr>
            <w:r>
              <w:rPr>
                <w:rFonts w:hint="eastAsia" w:ascii="宋体" w:hAnsi="Calibri" w:eastAsia="宋体" w:cs="Calibri"/>
                <w:color w:val="auto"/>
                <w:sz w:val="20"/>
                <w:szCs w:val="21"/>
                <w:highlight w:val="none"/>
              </w:rPr>
              <w:t>读卡器</w:t>
            </w:r>
          </w:p>
        </w:tc>
        <w:tc>
          <w:tcPr>
            <w:tcW w:w="1215" w:type="dxa"/>
            <w:tcBorders>
              <w:top w:val="nil"/>
              <w:left w:val="nil"/>
              <w:bottom w:val="nil"/>
              <w:right w:val="nil"/>
            </w:tcBorders>
            <w:noWrap/>
            <w:vAlign w:val="center"/>
          </w:tcPr>
          <w:p w14:paraId="5E053187">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ign w:val="center"/>
          </w:tcPr>
          <w:p w14:paraId="52B0555D">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ign w:val="center"/>
          </w:tcPr>
          <w:p w14:paraId="46CBCE84">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nil"/>
              <w:bottom w:val="single" w:color="auto" w:sz="6" w:space="0"/>
              <w:right w:val="single" w:color="auto" w:sz="6" w:space="0"/>
            </w:tcBorders>
            <w:noWrap/>
            <w:vAlign w:val="center"/>
          </w:tcPr>
          <w:p w14:paraId="2E206DB3">
            <w:pPr>
              <w:autoSpaceDE/>
              <w:autoSpaceDN/>
              <w:spacing w:line="240" w:lineRule="auto"/>
              <w:ind w:firstLine="0" w:firstLineChars="0"/>
              <w:outlineLvl w:val="9"/>
              <w:rPr>
                <w:rFonts w:ascii="Lucida Sans" w:hAnsi="Lucida Sans" w:eastAsia="宋体" w:cs="Calibri"/>
                <w:color w:val="auto"/>
                <w:sz w:val="20"/>
                <w:szCs w:val="21"/>
                <w:highlight w:val="none"/>
              </w:rPr>
            </w:pPr>
          </w:p>
        </w:tc>
      </w:tr>
      <w:tr w14:paraId="4AFAA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00897DA2">
            <w:pPr>
              <w:autoSpaceDE/>
              <w:autoSpaceDN/>
              <w:spacing w:line="240" w:lineRule="auto"/>
              <w:ind w:firstLine="0" w:firstLineChars="0"/>
              <w:jc w:val="center"/>
              <w:outlineLvl w:val="9"/>
              <w:rPr>
                <w:rFonts w:ascii="Lucida Sans" w:hAnsi="Lucida Sans" w:eastAsia="宋体" w:cs="Calibri"/>
                <w:color w:val="auto"/>
                <w:sz w:val="20"/>
                <w:szCs w:val="21"/>
                <w:highlight w:val="none"/>
              </w:rPr>
            </w:pPr>
            <w:r>
              <w:rPr>
                <w:rFonts w:ascii="Lucida Sans" w:hAnsi="Lucida Sans" w:eastAsia="宋体" w:cs="Calibri"/>
                <w:color w:val="auto"/>
                <w:sz w:val="20"/>
                <w:szCs w:val="21"/>
                <w:highlight w:val="none"/>
              </w:rPr>
              <w:t>6</w:t>
            </w:r>
          </w:p>
        </w:tc>
        <w:tc>
          <w:tcPr>
            <w:tcW w:w="2460" w:type="dxa"/>
            <w:tcBorders>
              <w:top w:val="single" w:color="auto" w:sz="6" w:space="0"/>
              <w:left w:val="single" w:color="auto" w:sz="6" w:space="0"/>
              <w:bottom w:val="single" w:color="auto" w:sz="6" w:space="0"/>
              <w:right w:val="single" w:color="auto" w:sz="6" w:space="0"/>
            </w:tcBorders>
            <w:noWrap/>
            <w:vAlign w:val="center"/>
          </w:tcPr>
          <w:p w14:paraId="50181BA5">
            <w:pPr>
              <w:autoSpaceDE/>
              <w:autoSpaceDN/>
              <w:spacing w:line="240" w:lineRule="auto"/>
              <w:ind w:firstLine="0" w:firstLineChars="0"/>
              <w:outlineLvl w:val="9"/>
              <w:rPr>
                <w:rFonts w:hint="eastAsia" w:ascii="宋体" w:hAnsi="Calibri" w:eastAsia="宋体" w:cs="Calibri"/>
                <w:color w:val="auto"/>
                <w:sz w:val="20"/>
                <w:szCs w:val="21"/>
                <w:highlight w:val="none"/>
              </w:rPr>
            </w:pPr>
            <w:r>
              <w:rPr>
                <w:rFonts w:hint="eastAsia" w:ascii="宋体" w:hAnsi="Calibri" w:eastAsia="宋体" w:cs="Calibri"/>
                <w:color w:val="auto"/>
                <w:sz w:val="20"/>
                <w:szCs w:val="21"/>
                <w:highlight w:val="none"/>
              </w:rPr>
              <w:t>非接读卡器</w:t>
            </w:r>
          </w:p>
        </w:tc>
        <w:tc>
          <w:tcPr>
            <w:tcW w:w="1215" w:type="dxa"/>
            <w:tcBorders>
              <w:top w:val="single" w:color="auto" w:sz="6" w:space="0"/>
              <w:left w:val="single" w:color="auto" w:sz="6" w:space="0"/>
              <w:bottom w:val="single" w:color="auto" w:sz="6" w:space="0"/>
              <w:right w:val="single" w:color="auto" w:sz="6" w:space="0"/>
            </w:tcBorders>
            <w:noWrap/>
            <w:vAlign w:val="center"/>
          </w:tcPr>
          <w:p w14:paraId="56C0FA63">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nil"/>
              <w:left w:val="single" w:color="auto" w:sz="6" w:space="0"/>
              <w:bottom w:val="single" w:color="auto" w:sz="6" w:space="0"/>
              <w:right w:val="single" w:color="auto" w:sz="6" w:space="0"/>
            </w:tcBorders>
            <w:noWrap/>
            <w:vAlign w:val="center"/>
          </w:tcPr>
          <w:p w14:paraId="3EA50DB8">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nil"/>
              <w:left w:val="single" w:color="auto" w:sz="6" w:space="0"/>
              <w:bottom w:val="single" w:color="auto" w:sz="6" w:space="0"/>
              <w:right w:val="single" w:color="auto" w:sz="6" w:space="0"/>
            </w:tcBorders>
            <w:noWrap/>
            <w:vAlign w:val="center"/>
          </w:tcPr>
          <w:p w14:paraId="6EC9BC36">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68B2E8AE">
            <w:pPr>
              <w:autoSpaceDE/>
              <w:autoSpaceDN/>
              <w:spacing w:line="240" w:lineRule="auto"/>
              <w:ind w:firstLine="0" w:firstLineChars="0"/>
              <w:outlineLvl w:val="9"/>
              <w:rPr>
                <w:rFonts w:ascii="Lucida Sans" w:hAnsi="Lucida Sans" w:eastAsia="宋体" w:cs="Calibri"/>
                <w:color w:val="auto"/>
                <w:sz w:val="20"/>
                <w:szCs w:val="21"/>
                <w:highlight w:val="none"/>
              </w:rPr>
            </w:pPr>
          </w:p>
        </w:tc>
      </w:tr>
      <w:tr w14:paraId="7839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52D4D61B">
            <w:pPr>
              <w:autoSpaceDE/>
              <w:autoSpaceDN/>
              <w:spacing w:line="240" w:lineRule="auto"/>
              <w:ind w:firstLine="0" w:firstLineChars="0"/>
              <w:jc w:val="center"/>
              <w:outlineLvl w:val="9"/>
              <w:rPr>
                <w:rFonts w:ascii="Lucida Sans" w:hAnsi="Lucida Sans" w:eastAsia="宋体" w:cs="Calibri"/>
                <w:color w:val="auto"/>
                <w:sz w:val="20"/>
                <w:szCs w:val="21"/>
                <w:highlight w:val="none"/>
              </w:rPr>
            </w:pPr>
            <w:r>
              <w:rPr>
                <w:rFonts w:ascii="Lucida Sans" w:hAnsi="Lucida Sans" w:eastAsia="宋体" w:cs="Calibri"/>
                <w:color w:val="auto"/>
                <w:sz w:val="20"/>
                <w:szCs w:val="21"/>
                <w:highlight w:val="none"/>
              </w:rPr>
              <w:t>7</w:t>
            </w:r>
          </w:p>
        </w:tc>
        <w:tc>
          <w:tcPr>
            <w:tcW w:w="2460" w:type="dxa"/>
            <w:tcBorders>
              <w:top w:val="single" w:color="auto" w:sz="6" w:space="0"/>
              <w:left w:val="single" w:color="auto" w:sz="6" w:space="0"/>
              <w:bottom w:val="single" w:color="auto" w:sz="6" w:space="0"/>
              <w:right w:val="single" w:color="auto" w:sz="6" w:space="0"/>
            </w:tcBorders>
            <w:noWrap/>
            <w:vAlign w:val="center"/>
          </w:tcPr>
          <w:p w14:paraId="0F9CFC08">
            <w:pPr>
              <w:autoSpaceDE/>
              <w:autoSpaceDN/>
              <w:spacing w:line="240" w:lineRule="auto"/>
              <w:ind w:firstLine="0" w:firstLineChars="0"/>
              <w:outlineLvl w:val="9"/>
              <w:rPr>
                <w:rFonts w:hint="eastAsia" w:ascii="宋体" w:hAnsi="Calibri" w:eastAsia="宋体" w:cs="Calibri"/>
                <w:color w:val="auto"/>
                <w:sz w:val="20"/>
                <w:szCs w:val="21"/>
                <w:highlight w:val="none"/>
              </w:rPr>
            </w:pPr>
            <w:r>
              <w:rPr>
                <w:rFonts w:hint="eastAsia" w:ascii="宋体" w:hAnsi="Calibri" w:eastAsia="宋体" w:cs="Calibri"/>
                <w:color w:val="auto"/>
                <w:sz w:val="20"/>
                <w:szCs w:val="21"/>
                <w:highlight w:val="none"/>
              </w:rPr>
              <w:t>密码键盘</w:t>
            </w:r>
          </w:p>
        </w:tc>
        <w:tc>
          <w:tcPr>
            <w:tcW w:w="1215" w:type="dxa"/>
            <w:tcBorders>
              <w:top w:val="single" w:color="auto" w:sz="6" w:space="0"/>
              <w:left w:val="single" w:color="auto" w:sz="6" w:space="0"/>
              <w:bottom w:val="single" w:color="auto" w:sz="6" w:space="0"/>
              <w:right w:val="single" w:color="auto" w:sz="6" w:space="0"/>
            </w:tcBorders>
            <w:noWrap/>
            <w:vAlign w:val="center"/>
          </w:tcPr>
          <w:p w14:paraId="62460F0E">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2315122F">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0FFFC852">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12D13DC9">
            <w:pPr>
              <w:autoSpaceDE/>
              <w:autoSpaceDN/>
              <w:spacing w:line="240" w:lineRule="auto"/>
              <w:ind w:firstLine="0" w:firstLineChars="0"/>
              <w:outlineLvl w:val="9"/>
              <w:rPr>
                <w:rFonts w:ascii="Lucida Sans" w:hAnsi="Lucida Sans" w:eastAsia="宋体" w:cs="Calibri"/>
                <w:color w:val="auto"/>
                <w:sz w:val="20"/>
                <w:szCs w:val="21"/>
                <w:highlight w:val="none"/>
              </w:rPr>
            </w:pPr>
          </w:p>
        </w:tc>
      </w:tr>
      <w:tr w14:paraId="0AE2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39E9A36F">
            <w:pPr>
              <w:autoSpaceDE/>
              <w:autoSpaceDN/>
              <w:spacing w:line="240" w:lineRule="auto"/>
              <w:ind w:firstLine="0" w:firstLineChars="0"/>
              <w:jc w:val="center"/>
              <w:outlineLvl w:val="9"/>
              <w:rPr>
                <w:rFonts w:ascii="Lucida Sans" w:hAnsi="Lucida Sans" w:eastAsia="宋体" w:cs="Calibri"/>
                <w:color w:val="auto"/>
                <w:sz w:val="20"/>
                <w:szCs w:val="21"/>
                <w:highlight w:val="none"/>
              </w:rPr>
            </w:pPr>
            <w:r>
              <w:rPr>
                <w:rFonts w:ascii="Lucida Sans" w:hAnsi="Lucida Sans" w:eastAsia="宋体" w:cs="Calibri"/>
                <w:color w:val="auto"/>
                <w:sz w:val="20"/>
                <w:szCs w:val="21"/>
                <w:highlight w:val="none"/>
              </w:rPr>
              <w:t>8</w:t>
            </w:r>
          </w:p>
        </w:tc>
        <w:tc>
          <w:tcPr>
            <w:tcW w:w="2460" w:type="dxa"/>
            <w:tcBorders>
              <w:top w:val="single" w:color="auto" w:sz="6" w:space="0"/>
              <w:left w:val="single" w:color="auto" w:sz="6" w:space="0"/>
              <w:bottom w:val="single" w:color="auto" w:sz="6" w:space="0"/>
              <w:right w:val="single" w:color="auto" w:sz="6" w:space="0"/>
            </w:tcBorders>
            <w:noWrap/>
            <w:vAlign w:val="center"/>
          </w:tcPr>
          <w:p w14:paraId="7147D600">
            <w:pPr>
              <w:autoSpaceDE/>
              <w:autoSpaceDN/>
              <w:spacing w:line="240" w:lineRule="auto"/>
              <w:ind w:firstLine="0" w:firstLineChars="0"/>
              <w:outlineLvl w:val="9"/>
              <w:rPr>
                <w:rFonts w:hint="eastAsia" w:ascii="宋体" w:hAnsi="Calibri" w:eastAsia="宋体" w:cs="Calibri"/>
                <w:color w:val="auto"/>
                <w:sz w:val="20"/>
                <w:szCs w:val="21"/>
                <w:highlight w:val="none"/>
              </w:rPr>
            </w:pPr>
            <w:r>
              <w:rPr>
                <w:rFonts w:hint="eastAsia" w:ascii="宋体" w:hAnsi="Calibri" w:eastAsia="宋体" w:cs="Calibri"/>
                <w:color w:val="auto"/>
                <w:sz w:val="20"/>
                <w:szCs w:val="21"/>
                <w:highlight w:val="none"/>
              </w:rPr>
              <w:t>凭条打印机</w:t>
            </w:r>
          </w:p>
        </w:tc>
        <w:tc>
          <w:tcPr>
            <w:tcW w:w="1215" w:type="dxa"/>
            <w:tcBorders>
              <w:top w:val="single" w:color="auto" w:sz="6" w:space="0"/>
              <w:left w:val="single" w:color="auto" w:sz="6" w:space="0"/>
              <w:bottom w:val="single" w:color="auto" w:sz="6" w:space="0"/>
              <w:right w:val="single" w:color="auto" w:sz="6" w:space="0"/>
            </w:tcBorders>
            <w:noWrap/>
            <w:vAlign w:val="center"/>
          </w:tcPr>
          <w:p w14:paraId="3CACD569">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6227D437">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23E356CD">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5E2F298E">
            <w:pPr>
              <w:autoSpaceDE/>
              <w:autoSpaceDN/>
              <w:spacing w:line="240" w:lineRule="auto"/>
              <w:ind w:firstLine="0" w:firstLineChars="0"/>
              <w:outlineLvl w:val="9"/>
              <w:rPr>
                <w:rFonts w:ascii="Lucida Sans" w:hAnsi="Lucida Sans" w:eastAsia="宋体" w:cs="Calibri"/>
                <w:color w:val="auto"/>
                <w:sz w:val="20"/>
                <w:szCs w:val="21"/>
                <w:highlight w:val="none"/>
              </w:rPr>
            </w:pPr>
          </w:p>
        </w:tc>
      </w:tr>
      <w:tr w14:paraId="5AA9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1315B7E7">
            <w:pPr>
              <w:autoSpaceDE/>
              <w:autoSpaceDN/>
              <w:spacing w:line="240" w:lineRule="auto"/>
              <w:ind w:firstLine="0" w:firstLineChars="0"/>
              <w:jc w:val="center"/>
              <w:outlineLvl w:val="9"/>
              <w:rPr>
                <w:rFonts w:ascii="Lucida Sans" w:hAnsi="Lucida Sans" w:eastAsia="宋体" w:cs="Calibri"/>
                <w:color w:val="auto"/>
                <w:sz w:val="20"/>
                <w:szCs w:val="21"/>
                <w:highlight w:val="none"/>
              </w:rPr>
            </w:pPr>
            <w:r>
              <w:rPr>
                <w:rFonts w:ascii="Lucida Sans" w:hAnsi="Lucida Sans" w:eastAsia="宋体" w:cs="Calibri"/>
                <w:color w:val="auto"/>
                <w:sz w:val="20"/>
                <w:szCs w:val="21"/>
                <w:highlight w:val="none"/>
              </w:rPr>
              <w:t>9</w:t>
            </w:r>
          </w:p>
        </w:tc>
        <w:tc>
          <w:tcPr>
            <w:tcW w:w="2460" w:type="dxa"/>
            <w:tcBorders>
              <w:top w:val="single" w:color="auto" w:sz="6" w:space="0"/>
              <w:left w:val="single" w:color="auto" w:sz="6" w:space="0"/>
              <w:bottom w:val="single" w:color="auto" w:sz="6" w:space="0"/>
              <w:right w:val="single" w:color="auto" w:sz="6" w:space="0"/>
            </w:tcBorders>
            <w:noWrap/>
            <w:vAlign w:val="center"/>
          </w:tcPr>
          <w:p w14:paraId="6A8EBAAB">
            <w:pPr>
              <w:autoSpaceDE/>
              <w:autoSpaceDN/>
              <w:spacing w:line="240" w:lineRule="auto"/>
              <w:ind w:firstLine="0" w:firstLineChars="0"/>
              <w:outlineLvl w:val="9"/>
              <w:rPr>
                <w:rFonts w:hint="eastAsia" w:ascii="宋体" w:hAnsi="Calibri" w:eastAsia="宋体" w:cs="Calibri"/>
                <w:color w:val="auto"/>
                <w:sz w:val="20"/>
                <w:szCs w:val="21"/>
                <w:highlight w:val="none"/>
              </w:rPr>
            </w:pPr>
            <w:r>
              <w:rPr>
                <w:rFonts w:hint="eastAsia" w:ascii="宋体" w:hAnsi="Calibri" w:eastAsia="宋体" w:cs="Calibri"/>
                <w:color w:val="auto"/>
                <w:sz w:val="20"/>
                <w:szCs w:val="21"/>
                <w:highlight w:val="none"/>
              </w:rPr>
              <w:t>双目摄像头</w:t>
            </w:r>
          </w:p>
        </w:tc>
        <w:tc>
          <w:tcPr>
            <w:tcW w:w="1215" w:type="dxa"/>
            <w:tcBorders>
              <w:top w:val="single" w:color="auto" w:sz="6" w:space="0"/>
              <w:left w:val="single" w:color="auto" w:sz="6" w:space="0"/>
              <w:bottom w:val="single" w:color="auto" w:sz="6" w:space="0"/>
              <w:right w:val="single" w:color="auto" w:sz="6" w:space="0"/>
            </w:tcBorders>
            <w:noWrap/>
            <w:vAlign w:val="center"/>
          </w:tcPr>
          <w:p w14:paraId="625C007A">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46F56C58">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2FAE51D8">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7BB210AB">
            <w:pPr>
              <w:autoSpaceDE/>
              <w:autoSpaceDN/>
              <w:spacing w:line="240" w:lineRule="auto"/>
              <w:ind w:firstLine="0" w:firstLineChars="0"/>
              <w:outlineLvl w:val="9"/>
              <w:rPr>
                <w:rFonts w:ascii="Lucida Sans" w:hAnsi="Lucida Sans" w:eastAsia="宋体" w:cs="Calibri"/>
                <w:color w:val="auto"/>
                <w:sz w:val="20"/>
                <w:szCs w:val="21"/>
                <w:highlight w:val="none"/>
              </w:rPr>
            </w:pPr>
          </w:p>
        </w:tc>
      </w:tr>
      <w:tr w14:paraId="5E01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043CA023">
            <w:pPr>
              <w:autoSpaceDE/>
              <w:autoSpaceDN/>
              <w:spacing w:line="240" w:lineRule="auto"/>
              <w:ind w:firstLine="0" w:firstLineChars="0"/>
              <w:jc w:val="center"/>
              <w:outlineLvl w:val="9"/>
              <w:rPr>
                <w:rFonts w:ascii="Lucida Sans" w:hAnsi="Lucida Sans" w:eastAsia="宋体" w:cs="Calibri"/>
                <w:color w:val="auto"/>
                <w:sz w:val="20"/>
                <w:szCs w:val="21"/>
                <w:highlight w:val="none"/>
              </w:rPr>
            </w:pPr>
            <w:r>
              <w:rPr>
                <w:rFonts w:ascii="Lucida Sans" w:hAnsi="Lucida Sans" w:eastAsia="宋体" w:cs="Calibri"/>
                <w:color w:val="auto"/>
                <w:sz w:val="20"/>
                <w:szCs w:val="21"/>
                <w:highlight w:val="none"/>
              </w:rPr>
              <w:t>10</w:t>
            </w:r>
          </w:p>
        </w:tc>
        <w:tc>
          <w:tcPr>
            <w:tcW w:w="2460" w:type="dxa"/>
            <w:tcBorders>
              <w:top w:val="single" w:color="auto" w:sz="6" w:space="0"/>
              <w:left w:val="single" w:color="auto" w:sz="6" w:space="0"/>
              <w:bottom w:val="single" w:color="auto" w:sz="6" w:space="0"/>
              <w:right w:val="single" w:color="auto" w:sz="6" w:space="0"/>
            </w:tcBorders>
            <w:noWrap/>
            <w:vAlign w:val="center"/>
          </w:tcPr>
          <w:p w14:paraId="461CDA47">
            <w:pPr>
              <w:autoSpaceDE/>
              <w:autoSpaceDN/>
              <w:spacing w:line="240" w:lineRule="auto"/>
              <w:ind w:firstLine="0" w:firstLineChars="0"/>
              <w:outlineLvl w:val="9"/>
              <w:rPr>
                <w:rFonts w:hint="eastAsia" w:ascii="宋体" w:hAnsi="Calibri" w:eastAsia="宋体" w:cs="Calibri"/>
                <w:color w:val="auto"/>
                <w:sz w:val="20"/>
                <w:szCs w:val="21"/>
                <w:highlight w:val="none"/>
              </w:rPr>
            </w:pPr>
            <w:r>
              <w:rPr>
                <w:rFonts w:hint="eastAsia" w:ascii="宋体" w:hAnsi="Calibri" w:eastAsia="宋体" w:cs="Calibri"/>
                <w:color w:val="auto"/>
                <w:sz w:val="20"/>
                <w:szCs w:val="21"/>
                <w:highlight w:val="none"/>
              </w:rPr>
              <w:t>人体感应器</w:t>
            </w:r>
          </w:p>
        </w:tc>
        <w:tc>
          <w:tcPr>
            <w:tcW w:w="1215" w:type="dxa"/>
            <w:tcBorders>
              <w:top w:val="single" w:color="auto" w:sz="6" w:space="0"/>
              <w:left w:val="single" w:color="auto" w:sz="6" w:space="0"/>
              <w:bottom w:val="single" w:color="auto" w:sz="6" w:space="0"/>
              <w:right w:val="single" w:color="auto" w:sz="6" w:space="0"/>
            </w:tcBorders>
            <w:noWrap/>
            <w:vAlign w:val="center"/>
          </w:tcPr>
          <w:p w14:paraId="1D260128">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2269069C">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68A07E36">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3D165F51">
            <w:pPr>
              <w:autoSpaceDE/>
              <w:autoSpaceDN/>
              <w:spacing w:line="240" w:lineRule="auto"/>
              <w:ind w:firstLine="0" w:firstLineChars="0"/>
              <w:outlineLvl w:val="9"/>
              <w:rPr>
                <w:rFonts w:ascii="Lucida Sans" w:hAnsi="Lucida Sans" w:eastAsia="宋体" w:cs="Calibri"/>
                <w:color w:val="auto"/>
                <w:sz w:val="20"/>
                <w:szCs w:val="21"/>
                <w:highlight w:val="none"/>
              </w:rPr>
            </w:pPr>
          </w:p>
        </w:tc>
      </w:tr>
      <w:tr w14:paraId="5C6E3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04A903EA">
            <w:pPr>
              <w:autoSpaceDE/>
              <w:autoSpaceDN/>
              <w:spacing w:line="240" w:lineRule="auto"/>
              <w:ind w:firstLine="0" w:firstLineChars="0"/>
              <w:jc w:val="center"/>
              <w:outlineLvl w:val="9"/>
              <w:rPr>
                <w:rFonts w:ascii="Lucida Sans" w:hAnsi="Lucida Sans" w:eastAsia="宋体" w:cs="Calibri"/>
                <w:color w:val="auto"/>
                <w:sz w:val="20"/>
                <w:szCs w:val="21"/>
                <w:highlight w:val="none"/>
              </w:rPr>
            </w:pPr>
            <w:r>
              <w:rPr>
                <w:rFonts w:ascii="Lucida Sans" w:hAnsi="Lucida Sans" w:eastAsia="宋体" w:cs="Calibri"/>
                <w:color w:val="auto"/>
                <w:sz w:val="20"/>
                <w:szCs w:val="21"/>
                <w:highlight w:val="none"/>
              </w:rPr>
              <w:t>11</w:t>
            </w:r>
          </w:p>
        </w:tc>
        <w:tc>
          <w:tcPr>
            <w:tcW w:w="2460" w:type="dxa"/>
            <w:tcBorders>
              <w:top w:val="single" w:color="auto" w:sz="6" w:space="0"/>
              <w:left w:val="single" w:color="auto" w:sz="6" w:space="0"/>
              <w:bottom w:val="single" w:color="auto" w:sz="6" w:space="0"/>
              <w:right w:val="single" w:color="auto" w:sz="6" w:space="0"/>
            </w:tcBorders>
            <w:noWrap/>
            <w:vAlign w:val="center"/>
          </w:tcPr>
          <w:p w14:paraId="51BC287F">
            <w:pPr>
              <w:autoSpaceDE/>
              <w:autoSpaceDN/>
              <w:spacing w:line="240" w:lineRule="auto"/>
              <w:ind w:firstLine="0" w:firstLineChars="0"/>
              <w:outlineLvl w:val="9"/>
              <w:rPr>
                <w:rFonts w:hint="eastAsia" w:ascii="宋体" w:hAnsi="Calibri" w:eastAsia="宋体" w:cs="Calibri"/>
                <w:color w:val="auto"/>
                <w:sz w:val="20"/>
                <w:szCs w:val="21"/>
                <w:highlight w:val="none"/>
              </w:rPr>
            </w:pPr>
            <w:r>
              <w:rPr>
                <w:rFonts w:hint="eastAsia" w:ascii="宋体" w:hAnsi="Calibri" w:eastAsia="宋体" w:cs="Calibri"/>
                <w:color w:val="auto"/>
                <w:sz w:val="20"/>
                <w:szCs w:val="21"/>
                <w:highlight w:val="none"/>
              </w:rPr>
              <w:t>进电器</w:t>
            </w:r>
          </w:p>
        </w:tc>
        <w:tc>
          <w:tcPr>
            <w:tcW w:w="1215" w:type="dxa"/>
            <w:tcBorders>
              <w:top w:val="single" w:color="auto" w:sz="6" w:space="0"/>
              <w:left w:val="single" w:color="auto" w:sz="6" w:space="0"/>
              <w:bottom w:val="single" w:color="auto" w:sz="6" w:space="0"/>
              <w:right w:val="single" w:color="auto" w:sz="6" w:space="0"/>
            </w:tcBorders>
            <w:noWrap/>
            <w:vAlign w:val="center"/>
          </w:tcPr>
          <w:p w14:paraId="4EB59AEA">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657B3A1D">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7FEF0219">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718E6F76">
            <w:pPr>
              <w:autoSpaceDE/>
              <w:autoSpaceDN/>
              <w:spacing w:line="240" w:lineRule="auto"/>
              <w:ind w:firstLine="0" w:firstLineChars="0"/>
              <w:outlineLvl w:val="9"/>
              <w:rPr>
                <w:rFonts w:ascii="Lucida Sans" w:hAnsi="Lucida Sans" w:eastAsia="宋体" w:cs="Calibri"/>
                <w:color w:val="auto"/>
                <w:sz w:val="20"/>
                <w:szCs w:val="21"/>
                <w:highlight w:val="none"/>
              </w:rPr>
            </w:pPr>
          </w:p>
        </w:tc>
      </w:tr>
      <w:tr w14:paraId="1AA8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5FD5FFCC">
            <w:pPr>
              <w:autoSpaceDE/>
              <w:autoSpaceDN/>
              <w:spacing w:line="240" w:lineRule="auto"/>
              <w:ind w:firstLine="0" w:firstLineChars="0"/>
              <w:jc w:val="center"/>
              <w:outlineLvl w:val="9"/>
              <w:rPr>
                <w:rFonts w:ascii="Lucida Sans" w:hAnsi="Lucida Sans" w:eastAsia="宋体" w:cs="Calibri"/>
                <w:color w:val="auto"/>
                <w:sz w:val="20"/>
                <w:szCs w:val="21"/>
                <w:highlight w:val="none"/>
              </w:rPr>
            </w:pPr>
            <w:r>
              <w:rPr>
                <w:rFonts w:ascii="Lucida Sans" w:hAnsi="Lucida Sans" w:eastAsia="宋体" w:cs="Calibri"/>
                <w:color w:val="auto"/>
                <w:sz w:val="20"/>
                <w:szCs w:val="21"/>
                <w:highlight w:val="none"/>
              </w:rPr>
              <w:t>12</w:t>
            </w:r>
          </w:p>
        </w:tc>
        <w:tc>
          <w:tcPr>
            <w:tcW w:w="2460" w:type="dxa"/>
            <w:tcBorders>
              <w:top w:val="single" w:color="auto" w:sz="6" w:space="0"/>
              <w:left w:val="single" w:color="auto" w:sz="6" w:space="0"/>
              <w:bottom w:val="single" w:color="auto" w:sz="6" w:space="0"/>
              <w:right w:val="single" w:color="auto" w:sz="6" w:space="0"/>
            </w:tcBorders>
            <w:noWrap/>
            <w:vAlign w:val="center"/>
          </w:tcPr>
          <w:p w14:paraId="71FB0232">
            <w:pPr>
              <w:autoSpaceDE/>
              <w:autoSpaceDN/>
              <w:spacing w:line="240" w:lineRule="auto"/>
              <w:ind w:firstLine="0" w:firstLineChars="0"/>
              <w:outlineLvl w:val="9"/>
              <w:rPr>
                <w:rFonts w:hint="eastAsia" w:ascii="宋体" w:hAnsi="Calibri" w:eastAsia="宋体" w:cs="Calibri"/>
                <w:color w:val="auto"/>
                <w:sz w:val="20"/>
                <w:szCs w:val="21"/>
                <w:highlight w:val="none"/>
              </w:rPr>
            </w:pPr>
            <w:r>
              <w:rPr>
                <w:rFonts w:hint="eastAsia" w:ascii="宋体" w:hAnsi="Calibri" w:eastAsia="宋体" w:cs="Calibri"/>
                <w:color w:val="auto"/>
                <w:sz w:val="20"/>
                <w:szCs w:val="21"/>
                <w:highlight w:val="none"/>
              </w:rPr>
              <w:t>密码锁</w:t>
            </w:r>
          </w:p>
        </w:tc>
        <w:tc>
          <w:tcPr>
            <w:tcW w:w="1215" w:type="dxa"/>
            <w:tcBorders>
              <w:top w:val="single" w:color="auto" w:sz="6" w:space="0"/>
              <w:left w:val="single" w:color="auto" w:sz="6" w:space="0"/>
              <w:bottom w:val="single" w:color="auto" w:sz="6" w:space="0"/>
              <w:right w:val="single" w:color="auto" w:sz="6" w:space="0"/>
            </w:tcBorders>
            <w:noWrap/>
            <w:vAlign w:val="center"/>
          </w:tcPr>
          <w:p w14:paraId="6EC9AB78">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2EB832E2">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5FF9F623">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537284D5">
            <w:pPr>
              <w:autoSpaceDE/>
              <w:autoSpaceDN/>
              <w:spacing w:line="240" w:lineRule="auto"/>
              <w:ind w:firstLine="0" w:firstLineChars="0"/>
              <w:outlineLvl w:val="9"/>
              <w:rPr>
                <w:rFonts w:ascii="Lucida Sans" w:hAnsi="Lucida Sans" w:eastAsia="宋体" w:cs="Calibri"/>
                <w:color w:val="auto"/>
                <w:sz w:val="20"/>
                <w:szCs w:val="21"/>
                <w:highlight w:val="none"/>
              </w:rPr>
            </w:pPr>
          </w:p>
        </w:tc>
      </w:tr>
      <w:tr w14:paraId="3580A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1A335DD6">
            <w:pPr>
              <w:autoSpaceDE/>
              <w:autoSpaceDN/>
              <w:spacing w:line="240" w:lineRule="auto"/>
              <w:ind w:firstLine="0" w:firstLineChars="0"/>
              <w:jc w:val="center"/>
              <w:outlineLvl w:val="9"/>
              <w:rPr>
                <w:rFonts w:ascii="Lucida Sans" w:hAnsi="Lucida Sans" w:eastAsia="宋体" w:cs="Calibri"/>
                <w:color w:val="auto"/>
                <w:sz w:val="20"/>
                <w:szCs w:val="21"/>
                <w:highlight w:val="none"/>
              </w:rPr>
            </w:pPr>
            <w:r>
              <w:rPr>
                <w:rFonts w:ascii="Lucida Sans" w:hAnsi="Lucida Sans" w:eastAsia="宋体" w:cs="Calibri"/>
                <w:color w:val="auto"/>
                <w:sz w:val="20"/>
                <w:szCs w:val="21"/>
                <w:highlight w:val="none"/>
              </w:rPr>
              <w:t>13</w:t>
            </w:r>
          </w:p>
        </w:tc>
        <w:tc>
          <w:tcPr>
            <w:tcW w:w="2460" w:type="dxa"/>
            <w:tcBorders>
              <w:top w:val="single" w:color="auto" w:sz="6" w:space="0"/>
              <w:left w:val="single" w:color="auto" w:sz="6" w:space="0"/>
              <w:bottom w:val="single" w:color="auto" w:sz="6" w:space="0"/>
              <w:right w:val="single" w:color="auto" w:sz="6" w:space="0"/>
            </w:tcBorders>
            <w:noWrap/>
            <w:vAlign w:val="center"/>
          </w:tcPr>
          <w:p w14:paraId="387FE84E">
            <w:pPr>
              <w:autoSpaceDE/>
              <w:autoSpaceDN/>
              <w:spacing w:line="240" w:lineRule="auto"/>
              <w:ind w:firstLine="0" w:firstLineChars="0"/>
              <w:outlineLvl w:val="9"/>
              <w:rPr>
                <w:rFonts w:hint="eastAsia" w:ascii="宋体" w:hAnsi="Calibri" w:eastAsia="宋体" w:cs="Calibri"/>
                <w:color w:val="auto"/>
                <w:sz w:val="20"/>
                <w:szCs w:val="21"/>
                <w:highlight w:val="none"/>
              </w:rPr>
            </w:pPr>
            <w:r>
              <w:rPr>
                <w:rFonts w:hint="eastAsia" w:ascii="宋体" w:hAnsi="Calibri" w:eastAsia="宋体" w:cs="Calibri"/>
                <w:color w:val="auto"/>
                <w:sz w:val="20"/>
                <w:szCs w:val="21"/>
                <w:highlight w:val="none"/>
              </w:rPr>
              <w:t>机械锁</w:t>
            </w:r>
          </w:p>
        </w:tc>
        <w:tc>
          <w:tcPr>
            <w:tcW w:w="1215" w:type="dxa"/>
            <w:tcBorders>
              <w:top w:val="single" w:color="auto" w:sz="6" w:space="0"/>
              <w:left w:val="single" w:color="auto" w:sz="6" w:space="0"/>
              <w:bottom w:val="single" w:color="auto" w:sz="6" w:space="0"/>
              <w:right w:val="single" w:color="auto" w:sz="6" w:space="0"/>
            </w:tcBorders>
            <w:noWrap/>
            <w:vAlign w:val="center"/>
          </w:tcPr>
          <w:p w14:paraId="11A5BCB8">
            <w:pPr>
              <w:autoSpaceDE/>
              <w:autoSpaceDN/>
              <w:spacing w:line="240" w:lineRule="auto"/>
              <w:ind w:firstLine="0" w:firstLineChars="0"/>
              <w:jc w:val="center"/>
              <w:outlineLvl w:val="9"/>
              <w:rPr>
                <w:rFonts w:ascii="Lucida Sans" w:hAnsi="Lucida Sans"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655F6E97">
            <w:pPr>
              <w:autoSpaceDE/>
              <w:autoSpaceDN/>
              <w:spacing w:line="240" w:lineRule="auto"/>
              <w:ind w:firstLine="0" w:firstLineChars="0"/>
              <w:jc w:val="center"/>
              <w:outlineLvl w:val="9"/>
              <w:rPr>
                <w:rFonts w:ascii="Lucida Sans" w:hAnsi="Lucida Sans"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2AA76B41">
            <w:pPr>
              <w:autoSpaceDE/>
              <w:autoSpaceDN/>
              <w:spacing w:line="240" w:lineRule="auto"/>
              <w:ind w:firstLine="0" w:firstLineChars="0"/>
              <w:jc w:val="center"/>
              <w:outlineLvl w:val="9"/>
              <w:rPr>
                <w:rFonts w:ascii="Lucida Sans" w:hAnsi="Lucida Sans"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6F1662D9">
            <w:pPr>
              <w:autoSpaceDE/>
              <w:autoSpaceDN/>
              <w:spacing w:line="240" w:lineRule="auto"/>
              <w:ind w:firstLine="0" w:firstLineChars="0"/>
              <w:outlineLvl w:val="9"/>
              <w:rPr>
                <w:rFonts w:ascii="Lucida Sans" w:hAnsi="Lucida Sans" w:eastAsia="宋体" w:cs="Calibri"/>
                <w:color w:val="auto"/>
                <w:sz w:val="20"/>
                <w:szCs w:val="21"/>
                <w:highlight w:val="none"/>
              </w:rPr>
            </w:pPr>
          </w:p>
        </w:tc>
      </w:tr>
      <w:tr w14:paraId="6A2AA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30824880">
            <w:pPr>
              <w:autoSpaceDE/>
              <w:autoSpaceDN/>
              <w:spacing w:line="240" w:lineRule="auto"/>
              <w:ind w:firstLine="0" w:firstLineChars="0"/>
              <w:jc w:val="center"/>
              <w:outlineLvl w:val="9"/>
              <w:rPr>
                <w:rFonts w:ascii="Lucida Sans" w:hAnsi="Lucida Sans" w:eastAsia="宋体" w:cs="Calibri"/>
                <w:color w:val="auto"/>
                <w:sz w:val="20"/>
                <w:szCs w:val="21"/>
                <w:highlight w:val="none"/>
              </w:rPr>
            </w:pPr>
            <w:r>
              <w:rPr>
                <w:rFonts w:ascii="Lucida Sans" w:hAnsi="Lucida Sans" w:eastAsia="宋体" w:cs="Calibri"/>
                <w:color w:val="auto"/>
                <w:sz w:val="20"/>
                <w:szCs w:val="21"/>
                <w:highlight w:val="none"/>
              </w:rPr>
              <w:t>14</w:t>
            </w:r>
          </w:p>
        </w:tc>
        <w:tc>
          <w:tcPr>
            <w:tcW w:w="2460" w:type="dxa"/>
            <w:tcBorders>
              <w:top w:val="single" w:color="auto" w:sz="6" w:space="0"/>
              <w:left w:val="single" w:color="auto" w:sz="6" w:space="0"/>
              <w:bottom w:val="single" w:color="auto" w:sz="6" w:space="0"/>
              <w:right w:val="single" w:color="auto" w:sz="6" w:space="0"/>
            </w:tcBorders>
            <w:noWrap/>
            <w:vAlign w:val="center"/>
          </w:tcPr>
          <w:p w14:paraId="54B2115D">
            <w:pPr>
              <w:autoSpaceDE/>
              <w:autoSpaceDN/>
              <w:spacing w:line="240" w:lineRule="auto"/>
              <w:ind w:firstLine="0" w:firstLineChars="0"/>
              <w:outlineLvl w:val="9"/>
              <w:rPr>
                <w:rFonts w:hint="eastAsia" w:ascii="宋体" w:hAnsi="Calibri" w:eastAsia="宋体" w:cs="Calibri"/>
                <w:color w:val="auto"/>
                <w:sz w:val="20"/>
                <w:szCs w:val="21"/>
                <w:highlight w:val="none"/>
              </w:rPr>
            </w:pPr>
            <w:r>
              <w:rPr>
                <w:rFonts w:hint="eastAsia" w:ascii="宋体" w:hAnsi="Calibri" w:eastAsia="宋体" w:cs="Calibri"/>
                <w:color w:val="auto"/>
                <w:sz w:val="20"/>
                <w:szCs w:val="21"/>
                <w:highlight w:val="none"/>
              </w:rPr>
              <w:t>上柜门锁</w:t>
            </w:r>
          </w:p>
        </w:tc>
        <w:tc>
          <w:tcPr>
            <w:tcW w:w="1215" w:type="dxa"/>
            <w:tcBorders>
              <w:top w:val="single" w:color="auto" w:sz="6" w:space="0"/>
              <w:left w:val="single" w:color="auto" w:sz="6" w:space="0"/>
              <w:bottom w:val="single" w:color="auto" w:sz="6" w:space="0"/>
              <w:right w:val="single" w:color="auto" w:sz="6" w:space="0"/>
            </w:tcBorders>
            <w:noWrap/>
            <w:vAlign w:val="center"/>
          </w:tcPr>
          <w:p w14:paraId="68466128">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682EEB08">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3C2ABBAF">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3F481EC1">
            <w:pPr>
              <w:autoSpaceDE/>
              <w:autoSpaceDN/>
              <w:spacing w:line="240" w:lineRule="auto"/>
              <w:ind w:firstLine="0" w:firstLineChars="0"/>
              <w:outlineLvl w:val="9"/>
              <w:rPr>
                <w:rFonts w:ascii="Lucida Sans" w:hAnsi="Lucida Sans" w:eastAsia="宋体" w:cs="Calibri"/>
                <w:color w:val="auto"/>
                <w:sz w:val="20"/>
                <w:szCs w:val="21"/>
                <w:highlight w:val="none"/>
              </w:rPr>
            </w:pPr>
          </w:p>
        </w:tc>
      </w:tr>
      <w:tr w14:paraId="32233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488F89FE">
            <w:pPr>
              <w:autoSpaceDE/>
              <w:autoSpaceDN/>
              <w:spacing w:line="240" w:lineRule="auto"/>
              <w:ind w:firstLine="0" w:firstLineChars="0"/>
              <w:jc w:val="center"/>
              <w:outlineLvl w:val="9"/>
              <w:rPr>
                <w:rFonts w:ascii="Lucida Sans" w:hAnsi="Lucida Sans" w:eastAsia="宋体" w:cs="Calibri"/>
                <w:color w:val="auto"/>
                <w:sz w:val="20"/>
                <w:szCs w:val="21"/>
                <w:highlight w:val="none"/>
              </w:rPr>
            </w:pPr>
            <w:r>
              <w:rPr>
                <w:rFonts w:ascii="Lucida Sans" w:hAnsi="Lucida Sans" w:eastAsia="宋体" w:cs="Calibri"/>
                <w:color w:val="auto"/>
                <w:sz w:val="20"/>
                <w:szCs w:val="21"/>
                <w:highlight w:val="none"/>
              </w:rPr>
              <w:t>15</w:t>
            </w:r>
          </w:p>
        </w:tc>
        <w:tc>
          <w:tcPr>
            <w:tcW w:w="2460" w:type="dxa"/>
            <w:tcBorders>
              <w:top w:val="single" w:color="auto" w:sz="6" w:space="0"/>
              <w:left w:val="single" w:color="auto" w:sz="6" w:space="0"/>
              <w:bottom w:val="single" w:color="auto" w:sz="6" w:space="0"/>
              <w:right w:val="single" w:color="auto" w:sz="6" w:space="0"/>
            </w:tcBorders>
            <w:noWrap/>
            <w:vAlign w:val="center"/>
          </w:tcPr>
          <w:p w14:paraId="4A016DC4">
            <w:pPr>
              <w:autoSpaceDE/>
              <w:autoSpaceDN/>
              <w:spacing w:line="240" w:lineRule="auto"/>
              <w:ind w:firstLine="0" w:firstLineChars="0"/>
              <w:outlineLvl w:val="9"/>
              <w:rPr>
                <w:rFonts w:hint="eastAsia" w:ascii="宋体" w:hAnsi="Calibri" w:eastAsia="宋体" w:cs="Calibri"/>
                <w:color w:val="auto"/>
                <w:sz w:val="20"/>
                <w:szCs w:val="21"/>
                <w:highlight w:val="none"/>
              </w:rPr>
            </w:pPr>
            <w:r>
              <w:rPr>
                <w:rFonts w:hint="eastAsia" w:ascii="宋体" w:hAnsi="Calibri" w:eastAsia="宋体" w:cs="Calibri"/>
                <w:color w:val="auto"/>
                <w:sz w:val="20"/>
                <w:szCs w:val="21"/>
                <w:highlight w:val="none"/>
              </w:rPr>
              <w:t>机柜</w:t>
            </w:r>
          </w:p>
        </w:tc>
        <w:tc>
          <w:tcPr>
            <w:tcW w:w="1215" w:type="dxa"/>
            <w:tcBorders>
              <w:top w:val="single" w:color="auto" w:sz="6" w:space="0"/>
              <w:left w:val="single" w:color="auto" w:sz="6" w:space="0"/>
              <w:bottom w:val="single" w:color="auto" w:sz="6" w:space="0"/>
              <w:right w:val="single" w:color="auto" w:sz="6" w:space="0"/>
            </w:tcBorders>
            <w:noWrap/>
            <w:vAlign w:val="center"/>
          </w:tcPr>
          <w:p w14:paraId="0841A8EF">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04B141B3">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0B089527">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15C5411C">
            <w:pPr>
              <w:autoSpaceDE/>
              <w:autoSpaceDN/>
              <w:spacing w:line="240" w:lineRule="auto"/>
              <w:ind w:firstLine="0" w:firstLineChars="0"/>
              <w:outlineLvl w:val="9"/>
              <w:rPr>
                <w:rFonts w:ascii="Lucida Sans" w:hAnsi="Lucida Sans" w:eastAsia="宋体" w:cs="Calibri"/>
                <w:color w:val="auto"/>
                <w:sz w:val="20"/>
                <w:szCs w:val="21"/>
                <w:highlight w:val="none"/>
              </w:rPr>
            </w:pPr>
          </w:p>
        </w:tc>
      </w:tr>
      <w:tr w14:paraId="576B7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05009B71">
            <w:pPr>
              <w:autoSpaceDE/>
              <w:autoSpaceDN/>
              <w:spacing w:line="240" w:lineRule="auto"/>
              <w:ind w:firstLine="0" w:firstLineChars="0"/>
              <w:jc w:val="center"/>
              <w:outlineLvl w:val="9"/>
              <w:rPr>
                <w:rFonts w:ascii="Lucida Sans" w:hAnsi="Lucida Sans" w:eastAsia="宋体" w:cs="Calibri"/>
                <w:color w:val="auto"/>
                <w:sz w:val="20"/>
                <w:szCs w:val="21"/>
                <w:highlight w:val="none"/>
              </w:rPr>
            </w:pPr>
            <w:r>
              <w:rPr>
                <w:rFonts w:ascii="Lucida Sans" w:hAnsi="Lucida Sans" w:eastAsia="宋体" w:cs="Calibri"/>
                <w:color w:val="auto"/>
                <w:sz w:val="20"/>
                <w:szCs w:val="21"/>
                <w:highlight w:val="none"/>
              </w:rPr>
              <w:t>16</w:t>
            </w:r>
          </w:p>
        </w:tc>
        <w:tc>
          <w:tcPr>
            <w:tcW w:w="2460" w:type="dxa"/>
            <w:tcBorders>
              <w:top w:val="single" w:color="auto" w:sz="6" w:space="0"/>
              <w:left w:val="single" w:color="auto" w:sz="6" w:space="0"/>
              <w:bottom w:val="single" w:color="auto" w:sz="6" w:space="0"/>
              <w:right w:val="single" w:color="auto" w:sz="6" w:space="0"/>
            </w:tcBorders>
            <w:noWrap/>
            <w:vAlign w:val="center"/>
          </w:tcPr>
          <w:p w14:paraId="784EAB8B">
            <w:pPr>
              <w:autoSpaceDE/>
              <w:autoSpaceDN/>
              <w:spacing w:line="240" w:lineRule="auto"/>
              <w:ind w:firstLine="0" w:firstLineChars="0"/>
              <w:outlineLvl w:val="9"/>
              <w:rPr>
                <w:rFonts w:hint="eastAsia" w:ascii="宋体" w:hAnsi="Calibri" w:eastAsia="宋体" w:cs="Calibri"/>
                <w:color w:val="auto"/>
                <w:sz w:val="20"/>
                <w:szCs w:val="21"/>
                <w:highlight w:val="none"/>
              </w:rPr>
            </w:pPr>
            <w:r>
              <w:rPr>
                <w:rFonts w:hint="eastAsia" w:ascii="宋体" w:hAnsi="Calibri" w:eastAsia="宋体" w:cs="Calibri"/>
                <w:color w:val="auto"/>
                <w:sz w:val="20"/>
                <w:szCs w:val="21"/>
                <w:highlight w:val="none"/>
              </w:rPr>
              <w:t>穿墙框</w:t>
            </w:r>
          </w:p>
        </w:tc>
        <w:tc>
          <w:tcPr>
            <w:tcW w:w="1215" w:type="dxa"/>
            <w:tcBorders>
              <w:top w:val="single" w:color="auto" w:sz="6" w:space="0"/>
              <w:left w:val="single" w:color="auto" w:sz="6" w:space="0"/>
              <w:bottom w:val="single" w:color="auto" w:sz="6" w:space="0"/>
              <w:right w:val="single" w:color="auto" w:sz="6" w:space="0"/>
            </w:tcBorders>
            <w:noWrap/>
            <w:vAlign w:val="center"/>
          </w:tcPr>
          <w:p w14:paraId="3219BA0D">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3A3BC4DC">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7E238278">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27010B31">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r>
      <w:tr w14:paraId="42DA6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08891C65">
            <w:pPr>
              <w:autoSpaceDE/>
              <w:autoSpaceDN/>
              <w:spacing w:line="240" w:lineRule="auto"/>
              <w:ind w:firstLine="0" w:firstLineChars="0"/>
              <w:jc w:val="center"/>
              <w:outlineLvl w:val="9"/>
              <w:rPr>
                <w:rFonts w:ascii="Lucida Sans" w:hAnsi="Lucida Sans" w:eastAsia="宋体" w:cs="Calibri"/>
                <w:color w:val="auto"/>
                <w:sz w:val="20"/>
                <w:szCs w:val="21"/>
                <w:highlight w:val="none"/>
              </w:rPr>
            </w:pPr>
            <w:r>
              <w:rPr>
                <w:rFonts w:ascii="Lucida Sans" w:hAnsi="Lucida Sans" w:eastAsia="宋体" w:cs="Calibri"/>
                <w:color w:val="auto"/>
                <w:sz w:val="20"/>
                <w:szCs w:val="21"/>
                <w:highlight w:val="none"/>
              </w:rPr>
              <w:t>17</w:t>
            </w:r>
          </w:p>
        </w:tc>
        <w:tc>
          <w:tcPr>
            <w:tcW w:w="2460" w:type="dxa"/>
            <w:tcBorders>
              <w:top w:val="single" w:color="auto" w:sz="6" w:space="0"/>
              <w:left w:val="single" w:color="auto" w:sz="6" w:space="0"/>
              <w:bottom w:val="single" w:color="auto" w:sz="6" w:space="0"/>
              <w:right w:val="single" w:color="auto" w:sz="6" w:space="0"/>
            </w:tcBorders>
            <w:noWrap/>
            <w:vAlign w:val="center"/>
          </w:tcPr>
          <w:p w14:paraId="1141BAD5">
            <w:pPr>
              <w:autoSpaceDE/>
              <w:autoSpaceDN/>
              <w:spacing w:line="240" w:lineRule="auto"/>
              <w:ind w:firstLine="0" w:firstLineChars="0"/>
              <w:outlineLvl w:val="9"/>
              <w:rPr>
                <w:rFonts w:hint="eastAsia" w:ascii="宋体" w:hAnsi="Calibri" w:eastAsia="宋体" w:cs="Calibri"/>
                <w:color w:val="auto"/>
                <w:sz w:val="20"/>
                <w:szCs w:val="21"/>
                <w:highlight w:val="none"/>
              </w:rPr>
            </w:pPr>
            <w:r>
              <w:rPr>
                <w:rFonts w:hint="eastAsia" w:ascii="宋体" w:hAnsi="Calibri" w:eastAsia="宋体" w:cs="Calibri"/>
                <w:color w:val="auto"/>
                <w:sz w:val="20"/>
                <w:szCs w:val="21"/>
                <w:highlight w:val="none"/>
              </w:rPr>
              <w:t>存取款模块</w:t>
            </w:r>
          </w:p>
        </w:tc>
        <w:tc>
          <w:tcPr>
            <w:tcW w:w="1215" w:type="dxa"/>
            <w:tcBorders>
              <w:top w:val="single" w:color="auto" w:sz="6" w:space="0"/>
              <w:left w:val="single" w:color="auto" w:sz="6" w:space="0"/>
              <w:bottom w:val="single" w:color="auto" w:sz="6" w:space="0"/>
              <w:right w:val="single" w:color="auto" w:sz="6" w:space="0"/>
            </w:tcBorders>
            <w:noWrap/>
            <w:vAlign w:val="center"/>
          </w:tcPr>
          <w:p w14:paraId="4155EDC7">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11746578">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4880962E">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5004CF43">
            <w:pPr>
              <w:autoSpaceDE/>
              <w:autoSpaceDN/>
              <w:spacing w:line="240" w:lineRule="auto"/>
              <w:ind w:firstLine="0" w:firstLineChars="0"/>
              <w:outlineLvl w:val="9"/>
              <w:rPr>
                <w:rFonts w:hint="eastAsia" w:ascii="宋体" w:hAnsi="Calibri" w:eastAsia="宋体" w:cs="Calibri"/>
                <w:color w:val="auto"/>
                <w:sz w:val="20"/>
                <w:szCs w:val="21"/>
                <w:highlight w:val="none"/>
              </w:rPr>
            </w:pPr>
          </w:p>
        </w:tc>
      </w:tr>
      <w:tr w14:paraId="15C2B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01CC7DE0">
            <w:pPr>
              <w:autoSpaceDE/>
              <w:autoSpaceDN/>
              <w:spacing w:line="240" w:lineRule="auto"/>
              <w:ind w:firstLine="0" w:firstLineChars="0"/>
              <w:jc w:val="center"/>
              <w:outlineLvl w:val="9"/>
              <w:rPr>
                <w:rFonts w:ascii="Lucida Sans" w:hAnsi="Lucida Sans" w:eastAsia="宋体" w:cs="Calibri"/>
                <w:color w:val="auto"/>
                <w:sz w:val="20"/>
                <w:szCs w:val="21"/>
                <w:highlight w:val="none"/>
              </w:rPr>
            </w:pPr>
            <w:r>
              <w:rPr>
                <w:rFonts w:ascii="Lucida Sans" w:hAnsi="Lucida Sans" w:eastAsia="宋体" w:cs="Calibri"/>
                <w:color w:val="auto"/>
                <w:sz w:val="20"/>
                <w:szCs w:val="21"/>
                <w:highlight w:val="none"/>
              </w:rPr>
              <w:t>18</w:t>
            </w:r>
          </w:p>
        </w:tc>
        <w:tc>
          <w:tcPr>
            <w:tcW w:w="2460" w:type="dxa"/>
            <w:tcBorders>
              <w:top w:val="single" w:color="auto" w:sz="6" w:space="0"/>
              <w:left w:val="single" w:color="auto" w:sz="6" w:space="0"/>
              <w:bottom w:val="single" w:color="auto" w:sz="6" w:space="0"/>
              <w:right w:val="single" w:color="auto" w:sz="6" w:space="0"/>
            </w:tcBorders>
            <w:noWrap/>
            <w:vAlign w:val="center"/>
          </w:tcPr>
          <w:p w14:paraId="7B0AAE3C">
            <w:pPr>
              <w:autoSpaceDE/>
              <w:autoSpaceDN/>
              <w:spacing w:line="240" w:lineRule="auto"/>
              <w:ind w:firstLine="0" w:firstLineChars="0"/>
              <w:outlineLvl w:val="9"/>
              <w:rPr>
                <w:rFonts w:hint="eastAsia" w:ascii="宋体" w:hAnsi="Calibri" w:eastAsia="宋体" w:cs="Calibri"/>
                <w:color w:val="auto"/>
                <w:sz w:val="20"/>
                <w:szCs w:val="21"/>
                <w:highlight w:val="none"/>
              </w:rPr>
            </w:pPr>
            <w:r>
              <w:rPr>
                <w:rFonts w:hint="eastAsia" w:ascii="宋体" w:hAnsi="Calibri" w:eastAsia="宋体" w:cs="Calibri"/>
                <w:color w:val="auto"/>
                <w:sz w:val="20"/>
                <w:szCs w:val="21"/>
                <w:highlight w:val="none"/>
              </w:rPr>
              <w:t>取款箱</w:t>
            </w:r>
          </w:p>
        </w:tc>
        <w:tc>
          <w:tcPr>
            <w:tcW w:w="1215" w:type="dxa"/>
            <w:tcBorders>
              <w:top w:val="single" w:color="auto" w:sz="6" w:space="0"/>
              <w:left w:val="single" w:color="auto" w:sz="6" w:space="0"/>
              <w:bottom w:val="single" w:color="auto" w:sz="6" w:space="0"/>
              <w:right w:val="single" w:color="auto" w:sz="6" w:space="0"/>
            </w:tcBorders>
            <w:noWrap/>
            <w:vAlign w:val="center"/>
          </w:tcPr>
          <w:p w14:paraId="0B3FD14C">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7C726DDE">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6A9332C0">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753D62D4">
            <w:pPr>
              <w:autoSpaceDE/>
              <w:autoSpaceDN/>
              <w:spacing w:line="240" w:lineRule="auto"/>
              <w:ind w:firstLine="0" w:firstLineChars="0"/>
              <w:outlineLvl w:val="9"/>
              <w:rPr>
                <w:rFonts w:hint="eastAsia" w:ascii="宋体" w:hAnsi="Calibri" w:eastAsia="宋体" w:cs="Calibri"/>
                <w:color w:val="auto"/>
                <w:sz w:val="20"/>
                <w:szCs w:val="21"/>
                <w:highlight w:val="none"/>
              </w:rPr>
            </w:pPr>
          </w:p>
        </w:tc>
      </w:tr>
      <w:tr w14:paraId="6C37E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02AB1751">
            <w:pPr>
              <w:autoSpaceDE/>
              <w:autoSpaceDN/>
              <w:spacing w:line="240" w:lineRule="auto"/>
              <w:ind w:firstLine="0" w:firstLineChars="0"/>
              <w:jc w:val="center"/>
              <w:outlineLvl w:val="9"/>
              <w:rPr>
                <w:rFonts w:ascii="Lucida Sans" w:hAnsi="Lucida Sans" w:eastAsia="宋体" w:cs="Calibri"/>
                <w:color w:val="auto"/>
                <w:sz w:val="20"/>
                <w:szCs w:val="21"/>
                <w:highlight w:val="none"/>
              </w:rPr>
            </w:pPr>
            <w:r>
              <w:rPr>
                <w:rFonts w:ascii="Lucida Sans" w:hAnsi="Lucida Sans" w:eastAsia="宋体" w:cs="Calibri"/>
                <w:color w:val="auto"/>
                <w:sz w:val="20"/>
                <w:szCs w:val="21"/>
                <w:highlight w:val="none"/>
              </w:rPr>
              <w:t>19</w:t>
            </w:r>
          </w:p>
        </w:tc>
        <w:tc>
          <w:tcPr>
            <w:tcW w:w="2460" w:type="dxa"/>
            <w:tcBorders>
              <w:top w:val="single" w:color="auto" w:sz="6" w:space="0"/>
              <w:left w:val="single" w:color="auto" w:sz="6" w:space="0"/>
              <w:bottom w:val="single" w:color="auto" w:sz="6" w:space="0"/>
              <w:right w:val="single" w:color="auto" w:sz="6" w:space="0"/>
            </w:tcBorders>
            <w:noWrap/>
            <w:vAlign w:val="center"/>
          </w:tcPr>
          <w:p w14:paraId="0406D8B0">
            <w:pPr>
              <w:autoSpaceDE/>
              <w:autoSpaceDN/>
              <w:spacing w:line="240" w:lineRule="auto"/>
              <w:ind w:firstLine="0" w:firstLineChars="0"/>
              <w:outlineLvl w:val="9"/>
              <w:rPr>
                <w:rFonts w:hint="eastAsia" w:ascii="宋体" w:hAnsi="Calibri" w:eastAsia="宋体" w:cs="Calibri"/>
                <w:color w:val="auto"/>
                <w:sz w:val="20"/>
                <w:szCs w:val="21"/>
                <w:highlight w:val="none"/>
              </w:rPr>
            </w:pPr>
            <w:r>
              <w:rPr>
                <w:rFonts w:hint="eastAsia" w:ascii="宋体" w:hAnsi="Calibri" w:eastAsia="宋体" w:cs="Calibri"/>
                <w:color w:val="auto"/>
                <w:sz w:val="20"/>
                <w:szCs w:val="21"/>
                <w:highlight w:val="none"/>
              </w:rPr>
              <w:t>废钞箱</w:t>
            </w:r>
          </w:p>
        </w:tc>
        <w:tc>
          <w:tcPr>
            <w:tcW w:w="1215" w:type="dxa"/>
            <w:tcBorders>
              <w:top w:val="single" w:color="auto" w:sz="6" w:space="0"/>
              <w:left w:val="single" w:color="auto" w:sz="6" w:space="0"/>
              <w:bottom w:val="single" w:color="auto" w:sz="6" w:space="0"/>
              <w:right w:val="single" w:color="auto" w:sz="6" w:space="0"/>
            </w:tcBorders>
            <w:noWrap/>
            <w:vAlign w:val="center"/>
          </w:tcPr>
          <w:p w14:paraId="3798196D">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60DC6D62">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39CD480A">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6F4892D8">
            <w:pPr>
              <w:autoSpaceDE/>
              <w:autoSpaceDN/>
              <w:spacing w:line="240" w:lineRule="auto"/>
              <w:ind w:firstLine="0" w:firstLineChars="0"/>
              <w:outlineLvl w:val="9"/>
              <w:rPr>
                <w:rFonts w:hint="eastAsia" w:ascii="宋体" w:hAnsi="Calibri" w:eastAsia="宋体" w:cs="Calibri"/>
                <w:color w:val="auto"/>
                <w:sz w:val="20"/>
                <w:szCs w:val="21"/>
                <w:highlight w:val="none"/>
              </w:rPr>
            </w:pPr>
          </w:p>
        </w:tc>
      </w:tr>
      <w:tr w14:paraId="3362E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23F1BCD3">
            <w:pPr>
              <w:autoSpaceDE/>
              <w:autoSpaceDN/>
              <w:spacing w:line="240" w:lineRule="auto"/>
              <w:ind w:firstLine="0" w:firstLineChars="0"/>
              <w:jc w:val="center"/>
              <w:rPr>
                <w:rFonts w:ascii="Lucida Sans" w:hAnsi="Lucida Sans" w:eastAsia="宋体" w:cs="Calibri"/>
                <w:color w:val="auto"/>
                <w:sz w:val="20"/>
                <w:szCs w:val="21"/>
                <w:highlight w:val="none"/>
              </w:rPr>
            </w:pPr>
            <w:r>
              <w:rPr>
                <w:rFonts w:ascii="Lucida Sans" w:hAnsi="Lucida Sans" w:eastAsia="宋体" w:cs="Calibri"/>
                <w:color w:val="auto"/>
                <w:sz w:val="20"/>
                <w:szCs w:val="21"/>
                <w:highlight w:val="none"/>
              </w:rPr>
              <w:t>20</w:t>
            </w:r>
          </w:p>
        </w:tc>
        <w:tc>
          <w:tcPr>
            <w:tcW w:w="2460" w:type="dxa"/>
            <w:tcBorders>
              <w:top w:val="single" w:color="auto" w:sz="6" w:space="0"/>
              <w:left w:val="single" w:color="auto" w:sz="6" w:space="0"/>
              <w:bottom w:val="single" w:color="auto" w:sz="6" w:space="0"/>
              <w:right w:val="single" w:color="auto" w:sz="6" w:space="0"/>
            </w:tcBorders>
            <w:noWrap/>
            <w:vAlign w:val="center"/>
          </w:tcPr>
          <w:p w14:paraId="6D1B3B70">
            <w:pPr>
              <w:autoSpaceDE/>
              <w:autoSpaceDN/>
              <w:spacing w:line="240" w:lineRule="auto"/>
              <w:ind w:firstLine="0" w:firstLineChars="0"/>
              <w:rPr>
                <w:rFonts w:ascii="宋体" w:hAnsi="Calibri" w:eastAsia="宋体" w:cs="Calibri"/>
                <w:color w:val="auto"/>
                <w:sz w:val="20"/>
                <w:szCs w:val="21"/>
                <w:highlight w:val="none"/>
              </w:rPr>
            </w:pPr>
            <w:r>
              <w:rPr>
                <w:rFonts w:ascii="宋体" w:hAnsi="Calibri" w:eastAsia="宋体" w:cs="Calibri"/>
                <w:color w:val="auto"/>
                <w:sz w:val="20"/>
                <w:szCs w:val="21"/>
                <w:highlight w:val="none"/>
              </w:rPr>
              <w:t>动态密码锁</w:t>
            </w:r>
          </w:p>
        </w:tc>
        <w:tc>
          <w:tcPr>
            <w:tcW w:w="1215" w:type="dxa"/>
            <w:tcBorders>
              <w:top w:val="single" w:color="auto" w:sz="6" w:space="0"/>
              <w:left w:val="single" w:color="auto" w:sz="6" w:space="0"/>
              <w:bottom w:val="single" w:color="auto" w:sz="6" w:space="0"/>
              <w:right w:val="single" w:color="auto" w:sz="6" w:space="0"/>
            </w:tcBorders>
            <w:noWrap/>
            <w:vAlign w:val="center"/>
          </w:tcPr>
          <w:p w14:paraId="5EDF337C">
            <w:pPr>
              <w:autoSpaceDE/>
              <w:autoSpaceDN/>
              <w:spacing w:line="240" w:lineRule="auto"/>
              <w:ind w:firstLine="0" w:firstLineChars="0"/>
              <w:jc w:val="center"/>
              <w:rPr>
                <w:rFonts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37E2B070">
            <w:pPr>
              <w:autoSpaceDE/>
              <w:autoSpaceDN/>
              <w:spacing w:line="240" w:lineRule="auto"/>
              <w:ind w:firstLine="0" w:firstLineChars="0"/>
              <w:jc w:val="center"/>
              <w:rPr>
                <w:rFonts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53B5B0AA">
            <w:pPr>
              <w:autoSpaceDE/>
              <w:autoSpaceDN/>
              <w:spacing w:line="240" w:lineRule="auto"/>
              <w:ind w:firstLine="0" w:firstLineChars="0"/>
              <w:jc w:val="center"/>
              <w:rPr>
                <w:rFonts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28EA2C82">
            <w:pPr>
              <w:autoSpaceDE/>
              <w:autoSpaceDN/>
              <w:spacing w:line="240" w:lineRule="auto"/>
              <w:ind w:firstLine="0" w:firstLineChars="0"/>
              <w:rPr>
                <w:rFonts w:ascii="宋体" w:hAnsi="Calibri" w:eastAsia="宋体" w:cs="Calibri"/>
                <w:color w:val="auto"/>
                <w:sz w:val="20"/>
                <w:szCs w:val="21"/>
                <w:highlight w:val="none"/>
              </w:rPr>
            </w:pPr>
          </w:p>
        </w:tc>
      </w:tr>
      <w:tr w14:paraId="19AFD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64FD2023">
            <w:pPr>
              <w:autoSpaceDE/>
              <w:autoSpaceDN/>
              <w:spacing w:line="240" w:lineRule="auto"/>
              <w:ind w:firstLine="0" w:firstLineChars="0"/>
              <w:jc w:val="center"/>
              <w:outlineLvl w:val="9"/>
              <w:rPr>
                <w:rFonts w:ascii="Lucida Sans" w:hAnsi="Lucida Sans" w:eastAsia="宋体" w:cs="Calibri"/>
                <w:color w:val="auto"/>
                <w:sz w:val="20"/>
                <w:szCs w:val="21"/>
                <w:highlight w:val="none"/>
              </w:rPr>
            </w:pPr>
            <w:r>
              <w:rPr>
                <w:rFonts w:ascii="Lucida Sans" w:hAnsi="Lucida Sans" w:eastAsia="宋体" w:cs="Calibri"/>
                <w:color w:val="auto"/>
                <w:sz w:val="20"/>
                <w:szCs w:val="21"/>
                <w:highlight w:val="none"/>
              </w:rPr>
              <w:t>......</w:t>
            </w:r>
          </w:p>
        </w:tc>
        <w:tc>
          <w:tcPr>
            <w:tcW w:w="2460" w:type="dxa"/>
            <w:tcBorders>
              <w:top w:val="single" w:color="auto" w:sz="6" w:space="0"/>
              <w:left w:val="single" w:color="auto" w:sz="6" w:space="0"/>
              <w:bottom w:val="single" w:color="auto" w:sz="6" w:space="0"/>
              <w:right w:val="single" w:color="auto" w:sz="6" w:space="0"/>
            </w:tcBorders>
            <w:noWrap/>
            <w:vAlign w:val="center"/>
          </w:tcPr>
          <w:p w14:paraId="71903DAA">
            <w:pPr>
              <w:autoSpaceDE/>
              <w:autoSpaceDN/>
              <w:spacing w:line="240" w:lineRule="auto"/>
              <w:ind w:firstLine="0" w:firstLineChars="0"/>
              <w:outlineLvl w:val="9"/>
              <w:rPr>
                <w:rFonts w:hint="eastAsia" w:ascii="宋体" w:hAnsi="Calibri" w:eastAsia="宋体" w:cs="Calibri"/>
                <w:color w:val="auto"/>
                <w:sz w:val="20"/>
                <w:szCs w:val="21"/>
                <w:highlight w:val="none"/>
              </w:rPr>
            </w:pPr>
          </w:p>
        </w:tc>
        <w:tc>
          <w:tcPr>
            <w:tcW w:w="1215" w:type="dxa"/>
            <w:tcBorders>
              <w:top w:val="single" w:color="auto" w:sz="6" w:space="0"/>
              <w:left w:val="single" w:color="auto" w:sz="6" w:space="0"/>
              <w:bottom w:val="single" w:color="auto" w:sz="6" w:space="0"/>
              <w:right w:val="single" w:color="auto" w:sz="6" w:space="0"/>
            </w:tcBorders>
            <w:noWrap/>
            <w:vAlign w:val="center"/>
          </w:tcPr>
          <w:p w14:paraId="47536E4D">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10C6EB3F">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1952895B">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66EEAAE2">
            <w:pPr>
              <w:autoSpaceDE/>
              <w:autoSpaceDN/>
              <w:spacing w:line="240" w:lineRule="auto"/>
              <w:ind w:firstLine="0" w:firstLineChars="0"/>
              <w:outlineLvl w:val="9"/>
              <w:rPr>
                <w:rFonts w:hint="eastAsia" w:ascii="宋体" w:hAnsi="Calibri" w:eastAsia="宋体" w:cs="Calibri"/>
                <w:color w:val="auto"/>
                <w:sz w:val="20"/>
                <w:szCs w:val="21"/>
                <w:highlight w:val="none"/>
              </w:rPr>
            </w:pPr>
          </w:p>
        </w:tc>
      </w:tr>
      <w:tr w14:paraId="34B0C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371B3F6E">
            <w:pPr>
              <w:autoSpaceDE/>
              <w:autoSpaceDN/>
              <w:spacing w:line="240" w:lineRule="auto"/>
              <w:ind w:firstLine="0" w:firstLineChars="0"/>
              <w:jc w:val="center"/>
              <w:outlineLvl w:val="9"/>
              <w:rPr>
                <w:rFonts w:ascii="Lucida Sans" w:hAnsi="Lucida Sans" w:eastAsia="宋体" w:cs="Calibri"/>
                <w:color w:val="auto"/>
                <w:sz w:val="20"/>
                <w:szCs w:val="21"/>
                <w:highlight w:val="none"/>
              </w:rPr>
            </w:pPr>
          </w:p>
        </w:tc>
        <w:tc>
          <w:tcPr>
            <w:tcW w:w="2460" w:type="dxa"/>
            <w:tcBorders>
              <w:top w:val="single" w:color="auto" w:sz="6" w:space="0"/>
              <w:left w:val="single" w:color="auto" w:sz="6" w:space="0"/>
              <w:bottom w:val="single" w:color="auto" w:sz="6" w:space="0"/>
              <w:right w:val="single" w:color="auto" w:sz="6" w:space="0"/>
            </w:tcBorders>
            <w:noWrap/>
            <w:vAlign w:val="center"/>
          </w:tcPr>
          <w:p w14:paraId="45819A32">
            <w:pPr>
              <w:autoSpaceDE/>
              <w:autoSpaceDN/>
              <w:spacing w:line="240" w:lineRule="auto"/>
              <w:ind w:firstLine="0" w:firstLineChars="0"/>
              <w:outlineLvl w:val="9"/>
              <w:rPr>
                <w:rFonts w:hint="eastAsia" w:ascii="宋体" w:hAnsi="Calibri" w:eastAsia="宋体" w:cs="Calibri"/>
                <w:color w:val="auto"/>
                <w:sz w:val="20"/>
                <w:szCs w:val="21"/>
                <w:highlight w:val="none"/>
              </w:rPr>
            </w:pPr>
          </w:p>
        </w:tc>
        <w:tc>
          <w:tcPr>
            <w:tcW w:w="1215" w:type="dxa"/>
            <w:tcBorders>
              <w:top w:val="single" w:color="auto" w:sz="6" w:space="0"/>
              <w:left w:val="single" w:color="auto" w:sz="6" w:space="0"/>
              <w:bottom w:val="single" w:color="auto" w:sz="6" w:space="0"/>
              <w:right w:val="single" w:color="auto" w:sz="6" w:space="0"/>
            </w:tcBorders>
            <w:noWrap/>
            <w:vAlign w:val="center"/>
          </w:tcPr>
          <w:p w14:paraId="15545BEE">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100E5A89">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1F09C183">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0B8AA06F">
            <w:pPr>
              <w:autoSpaceDE/>
              <w:autoSpaceDN/>
              <w:spacing w:line="240" w:lineRule="auto"/>
              <w:ind w:firstLine="0" w:firstLineChars="0"/>
              <w:outlineLvl w:val="9"/>
              <w:rPr>
                <w:rFonts w:hint="eastAsia" w:ascii="宋体" w:hAnsi="Calibri" w:eastAsia="宋体" w:cs="Calibri"/>
                <w:color w:val="auto"/>
                <w:sz w:val="20"/>
                <w:szCs w:val="21"/>
                <w:highlight w:val="none"/>
              </w:rPr>
            </w:pPr>
          </w:p>
        </w:tc>
      </w:tr>
      <w:tr w14:paraId="04B69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63753C42">
            <w:pPr>
              <w:autoSpaceDE/>
              <w:autoSpaceDN/>
              <w:spacing w:line="240" w:lineRule="auto"/>
              <w:ind w:firstLine="0" w:firstLineChars="0"/>
              <w:jc w:val="center"/>
              <w:outlineLvl w:val="9"/>
              <w:rPr>
                <w:rFonts w:ascii="Lucida Sans" w:hAnsi="Lucida Sans" w:eastAsia="宋体" w:cs="Calibri"/>
                <w:color w:val="auto"/>
                <w:sz w:val="20"/>
                <w:szCs w:val="21"/>
                <w:highlight w:val="none"/>
              </w:rPr>
            </w:pPr>
          </w:p>
        </w:tc>
        <w:tc>
          <w:tcPr>
            <w:tcW w:w="2460" w:type="dxa"/>
            <w:tcBorders>
              <w:top w:val="single" w:color="auto" w:sz="6" w:space="0"/>
              <w:left w:val="single" w:color="auto" w:sz="6" w:space="0"/>
              <w:bottom w:val="single" w:color="auto" w:sz="6" w:space="0"/>
              <w:right w:val="single" w:color="auto" w:sz="6" w:space="0"/>
            </w:tcBorders>
            <w:noWrap/>
            <w:vAlign w:val="center"/>
          </w:tcPr>
          <w:p w14:paraId="0C8BD91A">
            <w:pPr>
              <w:autoSpaceDE/>
              <w:autoSpaceDN/>
              <w:spacing w:line="240" w:lineRule="auto"/>
              <w:ind w:firstLine="0" w:firstLineChars="0"/>
              <w:outlineLvl w:val="9"/>
              <w:rPr>
                <w:rFonts w:hint="eastAsia" w:ascii="宋体" w:hAnsi="Calibri" w:eastAsia="宋体" w:cs="Calibri"/>
                <w:color w:val="auto"/>
                <w:sz w:val="20"/>
                <w:szCs w:val="21"/>
                <w:highlight w:val="none"/>
              </w:rPr>
            </w:pPr>
          </w:p>
        </w:tc>
        <w:tc>
          <w:tcPr>
            <w:tcW w:w="1215" w:type="dxa"/>
            <w:tcBorders>
              <w:top w:val="single" w:color="auto" w:sz="6" w:space="0"/>
              <w:left w:val="single" w:color="auto" w:sz="6" w:space="0"/>
              <w:bottom w:val="single" w:color="auto" w:sz="6" w:space="0"/>
              <w:right w:val="single" w:color="auto" w:sz="6" w:space="0"/>
            </w:tcBorders>
            <w:noWrap/>
            <w:vAlign w:val="center"/>
          </w:tcPr>
          <w:p w14:paraId="4C7985C0">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1F8E7A04">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7D3F7891">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440879AB">
            <w:pPr>
              <w:autoSpaceDE/>
              <w:autoSpaceDN/>
              <w:spacing w:line="240" w:lineRule="auto"/>
              <w:ind w:firstLine="0" w:firstLineChars="0"/>
              <w:outlineLvl w:val="9"/>
              <w:rPr>
                <w:rFonts w:hint="eastAsia" w:ascii="宋体" w:hAnsi="Calibri" w:eastAsia="宋体" w:cs="Calibri"/>
                <w:color w:val="auto"/>
                <w:sz w:val="20"/>
                <w:szCs w:val="21"/>
                <w:highlight w:val="none"/>
              </w:rPr>
            </w:pPr>
          </w:p>
        </w:tc>
      </w:tr>
      <w:tr w14:paraId="4C390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47EF8614">
            <w:pPr>
              <w:autoSpaceDE/>
              <w:autoSpaceDN/>
              <w:spacing w:line="240" w:lineRule="auto"/>
              <w:ind w:firstLine="0" w:firstLineChars="0"/>
              <w:jc w:val="center"/>
              <w:outlineLvl w:val="9"/>
              <w:rPr>
                <w:rFonts w:ascii="Lucida Sans" w:hAnsi="Lucida Sans" w:eastAsia="宋体" w:cs="Calibri"/>
                <w:color w:val="auto"/>
                <w:sz w:val="20"/>
                <w:szCs w:val="21"/>
                <w:highlight w:val="none"/>
              </w:rPr>
            </w:pPr>
          </w:p>
        </w:tc>
        <w:tc>
          <w:tcPr>
            <w:tcW w:w="2460" w:type="dxa"/>
            <w:tcBorders>
              <w:top w:val="single" w:color="auto" w:sz="6" w:space="0"/>
              <w:left w:val="single" w:color="auto" w:sz="6" w:space="0"/>
              <w:bottom w:val="single" w:color="auto" w:sz="6" w:space="0"/>
              <w:right w:val="single" w:color="auto" w:sz="6" w:space="0"/>
            </w:tcBorders>
            <w:noWrap/>
            <w:vAlign w:val="center"/>
          </w:tcPr>
          <w:p w14:paraId="7AE1C4B6">
            <w:pPr>
              <w:autoSpaceDE/>
              <w:autoSpaceDN/>
              <w:spacing w:line="240" w:lineRule="auto"/>
              <w:ind w:firstLine="0" w:firstLineChars="0"/>
              <w:outlineLvl w:val="9"/>
              <w:rPr>
                <w:rFonts w:hint="eastAsia" w:ascii="宋体" w:hAnsi="Calibri" w:eastAsia="宋体" w:cs="Calibri"/>
                <w:color w:val="auto"/>
                <w:sz w:val="20"/>
                <w:szCs w:val="21"/>
                <w:highlight w:val="none"/>
              </w:rPr>
            </w:pPr>
          </w:p>
        </w:tc>
        <w:tc>
          <w:tcPr>
            <w:tcW w:w="1215" w:type="dxa"/>
            <w:tcBorders>
              <w:top w:val="single" w:color="auto" w:sz="6" w:space="0"/>
              <w:left w:val="single" w:color="auto" w:sz="6" w:space="0"/>
              <w:bottom w:val="single" w:color="auto" w:sz="6" w:space="0"/>
              <w:right w:val="single" w:color="auto" w:sz="6" w:space="0"/>
            </w:tcBorders>
            <w:noWrap/>
            <w:vAlign w:val="center"/>
          </w:tcPr>
          <w:p w14:paraId="4B1F5F9B">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25065DE5">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1BFB7B8F">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5119A697">
            <w:pPr>
              <w:autoSpaceDE/>
              <w:autoSpaceDN/>
              <w:spacing w:line="240" w:lineRule="auto"/>
              <w:ind w:firstLine="0" w:firstLineChars="0"/>
              <w:outlineLvl w:val="9"/>
              <w:rPr>
                <w:rFonts w:hint="eastAsia" w:ascii="宋体" w:hAnsi="Calibri" w:eastAsia="宋体" w:cs="Calibri"/>
                <w:color w:val="auto"/>
                <w:sz w:val="20"/>
                <w:szCs w:val="21"/>
                <w:highlight w:val="none"/>
              </w:rPr>
            </w:pPr>
          </w:p>
        </w:tc>
      </w:tr>
      <w:tr w14:paraId="4AAC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28B66113">
            <w:pPr>
              <w:autoSpaceDE/>
              <w:autoSpaceDN/>
              <w:spacing w:line="240" w:lineRule="auto"/>
              <w:ind w:firstLine="0" w:firstLineChars="0"/>
              <w:jc w:val="center"/>
              <w:outlineLvl w:val="9"/>
              <w:rPr>
                <w:rFonts w:ascii="Lucida Sans" w:hAnsi="Lucida Sans" w:eastAsia="宋体" w:cs="Calibri"/>
                <w:color w:val="auto"/>
                <w:sz w:val="20"/>
                <w:szCs w:val="21"/>
                <w:highlight w:val="none"/>
              </w:rPr>
            </w:pPr>
          </w:p>
        </w:tc>
        <w:tc>
          <w:tcPr>
            <w:tcW w:w="2460" w:type="dxa"/>
            <w:tcBorders>
              <w:top w:val="single" w:color="auto" w:sz="6" w:space="0"/>
              <w:left w:val="single" w:color="auto" w:sz="6" w:space="0"/>
              <w:bottom w:val="single" w:color="auto" w:sz="6" w:space="0"/>
              <w:right w:val="single" w:color="auto" w:sz="6" w:space="0"/>
            </w:tcBorders>
            <w:noWrap/>
            <w:vAlign w:val="center"/>
          </w:tcPr>
          <w:p w14:paraId="33D4DC41">
            <w:pPr>
              <w:autoSpaceDE/>
              <w:autoSpaceDN/>
              <w:spacing w:line="240" w:lineRule="auto"/>
              <w:ind w:firstLine="0" w:firstLineChars="0"/>
              <w:outlineLvl w:val="9"/>
              <w:rPr>
                <w:rFonts w:hint="eastAsia" w:ascii="宋体" w:hAnsi="Calibri" w:eastAsia="宋体" w:cs="Calibri"/>
                <w:color w:val="auto"/>
                <w:sz w:val="20"/>
                <w:szCs w:val="21"/>
                <w:highlight w:val="none"/>
              </w:rPr>
            </w:pPr>
          </w:p>
        </w:tc>
        <w:tc>
          <w:tcPr>
            <w:tcW w:w="1215" w:type="dxa"/>
            <w:tcBorders>
              <w:top w:val="single" w:color="auto" w:sz="6" w:space="0"/>
              <w:left w:val="single" w:color="auto" w:sz="6" w:space="0"/>
              <w:bottom w:val="single" w:color="auto" w:sz="6" w:space="0"/>
              <w:right w:val="single" w:color="auto" w:sz="6" w:space="0"/>
            </w:tcBorders>
            <w:noWrap/>
            <w:vAlign w:val="center"/>
          </w:tcPr>
          <w:p w14:paraId="6385249B">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1AC7386B">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429EDDAF">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04E17F91">
            <w:pPr>
              <w:autoSpaceDE/>
              <w:autoSpaceDN/>
              <w:spacing w:line="240" w:lineRule="auto"/>
              <w:ind w:firstLine="0" w:firstLineChars="0"/>
              <w:outlineLvl w:val="9"/>
              <w:rPr>
                <w:rFonts w:hint="eastAsia" w:ascii="宋体" w:hAnsi="Calibri" w:eastAsia="宋体" w:cs="Calibri"/>
                <w:color w:val="auto"/>
                <w:sz w:val="20"/>
                <w:szCs w:val="21"/>
                <w:highlight w:val="none"/>
              </w:rPr>
            </w:pPr>
          </w:p>
        </w:tc>
      </w:tr>
      <w:tr w14:paraId="09C2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1EC5AEB7">
            <w:pPr>
              <w:autoSpaceDE/>
              <w:autoSpaceDN/>
              <w:spacing w:line="240" w:lineRule="auto"/>
              <w:ind w:firstLine="0" w:firstLineChars="0"/>
              <w:jc w:val="center"/>
              <w:outlineLvl w:val="9"/>
              <w:rPr>
                <w:rFonts w:ascii="Lucida Sans" w:hAnsi="Lucida Sans" w:eastAsia="宋体" w:cs="Calibri"/>
                <w:color w:val="auto"/>
                <w:sz w:val="20"/>
                <w:szCs w:val="21"/>
                <w:highlight w:val="none"/>
              </w:rPr>
            </w:pPr>
          </w:p>
        </w:tc>
        <w:tc>
          <w:tcPr>
            <w:tcW w:w="2460" w:type="dxa"/>
            <w:tcBorders>
              <w:top w:val="single" w:color="auto" w:sz="6" w:space="0"/>
              <w:left w:val="single" w:color="auto" w:sz="6" w:space="0"/>
              <w:bottom w:val="single" w:color="auto" w:sz="6" w:space="0"/>
              <w:right w:val="single" w:color="auto" w:sz="6" w:space="0"/>
            </w:tcBorders>
            <w:noWrap/>
            <w:vAlign w:val="center"/>
          </w:tcPr>
          <w:p w14:paraId="57DC2FF9">
            <w:pPr>
              <w:autoSpaceDE/>
              <w:autoSpaceDN/>
              <w:spacing w:line="240" w:lineRule="auto"/>
              <w:ind w:firstLine="0" w:firstLineChars="0"/>
              <w:outlineLvl w:val="9"/>
              <w:rPr>
                <w:rFonts w:hint="eastAsia" w:ascii="宋体" w:hAnsi="Calibri" w:eastAsia="宋体" w:cs="Calibri"/>
                <w:color w:val="auto"/>
                <w:sz w:val="20"/>
                <w:szCs w:val="21"/>
                <w:highlight w:val="none"/>
              </w:rPr>
            </w:pPr>
          </w:p>
        </w:tc>
        <w:tc>
          <w:tcPr>
            <w:tcW w:w="1215" w:type="dxa"/>
            <w:tcBorders>
              <w:top w:val="single" w:color="auto" w:sz="6" w:space="0"/>
              <w:left w:val="single" w:color="auto" w:sz="6" w:space="0"/>
              <w:bottom w:val="single" w:color="auto" w:sz="6" w:space="0"/>
              <w:right w:val="single" w:color="auto" w:sz="6" w:space="0"/>
            </w:tcBorders>
            <w:noWrap/>
            <w:vAlign w:val="center"/>
          </w:tcPr>
          <w:p w14:paraId="4E0BD2C4">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5441EAEF">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42267723">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6F03E36E">
            <w:pPr>
              <w:autoSpaceDE/>
              <w:autoSpaceDN/>
              <w:spacing w:line="240" w:lineRule="auto"/>
              <w:ind w:firstLine="0" w:firstLineChars="0"/>
              <w:outlineLvl w:val="9"/>
              <w:rPr>
                <w:rFonts w:hint="eastAsia" w:ascii="宋体" w:hAnsi="Calibri" w:eastAsia="宋体" w:cs="Calibri"/>
                <w:color w:val="auto"/>
                <w:sz w:val="20"/>
                <w:szCs w:val="21"/>
                <w:highlight w:val="none"/>
              </w:rPr>
            </w:pPr>
          </w:p>
        </w:tc>
      </w:tr>
      <w:tr w14:paraId="2E2A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3870F0AE">
            <w:pPr>
              <w:autoSpaceDE/>
              <w:autoSpaceDN/>
              <w:spacing w:line="240" w:lineRule="auto"/>
              <w:ind w:firstLine="0" w:firstLineChars="0"/>
              <w:jc w:val="center"/>
              <w:outlineLvl w:val="9"/>
              <w:rPr>
                <w:rFonts w:ascii="Lucida Sans" w:hAnsi="Lucida Sans" w:eastAsia="宋体" w:cs="Calibri"/>
                <w:color w:val="auto"/>
                <w:sz w:val="20"/>
                <w:szCs w:val="21"/>
                <w:highlight w:val="none"/>
              </w:rPr>
            </w:pPr>
          </w:p>
        </w:tc>
        <w:tc>
          <w:tcPr>
            <w:tcW w:w="2460" w:type="dxa"/>
            <w:tcBorders>
              <w:top w:val="single" w:color="auto" w:sz="6" w:space="0"/>
              <w:left w:val="single" w:color="auto" w:sz="6" w:space="0"/>
              <w:bottom w:val="single" w:color="auto" w:sz="6" w:space="0"/>
              <w:right w:val="single" w:color="auto" w:sz="6" w:space="0"/>
            </w:tcBorders>
            <w:noWrap/>
            <w:vAlign w:val="center"/>
          </w:tcPr>
          <w:p w14:paraId="672B9922">
            <w:pPr>
              <w:autoSpaceDE/>
              <w:autoSpaceDN/>
              <w:spacing w:line="240" w:lineRule="auto"/>
              <w:ind w:firstLine="0" w:firstLineChars="0"/>
              <w:outlineLvl w:val="9"/>
              <w:rPr>
                <w:rFonts w:hint="eastAsia" w:ascii="宋体" w:hAnsi="Calibri" w:eastAsia="宋体" w:cs="Calibri"/>
                <w:color w:val="auto"/>
                <w:sz w:val="20"/>
                <w:szCs w:val="21"/>
                <w:highlight w:val="none"/>
              </w:rPr>
            </w:pPr>
          </w:p>
        </w:tc>
        <w:tc>
          <w:tcPr>
            <w:tcW w:w="1215" w:type="dxa"/>
            <w:tcBorders>
              <w:top w:val="single" w:color="auto" w:sz="6" w:space="0"/>
              <w:left w:val="single" w:color="auto" w:sz="6" w:space="0"/>
              <w:bottom w:val="single" w:color="auto" w:sz="6" w:space="0"/>
              <w:right w:val="single" w:color="auto" w:sz="6" w:space="0"/>
            </w:tcBorders>
            <w:noWrap/>
            <w:vAlign w:val="center"/>
          </w:tcPr>
          <w:p w14:paraId="47331C9B">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625ED4D0">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68C4B8D2">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2B6B80B6">
            <w:pPr>
              <w:autoSpaceDE/>
              <w:autoSpaceDN/>
              <w:spacing w:line="240" w:lineRule="auto"/>
              <w:ind w:firstLine="0" w:firstLineChars="0"/>
              <w:outlineLvl w:val="9"/>
              <w:rPr>
                <w:rFonts w:hint="eastAsia" w:ascii="宋体" w:hAnsi="Calibri" w:eastAsia="宋体" w:cs="Calibri"/>
                <w:color w:val="auto"/>
                <w:sz w:val="20"/>
                <w:szCs w:val="21"/>
                <w:highlight w:val="none"/>
              </w:rPr>
            </w:pPr>
          </w:p>
        </w:tc>
      </w:tr>
      <w:tr w14:paraId="26F3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51D5AF5A">
            <w:pPr>
              <w:autoSpaceDE/>
              <w:autoSpaceDN/>
              <w:spacing w:line="240" w:lineRule="auto"/>
              <w:ind w:firstLine="0" w:firstLineChars="0"/>
              <w:jc w:val="center"/>
              <w:outlineLvl w:val="9"/>
              <w:rPr>
                <w:rFonts w:ascii="Lucida Sans" w:hAnsi="Lucida Sans" w:eastAsia="宋体" w:cs="Calibri"/>
                <w:color w:val="auto"/>
                <w:sz w:val="20"/>
                <w:szCs w:val="21"/>
                <w:highlight w:val="none"/>
              </w:rPr>
            </w:pPr>
          </w:p>
        </w:tc>
        <w:tc>
          <w:tcPr>
            <w:tcW w:w="2460" w:type="dxa"/>
            <w:tcBorders>
              <w:top w:val="single" w:color="auto" w:sz="6" w:space="0"/>
              <w:left w:val="single" w:color="auto" w:sz="6" w:space="0"/>
              <w:bottom w:val="single" w:color="auto" w:sz="6" w:space="0"/>
              <w:right w:val="single" w:color="auto" w:sz="6" w:space="0"/>
            </w:tcBorders>
            <w:noWrap/>
            <w:vAlign w:val="center"/>
          </w:tcPr>
          <w:p w14:paraId="2850BAF0">
            <w:pPr>
              <w:autoSpaceDE/>
              <w:autoSpaceDN/>
              <w:spacing w:line="240" w:lineRule="auto"/>
              <w:ind w:firstLine="0" w:firstLineChars="0"/>
              <w:outlineLvl w:val="9"/>
              <w:rPr>
                <w:rFonts w:hint="eastAsia" w:ascii="宋体" w:hAnsi="Calibri" w:eastAsia="宋体" w:cs="Calibri"/>
                <w:color w:val="auto"/>
                <w:sz w:val="20"/>
                <w:szCs w:val="21"/>
                <w:highlight w:val="none"/>
              </w:rPr>
            </w:pPr>
          </w:p>
        </w:tc>
        <w:tc>
          <w:tcPr>
            <w:tcW w:w="1215" w:type="dxa"/>
            <w:tcBorders>
              <w:top w:val="single" w:color="auto" w:sz="6" w:space="0"/>
              <w:left w:val="single" w:color="auto" w:sz="6" w:space="0"/>
              <w:bottom w:val="single" w:color="auto" w:sz="6" w:space="0"/>
              <w:right w:val="single" w:color="auto" w:sz="6" w:space="0"/>
            </w:tcBorders>
            <w:noWrap/>
            <w:vAlign w:val="center"/>
          </w:tcPr>
          <w:p w14:paraId="41BDB479">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0F9AB01A">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619D9407">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2175E7D7">
            <w:pPr>
              <w:autoSpaceDE/>
              <w:autoSpaceDN/>
              <w:spacing w:line="240" w:lineRule="auto"/>
              <w:ind w:firstLine="0" w:firstLineChars="0"/>
              <w:outlineLvl w:val="9"/>
              <w:rPr>
                <w:rFonts w:hint="eastAsia" w:ascii="宋体" w:hAnsi="Calibri" w:eastAsia="宋体" w:cs="Calibri"/>
                <w:color w:val="auto"/>
                <w:sz w:val="20"/>
                <w:szCs w:val="21"/>
                <w:highlight w:val="none"/>
              </w:rPr>
            </w:pPr>
          </w:p>
        </w:tc>
      </w:tr>
      <w:tr w14:paraId="77CA7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750" w:type="dxa"/>
            <w:tcBorders>
              <w:top w:val="single" w:color="auto" w:sz="6" w:space="0"/>
              <w:left w:val="single" w:color="auto" w:sz="6" w:space="0"/>
              <w:bottom w:val="single" w:color="auto" w:sz="6" w:space="0"/>
              <w:right w:val="single" w:color="auto" w:sz="6" w:space="0"/>
            </w:tcBorders>
            <w:noWrap/>
            <w:vAlign w:val="center"/>
          </w:tcPr>
          <w:p w14:paraId="17B4313B">
            <w:pPr>
              <w:autoSpaceDE/>
              <w:autoSpaceDN/>
              <w:spacing w:line="240" w:lineRule="auto"/>
              <w:ind w:firstLine="0" w:firstLineChars="0"/>
              <w:jc w:val="center"/>
              <w:outlineLvl w:val="9"/>
              <w:rPr>
                <w:rFonts w:ascii="Lucida Sans" w:hAnsi="Lucida Sans" w:eastAsia="宋体" w:cs="Calibri"/>
                <w:color w:val="auto"/>
                <w:sz w:val="20"/>
                <w:szCs w:val="21"/>
                <w:highlight w:val="none"/>
              </w:rPr>
            </w:pPr>
          </w:p>
        </w:tc>
        <w:tc>
          <w:tcPr>
            <w:tcW w:w="2460" w:type="dxa"/>
            <w:tcBorders>
              <w:top w:val="single" w:color="auto" w:sz="6" w:space="0"/>
              <w:left w:val="single" w:color="auto" w:sz="6" w:space="0"/>
              <w:bottom w:val="single" w:color="auto" w:sz="6" w:space="0"/>
              <w:right w:val="single" w:color="auto" w:sz="6" w:space="0"/>
            </w:tcBorders>
            <w:noWrap/>
            <w:vAlign w:val="center"/>
          </w:tcPr>
          <w:p w14:paraId="1A4FA110">
            <w:pPr>
              <w:autoSpaceDE/>
              <w:autoSpaceDN/>
              <w:spacing w:line="240" w:lineRule="auto"/>
              <w:ind w:firstLine="0" w:firstLineChars="0"/>
              <w:outlineLvl w:val="9"/>
              <w:rPr>
                <w:rFonts w:hint="eastAsia" w:ascii="宋体" w:hAnsi="Calibri" w:eastAsia="宋体" w:cs="Calibri"/>
                <w:color w:val="auto"/>
                <w:sz w:val="20"/>
                <w:szCs w:val="21"/>
                <w:highlight w:val="none"/>
              </w:rPr>
            </w:pPr>
          </w:p>
        </w:tc>
        <w:tc>
          <w:tcPr>
            <w:tcW w:w="1215" w:type="dxa"/>
            <w:tcBorders>
              <w:top w:val="single" w:color="auto" w:sz="6" w:space="0"/>
              <w:left w:val="single" w:color="auto" w:sz="6" w:space="0"/>
              <w:bottom w:val="single" w:color="auto" w:sz="6" w:space="0"/>
              <w:right w:val="single" w:color="auto" w:sz="6" w:space="0"/>
            </w:tcBorders>
            <w:noWrap/>
            <w:vAlign w:val="center"/>
          </w:tcPr>
          <w:p w14:paraId="1736D4CF">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52F419DE">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34E40F7A">
            <w:pPr>
              <w:autoSpaceDE/>
              <w:autoSpaceDN/>
              <w:spacing w:line="240" w:lineRule="auto"/>
              <w:ind w:firstLine="0" w:firstLineChars="0"/>
              <w:jc w:val="center"/>
              <w:outlineLvl w:val="9"/>
              <w:rPr>
                <w:rFonts w:hint="eastAsia" w:ascii="宋体" w:hAnsi="Calibri" w:eastAsia="宋体" w:cs="Calibri"/>
                <w:color w:val="auto"/>
                <w:sz w:val="20"/>
                <w:szCs w:val="21"/>
                <w:highlight w:val="none"/>
              </w:rPr>
            </w:pPr>
          </w:p>
        </w:tc>
        <w:tc>
          <w:tcPr>
            <w:tcW w:w="2235" w:type="dxa"/>
            <w:tcBorders>
              <w:top w:val="single" w:color="auto" w:sz="6" w:space="0"/>
              <w:left w:val="single" w:color="auto" w:sz="6" w:space="0"/>
              <w:bottom w:val="single" w:color="auto" w:sz="6" w:space="0"/>
              <w:right w:val="single" w:color="auto" w:sz="6" w:space="0"/>
            </w:tcBorders>
            <w:noWrap/>
            <w:vAlign w:val="center"/>
          </w:tcPr>
          <w:p w14:paraId="2CB2D02C">
            <w:pPr>
              <w:autoSpaceDE/>
              <w:autoSpaceDN/>
              <w:spacing w:line="240" w:lineRule="auto"/>
              <w:ind w:firstLine="0" w:firstLineChars="0"/>
              <w:outlineLvl w:val="9"/>
              <w:rPr>
                <w:rFonts w:hint="eastAsia" w:ascii="宋体" w:hAnsi="Calibri" w:eastAsia="宋体" w:cs="Calibri"/>
                <w:color w:val="auto"/>
                <w:sz w:val="20"/>
                <w:szCs w:val="21"/>
                <w:highlight w:val="none"/>
              </w:rPr>
            </w:pPr>
          </w:p>
        </w:tc>
      </w:tr>
    </w:tbl>
    <w:p w14:paraId="25B886E0">
      <w:pPr>
        <w:autoSpaceDE/>
        <w:autoSpaceDN/>
        <w:spacing w:line="240" w:lineRule="auto"/>
        <w:ind w:firstLine="0" w:firstLineChars="0"/>
        <w:outlineLvl w:val="9"/>
        <w:rPr>
          <w:rFonts w:hint="eastAsia" w:ascii="仿宋_GB2312" w:hAnsi="Calibri" w:eastAsia="仿宋_GB2312" w:cs="Calibri"/>
          <w:color w:val="auto"/>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6144"/>
        </w:sectPr>
      </w:pPr>
    </w:p>
    <w:p w14:paraId="0CF58C99">
      <w:pPr>
        <w:pStyle w:val="48"/>
        <w:bidi w:val="0"/>
        <w:rPr>
          <w:rFonts w:hint="eastAsia"/>
        </w:rPr>
      </w:pPr>
      <w:r>
        <w:rPr>
          <w:rFonts w:hint="eastAsia"/>
        </w:rPr>
        <w:t>附件：二</w:t>
      </w:r>
    </w:p>
    <w:p w14:paraId="6374613F">
      <w:pPr>
        <w:autoSpaceDE/>
        <w:autoSpaceDN/>
        <w:spacing w:line="240" w:lineRule="auto"/>
        <w:ind w:firstLine="0" w:firstLineChars="0"/>
        <w:jc w:val="center"/>
        <w:outlineLvl w:val="9"/>
        <w:rPr>
          <w:rFonts w:hint="eastAsia" w:ascii="仿宋_GB2312" w:hAnsi="Calibri" w:eastAsia="仿宋_GB2312" w:cs="Calibri"/>
          <w:b/>
          <w:bCs/>
          <w:color w:val="auto"/>
          <w:sz w:val="28"/>
          <w:szCs w:val="28"/>
          <w:highlight w:val="none"/>
        </w:rPr>
      </w:pPr>
      <w:r>
        <w:rPr>
          <w:rFonts w:hint="eastAsia" w:ascii="仿宋_GB2312" w:hAnsi="Calibri" w:eastAsia="仿宋_GB2312" w:cs="Calibri"/>
          <w:b/>
          <w:bCs/>
          <w:color w:val="auto"/>
          <w:sz w:val="28"/>
          <w:szCs w:val="28"/>
          <w:highlight w:val="none"/>
        </w:rPr>
        <w:t>重庆三峡银行自助设备发货通知书（样本）</w:t>
      </w:r>
    </w:p>
    <w:p w14:paraId="7B52A8AF">
      <w:pPr>
        <w:autoSpaceDE/>
        <w:autoSpaceDN/>
        <w:spacing w:before="468" w:beforeLines="150" w:after="312" w:afterLines="100" w:line="240" w:lineRule="auto"/>
        <w:ind w:firstLine="0" w:firstLineChars="0"/>
        <w:outlineLvl w:val="9"/>
        <w:rPr>
          <w:rFonts w:hint="eastAsia" w:ascii="仿宋_GB2312" w:hAnsi="Calibri" w:eastAsia="仿宋_GB2312" w:cs="宋体"/>
          <w:b/>
          <w:bCs/>
          <w:color w:val="auto"/>
          <w:kern w:val="0"/>
          <w:sz w:val="28"/>
          <w:szCs w:val="28"/>
          <w:highlight w:val="none"/>
          <w:lang w:bidi="ar-SA"/>
        </w:rPr>
      </w:pPr>
      <w:r>
        <w:rPr>
          <w:rFonts w:hint="eastAsia" w:ascii="仿宋_GB2312" w:hAnsi="Calibri" w:eastAsia="仿宋_GB2312" w:cs="宋体"/>
          <w:b/>
          <w:bCs/>
          <w:color w:val="auto"/>
          <w:kern w:val="0"/>
          <w:sz w:val="28"/>
          <w:szCs w:val="28"/>
          <w:highlight w:val="none"/>
          <w:lang w:bidi="ar-SA"/>
        </w:rPr>
        <w:t xml:space="preserve">致： </w:t>
      </w:r>
    </w:p>
    <w:p w14:paraId="10FAFEC8">
      <w:pPr>
        <w:autoSpaceDE/>
        <w:autoSpaceDN/>
        <w:spacing w:after="312" w:afterLines="100" w:line="360" w:lineRule="auto"/>
        <w:ind w:firstLine="0" w:firstLineChars="0"/>
        <w:outlineLvl w:val="9"/>
        <w:rPr>
          <w:rFonts w:hint="eastAsia" w:ascii="仿宋_GB2312" w:hAnsi="Calibri" w:eastAsia="仿宋_GB2312" w:cs="Calibri"/>
          <w:color w:val="auto"/>
          <w:sz w:val="28"/>
          <w:szCs w:val="28"/>
          <w:highlight w:val="none"/>
        </w:rPr>
      </w:pPr>
      <w:r>
        <w:rPr>
          <w:rFonts w:hint="eastAsia" w:ascii="仿宋_GB2312" w:hAnsi="Calibri" w:eastAsia="仿宋_GB2312" w:cs="Calibri"/>
          <w:color w:val="auto"/>
          <w:sz w:val="28"/>
          <w:szCs w:val="28"/>
          <w:highlight w:val="none"/>
        </w:rPr>
        <w:tab/>
      </w:r>
      <w:r>
        <w:rPr>
          <w:rFonts w:hint="eastAsia" w:ascii="仿宋_GB2312" w:hAnsi="Calibri" w:eastAsia="仿宋_GB2312" w:cs="Calibri"/>
          <w:color w:val="auto"/>
          <w:sz w:val="28"/>
          <w:szCs w:val="28"/>
          <w:highlight w:val="none"/>
        </w:rPr>
        <w:t>因我行业务发展需要，特订购以下设备。</w:t>
      </w:r>
    </w:p>
    <w:tbl>
      <w:tblPr>
        <w:tblStyle w:val="23"/>
        <w:tblW w:w="8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14"/>
        <w:gridCol w:w="6481"/>
      </w:tblGrid>
      <w:tr w14:paraId="0D9A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4" w:type="dxa"/>
            <w:tcBorders>
              <w:top w:val="single" w:color="auto" w:sz="4" w:space="0"/>
              <w:left w:val="single" w:color="auto" w:sz="4" w:space="0"/>
              <w:bottom w:val="single" w:color="auto" w:sz="4" w:space="0"/>
              <w:right w:val="single" w:color="auto" w:sz="4" w:space="0"/>
            </w:tcBorders>
            <w:noWrap/>
            <w:vAlign w:val="center"/>
          </w:tcPr>
          <w:p w14:paraId="0B0FD643">
            <w:pPr>
              <w:widowControl/>
              <w:autoSpaceDE/>
              <w:autoSpaceDN/>
              <w:spacing w:line="240" w:lineRule="auto"/>
              <w:ind w:firstLine="0" w:firstLineChars="0"/>
              <w:jc w:val="left"/>
              <w:outlineLvl w:val="9"/>
              <w:rPr>
                <w:rFonts w:hint="eastAsia" w:ascii="仿宋_GB2312" w:hAnsi="Calibri" w:eastAsia="仿宋_GB2312" w:cs="宋体"/>
                <w:b/>
                <w:bCs/>
                <w:color w:val="auto"/>
                <w:kern w:val="0"/>
                <w:sz w:val="24"/>
                <w:szCs w:val="21"/>
                <w:highlight w:val="none"/>
                <w:lang w:bidi="ar-SA"/>
              </w:rPr>
            </w:pPr>
            <w:r>
              <w:rPr>
                <w:rFonts w:hint="eastAsia" w:ascii="仿宋_GB2312" w:hAnsi="Calibri" w:eastAsia="仿宋_GB2312" w:cs="宋体"/>
                <w:b/>
                <w:bCs/>
                <w:color w:val="auto"/>
                <w:kern w:val="0"/>
                <w:sz w:val="24"/>
                <w:szCs w:val="21"/>
                <w:highlight w:val="none"/>
                <w:lang w:bidi="ar-SA"/>
              </w:rPr>
              <w:t>供货单位</w:t>
            </w:r>
          </w:p>
        </w:tc>
        <w:tc>
          <w:tcPr>
            <w:tcW w:w="6481" w:type="dxa"/>
            <w:tcBorders>
              <w:top w:val="single" w:color="auto" w:sz="4" w:space="0"/>
              <w:left w:val="nil"/>
              <w:bottom w:val="single" w:color="auto" w:sz="4" w:space="0"/>
              <w:right w:val="single" w:color="auto" w:sz="4" w:space="0"/>
            </w:tcBorders>
            <w:noWrap/>
            <w:vAlign w:val="center"/>
          </w:tcPr>
          <w:p w14:paraId="00DA6595">
            <w:pPr>
              <w:widowControl/>
              <w:autoSpaceDE/>
              <w:autoSpaceDN/>
              <w:spacing w:line="240" w:lineRule="auto"/>
              <w:ind w:firstLine="0" w:firstLineChars="0"/>
              <w:jc w:val="right"/>
              <w:outlineLvl w:val="9"/>
              <w:rPr>
                <w:rFonts w:hint="eastAsia" w:ascii="仿宋_GB2312" w:hAnsi="Calibri" w:eastAsia="仿宋_GB2312" w:cs="宋体"/>
                <w:b/>
                <w:bCs/>
                <w:color w:val="auto"/>
                <w:kern w:val="0"/>
                <w:sz w:val="28"/>
                <w:szCs w:val="28"/>
                <w:highlight w:val="none"/>
                <w:lang w:bidi="ar-SA"/>
              </w:rPr>
            </w:pPr>
          </w:p>
        </w:tc>
      </w:tr>
      <w:tr w14:paraId="7E571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4" w:type="dxa"/>
            <w:tcBorders>
              <w:top w:val="nil"/>
              <w:left w:val="single" w:color="auto" w:sz="4" w:space="0"/>
              <w:bottom w:val="single" w:color="auto" w:sz="4" w:space="0"/>
              <w:right w:val="single" w:color="auto" w:sz="4" w:space="0"/>
            </w:tcBorders>
            <w:noWrap/>
            <w:vAlign w:val="center"/>
          </w:tcPr>
          <w:p w14:paraId="08DCEBDE">
            <w:pPr>
              <w:widowControl/>
              <w:autoSpaceDE/>
              <w:autoSpaceDN/>
              <w:spacing w:line="240" w:lineRule="auto"/>
              <w:ind w:firstLine="0" w:firstLineChars="0"/>
              <w:jc w:val="left"/>
              <w:outlineLvl w:val="9"/>
              <w:rPr>
                <w:rFonts w:hint="eastAsia" w:ascii="仿宋_GB2312" w:hAnsi="Calibri" w:eastAsia="仿宋_GB2312" w:cs="宋体"/>
                <w:b/>
                <w:bCs/>
                <w:color w:val="auto"/>
                <w:kern w:val="0"/>
                <w:sz w:val="24"/>
                <w:szCs w:val="21"/>
                <w:highlight w:val="none"/>
                <w:lang w:bidi="ar-SA"/>
              </w:rPr>
            </w:pPr>
            <w:r>
              <w:rPr>
                <w:rFonts w:hint="eastAsia" w:ascii="仿宋_GB2312" w:hAnsi="Calibri" w:eastAsia="仿宋_GB2312" w:cs="宋体"/>
                <w:b/>
                <w:bCs/>
                <w:color w:val="auto"/>
                <w:kern w:val="0"/>
                <w:sz w:val="24"/>
                <w:szCs w:val="21"/>
                <w:highlight w:val="none"/>
                <w:lang w:bidi="ar-SA"/>
              </w:rPr>
              <w:t>设备型号</w:t>
            </w:r>
          </w:p>
        </w:tc>
        <w:tc>
          <w:tcPr>
            <w:tcW w:w="6481" w:type="dxa"/>
            <w:tcBorders>
              <w:top w:val="nil"/>
              <w:left w:val="nil"/>
              <w:bottom w:val="single" w:color="auto" w:sz="4" w:space="0"/>
              <w:right w:val="single" w:color="auto" w:sz="4" w:space="0"/>
            </w:tcBorders>
            <w:noWrap/>
            <w:vAlign w:val="center"/>
          </w:tcPr>
          <w:p w14:paraId="10BD5A2E">
            <w:pPr>
              <w:widowControl/>
              <w:wordWrap w:val="0"/>
              <w:autoSpaceDE/>
              <w:autoSpaceDN/>
              <w:spacing w:line="240" w:lineRule="auto"/>
              <w:ind w:firstLine="0" w:firstLineChars="0"/>
              <w:jc w:val="right"/>
              <w:outlineLvl w:val="9"/>
              <w:rPr>
                <w:rFonts w:hint="eastAsia" w:ascii="仿宋_GB2312" w:hAnsi="Calibri" w:eastAsia="仿宋_GB2312" w:cs="Calibri"/>
                <w:color w:val="auto"/>
                <w:kern w:val="0"/>
                <w:sz w:val="28"/>
                <w:szCs w:val="28"/>
                <w:highlight w:val="none"/>
              </w:rPr>
            </w:pPr>
          </w:p>
        </w:tc>
      </w:tr>
      <w:tr w14:paraId="6FA70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4" w:type="dxa"/>
            <w:tcBorders>
              <w:top w:val="nil"/>
              <w:left w:val="single" w:color="auto" w:sz="4" w:space="0"/>
              <w:bottom w:val="single" w:color="auto" w:sz="4" w:space="0"/>
              <w:right w:val="single" w:color="auto" w:sz="4" w:space="0"/>
            </w:tcBorders>
            <w:noWrap/>
            <w:vAlign w:val="center"/>
          </w:tcPr>
          <w:p w14:paraId="497794E3">
            <w:pPr>
              <w:widowControl/>
              <w:autoSpaceDE/>
              <w:autoSpaceDN/>
              <w:spacing w:line="240" w:lineRule="auto"/>
              <w:ind w:firstLine="0" w:firstLineChars="0"/>
              <w:jc w:val="left"/>
              <w:outlineLvl w:val="9"/>
              <w:rPr>
                <w:rFonts w:hint="eastAsia" w:ascii="仿宋_GB2312" w:hAnsi="Calibri" w:eastAsia="仿宋_GB2312" w:cs="宋体"/>
                <w:b/>
                <w:bCs/>
                <w:color w:val="auto"/>
                <w:kern w:val="0"/>
                <w:sz w:val="24"/>
                <w:szCs w:val="21"/>
                <w:highlight w:val="none"/>
                <w:lang w:bidi="ar-SA"/>
              </w:rPr>
            </w:pPr>
            <w:r>
              <w:rPr>
                <w:rFonts w:hint="eastAsia" w:ascii="仿宋_GB2312" w:hAnsi="Calibri" w:eastAsia="仿宋_GB2312" w:cs="宋体"/>
                <w:b/>
                <w:bCs/>
                <w:color w:val="auto"/>
                <w:kern w:val="0"/>
                <w:sz w:val="24"/>
                <w:szCs w:val="21"/>
                <w:highlight w:val="none"/>
                <w:lang w:bidi="ar-SA"/>
              </w:rPr>
              <w:t>定货数量</w:t>
            </w:r>
          </w:p>
        </w:tc>
        <w:tc>
          <w:tcPr>
            <w:tcW w:w="6481" w:type="dxa"/>
            <w:tcBorders>
              <w:top w:val="nil"/>
              <w:left w:val="nil"/>
              <w:bottom w:val="single" w:color="auto" w:sz="4" w:space="0"/>
              <w:right w:val="single" w:color="auto" w:sz="4" w:space="0"/>
            </w:tcBorders>
            <w:noWrap/>
            <w:vAlign w:val="center"/>
          </w:tcPr>
          <w:p w14:paraId="07593892">
            <w:pPr>
              <w:widowControl/>
              <w:wordWrap w:val="0"/>
              <w:autoSpaceDE/>
              <w:autoSpaceDN/>
              <w:spacing w:line="240" w:lineRule="auto"/>
              <w:ind w:firstLine="0" w:firstLineChars="0"/>
              <w:jc w:val="right"/>
              <w:outlineLvl w:val="9"/>
              <w:rPr>
                <w:rFonts w:hint="eastAsia" w:ascii="仿宋_GB2312" w:hAnsi="Calibri" w:eastAsia="仿宋_GB2312" w:cs="Calibri"/>
                <w:color w:val="auto"/>
                <w:kern w:val="0"/>
                <w:sz w:val="28"/>
                <w:szCs w:val="28"/>
                <w:highlight w:val="none"/>
              </w:rPr>
            </w:pPr>
            <w:r>
              <w:rPr>
                <w:rFonts w:ascii="Lucida Sans" w:hAnsi="Lucida Sans" w:eastAsia="仿宋_GB2312" w:cs="Calibri"/>
                <w:color w:val="auto"/>
                <w:kern w:val="0"/>
                <w:sz w:val="28"/>
                <w:szCs w:val="28"/>
                <w:highlight w:val="none"/>
              </w:rPr>
              <w:t xml:space="preserve"> </w:t>
            </w:r>
          </w:p>
        </w:tc>
      </w:tr>
      <w:tr w14:paraId="16AC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4" w:type="dxa"/>
            <w:tcBorders>
              <w:top w:val="nil"/>
              <w:left w:val="single" w:color="auto" w:sz="4" w:space="0"/>
              <w:bottom w:val="single" w:color="auto" w:sz="4" w:space="0"/>
              <w:right w:val="single" w:color="auto" w:sz="4" w:space="0"/>
            </w:tcBorders>
            <w:noWrap/>
            <w:vAlign w:val="center"/>
          </w:tcPr>
          <w:p w14:paraId="13D0DAA9">
            <w:pPr>
              <w:widowControl/>
              <w:autoSpaceDE/>
              <w:autoSpaceDN/>
              <w:spacing w:line="240" w:lineRule="auto"/>
              <w:ind w:firstLine="0" w:firstLineChars="0"/>
              <w:jc w:val="left"/>
              <w:outlineLvl w:val="9"/>
              <w:rPr>
                <w:rFonts w:hint="eastAsia" w:ascii="仿宋_GB2312" w:hAnsi="Calibri" w:eastAsia="仿宋_GB2312" w:cs="宋体"/>
                <w:b/>
                <w:bCs/>
                <w:color w:val="auto"/>
                <w:kern w:val="0"/>
                <w:sz w:val="24"/>
                <w:szCs w:val="21"/>
                <w:highlight w:val="none"/>
                <w:lang w:bidi="ar-SA"/>
              </w:rPr>
            </w:pPr>
            <w:r>
              <w:rPr>
                <w:rFonts w:hint="eastAsia" w:ascii="仿宋_GB2312" w:hAnsi="Calibri" w:eastAsia="仿宋_GB2312" w:cs="宋体"/>
                <w:b/>
                <w:bCs/>
                <w:color w:val="auto"/>
                <w:kern w:val="0"/>
                <w:sz w:val="24"/>
                <w:szCs w:val="21"/>
                <w:highlight w:val="none"/>
                <w:lang w:bidi="ar-SA"/>
              </w:rPr>
              <w:t>定货单价</w:t>
            </w:r>
          </w:p>
        </w:tc>
        <w:tc>
          <w:tcPr>
            <w:tcW w:w="6481" w:type="dxa"/>
            <w:tcBorders>
              <w:top w:val="nil"/>
              <w:left w:val="nil"/>
              <w:bottom w:val="single" w:color="auto" w:sz="4" w:space="0"/>
              <w:right w:val="single" w:color="auto" w:sz="4" w:space="0"/>
            </w:tcBorders>
            <w:noWrap/>
            <w:vAlign w:val="center"/>
          </w:tcPr>
          <w:p w14:paraId="53967E9C">
            <w:pPr>
              <w:widowControl/>
              <w:autoSpaceDE/>
              <w:autoSpaceDN/>
              <w:spacing w:line="240" w:lineRule="auto"/>
              <w:ind w:firstLine="0" w:firstLineChars="0"/>
              <w:jc w:val="right"/>
              <w:outlineLvl w:val="9"/>
              <w:rPr>
                <w:rFonts w:hint="eastAsia" w:ascii="仿宋_GB2312" w:hAnsi="Calibri" w:eastAsia="仿宋_GB2312" w:cs="Calibri"/>
                <w:color w:val="auto"/>
                <w:kern w:val="0"/>
                <w:sz w:val="28"/>
                <w:szCs w:val="28"/>
                <w:highlight w:val="none"/>
              </w:rPr>
            </w:pPr>
          </w:p>
        </w:tc>
      </w:tr>
      <w:tr w14:paraId="6B68F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4" w:type="dxa"/>
            <w:tcBorders>
              <w:top w:val="nil"/>
              <w:left w:val="single" w:color="auto" w:sz="4" w:space="0"/>
              <w:bottom w:val="single" w:color="auto" w:sz="4" w:space="0"/>
              <w:right w:val="single" w:color="auto" w:sz="4" w:space="0"/>
            </w:tcBorders>
            <w:noWrap/>
            <w:vAlign w:val="center"/>
          </w:tcPr>
          <w:p w14:paraId="48E26C24">
            <w:pPr>
              <w:widowControl/>
              <w:autoSpaceDE/>
              <w:autoSpaceDN/>
              <w:spacing w:line="240" w:lineRule="auto"/>
              <w:ind w:firstLine="0" w:firstLineChars="0"/>
              <w:jc w:val="left"/>
              <w:outlineLvl w:val="9"/>
              <w:rPr>
                <w:rFonts w:hint="eastAsia" w:ascii="仿宋_GB2312" w:hAnsi="Calibri" w:eastAsia="仿宋_GB2312" w:cs="宋体"/>
                <w:b/>
                <w:bCs/>
                <w:color w:val="auto"/>
                <w:kern w:val="0"/>
                <w:sz w:val="24"/>
                <w:szCs w:val="21"/>
                <w:highlight w:val="none"/>
                <w:lang w:bidi="ar-SA"/>
              </w:rPr>
            </w:pPr>
            <w:r>
              <w:rPr>
                <w:rFonts w:hint="eastAsia" w:ascii="仿宋_GB2312" w:hAnsi="Calibri" w:eastAsia="仿宋_GB2312" w:cs="宋体"/>
                <w:b/>
                <w:bCs/>
                <w:color w:val="auto"/>
                <w:kern w:val="0"/>
                <w:sz w:val="24"/>
                <w:szCs w:val="21"/>
                <w:highlight w:val="none"/>
                <w:lang w:bidi="ar-SA"/>
              </w:rPr>
              <w:t>总金额</w:t>
            </w:r>
          </w:p>
        </w:tc>
        <w:tc>
          <w:tcPr>
            <w:tcW w:w="6481" w:type="dxa"/>
            <w:tcBorders>
              <w:top w:val="nil"/>
              <w:left w:val="nil"/>
              <w:bottom w:val="single" w:color="auto" w:sz="4" w:space="0"/>
              <w:right w:val="single" w:color="auto" w:sz="4" w:space="0"/>
            </w:tcBorders>
            <w:noWrap/>
            <w:vAlign w:val="center"/>
          </w:tcPr>
          <w:p w14:paraId="31DF9B0F">
            <w:pPr>
              <w:widowControl/>
              <w:autoSpaceDE/>
              <w:autoSpaceDN/>
              <w:spacing w:line="240" w:lineRule="auto"/>
              <w:ind w:firstLine="0" w:firstLineChars="0"/>
              <w:jc w:val="right"/>
              <w:outlineLvl w:val="9"/>
              <w:rPr>
                <w:rFonts w:hint="eastAsia" w:ascii="仿宋_GB2312" w:hAnsi="Calibri" w:eastAsia="仿宋_GB2312" w:cs="Calibri"/>
                <w:color w:val="auto"/>
                <w:kern w:val="0"/>
                <w:sz w:val="28"/>
                <w:szCs w:val="28"/>
                <w:highlight w:val="none"/>
              </w:rPr>
            </w:pPr>
          </w:p>
        </w:tc>
      </w:tr>
      <w:tr w14:paraId="288FC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4" w:type="dxa"/>
            <w:tcBorders>
              <w:top w:val="nil"/>
              <w:left w:val="single" w:color="auto" w:sz="4" w:space="0"/>
              <w:bottom w:val="single" w:color="auto" w:sz="4" w:space="0"/>
              <w:right w:val="single" w:color="auto" w:sz="4" w:space="0"/>
            </w:tcBorders>
            <w:noWrap/>
            <w:vAlign w:val="center"/>
          </w:tcPr>
          <w:p w14:paraId="3AC7C0E2">
            <w:pPr>
              <w:widowControl/>
              <w:autoSpaceDE/>
              <w:autoSpaceDN/>
              <w:spacing w:line="240" w:lineRule="auto"/>
              <w:ind w:firstLine="0" w:firstLineChars="0"/>
              <w:jc w:val="left"/>
              <w:outlineLvl w:val="9"/>
              <w:rPr>
                <w:rFonts w:hint="eastAsia" w:ascii="仿宋_GB2312" w:hAnsi="Calibri" w:eastAsia="仿宋_GB2312" w:cs="宋体"/>
                <w:b/>
                <w:bCs/>
                <w:color w:val="auto"/>
                <w:kern w:val="0"/>
                <w:sz w:val="24"/>
                <w:szCs w:val="21"/>
                <w:highlight w:val="none"/>
                <w:lang w:bidi="ar-SA"/>
              </w:rPr>
            </w:pPr>
            <w:r>
              <w:rPr>
                <w:rFonts w:hint="eastAsia" w:ascii="仿宋_GB2312" w:hAnsi="Calibri" w:eastAsia="仿宋_GB2312" w:cs="宋体"/>
                <w:b/>
                <w:bCs/>
                <w:color w:val="auto"/>
                <w:kern w:val="0"/>
                <w:sz w:val="24"/>
                <w:szCs w:val="21"/>
                <w:highlight w:val="none"/>
                <w:lang w:bidi="ar-SA"/>
              </w:rPr>
              <w:t>到货时间</w:t>
            </w:r>
          </w:p>
        </w:tc>
        <w:tc>
          <w:tcPr>
            <w:tcW w:w="6481" w:type="dxa"/>
            <w:tcBorders>
              <w:top w:val="nil"/>
              <w:left w:val="nil"/>
              <w:bottom w:val="single" w:color="auto" w:sz="4" w:space="0"/>
              <w:right w:val="single" w:color="auto" w:sz="4" w:space="0"/>
            </w:tcBorders>
            <w:noWrap/>
            <w:vAlign w:val="center"/>
          </w:tcPr>
          <w:p w14:paraId="4A317632">
            <w:pPr>
              <w:widowControl/>
              <w:autoSpaceDE/>
              <w:autoSpaceDN/>
              <w:spacing w:line="240" w:lineRule="auto"/>
              <w:ind w:firstLine="0" w:firstLineChars="0"/>
              <w:jc w:val="right"/>
              <w:outlineLvl w:val="9"/>
              <w:rPr>
                <w:rFonts w:hint="eastAsia" w:ascii="仿宋_GB2312" w:hAnsi="Calibri" w:eastAsia="仿宋_GB2312" w:cs="Calibri"/>
                <w:color w:val="auto"/>
                <w:kern w:val="0"/>
                <w:sz w:val="28"/>
                <w:szCs w:val="28"/>
                <w:highlight w:val="none"/>
              </w:rPr>
            </w:pPr>
          </w:p>
        </w:tc>
      </w:tr>
      <w:tr w14:paraId="28745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14" w:type="dxa"/>
            <w:tcBorders>
              <w:top w:val="nil"/>
              <w:left w:val="single" w:color="auto" w:sz="4" w:space="0"/>
              <w:bottom w:val="single" w:color="auto" w:sz="4" w:space="0"/>
              <w:right w:val="single" w:color="auto" w:sz="4" w:space="0"/>
            </w:tcBorders>
            <w:noWrap/>
            <w:vAlign w:val="center"/>
          </w:tcPr>
          <w:p w14:paraId="17B7C117">
            <w:pPr>
              <w:widowControl/>
              <w:autoSpaceDE/>
              <w:autoSpaceDN/>
              <w:spacing w:line="240" w:lineRule="auto"/>
              <w:ind w:firstLine="0" w:firstLineChars="0"/>
              <w:jc w:val="left"/>
              <w:outlineLvl w:val="9"/>
              <w:rPr>
                <w:rFonts w:hint="eastAsia" w:ascii="仿宋_GB2312" w:hAnsi="Calibri" w:eastAsia="仿宋_GB2312" w:cs="宋体"/>
                <w:b/>
                <w:bCs/>
                <w:color w:val="auto"/>
                <w:kern w:val="0"/>
                <w:sz w:val="24"/>
                <w:szCs w:val="21"/>
                <w:highlight w:val="none"/>
                <w:lang w:bidi="ar-SA"/>
              </w:rPr>
            </w:pPr>
            <w:r>
              <w:rPr>
                <w:rFonts w:hint="eastAsia" w:ascii="仿宋_GB2312" w:hAnsi="Calibri" w:eastAsia="仿宋_GB2312" w:cs="宋体"/>
                <w:b/>
                <w:bCs/>
                <w:color w:val="auto"/>
                <w:kern w:val="0"/>
                <w:sz w:val="24"/>
                <w:szCs w:val="21"/>
                <w:highlight w:val="none"/>
                <w:lang w:bidi="ar-SA"/>
              </w:rPr>
              <w:t>到货地点</w:t>
            </w:r>
          </w:p>
        </w:tc>
        <w:tc>
          <w:tcPr>
            <w:tcW w:w="6481" w:type="dxa"/>
            <w:tcBorders>
              <w:top w:val="nil"/>
              <w:left w:val="nil"/>
              <w:bottom w:val="single" w:color="auto" w:sz="4" w:space="0"/>
              <w:right w:val="single" w:color="auto" w:sz="4" w:space="0"/>
            </w:tcBorders>
            <w:noWrap/>
            <w:vAlign w:val="center"/>
          </w:tcPr>
          <w:p w14:paraId="7CB6E2BF">
            <w:pPr>
              <w:widowControl/>
              <w:wordWrap w:val="0"/>
              <w:autoSpaceDE/>
              <w:autoSpaceDN/>
              <w:spacing w:line="240" w:lineRule="auto"/>
              <w:ind w:firstLine="0" w:firstLineChars="0"/>
              <w:jc w:val="right"/>
              <w:outlineLvl w:val="9"/>
              <w:rPr>
                <w:rFonts w:hint="eastAsia" w:ascii="仿宋_GB2312" w:hAnsi="Calibri" w:eastAsia="仿宋_GB2312" w:cs="Calibri"/>
                <w:color w:val="auto"/>
                <w:kern w:val="0"/>
                <w:sz w:val="28"/>
                <w:szCs w:val="28"/>
                <w:highlight w:val="none"/>
              </w:rPr>
            </w:pPr>
          </w:p>
        </w:tc>
      </w:tr>
      <w:tr w14:paraId="0C7AE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1814" w:type="dxa"/>
            <w:tcBorders>
              <w:top w:val="nil"/>
              <w:left w:val="single" w:color="auto" w:sz="4" w:space="0"/>
              <w:bottom w:val="single" w:color="auto" w:sz="4" w:space="0"/>
              <w:right w:val="single" w:color="auto" w:sz="4" w:space="0"/>
            </w:tcBorders>
            <w:noWrap/>
            <w:vAlign w:val="center"/>
          </w:tcPr>
          <w:p w14:paraId="2111C96E">
            <w:pPr>
              <w:widowControl/>
              <w:autoSpaceDE/>
              <w:autoSpaceDN/>
              <w:spacing w:line="240" w:lineRule="auto"/>
              <w:ind w:firstLine="0" w:firstLineChars="0"/>
              <w:jc w:val="left"/>
              <w:outlineLvl w:val="9"/>
              <w:rPr>
                <w:rFonts w:hint="eastAsia" w:ascii="仿宋_GB2312" w:hAnsi="Calibri" w:eastAsia="仿宋_GB2312" w:cs="宋体"/>
                <w:b/>
                <w:bCs/>
                <w:color w:val="auto"/>
                <w:kern w:val="0"/>
                <w:sz w:val="24"/>
                <w:szCs w:val="21"/>
                <w:highlight w:val="none"/>
                <w:lang w:bidi="ar-SA"/>
              </w:rPr>
            </w:pPr>
            <w:r>
              <w:rPr>
                <w:rFonts w:hint="eastAsia" w:ascii="仿宋_GB2312" w:hAnsi="Calibri" w:eastAsia="仿宋_GB2312" w:cs="宋体"/>
                <w:b/>
                <w:bCs/>
                <w:color w:val="auto"/>
                <w:kern w:val="0"/>
                <w:sz w:val="24"/>
                <w:szCs w:val="21"/>
                <w:highlight w:val="none"/>
                <w:lang w:bidi="ar-SA"/>
              </w:rPr>
              <w:t>收货人及收货人联系方式</w:t>
            </w:r>
          </w:p>
        </w:tc>
        <w:tc>
          <w:tcPr>
            <w:tcW w:w="6481" w:type="dxa"/>
            <w:tcBorders>
              <w:top w:val="nil"/>
              <w:left w:val="nil"/>
              <w:bottom w:val="single" w:color="auto" w:sz="4" w:space="0"/>
              <w:right w:val="single" w:color="auto" w:sz="4" w:space="0"/>
            </w:tcBorders>
            <w:noWrap/>
            <w:vAlign w:val="center"/>
          </w:tcPr>
          <w:p w14:paraId="22125792">
            <w:pPr>
              <w:widowControl/>
              <w:wordWrap w:val="0"/>
              <w:autoSpaceDE/>
              <w:autoSpaceDN/>
              <w:spacing w:line="240" w:lineRule="auto"/>
              <w:ind w:firstLine="0" w:firstLineChars="0"/>
              <w:jc w:val="right"/>
              <w:outlineLvl w:val="9"/>
              <w:rPr>
                <w:rFonts w:hint="eastAsia" w:ascii="仿宋_GB2312" w:hAnsi="Calibri" w:eastAsia="仿宋_GB2312" w:cs="Calibri"/>
                <w:color w:val="auto"/>
                <w:kern w:val="0"/>
                <w:sz w:val="28"/>
                <w:szCs w:val="28"/>
                <w:highlight w:val="none"/>
              </w:rPr>
            </w:pPr>
          </w:p>
        </w:tc>
      </w:tr>
      <w:tr w14:paraId="6757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1814" w:type="dxa"/>
            <w:tcBorders>
              <w:top w:val="nil"/>
              <w:left w:val="single" w:color="auto" w:sz="4" w:space="0"/>
              <w:bottom w:val="single" w:color="auto" w:sz="4" w:space="0"/>
              <w:right w:val="single" w:color="auto" w:sz="4" w:space="0"/>
            </w:tcBorders>
            <w:noWrap/>
            <w:vAlign w:val="center"/>
          </w:tcPr>
          <w:p w14:paraId="5BBEFA23">
            <w:pPr>
              <w:widowControl/>
              <w:autoSpaceDE/>
              <w:autoSpaceDN/>
              <w:spacing w:line="240" w:lineRule="auto"/>
              <w:ind w:firstLine="0" w:firstLineChars="0"/>
              <w:jc w:val="left"/>
              <w:outlineLvl w:val="9"/>
              <w:rPr>
                <w:rFonts w:hint="eastAsia" w:ascii="仿宋_GB2312" w:hAnsi="Calibri" w:eastAsia="仿宋_GB2312" w:cs="宋体"/>
                <w:b/>
                <w:bCs/>
                <w:color w:val="auto"/>
                <w:kern w:val="0"/>
                <w:sz w:val="24"/>
                <w:szCs w:val="21"/>
                <w:highlight w:val="none"/>
                <w:lang w:bidi="ar-SA"/>
              </w:rPr>
            </w:pPr>
            <w:r>
              <w:rPr>
                <w:rFonts w:hint="eastAsia" w:ascii="仿宋_GB2312" w:hAnsi="Calibri" w:eastAsia="仿宋_GB2312" w:cs="宋体"/>
                <w:b/>
                <w:bCs/>
                <w:color w:val="auto"/>
                <w:kern w:val="0"/>
                <w:sz w:val="24"/>
                <w:szCs w:val="21"/>
                <w:highlight w:val="none"/>
                <w:lang w:bidi="ar-SA"/>
              </w:rPr>
              <w:t>备注</w:t>
            </w:r>
          </w:p>
        </w:tc>
        <w:tc>
          <w:tcPr>
            <w:tcW w:w="6481" w:type="dxa"/>
            <w:tcBorders>
              <w:top w:val="nil"/>
              <w:left w:val="nil"/>
              <w:bottom w:val="single" w:color="auto" w:sz="4" w:space="0"/>
              <w:right w:val="single" w:color="auto" w:sz="4" w:space="0"/>
            </w:tcBorders>
            <w:noWrap/>
            <w:vAlign w:val="center"/>
          </w:tcPr>
          <w:p w14:paraId="0BE3D18D">
            <w:pPr>
              <w:widowControl/>
              <w:autoSpaceDE/>
              <w:autoSpaceDN/>
              <w:spacing w:line="240" w:lineRule="auto"/>
              <w:ind w:firstLine="0" w:firstLineChars="0"/>
              <w:jc w:val="right"/>
              <w:outlineLvl w:val="9"/>
              <w:rPr>
                <w:rFonts w:hint="eastAsia" w:ascii="仿宋_GB2312" w:hAnsi="Calibri" w:eastAsia="仿宋_GB2312" w:cs="宋体"/>
                <w:color w:val="auto"/>
                <w:kern w:val="0"/>
                <w:sz w:val="28"/>
                <w:szCs w:val="28"/>
                <w:highlight w:val="none"/>
                <w:lang w:bidi="ar-SA"/>
              </w:rPr>
            </w:pPr>
            <w:r>
              <w:rPr>
                <w:rFonts w:hint="eastAsia" w:ascii="仿宋_GB2312" w:hAnsi="Calibri" w:eastAsia="仿宋_GB2312" w:cs="宋体"/>
                <w:color w:val="auto"/>
                <w:kern w:val="0"/>
                <w:sz w:val="28"/>
                <w:szCs w:val="28"/>
                <w:highlight w:val="none"/>
                <w:lang w:bidi="ar-SA"/>
              </w:rPr>
              <w:t>　</w:t>
            </w:r>
          </w:p>
        </w:tc>
      </w:tr>
    </w:tbl>
    <w:p w14:paraId="4FEADEE3">
      <w:pPr>
        <w:bidi w:val="0"/>
        <w:rPr>
          <w:rFonts w:hint="eastAsia"/>
          <w:color w:val="auto"/>
          <w:highlight w:val="none"/>
        </w:rPr>
      </w:pPr>
      <w:r>
        <w:rPr>
          <w:rFonts w:hint="eastAsia"/>
          <w:color w:val="auto"/>
          <w:highlight w:val="none"/>
        </w:rPr>
        <w:tab/>
      </w:r>
      <w:r>
        <w:rPr>
          <w:rFonts w:hint="eastAsia"/>
          <w:color w:val="auto"/>
          <w:highlight w:val="none"/>
        </w:rPr>
        <w:t>请按上述要求提前做好货物储备运输等相关工作。</w:t>
      </w:r>
    </w:p>
    <w:p w14:paraId="36B331BE">
      <w:pPr>
        <w:bidi w:val="0"/>
        <w:rPr>
          <w:rFonts w:hint="eastAsia"/>
          <w:color w:val="auto"/>
          <w:highlight w:val="none"/>
        </w:rPr>
      </w:pPr>
    </w:p>
    <w:p w14:paraId="10C35D45">
      <w:pPr>
        <w:bidi w:val="0"/>
        <w:jc w:val="right"/>
        <w:rPr>
          <w:rFonts w:hint="eastAsia"/>
          <w:color w:val="auto"/>
          <w:highlight w:val="none"/>
        </w:rPr>
      </w:pPr>
      <w:r>
        <w:rPr>
          <w:rFonts w:hint="eastAsia"/>
          <w:color w:val="auto"/>
          <w:highlight w:val="none"/>
        </w:rPr>
        <w:t>重庆三峡银行股份有限公司</w:t>
      </w:r>
    </w:p>
    <w:p w14:paraId="357CCD74">
      <w:pPr>
        <w:bidi w:val="0"/>
        <w:jc w:val="right"/>
        <w:rPr>
          <w:rFonts w:hint="eastAsia"/>
          <w:color w:val="auto"/>
          <w:highlight w:val="none"/>
        </w:rPr>
      </w:pPr>
      <w:r>
        <w:rPr>
          <w:rFonts w:hint="eastAsia"/>
          <w:color w:val="auto"/>
          <w:highlight w:val="none"/>
        </w:rPr>
        <w:t xml:space="preserve">年   月   日 </w:t>
      </w:r>
    </w:p>
    <w:p w14:paraId="1CF54347">
      <w:pPr>
        <w:bidi w:val="0"/>
        <w:rPr>
          <w:rFonts w:hint="eastAsia"/>
          <w:color w:val="auto"/>
          <w:highlight w:val="none"/>
        </w:rPr>
      </w:pPr>
    </w:p>
    <w:p w14:paraId="691B48C5">
      <w:pPr>
        <w:bidi w:val="0"/>
        <w:rPr>
          <w:rFonts w:hint="eastAsia"/>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6144"/>
        </w:sectPr>
      </w:pPr>
    </w:p>
    <w:p w14:paraId="42A7D6AA">
      <w:pPr>
        <w:pStyle w:val="48"/>
        <w:bidi w:val="0"/>
        <w:rPr>
          <w:rFonts w:hint="eastAsia"/>
        </w:rPr>
      </w:pPr>
      <w:r>
        <w:rPr>
          <w:rFonts w:hint="eastAsia"/>
        </w:rPr>
        <w:t>附件：三</w:t>
      </w:r>
    </w:p>
    <w:p w14:paraId="50B195F3">
      <w:pPr>
        <w:autoSpaceDE/>
        <w:autoSpaceDN/>
        <w:spacing w:line="240" w:lineRule="auto"/>
        <w:ind w:firstLine="0" w:firstLineChars="0"/>
        <w:jc w:val="center"/>
        <w:outlineLvl w:val="9"/>
        <w:rPr>
          <w:rFonts w:hint="eastAsia" w:ascii="黑体" w:hAnsi="Calibri" w:eastAsia="黑体" w:cs="Calibri"/>
          <w:color w:val="auto"/>
          <w:sz w:val="44"/>
          <w:szCs w:val="44"/>
          <w:highlight w:val="none"/>
        </w:rPr>
      </w:pPr>
    </w:p>
    <w:p w14:paraId="4BE35B09">
      <w:pPr>
        <w:autoSpaceDE/>
        <w:autoSpaceDN/>
        <w:spacing w:line="360" w:lineRule="auto"/>
        <w:ind w:firstLine="0" w:firstLineChars="0"/>
        <w:jc w:val="center"/>
        <w:outlineLvl w:val="9"/>
        <w:rPr>
          <w:rFonts w:hint="eastAsia" w:ascii="黑体" w:hAnsi="Calibri" w:eastAsia="黑体" w:cs="Calibri"/>
          <w:color w:val="auto"/>
          <w:sz w:val="44"/>
          <w:szCs w:val="44"/>
          <w:highlight w:val="none"/>
        </w:rPr>
      </w:pPr>
      <w:r>
        <w:rPr>
          <w:rFonts w:hint="eastAsia" w:ascii="黑体" w:hAnsi="Calibri" w:eastAsia="黑体" w:cs="Calibri"/>
          <w:color w:val="auto"/>
          <w:sz w:val="44"/>
          <w:szCs w:val="44"/>
          <w:highlight w:val="none"/>
        </w:rPr>
        <w:t>重庆三峡银行存取款一体机技术服务协议</w:t>
      </w:r>
    </w:p>
    <w:p w14:paraId="092FC537">
      <w:pPr>
        <w:autoSpaceDE/>
        <w:autoSpaceDN/>
        <w:spacing w:line="360" w:lineRule="auto"/>
        <w:ind w:firstLine="0" w:firstLineChars="0"/>
        <w:jc w:val="center"/>
        <w:outlineLvl w:val="9"/>
        <w:rPr>
          <w:rFonts w:hint="eastAsia" w:ascii="黑体" w:hAnsi="Calibri" w:eastAsia="黑体" w:cs="Calibri"/>
          <w:color w:val="auto"/>
          <w:sz w:val="44"/>
          <w:szCs w:val="44"/>
          <w:highlight w:val="none"/>
        </w:rPr>
      </w:pPr>
    </w:p>
    <w:p w14:paraId="48EDC7B9">
      <w:pPr>
        <w:bidi w:val="0"/>
        <w:rPr>
          <w:rFonts w:hint="eastAsia"/>
        </w:rPr>
      </w:pPr>
      <w:r>
        <w:rPr>
          <w:rFonts w:hint="eastAsia"/>
        </w:rPr>
        <w:t>甲方：重庆三峡银行股份有限公司（以下简称甲方）</w:t>
      </w:r>
    </w:p>
    <w:p w14:paraId="4741C3D9">
      <w:pPr>
        <w:bidi w:val="0"/>
        <w:rPr>
          <w:rFonts w:hint="eastAsia"/>
        </w:rPr>
      </w:pPr>
      <w:r>
        <w:rPr>
          <w:rFonts w:hint="eastAsia"/>
        </w:rPr>
        <w:t>乙方：                        （以下简称乙方）</w:t>
      </w:r>
    </w:p>
    <w:p w14:paraId="353155E7">
      <w:pPr>
        <w:bidi w:val="0"/>
        <w:rPr>
          <w:rFonts w:hint="eastAsia"/>
        </w:rPr>
      </w:pPr>
      <w:r>
        <w:rPr>
          <w:rFonts w:hint="eastAsia"/>
        </w:rPr>
        <w:t>经甲、乙双方友好协商，就乙方承担甲方所使用的存取款一体机的技术服务事宜达成如下协议。</w:t>
      </w:r>
    </w:p>
    <w:p w14:paraId="4ECA4C16">
      <w:pPr>
        <w:autoSpaceDE/>
        <w:autoSpaceDN/>
        <w:spacing w:line="360" w:lineRule="auto"/>
        <w:ind w:firstLine="0" w:firstLineChars="0"/>
        <w:jc w:val="center"/>
        <w:outlineLvl w:val="9"/>
        <w:rPr>
          <w:rFonts w:hint="eastAsia" w:ascii="仿宋_GB2312" w:hAnsi="Calibri" w:eastAsia="仿宋_GB2312" w:cs="Calibri"/>
          <w:color w:val="auto"/>
          <w:sz w:val="28"/>
          <w:szCs w:val="28"/>
          <w:highlight w:val="none"/>
        </w:rPr>
      </w:pPr>
    </w:p>
    <w:p w14:paraId="51192EA2">
      <w:pPr>
        <w:pStyle w:val="50"/>
        <w:bidi w:val="0"/>
        <w:rPr>
          <w:rFonts w:hint="eastAsia"/>
        </w:rPr>
      </w:pPr>
      <w:r>
        <w:rPr>
          <w:rFonts w:hint="eastAsia"/>
        </w:rPr>
        <w:t>第一条  技术服务内容</w:t>
      </w:r>
    </w:p>
    <w:p w14:paraId="5B58C1A0">
      <w:pPr>
        <w:bidi w:val="0"/>
        <w:rPr>
          <w:rFonts w:hint="eastAsia"/>
        </w:rPr>
      </w:pPr>
      <w:r>
        <w:rPr>
          <w:rFonts w:hint="eastAsia"/>
        </w:rPr>
        <w:t>本协议所指技术服务，是乙方为保障本协议规定的存取款一体机运行稳定、性能良好、处理无差错，能够准确完成甲方购买该设备以期实现所有服务功能的一系列技术举措。技术服务内容包括但不限于：设备维修、维护与保养、软件开发与升级、操作及业务培训、每周7天×24小时技术咨询与支持等。</w:t>
      </w:r>
    </w:p>
    <w:p w14:paraId="2081D06B">
      <w:pPr>
        <w:pStyle w:val="48"/>
        <w:bidi w:val="0"/>
        <w:rPr>
          <w:rFonts w:hint="eastAsia"/>
        </w:rPr>
      </w:pPr>
      <w:r>
        <w:rPr>
          <w:rFonts w:hint="eastAsia"/>
        </w:rPr>
        <w:t>一、设备维修</w:t>
      </w:r>
    </w:p>
    <w:p w14:paraId="5F3493AB">
      <w:pPr>
        <w:bidi w:val="0"/>
        <w:rPr>
          <w:rFonts w:hint="eastAsia"/>
        </w:rPr>
      </w:pPr>
      <w:r>
        <w:rPr>
          <w:rFonts w:hint="eastAsia"/>
        </w:rPr>
        <w:t>设备维修是指本协议规定的设备出现运行故障后，进行的有效技术处置，使设备达到正常服务状态。</w:t>
      </w:r>
    </w:p>
    <w:p w14:paraId="72D249B1">
      <w:pPr>
        <w:bidi w:val="0"/>
        <w:rPr>
          <w:rFonts w:hint="eastAsia"/>
        </w:rPr>
      </w:pPr>
      <w:r>
        <w:rPr>
          <w:rFonts w:hint="eastAsia"/>
        </w:rPr>
        <w:t>1、设备维修应保证设备恢复故障前所有的服务功能，且运行稳定、性能良好、处理无差错。</w:t>
      </w:r>
    </w:p>
    <w:p w14:paraId="631AD256">
      <w:pPr>
        <w:bidi w:val="0"/>
        <w:rPr>
          <w:rFonts w:hint="eastAsia"/>
        </w:rPr>
      </w:pPr>
      <w:r>
        <w:rPr>
          <w:rFonts w:hint="eastAsia"/>
        </w:rPr>
        <w:t>2、设备维修响应源于设备故障发现，一是甲方向乙方报告故障；二是乙方在例行维护、保养工作中主动发现。</w:t>
      </w:r>
    </w:p>
    <w:p w14:paraId="01144DD6">
      <w:pPr>
        <w:pStyle w:val="48"/>
        <w:bidi w:val="0"/>
        <w:rPr>
          <w:rFonts w:hint="eastAsia"/>
        </w:rPr>
      </w:pPr>
      <w:r>
        <w:rPr>
          <w:rFonts w:hint="eastAsia"/>
        </w:rPr>
        <w:t>二、维护与保养</w:t>
      </w:r>
    </w:p>
    <w:p w14:paraId="542466ED">
      <w:pPr>
        <w:bidi w:val="0"/>
        <w:rPr>
          <w:rFonts w:hint="eastAsia"/>
        </w:rPr>
      </w:pPr>
      <w:r>
        <w:rPr>
          <w:rFonts w:hint="eastAsia"/>
        </w:rPr>
        <w:t>乙方提供的设备维护及保养服务，是指对本协议规定的设备进行每年不少于四次、每个季度不少于一次的例行巡检与技术处置，确保设备持续达到正常服务状态，运行稳定、性能良好、处理无差错。并且，乙方应根据甲方需要，及时响应对设备内部进行清洁、调校的请求。维护与保养内容包括：</w:t>
      </w:r>
    </w:p>
    <w:p w14:paraId="558F762B">
      <w:pPr>
        <w:bidi w:val="0"/>
        <w:rPr>
          <w:rFonts w:hint="eastAsia"/>
        </w:rPr>
      </w:pPr>
      <w:r>
        <w:rPr>
          <w:rFonts w:hint="eastAsia"/>
        </w:rPr>
        <w:t>1、应从专业角度对保养设备的外部运行环境（如外接电源、防尘、防腐、防水等措施）的合理性及内部运行状况（如损坏、磨损、污垢等）进行检查，并将检查结果反馈甲方，给甲方提出改善建议。</w:t>
      </w:r>
    </w:p>
    <w:p w14:paraId="2AB82FB5">
      <w:pPr>
        <w:bidi w:val="0"/>
        <w:rPr>
          <w:rFonts w:hint="eastAsia"/>
        </w:rPr>
      </w:pPr>
      <w:r>
        <w:rPr>
          <w:rFonts w:hint="eastAsia"/>
        </w:rPr>
        <w:t>2、应对设备的外观、用户操作界面（包括但不限于键盘、显示屏内外屏、入卡口、出钞口、入钞口、凭条出口、摄像头等）进行清洁。</w:t>
      </w:r>
    </w:p>
    <w:p w14:paraId="237AA6F6">
      <w:pPr>
        <w:bidi w:val="0"/>
        <w:rPr>
          <w:rFonts w:hint="eastAsia"/>
        </w:rPr>
      </w:pPr>
      <w:r>
        <w:rPr>
          <w:rFonts w:hint="eastAsia"/>
        </w:rPr>
        <w:t>3、浏览设备错误日志，咨询甲方设备操作人员，分析设备隐患，及时提出解决办法。</w:t>
      </w:r>
    </w:p>
    <w:p w14:paraId="0EED1740">
      <w:pPr>
        <w:bidi w:val="0"/>
        <w:rPr>
          <w:rFonts w:hint="eastAsia"/>
        </w:rPr>
      </w:pPr>
      <w:r>
        <w:rPr>
          <w:rFonts w:hint="eastAsia"/>
        </w:rPr>
        <w:t>4、应对整个设备各部件进行清洁、除尘，包括设备的传感器、传动轴等部件。</w:t>
      </w:r>
    </w:p>
    <w:p w14:paraId="2C77F868">
      <w:pPr>
        <w:bidi w:val="0"/>
        <w:rPr>
          <w:rFonts w:hint="eastAsia"/>
        </w:rPr>
      </w:pPr>
      <w:r>
        <w:rPr>
          <w:rFonts w:hint="eastAsia"/>
        </w:rPr>
        <w:t>5、应对各模块性能进行检查和调校，及时更换或修复设备的损坏部件，更换磨损老化零部件、易损部件和有隐患零部件。</w:t>
      </w:r>
    </w:p>
    <w:p w14:paraId="5FA161B6">
      <w:pPr>
        <w:bidi w:val="0"/>
        <w:rPr>
          <w:rFonts w:hint="eastAsia"/>
        </w:rPr>
      </w:pPr>
      <w:r>
        <w:rPr>
          <w:rFonts w:hint="eastAsia"/>
        </w:rPr>
        <w:t>6、维护与保养完成后，必须对设备各模块进行检测调试，确认其能正常工作。</w:t>
      </w:r>
    </w:p>
    <w:p w14:paraId="6D348F73">
      <w:pPr>
        <w:pStyle w:val="48"/>
        <w:bidi w:val="0"/>
        <w:rPr>
          <w:rFonts w:hint="eastAsia"/>
        </w:rPr>
      </w:pPr>
      <w:r>
        <w:rPr>
          <w:rFonts w:hint="eastAsia"/>
        </w:rPr>
        <w:t>三、软件开发与升级服务</w:t>
      </w:r>
    </w:p>
    <w:p w14:paraId="2555CDCD">
      <w:pPr>
        <w:bidi w:val="0"/>
        <w:rPr>
          <w:rFonts w:hint="eastAsia"/>
        </w:rPr>
      </w:pPr>
      <w:r>
        <w:rPr>
          <w:rFonts w:hint="eastAsia"/>
        </w:rPr>
        <w:t>乙方根据甲方业务需要，免费提供本协议规定的设备软件开发与升级服务，保证本协议规定的设备能够准确完成甲方购买该设备以期实现所有服务功能。</w:t>
      </w:r>
    </w:p>
    <w:p w14:paraId="1DD2B48C">
      <w:pPr>
        <w:bidi w:val="0"/>
        <w:rPr>
          <w:rFonts w:hint="eastAsia"/>
        </w:rPr>
      </w:pPr>
      <w:r>
        <w:rPr>
          <w:rFonts w:hint="eastAsia"/>
        </w:rPr>
        <w:t>1、乙方免费提供软件升级服务，包括操作系统升级、功能模块升级、防病毒软件安装及升级和SP驱动升级等。</w:t>
      </w:r>
    </w:p>
    <w:p w14:paraId="103CC192">
      <w:pPr>
        <w:bidi w:val="0"/>
        <w:rPr>
          <w:rFonts w:hint="eastAsia"/>
        </w:rPr>
      </w:pPr>
      <w:r>
        <w:rPr>
          <w:rFonts w:hint="eastAsia"/>
        </w:rPr>
        <w:t>2、在对设备软件升级改造增加新功能时，乙方应在三个工作日内响应并提交初步方案。乙方免费负责提供技术支持和软件升级服务，软件升级后版权归甲方所有。</w:t>
      </w:r>
    </w:p>
    <w:p w14:paraId="46233FCA">
      <w:pPr>
        <w:bidi w:val="0"/>
        <w:rPr>
          <w:rFonts w:hint="eastAsia"/>
        </w:rPr>
      </w:pPr>
      <w:r>
        <w:rPr>
          <w:rFonts w:hint="eastAsia"/>
        </w:rPr>
        <w:t>3、乙方发现设备软件有设计缺陷和质量问题时，须主动通知甲方，并免费进行设备软件的升级，软件升级后版权归甲方所有。</w:t>
      </w:r>
    </w:p>
    <w:p w14:paraId="54B7AA85">
      <w:pPr>
        <w:bidi w:val="0"/>
        <w:rPr>
          <w:rFonts w:hint="eastAsia"/>
        </w:rPr>
      </w:pPr>
      <w:r>
        <w:rPr>
          <w:rFonts w:hint="eastAsia"/>
        </w:rPr>
        <w:t>4、乙方发现设备硬件有设计缺陷和质量问题时，须主动通知甲方，并免费进行设备硬件的更换。</w:t>
      </w:r>
    </w:p>
    <w:p w14:paraId="2118D9DA">
      <w:pPr>
        <w:bidi w:val="0"/>
        <w:rPr>
          <w:rFonts w:hint="eastAsia"/>
        </w:rPr>
      </w:pPr>
      <w:r>
        <w:rPr>
          <w:rFonts w:hint="eastAsia"/>
        </w:rPr>
        <w:t>5、乙方需对软件开发修改内容进行详细记录，合同期满后，乙方免费向甲方移交完整的存取款一体机软件源程序、开发文档和相应的开发环境。乙方为甲方开发和维护的存取款一体机软件版权归甲方所有。</w:t>
      </w:r>
    </w:p>
    <w:p w14:paraId="5374A237">
      <w:pPr>
        <w:bidi w:val="0"/>
        <w:rPr>
          <w:rFonts w:hint="eastAsia"/>
        </w:rPr>
      </w:pPr>
      <w:r>
        <w:rPr>
          <w:rFonts w:hint="eastAsia"/>
        </w:rPr>
        <w:t>6、乙方依据本协议向甲方提供的任何产品或服务（包括但不限于：设备软件、设备配件、设备本身等）不存在侵犯任何其他方知识产权或专利权的情形；如甲方因此遭受任何第三方的起诉或索赔，乙方承诺主动与起诉方或索赔方进行交涉，为甲方的应诉或处理索赔事宜支付费用，支付甲方因败诉或被索赔应偿付的赔偿款，并对甲方由此造成的全部损失进行赔偿。</w:t>
      </w:r>
    </w:p>
    <w:p w14:paraId="2EF9EF97">
      <w:pPr>
        <w:pStyle w:val="48"/>
        <w:bidi w:val="0"/>
        <w:rPr>
          <w:rFonts w:hint="eastAsia"/>
        </w:rPr>
      </w:pPr>
      <w:r>
        <w:rPr>
          <w:rFonts w:hint="eastAsia"/>
        </w:rPr>
        <w:t>四、操作及业务培训</w:t>
      </w:r>
    </w:p>
    <w:p w14:paraId="0A0B11F5">
      <w:pPr>
        <w:bidi w:val="0"/>
        <w:rPr>
          <w:rFonts w:hint="eastAsia"/>
        </w:rPr>
      </w:pPr>
      <w:r>
        <w:rPr>
          <w:rFonts w:hint="eastAsia"/>
        </w:rPr>
        <w:t>向甲方提供规范的专业技术培训（分别针对设备操作人员和技术维护人员两个层次），使甲方操作人员了解和掌握设备的性能和操作，并能解决设备的常见问题。</w:t>
      </w:r>
    </w:p>
    <w:p w14:paraId="42CCF54B">
      <w:pPr>
        <w:bidi w:val="0"/>
        <w:rPr>
          <w:rFonts w:hint="eastAsia"/>
        </w:rPr>
      </w:pPr>
      <w:r>
        <w:rPr>
          <w:rFonts w:hint="eastAsia"/>
        </w:rPr>
        <w:t>1、专业技术培训次数：设备操作培训1次/年；技术维护培训4次/年。</w:t>
      </w:r>
    </w:p>
    <w:p w14:paraId="5011520F">
      <w:pPr>
        <w:bidi w:val="0"/>
        <w:rPr>
          <w:rFonts w:hint="eastAsia"/>
        </w:rPr>
      </w:pPr>
      <w:r>
        <w:rPr>
          <w:rFonts w:hint="eastAsia"/>
        </w:rPr>
        <w:t>2、培训时间、培训地点由甲方确定。培训费用由乙方承担（不包括甲方培训学员往返的差旅、住宿费）。</w:t>
      </w:r>
    </w:p>
    <w:p w14:paraId="44161F78">
      <w:pPr>
        <w:bidi w:val="0"/>
        <w:rPr>
          <w:rFonts w:hint="eastAsia"/>
        </w:rPr>
      </w:pPr>
      <w:r>
        <w:rPr>
          <w:rFonts w:hint="eastAsia"/>
        </w:rPr>
        <w:t>3、乙方免费为甲方提供设备安装和维护培训，使甲方掌握正确的操作和使用方法。</w:t>
      </w:r>
    </w:p>
    <w:p w14:paraId="599C79BD">
      <w:pPr>
        <w:pStyle w:val="48"/>
        <w:bidi w:val="0"/>
        <w:rPr>
          <w:rFonts w:hint="eastAsia"/>
        </w:rPr>
      </w:pPr>
      <w:r>
        <w:rPr>
          <w:rFonts w:hint="eastAsia"/>
        </w:rPr>
        <w:t>五、技术咨询与支持</w:t>
      </w:r>
    </w:p>
    <w:p w14:paraId="4A41C0A4">
      <w:pPr>
        <w:bidi w:val="0"/>
        <w:rPr>
          <w:rFonts w:hint="eastAsia"/>
        </w:rPr>
      </w:pPr>
      <w:r>
        <w:rPr>
          <w:rFonts w:hint="eastAsia"/>
        </w:rPr>
        <w:t>向甲方提供7*24小时不间断服务热线保障，即每周7天，每天24小时的全天候不间断服务。其内容包括：电话咨询、现场维修和技术指导服务。</w:t>
      </w:r>
    </w:p>
    <w:p w14:paraId="0F8EC0F6">
      <w:pPr>
        <w:bidi w:val="0"/>
        <w:rPr>
          <w:rFonts w:hint="eastAsia"/>
        </w:rPr>
      </w:pPr>
      <w:r>
        <w:rPr>
          <w:rFonts w:hint="eastAsia"/>
        </w:rPr>
        <w:t>1、乙方向甲方提供7*24小时不间断服务热线保障，即每周7天，每天24小时的全天候不间断服务。其内容包括：电话咨询、现场维修和技术指导服务。</w:t>
      </w:r>
    </w:p>
    <w:p w14:paraId="3EE39356">
      <w:pPr>
        <w:bidi w:val="0"/>
        <w:rPr>
          <w:rFonts w:hint="eastAsia"/>
        </w:rPr>
      </w:pPr>
      <w:r>
        <w:rPr>
          <w:rFonts w:hint="eastAsia"/>
        </w:rPr>
        <w:t>2、服务热线包括但不限于乙方总公司客户服务电话、区域服务主管电话、本地技术人员或维修工程师电话。</w:t>
      </w:r>
    </w:p>
    <w:p w14:paraId="2022444B">
      <w:pPr>
        <w:bidi w:val="0"/>
        <w:rPr>
          <w:rFonts w:hint="eastAsia"/>
        </w:rPr>
      </w:pPr>
    </w:p>
    <w:p w14:paraId="75B6A316">
      <w:pPr>
        <w:pStyle w:val="50"/>
        <w:bidi w:val="0"/>
        <w:rPr>
          <w:rFonts w:hint="eastAsia"/>
        </w:rPr>
      </w:pPr>
      <w:r>
        <w:rPr>
          <w:rFonts w:hint="eastAsia"/>
        </w:rPr>
        <w:t>第二条  技术服务标准</w:t>
      </w:r>
    </w:p>
    <w:p w14:paraId="524D4A57">
      <w:pPr>
        <w:bidi w:val="0"/>
        <w:rPr>
          <w:rFonts w:hint="eastAsia"/>
        </w:rPr>
      </w:pPr>
      <w:r>
        <w:rPr>
          <w:rFonts w:hint="eastAsia"/>
        </w:rPr>
        <w:t>1、乙方需对设备每年进行定期巡检，巡检次数应达到至少每季度一次，每年四次的频率。(巡检内容包括但不限于：对设备进行内外清洁、检查读卡器、出钞口、非接读卡器、各种传感器、皮带、按钮、USB接口、内部线路、密码键盘、语音系统、设备运行速度、效验触摸屏等)，确保设备持运行稳定、性能良好。</w:t>
      </w:r>
    </w:p>
    <w:p w14:paraId="092D0F08">
      <w:pPr>
        <w:bidi w:val="0"/>
        <w:rPr>
          <w:rFonts w:hint="eastAsia"/>
        </w:rPr>
      </w:pPr>
      <w:r>
        <w:rPr>
          <w:rFonts w:hint="eastAsia"/>
        </w:rPr>
        <w:t>2、乙方接到甲方故障报修后需立即响应，主城区(渝中区、江北区、渝北区、大渡口区、沙坪坝区、九龙坡区、南岸区、北碚区、巴南区)应于2小时内到达故障现场；其他区县应于4小时内到达故障现场；若乙方在夜间接到甲方故障报修，乙方最迟需于次日9点前到达故障现场。如超过该时限，甲方有权按每台存取款一体机每延迟1小时计收100元的延时费用，延时费用优先从维护费用中扣除，若维护费用不足以支付的，由乙方另行支付。</w:t>
      </w:r>
    </w:p>
    <w:p w14:paraId="0E2BEC9D">
      <w:pPr>
        <w:bidi w:val="0"/>
        <w:rPr>
          <w:rFonts w:hint="eastAsia"/>
        </w:rPr>
      </w:pPr>
      <w:r>
        <w:rPr>
          <w:rFonts w:hint="eastAsia"/>
        </w:rPr>
        <w:t>3、乙方接到甲方故障报修，到达现场后应于4小时内修复故障，并保证设备正常运行，如超过此时限，甲方有权按每台存取款一体机每延迟1小时计收100元的延时费用。同时，对于48小时不能修复的设备，甲方有权要求乙方按每台设备1000元的赔偿费用进行赔偿，并要求乙方免费更换该型号的新设备。延时费用和赔偿费用优先从维护费用中扣除，若维护费用不足以支付的，由乙方另行支付。</w:t>
      </w:r>
    </w:p>
    <w:p w14:paraId="4A896452">
      <w:pPr>
        <w:bidi w:val="0"/>
        <w:rPr>
          <w:rFonts w:hint="eastAsia"/>
        </w:rPr>
      </w:pPr>
      <w:r>
        <w:rPr>
          <w:rFonts w:hint="eastAsia"/>
        </w:rPr>
        <w:t>4、单台设备365天区间内的维修次数不得超过6次，如超过此限制，每超过一次，乙方应向甲方支付500元违约金，甲方有权从优先从维护费用中扣除，不足部分，由乙方另行支付，并要求乙方免费更换该型号的新设备或要求乙方退货，由此给甲方带来的损失由乙方全额承担。</w:t>
      </w:r>
    </w:p>
    <w:p w14:paraId="32BD6965">
      <w:pPr>
        <w:bidi w:val="0"/>
        <w:rPr>
          <w:rFonts w:hint="eastAsia"/>
        </w:rPr>
      </w:pPr>
      <w:r>
        <w:rPr>
          <w:rFonts w:hint="eastAsia"/>
        </w:rPr>
        <w:t>5、乙方维修或更换故障设备所损坏的零部件时,乙方须保证更换的部件为原厂商备件或高于原厂备件的配件，所更换部件均应粘贴经原厂商最终检验合格的相关标识，并报知甲方同意。若因甲方人为损坏或不可抗力造成的设备损坏,由甲方承担备件费用,乙方应给予免费安装。</w:t>
      </w:r>
    </w:p>
    <w:p w14:paraId="379FCF05">
      <w:pPr>
        <w:bidi w:val="0"/>
        <w:rPr>
          <w:rFonts w:hint="eastAsia"/>
        </w:rPr>
      </w:pPr>
    </w:p>
    <w:p w14:paraId="418E0BD2">
      <w:pPr>
        <w:pStyle w:val="50"/>
        <w:bidi w:val="0"/>
        <w:rPr>
          <w:rFonts w:hint="eastAsia"/>
        </w:rPr>
      </w:pPr>
      <w:r>
        <w:rPr>
          <w:rFonts w:hint="eastAsia"/>
        </w:rPr>
        <w:t>第三条  双方责任</w:t>
      </w:r>
    </w:p>
    <w:p w14:paraId="267DF70D">
      <w:pPr>
        <w:pStyle w:val="48"/>
        <w:bidi w:val="0"/>
        <w:rPr>
          <w:rFonts w:hint="eastAsia"/>
        </w:rPr>
      </w:pPr>
      <w:r>
        <w:rPr>
          <w:rFonts w:hint="eastAsia"/>
        </w:rPr>
        <w:t>一、乙方责任</w:t>
      </w:r>
    </w:p>
    <w:p w14:paraId="65F60979">
      <w:pPr>
        <w:bidi w:val="0"/>
        <w:rPr>
          <w:rFonts w:hint="eastAsia"/>
        </w:rPr>
      </w:pPr>
      <w:r>
        <w:rPr>
          <w:rFonts w:hint="eastAsia"/>
        </w:rPr>
        <w:t>1、乙方在甲方使用其设备期间，须严格按照本协议“第一条  技术服务内容”和“第二条  技术服务标准”的描述，为甲方所使用的设备提供技术服务。确保本协议规定的设备运行稳定、性能良好、处理无差错，能够准确完成甲方购买该设备以期实现所有服务功能。</w:t>
      </w:r>
    </w:p>
    <w:p w14:paraId="55422CF0">
      <w:pPr>
        <w:bidi w:val="0"/>
        <w:rPr>
          <w:rFonts w:hint="eastAsia"/>
        </w:rPr>
      </w:pPr>
      <w:r>
        <w:rPr>
          <w:rFonts w:hint="eastAsia"/>
        </w:rPr>
        <w:t>2、乙方提供的存取款一体机及其相关软件、配件必须符合国家及行业有关规定或标准，如未达到相关规定或标准造成甲方客户信息泄露、火灾、人身伤害等财产损失、安全事故或声誉风险事件，由乙方承担全部责任，并向甲方赔偿因该事件所造成的全部损失（含直接损失和间接损失）。</w:t>
      </w:r>
    </w:p>
    <w:p w14:paraId="5AFE745C">
      <w:pPr>
        <w:pStyle w:val="48"/>
        <w:bidi w:val="0"/>
        <w:rPr>
          <w:rFonts w:hint="eastAsia"/>
        </w:rPr>
      </w:pPr>
      <w:r>
        <w:rPr>
          <w:rFonts w:hint="eastAsia"/>
        </w:rPr>
        <w:t>二、甲方责任</w:t>
      </w:r>
    </w:p>
    <w:p w14:paraId="4006CF29">
      <w:pPr>
        <w:bidi w:val="0"/>
        <w:rPr>
          <w:rFonts w:hint="eastAsia"/>
        </w:rPr>
      </w:pPr>
      <w:r>
        <w:rPr>
          <w:rFonts w:hint="eastAsia"/>
        </w:rPr>
        <w:t>1、甲方应按乙方要求提供设备正常工作环境，如乙方认为甲方提供的环境不符合相关的技术要求，或对甲方使用和管理设备中存在的问题提出合理建议时，甲方应予以接受并进行相应的改善。</w:t>
      </w:r>
    </w:p>
    <w:p w14:paraId="78F9B6A1">
      <w:pPr>
        <w:bidi w:val="0"/>
        <w:rPr>
          <w:rFonts w:hint="eastAsia"/>
        </w:rPr>
      </w:pPr>
      <w:r>
        <w:rPr>
          <w:rFonts w:hint="eastAsia"/>
        </w:rPr>
        <w:t>2、甲方应按设备使用说明进行正确操作，负责设备的一般维护，包括耗材更换、日常清机、加钞等维护工作。</w:t>
      </w:r>
    </w:p>
    <w:p w14:paraId="5B83957B">
      <w:pPr>
        <w:bidi w:val="0"/>
        <w:rPr>
          <w:rFonts w:hint="eastAsia"/>
        </w:rPr>
      </w:pPr>
      <w:r>
        <w:rPr>
          <w:rFonts w:hint="eastAsia"/>
        </w:rPr>
        <w:t>3、甲方通过乙方服务电话通报设备故障时，有责任按乙方工程师的询问要求尽可能详细地向乙方说明设备的故障情况，并有责任将流水打印机打印内容传真或电话告知乙方。</w:t>
      </w:r>
    </w:p>
    <w:p w14:paraId="6D53BA1C">
      <w:pPr>
        <w:bidi w:val="0"/>
        <w:rPr>
          <w:rFonts w:hint="eastAsia"/>
        </w:rPr>
      </w:pPr>
      <w:r>
        <w:rPr>
          <w:rFonts w:hint="eastAsia"/>
        </w:rPr>
        <w:t>4、非经乙方工程师允许或指导，甲方人员不得擅自对设备进行拆卸、维修。在乙方维修、维护过程中，甲方应提供乙方开展服务之便利，保证工作环境的安全，有责任配合乙方设备的检修工作。</w:t>
      </w:r>
    </w:p>
    <w:p w14:paraId="38D793F8">
      <w:pPr>
        <w:bidi w:val="0"/>
        <w:rPr>
          <w:rFonts w:hint="eastAsia"/>
        </w:rPr>
      </w:pPr>
    </w:p>
    <w:p w14:paraId="60977C00">
      <w:pPr>
        <w:pStyle w:val="50"/>
        <w:bidi w:val="0"/>
        <w:rPr>
          <w:rFonts w:hint="eastAsia"/>
        </w:rPr>
      </w:pPr>
      <w:r>
        <w:rPr>
          <w:rFonts w:hint="eastAsia"/>
        </w:rPr>
        <w:t>第四条  服务的提供及服务对象</w:t>
      </w:r>
    </w:p>
    <w:p w14:paraId="06E43306">
      <w:pPr>
        <w:bidi w:val="0"/>
        <w:rPr>
          <w:rFonts w:hint="eastAsia"/>
        </w:rPr>
      </w:pPr>
      <w:r>
        <w:rPr>
          <w:rFonts w:hint="eastAsia"/>
        </w:rPr>
        <w:t>1.设备技术服务提供方（即本协议乙方），原则上为设备供货商或供货商指定的技术服务团队。若设备供货商或指定的技术服务团队不能履行本协议的全部内容，则甲方有权另行指定服务方，由此产生的费用优先从本合同维护费用中扣除，不足部分由乙方按要求补足。</w:t>
      </w:r>
    </w:p>
    <w:p w14:paraId="284F0604">
      <w:pPr>
        <w:bidi w:val="0"/>
        <w:rPr>
          <w:rFonts w:hint="eastAsia"/>
        </w:rPr>
      </w:pPr>
      <w:r>
        <w:rPr>
          <w:rFonts w:hint="eastAsia"/>
        </w:rPr>
        <w:t>2.本协议规定的设备是指由甲乙双方共同认定的甲方使用的存取款一体机。设备类型：存取款一体机品牌      ；型号      ；以双方认可的一份或多份自助设备发货通知书为本协议附件，在甲方采购设备，开通服务，并正式对外营运后，与乙方按批次追加和确认。追加的自助设备发货通知书一经甲乙双方认可，则与本协议具有相同的法律效力。</w:t>
      </w:r>
    </w:p>
    <w:p w14:paraId="5AEBE638">
      <w:pPr>
        <w:bidi w:val="0"/>
        <w:rPr>
          <w:rFonts w:hint="eastAsia"/>
        </w:rPr>
      </w:pPr>
    </w:p>
    <w:p w14:paraId="4654A1C2">
      <w:pPr>
        <w:pStyle w:val="50"/>
        <w:bidi w:val="0"/>
        <w:rPr>
          <w:rFonts w:hint="eastAsia"/>
        </w:rPr>
      </w:pPr>
      <w:r>
        <w:rPr>
          <w:rFonts w:hint="eastAsia"/>
        </w:rPr>
        <w:t>第五条  设备报废与回收</w:t>
      </w:r>
    </w:p>
    <w:p w14:paraId="0E46057E">
      <w:pPr>
        <w:bidi w:val="0"/>
        <w:rPr>
          <w:rFonts w:hint="eastAsia"/>
        </w:rPr>
      </w:pPr>
      <w:r>
        <w:rPr>
          <w:rFonts w:hint="eastAsia"/>
        </w:rPr>
        <w:t>若甲方须对本合同规定的一台或多台设备进行报废处置，乙方负责无偿回收和处置报废存取款一体机，对设备核心部件和设备外壳进行物理粉碎处理。报废设备处理和销毁后，乙方须出具相关设备部件和外壳已经销毁的承诺函，承诺函必须按照统一规则编号，并保证报废设备相关部件及外壳不能外流。同时，终止该设备技术服务及本协议对该设备的约束。</w:t>
      </w:r>
    </w:p>
    <w:p w14:paraId="35D86D3E">
      <w:pPr>
        <w:bidi w:val="0"/>
        <w:rPr>
          <w:rFonts w:hint="eastAsia"/>
        </w:rPr>
      </w:pPr>
    </w:p>
    <w:p w14:paraId="7B5587CE">
      <w:pPr>
        <w:pStyle w:val="50"/>
        <w:bidi w:val="0"/>
        <w:outlineLvl w:val="0"/>
        <w:rPr>
          <w:rFonts w:hint="eastAsia"/>
        </w:rPr>
      </w:pPr>
      <w:bookmarkStart w:id="473" w:name="_Toc5782"/>
      <w:bookmarkStart w:id="474" w:name="_Toc7149"/>
      <w:r>
        <w:rPr>
          <w:rFonts w:hint="eastAsia"/>
        </w:rPr>
        <w:t>第六章  其他约定</w:t>
      </w:r>
      <w:bookmarkEnd w:id="473"/>
      <w:bookmarkEnd w:id="474"/>
    </w:p>
    <w:p w14:paraId="0D917449">
      <w:pPr>
        <w:bidi w:val="0"/>
        <w:rPr>
          <w:rFonts w:hint="eastAsia"/>
        </w:rPr>
      </w:pPr>
      <w:r>
        <w:rPr>
          <w:rFonts w:hint="eastAsia"/>
        </w:rPr>
        <w:t>1、不可抗力的自然、政策等因素导致违约，双方均可免责。</w:t>
      </w:r>
    </w:p>
    <w:p w14:paraId="3F7D0E2D">
      <w:pPr>
        <w:bidi w:val="0"/>
        <w:rPr>
          <w:rFonts w:hint="eastAsia"/>
        </w:rPr>
      </w:pPr>
      <w:r>
        <w:rPr>
          <w:rFonts w:hint="eastAsia"/>
        </w:rPr>
        <w:t>2、本协议如发生争议，双方均应向主合同首部载明的甲方地址所在地（即重庆市江北区）人民法院提起诉讼。</w:t>
      </w:r>
    </w:p>
    <w:p w14:paraId="5E52B2CD">
      <w:pPr>
        <w:bidi w:val="0"/>
        <w:rPr>
          <w:rFonts w:hint="eastAsia"/>
        </w:rPr>
      </w:pPr>
      <w:r>
        <w:rPr>
          <w:rFonts w:hint="eastAsia"/>
        </w:rPr>
        <w:t>3、协议中未尽事宜，可另行签订补充合同和附件，经双方加盖公章后生效。</w:t>
      </w:r>
    </w:p>
    <w:p w14:paraId="779D7A53">
      <w:pPr>
        <w:bidi w:val="0"/>
        <w:rPr>
          <w:rFonts w:hint="eastAsia"/>
        </w:rPr>
      </w:pPr>
      <w:r>
        <w:rPr>
          <w:rFonts w:hint="eastAsia"/>
        </w:rPr>
        <w:t>4、本协议一式陆份，甲方叁份、乙方叁份，均具有同等法律效力，双方盖章后生效。</w:t>
      </w:r>
    </w:p>
    <w:p w14:paraId="45999B5D">
      <w:pPr>
        <w:bidi w:val="0"/>
        <w:rPr>
          <w:rFonts w:hint="eastAsia"/>
        </w:rPr>
      </w:pPr>
    </w:p>
    <w:p w14:paraId="53ED9E86">
      <w:pPr>
        <w:bidi w:val="0"/>
        <w:rPr>
          <w:rFonts w:hint="eastAsia"/>
        </w:rPr>
      </w:pPr>
      <w:r>
        <w:rPr>
          <w:rFonts w:hint="eastAsia"/>
        </w:rPr>
        <w:t xml:space="preserve">甲方：重庆三峡银行股份有限公司    乙方：                    </w:t>
      </w:r>
    </w:p>
    <w:p w14:paraId="776C305B">
      <w:pPr>
        <w:bidi w:val="0"/>
        <w:rPr>
          <w:rFonts w:hint="eastAsia"/>
        </w:rPr>
      </w:pPr>
      <w:r>
        <w:rPr>
          <w:rFonts w:hint="eastAsia"/>
        </w:rPr>
        <w:t>（公章）                          （公章）</w:t>
      </w:r>
    </w:p>
    <w:p w14:paraId="07B7D102">
      <w:pPr>
        <w:bidi w:val="0"/>
        <w:rPr>
          <w:rFonts w:hint="eastAsia"/>
        </w:rPr>
      </w:pPr>
    </w:p>
    <w:p w14:paraId="4FD3FD5D">
      <w:pPr>
        <w:bidi w:val="0"/>
        <w:jc w:val="right"/>
        <w:rPr>
          <w:rFonts w:hint="eastAsia"/>
        </w:rPr>
      </w:pPr>
      <w:r>
        <w:rPr>
          <w:rFonts w:hint="eastAsia"/>
        </w:rPr>
        <w:t xml:space="preserve">                          年   月   日</w:t>
      </w:r>
    </w:p>
    <w:p w14:paraId="6B032851">
      <w:pPr>
        <w:bidi w:val="0"/>
      </w:pPr>
    </w:p>
    <w:p w14:paraId="10337A0B">
      <w:pPr>
        <w:bidi w:val="0"/>
        <w:rPr>
          <w:rFonts w:hint="eastAsia"/>
          <w:lang w:val="en-US" w:eastAsia="zh-CN"/>
        </w:rPr>
      </w:pPr>
      <w:r>
        <w:rPr>
          <w:rFonts w:hint="eastAsia"/>
          <w:lang w:val="en-US" w:eastAsia="zh-CN"/>
        </w:rPr>
        <w:br w:type="page"/>
      </w:r>
    </w:p>
    <w:bookmarkEnd w:id="471"/>
    <w:bookmarkEnd w:id="472"/>
    <w:p w14:paraId="6898CE15">
      <w:pPr>
        <w:pStyle w:val="2"/>
        <w:bidi w:val="0"/>
        <w:rPr>
          <w:color w:val="auto"/>
          <w:highlight w:val="none"/>
          <w:lang w:val="en-US" w:eastAsia="zh-CN"/>
        </w:rPr>
      </w:pPr>
      <w:bookmarkStart w:id="475" w:name="_Toc28218"/>
      <w:bookmarkStart w:id="476" w:name="_Toc6126"/>
      <w:bookmarkStart w:id="477" w:name="_Toc30572"/>
      <w:bookmarkStart w:id="478" w:name="_Toc10173"/>
      <w:bookmarkStart w:id="479" w:name="_Toc509218852"/>
      <w:bookmarkStart w:id="480" w:name="_Toc430530528"/>
      <w:bookmarkStart w:id="481" w:name="_Toc6982"/>
      <w:bookmarkStart w:id="482" w:name="_Toc57820646"/>
      <w:bookmarkStart w:id="483" w:name="_Toc534185829"/>
      <w:bookmarkStart w:id="484" w:name="_Toc6658"/>
      <w:bookmarkStart w:id="485" w:name="_Toc287620798"/>
      <w:bookmarkStart w:id="486" w:name="_Toc430530514"/>
      <w:bookmarkStart w:id="487" w:name="_Toc224103477"/>
      <w:bookmarkStart w:id="488" w:name="_Toc277082638"/>
      <w:bookmarkStart w:id="489" w:name="_Toc287607856"/>
      <w:r>
        <w:rPr>
          <w:rFonts w:hint="eastAsia"/>
          <w:color w:val="auto"/>
          <w:highlight w:val="none"/>
          <w:lang w:val="en-US" w:eastAsia="zh-CN"/>
        </w:rPr>
        <w:t>第五章</w:t>
      </w:r>
      <w:r>
        <w:rPr>
          <w:rFonts w:hint="eastAsia"/>
          <w:color w:val="auto"/>
          <w:highlight w:val="none"/>
        </w:rPr>
        <w:t xml:space="preserve"> </w:t>
      </w:r>
      <w:r>
        <w:rPr>
          <w:rFonts w:hint="eastAsia"/>
          <w:color w:val="auto"/>
          <w:highlight w:val="none"/>
          <w:lang w:val="en-US" w:eastAsia="zh-CN"/>
        </w:rPr>
        <w:t>项目要求</w:t>
      </w:r>
      <w:bookmarkEnd w:id="475"/>
      <w:bookmarkEnd w:id="476"/>
    </w:p>
    <w:p w14:paraId="2FD47CA0">
      <w:pPr>
        <w:outlineLvl w:val="9"/>
        <w:rPr>
          <w:color w:val="auto"/>
          <w:highlight w:val="none"/>
        </w:rPr>
      </w:pPr>
    </w:p>
    <w:p w14:paraId="3E1B5429">
      <w:pPr>
        <w:pStyle w:val="3"/>
        <w:bidi w:val="0"/>
        <w:rPr>
          <w:color w:val="auto"/>
          <w:highlight w:val="none"/>
        </w:rPr>
      </w:pPr>
      <w:bookmarkStart w:id="490" w:name="_Toc27033"/>
      <w:bookmarkStart w:id="491" w:name="_Toc3962"/>
      <w:r>
        <w:rPr>
          <w:color w:val="auto"/>
          <w:highlight w:val="none"/>
          <w:lang w:val="en-US" w:eastAsia="zh-CN"/>
        </w:rPr>
        <w:t>1.</w:t>
      </w:r>
      <w:r>
        <w:rPr>
          <w:rFonts w:hint="eastAsia"/>
          <w:color w:val="auto"/>
          <w:highlight w:val="none"/>
          <w:lang w:val="en-US" w:eastAsia="zh-CN"/>
        </w:rPr>
        <w:t xml:space="preserve"> </w:t>
      </w:r>
      <w:r>
        <w:rPr>
          <w:rFonts w:hint="eastAsia"/>
          <w:color w:val="auto"/>
          <w:highlight w:val="none"/>
        </w:rPr>
        <w:t>总体要求</w:t>
      </w:r>
      <w:bookmarkEnd w:id="490"/>
      <w:bookmarkEnd w:id="491"/>
    </w:p>
    <w:p w14:paraId="3B0E9A1E">
      <w:pPr>
        <w:bidi w:val="0"/>
        <w:rPr>
          <w:rFonts w:hint="eastAsia"/>
          <w:color w:val="auto"/>
          <w:highlight w:val="none"/>
        </w:rPr>
      </w:pPr>
      <w:r>
        <w:rPr>
          <w:rFonts w:hint="eastAsia"/>
          <w:color w:val="auto"/>
          <w:highlight w:val="none"/>
        </w:rPr>
        <w:t>1.1</w:t>
      </w:r>
      <w:r>
        <w:rPr>
          <w:rFonts w:hint="eastAsia"/>
          <w:color w:val="auto"/>
          <w:highlight w:val="none"/>
          <w:lang w:val="en-US" w:eastAsia="zh-CN"/>
        </w:rPr>
        <w:t xml:space="preserve"> </w:t>
      </w:r>
      <w:r>
        <w:rPr>
          <w:rFonts w:hint="eastAsia"/>
          <w:color w:val="auto"/>
          <w:highlight w:val="none"/>
        </w:rPr>
        <w:t>参与公开投标的存取款一体机品牌为</w:t>
      </w:r>
      <w:r>
        <w:rPr>
          <w:color w:val="auto"/>
          <w:highlight w:val="none"/>
        </w:rPr>
        <w:t>市场</w:t>
      </w:r>
      <w:r>
        <w:rPr>
          <w:rFonts w:hint="eastAsia"/>
          <w:color w:val="auto"/>
          <w:highlight w:val="none"/>
        </w:rPr>
        <w:t>知名品牌，具备较高的市场占有率及较好的市场口碑。</w:t>
      </w:r>
    </w:p>
    <w:p w14:paraId="14C55AEA">
      <w:pPr>
        <w:bidi w:val="0"/>
        <w:rPr>
          <w:rFonts w:hint="eastAsia"/>
          <w:color w:val="auto"/>
          <w:highlight w:val="none"/>
        </w:rPr>
      </w:pPr>
      <w:r>
        <w:rPr>
          <w:rFonts w:hint="eastAsia"/>
          <w:color w:val="auto"/>
          <w:highlight w:val="none"/>
        </w:rPr>
        <w:t>1.2</w:t>
      </w:r>
      <w:r>
        <w:rPr>
          <w:rFonts w:hint="eastAsia"/>
          <w:color w:val="auto"/>
          <w:highlight w:val="none"/>
          <w:lang w:val="en-US" w:eastAsia="zh-CN"/>
        </w:rPr>
        <w:t xml:space="preserve"> </w:t>
      </w:r>
      <w:r>
        <w:rPr>
          <w:rFonts w:hint="eastAsia"/>
          <w:color w:val="auto"/>
          <w:highlight w:val="none"/>
        </w:rPr>
        <w:t>参与公开投标的存取款一体机供货商，应为设备生产厂商或该品牌唯一授权参与投标的供货商。</w:t>
      </w:r>
    </w:p>
    <w:p w14:paraId="534A3D21">
      <w:pPr>
        <w:bidi w:val="0"/>
        <w:rPr>
          <w:rFonts w:hint="eastAsia"/>
          <w:color w:val="auto"/>
          <w:highlight w:val="none"/>
        </w:rPr>
      </w:pPr>
      <w:r>
        <w:rPr>
          <w:rFonts w:hint="eastAsia"/>
          <w:color w:val="auto"/>
          <w:highlight w:val="none"/>
        </w:rPr>
        <w:t>1.3</w:t>
      </w:r>
      <w:r>
        <w:rPr>
          <w:rFonts w:hint="eastAsia"/>
          <w:color w:val="auto"/>
          <w:highlight w:val="none"/>
          <w:lang w:val="en-US" w:eastAsia="zh-CN"/>
        </w:rPr>
        <w:t xml:space="preserve"> </w:t>
      </w:r>
      <w:r>
        <w:rPr>
          <w:rFonts w:hint="eastAsia"/>
          <w:color w:val="auto"/>
          <w:highlight w:val="none"/>
        </w:rPr>
        <w:t>参与公开投标的存取款一体机型号，应为该品牌下市场主流的、成熟的产品型号。设备质量稳定、可靠；外观美观、大方，大小合适，与市场主流产品一致，产品设计符合人体工程学要求；工艺先进、规范，无明显工艺缺陷；系统功能应具有前瞻性，预留有相关功能拓展接口。</w:t>
      </w:r>
    </w:p>
    <w:p w14:paraId="6B0BF843">
      <w:pPr>
        <w:bidi w:val="0"/>
        <w:rPr>
          <w:rFonts w:hint="eastAsia"/>
        </w:rPr>
      </w:pPr>
      <w:r>
        <w:rPr>
          <w:rFonts w:hint="eastAsia"/>
          <w:color w:val="auto"/>
          <w:highlight w:val="none"/>
        </w:rPr>
        <w:t>1.4</w:t>
      </w:r>
      <w:r>
        <w:rPr>
          <w:rFonts w:hint="eastAsia"/>
          <w:color w:val="auto"/>
          <w:highlight w:val="none"/>
          <w:lang w:val="en-US" w:eastAsia="zh-CN"/>
        </w:rPr>
        <w:t xml:space="preserve"> </w:t>
      </w:r>
      <w:r>
        <w:rPr>
          <w:rFonts w:hint="eastAsia"/>
          <w:color w:val="auto"/>
          <w:highlight w:val="none"/>
        </w:rPr>
        <w:t>参与</w:t>
      </w:r>
      <w:r>
        <w:rPr>
          <w:rFonts w:hint="eastAsia"/>
          <w:color w:val="auto"/>
          <w:highlight w:val="none"/>
          <w:lang w:val="en-US" w:eastAsia="zh-CN"/>
        </w:rPr>
        <w:t>本项目的</w:t>
      </w:r>
      <w:r>
        <w:rPr>
          <w:rFonts w:hint="eastAsia"/>
          <w:color w:val="auto"/>
          <w:highlight w:val="none"/>
        </w:rPr>
        <w:t>设备必须具备国密算法，通过国家密码局等相关部门测试，并取得相关测试合格证书。</w:t>
      </w:r>
    </w:p>
    <w:p w14:paraId="60D2F8D6">
      <w:pPr>
        <w:bidi w:val="0"/>
      </w:pPr>
      <w:r>
        <w:rPr>
          <w:rFonts w:hint="eastAsia"/>
        </w:rPr>
        <w:t>1.5</w:t>
      </w:r>
      <w:r>
        <w:rPr>
          <w:rFonts w:hint="eastAsia"/>
          <w:lang w:val="en-US" w:eastAsia="zh-CN"/>
        </w:rPr>
        <w:t xml:space="preserve"> </w:t>
      </w:r>
      <w:r>
        <w:rPr>
          <w:rFonts w:hint="eastAsia"/>
        </w:rPr>
        <w:t>提供符合</w:t>
      </w:r>
      <w:r>
        <w:rPr>
          <w:lang w:eastAsia="zh-CN"/>
        </w:rPr>
        <w:t>招标方</w:t>
      </w:r>
      <w:r>
        <w:rPr>
          <w:rFonts w:hint="eastAsia"/>
        </w:rPr>
        <w:t>要求的存取款一体机，并保证所提供的存取款一体机及相关软件的质量和技术标准符合国家及行业的有关规定标准。</w:t>
      </w:r>
    </w:p>
    <w:p w14:paraId="09F3C3B2">
      <w:pPr>
        <w:bidi w:val="0"/>
        <w:rPr>
          <w:rFonts w:hint="eastAsia"/>
        </w:rPr>
      </w:pPr>
      <w:r>
        <w:t>1.6 本次招标需投标方提供的存取款一体机必须安装动态密码锁，动态密码锁需符合招标方现有系统运行体系，并免费提供动态密码锁管理系统和加密机，且指纹仪无偿配合接入招标方指纹管理系统。</w:t>
      </w:r>
    </w:p>
    <w:p w14:paraId="42D67B20">
      <w:pPr>
        <w:bidi w:val="0"/>
        <w:rPr>
          <w:rFonts w:hint="eastAsia"/>
          <w:color w:val="auto"/>
          <w:highlight w:val="none"/>
        </w:rPr>
      </w:pPr>
      <w:r>
        <w:rPr>
          <w:rFonts w:hint="eastAsia"/>
        </w:rPr>
        <w:t>1.</w:t>
      </w:r>
      <w:r>
        <w:t>7</w:t>
      </w:r>
      <w:r>
        <w:rPr>
          <w:rFonts w:hint="eastAsia"/>
          <w:lang w:val="en-US" w:eastAsia="zh-CN"/>
        </w:rPr>
        <w:t xml:space="preserve"> </w:t>
      </w:r>
      <w:r>
        <w:rPr>
          <w:rFonts w:hint="eastAsia"/>
        </w:rPr>
        <w:t>提供的任何产品（包括硬件、软件具有合法</w:t>
      </w:r>
      <w:r>
        <w:rPr>
          <w:rFonts w:hint="eastAsia"/>
          <w:color w:val="auto"/>
          <w:highlight w:val="none"/>
        </w:rPr>
        <w:t>使用权）不存在侵犯任何其他方知识产权的情形。</w:t>
      </w:r>
    </w:p>
    <w:p w14:paraId="261D9990">
      <w:pPr>
        <w:bidi w:val="0"/>
        <w:rPr>
          <w:rFonts w:hint="eastAsia"/>
          <w:color w:val="auto"/>
          <w:highlight w:val="none"/>
        </w:rPr>
      </w:pPr>
      <w:r>
        <w:rPr>
          <w:rFonts w:hint="eastAsia"/>
          <w:color w:val="auto"/>
          <w:highlight w:val="none"/>
        </w:rPr>
        <w:t>1.</w:t>
      </w:r>
      <w:r>
        <w:rPr>
          <w:color w:val="auto"/>
          <w:highlight w:val="none"/>
        </w:rPr>
        <w:t>8</w:t>
      </w:r>
      <w:r>
        <w:rPr>
          <w:rFonts w:hint="eastAsia"/>
          <w:color w:val="auto"/>
          <w:highlight w:val="none"/>
          <w:lang w:val="en-US" w:eastAsia="zh-CN"/>
        </w:rPr>
        <w:t xml:space="preserve"> </w:t>
      </w:r>
      <w:r>
        <w:rPr>
          <w:rFonts w:hint="eastAsia"/>
          <w:color w:val="auto"/>
          <w:highlight w:val="none"/>
          <w:lang w:eastAsia="zh-CN"/>
        </w:rPr>
        <w:t>投标</w:t>
      </w:r>
      <w:r>
        <w:rPr>
          <w:rFonts w:hint="eastAsia"/>
          <w:color w:val="auto"/>
          <w:highlight w:val="none"/>
        </w:rPr>
        <w:t>方对报送的投标资料真实性负责。我行将对所有报送资料进行核实，一旦发现报送资料与事实不符，将取消该产品和该供货商的投标资格。同时，该产品和该供货商将列入我行黑名单，今后不再与其进行任何合作。</w:t>
      </w:r>
    </w:p>
    <w:p w14:paraId="62A04992">
      <w:pPr>
        <w:bidi w:val="0"/>
        <w:rPr>
          <w:rFonts w:hint="eastAsia"/>
          <w:color w:val="auto"/>
          <w:highlight w:val="none"/>
        </w:rPr>
      </w:pPr>
      <w:r>
        <w:rPr>
          <w:rFonts w:hint="eastAsia"/>
          <w:color w:val="auto"/>
          <w:highlight w:val="none"/>
        </w:rPr>
        <w:t>1.</w:t>
      </w:r>
      <w:r>
        <w:rPr>
          <w:color w:val="auto"/>
          <w:highlight w:val="none"/>
        </w:rPr>
        <w:t>9</w:t>
      </w:r>
      <w:r>
        <w:rPr>
          <w:rFonts w:hint="eastAsia"/>
          <w:color w:val="auto"/>
          <w:highlight w:val="none"/>
          <w:lang w:val="en-US" w:eastAsia="zh-CN"/>
        </w:rPr>
        <w:t xml:space="preserve"> </w:t>
      </w:r>
      <w:r>
        <w:rPr>
          <w:rFonts w:hint="eastAsia"/>
          <w:color w:val="auto"/>
          <w:highlight w:val="none"/>
          <w:lang w:eastAsia="zh-CN"/>
        </w:rPr>
        <w:t>投标</w:t>
      </w:r>
      <w:r>
        <w:rPr>
          <w:rFonts w:hint="eastAsia"/>
          <w:color w:val="auto"/>
          <w:highlight w:val="none"/>
        </w:rPr>
        <w:t>方</w:t>
      </w:r>
      <w:r>
        <w:rPr>
          <w:rFonts w:hint="eastAsia"/>
          <w:color w:val="auto"/>
          <w:highlight w:val="none"/>
          <w:lang w:eastAsia="zh-CN"/>
        </w:rPr>
        <w:t>投标</w:t>
      </w:r>
      <w:r>
        <w:rPr>
          <w:rFonts w:hint="eastAsia"/>
          <w:color w:val="auto"/>
          <w:highlight w:val="none"/>
        </w:rPr>
        <w:t>同时设备生产商需指定设备售后技术服务商（可以是设备生产商自身），且需对设备质量及售后技术服务商的日常工作承担相应责任。</w:t>
      </w:r>
    </w:p>
    <w:p w14:paraId="028A4C70">
      <w:pPr>
        <w:bidi w:val="0"/>
        <w:rPr>
          <w:rFonts w:hint="eastAsia"/>
          <w:color w:val="auto"/>
          <w:highlight w:val="none"/>
        </w:rPr>
      </w:pPr>
      <w:r>
        <w:rPr>
          <w:rFonts w:hint="eastAsia"/>
          <w:color w:val="auto"/>
          <w:highlight w:val="none"/>
        </w:rPr>
        <w:t>1.</w:t>
      </w:r>
      <w:r>
        <w:rPr>
          <w:color w:val="auto"/>
          <w:highlight w:val="none"/>
        </w:rPr>
        <w:t>10</w:t>
      </w:r>
      <w:r>
        <w:rPr>
          <w:rFonts w:hint="eastAsia"/>
          <w:color w:val="auto"/>
          <w:highlight w:val="none"/>
          <w:lang w:val="en-US" w:eastAsia="zh-CN"/>
        </w:rPr>
        <w:t xml:space="preserve"> </w:t>
      </w:r>
      <w:r>
        <w:rPr>
          <w:rFonts w:hint="eastAsia"/>
          <w:color w:val="auto"/>
          <w:highlight w:val="none"/>
        </w:rPr>
        <w:t>存取款一体机在关闭循环功能的情况下，必须同时具备单独存款和取款的功能</w:t>
      </w:r>
      <w:r>
        <w:rPr>
          <w:rFonts w:hint="eastAsia"/>
          <w:color w:val="auto"/>
          <w:highlight w:val="none"/>
          <w:lang w:eastAsia="zh-CN"/>
        </w:rPr>
        <w:t>，</w:t>
      </w:r>
      <w:r>
        <w:rPr>
          <w:rFonts w:hint="eastAsia"/>
          <w:color w:val="auto"/>
          <w:highlight w:val="none"/>
        </w:rPr>
        <w:t>即存款箱</w:t>
      </w:r>
      <w:r>
        <w:rPr>
          <w:rFonts w:hint="eastAsia"/>
          <w:color w:val="auto"/>
          <w:highlight w:val="none"/>
          <w:lang w:val="en-US" w:eastAsia="zh-CN"/>
        </w:rPr>
        <w:t>/循环箱</w:t>
      </w:r>
      <w:r>
        <w:rPr>
          <w:rFonts w:hint="eastAsia"/>
          <w:color w:val="auto"/>
          <w:highlight w:val="none"/>
        </w:rPr>
        <w:t>、取款箱和</w:t>
      </w:r>
      <w:r>
        <w:rPr>
          <w:rFonts w:hint="eastAsia"/>
          <w:color w:val="auto"/>
          <w:highlight w:val="none"/>
          <w:lang w:val="en-US" w:eastAsia="zh-CN"/>
        </w:rPr>
        <w:t>废钞箱/回收箱</w:t>
      </w:r>
      <w:r>
        <w:rPr>
          <w:rFonts w:hint="eastAsia"/>
          <w:color w:val="auto"/>
          <w:highlight w:val="none"/>
        </w:rPr>
        <w:t>必须同时具备。</w:t>
      </w:r>
    </w:p>
    <w:p w14:paraId="35BA2801">
      <w:pPr>
        <w:bidi w:val="0"/>
        <w:rPr>
          <w:rFonts w:hint="eastAsia"/>
          <w:color w:val="auto"/>
          <w:highlight w:val="none"/>
        </w:rPr>
      </w:pPr>
      <w:r>
        <w:rPr>
          <w:rFonts w:hint="eastAsia"/>
          <w:color w:val="auto"/>
          <w:highlight w:val="none"/>
          <w:lang w:val="en-US" w:eastAsia="zh-CN"/>
        </w:rPr>
        <w:t>1.1</w:t>
      </w:r>
      <w:r>
        <w:rPr>
          <w:color w:val="auto"/>
          <w:highlight w:val="none"/>
          <w:lang w:val="en-US" w:eastAsia="zh-CN"/>
        </w:rPr>
        <w:t>1</w:t>
      </w:r>
      <w:r>
        <w:rPr>
          <w:rFonts w:hint="eastAsia"/>
          <w:color w:val="auto"/>
          <w:highlight w:val="none"/>
          <w:lang w:val="en-US" w:eastAsia="zh-CN"/>
        </w:rPr>
        <w:t xml:space="preserve"> </w:t>
      </w:r>
      <w:r>
        <w:rPr>
          <w:rFonts w:hint="eastAsia"/>
          <w:color w:val="auto"/>
          <w:highlight w:val="none"/>
          <w:lang w:eastAsia="zh-CN"/>
        </w:rPr>
        <w:t>中标</w:t>
      </w:r>
      <w:r>
        <w:rPr>
          <w:rFonts w:hint="eastAsia"/>
          <w:color w:val="auto"/>
          <w:highlight w:val="none"/>
        </w:rPr>
        <w:t>方需一次性向行方缴纳1</w:t>
      </w:r>
      <w:r>
        <w:rPr>
          <w:color w:val="auto"/>
          <w:highlight w:val="none"/>
        </w:rPr>
        <w:t>0</w:t>
      </w:r>
      <w:r>
        <w:rPr>
          <w:rFonts w:hint="eastAsia"/>
          <w:color w:val="auto"/>
          <w:highlight w:val="none"/>
        </w:rPr>
        <w:t>0000.00元（拾万元整）质保金。</w:t>
      </w:r>
    </w:p>
    <w:p w14:paraId="2E8C7127">
      <w:pPr>
        <w:bidi w:val="0"/>
        <w:rPr>
          <w:rFonts w:hint="eastAsia"/>
          <w:color w:val="auto"/>
          <w:highlight w:val="none"/>
        </w:rPr>
      </w:pPr>
      <w:r>
        <w:rPr>
          <w:rFonts w:hint="eastAsia"/>
          <w:color w:val="auto"/>
          <w:highlight w:val="none"/>
          <w:lang w:val="en-US" w:eastAsia="zh-CN"/>
        </w:rPr>
        <w:t>1.1</w:t>
      </w:r>
      <w:r>
        <w:rPr>
          <w:color w:val="auto"/>
          <w:highlight w:val="none"/>
          <w:lang w:val="en-US" w:eastAsia="zh-CN"/>
        </w:rPr>
        <w:t>2</w:t>
      </w:r>
      <w:r>
        <w:rPr>
          <w:rFonts w:hint="eastAsia"/>
          <w:color w:val="auto"/>
          <w:highlight w:val="none"/>
          <w:lang w:val="en-US" w:eastAsia="zh-CN"/>
        </w:rPr>
        <w:t xml:space="preserve"> </w:t>
      </w:r>
      <w:r>
        <w:rPr>
          <w:rFonts w:hint="eastAsia"/>
          <w:color w:val="auto"/>
          <w:highlight w:val="none"/>
          <w:lang w:eastAsia="zh-CN"/>
        </w:rPr>
        <w:t>中标</w:t>
      </w:r>
      <w:r>
        <w:rPr>
          <w:rFonts w:hint="eastAsia"/>
          <w:color w:val="auto"/>
          <w:highlight w:val="none"/>
        </w:rPr>
        <w:t>方设备如未接入过我行自助设备管理系统（新系统），需向第三方系统开发公司缴纳45000.00元（肆万伍仟元整）系统调试费用。</w:t>
      </w:r>
    </w:p>
    <w:p w14:paraId="0F25BE97">
      <w:pPr>
        <w:bidi w:val="0"/>
        <w:rPr>
          <w:color w:val="auto"/>
          <w:highlight w:val="none"/>
        </w:rPr>
      </w:pPr>
      <w:r>
        <w:rPr>
          <w:rFonts w:hint="eastAsia"/>
          <w:color w:val="auto"/>
          <w:highlight w:val="none"/>
          <w:lang w:val="en-US" w:eastAsia="zh-CN"/>
        </w:rPr>
        <w:t>1.1</w:t>
      </w:r>
      <w:r>
        <w:rPr>
          <w:color w:val="auto"/>
          <w:highlight w:val="none"/>
          <w:lang w:val="en-US" w:eastAsia="zh-CN"/>
        </w:rPr>
        <w:t>3</w:t>
      </w:r>
      <w:r>
        <w:rPr>
          <w:rFonts w:hint="eastAsia"/>
          <w:color w:val="auto"/>
          <w:highlight w:val="none"/>
          <w:lang w:val="en-US" w:eastAsia="zh-CN"/>
        </w:rPr>
        <w:t xml:space="preserve"> </w:t>
      </w:r>
      <w:r>
        <w:rPr>
          <w:rFonts w:hint="eastAsia"/>
          <w:color w:val="auto"/>
          <w:highlight w:val="none"/>
        </w:rPr>
        <w:t>本次</w:t>
      </w:r>
      <w:r>
        <w:rPr>
          <w:rFonts w:hint="eastAsia"/>
          <w:color w:val="auto"/>
          <w:highlight w:val="none"/>
          <w:lang w:eastAsia="zh-CN"/>
        </w:rPr>
        <w:t>中标</w:t>
      </w:r>
      <w:r>
        <w:rPr>
          <w:rFonts w:hint="eastAsia"/>
          <w:color w:val="auto"/>
          <w:highlight w:val="none"/>
        </w:rPr>
        <w:t>方所提供的所有设备及配件均包含6年维护费用（存取款一体机、存折模块、钞箱</w:t>
      </w:r>
      <w:r>
        <w:rPr>
          <w:color w:val="auto"/>
          <w:highlight w:val="none"/>
        </w:rPr>
        <w:t>、动态密码锁</w:t>
      </w:r>
      <w:r>
        <w:rPr>
          <w:rFonts w:hint="eastAsia"/>
          <w:color w:val="auto"/>
          <w:highlight w:val="none"/>
        </w:rPr>
        <w:t>等）。</w:t>
      </w:r>
    </w:p>
    <w:p w14:paraId="7C3CFEB4">
      <w:pPr>
        <w:pStyle w:val="3"/>
        <w:bidi w:val="0"/>
        <w:rPr>
          <w:rFonts w:hint="eastAsia"/>
          <w:color w:val="auto"/>
          <w:highlight w:val="none"/>
          <w:lang w:val="en-US" w:eastAsia="zh-CN"/>
        </w:rPr>
      </w:pPr>
      <w:bookmarkStart w:id="492" w:name="_Toc31141"/>
      <w:bookmarkStart w:id="493" w:name="_Toc17157"/>
      <w:r>
        <w:rPr>
          <w:rFonts w:hint="eastAsia"/>
          <w:color w:val="auto"/>
          <w:highlight w:val="none"/>
          <w:lang w:val="en-US" w:eastAsia="zh-CN"/>
        </w:rPr>
        <w:t>2. 设备要求</w:t>
      </w:r>
      <w:bookmarkEnd w:id="492"/>
      <w:bookmarkEnd w:id="493"/>
    </w:p>
    <w:p w14:paraId="612555CC">
      <w:pPr>
        <w:bidi w:val="0"/>
        <w:rPr>
          <w:rFonts w:hint="eastAsia"/>
          <w:color w:val="auto"/>
          <w:highlight w:val="none"/>
        </w:rPr>
      </w:pPr>
      <w:r>
        <w:rPr>
          <w:rFonts w:hint="eastAsia"/>
          <w:color w:val="auto"/>
          <w:highlight w:val="none"/>
        </w:rPr>
        <w:t>存取款一体机接入本行自助设备管理系统，为网点转型工作提供硬件支持，满足我行现金业务服务需求，实现存款、取款、转账、查询、改密、存折补登、存折读取、人体感应、语音通话、中间业务缴费等业务功能。</w:t>
      </w:r>
    </w:p>
    <w:p w14:paraId="64C5614D">
      <w:pPr>
        <w:pStyle w:val="3"/>
        <w:bidi w:val="0"/>
        <w:rPr>
          <w:color w:val="auto"/>
          <w:highlight w:val="none"/>
        </w:rPr>
      </w:pPr>
      <w:bookmarkStart w:id="494" w:name="_Toc29434"/>
      <w:bookmarkStart w:id="495" w:name="_Toc18741"/>
      <w:r>
        <w:rPr>
          <w:rFonts w:hint="eastAsia"/>
          <w:color w:val="auto"/>
          <w:highlight w:val="none"/>
          <w:lang w:val="en-US" w:eastAsia="zh-CN"/>
        </w:rPr>
        <w:t xml:space="preserve">3. </w:t>
      </w:r>
      <w:r>
        <w:rPr>
          <w:color w:val="auto"/>
          <w:highlight w:val="none"/>
        </w:rPr>
        <w:t>技术</w:t>
      </w:r>
      <w:r>
        <w:rPr>
          <w:rFonts w:hint="eastAsia"/>
          <w:color w:val="auto"/>
          <w:highlight w:val="none"/>
        </w:rPr>
        <w:t>要求</w:t>
      </w:r>
      <w:bookmarkEnd w:id="494"/>
      <w:bookmarkEnd w:id="495"/>
    </w:p>
    <w:tbl>
      <w:tblPr>
        <w:tblStyle w:val="23"/>
        <w:tblW w:w="8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80"/>
        <w:gridCol w:w="6900"/>
      </w:tblGrid>
      <w:tr w14:paraId="09D07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7" w:hRule="atLeast"/>
        </w:trPr>
        <w:tc>
          <w:tcPr>
            <w:tcW w:w="1680" w:type="dxa"/>
            <w:vMerge w:val="restart"/>
            <w:tcBorders>
              <w:top w:val="single" w:color="auto" w:sz="4" w:space="0"/>
              <w:left w:val="single" w:color="auto" w:sz="4" w:space="0"/>
              <w:bottom w:val="single" w:color="auto" w:sz="4" w:space="0"/>
              <w:right w:val="single" w:color="auto" w:sz="4" w:space="0"/>
            </w:tcBorders>
            <w:noWrap/>
            <w:vAlign w:val="center"/>
          </w:tcPr>
          <w:p w14:paraId="3D462941">
            <w:pPr>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default" w:eastAsia="宋体"/>
                <w:color w:val="auto"/>
                <w:highlight w:val="none"/>
                <w:lang w:val="en-US" w:eastAsia="zh-CN"/>
              </w:rPr>
            </w:pPr>
            <w:r>
              <w:rPr>
                <w:rFonts w:hint="eastAsia"/>
                <w:color w:val="auto"/>
                <w:highlight w:val="none"/>
                <w:lang w:val="en-US" w:eastAsia="zh-CN"/>
              </w:rPr>
              <w:t>控制系统</w:t>
            </w:r>
          </w:p>
        </w:tc>
        <w:tc>
          <w:tcPr>
            <w:tcW w:w="6900" w:type="dxa"/>
            <w:tcBorders>
              <w:top w:val="single" w:color="auto" w:sz="4" w:space="0"/>
              <w:left w:val="single" w:color="auto" w:sz="4" w:space="0"/>
              <w:bottom w:val="single" w:color="auto" w:sz="4" w:space="0"/>
              <w:right w:val="single" w:color="auto" w:sz="4" w:space="0"/>
            </w:tcBorders>
            <w:noWrap/>
            <w:vAlign w:val="center"/>
          </w:tcPr>
          <w:p w14:paraId="6D5D3C6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1、主机支持24小时连续工作，稳定性强，散热性能好；</w:t>
            </w:r>
          </w:p>
          <w:p w14:paraId="221625A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2、支持PISA标准，经过国家3C认证；</w:t>
            </w:r>
          </w:p>
          <w:p w14:paraId="468F7CD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color w:val="auto"/>
                <w:sz w:val="21"/>
                <w:szCs w:val="21"/>
                <w:highlight w:val="none"/>
                <w:lang w:bidi="ar-SA"/>
              </w:rPr>
            </w:pPr>
            <w:r>
              <w:rPr>
                <w:rFonts w:ascii="宋体" w:hAnsi="宋体" w:eastAsia="宋体" w:cs="宋体"/>
                <w:color w:val="auto"/>
                <w:sz w:val="21"/>
                <w:szCs w:val="21"/>
                <w:highlight w:val="none"/>
                <w:lang w:bidi="ar-SA"/>
              </w:rPr>
              <w:t>3</w:t>
            </w:r>
            <w:r>
              <w:rPr>
                <w:rFonts w:hint="eastAsia" w:ascii="宋体" w:hAnsi="宋体" w:eastAsia="宋体" w:cs="宋体"/>
                <w:color w:val="auto"/>
                <w:sz w:val="21"/>
                <w:szCs w:val="21"/>
                <w:highlight w:val="none"/>
                <w:lang w:bidi="ar-SA"/>
              </w:rPr>
              <w:t>、内存：≥16GB；</w:t>
            </w:r>
          </w:p>
          <w:p w14:paraId="50FB487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color w:val="auto"/>
                <w:sz w:val="21"/>
                <w:szCs w:val="21"/>
                <w:highlight w:val="none"/>
                <w:lang w:bidi="ar-SA"/>
              </w:rPr>
            </w:pPr>
            <w:r>
              <w:rPr>
                <w:rFonts w:ascii="宋体" w:hAnsi="宋体" w:eastAsia="宋体" w:cs="宋体"/>
                <w:color w:val="auto"/>
                <w:sz w:val="21"/>
                <w:szCs w:val="21"/>
                <w:highlight w:val="none"/>
                <w:lang w:bidi="ar-SA"/>
              </w:rPr>
              <w:t>4</w:t>
            </w:r>
            <w:r>
              <w:rPr>
                <w:rFonts w:hint="eastAsia" w:ascii="宋体" w:hAnsi="宋体" w:eastAsia="宋体" w:cs="宋体"/>
                <w:color w:val="auto"/>
                <w:sz w:val="21"/>
                <w:szCs w:val="21"/>
                <w:highlight w:val="none"/>
                <w:lang w:bidi="ar-SA"/>
              </w:rPr>
              <w:t>、硬盘：≥500GB(SSD硬盘)；</w:t>
            </w:r>
          </w:p>
          <w:p w14:paraId="0B0D967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color w:val="auto"/>
                <w:sz w:val="21"/>
                <w:szCs w:val="21"/>
                <w:highlight w:val="none"/>
                <w:lang w:bidi="ar-SA"/>
              </w:rPr>
            </w:pPr>
            <w:r>
              <w:rPr>
                <w:rFonts w:ascii="宋体" w:hAnsi="宋体" w:eastAsia="宋体" w:cs="宋体"/>
                <w:color w:val="auto"/>
                <w:sz w:val="21"/>
                <w:szCs w:val="21"/>
                <w:highlight w:val="none"/>
                <w:lang w:bidi="ar-SA"/>
              </w:rPr>
              <w:t>5</w:t>
            </w:r>
            <w:r>
              <w:rPr>
                <w:rFonts w:hint="eastAsia" w:ascii="宋体" w:hAnsi="宋体" w:eastAsia="宋体" w:cs="宋体"/>
                <w:color w:val="auto"/>
                <w:sz w:val="21"/>
                <w:szCs w:val="21"/>
                <w:highlight w:val="none"/>
                <w:lang w:bidi="ar-SA"/>
              </w:rPr>
              <w:t>、光驱：DVD光驱；</w:t>
            </w:r>
          </w:p>
          <w:p w14:paraId="302802D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color w:val="auto"/>
                <w:sz w:val="21"/>
                <w:szCs w:val="21"/>
                <w:highlight w:val="none"/>
              </w:rPr>
            </w:pPr>
            <w:r>
              <w:rPr>
                <w:rFonts w:ascii="宋体" w:hAnsi="宋体" w:eastAsia="宋体" w:cs="宋体"/>
                <w:color w:val="auto"/>
                <w:sz w:val="21"/>
                <w:szCs w:val="21"/>
                <w:highlight w:val="none"/>
                <w:lang w:bidi="ar-SA"/>
              </w:rPr>
              <w:t>6</w:t>
            </w:r>
            <w:r>
              <w:rPr>
                <w:rFonts w:hint="eastAsia" w:ascii="宋体" w:hAnsi="宋体" w:eastAsia="宋体" w:cs="宋体"/>
                <w:color w:val="auto"/>
                <w:sz w:val="21"/>
                <w:szCs w:val="21"/>
                <w:highlight w:val="none"/>
                <w:lang w:bidi="ar-SA"/>
              </w:rPr>
              <w:t>、USB口：USB≥4个。</w:t>
            </w:r>
          </w:p>
        </w:tc>
      </w:tr>
      <w:tr w14:paraId="68012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1680" w:type="dxa"/>
            <w:tcBorders>
              <w:top w:val="single" w:color="auto" w:sz="4" w:space="0"/>
              <w:left w:val="single" w:color="auto" w:sz="4" w:space="0"/>
              <w:bottom w:val="single" w:color="auto" w:sz="4" w:space="0"/>
              <w:right w:val="single" w:color="auto" w:sz="4" w:space="0"/>
            </w:tcBorders>
            <w:noWrap/>
            <w:vAlign w:val="center"/>
          </w:tcPr>
          <w:p w14:paraId="17D066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显示器</w:t>
            </w:r>
          </w:p>
        </w:tc>
        <w:tc>
          <w:tcPr>
            <w:tcW w:w="6900" w:type="dxa"/>
            <w:tcBorders>
              <w:top w:val="single" w:color="auto" w:sz="4" w:space="0"/>
              <w:left w:val="single" w:color="auto" w:sz="4" w:space="0"/>
              <w:bottom w:val="single" w:color="auto" w:sz="4" w:space="0"/>
              <w:right w:val="single" w:color="auto" w:sz="4" w:space="0"/>
            </w:tcBorders>
            <w:noWrap/>
            <w:vAlign w:val="center"/>
          </w:tcPr>
          <w:p w14:paraId="3C6D368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1.液晶显示屏，15英寸或以上真彩色LCD防暴屏，分辨率为1024*768像素，防窥视、阳光下可视；</w:t>
            </w:r>
          </w:p>
          <w:p w14:paraId="6EB3D8D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2.触摸屏，灵敏、定位准确无漂移。</w:t>
            </w:r>
          </w:p>
        </w:tc>
      </w:tr>
      <w:tr w14:paraId="09D03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680" w:type="dxa"/>
            <w:tcBorders>
              <w:top w:val="single" w:color="auto" w:sz="4" w:space="0"/>
              <w:left w:val="single" w:color="auto" w:sz="4" w:space="0"/>
              <w:bottom w:val="single" w:color="auto" w:sz="4" w:space="0"/>
              <w:right w:val="single" w:color="auto" w:sz="4" w:space="0"/>
            </w:tcBorders>
            <w:noWrap/>
            <w:vAlign w:val="center"/>
          </w:tcPr>
          <w:p w14:paraId="23A1A1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密码键盘</w:t>
            </w:r>
          </w:p>
        </w:tc>
        <w:tc>
          <w:tcPr>
            <w:tcW w:w="6900" w:type="dxa"/>
            <w:tcBorders>
              <w:top w:val="single" w:color="auto" w:sz="4" w:space="0"/>
              <w:left w:val="single" w:color="auto" w:sz="4" w:space="0"/>
              <w:bottom w:val="single" w:color="auto" w:sz="4" w:space="0"/>
              <w:right w:val="single" w:color="auto" w:sz="4" w:space="0"/>
            </w:tcBorders>
            <w:noWrap/>
            <w:vAlign w:val="center"/>
          </w:tcPr>
          <w:p w14:paraId="7E855D3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1.4×4金属键盘，通过国密认证；</w:t>
            </w:r>
          </w:p>
          <w:p w14:paraId="19FD73C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2.防水、防尘、防暴、防静电；</w:t>
            </w:r>
          </w:p>
          <w:p w14:paraId="7EB9F77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3.密码键盘具有防窥罩。</w:t>
            </w:r>
          </w:p>
        </w:tc>
      </w:tr>
      <w:tr w14:paraId="0192B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1" w:hRule="atLeast"/>
        </w:trPr>
        <w:tc>
          <w:tcPr>
            <w:tcW w:w="1680" w:type="dxa"/>
            <w:tcBorders>
              <w:top w:val="single" w:color="auto" w:sz="4" w:space="0"/>
              <w:left w:val="single" w:color="auto" w:sz="4" w:space="0"/>
              <w:bottom w:val="single" w:color="auto" w:sz="4" w:space="0"/>
              <w:right w:val="single" w:color="auto" w:sz="4" w:space="0"/>
            </w:tcBorders>
            <w:noWrap/>
            <w:vAlign w:val="center"/>
          </w:tcPr>
          <w:p w14:paraId="649DFD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读卡器</w:t>
            </w:r>
          </w:p>
        </w:tc>
        <w:tc>
          <w:tcPr>
            <w:tcW w:w="6900" w:type="dxa"/>
            <w:tcBorders>
              <w:top w:val="single" w:color="auto" w:sz="4" w:space="0"/>
              <w:left w:val="single" w:color="auto" w:sz="4" w:space="0"/>
              <w:bottom w:val="single" w:color="auto" w:sz="4" w:space="0"/>
              <w:right w:val="single" w:color="auto" w:sz="4" w:space="0"/>
            </w:tcBorders>
            <w:noWrap/>
            <w:vAlign w:val="center"/>
          </w:tcPr>
          <w:p w14:paraId="57B9D5D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1.吞卡式电动读卡器：可读写磁道及接触式IC卡，符合PBOC3.0，具有判磁进卡安全闸门，具有卡回收功能；</w:t>
            </w:r>
          </w:p>
          <w:p w14:paraId="5661E44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2.符合EMV2000、PBOC3.0、ISO7816、MasterCard PayPass和Visa payWave等标准；</w:t>
            </w:r>
          </w:p>
          <w:p w14:paraId="6CA9BE6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3.未取卡自动回收、断电退卡功能，可自动识别异物。</w:t>
            </w:r>
          </w:p>
        </w:tc>
      </w:tr>
      <w:tr w14:paraId="0FAB9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80" w:type="dxa"/>
            <w:tcBorders>
              <w:top w:val="single" w:color="auto" w:sz="4" w:space="0"/>
              <w:left w:val="single" w:color="auto" w:sz="4" w:space="0"/>
              <w:bottom w:val="single" w:color="auto" w:sz="4" w:space="0"/>
              <w:right w:val="single" w:color="auto" w:sz="4" w:space="0"/>
            </w:tcBorders>
            <w:noWrap/>
            <w:vAlign w:val="center"/>
          </w:tcPr>
          <w:p w14:paraId="160005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非接读卡器</w:t>
            </w:r>
          </w:p>
        </w:tc>
        <w:tc>
          <w:tcPr>
            <w:tcW w:w="6900" w:type="dxa"/>
            <w:tcBorders>
              <w:top w:val="single" w:color="auto" w:sz="4" w:space="0"/>
              <w:left w:val="single" w:color="auto" w:sz="4" w:space="0"/>
              <w:bottom w:val="single" w:color="auto" w:sz="4" w:space="0"/>
              <w:right w:val="single" w:color="auto" w:sz="4" w:space="0"/>
            </w:tcBorders>
            <w:noWrap/>
            <w:vAlign w:val="center"/>
          </w:tcPr>
          <w:p w14:paraId="31914CE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1、独立式非接触IC卡读卡器，符合ISO/IEC14443 TypeA/B、PBOC3.0标准、MasterCard PayPass和Visa payWave等规范；支持ISO/IEC 14443 TypeA/B、Mifare卡，支持SAM卡读写；</w:t>
            </w:r>
          </w:p>
          <w:p w14:paraId="2720F0A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2、读卡距离0-20mm，具备防冲突功能（大于一张卡在感应区内时不读卡）。</w:t>
            </w:r>
          </w:p>
        </w:tc>
      </w:tr>
      <w:tr w14:paraId="4271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1680" w:type="dxa"/>
            <w:tcBorders>
              <w:top w:val="single" w:color="auto" w:sz="4" w:space="0"/>
              <w:left w:val="single" w:color="auto" w:sz="4" w:space="0"/>
              <w:bottom w:val="single" w:color="auto" w:sz="4" w:space="0"/>
              <w:right w:val="single" w:color="auto" w:sz="4" w:space="0"/>
            </w:tcBorders>
            <w:noWrap/>
            <w:vAlign w:val="center"/>
          </w:tcPr>
          <w:p w14:paraId="5D7ABF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语音通话</w:t>
            </w:r>
          </w:p>
        </w:tc>
        <w:tc>
          <w:tcPr>
            <w:tcW w:w="6900" w:type="dxa"/>
            <w:tcBorders>
              <w:top w:val="single" w:color="auto" w:sz="4" w:space="0"/>
              <w:left w:val="single" w:color="auto" w:sz="4" w:space="0"/>
              <w:bottom w:val="single" w:color="auto" w:sz="4" w:space="0"/>
              <w:right w:val="single" w:color="auto" w:sz="4" w:space="0"/>
            </w:tcBorders>
            <w:noWrap/>
            <w:vAlign w:val="center"/>
          </w:tcPr>
          <w:p w14:paraId="21FC090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1、支持噪音抑制、降低环境噪音功能；</w:t>
            </w:r>
          </w:p>
          <w:p w14:paraId="5E4F829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2、拾音距离3米；</w:t>
            </w:r>
          </w:p>
          <w:p w14:paraId="28D900F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3、具有线路回声消除功能；</w:t>
            </w:r>
          </w:p>
          <w:p w14:paraId="2A3F294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4、语音通话音质清晰；</w:t>
            </w:r>
          </w:p>
          <w:p w14:paraId="3E9E6ED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5、语音通讯通过网络形式传输。</w:t>
            </w:r>
          </w:p>
        </w:tc>
      </w:tr>
      <w:tr w14:paraId="288E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3" w:hRule="atLeast"/>
        </w:trPr>
        <w:tc>
          <w:tcPr>
            <w:tcW w:w="1680" w:type="dxa"/>
            <w:tcBorders>
              <w:top w:val="single" w:color="auto" w:sz="4" w:space="0"/>
              <w:left w:val="single" w:color="auto" w:sz="4" w:space="0"/>
              <w:bottom w:val="single" w:color="auto" w:sz="4" w:space="0"/>
              <w:right w:val="single" w:color="auto" w:sz="4" w:space="0"/>
            </w:tcBorders>
            <w:noWrap/>
            <w:vAlign w:val="center"/>
          </w:tcPr>
          <w:p w14:paraId="5710B1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存取款模块</w:t>
            </w:r>
          </w:p>
        </w:tc>
        <w:tc>
          <w:tcPr>
            <w:tcW w:w="6900" w:type="dxa"/>
            <w:tcBorders>
              <w:top w:val="single" w:color="auto" w:sz="4" w:space="0"/>
              <w:left w:val="single" w:color="auto" w:sz="4" w:space="0"/>
              <w:bottom w:val="single" w:color="auto" w:sz="4" w:space="0"/>
              <w:right w:val="single" w:color="auto" w:sz="4" w:space="0"/>
            </w:tcBorders>
            <w:noWrap/>
            <w:vAlign w:val="center"/>
          </w:tcPr>
          <w:p w14:paraId="22C566F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1.达到人行金标标准（具备检测合格证书）；</w:t>
            </w:r>
          </w:p>
          <w:p w14:paraId="4500584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2.具备钞票独立回收箱/废钞箱，支持钞票回收功能；</w:t>
            </w:r>
          </w:p>
          <w:p w14:paraId="138E51D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3.整叠出钞，单次取款钞票最大张数不低于100张（含），支持钞票种类：人民币100元、50元、10元、5元；</w:t>
            </w:r>
          </w:p>
          <w:p w14:paraId="2D21600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4.通道清理功能，成叠回收钞票，残钞、回收钞票分格或分箱放置；</w:t>
            </w:r>
          </w:p>
          <w:p w14:paraId="22FF08E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5.具备冠字号采集功能</w:t>
            </w:r>
          </w:p>
          <w:p w14:paraId="3BE208D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6.少钞、满钞感应功能；</w:t>
            </w:r>
          </w:p>
          <w:p w14:paraId="740A1E8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7.支持单张、成叠拒收钞票功能，并能准确记录回收张数。</w:t>
            </w:r>
          </w:p>
        </w:tc>
      </w:tr>
      <w:tr w14:paraId="2006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1" w:hRule="atLeast"/>
        </w:trPr>
        <w:tc>
          <w:tcPr>
            <w:tcW w:w="1680" w:type="dxa"/>
            <w:tcBorders>
              <w:top w:val="single" w:color="auto" w:sz="4" w:space="0"/>
              <w:left w:val="single" w:color="auto" w:sz="4" w:space="0"/>
              <w:bottom w:val="single" w:color="auto" w:sz="4" w:space="0"/>
              <w:right w:val="single" w:color="auto" w:sz="4" w:space="0"/>
            </w:tcBorders>
            <w:noWrap/>
            <w:vAlign w:val="center"/>
          </w:tcPr>
          <w:p w14:paraId="27FC37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双目摄像头</w:t>
            </w:r>
          </w:p>
        </w:tc>
        <w:tc>
          <w:tcPr>
            <w:tcW w:w="6900" w:type="dxa"/>
            <w:tcBorders>
              <w:top w:val="single" w:color="auto" w:sz="4" w:space="0"/>
              <w:left w:val="single" w:color="auto" w:sz="4" w:space="0"/>
              <w:bottom w:val="single" w:color="auto" w:sz="4" w:space="0"/>
              <w:right w:val="single" w:color="auto" w:sz="4" w:space="0"/>
            </w:tcBorders>
            <w:noWrap/>
            <w:vAlign w:val="center"/>
          </w:tcPr>
          <w:p w14:paraId="0968CB2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1.红外摄像头：摄像头帧率≥10fps，扫描频率≥30HZ，有效像素≥1280X960，像素点大小≤4umX4um，信噪比≥40dB，动态范围≥80dB，最低照度≥0.01LUX at F1.2；</w:t>
            </w:r>
          </w:p>
          <w:p w14:paraId="355549B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2.成像距离25cm至150cm；</w:t>
            </w:r>
          </w:p>
          <w:p w14:paraId="1E09D20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3.支持活体检测、人脸识别功能；</w:t>
            </w:r>
          </w:p>
          <w:p w14:paraId="2E6E6D2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4.图像无畸变，垂直角度范围不少于50度，水平角度范围不少于80度；</w:t>
            </w:r>
          </w:p>
          <w:p w14:paraId="2CFB58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5.支持逆光补偿拍摄功能；</w:t>
            </w:r>
          </w:p>
          <w:p w14:paraId="4ED552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6.应具备高度调节功能，设置高度调节杆由客户自主调节；</w:t>
            </w:r>
          </w:p>
          <w:p w14:paraId="6C01753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7.正面预留行方人脸监控摄像头安装位置。</w:t>
            </w:r>
          </w:p>
        </w:tc>
      </w:tr>
      <w:tr w14:paraId="6627D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680" w:type="dxa"/>
            <w:tcBorders>
              <w:top w:val="single" w:color="auto" w:sz="4" w:space="0"/>
              <w:left w:val="single" w:color="auto" w:sz="4" w:space="0"/>
              <w:bottom w:val="single" w:color="auto" w:sz="4" w:space="0"/>
              <w:right w:val="single" w:color="auto" w:sz="4" w:space="0"/>
            </w:tcBorders>
            <w:noWrap/>
            <w:vAlign w:val="center"/>
          </w:tcPr>
          <w:p w14:paraId="4C8341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存折打印机</w:t>
            </w:r>
          </w:p>
        </w:tc>
        <w:tc>
          <w:tcPr>
            <w:tcW w:w="6900" w:type="dxa"/>
            <w:tcBorders>
              <w:top w:val="single" w:color="auto" w:sz="4" w:space="0"/>
              <w:left w:val="single" w:color="auto" w:sz="4" w:space="0"/>
              <w:bottom w:val="single" w:color="auto" w:sz="4" w:space="0"/>
              <w:right w:val="single" w:color="auto" w:sz="4" w:space="0"/>
            </w:tcBorders>
            <w:noWrap/>
            <w:vAlign w:val="center"/>
          </w:tcPr>
          <w:p w14:paraId="4C3A1D9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1.支持存折24针双向点阵式打印；</w:t>
            </w:r>
          </w:p>
          <w:p w14:paraId="529C5F7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2.自动读存折，自动纠偏，自动对边和自动调整打印厚度，支持读多种磁条标准的存折。</w:t>
            </w:r>
          </w:p>
        </w:tc>
      </w:tr>
      <w:tr w14:paraId="40643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680" w:type="dxa"/>
            <w:tcBorders>
              <w:top w:val="single" w:color="auto" w:sz="4" w:space="0"/>
              <w:left w:val="single" w:color="auto" w:sz="4" w:space="0"/>
              <w:bottom w:val="single" w:color="auto" w:sz="4" w:space="0"/>
              <w:right w:val="single" w:color="auto" w:sz="4" w:space="0"/>
            </w:tcBorders>
            <w:noWrap/>
            <w:vAlign w:val="center"/>
          </w:tcPr>
          <w:p w14:paraId="26AF24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凭条打印机</w:t>
            </w:r>
          </w:p>
        </w:tc>
        <w:tc>
          <w:tcPr>
            <w:tcW w:w="6900" w:type="dxa"/>
            <w:tcBorders>
              <w:top w:val="single" w:color="auto" w:sz="4" w:space="0"/>
              <w:left w:val="single" w:color="auto" w:sz="4" w:space="0"/>
              <w:bottom w:val="single" w:color="auto" w:sz="4" w:space="0"/>
              <w:right w:val="single" w:color="auto" w:sz="4" w:space="0"/>
            </w:tcBorders>
            <w:noWrap/>
            <w:vAlign w:val="center"/>
          </w:tcPr>
          <w:p w14:paraId="074F3A1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1.支持中英文、图形打印，支持打印机缺纸感应、支持断电后日志重打。</w:t>
            </w:r>
          </w:p>
        </w:tc>
      </w:tr>
      <w:tr w14:paraId="12319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680" w:type="dxa"/>
            <w:tcBorders>
              <w:top w:val="single" w:color="auto" w:sz="4" w:space="0"/>
              <w:left w:val="single" w:color="auto" w:sz="4" w:space="0"/>
              <w:bottom w:val="single" w:color="auto" w:sz="4" w:space="0"/>
              <w:right w:val="single" w:color="auto" w:sz="4" w:space="0"/>
            </w:tcBorders>
            <w:noWrap/>
            <w:vAlign w:val="center"/>
          </w:tcPr>
          <w:p w14:paraId="588F6C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保险柜</w:t>
            </w:r>
          </w:p>
        </w:tc>
        <w:tc>
          <w:tcPr>
            <w:tcW w:w="6900" w:type="dxa"/>
            <w:tcBorders>
              <w:top w:val="single" w:color="auto" w:sz="4" w:space="0"/>
              <w:left w:val="single" w:color="auto" w:sz="4" w:space="0"/>
              <w:bottom w:val="single" w:color="auto" w:sz="4" w:space="0"/>
              <w:right w:val="single" w:color="auto" w:sz="4" w:space="0"/>
            </w:tcBorders>
            <w:noWrap/>
            <w:vAlign w:val="center"/>
          </w:tcPr>
          <w:p w14:paraId="28C1F20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采用专用钢板，符合安防验收标准，可防暴、防撬、防火。带分离式机械钥匙锁及机械密码锁，密码可调。</w:t>
            </w:r>
          </w:p>
        </w:tc>
      </w:tr>
      <w:tr w14:paraId="69935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1680" w:type="dxa"/>
            <w:tcBorders>
              <w:top w:val="single" w:color="auto" w:sz="4" w:space="0"/>
              <w:left w:val="single" w:color="auto" w:sz="4" w:space="0"/>
              <w:bottom w:val="single" w:color="auto" w:sz="4" w:space="0"/>
              <w:right w:val="single" w:color="auto" w:sz="4" w:space="0"/>
            </w:tcBorders>
            <w:noWrap/>
            <w:vAlign w:val="center"/>
          </w:tcPr>
          <w:p w14:paraId="2F5626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上机柜</w:t>
            </w:r>
          </w:p>
        </w:tc>
        <w:tc>
          <w:tcPr>
            <w:tcW w:w="6900" w:type="dxa"/>
            <w:tcBorders>
              <w:top w:val="single" w:color="auto" w:sz="4" w:space="0"/>
              <w:left w:val="single" w:color="auto" w:sz="4" w:space="0"/>
              <w:bottom w:val="single" w:color="auto" w:sz="4" w:space="0"/>
              <w:right w:val="single" w:color="auto" w:sz="4" w:space="0"/>
            </w:tcBorders>
            <w:noWrap/>
            <w:vAlign w:val="center"/>
          </w:tcPr>
          <w:p w14:paraId="32F7CC5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要求一机一锁(钥匙不能通用)。</w:t>
            </w:r>
          </w:p>
        </w:tc>
      </w:tr>
      <w:tr w14:paraId="64730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1680" w:type="dxa"/>
            <w:tcBorders>
              <w:top w:val="single" w:color="auto" w:sz="4" w:space="0"/>
              <w:left w:val="single" w:color="auto" w:sz="4" w:space="0"/>
              <w:bottom w:val="single" w:color="auto" w:sz="4" w:space="0"/>
              <w:right w:val="single" w:color="auto" w:sz="4" w:space="0"/>
            </w:tcBorders>
            <w:noWrap/>
            <w:vAlign w:val="center"/>
          </w:tcPr>
          <w:p w14:paraId="68F939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人体感应器</w:t>
            </w:r>
          </w:p>
        </w:tc>
        <w:tc>
          <w:tcPr>
            <w:tcW w:w="6900" w:type="dxa"/>
            <w:tcBorders>
              <w:top w:val="single" w:color="auto" w:sz="4" w:space="0"/>
              <w:left w:val="single" w:color="auto" w:sz="4" w:space="0"/>
              <w:bottom w:val="single" w:color="auto" w:sz="4" w:space="0"/>
              <w:right w:val="single" w:color="auto" w:sz="4" w:space="0"/>
            </w:tcBorders>
            <w:noWrap/>
            <w:vAlign w:val="center"/>
          </w:tcPr>
          <w:p w14:paraId="3162F4C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1、可感知客户有无接近设备，并自动切换等待界面；</w:t>
            </w:r>
          </w:p>
          <w:p w14:paraId="629CF9E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2、感应距离2米；</w:t>
            </w:r>
          </w:p>
          <w:p w14:paraId="61D59D1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color w:val="auto"/>
                <w:sz w:val="21"/>
                <w:szCs w:val="21"/>
                <w:highlight w:val="none"/>
                <w:lang w:bidi="ar-SA"/>
              </w:rPr>
            </w:pPr>
            <w:r>
              <w:rPr>
                <w:rFonts w:hint="eastAsia" w:ascii="宋体" w:hAnsi="宋体" w:eastAsia="宋体" w:cs="宋体"/>
                <w:color w:val="auto"/>
                <w:sz w:val="21"/>
                <w:szCs w:val="21"/>
                <w:highlight w:val="none"/>
                <w:lang w:bidi="ar-SA"/>
              </w:rPr>
              <w:t>3、具备语音提示功能。</w:t>
            </w:r>
          </w:p>
        </w:tc>
      </w:tr>
      <w:tr w14:paraId="39025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1680" w:type="dxa"/>
            <w:tcBorders>
              <w:top w:val="single" w:color="auto" w:sz="4" w:space="0"/>
              <w:left w:val="single" w:color="auto" w:sz="4" w:space="0"/>
              <w:bottom w:val="single" w:color="auto" w:sz="4" w:space="0"/>
              <w:right w:val="single" w:color="auto" w:sz="4" w:space="0"/>
            </w:tcBorders>
            <w:noWrap/>
            <w:vAlign w:val="center"/>
          </w:tcPr>
          <w:p w14:paraId="6BA90C22">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ascii="宋体" w:hAnsi="宋体" w:eastAsia="宋体" w:cs="宋体"/>
                <w:color w:val="auto"/>
                <w:sz w:val="21"/>
                <w:szCs w:val="21"/>
                <w:highlight w:val="none"/>
                <w:lang w:bidi="ar-SA"/>
              </w:rPr>
            </w:pPr>
            <w:r>
              <w:rPr>
                <w:rFonts w:ascii="宋体" w:hAnsi="宋体" w:eastAsia="宋体" w:cs="宋体"/>
                <w:color w:val="auto"/>
                <w:sz w:val="21"/>
                <w:szCs w:val="21"/>
                <w:highlight w:val="none"/>
                <w:lang w:bidi="ar-SA"/>
              </w:rPr>
              <w:t>动态密码锁</w:t>
            </w:r>
          </w:p>
        </w:tc>
        <w:tc>
          <w:tcPr>
            <w:tcW w:w="6900" w:type="dxa"/>
            <w:tcBorders>
              <w:top w:val="single" w:color="auto" w:sz="4" w:space="0"/>
              <w:left w:val="single" w:color="auto" w:sz="4" w:space="0"/>
              <w:bottom w:val="single" w:color="auto" w:sz="4" w:space="0"/>
              <w:right w:val="single" w:color="auto" w:sz="4" w:space="0"/>
            </w:tcBorders>
            <w:noWrap/>
            <w:vAlign w:val="center"/>
          </w:tcPr>
          <w:p w14:paraId="38923F05">
            <w:pPr>
              <w:keepNext w:val="0"/>
              <w:keepLines w:val="0"/>
              <w:pageBreakBefore w:val="0"/>
              <w:widowControl w:val="0"/>
              <w:numPr>
                <w:ilvl w:val="0"/>
                <w:numId w:val="0"/>
              </w:numPr>
              <w:kinsoku/>
              <w:wordWrap/>
              <w:overflowPunct/>
              <w:topLinePunct w:val="0"/>
              <w:autoSpaceDE/>
              <w:autoSpaceDN/>
              <w:adjustRightInd/>
              <w:snapToGrid/>
              <w:spacing w:line="240" w:lineRule="auto"/>
              <w:ind w:left="360" w:leftChars="0" w:hanging="360" w:firstLineChars="0"/>
              <w:jc w:val="left"/>
              <w:rPr>
                <w:rFonts w:ascii="宋体" w:hAnsi="宋体" w:eastAsia="宋体" w:cs="宋体"/>
                <w:color w:val="auto"/>
                <w:sz w:val="21"/>
                <w:szCs w:val="21"/>
                <w:highlight w:val="none"/>
                <w:lang w:bidi="ar-SA"/>
              </w:rPr>
            </w:pPr>
            <w:r>
              <w:rPr>
                <w:rFonts w:hint="default" w:ascii="宋体" w:hAnsi="宋体" w:eastAsia="宋体" w:cs="宋体"/>
                <w:color w:val="auto"/>
                <w:kern w:val="2"/>
                <w:sz w:val="21"/>
                <w:szCs w:val="21"/>
                <w:lang w:val="en-US" w:eastAsia="zh-CN" w:bidi="ar-SA"/>
              </w:rPr>
              <w:t>1、</w:t>
            </w:r>
            <w:r>
              <w:rPr>
                <w:rFonts w:ascii="宋体" w:hAnsi="宋体" w:eastAsia="宋体" w:cs="宋体"/>
                <w:color w:val="auto"/>
                <w:sz w:val="21"/>
                <w:szCs w:val="21"/>
                <w:highlight w:val="none"/>
                <w:lang w:bidi="ar-SA"/>
              </w:rPr>
              <w:t>采用活体指纹识别、动态密码技术的电子锁；指纹模组需内嵌于锁具中，不得采用外挂模式；锁具具备密码键盘；</w:t>
            </w:r>
          </w:p>
          <w:p w14:paraId="57DCAC51">
            <w:pPr>
              <w:keepNext w:val="0"/>
              <w:keepLines w:val="0"/>
              <w:pageBreakBefore w:val="0"/>
              <w:widowControl w:val="0"/>
              <w:kinsoku/>
              <w:wordWrap/>
              <w:overflowPunct/>
              <w:topLinePunct w:val="0"/>
              <w:autoSpaceDE/>
              <w:autoSpaceDN/>
              <w:adjustRightInd/>
              <w:snapToGrid/>
              <w:spacing w:line="240" w:lineRule="auto"/>
              <w:ind w:left="0" w:firstLine="0" w:firstLineChars="0"/>
              <w:jc w:val="left"/>
              <w:rPr>
                <w:rFonts w:ascii="宋体" w:hAnsi="宋体" w:eastAsia="宋体" w:cs="宋体"/>
                <w:color w:val="auto"/>
                <w:sz w:val="21"/>
                <w:szCs w:val="21"/>
                <w:highlight w:val="none"/>
                <w:lang w:bidi="ar-SA"/>
              </w:rPr>
            </w:pPr>
            <w:r>
              <w:rPr>
                <w:rFonts w:ascii="宋体" w:hAnsi="宋体" w:eastAsia="宋体" w:cs="宋体"/>
                <w:color w:val="auto"/>
                <w:sz w:val="21"/>
                <w:szCs w:val="21"/>
                <w:highlight w:val="none"/>
                <w:lang w:bidi="ar-SA"/>
              </w:rPr>
              <w:t>2、锁具通过ATM中转数据通信和传输；</w:t>
            </w:r>
          </w:p>
          <w:p w14:paraId="0D78F0B2">
            <w:pPr>
              <w:pStyle w:val="4"/>
              <w:keepNext w:val="0"/>
              <w:keepLines w:val="0"/>
              <w:pageBreakBefore w:val="0"/>
              <w:widowControl w:val="0"/>
              <w:suppressLineNumbers w:val="0"/>
              <w:suppressAutoHyphens w:val="0"/>
              <w:kinsoku/>
              <w:wordWrap/>
              <w:overflowPunct/>
              <w:topLinePunct w:val="0"/>
              <w:autoSpaceDE w:val="0"/>
              <w:autoSpaceDN w:val="0"/>
              <w:adjustRightInd/>
              <w:snapToGrid/>
              <w:spacing w:line="240" w:lineRule="auto"/>
              <w:ind w:left="0" w:firstLine="0" w:firstLineChars="0"/>
              <w:jc w:val="left"/>
              <w:rPr>
                <w:rFonts w:ascii="宋体" w:hAnsi="宋体" w:eastAsia="宋体" w:cs="宋体"/>
                <w:color w:val="auto"/>
                <w:sz w:val="21"/>
                <w:szCs w:val="21"/>
                <w:highlight w:val="none"/>
                <w:lang w:bidi="ar-SA"/>
              </w:rPr>
            </w:pPr>
            <w:r>
              <w:rPr>
                <w:rFonts w:ascii="宋体" w:hAnsi="宋体" w:cs="宋体"/>
                <w:color w:val="auto"/>
                <w:szCs w:val="21"/>
                <w:highlight w:val="none"/>
              </w:rPr>
              <w:t>3、锁具开启必</w:t>
            </w:r>
            <w:r>
              <w:rPr>
                <w:color w:val="auto"/>
                <w:highlight w:val="none"/>
              </w:rPr>
              <w:t>须经后台系统授权，且现场双人指纹认证；</w:t>
            </w:r>
          </w:p>
          <w:p w14:paraId="0062FD2C">
            <w:pPr>
              <w:keepNext w:val="0"/>
              <w:keepLines w:val="0"/>
              <w:pageBreakBefore w:val="0"/>
              <w:widowControl w:val="0"/>
              <w:kinsoku/>
              <w:wordWrap/>
              <w:overflowPunct/>
              <w:topLinePunct w:val="0"/>
              <w:autoSpaceDE/>
              <w:autoSpaceDN/>
              <w:adjustRightInd/>
              <w:snapToGrid/>
              <w:spacing w:line="240" w:lineRule="auto"/>
              <w:ind w:left="0" w:firstLine="0" w:firstLineChars="0"/>
              <w:jc w:val="left"/>
              <w:rPr>
                <w:rFonts w:ascii="宋体" w:hAnsi="宋体" w:eastAsia="宋体" w:cs="宋体"/>
                <w:color w:val="auto"/>
                <w:sz w:val="21"/>
                <w:szCs w:val="21"/>
                <w:highlight w:val="none"/>
                <w:lang w:bidi="ar-SA"/>
              </w:rPr>
            </w:pPr>
            <w:r>
              <w:rPr>
                <w:rFonts w:ascii="宋体" w:hAnsi="宋体" w:eastAsia="宋体" w:cs="宋体"/>
                <w:color w:val="auto"/>
                <w:sz w:val="21"/>
                <w:szCs w:val="21"/>
                <w:highlight w:val="none"/>
                <w:lang w:bidi="ar-SA"/>
              </w:rPr>
              <w:t>4、支持国密算法，采用动态密码开锁，一次有效；</w:t>
            </w:r>
          </w:p>
          <w:p w14:paraId="75D1D61A">
            <w:pPr>
              <w:pStyle w:val="4"/>
              <w:keepNext w:val="0"/>
              <w:keepLines w:val="0"/>
              <w:pageBreakBefore w:val="0"/>
              <w:widowControl w:val="0"/>
              <w:suppressLineNumbers w:val="0"/>
              <w:suppressAutoHyphens w:val="0"/>
              <w:kinsoku/>
              <w:wordWrap/>
              <w:overflowPunct/>
              <w:topLinePunct w:val="0"/>
              <w:autoSpaceDE w:val="0"/>
              <w:autoSpaceDN w:val="0"/>
              <w:adjustRightInd/>
              <w:snapToGrid/>
              <w:spacing w:line="240" w:lineRule="auto"/>
              <w:ind w:left="0" w:firstLine="0" w:firstLineChars="0"/>
              <w:jc w:val="left"/>
              <w:rPr>
                <w:rFonts w:ascii="宋体" w:hAnsi="宋体" w:cs="宋体"/>
                <w:color w:val="auto"/>
                <w:sz w:val="21"/>
                <w:szCs w:val="21"/>
                <w:highlight w:val="none"/>
              </w:rPr>
            </w:pPr>
            <w:r>
              <w:rPr>
                <w:rFonts w:ascii="宋体" w:hAnsi="宋体" w:cs="宋体"/>
                <w:color w:val="auto"/>
                <w:sz w:val="21"/>
                <w:szCs w:val="21"/>
                <w:highlight w:val="none"/>
              </w:rPr>
              <w:t>5、具备多次密码输错锁定功能、超时未关报警功能；</w:t>
            </w:r>
          </w:p>
          <w:p w14:paraId="694E144C">
            <w:pPr>
              <w:keepNext w:val="0"/>
              <w:keepLines w:val="0"/>
              <w:pageBreakBefore w:val="0"/>
              <w:widowControl w:val="0"/>
              <w:suppressLineNumbers w:val="0"/>
              <w:suppressAutoHyphens w:val="0"/>
              <w:kinsoku/>
              <w:wordWrap/>
              <w:overflowPunct/>
              <w:topLinePunct w:val="0"/>
              <w:autoSpaceDE w:val="0"/>
              <w:autoSpaceDN w:val="0"/>
              <w:adjustRightInd/>
              <w:snapToGrid/>
              <w:spacing w:line="240" w:lineRule="auto"/>
              <w:ind w:left="0" w:firstLine="0" w:firstLineChars="0"/>
              <w:jc w:val="both"/>
              <w:rPr>
                <w:rFonts w:ascii="宋体" w:hAnsi="宋体" w:eastAsia="宋体" w:cs="宋体"/>
                <w:color w:val="auto"/>
                <w:sz w:val="21"/>
                <w:szCs w:val="21"/>
                <w:highlight w:val="none"/>
                <w:lang w:bidi="ar-SA"/>
              </w:rPr>
            </w:pPr>
            <w:r>
              <w:rPr>
                <w:rFonts w:ascii="宋体" w:hAnsi="宋体" w:cs="宋体"/>
                <w:color w:val="auto"/>
                <w:sz w:val="21"/>
                <w:szCs w:val="21"/>
                <w:highlight w:val="none"/>
              </w:rPr>
              <w:t>6</w:t>
            </w:r>
            <w:r>
              <w:rPr>
                <w:rFonts w:ascii="宋体" w:hAnsi="宋体" w:cs="宋体"/>
                <w:color w:val="auto"/>
                <w:highlight w:val="none"/>
              </w:rPr>
              <w:t>、</w:t>
            </w:r>
            <w:r>
              <w:rPr>
                <w:rFonts w:ascii="宋体" w:hAnsi="宋体" w:cs="宋体"/>
                <w:color w:val="auto"/>
                <w:sz w:val="21"/>
                <w:szCs w:val="21"/>
                <w:highlight w:val="none"/>
              </w:rPr>
              <w:t>符合GA374-2019《电子防盗锁》BII级吧标准、GB10409-2019《防盗保险柜》5.3.1和5.3.3标准，具备中国安全技术防范认证中心颁发的GA证书等。</w:t>
            </w:r>
          </w:p>
        </w:tc>
      </w:tr>
      <w:tr w14:paraId="49D68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1680" w:type="dxa"/>
            <w:tcBorders>
              <w:top w:val="single" w:color="auto" w:sz="4" w:space="0"/>
              <w:left w:val="single" w:color="auto" w:sz="4" w:space="0"/>
              <w:bottom w:val="single" w:color="auto" w:sz="4" w:space="0"/>
              <w:right w:val="single" w:color="auto" w:sz="4" w:space="0"/>
            </w:tcBorders>
            <w:noWrap/>
            <w:vAlign w:val="center"/>
          </w:tcPr>
          <w:p w14:paraId="26EDB080">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ascii="宋体" w:hAnsi="宋体" w:eastAsia="宋体" w:cs="宋体"/>
                <w:color w:val="auto"/>
                <w:sz w:val="21"/>
                <w:szCs w:val="21"/>
                <w:highlight w:val="none"/>
                <w:lang w:bidi="ar-SA"/>
              </w:rPr>
            </w:pPr>
            <w:r>
              <w:rPr>
                <w:rFonts w:ascii="宋体" w:hAnsi="宋体" w:eastAsia="宋体" w:cs="宋体"/>
                <w:color w:val="auto"/>
                <w:sz w:val="21"/>
                <w:szCs w:val="21"/>
                <w:highlight w:val="none"/>
                <w:lang w:bidi="ar-SA"/>
              </w:rPr>
              <w:t>动态密码锁（指纹仪）</w:t>
            </w:r>
          </w:p>
        </w:tc>
        <w:tc>
          <w:tcPr>
            <w:tcW w:w="6900" w:type="dxa"/>
            <w:tcBorders>
              <w:top w:val="single" w:color="auto" w:sz="4" w:space="0"/>
              <w:left w:val="single" w:color="auto" w:sz="4" w:space="0"/>
              <w:bottom w:val="single" w:color="auto" w:sz="4" w:space="0"/>
              <w:right w:val="single" w:color="auto" w:sz="4" w:space="0"/>
            </w:tcBorders>
            <w:noWrap/>
            <w:vAlign w:val="center"/>
          </w:tcPr>
          <w:p w14:paraId="6F120940">
            <w:pPr>
              <w:keepNext w:val="0"/>
              <w:keepLines w:val="0"/>
              <w:pageBreakBefore w:val="0"/>
              <w:widowControl w:val="0"/>
              <w:kinsoku/>
              <w:wordWrap/>
              <w:overflowPunct/>
              <w:topLinePunct w:val="0"/>
              <w:autoSpaceDE/>
              <w:autoSpaceDN/>
              <w:adjustRightInd/>
              <w:snapToGrid/>
              <w:spacing w:line="240" w:lineRule="auto"/>
              <w:ind w:left="0" w:firstLine="0" w:firstLineChars="0"/>
              <w:jc w:val="left"/>
              <w:rPr>
                <w:rFonts w:ascii="宋体" w:hAnsi="宋体" w:eastAsia="宋体" w:cs="宋体"/>
                <w:color w:val="auto"/>
                <w:sz w:val="21"/>
                <w:szCs w:val="21"/>
                <w:highlight w:val="none"/>
                <w:lang w:bidi="ar-SA"/>
              </w:rPr>
            </w:pPr>
            <w:r>
              <w:rPr>
                <w:rFonts w:ascii="宋体" w:hAnsi="宋体" w:cs="宋体"/>
                <w:color w:val="auto"/>
                <w:sz w:val="21"/>
                <w:szCs w:val="21"/>
                <w:highlight w:val="none"/>
              </w:rPr>
              <w:t>1、指纹仪必须符合行方现有管理系统接入要求，具备活体指纹检测功能，对各类指纹具备良好的适应性。</w:t>
            </w:r>
          </w:p>
        </w:tc>
      </w:tr>
      <w:tr w14:paraId="53CB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1680" w:type="dxa"/>
            <w:tcBorders>
              <w:top w:val="single" w:color="auto" w:sz="4" w:space="0"/>
              <w:left w:val="single" w:color="auto" w:sz="4" w:space="0"/>
              <w:bottom w:val="single" w:color="auto" w:sz="4" w:space="0"/>
              <w:right w:val="single" w:color="auto" w:sz="4" w:space="0"/>
            </w:tcBorders>
            <w:noWrap/>
            <w:vAlign w:val="center"/>
          </w:tcPr>
          <w:p w14:paraId="7FC975A6">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ascii="宋体" w:hAnsi="宋体" w:eastAsia="宋体" w:cs="宋体"/>
                <w:color w:val="auto"/>
                <w:sz w:val="21"/>
                <w:szCs w:val="21"/>
                <w:highlight w:val="none"/>
                <w:lang w:bidi="ar-SA"/>
              </w:rPr>
            </w:pPr>
            <w:r>
              <w:rPr>
                <w:rFonts w:ascii="宋体" w:hAnsi="宋体" w:eastAsia="宋体" w:cs="宋体"/>
                <w:color w:val="auto"/>
                <w:sz w:val="21"/>
                <w:szCs w:val="21"/>
                <w:highlight w:val="none"/>
                <w:lang w:bidi="ar-SA"/>
              </w:rPr>
              <w:t>动态密码锁（加密机）</w:t>
            </w:r>
          </w:p>
        </w:tc>
        <w:tc>
          <w:tcPr>
            <w:tcW w:w="6900" w:type="dxa"/>
            <w:tcBorders>
              <w:top w:val="single" w:color="auto" w:sz="4" w:space="0"/>
              <w:left w:val="single" w:color="auto" w:sz="4" w:space="0"/>
              <w:bottom w:val="single" w:color="auto" w:sz="4" w:space="0"/>
              <w:right w:val="single" w:color="auto" w:sz="4" w:space="0"/>
            </w:tcBorders>
            <w:noWrap/>
            <w:vAlign w:val="center"/>
          </w:tcPr>
          <w:p w14:paraId="5CE36218">
            <w:pPr>
              <w:keepNext w:val="0"/>
              <w:keepLines w:val="0"/>
              <w:pageBreakBefore w:val="0"/>
              <w:widowControl w:val="0"/>
              <w:numPr>
                <w:ilvl w:val="0"/>
                <w:numId w:val="0"/>
              </w:numPr>
              <w:kinsoku/>
              <w:wordWrap/>
              <w:overflowPunct/>
              <w:topLinePunct w:val="0"/>
              <w:autoSpaceDE/>
              <w:autoSpaceDN/>
              <w:adjustRightInd/>
              <w:snapToGrid/>
              <w:spacing w:line="240" w:lineRule="auto"/>
              <w:ind w:left="360" w:hanging="360"/>
              <w:jc w:val="left"/>
              <w:rPr>
                <w:rFonts w:ascii="宋体" w:hAnsi="宋体" w:cs="宋体"/>
                <w:color w:val="auto"/>
                <w:highlight w:val="none"/>
              </w:rPr>
            </w:pPr>
            <w:r>
              <w:rPr>
                <w:rFonts w:hint="default" w:ascii="宋体" w:hAnsi="宋体" w:eastAsia="宋体" w:cs="宋体"/>
                <w:color w:val="auto"/>
                <w:kern w:val="2"/>
                <w:sz w:val="21"/>
                <w:szCs w:val="21"/>
                <w:highlight w:val="none"/>
                <w:lang w:val="en-US" w:eastAsia="zh-CN" w:bidi="ar-SA"/>
              </w:rPr>
              <w:t>1、</w:t>
            </w:r>
            <w:r>
              <w:rPr>
                <w:rFonts w:ascii="宋体" w:hAnsi="宋体" w:eastAsia="宋体" w:cs="宋体"/>
                <w:color w:val="auto"/>
                <w:sz w:val="21"/>
                <w:szCs w:val="21"/>
                <w:highlight w:val="none"/>
                <w:lang w:bidi="ar-SA"/>
              </w:rPr>
              <w:t>内置加密芯片，支持国密。</w:t>
            </w:r>
          </w:p>
          <w:p w14:paraId="582916AE">
            <w:pPr>
              <w:pStyle w:val="4"/>
              <w:keepNext w:val="0"/>
              <w:keepLines w:val="0"/>
              <w:pageBreakBefore w:val="0"/>
              <w:widowControl w:val="0"/>
              <w:suppressLineNumbers w:val="0"/>
              <w:suppressAutoHyphens w:val="0"/>
              <w:kinsoku/>
              <w:wordWrap/>
              <w:overflowPunct/>
              <w:topLinePunct w:val="0"/>
              <w:autoSpaceDE w:val="0"/>
              <w:autoSpaceDN w:val="0"/>
              <w:adjustRightInd/>
              <w:snapToGrid/>
              <w:spacing w:line="240" w:lineRule="auto"/>
              <w:ind w:left="0" w:firstLine="0" w:firstLineChars="0"/>
              <w:jc w:val="left"/>
              <w:rPr>
                <w:rFonts w:ascii="宋体" w:hAnsi="宋体" w:cs="宋体"/>
                <w:color w:val="auto"/>
                <w:szCs w:val="21"/>
                <w:highlight w:val="none"/>
              </w:rPr>
            </w:pPr>
            <w:r>
              <w:rPr>
                <w:rFonts w:ascii="宋体" w:hAnsi="宋体" w:cs="宋体"/>
                <w:color w:val="auto"/>
                <w:szCs w:val="21"/>
                <w:highlight w:val="none"/>
              </w:rPr>
              <w:t>2、220V供电接口，RJ45网络接口、USB接口；</w:t>
            </w:r>
          </w:p>
          <w:p w14:paraId="4BC9D527">
            <w:pPr>
              <w:keepNext w:val="0"/>
              <w:keepLines w:val="0"/>
              <w:pageBreakBefore w:val="0"/>
              <w:widowControl w:val="0"/>
              <w:suppressLineNumbers w:val="0"/>
              <w:suppressAutoHyphens w:val="0"/>
              <w:kinsoku/>
              <w:wordWrap/>
              <w:overflowPunct/>
              <w:topLinePunct w:val="0"/>
              <w:autoSpaceDE w:val="0"/>
              <w:autoSpaceDN w:val="0"/>
              <w:adjustRightInd/>
              <w:snapToGrid/>
              <w:spacing w:line="240" w:lineRule="auto"/>
              <w:ind w:left="0" w:firstLine="0" w:firstLineChars="0"/>
              <w:jc w:val="both"/>
              <w:rPr>
                <w:rFonts w:ascii="Cambria Math" w:hAnsi="Cambria Math" w:eastAsia="宋体" w:cs="Cambria Math"/>
                <w:color w:val="auto"/>
                <w:sz w:val="21"/>
                <w:szCs w:val="21"/>
                <w:highlight w:val="none"/>
                <w:lang w:bidi="ar-SA"/>
              </w:rPr>
            </w:pPr>
            <w:r>
              <w:rPr>
                <w:rFonts w:ascii="宋体" w:hAnsi="宋体" w:cs="宋体"/>
                <w:color w:val="auto"/>
                <w:highlight w:val="none"/>
              </w:rPr>
              <w:t>3、一机双路工作模式，在其中一路出现故障时自动切换到另一路，并进行故障报警。</w:t>
            </w:r>
          </w:p>
        </w:tc>
      </w:tr>
      <w:tr w14:paraId="4277D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1680" w:type="dxa"/>
            <w:tcBorders>
              <w:top w:val="single" w:color="auto" w:sz="4" w:space="0"/>
              <w:left w:val="single" w:color="auto" w:sz="4" w:space="0"/>
              <w:bottom w:val="single" w:color="auto" w:sz="4" w:space="0"/>
              <w:right w:val="single" w:color="auto" w:sz="4" w:space="0"/>
            </w:tcBorders>
            <w:noWrap/>
            <w:vAlign w:val="center"/>
          </w:tcPr>
          <w:p w14:paraId="654C1CDA">
            <w:pPr>
              <w:keepNext w:val="0"/>
              <w:keepLines w:val="0"/>
              <w:pageBreakBefore w:val="0"/>
              <w:widowControl w:val="0"/>
              <w:kinsoku/>
              <w:wordWrap/>
              <w:overflowPunct/>
              <w:topLinePunct w:val="0"/>
              <w:autoSpaceDE/>
              <w:autoSpaceDN/>
              <w:adjustRightInd/>
              <w:snapToGrid/>
              <w:spacing w:line="240" w:lineRule="auto"/>
              <w:ind w:firstLine="0" w:firstLineChars="0"/>
              <w:jc w:val="center"/>
              <w:rPr>
                <w:rFonts w:ascii="宋体" w:hAnsi="宋体" w:eastAsia="宋体" w:cs="宋体"/>
                <w:color w:val="auto"/>
                <w:sz w:val="21"/>
                <w:szCs w:val="21"/>
                <w:highlight w:val="none"/>
                <w:lang w:bidi="ar-SA"/>
              </w:rPr>
            </w:pPr>
            <w:r>
              <w:rPr>
                <w:rFonts w:ascii="宋体" w:hAnsi="宋体" w:eastAsia="宋体" w:cs="宋体"/>
                <w:color w:val="auto"/>
                <w:sz w:val="21"/>
                <w:szCs w:val="21"/>
                <w:highlight w:val="none"/>
                <w:lang w:bidi="ar-SA"/>
              </w:rPr>
              <w:t>动态密码锁（管理平台）</w:t>
            </w:r>
          </w:p>
        </w:tc>
        <w:tc>
          <w:tcPr>
            <w:tcW w:w="6900" w:type="dxa"/>
            <w:tcBorders>
              <w:top w:val="single" w:color="auto" w:sz="4" w:space="0"/>
              <w:left w:val="single" w:color="auto" w:sz="4" w:space="0"/>
              <w:bottom w:val="single" w:color="auto" w:sz="4" w:space="0"/>
              <w:right w:val="single" w:color="auto" w:sz="4" w:space="0"/>
            </w:tcBorders>
            <w:noWrap/>
            <w:vAlign w:val="center"/>
          </w:tcPr>
          <w:p w14:paraId="4DD086B8">
            <w:pPr>
              <w:pStyle w:val="4"/>
              <w:keepNext w:val="0"/>
              <w:keepLines w:val="0"/>
              <w:pageBreakBefore w:val="0"/>
              <w:widowControl w:val="0"/>
              <w:suppressLineNumbers w:val="0"/>
              <w:suppressAutoHyphens w:val="0"/>
              <w:kinsoku/>
              <w:wordWrap/>
              <w:overflowPunct/>
              <w:topLinePunct w:val="0"/>
              <w:autoSpaceDE w:val="0"/>
              <w:autoSpaceDN w:val="0"/>
              <w:adjustRightInd/>
              <w:snapToGrid/>
              <w:spacing w:line="240" w:lineRule="auto"/>
              <w:ind w:left="0" w:firstLine="0" w:firstLineChars="0"/>
              <w:jc w:val="left"/>
              <w:rPr>
                <w:rFonts w:ascii="宋体" w:hAnsi="宋体" w:cs="宋体"/>
                <w:color w:val="auto"/>
                <w:szCs w:val="21"/>
                <w:highlight w:val="none"/>
                <w:lang w:bidi="ar-SA"/>
              </w:rPr>
            </w:pPr>
            <w:r>
              <w:rPr>
                <w:rFonts w:hint="eastAsia" w:ascii="宋体" w:hAnsi="宋体" w:cs="宋体"/>
                <w:color w:val="auto"/>
                <w:szCs w:val="21"/>
                <w:highlight w:val="none"/>
                <w:lang w:val="en-US" w:eastAsia="zh-CN" w:bidi="ar-SA"/>
              </w:rPr>
              <w:t>1、</w:t>
            </w:r>
            <w:r>
              <w:rPr>
                <w:rFonts w:ascii="宋体" w:hAnsi="宋体" w:cs="宋体"/>
                <w:color w:val="auto"/>
                <w:szCs w:val="21"/>
                <w:highlight w:val="none"/>
                <w:lang w:bidi="ar-SA"/>
              </w:rPr>
              <w:t>支持总行、分行、支行等分级管理，支持人员权限分配管理；</w:t>
            </w:r>
          </w:p>
          <w:p w14:paraId="423ECFA2">
            <w:pPr>
              <w:pStyle w:val="4"/>
              <w:keepNext w:val="0"/>
              <w:keepLines w:val="0"/>
              <w:pageBreakBefore w:val="0"/>
              <w:widowControl w:val="0"/>
              <w:suppressLineNumbers w:val="0"/>
              <w:suppressAutoHyphens w:val="0"/>
              <w:kinsoku/>
              <w:wordWrap/>
              <w:overflowPunct/>
              <w:topLinePunct w:val="0"/>
              <w:autoSpaceDE w:val="0"/>
              <w:autoSpaceDN w:val="0"/>
              <w:adjustRightInd/>
              <w:snapToGrid/>
              <w:spacing w:line="240" w:lineRule="auto"/>
              <w:ind w:left="0" w:firstLine="0" w:firstLineChars="0"/>
              <w:jc w:val="left"/>
              <w:rPr>
                <w:rFonts w:ascii="宋体" w:hAnsi="宋体" w:cs="宋体"/>
                <w:color w:val="auto"/>
                <w:szCs w:val="21"/>
                <w:highlight w:val="none"/>
              </w:rPr>
            </w:pPr>
            <w:r>
              <w:rPr>
                <w:rFonts w:ascii="宋体" w:hAnsi="宋体" w:cs="宋体"/>
                <w:color w:val="auto"/>
                <w:szCs w:val="21"/>
                <w:highlight w:val="none"/>
              </w:rPr>
              <w:t>2、锁具与系统绑定后，只有唯一一套系统可以授权开锁。</w:t>
            </w:r>
          </w:p>
          <w:p w14:paraId="5F037671">
            <w:pPr>
              <w:pStyle w:val="4"/>
              <w:keepNext w:val="0"/>
              <w:keepLines w:val="0"/>
              <w:pageBreakBefore w:val="0"/>
              <w:widowControl w:val="0"/>
              <w:suppressLineNumbers w:val="0"/>
              <w:suppressAutoHyphens w:val="0"/>
              <w:kinsoku/>
              <w:wordWrap/>
              <w:overflowPunct/>
              <w:topLinePunct w:val="0"/>
              <w:autoSpaceDE w:val="0"/>
              <w:autoSpaceDN w:val="0"/>
              <w:adjustRightInd/>
              <w:snapToGrid/>
              <w:spacing w:line="240" w:lineRule="auto"/>
              <w:ind w:left="0" w:firstLine="0" w:firstLineChars="0"/>
              <w:jc w:val="left"/>
              <w:rPr>
                <w:rFonts w:ascii="宋体" w:hAnsi="宋体" w:cs="宋体"/>
                <w:color w:val="auto"/>
                <w:szCs w:val="21"/>
                <w:highlight w:val="none"/>
              </w:rPr>
            </w:pPr>
            <w:r>
              <w:rPr>
                <w:rFonts w:ascii="宋体" w:hAnsi="宋体" w:cs="宋体"/>
                <w:color w:val="auto"/>
                <w:szCs w:val="21"/>
                <w:highlight w:val="none"/>
              </w:rPr>
              <w:t>3、可检测锁具状态，如未激活、启用、停用等状态。</w:t>
            </w:r>
          </w:p>
          <w:p w14:paraId="47C00CBC">
            <w:pPr>
              <w:pStyle w:val="4"/>
              <w:keepNext w:val="0"/>
              <w:keepLines w:val="0"/>
              <w:pageBreakBefore w:val="0"/>
              <w:widowControl w:val="0"/>
              <w:suppressLineNumbers w:val="0"/>
              <w:suppressAutoHyphens w:val="0"/>
              <w:kinsoku/>
              <w:wordWrap/>
              <w:overflowPunct/>
              <w:topLinePunct w:val="0"/>
              <w:autoSpaceDE w:val="0"/>
              <w:autoSpaceDN w:val="0"/>
              <w:adjustRightInd/>
              <w:snapToGrid/>
              <w:spacing w:line="240" w:lineRule="auto"/>
              <w:ind w:left="0" w:firstLine="0" w:firstLineChars="0"/>
              <w:jc w:val="left"/>
              <w:rPr>
                <w:rFonts w:ascii="宋体" w:hAnsi="宋体" w:eastAsia="宋体" w:cs="宋体"/>
                <w:color w:val="auto"/>
                <w:sz w:val="21"/>
                <w:szCs w:val="21"/>
                <w:highlight w:val="none"/>
                <w:lang w:bidi="ar-SA"/>
              </w:rPr>
            </w:pPr>
            <w:r>
              <w:rPr>
                <w:rFonts w:ascii="宋体" w:hAnsi="宋体" w:cs="宋体"/>
                <w:color w:val="auto"/>
                <w:szCs w:val="21"/>
                <w:highlight w:val="none"/>
              </w:rPr>
              <w:t>4、如断电、断网等特殊情况，可通过管理平台随机生成开锁码进行开锁。</w:t>
            </w:r>
          </w:p>
        </w:tc>
      </w:tr>
    </w:tbl>
    <w:p w14:paraId="32A13993">
      <w:pPr>
        <w:pStyle w:val="3"/>
        <w:bidi w:val="0"/>
        <w:rPr>
          <w:color w:val="auto"/>
          <w:highlight w:val="none"/>
        </w:rPr>
      </w:pPr>
      <w:bookmarkStart w:id="496" w:name="_Toc9219"/>
      <w:bookmarkStart w:id="497" w:name="_Toc89675144"/>
      <w:bookmarkStart w:id="498" w:name="_Toc24605"/>
      <w:bookmarkStart w:id="499" w:name="_Toc15059418"/>
      <w:r>
        <w:rPr>
          <w:rFonts w:hint="eastAsia"/>
          <w:color w:val="auto"/>
          <w:highlight w:val="none"/>
          <w:lang w:val="en-US" w:eastAsia="zh-CN"/>
        </w:rPr>
        <w:t xml:space="preserve">4. </w:t>
      </w:r>
      <w:r>
        <w:rPr>
          <w:rFonts w:hint="eastAsia"/>
          <w:color w:val="auto"/>
          <w:highlight w:val="none"/>
        </w:rPr>
        <w:t>交付周期、地点</w:t>
      </w:r>
      <w:bookmarkEnd w:id="496"/>
      <w:bookmarkEnd w:id="497"/>
      <w:bookmarkEnd w:id="498"/>
      <w:bookmarkEnd w:id="499"/>
    </w:p>
    <w:p w14:paraId="702886AD">
      <w:pPr>
        <w:pStyle w:val="4"/>
        <w:bidi w:val="0"/>
        <w:rPr>
          <w:color w:val="auto"/>
          <w:highlight w:val="none"/>
        </w:rPr>
      </w:pPr>
      <w:bookmarkStart w:id="500" w:name="_Toc11645"/>
      <w:bookmarkStart w:id="501" w:name="_Toc89675146"/>
      <w:bookmarkStart w:id="502" w:name="_Toc15059420"/>
      <w:bookmarkStart w:id="503" w:name="_Toc1125"/>
      <w:bookmarkStart w:id="504" w:name="_Toc440628915"/>
      <w:bookmarkStart w:id="505" w:name="_Toc387826347"/>
      <w:bookmarkStart w:id="506" w:name="_Toc432254881"/>
      <w:r>
        <w:rPr>
          <w:rFonts w:hint="eastAsia"/>
          <w:color w:val="auto"/>
          <w:highlight w:val="none"/>
          <w:lang w:val="en-US" w:eastAsia="zh-CN"/>
        </w:rPr>
        <w:t xml:space="preserve">4.1 </w:t>
      </w:r>
      <w:r>
        <w:rPr>
          <w:rFonts w:hint="eastAsia"/>
          <w:color w:val="auto"/>
          <w:highlight w:val="none"/>
        </w:rPr>
        <w:t>交付时间</w:t>
      </w:r>
      <w:bookmarkEnd w:id="500"/>
    </w:p>
    <w:p w14:paraId="56C29CA2">
      <w:pPr>
        <w:bidi w:val="0"/>
        <w:rPr>
          <w:rFonts w:hint="eastAsia"/>
          <w:color w:val="auto"/>
          <w:highlight w:val="none"/>
        </w:rPr>
      </w:pPr>
      <w:r>
        <w:rPr>
          <w:color w:val="auto"/>
          <w:highlight w:val="none"/>
        </w:rPr>
        <w:t>收到甲方通知15天内交付设备。</w:t>
      </w:r>
    </w:p>
    <w:p w14:paraId="71431963">
      <w:pPr>
        <w:pStyle w:val="4"/>
        <w:bidi w:val="0"/>
        <w:rPr>
          <w:rFonts w:hint="eastAsia"/>
          <w:color w:val="auto"/>
          <w:highlight w:val="none"/>
        </w:rPr>
      </w:pPr>
      <w:bookmarkStart w:id="507" w:name="_Toc8257"/>
      <w:r>
        <w:rPr>
          <w:rFonts w:hint="eastAsia"/>
          <w:color w:val="auto"/>
          <w:highlight w:val="none"/>
          <w:lang w:val="en-US" w:eastAsia="zh-CN"/>
        </w:rPr>
        <w:t xml:space="preserve">4.2 </w:t>
      </w:r>
      <w:r>
        <w:rPr>
          <w:rFonts w:hint="eastAsia"/>
          <w:color w:val="auto"/>
          <w:highlight w:val="none"/>
        </w:rPr>
        <w:t>实施及交付地点</w:t>
      </w:r>
      <w:bookmarkEnd w:id="507"/>
    </w:p>
    <w:p w14:paraId="24FD05D2">
      <w:pPr>
        <w:bidi w:val="0"/>
        <w:rPr>
          <w:color w:val="auto"/>
          <w:highlight w:val="none"/>
        </w:rPr>
      </w:pPr>
      <w:r>
        <w:rPr>
          <w:rFonts w:hint="eastAsia"/>
          <w:color w:val="auto"/>
          <w:highlight w:val="none"/>
        </w:rPr>
        <w:t>重庆市。</w:t>
      </w:r>
    </w:p>
    <w:bookmarkEnd w:id="501"/>
    <w:bookmarkEnd w:id="502"/>
    <w:p w14:paraId="21B52D46">
      <w:pPr>
        <w:pStyle w:val="3"/>
        <w:bidi w:val="0"/>
        <w:rPr>
          <w:color w:val="auto"/>
          <w:highlight w:val="none"/>
        </w:rPr>
      </w:pPr>
      <w:bookmarkStart w:id="508" w:name="_Toc11149"/>
      <w:bookmarkStart w:id="509" w:name="_Toc89675148"/>
      <w:bookmarkStart w:id="510" w:name="_Toc15146"/>
      <w:bookmarkStart w:id="511" w:name="_Toc15059422"/>
      <w:r>
        <w:rPr>
          <w:color w:val="auto"/>
          <w:highlight w:val="none"/>
          <w:lang w:val="en-US" w:eastAsia="zh-CN"/>
        </w:rPr>
        <w:t>5</w:t>
      </w:r>
      <w:r>
        <w:rPr>
          <w:rFonts w:hint="eastAsia"/>
          <w:color w:val="auto"/>
          <w:highlight w:val="none"/>
          <w:lang w:val="en-US" w:eastAsia="zh-CN"/>
        </w:rPr>
        <w:t xml:space="preserve">. </w:t>
      </w:r>
      <w:r>
        <w:rPr>
          <w:rFonts w:hint="eastAsia"/>
          <w:color w:val="auto"/>
          <w:highlight w:val="none"/>
        </w:rPr>
        <w:t>付款方式</w:t>
      </w:r>
      <w:bookmarkEnd w:id="508"/>
      <w:bookmarkEnd w:id="509"/>
      <w:bookmarkEnd w:id="510"/>
      <w:bookmarkEnd w:id="511"/>
    </w:p>
    <w:p w14:paraId="01AA1819">
      <w:pPr>
        <w:bidi w:val="0"/>
        <w:rPr>
          <w:rFonts w:hint="eastAsia"/>
          <w:color w:val="auto"/>
          <w:highlight w:val="none"/>
        </w:rPr>
      </w:pPr>
      <w:bookmarkStart w:id="512" w:name="_Toc89675150"/>
      <w:bookmarkStart w:id="513" w:name="_Toc15059424"/>
      <w:r>
        <w:rPr>
          <w:rFonts w:hint="eastAsia"/>
          <w:color w:val="auto"/>
          <w:highlight w:val="none"/>
        </w:rPr>
        <w:t>5.</w:t>
      </w:r>
      <w:r>
        <w:rPr>
          <w:color w:val="auto"/>
          <w:highlight w:val="none"/>
        </w:rPr>
        <w:t>1</w:t>
      </w:r>
      <w:r>
        <w:rPr>
          <w:rFonts w:hint="eastAsia"/>
          <w:color w:val="auto"/>
          <w:highlight w:val="none"/>
          <w:lang w:val="en-US" w:eastAsia="zh-CN"/>
        </w:rPr>
        <w:t xml:space="preserve"> </w:t>
      </w:r>
      <w:r>
        <w:rPr>
          <w:rFonts w:hint="eastAsia"/>
          <w:color w:val="auto"/>
          <w:highlight w:val="none"/>
        </w:rPr>
        <w:t>行方与供货方签订采购协议后，供货方应在议签订之日起【10】日内向行方缴纳</w:t>
      </w:r>
      <w:r>
        <w:rPr>
          <w:color w:val="auto"/>
          <w:highlight w:val="none"/>
        </w:rPr>
        <w:t>10</w:t>
      </w:r>
      <w:r>
        <w:rPr>
          <w:rFonts w:hint="eastAsia"/>
          <w:color w:val="auto"/>
          <w:highlight w:val="none"/>
        </w:rPr>
        <w:t>万元质保金，待该合同最后采购的一台设备使用满6年无重大故障，且供货方不存在任何违约行为的情况下，行方向供货方无息返还质保金。</w:t>
      </w:r>
    </w:p>
    <w:p w14:paraId="522CF84D">
      <w:pPr>
        <w:bidi w:val="0"/>
        <w:rPr>
          <w:color w:val="auto"/>
          <w:highlight w:val="none"/>
        </w:rPr>
      </w:pPr>
      <w:r>
        <w:rPr>
          <w:color w:val="auto"/>
          <w:highlight w:val="none"/>
        </w:rPr>
        <w:t>5.2</w:t>
      </w:r>
      <w:r>
        <w:rPr>
          <w:rFonts w:hint="eastAsia"/>
          <w:color w:val="auto"/>
          <w:highlight w:val="none"/>
          <w:lang w:val="en-US" w:eastAsia="zh-CN"/>
        </w:rPr>
        <w:t xml:space="preserve"> </w:t>
      </w:r>
      <w:r>
        <w:rPr>
          <w:color w:val="auto"/>
          <w:highlight w:val="none"/>
        </w:rPr>
        <w:t>设备</w:t>
      </w:r>
      <w:r>
        <w:rPr>
          <w:rFonts w:hint="eastAsia"/>
          <w:color w:val="auto"/>
          <w:highlight w:val="none"/>
        </w:rPr>
        <w:t>投入正常使用并经</w:t>
      </w:r>
      <w:r>
        <w:rPr>
          <w:color w:val="auto"/>
          <w:highlight w:val="none"/>
        </w:rPr>
        <w:t>行</w:t>
      </w:r>
      <w:r>
        <w:rPr>
          <w:rFonts w:hint="eastAsia"/>
          <w:color w:val="auto"/>
          <w:highlight w:val="none"/>
        </w:rPr>
        <w:t>方验收通过</w:t>
      </w:r>
      <w:r>
        <w:rPr>
          <w:color w:val="auto"/>
          <w:highlight w:val="none"/>
        </w:rPr>
        <w:t>次月</w:t>
      </w:r>
      <w:r>
        <w:rPr>
          <w:rFonts w:hint="eastAsia"/>
          <w:color w:val="auto"/>
          <w:highlight w:val="none"/>
        </w:rPr>
        <w:t>，由</w:t>
      </w:r>
      <w:r>
        <w:rPr>
          <w:color w:val="auto"/>
          <w:highlight w:val="none"/>
        </w:rPr>
        <w:t>设备供货方</w:t>
      </w:r>
      <w:r>
        <w:rPr>
          <w:rFonts w:hint="eastAsia"/>
          <w:color w:val="auto"/>
          <w:highlight w:val="none"/>
        </w:rPr>
        <w:t>向</w:t>
      </w:r>
      <w:r>
        <w:rPr>
          <w:color w:val="auto"/>
          <w:highlight w:val="none"/>
        </w:rPr>
        <w:t>行</w:t>
      </w:r>
      <w:r>
        <w:rPr>
          <w:rFonts w:hint="eastAsia"/>
          <w:color w:val="auto"/>
          <w:highlight w:val="none"/>
        </w:rPr>
        <w:t>方提交对账单，双方核对采购的设备数目无误后，</w:t>
      </w:r>
      <w:r>
        <w:rPr>
          <w:color w:val="auto"/>
          <w:highlight w:val="none"/>
        </w:rPr>
        <w:t>供货方</w:t>
      </w:r>
      <w:r>
        <w:rPr>
          <w:rFonts w:hint="eastAsia"/>
          <w:color w:val="auto"/>
          <w:highlight w:val="none"/>
        </w:rPr>
        <w:t>向</w:t>
      </w:r>
      <w:r>
        <w:rPr>
          <w:color w:val="auto"/>
          <w:highlight w:val="none"/>
        </w:rPr>
        <w:t>行</w:t>
      </w:r>
      <w:r>
        <w:rPr>
          <w:rFonts w:hint="eastAsia"/>
          <w:color w:val="auto"/>
          <w:highlight w:val="none"/>
        </w:rPr>
        <w:t>方出具</w:t>
      </w:r>
      <w:r>
        <w:rPr>
          <w:color w:val="auto"/>
          <w:highlight w:val="none"/>
        </w:rPr>
        <w:t>设备</w:t>
      </w:r>
      <w:r>
        <w:rPr>
          <w:rFonts w:hint="eastAsia"/>
          <w:color w:val="auto"/>
          <w:highlight w:val="none"/>
        </w:rPr>
        <w:t>采购发票（13%的增值税专用发票），</w:t>
      </w:r>
      <w:r>
        <w:rPr>
          <w:color w:val="auto"/>
          <w:highlight w:val="none"/>
        </w:rPr>
        <w:t>行</w:t>
      </w:r>
      <w:r>
        <w:rPr>
          <w:rFonts w:hint="eastAsia"/>
          <w:color w:val="auto"/>
          <w:highlight w:val="none"/>
        </w:rPr>
        <w:t>方收到</w:t>
      </w:r>
      <w:r>
        <w:rPr>
          <w:color w:val="auto"/>
          <w:highlight w:val="none"/>
        </w:rPr>
        <w:t>供货方</w:t>
      </w:r>
      <w:r>
        <w:rPr>
          <w:rFonts w:hint="eastAsia"/>
          <w:color w:val="auto"/>
          <w:highlight w:val="none"/>
        </w:rPr>
        <w:t>发票后30日内将设备采购款项通过转账形式划到</w:t>
      </w:r>
      <w:r>
        <w:rPr>
          <w:color w:val="auto"/>
          <w:highlight w:val="none"/>
        </w:rPr>
        <w:t>供货</w:t>
      </w:r>
      <w:r>
        <w:rPr>
          <w:rFonts w:hint="eastAsia"/>
          <w:color w:val="auto"/>
          <w:highlight w:val="none"/>
        </w:rPr>
        <w:t>方指定的银行账户</w:t>
      </w:r>
      <w:r>
        <w:rPr>
          <w:color w:val="auto"/>
          <w:highlight w:val="none"/>
        </w:rPr>
        <w:t>。</w:t>
      </w:r>
    </w:p>
    <w:p w14:paraId="0C39ED10">
      <w:pPr>
        <w:pStyle w:val="3"/>
        <w:bidi w:val="0"/>
        <w:rPr>
          <w:color w:val="auto"/>
          <w:highlight w:val="none"/>
        </w:rPr>
      </w:pPr>
      <w:bookmarkStart w:id="514" w:name="_Toc27471"/>
      <w:bookmarkStart w:id="515" w:name="_Toc13862"/>
      <w:r>
        <w:rPr>
          <w:color w:val="auto"/>
          <w:highlight w:val="none"/>
          <w:lang w:val="en-US" w:eastAsia="zh-CN"/>
        </w:rPr>
        <w:t>6</w:t>
      </w:r>
      <w:r>
        <w:rPr>
          <w:rFonts w:hint="eastAsia"/>
          <w:color w:val="auto"/>
          <w:highlight w:val="none"/>
          <w:lang w:val="en-US" w:eastAsia="zh-CN"/>
        </w:rPr>
        <w:t xml:space="preserve">. </w:t>
      </w:r>
      <w:r>
        <w:rPr>
          <w:rFonts w:hint="eastAsia"/>
          <w:color w:val="auto"/>
          <w:highlight w:val="none"/>
        </w:rPr>
        <w:t>保密条款</w:t>
      </w:r>
      <w:bookmarkEnd w:id="503"/>
      <w:bookmarkEnd w:id="504"/>
      <w:bookmarkEnd w:id="505"/>
      <w:bookmarkEnd w:id="506"/>
      <w:bookmarkEnd w:id="512"/>
      <w:bookmarkEnd w:id="513"/>
      <w:bookmarkEnd w:id="514"/>
      <w:bookmarkEnd w:id="515"/>
    </w:p>
    <w:p w14:paraId="3B7D7824">
      <w:pPr>
        <w:pStyle w:val="4"/>
        <w:bidi w:val="0"/>
        <w:rPr>
          <w:rFonts w:hint="eastAsia"/>
          <w:color w:val="auto"/>
          <w:highlight w:val="none"/>
        </w:rPr>
      </w:pPr>
      <w:bookmarkStart w:id="516" w:name="_Toc8646"/>
      <w:r>
        <w:rPr>
          <w:color w:val="auto"/>
          <w:highlight w:val="none"/>
          <w:lang w:val="en-US" w:eastAsia="zh-CN"/>
        </w:rPr>
        <w:t>6</w:t>
      </w:r>
      <w:r>
        <w:rPr>
          <w:rFonts w:hint="eastAsia"/>
          <w:color w:val="auto"/>
          <w:highlight w:val="none"/>
          <w:lang w:val="en-US" w:eastAsia="zh-CN"/>
        </w:rPr>
        <w:t xml:space="preserve">.1 </w:t>
      </w:r>
      <w:r>
        <w:rPr>
          <w:rFonts w:hint="eastAsia"/>
          <w:color w:val="auto"/>
          <w:highlight w:val="none"/>
        </w:rPr>
        <w:t>保密范围</w:t>
      </w:r>
      <w:bookmarkEnd w:id="516"/>
    </w:p>
    <w:p w14:paraId="1BD5CBFC">
      <w:pPr>
        <w:bidi w:val="0"/>
        <w:rPr>
          <w:rFonts w:hint="eastAsia"/>
          <w:color w:val="auto"/>
          <w:highlight w:val="none"/>
        </w:rPr>
      </w:pPr>
      <w:r>
        <w:rPr>
          <w:rFonts w:hint="eastAsia"/>
          <w:color w:val="auto"/>
          <w:highlight w:val="none"/>
          <w:lang w:eastAsia="zh-CN"/>
        </w:rPr>
        <w:t>中标</w:t>
      </w:r>
      <w:r>
        <w:rPr>
          <w:rFonts w:hint="eastAsia"/>
          <w:color w:val="auto"/>
          <w:highlight w:val="none"/>
        </w:rPr>
        <w:t>人在实施过程中接触到的投标人知识产权、经营信息等。</w:t>
      </w:r>
    </w:p>
    <w:p w14:paraId="752F904B">
      <w:pPr>
        <w:pStyle w:val="4"/>
        <w:bidi w:val="0"/>
        <w:rPr>
          <w:rFonts w:hint="eastAsia"/>
          <w:color w:val="auto"/>
          <w:highlight w:val="none"/>
        </w:rPr>
      </w:pPr>
      <w:bookmarkStart w:id="517" w:name="_Toc3359"/>
      <w:r>
        <w:rPr>
          <w:color w:val="auto"/>
          <w:highlight w:val="none"/>
          <w:lang w:val="en-US" w:eastAsia="zh-CN"/>
        </w:rPr>
        <w:t>6</w:t>
      </w:r>
      <w:r>
        <w:rPr>
          <w:rFonts w:hint="eastAsia"/>
          <w:color w:val="auto"/>
          <w:highlight w:val="none"/>
          <w:lang w:val="en-US" w:eastAsia="zh-CN"/>
        </w:rPr>
        <w:t xml:space="preserve">.2 </w:t>
      </w:r>
      <w:r>
        <w:rPr>
          <w:rFonts w:hint="eastAsia"/>
          <w:color w:val="auto"/>
          <w:highlight w:val="none"/>
        </w:rPr>
        <w:t>保密责任</w:t>
      </w:r>
      <w:bookmarkEnd w:id="517"/>
    </w:p>
    <w:p w14:paraId="5FE53FCF">
      <w:pPr>
        <w:bidi w:val="0"/>
        <w:rPr>
          <w:rFonts w:hint="eastAsia"/>
          <w:color w:val="auto"/>
          <w:highlight w:val="none"/>
        </w:rPr>
      </w:pPr>
      <w:r>
        <w:rPr>
          <w:rFonts w:hint="eastAsia"/>
          <w:color w:val="auto"/>
          <w:highlight w:val="none"/>
        </w:rPr>
        <w:t>双方互为保密资料的提供方和接受方，负有保密义务，承担保密责任。除经过双方书面同意，任何一方不得将有关内容提供给合同以外的第三人。</w:t>
      </w:r>
    </w:p>
    <w:p w14:paraId="4076EA1B">
      <w:pPr>
        <w:pStyle w:val="3"/>
        <w:bidi w:val="0"/>
        <w:rPr>
          <w:color w:val="auto"/>
          <w:highlight w:val="none"/>
        </w:rPr>
      </w:pPr>
      <w:bookmarkStart w:id="518" w:name="_Toc7801"/>
      <w:bookmarkStart w:id="519" w:name="_Toc3849"/>
      <w:r>
        <w:rPr>
          <w:color w:val="auto"/>
          <w:highlight w:val="none"/>
          <w:lang w:val="en-US" w:eastAsia="zh-CN"/>
        </w:rPr>
        <w:t>7</w:t>
      </w:r>
      <w:r>
        <w:rPr>
          <w:rFonts w:hint="eastAsia"/>
          <w:color w:val="auto"/>
          <w:highlight w:val="none"/>
          <w:lang w:val="en-US" w:eastAsia="zh-CN"/>
        </w:rPr>
        <w:t xml:space="preserve">. </w:t>
      </w:r>
      <w:r>
        <w:rPr>
          <w:rFonts w:hint="eastAsia"/>
          <w:color w:val="auto"/>
          <w:highlight w:val="none"/>
        </w:rPr>
        <w:t>报价要求</w:t>
      </w:r>
      <w:bookmarkEnd w:id="518"/>
      <w:bookmarkEnd w:id="519"/>
    </w:p>
    <w:p w14:paraId="0A70AD16">
      <w:pPr>
        <w:bidi w:val="0"/>
        <w:rPr>
          <w:rFonts w:hint="default" w:eastAsia="宋体"/>
          <w:color w:val="auto"/>
          <w:highlight w:val="none"/>
          <w:lang w:val="en-US" w:eastAsia="zh-CN"/>
        </w:rPr>
      </w:pPr>
      <w:r>
        <w:rPr>
          <w:rFonts w:hint="eastAsia"/>
          <w:color w:val="auto"/>
          <w:highlight w:val="none"/>
        </w:rPr>
        <w:t>投标人应严格按照《投标文件格式》的“报价一览表”和“</w:t>
      </w:r>
      <w:r>
        <w:rPr>
          <w:rFonts w:hint="eastAsia"/>
          <w:color w:val="auto"/>
          <w:highlight w:val="none"/>
          <w:lang w:eastAsia="zh-CN"/>
        </w:rPr>
        <w:t>分项报价表</w:t>
      </w:r>
      <w:r>
        <w:rPr>
          <w:rFonts w:hint="eastAsia"/>
          <w:color w:val="auto"/>
          <w:highlight w:val="none"/>
        </w:rPr>
        <w:t>”的格式认真填写。</w:t>
      </w:r>
      <w:r>
        <w:rPr>
          <w:rFonts w:hint="eastAsia"/>
          <w:color w:val="auto"/>
          <w:highlight w:val="none"/>
          <w:lang w:val="en-US" w:eastAsia="zh-CN"/>
        </w:rPr>
        <w:t>投标总报价=</w:t>
      </w:r>
      <w:r>
        <w:rPr>
          <w:rFonts w:hint="eastAsia" w:ascii="宋体" w:hAnsi="宋体" w:eastAsia="宋体" w:cs="宋体"/>
          <w:color w:val="auto"/>
          <w:kern w:val="0"/>
          <w:sz w:val="21"/>
          <w:szCs w:val="21"/>
          <w:highlight w:val="none"/>
          <w:lang w:val="en-US" w:eastAsia="zh-CN" w:bidi="ar-SA"/>
        </w:rPr>
        <w:t>存取款一体机</w:t>
      </w:r>
      <w:r>
        <w:rPr>
          <w:rFonts w:ascii="宋体" w:hAnsi="宋体" w:eastAsia="宋体" w:cs="宋体"/>
          <w:color w:val="auto"/>
          <w:kern w:val="0"/>
          <w:sz w:val="21"/>
          <w:szCs w:val="21"/>
          <w:highlight w:val="none"/>
          <w:lang w:val="en-US" w:eastAsia="zh-CN" w:bidi="ar-SA"/>
        </w:rPr>
        <w:t>（动态密码锁）</w:t>
      </w:r>
      <w:r>
        <w:rPr>
          <w:rFonts w:hint="eastAsia" w:ascii="宋体" w:hAnsi="宋体" w:eastAsia="宋体" w:cs="宋体"/>
          <w:color w:val="auto"/>
          <w:kern w:val="0"/>
          <w:sz w:val="21"/>
          <w:szCs w:val="21"/>
          <w:highlight w:val="none"/>
          <w:lang w:val="en-US" w:eastAsia="zh-CN" w:bidi="ar-SA"/>
        </w:rPr>
        <w:t>报价</w:t>
      </w:r>
      <w:r>
        <w:rPr>
          <w:rFonts w:hint="eastAsia" w:ascii="宋体" w:hAnsi="宋体" w:cs="宋体"/>
          <w:color w:val="auto"/>
          <w:kern w:val="0"/>
          <w:sz w:val="21"/>
          <w:szCs w:val="21"/>
          <w:highlight w:val="none"/>
          <w:lang w:val="en-US" w:eastAsia="zh-CN" w:bidi="ar-SA"/>
        </w:rPr>
        <w:t>+</w:t>
      </w:r>
      <w:r>
        <w:rPr>
          <w:rFonts w:ascii="宋体" w:hAnsi="宋体" w:eastAsia="宋体" w:cs="宋体"/>
          <w:color w:val="auto"/>
          <w:kern w:val="0"/>
          <w:sz w:val="21"/>
          <w:szCs w:val="21"/>
          <w:highlight w:val="none"/>
          <w:lang w:val="en-US" w:eastAsia="zh-CN" w:bidi="ar-SA"/>
        </w:rPr>
        <w:t>动态密码锁（含安装）</w:t>
      </w:r>
      <w:r>
        <w:rPr>
          <w:rFonts w:hint="eastAsia" w:ascii="宋体" w:hAnsi="宋体" w:eastAsia="宋体" w:cs="宋体"/>
          <w:color w:val="auto"/>
          <w:kern w:val="0"/>
          <w:sz w:val="21"/>
          <w:szCs w:val="21"/>
          <w:highlight w:val="none"/>
          <w:lang w:val="en-US" w:eastAsia="zh-CN" w:bidi="ar-SA"/>
        </w:rPr>
        <w:t>报价</w:t>
      </w:r>
      <w:r>
        <w:rPr>
          <w:rFonts w:hint="eastAsia" w:ascii="宋体" w:hAnsi="宋体" w:cs="宋体"/>
          <w:color w:val="auto"/>
          <w:kern w:val="0"/>
          <w:sz w:val="21"/>
          <w:szCs w:val="21"/>
          <w:highlight w:val="none"/>
          <w:lang w:val="en-US" w:eastAsia="zh-CN" w:bidi="ar-SA"/>
        </w:rPr>
        <w:t>+</w:t>
      </w:r>
      <w:r>
        <w:rPr>
          <w:rFonts w:ascii="宋体" w:hAnsi="宋体" w:eastAsia="宋体" w:cs="宋体"/>
          <w:color w:val="auto"/>
          <w:kern w:val="0"/>
          <w:sz w:val="21"/>
          <w:szCs w:val="21"/>
          <w:highlight w:val="none"/>
          <w:lang w:val="en-US" w:eastAsia="zh-CN" w:bidi="ar-SA"/>
        </w:rPr>
        <w:t>存折打印机（含安装）</w:t>
      </w:r>
      <w:r>
        <w:rPr>
          <w:rFonts w:hint="eastAsia" w:ascii="宋体" w:hAnsi="宋体" w:eastAsia="宋体" w:cs="宋体"/>
          <w:color w:val="auto"/>
          <w:kern w:val="0"/>
          <w:sz w:val="21"/>
          <w:szCs w:val="21"/>
          <w:highlight w:val="none"/>
          <w:lang w:val="en-US" w:eastAsia="zh-CN" w:bidi="ar-SA"/>
        </w:rPr>
        <w:t>报价</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循环钞箱</w:t>
      </w:r>
      <w:r>
        <w:rPr>
          <w:rFonts w:hint="eastAsia" w:ascii="宋体" w:hAnsi="宋体" w:cs="宋体"/>
          <w:color w:val="auto"/>
          <w:kern w:val="0"/>
          <w:sz w:val="21"/>
          <w:szCs w:val="21"/>
          <w:highlight w:val="none"/>
          <w:lang w:val="en-US" w:eastAsia="zh-CN" w:bidi="ar-SA"/>
        </w:rPr>
        <w:t>报价</w:t>
      </w:r>
    </w:p>
    <w:p w14:paraId="7AFA62B9">
      <w:pPr>
        <w:pStyle w:val="3"/>
        <w:bidi w:val="0"/>
        <w:rPr>
          <w:color w:val="auto"/>
          <w:highlight w:val="none"/>
        </w:rPr>
      </w:pPr>
      <w:bookmarkStart w:id="520" w:name="_Toc11483"/>
      <w:bookmarkStart w:id="521" w:name="_Toc8352"/>
      <w:bookmarkStart w:id="522" w:name="_Toc15059426"/>
      <w:bookmarkStart w:id="523" w:name="_Toc89675152"/>
      <w:r>
        <w:rPr>
          <w:color w:val="auto"/>
          <w:highlight w:val="none"/>
          <w:lang w:val="en-US" w:eastAsia="zh-CN"/>
        </w:rPr>
        <w:t>8</w:t>
      </w:r>
      <w:r>
        <w:rPr>
          <w:rFonts w:hint="eastAsia"/>
          <w:color w:val="auto"/>
          <w:highlight w:val="none"/>
          <w:lang w:val="en-US" w:eastAsia="zh-CN"/>
        </w:rPr>
        <w:t xml:space="preserve">. </w:t>
      </w:r>
      <w:r>
        <w:rPr>
          <w:rFonts w:hint="eastAsia"/>
          <w:color w:val="auto"/>
          <w:highlight w:val="none"/>
        </w:rPr>
        <w:t>知识产权</w:t>
      </w:r>
      <w:bookmarkEnd w:id="520"/>
      <w:bookmarkEnd w:id="521"/>
      <w:bookmarkEnd w:id="522"/>
      <w:bookmarkEnd w:id="523"/>
    </w:p>
    <w:p w14:paraId="0507C0BE">
      <w:pPr>
        <w:bidi w:val="0"/>
        <w:rPr>
          <w:rFonts w:hint="eastAsia"/>
          <w:color w:val="auto"/>
          <w:highlight w:val="none"/>
        </w:rPr>
      </w:pPr>
      <w:bookmarkStart w:id="524" w:name="_Toc15059427"/>
      <w:bookmarkStart w:id="525" w:name="_Toc89675153"/>
      <w:r>
        <w:rPr>
          <w:color w:val="auto"/>
          <w:highlight w:val="none"/>
        </w:rPr>
        <w:t>供货方</w:t>
      </w:r>
      <w:r>
        <w:rPr>
          <w:rFonts w:hint="eastAsia"/>
          <w:color w:val="auto"/>
          <w:highlight w:val="none"/>
        </w:rPr>
        <w:t>向</w:t>
      </w:r>
      <w:r>
        <w:rPr>
          <w:color w:val="auto"/>
          <w:highlight w:val="none"/>
        </w:rPr>
        <w:t>行</w:t>
      </w:r>
      <w:r>
        <w:rPr>
          <w:rFonts w:hint="eastAsia"/>
          <w:color w:val="auto"/>
          <w:highlight w:val="none"/>
        </w:rPr>
        <w:t>方提供的任何产品（包括但不限于：设备硬件、设备软件、设备配件、设备本身等）和服务不存在侵犯任何其他方知识产权或专利权的情形；如</w:t>
      </w:r>
      <w:r>
        <w:rPr>
          <w:color w:val="auto"/>
          <w:highlight w:val="none"/>
        </w:rPr>
        <w:t>行方</w:t>
      </w:r>
      <w:r>
        <w:rPr>
          <w:rFonts w:hint="eastAsia"/>
          <w:color w:val="auto"/>
          <w:highlight w:val="none"/>
        </w:rPr>
        <w:t>因此遭受任何第三方的起诉或索赔，</w:t>
      </w:r>
      <w:r>
        <w:rPr>
          <w:color w:val="auto"/>
          <w:highlight w:val="none"/>
        </w:rPr>
        <w:t>供货方</w:t>
      </w:r>
      <w:r>
        <w:rPr>
          <w:rFonts w:hint="eastAsia"/>
          <w:color w:val="auto"/>
          <w:highlight w:val="none"/>
        </w:rPr>
        <w:t>承诺主动与起诉方或索赔方进行交涉，为</w:t>
      </w:r>
      <w:r>
        <w:rPr>
          <w:color w:val="auto"/>
          <w:highlight w:val="none"/>
        </w:rPr>
        <w:t>行方</w:t>
      </w:r>
      <w:r>
        <w:rPr>
          <w:rFonts w:hint="eastAsia"/>
          <w:color w:val="auto"/>
          <w:highlight w:val="none"/>
        </w:rPr>
        <w:t>的应诉或处理索赔事宜支付费用，支付</w:t>
      </w:r>
      <w:r>
        <w:rPr>
          <w:color w:val="auto"/>
          <w:highlight w:val="none"/>
        </w:rPr>
        <w:t>行</w:t>
      </w:r>
      <w:r>
        <w:rPr>
          <w:rFonts w:hint="eastAsia"/>
          <w:color w:val="auto"/>
          <w:highlight w:val="none"/>
        </w:rPr>
        <w:t>方因败诉或被索赔应偿付的赔偿款，并对</w:t>
      </w:r>
      <w:r>
        <w:rPr>
          <w:color w:val="auto"/>
          <w:highlight w:val="none"/>
        </w:rPr>
        <w:t>行</w:t>
      </w:r>
      <w:r>
        <w:rPr>
          <w:rFonts w:hint="eastAsia"/>
          <w:color w:val="auto"/>
          <w:highlight w:val="none"/>
        </w:rPr>
        <w:t>方由此造成的全部损失进行赔偿。</w:t>
      </w:r>
      <w:r>
        <w:rPr>
          <w:rFonts w:hint="eastAsia"/>
          <w:color w:val="auto"/>
          <w:highlight w:val="none"/>
          <w:lang w:val="en-US" w:eastAsia="zh-CN"/>
        </w:rPr>
        <w:t>【提供知识产权承诺函】</w:t>
      </w:r>
    </w:p>
    <w:p w14:paraId="61016794">
      <w:pPr>
        <w:pStyle w:val="3"/>
        <w:bidi w:val="0"/>
        <w:rPr>
          <w:color w:val="auto"/>
          <w:highlight w:val="none"/>
        </w:rPr>
      </w:pPr>
      <w:bookmarkStart w:id="526" w:name="_Toc21496"/>
      <w:bookmarkStart w:id="527" w:name="_Toc23141"/>
      <w:r>
        <w:rPr>
          <w:color w:val="auto"/>
          <w:highlight w:val="none"/>
          <w:lang w:val="en-US" w:eastAsia="zh-CN"/>
        </w:rPr>
        <w:t>9</w:t>
      </w:r>
      <w:r>
        <w:rPr>
          <w:rFonts w:hint="eastAsia"/>
          <w:color w:val="auto"/>
          <w:highlight w:val="none"/>
          <w:lang w:val="en-US" w:eastAsia="zh-CN"/>
        </w:rPr>
        <w:t xml:space="preserve">. </w:t>
      </w:r>
      <w:r>
        <w:rPr>
          <w:rFonts w:hint="eastAsia"/>
          <w:color w:val="auto"/>
          <w:highlight w:val="none"/>
        </w:rPr>
        <w:t>其他</w:t>
      </w:r>
      <w:bookmarkEnd w:id="524"/>
      <w:bookmarkEnd w:id="525"/>
      <w:bookmarkEnd w:id="526"/>
      <w:bookmarkEnd w:id="527"/>
    </w:p>
    <w:p w14:paraId="070FD0B8">
      <w:pPr>
        <w:bidi w:val="0"/>
        <w:rPr>
          <w:rFonts w:hint="eastAsia"/>
          <w:color w:val="auto"/>
          <w:highlight w:val="none"/>
          <w:lang w:val="en-US" w:eastAsia="zh-CN"/>
        </w:rPr>
      </w:pPr>
      <w:bookmarkStart w:id="528" w:name="_Toc26637"/>
      <w:r>
        <w:rPr>
          <w:rFonts w:hint="eastAsia"/>
          <w:color w:val="auto"/>
          <w:highlight w:val="none"/>
          <w:lang w:val="en-US" w:eastAsia="zh-CN"/>
        </w:rPr>
        <w:t>9.1 投标人必须在响应承诺函中对本章内容做出整体性响应和承诺，承诺内容必须达到本章及招标文件其他条款的要求。</w:t>
      </w:r>
    </w:p>
    <w:p w14:paraId="1B839FD1">
      <w:pPr>
        <w:bidi w:val="0"/>
        <w:rPr>
          <w:rFonts w:hint="eastAsia"/>
          <w:color w:val="auto"/>
          <w:highlight w:val="none"/>
          <w:lang w:val="en-US" w:eastAsia="zh-CN"/>
        </w:rPr>
      </w:pPr>
      <w:r>
        <w:rPr>
          <w:rFonts w:hint="eastAsia"/>
          <w:color w:val="auto"/>
          <w:highlight w:val="none"/>
          <w:lang w:val="en-US" w:eastAsia="zh-CN"/>
        </w:rPr>
        <w:t>9.2 投标人必须在技术条款偏离表中对本章第3条“技术要求”表格中内容逐条响应，内容齐全、无遗漏。</w:t>
      </w:r>
    </w:p>
    <w:p w14:paraId="1458FB3A">
      <w:pPr>
        <w:bidi w:val="0"/>
        <w:rPr>
          <w:rFonts w:hint="eastAsia"/>
          <w:color w:val="auto"/>
          <w:highlight w:val="none"/>
          <w:lang w:val="en-US" w:eastAsia="zh-CN"/>
        </w:rPr>
      </w:pPr>
      <w:r>
        <w:rPr>
          <w:rFonts w:hint="eastAsia"/>
          <w:color w:val="auto"/>
          <w:highlight w:val="none"/>
          <w:lang w:val="en-US" w:eastAsia="zh-CN"/>
        </w:rPr>
        <w:t>9.3 投标人应根据本章内容和要求，提供对应资料，无遗漏。</w:t>
      </w:r>
    </w:p>
    <w:p w14:paraId="3809970D">
      <w:pPr>
        <w:bidi w:val="0"/>
        <w:rPr>
          <w:rFonts w:hint="eastAsia"/>
          <w:color w:val="auto"/>
          <w:highlight w:val="none"/>
          <w:lang w:val="en-US" w:eastAsia="zh-CN"/>
        </w:rPr>
      </w:pPr>
      <w:r>
        <w:rPr>
          <w:rFonts w:hint="eastAsia"/>
          <w:color w:val="auto"/>
          <w:highlight w:val="none"/>
          <w:lang w:val="en-US" w:eastAsia="zh-CN"/>
        </w:rPr>
        <w:t>9.4 其他未尽事宜由供需双方在合同中详细约定。</w:t>
      </w:r>
    </w:p>
    <w:p w14:paraId="2E85DEEB">
      <w:pPr>
        <w:bidi w:val="0"/>
        <w:rPr>
          <w:rFonts w:hint="eastAsia"/>
          <w:color w:val="auto"/>
          <w:highlight w:val="none"/>
          <w:lang w:val="en-US" w:eastAsia="zh-CN"/>
        </w:rPr>
      </w:pPr>
    </w:p>
    <w:p w14:paraId="6D5CD361">
      <w:pPr>
        <w:bidi w:val="0"/>
        <w:rPr>
          <w:rFonts w:hint="eastAsia"/>
          <w:color w:val="auto"/>
          <w:highlight w:val="none"/>
          <w:lang w:val="en-US" w:eastAsia="zh-CN"/>
        </w:rPr>
      </w:pPr>
      <w:r>
        <w:rPr>
          <w:rFonts w:hint="eastAsia"/>
          <w:color w:val="auto"/>
          <w:highlight w:val="none"/>
          <w:lang w:val="en-US" w:eastAsia="zh-CN"/>
        </w:rPr>
        <w:br w:type="page"/>
      </w:r>
      <w:bookmarkEnd w:id="528"/>
    </w:p>
    <w:p w14:paraId="52B64DC2">
      <w:pPr>
        <w:pStyle w:val="2"/>
        <w:bidi w:val="0"/>
        <w:rPr>
          <w:rFonts w:hint="eastAsia"/>
          <w:color w:val="auto"/>
          <w:highlight w:val="none"/>
          <w:lang w:val="en-US" w:eastAsia="zh-CN"/>
        </w:rPr>
      </w:pPr>
      <w:bookmarkStart w:id="529" w:name="_Toc18191"/>
      <w:bookmarkStart w:id="530" w:name="_Toc2809"/>
      <w:r>
        <w:rPr>
          <w:rFonts w:hint="eastAsia"/>
          <w:color w:val="auto"/>
          <w:highlight w:val="none"/>
          <w:lang w:val="en-US" w:eastAsia="zh-CN"/>
        </w:rPr>
        <w:t>第六章 投标文件格式</w:t>
      </w:r>
      <w:bookmarkEnd w:id="477"/>
      <w:bookmarkEnd w:id="478"/>
      <w:bookmarkEnd w:id="479"/>
      <w:bookmarkEnd w:id="480"/>
      <w:bookmarkEnd w:id="481"/>
      <w:bookmarkEnd w:id="482"/>
      <w:bookmarkEnd w:id="483"/>
      <w:bookmarkEnd w:id="484"/>
      <w:bookmarkEnd w:id="529"/>
      <w:bookmarkEnd w:id="530"/>
    </w:p>
    <w:p w14:paraId="53B3F7F4">
      <w:pPr>
        <w:keepNext w:val="0"/>
        <w:keepLines w:val="0"/>
        <w:pageBreakBefore w:val="0"/>
        <w:widowControl w:val="0"/>
        <w:kinsoku/>
        <w:wordWrap/>
        <w:overflowPunct/>
        <w:topLinePunct w:val="0"/>
        <w:autoSpaceDE w:val="0"/>
        <w:autoSpaceDN w:val="0"/>
        <w:bidi w:val="0"/>
        <w:spacing w:beforeAutospacing="0" w:line="360" w:lineRule="auto"/>
        <w:ind w:firstLine="0" w:firstLineChars="0"/>
        <w:jc w:val="center"/>
        <w:textAlignment w:val="auto"/>
        <w:rPr>
          <w:rFonts w:hint="eastAsia"/>
          <w:color w:val="auto"/>
          <w:highlight w:val="none"/>
          <w:lang w:val="en-US" w:eastAsia="zh-CN"/>
        </w:rPr>
      </w:pPr>
    </w:p>
    <w:bookmarkEnd w:id="485"/>
    <w:bookmarkEnd w:id="486"/>
    <w:bookmarkEnd w:id="487"/>
    <w:bookmarkEnd w:id="488"/>
    <w:bookmarkEnd w:id="489"/>
    <w:p w14:paraId="614641CE">
      <w:pPr>
        <w:keepNext w:val="0"/>
        <w:keepLines w:val="0"/>
        <w:pageBreakBefore w:val="0"/>
        <w:widowControl w:val="0"/>
        <w:kinsoku/>
        <w:wordWrap/>
        <w:overflowPunct/>
        <w:topLinePunct w:val="0"/>
        <w:autoSpaceDE w:val="0"/>
        <w:autoSpaceDN w:val="0"/>
        <w:bidi w:val="0"/>
        <w:spacing w:beforeAutospacing="0" w:line="360" w:lineRule="auto"/>
        <w:ind w:left="0" w:right="0" w:firstLine="0" w:firstLineChars="0"/>
        <w:jc w:val="center"/>
        <w:textAlignment w:val="auto"/>
        <w:rPr>
          <w:rFonts w:hint="eastAsia" w:ascii="Times New Roman" w:hAnsi="Times New Roman" w:eastAsia="宋体" w:cs="Times New Roman"/>
          <w:b/>
          <w:snapToGrid w:val="0"/>
          <w:color w:val="auto"/>
          <w:kern w:val="0"/>
          <w:sz w:val="48"/>
          <w:szCs w:val="84"/>
          <w:highlight w:val="none"/>
          <w:lang w:val="en-US" w:eastAsia="zh-CN" w:bidi="ar-SA"/>
        </w:rPr>
      </w:pPr>
      <w:r>
        <w:rPr>
          <w:rFonts w:hint="eastAsia" w:ascii="Times New Roman" w:hAnsi="Times New Roman" w:eastAsia="宋体" w:cs="Times New Roman"/>
          <w:b/>
          <w:snapToGrid w:val="0"/>
          <w:color w:val="auto"/>
          <w:kern w:val="0"/>
          <w:sz w:val="48"/>
          <w:szCs w:val="84"/>
          <w:highlight w:val="none"/>
          <w:lang w:val="en-US" w:eastAsia="zh-CN" w:bidi="ar-SA"/>
        </w:rPr>
        <w:t>重庆三峡银行存取款一体机项目</w:t>
      </w:r>
    </w:p>
    <w:p w14:paraId="02615F8C">
      <w:pPr>
        <w:keepNext w:val="0"/>
        <w:keepLines w:val="0"/>
        <w:pageBreakBefore w:val="0"/>
        <w:widowControl w:val="0"/>
        <w:kinsoku/>
        <w:wordWrap/>
        <w:overflowPunct/>
        <w:topLinePunct w:val="0"/>
        <w:autoSpaceDE w:val="0"/>
        <w:autoSpaceDN w:val="0"/>
        <w:bidi w:val="0"/>
        <w:spacing w:beforeAutospacing="0" w:line="360" w:lineRule="auto"/>
        <w:ind w:firstLine="0" w:firstLineChars="0"/>
        <w:jc w:val="center"/>
        <w:textAlignment w:val="auto"/>
        <w:rPr>
          <w:color w:val="auto"/>
          <w:highlight w:val="none"/>
        </w:rPr>
      </w:pPr>
    </w:p>
    <w:p w14:paraId="22FC0790">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firstLine="0" w:firstLineChars="0"/>
        <w:jc w:val="center"/>
        <w:textAlignment w:val="auto"/>
        <w:rPr>
          <w:rFonts w:ascii="宋体" w:hAnsi="宋体"/>
          <w:color w:val="auto"/>
          <w:kern w:val="0"/>
          <w:sz w:val="20"/>
          <w:szCs w:val="20"/>
          <w:highlight w:val="none"/>
        </w:rPr>
      </w:pPr>
    </w:p>
    <w:p w14:paraId="4A4043E2">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firstLine="0" w:firstLineChars="0"/>
        <w:jc w:val="center"/>
        <w:textAlignment w:val="auto"/>
        <w:rPr>
          <w:rFonts w:ascii="宋体" w:hAnsi="宋体"/>
          <w:color w:val="auto"/>
          <w:kern w:val="0"/>
          <w:sz w:val="20"/>
          <w:szCs w:val="20"/>
          <w:highlight w:val="none"/>
        </w:rPr>
      </w:pPr>
    </w:p>
    <w:p w14:paraId="35B674A3">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firstLine="0" w:firstLineChars="0"/>
        <w:jc w:val="center"/>
        <w:textAlignment w:val="auto"/>
        <w:rPr>
          <w:rFonts w:ascii="宋体" w:hAnsi="宋体"/>
          <w:color w:val="auto"/>
          <w:kern w:val="0"/>
          <w:sz w:val="20"/>
          <w:szCs w:val="20"/>
          <w:highlight w:val="none"/>
        </w:rPr>
      </w:pPr>
    </w:p>
    <w:p w14:paraId="4EF492EB">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firstLine="0" w:firstLineChars="0"/>
        <w:jc w:val="center"/>
        <w:textAlignment w:val="auto"/>
        <w:rPr>
          <w:rFonts w:ascii="宋体" w:hAnsi="宋体"/>
          <w:color w:val="auto"/>
          <w:kern w:val="0"/>
          <w:sz w:val="20"/>
          <w:szCs w:val="20"/>
          <w:highlight w:val="none"/>
        </w:rPr>
      </w:pPr>
    </w:p>
    <w:p w14:paraId="69B81F87">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firstLine="0" w:firstLineChars="0"/>
        <w:jc w:val="center"/>
        <w:textAlignment w:val="auto"/>
        <w:rPr>
          <w:rFonts w:ascii="宋体" w:hAnsi="宋体"/>
          <w:color w:val="auto"/>
          <w:kern w:val="0"/>
          <w:sz w:val="20"/>
          <w:szCs w:val="20"/>
          <w:highlight w:val="none"/>
        </w:rPr>
      </w:pPr>
    </w:p>
    <w:p w14:paraId="53EBED71">
      <w:pPr>
        <w:keepNext w:val="0"/>
        <w:keepLines w:val="0"/>
        <w:pageBreakBefore w:val="0"/>
        <w:widowControl w:val="0"/>
        <w:kinsoku/>
        <w:wordWrap/>
        <w:overflowPunct/>
        <w:topLinePunct w:val="0"/>
        <w:autoSpaceDE w:val="0"/>
        <w:autoSpaceDN w:val="0"/>
        <w:bidi w:val="0"/>
        <w:spacing w:beforeAutospacing="0" w:line="360" w:lineRule="auto"/>
        <w:ind w:firstLine="0" w:firstLineChars="0"/>
        <w:jc w:val="center"/>
        <w:textAlignment w:val="auto"/>
        <w:rPr>
          <w:color w:val="auto"/>
          <w:sz w:val="72"/>
          <w:szCs w:val="72"/>
          <w:highlight w:val="none"/>
        </w:rPr>
      </w:pPr>
      <w:r>
        <w:rPr>
          <w:rFonts w:hint="eastAsia"/>
          <w:color w:val="auto"/>
          <w:sz w:val="72"/>
          <w:szCs w:val="72"/>
          <w:highlight w:val="none"/>
          <w:lang w:val="en-US" w:eastAsia="zh-CN"/>
        </w:rPr>
        <w:t>投</w:t>
      </w:r>
      <w:r>
        <w:rPr>
          <w:rFonts w:hint="eastAsia"/>
          <w:color w:val="auto"/>
          <w:sz w:val="72"/>
          <w:szCs w:val="72"/>
          <w:highlight w:val="none"/>
        </w:rPr>
        <w:t xml:space="preserve"> </w:t>
      </w:r>
      <w:r>
        <w:rPr>
          <w:color w:val="auto"/>
          <w:sz w:val="72"/>
          <w:szCs w:val="72"/>
          <w:highlight w:val="none"/>
        </w:rPr>
        <w:t>标</w:t>
      </w:r>
      <w:r>
        <w:rPr>
          <w:rFonts w:hint="eastAsia"/>
          <w:color w:val="auto"/>
          <w:sz w:val="72"/>
          <w:szCs w:val="72"/>
          <w:highlight w:val="none"/>
        </w:rPr>
        <w:t xml:space="preserve"> </w:t>
      </w:r>
      <w:r>
        <w:rPr>
          <w:color w:val="auto"/>
          <w:sz w:val="72"/>
          <w:szCs w:val="72"/>
          <w:highlight w:val="none"/>
        </w:rPr>
        <w:t>文</w:t>
      </w:r>
      <w:r>
        <w:rPr>
          <w:rFonts w:hint="eastAsia"/>
          <w:color w:val="auto"/>
          <w:sz w:val="72"/>
          <w:szCs w:val="72"/>
          <w:highlight w:val="none"/>
        </w:rPr>
        <w:t xml:space="preserve"> </w:t>
      </w:r>
      <w:r>
        <w:rPr>
          <w:color w:val="auto"/>
          <w:sz w:val="72"/>
          <w:szCs w:val="72"/>
          <w:highlight w:val="none"/>
        </w:rPr>
        <w:t>件</w:t>
      </w:r>
    </w:p>
    <w:p w14:paraId="49FC5C4E">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firstLine="0" w:firstLineChars="0"/>
        <w:jc w:val="center"/>
        <w:textAlignment w:val="auto"/>
        <w:rPr>
          <w:rFonts w:ascii="宋体" w:hAnsi="宋体"/>
          <w:color w:val="auto"/>
          <w:kern w:val="0"/>
          <w:sz w:val="10"/>
          <w:szCs w:val="10"/>
          <w:highlight w:val="none"/>
        </w:rPr>
      </w:pPr>
    </w:p>
    <w:p w14:paraId="186E2BE3">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firstLine="0" w:firstLineChars="0"/>
        <w:jc w:val="center"/>
        <w:textAlignment w:val="auto"/>
        <w:rPr>
          <w:rFonts w:ascii="宋体" w:hAnsi="宋体"/>
          <w:color w:val="auto"/>
          <w:kern w:val="0"/>
          <w:sz w:val="20"/>
          <w:szCs w:val="20"/>
          <w:highlight w:val="none"/>
        </w:rPr>
      </w:pPr>
    </w:p>
    <w:p w14:paraId="64EFFB7D">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firstLine="0" w:firstLineChars="0"/>
        <w:jc w:val="center"/>
        <w:textAlignment w:val="auto"/>
        <w:rPr>
          <w:rFonts w:ascii="宋体" w:hAnsi="宋体"/>
          <w:color w:val="auto"/>
          <w:kern w:val="0"/>
          <w:sz w:val="20"/>
          <w:szCs w:val="20"/>
          <w:highlight w:val="none"/>
        </w:rPr>
      </w:pPr>
    </w:p>
    <w:p w14:paraId="4C942DE5">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firstLine="0" w:firstLineChars="0"/>
        <w:jc w:val="center"/>
        <w:textAlignment w:val="auto"/>
        <w:rPr>
          <w:rFonts w:ascii="宋体" w:hAnsi="宋体"/>
          <w:color w:val="auto"/>
          <w:kern w:val="0"/>
          <w:sz w:val="20"/>
          <w:szCs w:val="20"/>
          <w:highlight w:val="none"/>
        </w:rPr>
      </w:pPr>
    </w:p>
    <w:p w14:paraId="7E214D27">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firstLine="0" w:firstLineChars="0"/>
        <w:jc w:val="center"/>
        <w:textAlignment w:val="auto"/>
        <w:rPr>
          <w:rFonts w:ascii="宋体" w:hAnsi="宋体"/>
          <w:color w:val="auto"/>
          <w:kern w:val="0"/>
          <w:sz w:val="20"/>
          <w:szCs w:val="20"/>
          <w:highlight w:val="none"/>
        </w:rPr>
      </w:pPr>
    </w:p>
    <w:p w14:paraId="73520605">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firstLine="0" w:firstLineChars="0"/>
        <w:jc w:val="center"/>
        <w:textAlignment w:val="auto"/>
        <w:rPr>
          <w:rFonts w:ascii="宋体" w:hAnsi="宋体"/>
          <w:color w:val="auto"/>
          <w:kern w:val="0"/>
          <w:sz w:val="20"/>
          <w:szCs w:val="20"/>
          <w:highlight w:val="none"/>
        </w:rPr>
      </w:pPr>
    </w:p>
    <w:p w14:paraId="1102ECB4">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firstLine="0" w:firstLineChars="0"/>
        <w:jc w:val="center"/>
        <w:textAlignment w:val="auto"/>
        <w:rPr>
          <w:rFonts w:ascii="宋体" w:hAnsi="宋体"/>
          <w:color w:val="auto"/>
          <w:kern w:val="0"/>
          <w:sz w:val="20"/>
          <w:szCs w:val="20"/>
          <w:highlight w:val="none"/>
        </w:rPr>
      </w:pPr>
    </w:p>
    <w:p w14:paraId="08FD6E45">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firstLine="0" w:firstLineChars="0"/>
        <w:jc w:val="center"/>
        <w:textAlignment w:val="auto"/>
        <w:rPr>
          <w:rFonts w:ascii="宋体" w:hAnsi="宋体"/>
          <w:color w:val="auto"/>
          <w:kern w:val="0"/>
          <w:sz w:val="20"/>
          <w:szCs w:val="20"/>
          <w:highlight w:val="none"/>
        </w:rPr>
      </w:pPr>
    </w:p>
    <w:p w14:paraId="2C26567E">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firstLine="0" w:firstLineChars="0"/>
        <w:jc w:val="center"/>
        <w:textAlignment w:val="auto"/>
        <w:rPr>
          <w:rFonts w:ascii="宋体" w:hAnsi="宋体"/>
          <w:color w:val="auto"/>
          <w:kern w:val="0"/>
          <w:sz w:val="20"/>
          <w:szCs w:val="20"/>
          <w:highlight w:val="none"/>
        </w:rPr>
      </w:pPr>
    </w:p>
    <w:p w14:paraId="71A8AE53">
      <w:pPr>
        <w:keepNext w:val="0"/>
        <w:keepLines w:val="0"/>
        <w:pageBreakBefore w:val="0"/>
        <w:widowControl w:val="0"/>
        <w:tabs>
          <w:tab w:val="left" w:pos="6219"/>
        </w:tabs>
        <w:kinsoku/>
        <w:wordWrap/>
        <w:overflowPunct/>
        <w:topLinePunct w:val="0"/>
        <w:autoSpaceDE w:val="0"/>
        <w:autoSpaceDN w:val="0"/>
        <w:bidi w:val="0"/>
        <w:adjustRightInd w:val="0"/>
        <w:snapToGrid w:val="0"/>
        <w:spacing w:beforeAutospacing="0" w:line="360" w:lineRule="auto"/>
        <w:ind w:firstLine="0" w:firstLineChars="0"/>
        <w:jc w:val="center"/>
        <w:textAlignment w:val="auto"/>
        <w:rPr>
          <w:rFonts w:ascii="宋体" w:eastAsia="宋体"/>
          <w:bCs/>
          <w:color w:val="auto"/>
          <w:w w:val="99"/>
          <w:kern w:val="0"/>
          <w:sz w:val="28"/>
          <w:szCs w:val="28"/>
          <w:highlight w:val="none"/>
        </w:rPr>
      </w:pPr>
      <w:r>
        <w:rPr>
          <w:rFonts w:hint="eastAsia" w:ascii="宋体" w:eastAsia="宋体"/>
          <w:bCs/>
          <w:color w:val="auto"/>
          <w:w w:val="99"/>
          <w:kern w:val="0"/>
          <w:sz w:val="28"/>
          <w:szCs w:val="28"/>
          <w:highlight w:val="none"/>
          <w:lang w:val="en-US" w:eastAsia="zh-CN"/>
        </w:rPr>
        <w:t>投</w:t>
      </w:r>
      <w:r>
        <w:rPr>
          <w:rFonts w:hint="eastAsia" w:ascii="宋体" w:eastAsia="宋体"/>
          <w:bCs/>
          <w:color w:val="auto"/>
          <w:w w:val="99"/>
          <w:kern w:val="0"/>
          <w:sz w:val="28"/>
          <w:szCs w:val="28"/>
          <w:highlight w:val="none"/>
        </w:rPr>
        <w:t xml:space="preserve">  </w:t>
      </w:r>
      <w:r>
        <w:rPr>
          <w:rFonts w:ascii="宋体" w:eastAsia="宋体"/>
          <w:bCs/>
          <w:color w:val="auto"/>
          <w:w w:val="99"/>
          <w:kern w:val="0"/>
          <w:sz w:val="28"/>
          <w:szCs w:val="28"/>
          <w:highlight w:val="none"/>
        </w:rPr>
        <w:t>标</w:t>
      </w:r>
      <w:r>
        <w:rPr>
          <w:rFonts w:hint="eastAsia" w:ascii="宋体" w:eastAsia="宋体"/>
          <w:bCs/>
          <w:color w:val="auto"/>
          <w:w w:val="99"/>
          <w:kern w:val="0"/>
          <w:sz w:val="28"/>
          <w:szCs w:val="28"/>
          <w:highlight w:val="none"/>
        </w:rPr>
        <w:t xml:space="preserve">  </w:t>
      </w:r>
      <w:r>
        <w:rPr>
          <w:rFonts w:ascii="宋体" w:eastAsia="宋体"/>
          <w:bCs/>
          <w:color w:val="auto"/>
          <w:w w:val="99"/>
          <w:kern w:val="0"/>
          <w:sz w:val="28"/>
          <w:szCs w:val="28"/>
          <w:highlight w:val="none"/>
        </w:rPr>
        <w:t>人</w:t>
      </w:r>
      <w:r>
        <w:rPr>
          <w:rFonts w:hint="eastAsia" w:ascii="宋体" w:eastAsia="宋体"/>
          <w:bCs/>
          <w:color w:val="auto"/>
          <w:w w:val="99"/>
          <w:kern w:val="0"/>
          <w:sz w:val="28"/>
          <w:szCs w:val="28"/>
          <w:highlight w:val="none"/>
          <w:lang w:val="en-US" w:eastAsia="zh-CN"/>
        </w:rPr>
        <w:t xml:space="preserve"> </w:t>
      </w:r>
      <w:r>
        <w:rPr>
          <w:rFonts w:hint="eastAsia" w:ascii="宋体" w:eastAsia="宋体"/>
          <w:bCs/>
          <w:color w:val="auto"/>
          <w:w w:val="99"/>
          <w:kern w:val="0"/>
          <w:sz w:val="28"/>
          <w:szCs w:val="28"/>
          <w:highlight w:val="none"/>
          <w:lang w:eastAsia="zh-CN"/>
        </w:rPr>
        <w:t>：</w:t>
      </w:r>
      <w:r>
        <w:rPr>
          <w:rFonts w:hint="eastAsia" w:ascii="宋体" w:eastAsia="宋体"/>
          <w:bCs/>
          <w:color w:val="auto"/>
          <w:w w:val="99"/>
          <w:kern w:val="0"/>
          <w:sz w:val="28"/>
          <w:szCs w:val="28"/>
          <w:highlight w:val="none"/>
          <w:u w:val="single"/>
          <w:lang w:val="en-US" w:eastAsia="zh-CN"/>
        </w:rPr>
        <w:t xml:space="preserve">                          </w:t>
      </w:r>
      <w:r>
        <w:rPr>
          <w:rFonts w:ascii="宋体" w:eastAsia="宋体"/>
          <w:bCs/>
          <w:color w:val="auto"/>
          <w:kern w:val="0"/>
          <w:sz w:val="28"/>
          <w:szCs w:val="28"/>
          <w:highlight w:val="none"/>
          <w:u w:val="single"/>
        </w:rPr>
        <w:t xml:space="preserve">   </w:t>
      </w:r>
      <w:r>
        <w:rPr>
          <w:rFonts w:ascii="宋体" w:eastAsia="宋体"/>
          <w:bCs/>
          <w:color w:val="auto"/>
          <w:w w:val="99"/>
          <w:kern w:val="0"/>
          <w:sz w:val="28"/>
          <w:szCs w:val="28"/>
          <w:highlight w:val="none"/>
        </w:rPr>
        <w:t>（盖单位法人章）</w:t>
      </w:r>
    </w:p>
    <w:p w14:paraId="1FECDF88">
      <w:pPr>
        <w:keepNext w:val="0"/>
        <w:keepLines w:val="0"/>
        <w:pageBreakBefore w:val="0"/>
        <w:widowControl w:val="0"/>
        <w:tabs>
          <w:tab w:val="left" w:pos="6252"/>
        </w:tabs>
        <w:kinsoku/>
        <w:wordWrap/>
        <w:overflowPunct/>
        <w:topLinePunct w:val="0"/>
        <w:autoSpaceDE w:val="0"/>
        <w:autoSpaceDN w:val="0"/>
        <w:bidi w:val="0"/>
        <w:adjustRightInd w:val="0"/>
        <w:snapToGrid w:val="0"/>
        <w:spacing w:beforeAutospacing="0" w:line="360" w:lineRule="auto"/>
        <w:ind w:firstLine="0" w:firstLineChars="0"/>
        <w:jc w:val="center"/>
        <w:textAlignment w:val="auto"/>
        <w:rPr>
          <w:rFonts w:ascii="宋体" w:eastAsia="宋体"/>
          <w:bCs/>
          <w:color w:val="auto"/>
          <w:w w:val="99"/>
          <w:kern w:val="0"/>
          <w:sz w:val="28"/>
          <w:szCs w:val="28"/>
          <w:highlight w:val="none"/>
        </w:rPr>
      </w:pPr>
      <w:r>
        <w:rPr>
          <w:rFonts w:hint="eastAsia" w:ascii="宋体" w:eastAsia="宋体"/>
          <w:bCs/>
          <w:color w:val="auto"/>
          <w:spacing w:val="8"/>
          <w:kern w:val="0"/>
          <w:sz w:val="28"/>
          <w:szCs w:val="28"/>
          <w:highlight w:val="none"/>
          <w:lang w:val="en-US" w:eastAsia="zh-CN"/>
        </w:rPr>
        <w:t>法定代表人（分支机构负责人）或其委托代理人</w:t>
      </w:r>
      <w:r>
        <w:rPr>
          <w:rFonts w:ascii="宋体" w:eastAsia="宋体"/>
          <w:bCs/>
          <w:color w:val="auto"/>
          <w:spacing w:val="8"/>
          <w:kern w:val="0"/>
          <w:sz w:val="28"/>
          <w:szCs w:val="28"/>
          <w:highlight w:val="none"/>
        </w:rPr>
        <w:t>：</w:t>
      </w:r>
      <w:r>
        <w:rPr>
          <w:rFonts w:hint="eastAsia" w:ascii="宋体" w:eastAsia="宋体"/>
          <w:bCs/>
          <w:color w:val="auto"/>
          <w:kern w:val="0"/>
          <w:sz w:val="28"/>
          <w:szCs w:val="28"/>
          <w:highlight w:val="none"/>
          <w:u w:val="single"/>
          <w:lang w:val="en-US" w:eastAsia="zh-CN"/>
        </w:rPr>
        <w:t xml:space="preserve">  </w:t>
      </w:r>
      <w:r>
        <w:rPr>
          <w:rFonts w:ascii="宋体" w:eastAsia="宋体"/>
          <w:bCs/>
          <w:color w:val="auto"/>
          <w:kern w:val="0"/>
          <w:sz w:val="28"/>
          <w:szCs w:val="28"/>
          <w:highlight w:val="none"/>
          <w:u w:val="single"/>
        </w:rPr>
        <w:t xml:space="preserve">   </w:t>
      </w:r>
      <w:r>
        <w:rPr>
          <w:rFonts w:ascii="宋体" w:eastAsia="宋体"/>
          <w:bCs/>
          <w:color w:val="auto"/>
          <w:w w:val="99"/>
          <w:kern w:val="0"/>
          <w:sz w:val="28"/>
          <w:szCs w:val="28"/>
          <w:highlight w:val="none"/>
        </w:rPr>
        <w:t>（</w:t>
      </w:r>
      <w:r>
        <w:rPr>
          <w:rFonts w:hint="eastAsia" w:ascii="宋体" w:eastAsia="宋体"/>
          <w:bCs/>
          <w:color w:val="auto"/>
          <w:w w:val="99"/>
          <w:kern w:val="0"/>
          <w:sz w:val="28"/>
          <w:szCs w:val="28"/>
          <w:highlight w:val="none"/>
          <w:lang w:val="en-US" w:eastAsia="zh-CN"/>
        </w:rPr>
        <w:t>签字或盖章</w:t>
      </w:r>
      <w:r>
        <w:rPr>
          <w:rFonts w:ascii="宋体" w:eastAsia="宋体"/>
          <w:bCs/>
          <w:color w:val="auto"/>
          <w:w w:val="99"/>
          <w:kern w:val="0"/>
          <w:sz w:val="28"/>
          <w:szCs w:val="28"/>
          <w:highlight w:val="none"/>
        </w:rPr>
        <w:t>）</w:t>
      </w:r>
    </w:p>
    <w:p w14:paraId="277A6C03">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firstLine="0" w:firstLineChars="0"/>
        <w:jc w:val="center"/>
        <w:textAlignment w:val="auto"/>
        <w:rPr>
          <w:rFonts w:ascii="宋体" w:hAnsi="宋体"/>
          <w:bCs/>
          <w:color w:val="auto"/>
          <w:kern w:val="0"/>
          <w:sz w:val="28"/>
          <w:szCs w:val="28"/>
          <w:highlight w:val="none"/>
        </w:rPr>
      </w:pPr>
    </w:p>
    <w:p w14:paraId="6FB27143">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firstLine="0" w:firstLineChars="0"/>
        <w:jc w:val="center"/>
        <w:textAlignment w:val="auto"/>
        <w:rPr>
          <w:rFonts w:ascii="宋体" w:hAnsi="宋体"/>
          <w:bCs/>
          <w:color w:val="auto"/>
          <w:kern w:val="0"/>
          <w:sz w:val="20"/>
          <w:szCs w:val="20"/>
          <w:highlight w:val="none"/>
        </w:rPr>
      </w:pPr>
    </w:p>
    <w:p w14:paraId="1EA3DF0A">
      <w:pPr>
        <w:keepNext w:val="0"/>
        <w:keepLines w:val="0"/>
        <w:pageBreakBefore w:val="0"/>
        <w:widowControl w:val="0"/>
        <w:kinsoku/>
        <w:wordWrap/>
        <w:overflowPunct/>
        <w:topLinePunct w:val="0"/>
        <w:autoSpaceDE w:val="0"/>
        <w:autoSpaceDN w:val="0"/>
        <w:bidi w:val="0"/>
        <w:spacing w:beforeAutospacing="0" w:line="360" w:lineRule="auto"/>
        <w:ind w:firstLine="0" w:firstLineChars="0"/>
        <w:jc w:val="center"/>
        <w:textAlignment w:val="auto"/>
        <w:rPr>
          <w:rFonts w:ascii="宋体" w:eastAsia="宋体"/>
          <w:color w:val="auto"/>
          <w:sz w:val="28"/>
          <w:highlight w:val="none"/>
        </w:rPr>
      </w:pPr>
      <w:r>
        <w:rPr>
          <w:rFonts w:hint="eastAsia" w:ascii="宋体" w:hAnsi="宋体"/>
          <w:bCs/>
          <w:color w:val="auto"/>
          <w:spacing w:val="8"/>
          <w:kern w:val="0"/>
          <w:sz w:val="28"/>
          <w:szCs w:val="28"/>
          <w:highlight w:val="none"/>
          <w:u w:val="single"/>
        </w:rPr>
        <w:t xml:space="preserve">    </w:t>
      </w:r>
      <w:r>
        <w:rPr>
          <w:rFonts w:ascii="宋体" w:hAnsi="宋体"/>
          <w:bCs/>
          <w:color w:val="auto"/>
          <w:spacing w:val="8"/>
          <w:kern w:val="0"/>
          <w:sz w:val="28"/>
          <w:szCs w:val="28"/>
          <w:highlight w:val="none"/>
        </w:rPr>
        <w:t>年</w:t>
      </w:r>
      <w:r>
        <w:rPr>
          <w:rFonts w:hint="eastAsia" w:ascii="宋体" w:hAnsi="宋体"/>
          <w:bCs/>
          <w:color w:val="auto"/>
          <w:spacing w:val="8"/>
          <w:kern w:val="0"/>
          <w:sz w:val="28"/>
          <w:szCs w:val="28"/>
          <w:highlight w:val="none"/>
          <w:u w:val="single"/>
        </w:rPr>
        <w:t xml:space="preserve">    </w:t>
      </w:r>
      <w:r>
        <w:rPr>
          <w:rFonts w:ascii="宋体" w:hAnsi="宋体"/>
          <w:bCs/>
          <w:color w:val="auto"/>
          <w:spacing w:val="8"/>
          <w:kern w:val="0"/>
          <w:sz w:val="28"/>
          <w:szCs w:val="28"/>
          <w:highlight w:val="none"/>
        </w:rPr>
        <w:t>月</w:t>
      </w:r>
      <w:r>
        <w:rPr>
          <w:rFonts w:hint="eastAsia" w:ascii="宋体" w:hAnsi="宋体"/>
          <w:bCs/>
          <w:color w:val="auto"/>
          <w:spacing w:val="8"/>
          <w:kern w:val="0"/>
          <w:sz w:val="28"/>
          <w:szCs w:val="28"/>
          <w:highlight w:val="none"/>
          <w:u w:val="single"/>
        </w:rPr>
        <w:t xml:space="preserve">    </w:t>
      </w:r>
      <w:r>
        <w:rPr>
          <w:rFonts w:ascii="宋体" w:hAnsi="宋体"/>
          <w:bCs/>
          <w:color w:val="auto"/>
          <w:spacing w:val="8"/>
          <w:kern w:val="0"/>
          <w:sz w:val="28"/>
          <w:szCs w:val="28"/>
          <w:highlight w:val="none"/>
        </w:rPr>
        <w:t>日</w:t>
      </w:r>
    </w:p>
    <w:p w14:paraId="4D23EF51">
      <w:pPr>
        <w:keepNext w:val="0"/>
        <w:keepLines w:val="0"/>
        <w:pageBreakBefore w:val="0"/>
        <w:widowControl w:val="0"/>
        <w:kinsoku/>
        <w:wordWrap/>
        <w:overflowPunct/>
        <w:topLinePunct w:val="0"/>
        <w:autoSpaceDE w:val="0"/>
        <w:autoSpaceDN w:val="0"/>
        <w:bidi w:val="0"/>
        <w:spacing w:beforeAutospacing="0" w:line="360" w:lineRule="auto"/>
        <w:ind w:firstLine="0" w:firstLineChars="0"/>
        <w:jc w:val="center"/>
        <w:textAlignment w:val="auto"/>
        <w:rPr>
          <w:rFonts w:ascii="宋体" w:eastAsia="宋体"/>
          <w:color w:val="auto"/>
          <w:highlight w:val="none"/>
        </w:rPr>
      </w:pPr>
    </w:p>
    <w:p w14:paraId="763B18E5">
      <w:pPr>
        <w:pStyle w:val="13"/>
        <w:keepNext w:val="0"/>
        <w:keepLines w:val="0"/>
        <w:pageBreakBefore w:val="0"/>
        <w:widowControl w:val="0"/>
        <w:kinsoku/>
        <w:wordWrap/>
        <w:overflowPunct/>
        <w:topLinePunct w:val="0"/>
        <w:autoSpaceDE w:val="0"/>
        <w:autoSpaceDN w:val="0"/>
        <w:bidi w:val="0"/>
        <w:spacing w:before="0" w:beforeAutospacing="0" w:after="0" w:line="360" w:lineRule="auto"/>
        <w:ind w:firstLine="0" w:firstLineChars="0"/>
        <w:jc w:val="center"/>
        <w:textAlignment w:val="auto"/>
        <w:rPr>
          <w:rFonts w:hint="eastAsia" w:ascii="宋体" w:hAnsi="宋体" w:eastAsia="宋体" w:cs="Times New Roman"/>
          <w:snapToGrid/>
          <w:color w:val="auto"/>
          <w:sz w:val="52"/>
          <w:szCs w:val="52"/>
          <w:highlight w:val="none"/>
          <w:lang w:val="en-US" w:eastAsia="zh-CN" w:bidi="ar-SA"/>
        </w:rPr>
      </w:pPr>
    </w:p>
    <w:p w14:paraId="5553721D">
      <w:pPr>
        <w:rPr>
          <w:rFonts w:hint="eastAsia" w:ascii="宋体" w:hAnsi="宋体" w:eastAsia="宋体" w:cs="宋体"/>
          <w:color w:val="auto"/>
          <w:sz w:val="28"/>
          <w:szCs w:val="28"/>
          <w:highlight w:val="none"/>
        </w:rPr>
      </w:pPr>
      <w:bookmarkStart w:id="531" w:name="_Toc224103493"/>
      <w:r>
        <w:rPr>
          <w:rFonts w:hint="eastAsia" w:ascii="宋体" w:hAnsi="宋体" w:eastAsia="宋体" w:cs="宋体"/>
          <w:color w:val="auto"/>
          <w:sz w:val="28"/>
          <w:szCs w:val="28"/>
          <w:highlight w:val="none"/>
        </w:rPr>
        <w:br w:type="page"/>
      </w:r>
    </w:p>
    <w:p w14:paraId="05CA0CC7">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1"/>
        <w:rPr>
          <w:rFonts w:hint="eastAsia"/>
          <w:b/>
          <w:bCs/>
          <w:color w:val="auto"/>
          <w:sz w:val="32"/>
          <w:szCs w:val="22"/>
          <w:highlight w:val="none"/>
        </w:rPr>
      </w:pPr>
      <w:bookmarkStart w:id="532" w:name="_Toc14217"/>
      <w:bookmarkStart w:id="533" w:name="_Toc15619"/>
      <w:r>
        <w:rPr>
          <w:rFonts w:hint="eastAsia"/>
          <w:b/>
          <w:bCs/>
          <w:color w:val="auto"/>
          <w:sz w:val="32"/>
          <w:szCs w:val="22"/>
          <w:highlight w:val="none"/>
        </w:rPr>
        <w:t>目  录</w:t>
      </w:r>
      <w:bookmarkEnd w:id="531"/>
      <w:bookmarkEnd w:id="532"/>
      <w:bookmarkEnd w:id="533"/>
    </w:p>
    <w:p w14:paraId="41B6510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p>
    <w:p w14:paraId="06CD5146">
      <w:pPr>
        <w:bidi w:val="0"/>
        <w:rPr>
          <w:rFonts w:hint="eastAsia"/>
          <w:color w:val="auto"/>
          <w:highlight w:val="none"/>
        </w:rPr>
      </w:pPr>
      <w:r>
        <w:rPr>
          <w:rFonts w:hint="eastAsia"/>
          <w:color w:val="auto"/>
          <w:highlight w:val="none"/>
          <w:lang w:val="en-US" w:eastAsia="zh-CN"/>
        </w:rPr>
        <w:t>一、</w:t>
      </w:r>
      <w:r>
        <w:rPr>
          <w:rFonts w:hint="eastAsia"/>
          <w:color w:val="auto"/>
          <w:highlight w:val="none"/>
        </w:rPr>
        <w:t>投标函</w:t>
      </w:r>
    </w:p>
    <w:p w14:paraId="2A38D78D">
      <w:pPr>
        <w:bidi w:val="0"/>
        <w:rPr>
          <w:rFonts w:hint="eastAsia"/>
          <w:color w:val="auto"/>
          <w:highlight w:val="none"/>
        </w:rPr>
      </w:pPr>
      <w:r>
        <w:rPr>
          <w:rFonts w:hint="eastAsia"/>
          <w:color w:val="auto"/>
          <w:highlight w:val="none"/>
          <w:lang w:val="en-US" w:eastAsia="zh-CN"/>
        </w:rPr>
        <w:t>二、报价一览表</w:t>
      </w:r>
      <w:r>
        <w:rPr>
          <w:rFonts w:hint="eastAsia"/>
          <w:color w:val="auto"/>
          <w:highlight w:val="none"/>
        </w:rPr>
        <w:t>；</w:t>
      </w:r>
    </w:p>
    <w:p w14:paraId="5238F072">
      <w:pPr>
        <w:bidi w:val="0"/>
        <w:rPr>
          <w:color w:val="auto"/>
          <w:highlight w:val="none"/>
          <w:lang w:val="en-US" w:eastAsia="zh-CN"/>
        </w:rPr>
      </w:pPr>
      <w:r>
        <w:rPr>
          <w:rFonts w:hint="eastAsia"/>
          <w:color w:val="auto"/>
          <w:highlight w:val="none"/>
          <w:lang w:val="en-US" w:eastAsia="zh-CN"/>
        </w:rPr>
        <w:t>三、分项报价表</w:t>
      </w:r>
    </w:p>
    <w:p w14:paraId="5BFCE7CE">
      <w:pPr>
        <w:bidi w:val="0"/>
        <w:rPr>
          <w:rFonts w:hint="eastAsia"/>
          <w:color w:val="auto"/>
          <w:highlight w:val="none"/>
        </w:rPr>
      </w:pPr>
      <w:r>
        <w:rPr>
          <w:rFonts w:hint="eastAsia"/>
          <w:color w:val="auto"/>
          <w:highlight w:val="none"/>
          <w:lang w:val="en-US" w:eastAsia="zh-CN"/>
        </w:rPr>
        <w:t>四、资格性文件</w:t>
      </w:r>
      <w:r>
        <w:rPr>
          <w:rFonts w:hint="eastAsia"/>
          <w:color w:val="auto"/>
          <w:highlight w:val="none"/>
        </w:rPr>
        <w:t>；</w:t>
      </w:r>
    </w:p>
    <w:p w14:paraId="1A50E062">
      <w:pPr>
        <w:bidi w:val="0"/>
        <w:rPr>
          <w:rFonts w:hint="eastAsia"/>
          <w:color w:val="auto"/>
          <w:highlight w:val="none"/>
        </w:rPr>
      </w:pPr>
      <w:r>
        <w:rPr>
          <w:rFonts w:hint="eastAsia"/>
          <w:color w:val="auto"/>
          <w:highlight w:val="none"/>
        </w:rPr>
        <w:t>（一）投标人基本情况表</w:t>
      </w:r>
    </w:p>
    <w:p w14:paraId="46A52BC0">
      <w:pPr>
        <w:bidi w:val="0"/>
        <w:rPr>
          <w:rFonts w:hint="eastAsia"/>
          <w:color w:val="auto"/>
          <w:highlight w:val="none"/>
          <w:lang w:val="en-US" w:eastAsia="zh-CN"/>
        </w:rPr>
      </w:pPr>
      <w:r>
        <w:rPr>
          <w:rFonts w:hint="eastAsia"/>
          <w:color w:val="auto"/>
          <w:highlight w:val="none"/>
          <w:lang w:val="en-US" w:eastAsia="zh-CN"/>
        </w:rPr>
        <w:t>（二）法定代表人/分支机构负责人身份证明或授权委托书</w:t>
      </w:r>
    </w:p>
    <w:p w14:paraId="12136D1A">
      <w:pPr>
        <w:bidi w:val="0"/>
        <w:rPr>
          <w:rFonts w:hint="eastAsia"/>
          <w:color w:val="auto"/>
          <w:highlight w:val="none"/>
          <w:lang w:val="en-US" w:eastAsia="zh-CN"/>
        </w:rPr>
      </w:pPr>
      <w:r>
        <w:rPr>
          <w:rFonts w:hint="eastAsia"/>
          <w:color w:val="auto"/>
          <w:highlight w:val="none"/>
          <w:lang w:val="en-US" w:eastAsia="zh-CN"/>
        </w:rPr>
        <w:t>（三）书面声明</w:t>
      </w:r>
    </w:p>
    <w:p w14:paraId="2A7305F1">
      <w:pPr>
        <w:bidi w:val="0"/>
        <w:rPr>
          <w:rFonts w:hint="eastAsia"/>
          <w:color w:val="auto"/>
          <w:highlight w:val="none"/>
        </w:rPr>
      </w:pPr>
      <w:r>
        <w:rPr>
          <w:rFonts w:hint="eastAsia"/>
          <w:color w:val="auto"/>
          <w:highlight w:val="none"/>
          <w:lang w:val="en-US" w:eastAsia="zh-CN"/>
        </w:rPr>
        <w:t>（四）</w:t>
      </w:r>
      <w:r>
        <w:rPr>
          <w:color w:val="auto"/>
          <w:highlight w:val="none"/>
        </w:rPr>
        <w:t>中国执行信息公开网截图</w:t>
      </w:r>
    </w:p>
    <w:p w14:paraId="2CCFE2FD">
      <w:pPr>
        <w:bidi w:val="0"/>
        <w:rPr>
          <w:color w:val="auto"/>
          <w:highlight w:val="none"/>
        </w:rPr>
      </w:pPr>
      <w:r>
        <w:rPr>
          <w:color w:val="auto"/>
          <w:highlight w:val="none"/>
        </w:rPr>
        <w:t>（</w:t>
      </w:r>
      <w:r>
        <w:rPr>
          <w:rFonts w:hint="eastAsia"/>
          <w:color w:val="auto"/>
          <w:highlight w:val="none"/>
          <w:lang w:val="en-US" w:eastAsia="zh-CN"/>
        </w:rPr>
        <w:t>五</w:t>
      </w:r>
      <w:r>
        <w:rPr>
          <w:color w:val="auto"/>
          <w:highlight w:val="none"/>
        </w:rPr>
        <w:t>）</w:t>
      </w:r>
      <w:r>
        <w:rPr>
          <w:rFonts w:hint="eastAsia"/>
          <w:color w:val="auto"/>
          <w:highlight w:val="none"/>
          <w:lang w:val="en-US" w:eastAsia="zh-CN"/>
        </w:rPr>
        <w:t>重庆市内内房屋租赁合同或产权证明</w:t>
      </w:r>
    </w:p>
    <w:p w14:paraId="54C3709B">
      <w:pPr>
        <w:bidi w:val="0"/>
        <w:rPr>
          <w:rFonts w:hint="eastAsia"/>
          <w:color w:val="auto"/>
          <w:highlight w:val="none"/>
          <w:lang w:val="en-US" w:eastAsia="zh-CN"/>
        </w:rPr>
      </w:pPr>
      <w:r>
        <w:rPr>
          <w:color w:val="auto"/>
          <w:highlight w:val="none"/>
        </w:rPr>
        <w:t>（</w:t>
      </w:r>
      <w:r>
        <w:rPr>
          <w:rFonts w:hint="eastAsia"/>
          <w:color w:val="auto"/>
          <w:highlight w:val="none"/>
          <w:lang w:val="en-US" w:eastAsia="zh-CN"/>
        </w:rPr>
        <w:t>六</w:t>
      </w:r>
      <w:r>
        <w:rPr>
          <w:color w:val="auto"/>
          <w:highlight w:val="none"/>
        </w:rPr>
        <w:t>）</w:t>
      </w:r>
      <w:r>
        <w:rPr>
          <w:rFonts w:hint="eastAsia"/>
          <w:color w:val="auto"/>
          <w:highlight w:val="none"/>
          <w:lang w:val="en-US" w:eastAsia="zh-CN"/>
        </w:rPr>
        <w:t>其他（如有）</w:t>
      </w:r>
    </w:p>
    <w:p w14:paraId="33D20390">
      <w:pPr>
        <w:bidi w:val="0"/>
        <w:rPr>
          <w:rFonts w:hint="eastAsia"/>
          <w:color w:val="auto"/>
          <w:highlight w:val="none"/>
          <w:lang w:val="en-US" w:eastAsia="zh-CN"/>
        </w:rPr>
      </w:pPr>
      <w:r>
        <w:rPr>
          <w:rFonts w:hint="eastAsia"/>
          <w:color w:val="auto"/>
          <w:highlight w:val="none"/>
          <w:lang w:val="en-US" w:eastAsia="zh-CN"/>
        </w:rPr>
        <w:t>五</w:t>
      </w:r>
      <w:r>
        <w:rPr>
          <w:rFonts w:hint="eastAsia"/>
          <w:color w:val="auto"/>
          <w:highlight w:val="none"/>
        </w:rPr>
        <w:t>、</w:t>
      </w:r>
      <w:r>
        <w:rPr>
          <w:rFonts w:hint="eastAsia"/>
          <w:color w:val="auto"/>
          <w:highlight w:val="none"/>
          <w:lang w:val="en-US" w:eastAsia="zh-CN"/>
        </w:rPr>
        <w:t>响应性文件</w:t>
      </w:r>
    </w:p>
    <w:p w14:paraId="49A326ED">
      <w:pPr>
        <w:bidi w:val="0"/>
        <w:rPr>
          <w:rFonts w:hint="eastAsia"/>
          <w:color w:val="auto"/>
          <w:highlight w:val="none"/>
          <w:lang w:val="en-US" w:eastAsia="zh-CN"/>
        </w:rPr>
      </w:pPr>
      <w:r>
        <w:rPr>
          <w:rFonts w:hint="eastAsia"/>
          <w:color w:val="auto"/>
          <w:highlight w:val="none"/>
          <w:lang w:val="en-US" w:eastAsia="zh-CN"/>
        </w:rPr>
        <w:t>（一）响应承诺函</w:t>
      </w:r>
    </w:p>
    <w:p w14:paraId="144EB1F3">
      <w:pPr>
        <w:bidi w:val="0"/>
        <w:rPr>
          <w:rFonts w:hint="eastAsia"/>
          <w:color w:val="auto"/>
          <w:highlight w:val="none"/>
          <w:lang w:val="en-US" w:eastAsia="zh-CN"/>
        </w:rPr>
      </w:pPr>
      <w:r>
        <w:rPr>
          <w:rFonts w:hint="eastAsia"/>
          <w:color w:val="auto"/>
          <w:highlight w:val="none"/>
          <w:lang w:val="en-US" w:eastAsia="zh-CN"/>
        </w:rPr>
        <w:t>（二）技术条款偏离表</w:t>
      </w:r>
    </w:p>
    <w:p w14:paraId="051E88F7">
      <w:pPr>
        <w:bidi w:val="0"/>
        <w:rPr>
          <w:rFonts w:hint="eastAsia"/>
          <w:color w:val="auto"/>
          <w:highlight w:val="none"/>
          <w:lang w:val="en-US" w:eastAsia="zh-CN"/>
        </w:rPr>
      </w:pPr>
      <w:r>
        <w:rPr>
          <w:rFonts w:hint="eastAsia"/>
          <w:color w:val="auto"/>
          <w:highlight w:val="none"/>
          <w:lang w:val="en-US" w:eastAsia="zh-CN"/>
        </w:rPr>
        <w:t>（三）知识产权承诺函</w:t>
      </w:r>
    </w:p>
    <w:p w14:paraId="593DCF9B">
      <w:pPr>
        <w:bidi w:val="0"/>
        <w:rPr>
          <w:rFonts w:hint="eastAsia"/>
          <w:color w:val="auto"/>
          <w:highlight w:val="none"/>
          <w:lang w:val="en-US" w:eastAsia="zh-CN"/>
        </w:rPr>
      </w:pPr>
      <w:r>
        <w:rPr>
          <w:rFonts w:hint="eastAsia"/>
          <w:color w:val="auto"/>
          <w:highlight w:val="none"/>
          <w:lang w:val="en-US" w:eastAsia="zh-CN"/>
        </w:rPr>
        <w:t>（四）投标保证金</w:t>
      </w:r>
    </w:p>
    <w:p w14:paraId="239C0F54">
      <w:pPr>
        <w:bidi w:val="0"/>
        <w:rPr>
          <w:rFonts w:hint="default"/>
          <w:color w:val="auto"/>
          <w:highlight w:val="none"/>
          <w:lang w:val="en-US" w:eastAsia="zh-CN"/>
        </w:rPr>
      </w:pPr>
      <w:r>
        <w:rPr>
          <w:rFonts w:hint="eastAsia"/>
          <w:color w:val="auto"/>
          <w:highlight w:val="none"/>
          <w:lang w:val="en-US" w:eastAsia="zh-CN"/>
        </w:rPr>
        <w:t>（五）其他（如有）</w:t>
      </w:r>
    </w:p>
    <w:p w14:paraId="36F70A6D">
      <w:pPr>
        <w:bidi w:val="0"/>
        <w:rPr>
          <w:rFonts w:hint="default"/>
          <w:color w:val="auto"/>
          <w:highlight w:val="none"/>
          <w:lang w:val="en-US" w:eastAsia="zh-CN"/>
        </w:rPr>
      </w:pPr>
      <w:r>
        <w:rPr>
          <w:rFonts w:hint="eastAsia"/>
          <w:color w:val="auto"/>
          <w:highlight w:val="none"/>
          <w:lang w:val="en-US" w:eastAsia="zh-CN"/>
        </w:rPr>
        <w:t>六、商务文件（如有）</w:t>
      </w:r>
    </w:p>
    <w:p w14:paraId="2C726185">
      <w:pPr>
        <w:bidi w:val="0"/>
        <w:rPr>
          <w:rFonts w:hint="eastAsia"/>
          <w:color w:val="auto"/>
          <w:highlight w:val="none"/>
        </w:rPr>
      </w:pPr>
      <w:r>
        <w:rPr>
          <w:rFonts w:hint="eastAsia"/>
          <w:color w:val="auto"/>
          <w:highlight w:val="none"/>
          <w:lang w:val="en-US" w:eastAsia="zh-CN"/>
        </w:rPr>
        <w:t>七、其他（如有）</w:t>
      </w:r>
    </w:p>
    <w:p w14:paraId="602FA829">
      <w:pPr>
        <w:pStyle w:val="13"/>
        <w:rPr>
          <w:color w:val="auto"/>
          <w:highlight w:val="none"/>
        </w:rPr>
      </w:pPr>
    </w:p>
    <w:p w14:paraId="16525581">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6144"/>
        </w:sectPr>
      </w:pPr>
    </w:p>
    <w:p w14:paraId="509D8D0C">
      <w:pPr>
        <w:pStyle w:val="29"/>
        <w:bidi w:val="0"/>
        <w:rPr>
          <w:rFonts w:hint="eastAsia"/>
          <w:color w:val="auto"/>
          <w:highlight w:val="none"/>
        </w:rPr>
      </w:pPr>
      <w:bookmarkStart w:id="534" w:name="_Toc152045789"/>
      <w:bookmarkStart w:id="535" w:name="_Toc144974858"/>
      <w:bookmarkStart w:id="536" w:name="_Toc152042578"/>
      <w:bookmarkStart w:id="537" w:name="_Toc18358"/>
      <w:bookmarkStart w:id="538" w:name="_Toc247085875"/>
      <w:bookmarkStart w:id="539" w:name="_Toc246997100"/>
      <w:bookmarkStart w:id="540" w:name="_Toc12048"/>
      <w:bookmarkStart w:id="541" w:name="_Toc246996357"/>
      <w:bookmarkStart w:id="542" w:name="_Toc179632809"/>
      <w:bookmarkStart w:id="543" w:name="_Toc296602603"/>
      <w:bookmarkStart w:id="544" w:name="_Toc14262"/>
      <w:r>
        <w:rPr>
          <w:rFonts w:hint="eastAsia"/>
          <w:color w:val="auto"/>
          <w:highlight w:val="none"/>
        </w:rPr>
        <w:t>一</w:t>
      </w:r>
      <w:r>
        <w:rPr>
          <w:rFonts w:hint="eastAsia"/>
          <w:color w:val="auto"/>
          <w:highlight w:val="none"/>
          <w:lang w:eastAsia="zh-CN"/>
        </w:rPr>
        <w:t>、</w:t>
      </w:r>
      <w:r>
        <w:rPr>
          <w:rFonts w:hint="eastAsia"/>
          <w:color w:val="auto"/>
          <w:highlight w:val="none"/>
        </w:rPr>
        <w:t>投标函</w:t>
      </w:r>
      <w:bookmarkEnd w:id="534"/>
      <w:bookmarkEnd w:id="535"/>
      <w:bookmarkEnd w:id="536"/>
      <w:bookmarkEnd w:id="537"/>
      <w:bookmarkEnd w:id="538"/>
      <w:bookmarkEnd w:id="539"/>
      <w:bookmarkEnd w:id="540"/>
      <w:bookmarkEnd w:id="541"/>
      <w:bookmarkEnd w:id="542"/>
      <w:bookmarkEnd w:id="543"/>
    </w:p>
    <w:p w14:paraId="2BEE8264">
      <w:pPr>
        <w:bidi w:val="0"/>
        <w:rPr>
          <w:color w:val="auto"/>
          <w:highlight w:val="none"/>
        </w:rPr>
      </w:pPr>
      <w:r>
        <w:rPr>
          <w:color w:val="auto"/>
          <w:highlight w:val="none"/>
          <w:u w:val="single"/>
        </w:rPr>
        <w:t xml:space="preserve">                        </w:t>
      </w:r>
      <w:r>
        <w:rPr>
          <w:color w:val="auto"/>
          <w:highlight w:val="none"/>
        </w:rPr>
        <w:t>（招标人名称）：</w:t>
      </w:r>
    </w:p>
    <w:p w14:paraId="46D758E9">
      <w:pPr>
        <w:bidi w:val="0"/>
        <w:rPr>
          <w:color w:val="auto"/>
          <w:highlight w:val="none"/>
        </w:rPr>
      </w:pPr>
    </w:p>
    <w:p w14:paraId="107E5220">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r>
        <w:rPr>
          <w:color w:val="auto"/>
          <w:highlight w:val="none"/>
          <w:lang w:val="en-US" w:eastAsia="zh-CN"/>
        </w:rPr>
        <w:t>1．</w:t>
      </w:r>
      <w:r>
        <w:rPr>
          <w:color w:val="auto"/>
          <w:highlight w:val="none"/>
        </w:rPr>
        <w:t>我方已仔细研究了</w:t>
      </w:r>
      <w:r>
        <w:rPr>
          <w:color w:val="auto"/>
          <w:highlight w:val="none"/>
          <w:u w:val="single"/>
        </w:rPr>
        <w:t xml:space="preserve">          </w:t>
      </w:r>
      <w:r>
        <w:rPr>
          <w:color w:val="auto"/>
          <w:highlight w:val="none"/>
        </w:rPr>
        <w:t>（项目名称）招标文件的全部内容，</w:t>
      </w:r>
      <w:r>
        <w:rPr>
          <w:rFonts w:hint="eastAsia"/>
          <w:color w:val="auto"/>
          <w:highlight w:val="none"/>
          <w:lang w:val="en-US" w:eastAsia="zh-CN"/>
        </w:rPr>
        <w:t>投标总报价为</w:t>
      </w:r>
      <w:r>
        <w:rPr>
          <w:color w:val="auto"/>
          <w:highlight w:val="none"/>
        </w:rPr>
        <w:t>人民币（大写）</w:t>
      </w:r>
      <w:r>
        <w:rPr>
          <w:color w:val="auto"/>
          <w:highlight w:val="none"/>
          <w:u w:val="single"/>
        </w:rPr>
        <w:t xml:space="preserve">         </w:t>
      </w:r>
      <w:r>
        <w:rPr>
          <w:color w:val="auto"/>
          <w:highlight w:val="none"/>
        </w:rPr>
        <w:t>（¥</w:t>
      </w:r>
      <w:r>
        <w:rPr>
          <w:color w:val="auto"/>
          <w:highlight w:val="none"/>
          <w:u w:val="single"/>
        </w:rPr>
        <w:t xml:space="preserve">           </w:t>
      </w:r>
      <w:r>
        <w:rPr>
          <w:color w:val="auto"/>
          <w:highlight w:val="none"/>
        </w:rPr>
        <w:t>）（其中，增值税税率为</w:t>
      </w:r>
      <w:r>
        <w:rPr>
          <w:color w:val="auto"/>
          <w:highlight w:val="none"/>
          <w:u w:val="single"/>
        </w:rPr>
        <w:t xml:space="preserve">       </w:t>
      </w:r>
      <w:r>
        <w:rPr>
          <w:color w:val="auto"/>
          <w:highlight w:val="none"/>
        </w:rPr>
        <w:t>）</w:t>
      </w:r>
      <w:r>
        <w:rPr>
          <w:rFonts w:hint="eastAsia"/>
          <w:color w:val="auto"/>
          <w:highlight w:val="none"/>
          <w:lang w:eastAsia="zh-CN"/>
        </w:rPr>
        <w:t>；</w:t>
      </w:r>
      <w:r>
        <w:rPr>
          <w:rFonts w:hint="eastAsia"/>
          <w:color w:val="auto"/>
          <w:highlight w:val="none"/>
          <w:lang w:val="en-US" w:eastAsia="zh-CN"/>
        </w:rPr>
        <w:t>交货期：</w:t>
      </w:r>
      <w:r>
        <w:rPr>
          <w:rFonts w:hint="eastAsia"/>
          <w:color w:val="auto"/>
          <w:highlight w:val="none"/>
          <w:u w:val="single"/>
        </w:rPr>
        <w:t xml:space="preserve"> 收到甲方通知15天内交付设备 </w:t>
      </w:r>
      <w:r>
        <w:rPr>
          <w:rFonts w:hint="eastAsia"/>
          <w:color w:val="auto"/>
          <w:highlight w:val="none"/>
        </w:rPr>
        <w:t>，</w:t>
      </w:r>
      <w:r>
        <w:rPr>
          <w:rFonts w:hint="eastAsia"/>
          <w:color w:val="auto"/>
          <w:highlight w:val="none"/>
          <w:lang w:val="en-US" w:eastAsia="zh-CN"/>
        </w:rPr>
        <w:t>交货地点：</w:t>
      </w:r>
      <w:r>
        <w:rPr>
          <w:rFonts w:hint="eastAsia"/>
          <w:color w:val="auto"/>
          <w:highlight w:val="none"/>
          <w:u w:val="single"/>
        </w:rPr>
        <w:t xml:space="preserve"> 重庆市 </w:t>
      </w:r>
      <w:r>
        <w:rPr>
          <w:rFonts w:hint="eastAsia"/>
          <w:color w:val="auto"/>
          <w:highlight w:val="none"/>
          <w:lang w:eastAsia="zh-CN"/>
        </w:rPr>
        <w:t>，</w:t>
      </w:r>
      <w:r>
        <w:rPr>
          <w:color w:val="auto"/>
          <w:highlight w:val="none"/>
        </w:rPr>
        <w:t>按合同约定</w:t>
      </w:r>
      <w:r>
        <w:rPr>
          <w:rFonts w:hint="eastAsia"/>
          <w:color w:val="auto"/>
          <w:highlight w:val="none"/>
          <w:lang w:val="en-US" w:eastAsia="zh-CN"/>
        </w:rPr>
        <w:t>履行义务</w:t>
      </w:r>
      <w:r>
        <w:rPr>
          <w:color w:val="auto"/>
          <w:highlight w:val="none"/>
        </w:rPr>
        <w:t>。</w:t>
      </w:r>
    </w:p>
    <w:p w14:paraId="0CA721AB">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r>
        <w:rPr>
          <w:color w:val="auto"/>
          <w:highlight w:val="none"/>
          <w:lang w:val="en-US" w:eastAsia="zh-CN"/>
        </w:rPr>
        <w:t>2．</w:t>
      </w:r>
      <w:r>
        <w:rPr>
          <w:color w:val="auto"/>
          <w:highlight w:val="none"/>
        </w:rPr>
        <w:t>我方承诺在</w:t>
      </w:r>
      <w:r>
        <w:rPr>
          <w:rFonts w:hint="eastAsia"/>
          <w:color w:val="auto"/>
          <w:highlight w:val="none"/>
        </w:rPr>
        <w:t>招标文件规定的</w:t>
      </w:r>
      <w:r>
        <w:rPr>
          <w:color w:val="auto"/>
          <w:highlight w:val="none"/>
        </w:rPr>
        <w:t>投标有效期内不撤销投标文件。</w:t>
      </w:r>
    </w:p>
    <w:p w14:paraId="58DF33F0">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r>
        <w:rPr>
          <w:color w:val="auto"/>
          <w:highlight w:val="none"/>
          <w:lang w:val="en-US" w:eastAsia="zh-CN"/>
        </w:rPr>
        <w:t>4．</w:t>
      </w:r>
      <w:r>
        <w:rPr>
          <w:color w:val="auto"/>
          <w:highlight w:val="none"/>
        </w:rPr>
        <w:t>我方承诺</w:t>
      </w:r>
      <w:r>
        <w:rPr>
          <w:rFonts w:hint="eastAsia"/>
          <w:color w:val="auto"/>
          <w:highlight w:val="none"/>
        </w:rPr>
        <w:t>符合招标文件</w:t>
      </w:r>
      <w:r>
        <w:rPr>
          <w:color w:val="auto"/>
          <w:highlight w:val="none"/>
        </w:rPr>
        <w:t>第四章“合同条款及格式”</w:t>
      </w:r>
      <w:r>
        <w:rPr>
          <w:rFonts w:hint="eastAsia"/>
          <w:color w:val="auto"/>
          <w:highlight w:val="none"/>
          <w:lang w:val="en-US" w:eastAsia="zh-CN"/>
        </w:rPr>
        <w:t>中的实质性要求和条件</w:t>
      </w:r>
      <w:r>
        <w:rPr>
          <w:rFonts w:hint="eastAsia"/>
          <w:color w:val="auto"/>
          <w:highlight w:val="none"/>
        </w:rPr>
        <w:t>，投标文件中没有贵单位不能接受的条件。</w:t>
      </w:r>
    </w:p>
    <w:p w14:paraId="4233908C">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r>
        <w:rPr>
          <w:color w:val="auto"/>
          <w:highlight w:val="none"/>
          <w:lang w:val="en-US" w:eastAsia="zh-CN"/>
        </w:rPr>
        <w:t>5．</w:t>
      </w:r>
      <w:r>
        <w:rPr>
          <w:color w:val="auto"/>
          <w:highlight w:val="none"/>
        </w:rPr>
        <w:t>我方承诺</w:t>
      </w:r>
      <w:r>
        <w:rPr>
          <w:rFonts w:hint="eastAsia"/>
          <w:color w:val="auto"/>
          <w:highlight w:val="none"/>
        </w:rPr>
        <w:t>符合招标文件第</w:t>
      </w:r>
      <w:r>
        <w:rPr>
          <w:rFonts w:hint="eastAsia"/>
          <w:color w:val="auto"/>
          <w:highlight w:val="none"/>
          <w:lang w:val="en-US" w:eastAsia="zh-CN"/>
        </w:rPr>
        <w:t>五</w:t>
      </w:r>
      <w:r>
        <w:rPr>
          <w:rFonts w:hint="eastAsia"/>
          <w:color w:val="auto"/>
          <w:highlight w:val="none"/>
        </w:rPr>
        <w:t>章“</w:t>
      </w:r>
      <w:r>
        <w:rPr>
          <w:rFonts w:hint="eastAsia"/>
          <w:color w:val="auto"/>
          <w:highlight w:val="none"/>
          <w:lang w:val="en-US" w:eastAsia="zh-CN"/>
        </w:rPr>
        <w:t>项目要求</w:t>
      </w:r>
      <w:r>
        <w:rPr>
          <w:rFonts w:hint="eastAsia"/>
          <w:color w:val="auto"/>
          <w:highlight w:val="none"/>
        </w:rPr>
        <w:t>”规定</w:t>
      </w:r>
      <w:r>
        <w:rPr>
          <w:rFonts w:hint="eastAsia"/>
          <w:color w:val="auto"/>
          <w:highlight w:val="none"/>
          <w:lang w:eastAsia="zh-CN"/>
        </w:rPr>
        <w:t>的</w:t>
      </w:r>
      <w:r>
        <w:rPr>
          <w:rFonts w:hint="eastAsia"/>
          <w:color w:val="auto"/>
          <w:highlight w:val="none"/>
        </w:rPr>
        <w:t>实质性要求</w:t>
      </w:r>
      <w:r>
        <w:rPr>
          <w:rFonts w:hint="eastAsia"/>
          <w:color w:val="auto"/>
          <w:highlight w:val="none"/>
          <w:lang w:eastAsia="zh-CN"/>
        </w:rPr>
        <w:t>。</w:t>
      </w:r>
    </w:p>
    <w:p w14:paraId="1E0A3C49">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r>
        <w:rPr>
          <w:color w:val="auto"/>
          <w:highlight w:val="none"/>
          <w:lang w:val="en-US" w:eastAsia="zh-CN"/>
        </w:rPr>
        <w:t>7．</w:t>
      </w:r>
      <w:r>
        <w:rPr>
          <w:color w:val="auto"/>
          <w:highlight w:val="none"/>
        </w:rPr>
        <w:t>随同本投标函提交投标保证金一份。</w:t>
      </w:r>
    </w:p>
    <w:p w14:paraId="58C12C9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color w:val="auto"/>
          <w:highlight w:val="none"/>
          <w:lang w:val="en-US" w:eastAsia="zh-CN"/>
        </w:rPr>
      </w:pPr>
      <w:r>
        <w:rPr>
          <w:color w:val="auto"/>
          <w:highlight w:val="none"/>
          <w:lang w:val="en-US" w:eastAsia="zh-CN"/>
        </w:rPr>
        <w:t>8．</w:t>
      </w:r>
      <w:r>
        <w:rPr>
          <w:color w:val="auto"/>
          <w:highlight w:val="none"/>
        </w:rPr>
        <w:t>如我方中标</w:t>
      </w:r>
      <w:r>
        <w:rPr>
          <w:rFonts w:hint="eastAsia"/>
          <w:color w:val="auto"/>
          <w:highlight w:val="none"/>
          <w:lang w:val="en-US" w:eastAsia="zh-CN"/>
        </w:rPr>
        <w:t>，我方承诺：</w:t>
      </w:r>
    </w:p>
    <w:p w14:paraId="377D330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color w:val="auto"/>
          <w:highlight w:val="none"/>
          <w:lang w:val="en-US" w:eastAsia="zh-CN"/>
        </w:rPr>
      </w:pPr>
      <w:r>
        <w:rPr>
          <w:rFonts w:hint="eastAsia"/>
          <w:color w:val="auto"/>
          <w:highlight w:val="none"/>
          <w:lang w:val="en-US" w:eastAsia="zh-CN"/>
        </w:rPr>
        <w:t>（1）在收到中标通知书后，在中标通知书规定的期限内与你方签订合同；</w:t>
      </w:r>
    </w:p>
    <w:p w14:paraId="4563B4F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color w:val="auto"/>
          <w:highlight w:val="none"/>
          <w:lang w:val="en-US" w:eastAsia="zh-CN"/>
        </w:rPr>
      </w:pPr>
      <w:r>
        <w:rPr>
          <w:rFonts w:hint="eastAsia"/>
          <w:color w:val="auto"/>
          <w:highlight w:val="none"/>
          <w:lang w:val="en-US" w:eastAsia="zh-CN"/>
        </w:rPr>
        <w:t>（2）在签订合同时不向你方提出附加条件；</w:t>
      </w:r>
    </w:p>
    <w:p w14:paraId="294EEB0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color w:val="auto"/>
          <w:highlight w:val="none"/>
          <w:lang w:val="en-US" w:eastAsia="zh-CN"/>
        </w:rPr>
      </w:pPr>
      <w:r>
        <w:rPr>
          <w:rFonts w:hint="eastAsia"/>
          <w:color w:val="auto"/>
          <w:highlight w:val="none"/>
          <w:lang w:val="en-US" w:eastAsia="zh-CN"/>
        </w:rPr>
        <w:t>（3）按照招标文件要求提交履约担保；</w:t>
      </w:r>
    </w:p>
    <w:p w14:paraId="35EF485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color w:val="auto"/>
          <w:highlight w:val="none"/>
          <w:lang w:val="en-US" w:eastAsia="zh-CN"/>
        </w:rPr>
      </w:pPr>
      <w:r>
        <w:rPr>
          <w:rFonts w:hint="eastAsia"/>
          <w:color w:val="auto"/>
          <w:highlight w:val="none"/>
          <w:lang w:val="en-US" w:eastAsia="zh-CN"/>
        </w:rPr>
        <w:t>（4）在合同约定的期限内</w:t>
      </w:r>
      <w:r>
        <w:rPr>
          <w:color w:val="auto"/>
          <w:highlight w:val="none"/>
        </w:rPr>
        <w:t>完成合同</w:t>
      </w:r>
      <w:r>
        <w:rPr>
          <w:rFonts w:hint="eastAsia"/>
          <w:color w:val="auto"/>
          <w:highlight w:val="none"/>
          <w:lang w:val="en-US" w:eastAsia="zh-CN"/>
        </w:rPr>
        <w:t>规定的全部义务。</w:t>
      </w:r>
    </w:p>
    <w:p w14:paraId="6BB6A11C">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r>
        <w:rPr>
          <w:color w:val="auto"/>
          <w:highlight w:val="none"/>
          <w:lang w:val="en-US" w:eastAsia="zh-CN"/>
        </w:rPr>
        <w:t>9．</w:t>
      </w:r>
      <w:r>
        <w:rPr>
          <w:rFonts w:hint="eastAsia"/>
          <w:color w:val="auto"/>
          <w:highlight w:val="none"/>
        </w:rPr>
        <w:t>我方在此声明，所递交的投标文件及有关资料内容完整、真实和准确，且不存在第二章“投标人须知”第1.4.3项规定的任何一种情形。</w:t>
      </w:r>
    </w:p>
    <w:tbl>
      <w:tblPr>
        <w:tblStyle w:val="23"/>
        <w:tblpPr w:leftFromText="180" w:rightFromText="180" w:vertAnchor="text" w:horzAnchor="page" w:tblpX="1794" w:tblpY="45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13"/>
        <w:gridCol w:w="960"/>
        <w:gridCol w:w="2549"/>
      </w:tblGrid>
      <w:tr w14:paraId="31EB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973" w:type="dxa"/>
            <w:gridSpan w:val="2"/>
            <w:tcBorders>
              <w:tl2br w:val="nil"/>
              <w:tr2bl w:val="nil"/>
            </w:tcBorders>
          </w:tcPr>
          <w:p w14:paraId="7F20A14F">
            <w:pPr>
              <w:tabs>
                <w:tab w:val="left" w:pos="7140"/>
                <w:tab w:val="left" w:pos="7560"/>
                <w:tab w:val="left" w:pos="8300"/>
              </w:tabs>
              <w:autoSpaceDE w:val="0"/>
              <w:autoSpaceDN w:val="0"/>
              <w:adjustRightInd w:val="0"/>
              <w:spacing w:line="360" w:lineRule="auto"/>
              <w:ind w:firstLine="0" w:firstLineChars="0"/>
              <w:rPr>
                <w:rFonts w:ascii="宋体" w:hAnsi="宋体" w:eastAsia="宋体"/>
                <w:snapToGrid w:val="0"/>
                <w:color w:val="auto"/>
                <w:kern w:val="0"/>
                <w:sz w:val="21"/>
                <w:szCs w:val="21"/>
                <w:highlight w:val="none"/>
                <w:vertAlign w:val="baseline"/>
                <w:lang w:val="en-US" w:eastAsia="zh-CN"/>
              </w:rPr>
            </w:pPr>
            <w:r>
              <w:rPr>
                <w:rFonts w:hint="eastAsia" w:ascii="宋体" w:hAnsi="宋体"/>
                <w:snapToGrid w:val="0"/>
                <w:color w:val="auto"/>
                <w:kern w:val="0"/>
                <w:sz w:val="21"/>
                <w:szCs w:val="21"/>
                <w:highlight w:val="none"/>
                <w:vertAlign w:val="baseline"/>
                <w:lang w:val="en-US" w:eastAsia="zh-CN"/>
              </w:rPr>
              <w:t>投标人:</w:t>
            </w:r>
            <w:r>
              <w:rPr>
                <w:rFonts w:hint="eastAsia" w:ascii="宋体" w:hAnsi="宋体"/>
                <w:snapToGrid w:val="0"/>
                <w:color w:val="auto"/>
                <w:kern w:val="0"/>
                <w:sz w:val="21"/>
                <w:szCs w:val="21"/>
                <w:highlight w:val="none"/>
                <w:u w:val="single"/>
                <w:vertAlign w:val="baseline"/>
                <w:lang w:val="en-US" w:eastAsia="zh-CN"/>
              </w:rPr>
              <w:t xml:space="preserve">                                </w:t>
            </w:r>
          </w:p>
        </w:tc>
        <w:tc>
          <w:tcPr>
            <w:tcW w:w="2549" w:type="dxa"/>
            <w:tcBorders>
              <w:tl2br w:val="nil"/>
              <w:tr2bl w:val="nil"/>
            </w:tcBorders>
          </w:tcPr>
          <w:p w14:paraId="791F4519">
            <w:pPr>
              <w:tabs>
                <w:tab w:val="left" w:pos="7140"/>
                <w:tab w:val="left" w:pos="7560"/>
                <w:tab w:val="left" w:pos="8300"/>
              </w:tabs>
              <w:autoSpaceDE w:val="0"/>
              <w:autoSpaceDN w:val="0"/>
              <w:adjustRightInd w:val="0"/>
              <w:spacing w:line="360" w:lineRule="auto"/>
              <w:ind w:firstLine="0" w:firstLineChars="0"/>
              <w:jc w:val="right"/>
              <w:rPr>
                <w:rFonts w:ascii="宋体" w:hAnsi="宋体"/>
                <w:snapToGrid w:val="0"/>
                <w:color w:val="auto"/>
                <w:kern w:val="0"/>
                <w:sz w:val="21"/>
                <w:szCs w:val="21"/>
                <w:highlight w:val="none"/>
                <w:vertAlign w:val="baseline"/>
              </w:rPr>
            </w:pPr>
            <w:r>
              <w:rPr>
                <w:rFonts w:ascii="宋体" w:hAnsi="宋体"/>
                <w:snapToGrid w:val="0"/>
                <w:color w:val="auto"/>
                <w:kern w:val="0"/>
                <w:sz w:val="21"/>
                <w:szCs w:val="21"/>
                <w:highlight w:val="none"/>
              </w:rPr>
              <w:t>（盖单位法人章）</w:t>
            </w:r>
          </w:p>
        </w:tc>
      </w:tr>
      <w:tr w14:paraId="2542A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13" w:type="dxa"/>
            <w:tcBorders>
              <w:tl2br w:val="nil"/>
              <w:tr2bl w:val="nil"/>
            </w:tcBorders>
          </w:tcPr>
          <w:p w14:paraId="4DFED70B">
            <w:pPr>
              <w:tabs>
                <w:tab w:val="left" w:pos="7140"/>
                <w:tab w:val="left" w:pos="7560"/>
                <w:tab w:val="left" w:pos="8300"/>
              </w:tabs>
              <w:autoSpaceDE w:val="0"/>
              <w:autoSpaceDN w:val="0"/>
              <w:adjustRightInd w:val="0"/>
              <w:spacing w:line="360" w:lineRule="auto"/>
              <w:ind w:firstLine="0" w:firstLineChars="0"/>
              <w:rPr>
                <w:rFonts w:ascii="宋体" w:hAnsi="宋体"/>
                <w:snapToGrid w:val="0"/>
                <w:color w:val="auto"/>
                <w:kern w:val="0"/>
                <w:sz w:val="21"/>
                <w:szCs w:val="21"/>
                <w:highlight w:val="none"/>
                <w:vertAlign w:val="baseline"/>
              </w:rPr>
            </w:pPr>
            <w:r>
              <w:rPr>
                <w:rFonts w:ascii="宋体" w:hAnsi="宋体"/>
                <w:snapToGrid w:val="0"/>
                <w:color w:val="auto"/>
                <w:kern w:val="0"/>
                <w:sz w:val="21"/>
                <w:szCs w:val="21"/>
                <w:highlight w:val="none"/>
              </w:rPr>
              <w:t>法定代表人</w:t>
            </w:r>
            <w:r>
              <w:rPr>
                <w:rFonts w:hint="eastAsia" w:ascii="宋体" w:hAnsi="宋体"/>
                <w:snapToGrid w:val="0"/>
                <w:color w:val="auto"/>
                <w:kern w:val="0"/>
                <w:sz w:val="21"/>
                <w:szCs w:val="21"/>
                <w:highlight w:val="none"/>
              </w:rPr>
              <w:t>或其委托代理人</w:t>
            </w:r>
            <w:r>
              <w:rPr>
                <w:rFonts w:ascii="宋体" w:hAnsi="宋体"/>
                <w:snapToGrid w:val="0"/>
                <w:color w:val="auto"/>
                <w:kern w:val="0"/>
                <w:sz w:val="21"/>
                <w:szCs w:val="21"/>
                <w:highlight w:val="none"/>
              </w:rPr>
              <w:t>：</w:t>
            </w:r>
            <w:r>
              <w:rPr>
                <w:rFonts w:hint="eastAsia" w:ascii="宋体" w:hAnsi="宋体"/>
                <w:snapToGrid w:val="0"/>
                <w:color w:val="auto"/>
                <w:kern w:val="0"/>
                <w:sz w:val="21"/>
                <w:szCs w:val="21"/>
                <w:highlight w:val="none"/>
                <w:u w:val="single"/>
                <w:vertAlign w:val="baseline"/>
                <w:lang w:val="en-US" w:eastAsia="zh-CN"/>
              </w:rPr>
              <w:t xml:space="preserve">                   </w:t>
            </w:r>
            <w:r>
              <w:rPr>
                <w:rFonts w:hint="eastAsia" w:ascii="宋体" w:hAnsi="宋体"/>
                <w:snapToGrid w:val="0"/>
                <w:color w:val="auto"/>
                <w:kern w:val="0"/>
                <w:sz w:val="21"/>
                <w:szCs w:val="21"/>
                <w:highlight w:val="none"/>
                <w:vertAlign w:val="baseline"/>
                <w:lang w:val="en-US" w:eastAsia="zh-CN"/>
              </w:rPr>
              <w:t xml:space="preserve">             </w:t>
            </w:r>
          </w:p>
        </w:tc>
        <w:tc>
          <w:tcPr>
            <w:tcW w:w="3509" w:type="dxa"/>
            <w:gridSpan w:val="2"/>
            <w:tcBorders>
              <w:tl2br w:val="nil"/>
              <w:tr2bl w:val="nil"/>
            </w:tcBorders>
          </w:tcPr>
          <w:p w14:paraId="74B81F51">
            <w:pPr>
              <w:tabs>
                <w:tab w:val="left" w:pos="7140"/>
                <w:tab w:val="left" w:pos="7560"/>
                <w:tab w:val="left" w:pos="8300"/>
              </w:tabs>
              <w:autoSpaceDE w:val="0"/>
              <w:autoSpaceDN w:val="0"/>
              <w:adjustRightInd w:val="0"/>
              <w:spacing w:line="360" w:lineRule="auto"/>
              <w:ind w:firstLine="0" w:firstLineChars="0"/>
              <w:jc w:val="right"/>
              <w:rPr>
                <w:rFonts w:ascii="宋体" w:hAnsi="宋体"/>
                <w:snapToGrid w:val="0"/>
                <w:color w:val="auto"/>
                <w:kern w:val="0"/>
                <w:sz w:val="21"/>
                <w:szCs w:val="21"/>
                <w:highlight w:val="none"/>
                <w:vertAlign w:val="baseline"/>
              </w:rPr>
            </w:pPr>
            <w:r>
              <w:rPr>
                <w:rFonts w:ascii="宋体" w:hAnsi="宋体"/>
                <w:snapToGrid w:val="0"/>
                <w:color w:val="auto"/>
                <w:kern w:val="0"/>
                <w:sz w:val="21"/>
                <w:szCs w:val="21"/>
                <w:highlight w:val="none"/>
              </w:rPr>
              <w:t>（</w:t>
            </w:r>
            <w:r>
              <w:rPr>
                <w:rFonts w:hint="eastAsia" w:ascii="宋体" w:hAnsi="宋体"/>
                <w:snapToGrid w:val="0"/>
                <w:color w:val="auto"/>
                <w:kern w:val="0"/>
                <w:sz w:val="21"/>
                <w:szCs w:val="21"/>
                <w:highlight w:val="none"/>
                <w:lang w:eastAsia="zh-CN"/>
              </w:rPr>
              <w:t>签字</w:t>
            </w:r>
            <w:r>
              <w:rPr>
                <w:rFonts w:ascii="宋体" w:hAnsi="宋体"/>
                <w:snapToGrid w:val="0"/>
                <w:color w:val="auto"/>
                <w:kern w:val="0"/>
                <w:sz w:val="21"/>
                <w:szCs w:val="21"/>
                <w:highlight w:val="none"/>
              </w:rPr>
              <w:t>或盖章）</w:t>
            </w:r>
          </w:p>
        </w:tc>
      </w:tr>
      <w:tr w14:paraId="65BF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3"/>
            <w:tcBorders>
              <w:tl2br w:val="nil"/>
              <w:tr2bl w:val="nil"/>
            </w:tcBorders>
          </w:tcPr>
          <w:p w14:paraId="3CC73DEF">
            <w:pPr>
              <w:tabs>
                <w:tab w:val="left" w:pos="7140"/>
                <w:tab w:val="left" w:pos="7560"/>
                <w:tab w:val="left" w:pos="8300"/>
              </w:tabs>
              <w:autoSpaceDE w:val="0"/>
              <w:autoSpaceDN w:val="0"/>
              <w:adjustRightInd w:val="0"/>
              <w:spacing w:line="360" w:lineRule="auto"/>
              <w:ind w:firstLine="0" w:firstLineChars="0"/>
              <w:rPr>
                <w:rFonts w:ascii="宋体" w:hAnsi="宋体"/>
                <w:snapToGrid w:val="0"/>
                <w:color w:val="auto"/>
                <w:kern w:val="0"/>
                <w:sz w:val="21"/>
                <w:szCs w:val="21"/>
                <w:highlight w:val="none"/>
              </w:rPr>
            </w:pPr>
            <w:r>
              <w:rPr>
                <w:rFonts w:ascii="宋体" w:hAnsi="宋体"/>
                <w:snapToGrid w:val="0"/>
                <w:color w:val="auto"/>
                <w:kern w:val="0"/>
                <w:sz w:val="21"/>
                <w:szCs w:val="21"/>
                <w:highlight w:val="none"/>
              </w:rPr>
              <w:t>地</w:t>
            </w:r>
            <w:r>
              <w:rPr>
                <w:rFonts w:hint="eastAsia" w:ascii="宋体" w:hAnsi="宋体"/>
                <w:snapToGrid w:val="0"/>
                <w:color w:val="auto"/>
                <w:kern w:val="0"/>
                <w:sz w:val="21"/>
                <w:szCs w:val="21"/>
                <w:highlight w:val="none"/>
              </w:rPr>
              <w:t xml:space="preserve">    </w:t>
            </w:r>
            <w:r>
              <w:rPr>
                <w:rFonts w:ascii="宋体" w:hAnsi="宋体"/>
                <w:snapToGrid w:val="0"/>
                <w:color w:val="auto"/>
                <w:kern w:val="0"/>
                <w:sz w:val="21"/>
                <w:szCs w:val="21"/>
                <w:highlight w:val="none"/>
              </w:rPr>
              <w:t>址：</w:t>
            </w:r>
          </w:p>
        </w:tc>
      </w:tr>
      <w:tr w14:paraId="189F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3"/>
            <w:tcBorders>
              <w:tl2br w:val="nil"/>
              <w:tr2bl w:val="nil"/>
            </w:tcBorders>
          </w:tcPr>
          <w:p w14:paraId="2501D386">
            <w:pPr>
              <w:tabs>
                <w:tab w:val="left" w:pos="7140"/>
                <w:tab w:val="left" w:pos="7560"/>
                <w:tab w:val="left" w:pos="8300"/>
              </w:tabs>
              <w:autoSpaceDE w:val="0"/>
              <w:autoSpaceDN w:val="0"/>
              <w:adjustRightInd w:val="0"/>
              <w:spacing w:line="360" w:lineRule="auto"/>
              <w:ind w:firstLine="0" w:firstLineChars="0"/>
              <w:jc w:val="left"/>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单位电话（座机）：</w:t>
            </w:r>
          </w:p>
        </w:tc>
      </w:tr>
      <w:tr w14:paraId="37AA3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3"/>
            <w:tcBorders>
              <w:tl2br w:val="nil"/>
              <w:tr2bl w:val="nil"/>
            </w:tcBorders>
          </w:tcPr>
          <w:p w14:paraId="1B57E95F">
            <w:pPr>
              <w:tabs>
                <w:tab w:val="left" w:pos="7140"/>
                <w:tab w:val="left" w:pos="7560"/>
                <w:tab w:val="left" w:pos="8300"/>
              </w:tabs>
              <w:autoSpaceDE w:val="0"/>
              <w:autoSpaceDN w:val="0"/>
              <w:adjustRightInd w:val="0"/>
              <w:spacing w:line="360" w:lineRule="auto"/>
              <w:ind w:firstLine="0" w:firstLineChars="0"/>
              <w:jc w:val="left"/>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委托代理人电话（手机）：</w:t>
            </w:r>
          </w:p>
        </w:tc>
      </w:tr>
      <w:tr w14:paraId="5199C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3"/>
            <w:tcBorders>
              <w:tl2br w:val="nil"/>
              <w:tr2bl w:val="nil"/>
            </w:tcBorders>
          </w:tcPr>
          <w:p w14:paraId="7D84F254">
            <w:pPr>
              <w:tabs>
                <w:tab w:val="left" w:pos="7140"/>
                <w:tab w:val="left" w:pos="7560"/>
                <w:tab w:val="left" w:pos="8300"/>
              </w:tabs>
              <w:autoSpaceDE w:val="0"/>
              <w:autoSpaceDN w:val="0"/>
              <w:adjustRightInd w:val="0"/>
              <w:spacing w:line="360" w:lineRule="auto"/>
              <w:ind w:firstLine="0" w:firstLineChars="0"/>
              <w:jc w:val="right"/>
              <w:rPr>
                <w:rFonts w:hint="eastAsia" w:ascii="宋体" w:hAnsi="宋体" w:eastAsia="宋体" w:cs="Cambria Math"/>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日</w:t>
            </w:r>
          </w:p>
        </w:tc>
      </w:tr>
    </w:tbl>
    <w:p w14:paraId="3A4AADF2">
      <w:pPr>
        <w:spacing w:line="360" w:lineRule="auto"/>
        <w:ind w:firstLine="0" w:firstLineChars="0"/>
        <w:jc w:val="both"/>
        <w:rPr>
          <w:rFonts w:hint="eastAsia" w:ascii="宋体" w:hAnsi="宋体" w:eastAsia="宋体" w:cs="宋体"/>
          <w:color w:val="auto"/>
          <w:sz w:val="21"/>
          <w:szCs w:val="21"/>
          <w:highlight w:val="none"/>
        </w:rPr>
      </w:pPr>
    </w:p>
    <w:p w14:paraId="28E4473F">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0FE33F39">
      <w:pPr>
        <w:widowControl w:val="0"/>
        <w:kinsoku/>
        <w:autoSpaceDE/>
        <w:autoSpaceDN/>
        <w:adjustRightInd/>
        <w:snapToGrid/>
        <w:spacing w:before="0" w:after="0" w:line="360" w:lineRule="auto"/>
        <w:jc w:val="center"/>
        <w:textAlignment w:val="auto"/>
        <w:rPr>
          <w:rFonts w:hint="eastAsia" w:ascii="宋体" w:eastAsia="宋体" w:cs="Times New Roman"/>
          <w:b w:val="0"/>
          <w:snapToGrid/>
          <w:color w:val="auto"/>
          <w:kern w:val="2"/>
          <w:highlight w:val="none"/>
          <w:lang w:val="en-US" w:eastAsia="zh-CN" w:bidi="ar-SA"/>
        </w:rPr>
      </w:pPr>
      <w:r>
        <w:rPr>
          <w:rFonts w:hint="eastAsia" w:ascii="宋体" w:eastAsia="宋体" w:cs="Times New Roman"/>
          <w:b w:val="0"/>
          <w:snapToGrid/>
          <w:color w:val="auto"/>
          <w:kern w:val="2"/>
          <w:highlight w:val="none"/>
          <w:lang w:val="en-US" w:eastAsia="zh-CN" w:bidi="ar-SA"/>
        </w:rPr>
        <w:br w:type="page"/>
      </w:r>
    </w:p>
    <w:bookmarkEnd w:id="544"/>
    <w:p w14:paraId="2C343962">
      <w:pPr>
        <w:pStyle w:val="29"/>
        <w:bidi w:val="0"/>
        <w:rPr>
          <w:color w:val="auto"/>
          <w:highlight w:val="none"/>
        </w:rPr>
      </w:pPr>
      <w:bookmarkStart w:id="545" w:name="_Toc15116"/>
      <w:bookmarkStart w:id="546" w:name="_Toc3375"/>
      <w:bookmarkStart w:id="547" w:name="_Toc21257"/>
      <w:bookmarkStart w:id="548" w:name="_Toc23458"/>
      <w:bookmarkStart w:id="549" w:name="_Toc152042579"/>
      <w:bookmarkStart w:id="550" w:name="_Toc144974859"/>
      <w:bookmarkStart w:id="551" w:name="_Toc247085876"/>
      <w:bookmarkStart w:id="552" w:name="_Toc16568"/>
      <w:bookmarkStart w:id="553" w:name="_Toc246997101"/>
      <w:bookmarkStart w:id="554" w:name="_Toc246996358"/>
      <w:bookmarkStart w:id="555" w:name="_Toc296602604"/>
      <w:bookmarkStart w:id="556" w:name="_Toc179632810"/>
      <w:bookmarkStart w:id="557" w:name="_Toc152045790"/>
      <w:r>
        <w:rPr>
          <w:rFonts w:hint="eastAsia"/>
          <w:color w:val="auto"/>
          <w:highlight w:val="none"/>
        </w:rPr>
        <w:t>二、报价一览表</w:t>
      </w:r>
      <w:bookmarkEnd w:id="545"/>
      <w:bookmarkEnd w:id="546"/>
      <w:bookmarkEnd w:id="547"/>
      <w:bookmarkEnd w:id="548"/>
    </w:p>
    <w:p w14:paraId="0ECDC6D2">
      <w:pPr>
        <w:spacing w:line="360" w:lineRule="auto"/>
        <w:ind w:right="-29" w:rightChars="-14"/>
        <w:rPr>
          <w:rFonts w:ascii="Times New Roman" w:hAnsi="Times New Roman"/>
          <w:color w:val="auto"/>
          <w:szCs w:val="28"/>
          <w:highlight w:val="none"/>
        </w:rPr>
      </w:pPr>
      <w:bookmarkStart w:id="558" w:name="_Hlk59456849"/>
    </w:p>
    <w:tbl>
      <w:tblPr>
        <w:tblStyle w:val="23"/>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6437"/>
      </w:tblGrid>
      <w:tr w14:paraId="70C7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12936B90">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lang w:eastAsia="zh-CN"/>
              </w:rPr>
              <w:t>投标</w:t>
            </w:r>
            <w:r>
              <w:rPr>
                <w:rFonts w:hint="eastAsia" w:ascii="宋体" w:hAnsi="宋体"/>
                <w:snapToGrid w:val="0"/>
                <w:color w:val="auto"/>
                <w:kern w:val="0"/>
                <w:szCs w:val="24"/>
                <w:highlight w:val="none"/>
              </w:rPr>
              <w:t>人全称</w:t>
            </w:r>
          </w:p>
        </w:tc>
        <w:tc>
          <w:tcPr>
            <w:tcW w:w="6437" w:type="dxa"/>
            <w:tcBorders>
              <w:top w:val="single" w:color="auto" w:sz="4" w:space="0"/>
              <w:left w:val="single" w:color="auto" w:sz="4" w:space="0"/>
              <w:bottom w:val="single" w:color="auto" w:sz="4" w:space="0"/>
              <w:right w:val="single" w:color="auto" w:sz="4" w:space="0"/>
            </w:tcBorders>
            <w:vAlign w:val="center"/>
          </w:tcPr>
          <w:p w14:paraId="6611DB69">
            <w:pPr>
              <w:autoSpaceDE/>
              <w:autoSpaceDN/>
              <w:spacing w:line="360" w:lineRule="auto"/>
              <w:ind w:firstLine="0" w:firstLineChars="0"/>
              <w:jc w:val="center"/>
              <w:rPr>
                <w:rFonts w:ascii="宋体" w:hAnsi="宋体"/>
                <w:color w:val="auto"/>
                <w:szCs w:val="24"/>
                <w:highlight w:val="none"/>
              </w:rPr>
            </w:pPr>
          </w:p>
        </w:tc>
      </w:tr>
      <w:tr w14:paraId="0C30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F97889A">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lang w:eastAsia="zh-CN"/>
              </w:rPr>
              <w:t>招标</w:t>
            </w:r>
            <w:r>
              <w:rPr>
                <w:rFonts w:hint="eastAsia" w:ascii="宋体" w:hAnsi="宋体"/>
                <w:snapToGrid w:val="0"/>
                <w:color w:val="auto"/>
                <w:kern w:val="0"/>
                <w:szCs w:val="24"/>
                <w:highlight w:val="none"/>
              </w:rPr>
              <w:t>项目名称</w:t>
            </w:r>
          </w:p>
        </w:tc>
        <w:tc>
          <w:tcPr>
            <w:tcW w:w="6437" w:type="dxa"/>
            <w:tcBorders>
              <w:top w:val="single" w:color="auto" w:sz="4" w:space="0"/>
              <w:left w:val="single" w:color="auto" w:sz="4" w:space="0"/>
              <w:bottom w:val="single" w:color="auto" w:sz="4" w:space="0"/>
              <w:right w:val="single" w:color="auto" w:sz="4" w:space="0"/>
            </w:tcBorders>
            <w:vAlign w:val="center"/>
          </w:tcPr>
          <w:p w14:paraId="28B81339">
            <w:pPr>
              <w:autoSpaceDE/>
              <w:autoSpaceDN/>
              <w:spacing w:line="360" w:lineRule="auto"/>
              <w:ind w:firstLine="0" w:firstLineChars="0"/>
              <w:jc w:val="center"/>
              <w:rPr>
                <w:rFonts w:ascii="宋体" w:hAnsi="宋体" w:cs="Cambria"/>
                <w:color w:val="auto"/>
                <w:sz w:val="21"/>
                <w:szCs w:val="21"/>
                <w:highlight w:val="none"/>
              </w:rPr>
            </w:pPr>
          </w:p>
        </w:tc>
      </w:tr>
      <w:tr w14:paraId="5F80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14459529">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lang w:eastAsia="zh-CN"/>
              </w:rPr>
              <w:t>投标</w:t>
            </w:r>
            <w:r>
              <w:rPr>
                <w:rFonts w:hint="eastAsia" w:ascii="宋体" w:hAnsi="宋体"/>
                <w:snapToGrid w:val="0"/>
                <w:color w:val="auto"/>
                <w:szCs w:val="24"/>
                <w:highlight w:val="none"/>
                <w:lang w:val="en-US" w:eastAsia="zh-CN"/>
              </w:rPr>
              <w:t>总</w:t>
            </w:r>
            <w:r>
              <w:rPr>
                <w:rFonts w:hint="eastAsia" w:ascii="宋体" w:hAnsi="宋体"/>
                <w:color w:val="auto"/>
                <w:szCs w:val="24"/>
                <w:highlight w:val="none"/>
                <w:lang w:val="en-US" w:eastAsia="zh-CN"/>
              </w:rPr>
              <w:t>报价</w:t>
            </w:r>
            <w:r>
              <w:rPr>
                <w:rFonts w:hint="eastAsia" w:ascii="宋体" w:hAnsi="宋体"/>
                <w:color w:val="auto"/>
                <w:szCs w:val="24"/>
                <w:highlight w:val="none"/>
              </w:rPr>
              <w:t>（含税）</w:t>
            </w:r>
          </w:p>
        </w:tc>
        <w:tc>
          <w:tcPr>
            <w:tcW w:w="6437" w:type="dxa"/>
            <w:tcBorders>
              <w:top w:val="single" w:color="auto" w:sz="4" w:space="0"/>
              <w:left w:val="single" w:color="auto" w:sz="4" w:space="0"/>
              <w:bottom w:val="single" w:color="auto" w:sz="4" w:space="0"/>
              <w:right w:val="single" w:color="auto" w:sz="4" w:space="0"/>
            </w:tcBorders>
            <w:vAlign w:val="center"/>
          </w:tcPr>
          <w:p w14:paraId="723D7E49">
            <w:pPr>
              <w:spacing w:line="360" w:lineRule="auto"/>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元/台</w:t>
            </w:r>
            <w:r>
              <w:rPr>
                <w:rFonts w:hint="eastAsia" w:ascii="Times New Roman" w:hAnsi="Times New Roman"/>
                <w:snapToGrid w:val="0"/>
                <w:color w:val="auto"/>
                <w:kern w:val="0"/>
                <w:szCs w:val="24"/>
                <w:highlight w:val="none"/>
                <w:lang w:val="en-US" w:eastAsia="zh-CN"/>
              </w:rPr>
              <w:t xml:space="preserve"> </w:t>
            </w:r>
            <w:r>
              <w:rPr>
                <w:rFonts w:ascii="Times New Roman" w:hAnsi="Times New Roman"/>
                <w:snapToGrid w:val="0"/>
                <w:color w:val="auto"/>
                <w:kern w:val="0"/>
                <w:szCs w:val="24"/>
                <w:highlight w:val="none"/>
              </w:rPr>
              <w:t>人民币</w:t>
            </w:r>
          </w:p>
          <w:p w14:paraId="2263FE93">
            <w:pPr>
              <w:autoSpaceDE/>
              <w:autoSpaceDN/>
              <w:spacing w:line="360" w:lineRule="auto"/>
              <w:rPr>
                <w:rFonts w:ascii="宋体" w:hAnsi="宋体"/>
                <w:color w:val="auto"/>
                <w:szCs w:val="24"/>
                <w:highlight w:val="none"/>
              </w:rPr>
            </w:pPr>
            <w:r>
              <w:rPr>
                <w:rFonts w:hint="eastAsia" w:ascii="Times New Roman" w:hAnsi="Times New Roman"/>
                <w:snapToGrid w:val="0"/>
                <w:color w:val="auto"/>
                <w:kern w:val="0"/>
                <w:szCs w:val="24"/>
                <w:highlight w:val="none"/>
              </w:rPr>
              <w:t>大写：            元</w:t>
            </w:r>
            <w:r>
              <w:rPr>
                <w:rFonts w:hint="eastAsia" w:ascii="Times New Roman" w:hAnsi="Times New Roman"/>
                <w:snapToGrid w:val="0"/>
                <w:color w:val="auto"/>
                <w:kern w:val="0"/>
                <w:szCs w:val="24"/>
                <w:highlight w:val="none"/>
                <w:lang w:val="en-US" w:eastAsia="zh-CN"/>
              </w:rPr>
              <w:t>每</w:t>
            </w:r>
            <w:r>
              <w:rPr>
                <w:rFonts w:hint="eastAsia" w:ascii="Times New Roman" w:hAnsi="Times New Roman"/>
                <w:snapToGrid w:val="0"/>
                <w:color w:val="auto"/>
                <w:kern w:val="0"/>
                <w:szCs w:val="24"/>
                <w:highlight w:val="none"/>
              </w:rPr>
              <w:t>台</w:t>
            </w:r>
            <w:r>
              <w:rPr>
                <w:rFonts w:hint="eastAsia" w:ascii="Times New Roman" w:hAnsi="Times New Roman"/>
                <w:snapToGrid w:val="0"/>
                <w:color w:val="auto"/>
                <w:kern w:val="0"/>
                <w:szCs w:val="24"/>
                <w:highlight w:val="none"/>
                <w:lang w:val="en-US" w:eastAsia="zh-CN"/>
              </w:rPr>
              <w:t xml:space="preserve"> </w:t>
            </w:r>
            <w:r>
              <w:rPr>
                <w:rFonts w:hint="eastAsia" w:ascii="Times New Roman" w:hAnsi="Times New Roman"/>
                <w:snapToGrid w:val="0"/>
                <w:color w:val="auto"/>
                <w:kern w:val="0"/>
                <w:szCs w:val="24"/>
                <w:highlight w:val="none"/>
              </w:rPr>
              <w:t>人民币</w:t>
            </w:r>
          </w:p>
        </w:tc>
      </w:tr>
      <w:tr w14:paraId="1078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A38D783">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6437" w:type="dxa"/>
            <w:tcBorders>
              <w:top w:val="single" w:color="auto" w:sz="4" w:space="0"/>
              <w:left w:val="single" w:color="auto" w:sz="4" w:space="0"/>
              <w:bottom w:val="single" w:color="auto" w:sz="4" w:space="0"/>
              <w:right w:val="single" w:color="auto" w:sz="4" w:space="0"/>
            </w:tcBorders>
            <w:vAlign w:val="center"/>
          </w:tcPr>
          <w:p w14:paraId="75968D8E">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lang w:val="en-US" w:eastAsia="zh-CN"/>
              </w:rPr>
              <w:t xml:space="preserve"> 13 </w:t>
            </w:r>
            <w:r>
              <w:rPr>
                <w:rFonts w:hint="eastAsia" w:ascii="宋体" w:hAnsi="宋体"/>
                <w:color w:val="auto"/>
                <w:szCs w:val="24"/>
                <w:highlight w:val="none"/>
              </w:rPr>
              <w:t>%的增值税专用发票</w:t>
            </w:r>
          </w:p>
        </w:tc>
      </w:tr>
      <w:tr w14:paraId="40C9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9389" w:type="dxa"/>
            <w:gridSpan w:val="2"/>
            <w:tcBorders>
              <w:top w:val="single" w:color="auto" w:sz="4" w:space="0"/>
              <w:left w:val="single" w:color="auto" w:sz="4" w:space="0"/>
              <w:bottom w:val="single" w:color="auto" w:sz="4" w:space="0"/>
              <w:right w:val="single" w:color="auto" w:sz="4" w:space="0"/>
            </w:tcBorders>
          </w:tcPr>
          <w:p w14:paraId="2574825E">
            <w:pPr>
              <w:autoSpaceDE/>
              <w:autoSpaceDN/>
              <w:spacing w:line="360" w:lineRule="auto"/>
              <w:ind w:firstLine="0" w:firstLineChars="0"/>
              <w:rPr>
                <w:rFonts w:ascii="宋体" w:hAnsi="宋体" w:cs="Times New Roman"/>
                <w:snapToGrid w:val="0"/>
                <w:color w:val="auto"/>
                <w:kern w:val="0"/>
                <w:szCs w:val="24"/>
                <w:highlight w:val="none"/>
              </w:rPr>
            </w:pPr>
          </w:p>
          <w:p w14:paraId="366AC5B1">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7875A29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default" w:eastAsia="宋体"/>
          <w:color w:val="auto"/>
          <w:highlight w:val="none"/>
          <w:lang w:val="en-US" w:eastAsia="zh-CN"/>
        </w:rPr>
      </w:pPr>
      <w:r>
        <w:rPr>
          <w:rFonts w:hint="eastAsia"/>
          <w:color w:val="auto"/>
          <w:highlight w:val="none"/>
          <w:lang w:val="en-US" w:eastAsia="zh-CN"/>
        </w:rPr>
        <w:t>注：投标总报价=</w:t>
      </w:r>
      <w:r>
        <w:rPr>
          <w:rFonts w:hint="eastAsia" w:ascii="宋体" w:hAnsi="宋体" w:eastAsia="宋体" w:cs="宋体"/>
          <w:color w:val="auto"/>
          <w:kern w:val="0"/>
          <w:sz w:val="21"/>
          <w:szCs w:val="21"/>
          <w:highlight w:val="none"/>
          <w:lang w:val="en-US" w:eastAsia="zh-CN" w:bidi="ar-SA"/>
        </w:rPr>
        <w:t>存取款一体机</w:t>
      </w:r>
      <w:r>
        <w:rPr>
          <w:rFonts w:ascii="宋体" w:hAnsi="宋体" w:eastAsia="宋体" w:cs="宋体"/>
          <w:color w:val="auto"/>
          <w:kern w:val="0"/>
          <w:sz w:val="21"/>
          <w:szCs w:val="21"/>
          <w:highlight w:val="none"/>
          <w:lang w:val="en-US" w:eastAsia="zh-CN" w:bidi="ar-SA"/>
        </w:rPr>
        <w:t>（动态密码锁）</w:t>
      </w:r>
      <w:r>
        <w:rPr>
          <w:rFonts w:hint="eastAsia" w:ascii="宋体" w:hAnsi="宋体" w:eastAsia="宋体" w:cs="宋体"/>
          <w:color w:val="auto"/>
          <w:kern w:val="0"/>
          <w:sz w:val="21"/>
          <w:szCs w:val="21"/>
          <w:highlight w:val="none"/>
          <w:lang w:val="en-US" w:eastAsia="zh-CN" w:bidi="ar-SA"/>
        </w:rPr>
        <w:t>报价</w:t>
      </w:r>
      <w:r>
        <w:rPr>
          <w:rFonts w:hint="eastAsia" w:ascii="宋体" w:hAnsi="宋体" w:cs="宋体"/>
          <w:color w:val="auto"/>
          <w:kern w:val="0"/>
          <w:sz w:val="21"/>
          <w:szCs w:val="21"/>
          <w:highlight w:val="none"/>
          <w:lang w:val="en-US" w:eastAsia="zh-CN" w:bidi="ar-SA"/>
        </w:rPr>
        <w:t>+</w:t>
      </w:r>
      <w:r>
        <w:rPr>
          <w:rFonts w:ascii="宋体" w:hAnsi="宋体" w:eastAsia="宋体" w:cs="宋体"/>
          <w:color w:val="auto"/>
          <w:kern w:val="0"/>
          <w:sz w:val="21"/>
          <w:szCs w:val="21"/>
          <w:highlight w:val="none"/>
          <w:lang w:val="en-US" w:eastAsia="zh-CN" w:bidi="ar-SA"/>
        </w:rPr>
        <w:t>动态密码锁（含安装）</w:t>
      </w:r>
      <w:r>
        <w:rPr>
          <w:rFonts w:hint="eastAsia" w:ascii="宋体" w:hAnsi="宋体" w:eastAsia="宋体" w:cs="宋体"/>
          <w:color w:val="auto"/>
          <w:kern w:val="0"/>
          <w:sz w:val="21"/>
          <w:szCs w:val="21"/>
          <w:highlight w:val="none"/>
          <w:lang w:val="en-US" w:eastAsia="zh-CN" w:bidi="ar-SA"/>
        </w:rPr>
        <w:t>报价</w:t>
      </w:r>
      <w:r>
        <w:rPr>
          <w:rFonts w:hint="eastAsia" w:ascii="宋体" w:hAnsi="宋体" w:cs="宋体"/>
          <w:color w:val="auto"/>
          <w:kern w:val="0"/>
          <w:sz w:val="21"/>
          <w:szCs w:val="21"/>
          <w:highlight w:val="none"/>
          <w:lang w:val="en-US" w:eastAsia="zh-CN" w:bidi="ar-SA"/>
        </w:rPr>
        <w:t>+</w:t>
      </w:r>
      <w:r>
        <w:rPr>
          <w:rFonts w:ascii="宋体" w:hAnsi="宋体" w:eastAsia="宋体" w:cs="宋体"/>
          <w:color w:val="auto"/>
          <w:kern w:val="0"/>
          <w:sz w:val="21"/>
          <w:szCs w:val="21"/>
          <w:highlight w:val="none"/>
          <w:lang w:val="en-US" w:eastAsia="zh-CN" w:bidi="ar-SA"/>
        </w:rPr>
        <w:t>存折打印机（含安装）</w:t>
      </w:r>
      <w:r>
        <w:rPr>
          <w:rFonts w:hint="eastAsia" w:ascii="宋体" w:hAnsi="宋体" w:eastAsia="宋体" w:cs="宋体"/>
          <w:color w:val="auto"/>
          <w:kern w:val="0"/>
          <w:sz w:val="21"/>
          <w:szCs w:val="21"/>
          <w:highlight w:val="none"/>
          <w:lang w:val="en-US" w:eastAsia="zh-CN" w:bidi="ar-SA"/>
        </w:rPr>
        <w:t>报价</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循环钞箱</w:t>
      </w:r>
      <w:r>
        <w:rPr>
          <w:rFonts w:hint="eastAsia" w:ascii="宋体" w:hAnsi="宋体" w:cs="宋体"/>
          <w:color w:val="auto"/>
          <w:kern w:val="0"/>
          <w:sz w:val="21"/>
          <w:szCs w:val="21"/>
          <w:highlight w:val="none"/>
          <w:lang w:val="en-US" w:eastAsia="zh-CN" w:bidi="ar-SA"/>
        </w:rPr>
        <w:t>报价</w:t>
      </w:r>
    </w:p>
    <w:p w14:paraId="29552F10">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p>
    <w:p w14:paraId="620E91DB">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r>
        <w:rPr>
          <w:rFonts w:hint="eastAsia"/>
          <w:color w:val="auto"/>
          <w:highlight w:val="none"/>
        </w:rPr>
        <w:t>注：上述税率为推荐税率，因国家政策产生的特殊情况除外，若有税收优惠请附相关凭证。若遇国家税率调整，则保持不含税价不变，重新计算含税价格。</w:t>
      </w:r>
    </w:p>
    <w:bookmarkEnd w:id="558"/>
    <w:p w14:paraId="03FBAEB0">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p>
    <w:p w14:paraId="3C9087FC">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r>
        <w:rPr>
          <w:rFonts w:hint="eastAsia"/>
          <w:color w:val="auto"/>
          <w:highlight w:val="none"/>
          <w:lang w:eastAsia="zh-CN"/>
        </w:rPr>
        <w:t>投标</w:t>
      </w:r>
      <w:r>
        <w:rPr>
          <w:rFonts w:hint="eastAsia"/>
          <w:color w:val="auto"/>
          <w:highlight w:val="none"/>
        </w:rPr>
        <w:t>人：                            法人授权代表：</w:t>
      </w:r>
    </w:p>
    <w:p w14:paraId="4D323363">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r>
        <w:rPr>
          <w:rFonts w:hint="eastAsia"/>
          <w:color w:val="auto"/>
          <w:highlight w:val="none"/>
        </w:rPr>
        <w:t xml:space="preserve">  （公章）                               （</w:t>
      </w:r>
      <w:r>
        <w:rPr>
          <w:rFonts w:hint="eastAsia"/>
          <w:color w:val="auto"/>
          <w:highlight w:val="none"/>
          <w:lang w:val="en-US" w:eastAsia="zh-CN"/>
        </w:rPr>
        <w:t>签字或盖章</w:t>
      </w:r>
      <w:r>
        <w:rPr>
          <w:rFonts w:hint="eastAsia"/>
          <w:color w:val="auto"/>
          <w:highlight w:val="none"/>
        </w:rPr>
        <w:t>）</w:t>
      </w:r>
    </w:p>
    <w:p w14:paraId="719078ED">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r>
        <w:rPr>
          <w:rFonts w:hint="eastAsia"/>
          <w:color w:val="auto"/>
          <w:highlight w:val="none"/>
        </w:rPr>
        <w:t xml:space="preserve">                                     年     月     日</w:t>
      </w:r>
    </w:p>
    <w:p w14:paraId="6BCE0AD9">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p>
    <w:p w14:paraId="69FC0E9A">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p>
    <w:p w14:paraId="7E332D1E">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r>
        <w:rPr>
          <w:rFonts w:hint="eastAsia"/>
          <w:color w:val="auto"/>
          <w:highlight w:val="none"/>
        </w:rPr>
        <w:t>有关说明：</w:t>
      </w:r>
    </w:p>
    <w:p w14:paraId="40F713A5">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r>
        <w:rPr>
          <w:rFonts w:hint="eastAsia"/>
          <w:color w:val="auto"/>
          <w:highlight w:val="none"/>
        </w:rPr>
        <w:t>报价一览表在开标大会上当众宣读，务必填写清楚，准确无误。表格可扩展。</w:t>
      </w:r>
    </w:p>
    <w:p w14:paraId="3A41319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color w:val="auto"/>
          <w:highlight w:val="none"/>
        </w:rPr>
      </w:pPr>
      <w:r>
        <w:rPr>
          <w:rFonts w:hint="eastAsia"/>
          <w:color w:val="auto"/>
          <w:highlight w:val="none"/>
        </w:rPr>
        <w:t>本次报价包含上述维护期，</w:t>
      </w:r>
      <w:r>
        <w:rPr>
          <w:rFonts w:hint="eastAsia"/>
          <w:color w:val="auto"/>
          <w:highlight w:val="none"/>
          <w:lang w:eastAsia="zh-CN"/>
        </w:rPr>
        <w:t>招标</w:t>
      </w:r>
      <w:r>
        <w:rPr>
          <w:rFonts w:hint="eastAsia"/>
          <w:color w:val="auto"/>
          <w:highlight w:val="none"/>
        </w:rPr>
        <w:t>人不再另行支付该维护期内维护费用。</w:t>
      </w:r>
    </w:p>
    <w:p w14:paraId="223812BF">
      <w:pPr>
        <w:tabs>
          <w:tab w:val="left" w:pos="6300"/>
        </w:tabs>
        <w:snapToGrid w:val="0"/>
        <w:spacing w:line="360" w:lineRule="auto"/>
        <w:ind w:right="480"/>
        <w:jc w:val="left"/>
        <w:rPr>
          <w:rFonts w:hint="eastAsia" w:ascii="Times New Roman" w:hAnsi="Times New Roman"/>
          <w:snapToGrid w:val="0"/>
          <w:color w:val="auto"/>
          <w:kern w:val="0"/>
          <w:szCs w:val="24"/>
          <w:highlight w:val="none"/>
        </w:rPr>
      </w:pPr>
    </w:p>
    <w:p w14:paraId="4C940B9E">
      <w:pPr>
        <w:widowControl/>
        <w:ind w:firstLine="0" w:firstLineChars="0"/>
        <w:jc w:val="left"/>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6144"/>
        </w:sectPr>
      </w:pPr>
    </w:p>
    <w:p w14:paraId="16A7138B">
      <w:pPr>
        <w:pStyle w:val="29"/>
        <w:bidi w:val="0"/>
        <w:rPr>
          <w:color w:val="auto"/>
          <w:highlight w:val="none"/>
        </w:rPr>
      </w:pPr>
      <w:bookmarkStart w:id="559" w:name="_Toc16593"/>
      <w:r>
        <w:rPr>
          <w:rFonts w:hint="eastAsia"/>
          <w:color w:val="auto"/>
          <w:highlight w:val="none"/>
          <w:lang w:val="en-US" w:eastAsia="zh-CN"/>
        </w:rPr>
        <w:t>三</w:t>
      </w:r>
      <w:r>
        <w:rPr>
          <w:rFonts w:hint="eastAsia"/>
          <w:color w:val="auto"/>
          <w:highlight w:val="none"/>
          <w:lang w:eastAsia="zh-CN"/>
        </w:rPr>
        <w:t>、</w:t>
      </w:r>
      <w:r>
        <w:rPr>
          <w:rFonts w:hint="eastAsia"/>
          <w:color w:val="auto"/>
          <w:highlight w:val="none"/>
          <w:lang w:val="en-US" w:eastAsia="zh-CN"/>
        </w:rPr>
        <w:t>分项报价表</w:t>
      </w:r>
      <w:bookmarkEnd w:id="549"/>
      <w:bookmarkEnd w:id="550"/>
      <w:bookmarkEnd w:id="551"/>
      <w:bookmarkEnd w:id="552"/>
      <w:bookmarkEnd w:id="553"/>
      <w:bookmarkEnd w:id="554"/>
      <w:bookmarkEnd w:id="555"/>
      <w:bookmarkEnd w:id="556"/>
      <w:bookmarkEnd w:id="557"/>
      <w:bookmarkEnd w:id="559"/>
    </w:p>
    <w:p w14:paraId="57356726">
      <w:pPr>
        <w:bidi w:val="0"/>
        <w:rPr>
          <w:rFonts w:hint="eastAsia"/>
          <w:color w:val="auto"/>
          <w:highlight w:val="none"/>
          <w:lang w:val="en-US" w:eastAsia="zh-CN"/>
        </w:rPr>
      </w:pPr>
      <w:r>
        <w:rPr>
          <w:rFonts w:hint="eastAsia"/>
          <w:color w:val="auto"/>
          <w:highlight w:val="none"/>
          <w:lang w:val="en-US" w:eastAsia="zh-CN"/>
        </w:rPr>
        <w:t>（格式自拟）</w:t>
      </w:r>
    </w:p>
    <w:p w14:paraId="72A7EE93">
      <w:pPr>
        <w:widowControl w:val="0"/>
        <w:kinsoku/>
        <w:autoSpaceDE/>
        <w:autoSpaceDN/>
        <w:adjustRightInd/>
        <w:snapToGrid/>
        <w:spacing w:before="0" w:after="0" w:line="360" w:lineRule="auto"/>
        <w:jc w:val="center"/>
        <w:textAlignment w:val="auto"/>
        <w:rPr>
          <w:rFonts w:hint="eastAsia" w:ascii="宋体" w:eastAsia="宋体" w:cs="Times New Roman"/>
          <w:b w:val="0"/>
          <w:snapToGrid/>
          <w:color w:val="auto"/>
          <w:kern w:val="2"/>
          <w:highlight w:val="none"/>
          <w:lang w:val="en-US" w:eastAsia="zh-CN" w:bidi="ar-SA"/>
        </w:rPr>
      </w:pPr>
      <w:bookmarkStart w:id="560" w:name="_Toc277082645"/>
      <w:bookmarkStart w:id="561" w:name="_Toc287620816"/>
      <w:bookmarkStart w:id="562" w:name="_Toc430530532"/>
      <w:bookmarkStart w:id="563" w:name="_Toc224103497"/>
      <w:bookmarkStart w:id="564" w:name="_Toc18942"/>
      <w:bookmarkStart w:id="565" w:name="_Toc287607869"/>
      <w:r>
        <w:rPr>
          <w:rFonts w:hint="eastAsia" w:ascii="宋体" w:eastAsia="宋体" w:cs="Times New Roman"/>
          <w:b w:val="0"/>
          <w:snapToGrid/>
          <w:color w:val="auto"/>
          <w:kern w:val="2"/>
          <w:highlight w:val="none"/>
          <w:lang w:val="en-US" w:eastAsia="zh-CN" w:bidi="ar-SA"/>
        </w:rPr>
        <w:br w:type="page"/>
      </w:r>
    </w:p>
    <w:bookmarkEnd w:id="560"/>
    <w:bookmarkEnd w:id="561"/>
    <w:bookmarkEnd w:id="562"/>
    <w:bookmarkEnd w:id="563"/>
    <w:bookmarkEnd w:id="564"/>
    <w:bookmarkEnd w:id="565"/>
    <w:p w14:paraId="1ED769A8">
      <w:pPr>
        <w:pStyle w:val="29"/>
        <w:bidi w:val="0"/>
        <w:rPr>
          <w:rFonts w:eastAsia="宋体"/>
          <w:color w:val="auto"/>
          <w:highlight w:val="none"/>
          <w:lang w:val="en-US" w:eastAsia="zh-CN"/>
        </w:rPr>
      </w:pPr>
      <w:bookmarkStart w:id="566" w:name="_Toc28163"/>
      <w:bookmarkStart w:id="567" w:name="_Toc31233"/>
      <w:r>
        <w:rPr>
          <w:rFonts w:hint="eastAsia"/>
          <w:color w:val="auto"/>
          <w:highlight w:val="none"/>
          <w:lang w:val="en-US" w:eastAsia="zh-CN"/>
        </w:rPr>
        <w:t>四</w:t>
      </w:r>
      <w:r>
        <w:rPr>
          <w:rFonts w:hint="eastAsia"/>
          <w:color w:val="auto"/>
          <w:highlight w:val="none"/>
        </w:rPr>
        <w:t>、</w:t>
      </w:r>
      <w:r>
        <w:rPr>
          <w:rFonts w:hint="eastAsia"/>
          <w:color w:val="auto"/>
          <w:highlight w:val="none"/>
          <w:lang w:val="en-US" w:eastAsia="zh-CN"/>
        </w:rPr>
        <w:t>资格性文件</w:t>
      </w:r>
      <w:bookmarkEnd w:id="566"/>
    </w:p>
    <w:p w14:paraId="105E7081">
      <w:pPr>
        <w:pStyle w:val="31"/>
        <w:bidi w:val="0"/>
        <w:rPr>
          <w:rFonts w:hint="eastAsia"/>
          <w:color w:val="auto"/>
          <w:highlight w:val="none"/>
        </w:rPr>
      </w:pPr>
      <w:bookmarkStart w:id="568" w:name="_Toc144974876"/>
      <w:bookmarkStart w:id="569" w:name="_Toc246997116"/>
      <w:bookmarkStart w:id="570" w:name="_Toc246996373"/>
      <w:bookmarkStart w:id="571" w:name="_Toc296602618"/>
      <w:bookmarkStart w:id="572" w:name="_Toc152045808"/>
      <w:bookmarkStart w:id="573" w:name="_Toc247085891"/>
      <w:bookmarkStart w:id="574" w:name="_Toc179632828"/>
      <w:bookmarkStart w:id="575" w:name="_Toc152042597"/>
      <w:bookmarkStart w:id="576" w:name="_Toc30394"/>
      <w:bookmarkStart w:id="577" w:name="_Toc24654"/>
      <w:r>
        <w:rPr>
          <w:rFonts w:hint="eastAsia"/>
          <w:color w:val="auto"/>
          <w:highlight w:val="none"/>
        </w:rPr>
        <w:t>（一）投标人基本情况表</w:t>
      </w:r>
      <w:bookmarkEnd w:id="568"/>
      <w:bookmarkEnd w:id="569"/>
      <w:bookmarkEnd w:id="570"/>
      <w:bookmarkEnd w:id="571"/>
      <w:bookmarkEnd w:id="572"/>
      <w:bookmarkEnd w:id="573"/>
      <w:bookmarkEnd w:id="574"/>
      <w:bookmarkEnd w:id="575"/>
      <w:bookmarkEnd w:id="576"/>
    </w:p>
    <w:tbl>
      <w:tblPr>
        <w:tblStyle w:val="23"/>
        <w:tblW w:w="505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291"/>
        <w:gridCol w:w="901"/>
        <w:gridCol w:w="398"/>
        <w:gridCol w:w="1546"/>
        <w:gridCol w:w="1081"/>
        <w:gridCol w:w="2185"/>
      </w:tblGrid>
      <w:tr w14:paraId="58573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363" w:type="pct"/>
            <w:vAlign w:val="center"/>
          </w:tcPr>
          <w:p w14:paraId="66D84B83">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投标人名称</w:t>
            </w:r>
          </w:p>
        </w:tc>
        <w:tc>
          <w:tcPr>
            <w:tcW w:w="3636" w:type="pct"/>
            <w:gridSpan w:val="5"/>
            <w:vAlign w:val="center"/>
          </w:tcPr>
          <w:p w14:paraId="0C216A6F">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p>
        </w:tc>
      </w:tr>
      <w:tr w14:paraId="49D43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363" w:type="pct"/>
            <w:vAlign w:val="center"/>
          </w:tcPr>
          <w:p w14:paraId="7ABB2B97">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注册资金</w:t>
            </w:r>
          </w:p>
        </w:tc>
        <w:tc>
          <w:tcPr>
            <w:tcW w:w="1693" w:type="pct"/>
            <w:gridSpan w:val="3"/>
            <w:tcBorders>
              <w:top w:val="single" w:color="000000" w:sz="4" w:space="0"/>
              <w:left w:val="single" w:color="000000" w:sz="4" w:space="0"/>
              <w:right w:val="single" w:color="000000" w:sz="4" w:space="0"/>
            </w:tcBorders>
            <w:vAlign w:val="center"/>
          </w:tcPr>
          <w:p w14:paraId="29EEFC02">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p>
        </w:tc>
        <w:tc>
          <w:tcPr>
            <w:tcW w:w="643" w:type="pct"/>
            <w:tcBorders>
              <w:top w:val="single" w:color="000000" w:sz="4" w:space="0"/>
              <w:left w:val="single" w:color="000000" w:sz="4" w:space="0"/>
              <w:right w:val="single" w:color="000000" w:sz="4" w:space="0"/>
            </w:tcBorders>
            <w:vAlign w:val="center"/>
          </w:tcPr>
          <w:p w14:paraId="5FF8297E">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成立时间</w:t>
            </w:r>
          </w:p>
        </w:tc>
        <w:tc>
          <w:tcPr>
            <w:tcW w:w="1299" w:type="pct"/>
            <w:vAlign w:val="center"/>
          </w:tcPr>
          <w:p w14:paraId="35F05CC2">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p>
        </w:tc>
      </w:tr>
      <w:tr w14:paraId="74560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363" w:type="pct"/>
            <w:vAlign w:val="center"/>
          </w:tcPr>
          <w:p w14:paraId="0D9397D5">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注册地址</w:t>
            </w:r>
          </w:p>
        </w:tc>
        <w:tc>
          <w:tcPr>
            <w:tcW w:w="3636" w:type="pct"/>
            <w:gridSpan w:val="5"/>
            <w:vAlign w:val="center"/>
          </w:tcPr>
          <w:p w14:paraId="374B9FF1">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p>
        </w:tc>
      </w:tr>
      <w:tr w14:paraId="0ACAA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363" w:type="pct"/>
            <w:tcBorders>
              <w:top w:val="nil"/>
            </w:tcBorders>
            <w:vAlign w:val="center"/>
          </w:tcPr>
          <w:p w14:paraId="5BFB5633">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邮政编码</w:t>
            </w:r>
          </w:p>
        </w:tc>
        <w:tc>
          <w:tcPr>
            <w:tcW w:w="1693" w:type="pct"/>
            <w:gridSpan w:val="3"/>
            <w:tcBorders>
              <w:top w:val="single" w:color="000000" w:sz="4" w:space="0"/>
              <w:left w:val="single" w:color="000000" w:sz="4" w:space="0"/>
              <w:right w:val="single" w:color="000000" w:sz="4" w:space="0"/>
            </w:tcBorders>
            <w:vAlign w:val="center"/>
          </w:tcPr>
          <w:p w14:paraId="4AD258ED">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p>
        </w:tc>
        <w:tc>
          <w:tcPr>
            <w:tcW w:w="643" w:type="pct"/>
            <w:tcBorders>
              <w:top w:val="single" w:color="000000" w:sz="4" w:space="0"/>
              <w:left w:val="single" w:color="000000" w:sz="4" w:space="0"/>
              <w:right w:val="single" w:color="000000" w:sz="4" w:space="0"/>
            </w:tcBorders>
            <w:vAlign w:val="center"/>
          </w:tcPr>
          <w:p w14:paraId="42DB9EBF">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员工总数</w:t>
            </w:r>
          </w:p>
        </w:tc>
        <w:tc>
          <w:tcPr>
            <w:tcW w:w="1299" w:type="pct"/>
            <w:vAlign w:val="center"/>
          </w:tcPr>
          <w:p w14:paraId="231A73AB">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p>
        </w:tc>
      </w:tr>
      <w:tr w14:paraId="3800E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363" w:type="pct"/>
            <w:vMerge w:val="restart"/>
            <w:vAlign w:val="center"/>
          </w:tcPr>
          <w:p w14:paraId="7C89D89D">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sz w:val="21"/>
                <w:szCs w:val="21"/>
                <w:highlight w:val="none"/>
              </w:rPr>
            </w:pPr>
          </w:p>
          <w:p w14:paraId="6A5FD987">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联系方式</w:t>
            </w:r>
          </w:p>
        </w:tc>
        <w:tc>
          <w:tcPr>
            <w:tcW w:w="536" w:type="pct"/>
            <w:tcBorders>
              <w:top w:val="single" w:color="000000" w:sz="4" w:space="0"/>
              <w:left w:val="single" w:color="000000" w:sz="4" w:space="0"/>
              <w:right w:val="single" w:color="000000" w:sz="4" w:space="0"/>
            </w:tcBorders>
            <w:vAlign w:val="center"/>
          </w:tcPr>
          <w:p w14:paraId="23D30146">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联系人</w:t>
            </w:r>
          </w:p>
        </w:tc>
        <w:tc>
          <w:tcPr>
            <w:tcW w:w="1157" w:type="pct"/>
            <w:gridSpan w:val="2"/>
            <w:tcBorders>
              <w:top w:val="single" w:color="000000" w:sz="4" w:space="0"/>
              <w:left w:val="single" w:color="000000" w:sz="4" w:space="0"/>
              <w:right w:val="single" w:color="000000" w:sz="4" w:space="0"/>
            </w:tcBorders>
            <w:vAlign w:val="center"/>
          </w:tcPr>
          <w:p w14:paraId="671F1BB0">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p>
        </w:tc>
        <w:tc>
          <w:tcPr>
            <w:tcW w:w="643" w:type="pct"/>
            <w:tcBorders>
              <w:top w:val="single" w:color="000000" w:sz="4" w:space="0"/>
              <w:left w:val="single" w:color="000000" w:sz="4" w:space="0"/>
              <w:right w:val="single" w:color="000000" w:sz="4" w:space="0"/>
            </w:tcBorders>
            <w:vAlign w:val="center"/>
          </w:tcPr>
          <w:p w14:paraId="637609FA">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电话</w:t>
            </w:r>
          </w:p>
        </w:tc>
        <w:tc>
          <w:tcPr>
            <w:tcW w:w="1299" w:type="pct"/>
            <w:vAlign w:val="center"/>
          </w:tcPr>
          <w:p w14:paraId="65E0AF16">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p>
        </w:tc>
      </w:tr>
      <w:tr w14:paraId="36BAA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363" w:type="pct"/>
            <w:vMerge w:val="continue"/>
            <w:vAlign w:val="center"/>
          </w:tcPr>
          <w:p w14:paraId="15CB1C47">
            <w:pPr>
              <w:keepNext w:val="0"/>
              <w:keepLines w:val="0"/>
              <w:pageBreakBefore w:val="0"/>
              <w:widowControl w:val="0"/>
              <w:kinsoku/>
              <w:wordWrap/>
              <w:overflowPunct/>
              <w:topLinePunct w:val="0"/>
              <w:autoSpaceDE w:val="0"/>
              <w:autoSpaceDN w:val="0"/>
              <w:bidi w:val="0"/>
              <w:adjustRightInd/>
              <w:snapToGrid/>
              <w:spacing w:line="360" w:lineRule="auto"/>
              <w:textAlignment w:val="auto"/>
              <w:rPr>
                <w:color w:val="auto"/>
                <w:highlight w:val="none"/>
              </w:rPr>
            </w:pPr>
          </w:p>
        </w:tc>
        <w:tc>
          <w:tcPr>
            <w:tcW w:w="536" w:type="pct"/>
            <w:tcBorders>
              <w:top w:val="single" w:color="000000" w:sz="4" w:space="0"/>
              <w:left w:val="single" w:color="000000" w:sz="4" w:space="0"/>
              <w:right w:val="single" w:color="000000" w:sz="4" w:space="0"/>
            </w:tcBorders>
            <w:vAlign w:val="center"/>
          </w:tcPr>
          <w:p w14:paraId="1EE9B18E">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网址</w:t>
            </w:r>
          </w:p>
        </w:tc>
        <w:tc>
          <w:tcPr>
            <w:tcW w:w="1157" w:type="pct"/>
            <w:gridSpan w:val="2"/>
            <w:tcBorders>
              <w:top w:val="single" w:color="000000" w:sz="4" w:space="0"/>
              <w:left w:val="single" w:color="000000" w:sz="4" w:space="0"/>
              <w:right w:val="single" w:color="000000" w:sz="4" w:space="0"/>
            </w:tcBorders>
            <w:vAlign w:val="center"/>
          </w:tcPr>
          <w:p w14:paraId="29F3D184">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p>
        </w:tc>
        <w:tc>
          <w:tcPr>
            <w:tcW w:w="643" w:type="pct"/>
            <w:tcBorders>
              <w:top w:val="single" w:color="000000" w:sz="4" w:space="0"/>
              <w:left w:val="single" w:color="000000" w:sz="4" w:space="0"/>
              <w:right w:val="single" w:color="000000" w:sz="4" w:space="0"/>
            </w:tcBorders>
            <w:vAlign w:val="center"/>
          </w:tcPr>
          <w:p w14:paraId="71E75E4C">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传真</w:t>
            </w:r>
          </w:p>
        </w:tc>
        <w:tc>
          <w:tcPr>
            <w:tcW w:w="1299" w:type="pct"/>
            <w:vAlign w:val="center"/>
          </w:tcPr>
          <w:p w14:paraId="2F186D01">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p>
        </w:tc>
      </w:tr>
      <w:tr w14:paraId="78CE1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363" w:type="pct"/>
            <w:vAlign w:val="center"/>
          </w:tcPr>
          <w:p w14:paraId="1FC2EB9A">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66E15600">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（单位负责人）</w:t>
            </w:r>
          </w:p>
        </w:tc>
        <w:tc>
          <w:tcPr>
            <w:tcW w:w="536" w:type="pct"/>
            <w:tcBorders>
              <w:top w:val="single" w:color="000000" w:sz="4" w:space="0"/>
              <w:left w:val="single" w:color="000000" w:sz="4" w:space="0"/>
              <w:right w:val="single" w:color="000000" w:sz="4" w:space="0"/>
            </w:tcBorders>
            <w:vAlign w:val="center"/>
          </w:tcPr>
          <w:p w14:paraId="40266459">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sz w:val="21"/>
                <w:szCs w:val="21"/>
                <w:highlight w:val="none"/>
              </w:rPr>
            </w:pPr>
          </w:p>
          <w:p w14:paraId="7252AA5C">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姓名</w:t>
            </w:r>
          </w:p>
        </w:tc>
        <w:tc>
          <w:tcPr>
            <w:tcW w:w="1157" w:type="pct"/>
            <w:gridSpan w:val="2"/>
            <w:tcBorders>
              <w:top w:val="single" w:color="000000" w:sz="4" w:space="0"/>
              <w:left w:val="single" w:color="000000" w:sz="4" w:space="0"/>
              <w:right w:val="single" w:color="000000" w:sz="4" w:space="0"/>
            </w:tcBorders>
            <w:vAlign w:val="center"/>
          </w:tcPr>
          <w:p w14:paraId="3824F252">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sz w:val="21"/>
                <w:szCs w:val="21"/>
                <w:highlight w:val="none"/>
              </w:rPr>
            </w:pPr>
          </w:p>
        </w:tc>
        <w:tc>
          <w:tcPr>
            <w:tcW w:w="643" w:type="pct"/>
            <w:tcBorders>
              <w:top w:val="single" w:color="000000" w:sz="4" w:space="0"/>
              <w:left w:val="single" w:color="000000" w:sz="4" w:space="0"/>
              <w:right w:val="single" w:color="000000" w:sz="4" w:space="0"/>
            </w:tcBorders>
            <w:vAlign w:val="center"/>
          </w:tcPr>
          <w:p w14:paraId="4953F667">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sz w:val="21"/>
                <w:szCs w:val="21"/>
                <w:highlight w:val="none"/>
              </w:rPr>
            </w:pPr>
          </w:p>
          <w:p w14:paraId="60D8EF13">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299" w:type="pct"/>
            <w:vAlign w:val="center"/>
          </w:tcPr>
          <w:p w14:paraId="34B7F9AC">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sz w:val="21"/>
                <w:szCs w:val="21"/>
                <w:highlight w:val="none"/>
              </w:rPr>
            </w:pPr>
          </w:p>
        </w:tc>
      </w:tr>
      <w:tr w14:paraId="6D0BB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136" w:type="pct"/>
            <w:gridSpan w:val="3"/>
            <w:vAlign w:val="center"/>
          </w:tcPr>
          <w:p w14:paraId="4901ED83">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基本账户开户银行</w:t>
            </w:r>
          </w:p>
        </w:tc>
        <w:tc>
          <w:tcPr>
            <w:tcW w:w="2863" w:type="pct"/>
            <w:gridSpan w:val="3"/>
            <w:vAlign w:val="center"/>
          </w:tcPr>
          <w:p w14:paraId="623F29DD">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p>
        </w:tc>
      </w:tr>
      <w:tr w14:paraId="4ABA7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136" w:type="pct"/>
            <w:gridSpan w:val="3"/>
            <w:vAlign w:val="center"/>
          </w:tcPr>
          <w:p w14:paraId="41756E25">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基本账户银行账号</w:t>
            </w:r>
          </w:p>
        </w:tc>
        <w:tc>
          <w:tcPr>
            <w:tcW w:w="2863" w:type="pct"/>
            <w:gridSpan w:val="3"/>
            <w:vAlign w:val="center"/>
          </w:tcPr>
          <w:p w14:paraId="3FA1CA0D">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p>
        </w:tc>
      </w:tr>
      <w:tr w14:paraId="1342A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136" w:type="pct"/>
            <w:gridSpan w:val="3"/>
            <w:vAlign w:val="center"/>
          </w:tcPr>
          <w:p w14:paraId="59148563">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近三年营业额</w:t>
            </w:r>
          </w:p>
        </w:tc>
        <w:tc>
          <w:tcPr>
            <w:tcW w:w="2863" w:type="pct"/>
            <w:gridSpan w:val="3"/>
            <w:vAlign w:val="center"/>
          </w:tcPr>
          <w:p w14:paraId="63D5BEBE">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p>
        </w:tc>
      </w:tr>
      <w:tr w14:paraId="364CA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136" w:type="pct"/>
            <w:gridSpan w:val="3"/>
            <w:vAlign w:val="center"/>
          </w:tcPr>
          <w:p w14:paraId="2AF41F39">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投标人关联企业情况</w:t>
            </w:r>
          </w:p>
          <w:p w14:paraId="4F2607B4">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（包括但不限于与投标人法定代表人（单位负责人）为同一人或者存在控股、管理</w:t>
            </w:r>
          </w:p>
          <w:p w14:paraId="2B859FDE">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关系的不同单位）</w:t>
            </w:r>
          </w:p>
        </w:tc>
        <w:tc>
          <w:tcPr>
            <w:tcW w:w="2863" w:type="pct"/>
            <w:gridSpan w:val="3"/>
            <w:vAlign w:val="center"/>
          </w:tcPr>
          <w:p w14:paraId="130F29C1">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p>
        </w:tc>
      </w:tr>
      <w:tr w14:paraId="654CB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136" w:type="pct"/>
            <w:gridSpan w:val="3"/>
            <w:vAlign w:val="center"/>
          </w:tcPr>
          <w:p w14:paraId="44BB1FE6">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制造商名称</w:t>
            </w:r>
          </w:p>
        </w:tc>
        <w:tc>
          <w:tcPr>
            <w:tcW w:w="2863" w:type="pct"/>
            <w:gridSpan w:val="3"/>
            <w:vAlign w:val="center"/>
          </w:tcPr>
          <w:p w14:paraId="1F8FF50F">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p>
        </w:tc>
      </w:tr>
      <w:tr w14:paraId="5952D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136" w:type="pct"/>
            <w:gridSpan w:val="3"/>
            <w:vAlign w:val="center"/>
          </w:tcPr>
          <w:p w14:paraId="1E4B7449">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备注</w:t>
            </w:r>
          </w:p>
        </w:tc>
        <w:tc>
          <w:tcPr>
            <w:tcW w:w="2863" w:type="pct"/>
            <w:gridSpan w:val="3"/>
            <w:vAlign w:val="center"/>
          </w:tcPr>
          <w:p w14:paraId="4064A16F">
            <w:pPr>
              <w:pStyle w:val="28"/>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highlight w:val="none"/>
              </w:rPr>
            </w:pPr>
          </w:p>
        </w:tc>
      </w:tr>
    </w:tbl>
    <w:p w14:paraId="6A43EC37">
      <w:pPr>
        <w:rPr>
          <w:rFonts w:hint="eastAsia"/>
          <w:color w:val="auto"/>
          <w:highlight w:val="none"/>
        </w:rPr>
      </w:pPr>
    </w:p>
    <w:p w14:paraId="4DAA1AA5">
      <w:pPr>
        <w:pStyle w:val="13"/>
        <w:rPr>
          <w:rFonts w:hint="eastAsia"/>
          <w:color w:val="auto"/>
          <w:highlight w:val="none"/>
        </w:rPr>
      </w:pPr>
      <w:r>
        <w:rPr>
          <w:rFonts w:hint="eastAsia"/>
          <w:color w:val="auto"/>
          <w:highlight w:val="none"/>
        </w:rPr>
        <w:t>注：根据投标人须知1.4.1对投标</w:t>
      </w:r>
      <w:r>
        <w:rPr>
          <w:rFonts w:hint="eastAsia" w:eastAsia="宋体"/>
          <w:color w:val="auto"/>
          <w:highlight w:val="none"/>
          <w:lang w:val="en-US" w:eastAsia="zh-CN"/>
        </w:rPr>
        <w:t>资质</w:t>
      </w:r>
      <w:r>
        <w:rPr>
          <w:rFonts w:hint="eastAsia"/>
          <w:color w:val="auto"/>
          <w:highlight w:val="none"/>
        </w:rPr>
        <w:t>要求，投标人应在本表后附相关证明材料扫描件。</w:t>
      </w:r>
    </w:p>
    <w:p w14:paraId="30801A1F">
      <w:pPr>
        <w:rPr>
          <w:rFonts w:hint="eastAsia"/>
          <w:color w:val="auto"/>
          <w:highlight w:val="none"/>
        </w:rPr>
      </w:pPr>
    </w:p>
    <w:p w14:paraId="7B645C0E">
      <w:pPr>
        <w:rPr>
          <w:rFonts w:hint="eastAsia"/>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6144"/>
        </w:sectPr>
      </w:pPr>
    </w:p>
    <w:p w14:paraId="04DCD8CB">
      <w:pPr>
        <w:pStyle w:val="31"/>
        <w:bidi w:val="0"/>
        <w:rPr>
          <w:rFonts w:hint="eastAsia"/>
          <w:color w:val="auto"/>
          <w:highlight w:val="none"/>
          <w:lang w:val="en-US" w:eastAsia="zh-CN"/>
        </w:rPr>
      </w:pPr>
      <w:r>
        <w:rPr>
          <w:rFonts w:hint="eastAsia"/>
          <w:color w:val="auto"/>
          <w:highlight w:val="none"/>
          <w:lang w:val="en-US" w:eastAsia="zh-CN"/>
        </w:rPr>
        <w:t>（二）法定代表人/分支机构负责人身份证明或授权委托书</w:t>
      </w:r>
      <w:bookmarkEnd w:id="577"/>
    </w:p>
    <w:p w14:paraId="7EDEBF58">
      <w:pPr>
        <w:pStyle w:val="32"/>
        <w:bidi w:val="0"/>
        <w:rPr>
          <w:rFonts w:hint="eastAsia"/>
          <w:color w:val="auto"/>
          <w:highlight w:val="none"/>
          <w:lang w:val="en-US" w:eastAsia="zh-CN"/>
        </w:rPr>
      </w:pPr>
      <w:bookmarkStart w:id="578" w:name="_Toc8175"/>
      <w:r>
        <w:rPr>
          <w:rFonts w:hint="eastAsia"/>
          <w:color w:val="auto"/>
          <w:highlight w:val="none"/>
          <w:lang w:val="en-US" w:eastAsia="zh-CN"/>
        </w:rPr>
        <w:t>法定代表人/分支机构负责人身份证明</w:t>
      </w:r>
      <w:bookmarkEnd w:id="578"/>
    </w:p>
    <w:p w14:paraId="005C8819">
      <w:pPr>
        <w:bidi w:val="0"/>
        <w:rPr>
          <w:rFonts w:hint="eastAsia"/>
          <w:color w:val="auto"/>
          <w:highlight w:val="none"/>
        </w:rPr>
      </w:pPr>
    </w:p>
    <w:p w14:paraId="7CAAE891">
      <w:pPr>
        <w:bidi w:val="0"/>
        <w:rPr>
          <w:color w:val="auto"/>
          <w:highlight w:val="none"/>
          <w:lang w:val="en-US" w:eastAsia="zh-CN"/>
        </w:rPr>
      </w:pPr>
      <w:r>
        <w:rPr>
          <w:color w:val="auto"/>
          <w:highlight w:val="none"/>
        </w:rPr>
        <w:t>投标人名称：</w:t>
      </w:r>
      <w:r>
        <w:rPr>
          <w:rFonts w:hint="eastAsia"/>
          <w:color w:val="auto"/>
          <w:highlight w:val="none"/>
          <w:lang w:val="en-US" w:eastAsia="zh-CN"/>
        </w:rPr>
        <w:t xml:space="preserve">                  </w:t>
      </w:r>
    </w:p>
    <w:p w14:paraId="702469A3">
      <w:pPr>
        <w:bidi w:val="0"/>
        <w:rPr>
          <w:color w:val="auto"/>
          <w:highlight w:val="none"/>
        </w:rPr>
      </w:pPr>
      <w:r>
        <w:rPr>
          <w:color w:val="auto"/>
          <w:highlight w:val="none"/>
        </w:rPr>
        <w:t>姓名：</w:t>
      </w:r>
      <w:r>
        <w:rPr>
          <w:rFonts w:hint="eastAsia"/>
          <w:color w:val="auto"/>
          <w:highlight w:val="none"/>
          <w:lang w:val="en-US" w:eastAsia="zh-CN"/>
        </w:rPr>
        <w:t xml:space="preserve">                  </w:t>
      </w:r>
      <w:r>
        <w:rPr>
          <w:color w:val="auto"/>
          <w:highlight w:val="none"/>
        </w:rPr>
        <w:t>性别：</w:t>
      </w:r>
      <w:r>
        <w:rPr>
          <w:rFonts w:hint="eastAsia"/>
          <w:color w:val="auto"/>
          <w:highlight w:val="none"/>
          <w:lang w:val="en-US" w:eastAsia="zh-CN"/>
        </w:rPr>
        <w:t xml:space="preserve">       </w:t>
      </w:r>
      <w:r>
        <w:rPr>
          <w:color w:val="auto"/>
          <w:highlight w:val="none"/>
        </w:rPr>
        <w:t>年龄：</w:t>
      </w:r>
      <w:r>
        <w:rPr>
          <w:rFonts w:hint="eastAsia"/>
          <w:color w:val="auto"/>
          <w:highlight w:val="none"/>
          <w:lang w:val="en-US" w:eastAsia="zh-CN"/>
        </w:rPr>
        <w:t xml:space="preserve">       </w:t>
      </w:r>
      <w:r>
        <w:rPr>
          <w:color w:val="auto"/>
          <w:highlight w:val="none"/>
        </w:rPr>
        <w:t>职务：</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r>
        <w:rPr>
          <w:color w:val="auto"/>
          <w:highlight w:val="none"/>
        </w:rPr>
        <w:t>系</w:t>
      </w:r>
      <w:r>
        <w:rPr>
          <w:rFonts w:hint="eastAsia"/>
          <w:color w:val="auto"/>
          <w:highlight w:val="none"/>
        </w:rPr>
        <w:t xml:space="preserve">                          </w:t>
      </w:r>
      <w:r>
        <w:rPr>
          <w:color w:val="auto"/>
          <w:highlight w:val="none"/>
        </w:rPr>
        <w:t xml:space="preserve"> （投标人名称）的法定代表人</w:t>
      </w:r>
      <w:r>
        <w:rPr>
          <w:rFonts w:hint="eastAsia"/>
          <w:color w:val="auto"/>
          <w:highlight w:val="none"/>
          <w:lang w:val="en-US" w:eastAsia="zh-CN"/>
        </w:rPr>
        <w:t>/分支机构负责人</w:t>
      </w:r>
      <w:r>
        <w:rPr>
          <w:color w:val="auto"/>
          <w:highlight w:val="none"/>
        </w:rPr>
        <w:t>。</w:t>
      </w:r>
    </w:p>
    <w:p w14:paraId="1B1FDDCB">
      <w:pPr>
        <w:bidi w:val="0"/>
        <w:rPr>
          <w:color w:val="auto"/>
          <w:highlight w:val="none"/>
        </w:rPr>
      </w:pPr>
      <w:r>
        <w:rPr>
          <w:color w:val="auto"/>
          <w:highlight w:val="none"/>
        </w:rPr>
        <w:t>特此证明。</w:t>
      </w:r>
    </w:p>
    <w:p w14:paraId="73BBCACE">
      <w:pPr>
        <w:bidi w:val="0"/>
        <w:rPr>
          <w:color w:val="auto"/>
          <w:highlight w:val="none"/>
        </w:rPr>
      </w:pPr>
      <w:r>
        <w:rPr>
          <w:rFonts w:hint="eastAsia"/>
          <w:color w:val="auto"/>
          <w:highlight w:val="none"/>
        </w:rPr>
        <w:t>附：法定代表人</w:t>
      </w:r>
      <w:r>
        <w:rPr>
          <w:rFonts w:hint="eastAsia"/>
          <w:color w:val="auto"/>
          <w:highlight w:val="none"/>
          <w:lang w:val="en-US" w:eastAsia="zh-CN"/>
        </w:rPr>
        <w:t>/分支机构负责人</w:t>
      </w:r>
      <w:r>
        <w:rPr>
          <w:rFonts w:hint="eastAsia"/>
          <w:color w:val="auto"/>
          <w:highlight w:val="none"/>
        </w:rPr>
        <w:t>身份证扫描件（双面）</w:t>
      </w:r>
    </w:p>
    <w:p w14:paraId="58B512C7">
      <w:pPr>
        <w:bidi w:val="0"/>
        <w:rPr>
          <w:color w:val="auto"/>
          <w:highlight w:val="none"/>
        </w:rPr>
      </w:pPr>
    </w:p>
    <w:p w14:paraId="1E8EC97E">
      <w:pPr>
        <w:bidi w:val="0"/>
        <w:rPr>
          <w:color w:val="auto"/>
          <w:highlight w:val="none"/>
        </w:rPr>
      </w:pPr>
    </w:p>
    <w:p w14:paraId="59FB0DF2">
      <w:pPr>
        <w:bidi w:val="0"/>
        <w:rPr>
          <w:color w:val="auto"/>
          <w:highlight w:val="none"/>
        </w:rPr>
      </w:pPr>
    </w:p>
    <w:p w14:paraId="129F89C4">
      <w:pPr>
        <w:bidi w:val="0"/>
        <w:rPr>
          <w:color w:val="auto"/>
          <w:highlight w:val="none"/>
        </w:rPr>
      </w:pPr>
    </w:p>
    <w:p w14:paraId="3A5C52A2">
      <w:pPr>
        <w:bidi w:val="0"/>
        <w:rPr>
          <w:color w:val="auto"/>
          <w:highlight w:val="none"/>
        </w:rPr>
      </w:pPr>
      <w:r>
        <w:rPr>
          <w:color w:val="auto"/>
          <w:highlight w:val="none"/>
        </w:rPr>
        <w:t>投标人：</w:t>
      </w:r>
      <w:r>
        <w:rPr>
          <w:rFonts w:hint="eastAsia"/>
          <w:color w:val="auto"/>
          <w:highlight w:val="none"/>
        </w:rPr>
        <w:t xml:space="preserve">                          </w:t>
      </w:r>
      <w:r>
        <w:rPr>
          <w:color w:val="auto"/>
          <w:highlight w:val="none"/>
        </w:rPr>
        <w:t>（盖单位</w:t>
      </w:r>
      <w:r>
        <w:rPr>
          <w:rFonts w:hint="eastAsia"/>
          <w:color w:val="auto"/>
          <w:highlight w:val="none"/>
          <w:lang w:val="en-US" w:eastAsia="zh-CN"/>
        </w:rPr>
        <w:t>公</w:t>
      </w:r>
      <w:r>
        <w:rPr>
          <w:color w:val="auto"/>
          <w:highlight w:val="none"/>
        </w:rPr>
        <w:t>章）</w:t>
      </w:r>
    </w:p>
    <w:p w14:paraId="2599A88F">
      <w:pPr>
        <w:bidi w:val="0"/>
        <w:rPr>
          <w:color w:val="auto"/>
          <w:highlight w:val="none"/>
        </w:rPr>
      </w:pPr>
    </w:p>
    <w:p w14:paraId="18A96FA0">
      <w:pPr>
        <w:bidi w:val="0"/>
        <w:rPr>
          <w:color w:val="auto"/>
          <w:highlight w:val="none"/>
        </w:rPr>
      </w:pPr>
      <w:r>
        <w:rPr>
          <w:rFonts w:hint="eastAsia"/>
          <w:color w:val="auto"/>
          <w:highlight w:val="none"/>
        </w:rPr>
        <w:t xml:space="preserve">                          </w:t>
      </w:r>
      <w:r>
        <w:rPr>
          <w:color w:val="auto"/>
          <w:highlight w:val="none"/>
        </w:rPr>
        <w:t>年</w:t>
      </w:r>
      <w:r>
        <w:rPr>
          <w:rFonts w:hint="eastAsia"/>
          <w:color w:val="auto"/>
          <w:highlight w:val="none"/>
        </w:rPr>
        <w:t xml:space="preserve">    </w:t>
      </w:r>
      <w:r>
        <w:rPr>
          <w:color w:val="auto"/>
          <w:highlight w:val="none"/>
        </w:rPr>
        <w:t xml:space="preserve"> 月     日</w:t>
      </w:r>
      <w:r>
        <w:rPr>
          <w:rFonts w:hint="eastAsia"/>
          <w:color w:val="auto"/>
          <w:highlight w:val="none"/>
        </w:rPr>
        <w:t xml:space="preserve">  </w:t>
      </w:r>
    </w:p>
    <w:p w14:paraId="565F7B01">
      <w:pPr>
        <w:bidi w:val="0"/>
        <w:rPr>
          <w:color w:val="auto"/>
          <w:highlight w:val="none"/>
        </w:rPr>
      </w:pPr>
    </w:p>
    <w:p w14:paraId="2C0742C9">
      <w:pPr>
        <w:bidi w:val="0"/>
        <w:rPr>
          <w:color w:val="auto"/>
          <w:highlight w:val="none"/>
        </w:rPr>
      </w:pPr>
    </w:p>
    <w:p w14:paraId="7F50670A">
      <w:pPr>
        <w:bidi w:val="0"/>
        <w:rPr>
          <w:color w:val="auto"/>
          <w:highlight w:val="none"/>
        </w:rPr>
      </w:pPr>
      <w:r>
        <w:rPr>
          <w:color w:val="auto"/>
          <w:highlight w:val="none"/>
        </w:rPr>
        <w:t>注：法定代表人</w:t>
      </w:r>
      <w:r>
        <w:rPr>
          <w:rFonts w:hint="eastAsia"/>
          <w:color w:val="auto"/>
          <w:highlight w:val="none"/>
          <w:lang w:val="en-US" w:eastAsia="zh-CN"/>
        </w:rPr>
        <w:t>/分支机构负责人</w:t>
      </w:r>
      <w:r>
        <w:rPr>
          <w:color w:val="auto"/>
          <w:highlight w:val="none"/>
        </w:rPr>
        <w:t>身份证明需按上述格式填写完整，不可缺少内容。在此基础上增加内容的不影响其有效性。</w:t>
      </w:r>
    </w:p>
    <w:p w14:paraId="6268006E">
      <w:pPr>
        <w:bidi w:val="0"/>
        <w:rPr>
          <w:color w:val="auto"/>
          <w:highlight w:val="none"/>
        </w:rPr>
      </w:pPr>
      <w:r>
        <w:rPr>
          <w:color w:val="auto"/>
          <w:highlight w:val="none"/>
        </w:rPr>
        <w:br w:type="page"/>
      </w:r>
    </w:p>
    <w:p w14:paraId="1193C6BA">
      <w:pPr>
        <w:pStyle w:val="32"/>
        <w:bidi w:val="0"/>
        <w:rPr>
          <w:rFonts w:hint="eastAsia"/>
          <w:color w:val="auto"/>
          <w:highlight w:val="none"/>
          <w:lang w:val="en-US" w:eastAsia="zh-CN"/>
        </w:rPr>
      </w:pPr>
      <w:bookmarkStart w:id="579" w:name="_Toc17278"/>
      <w:bookmarkStart w:id="580" w:name="_Toc2898"/>
      <w:r>
        <w:rPr>
          <w:rFonts w:hint="eastAsia"/>
          <w:color w:val="auto"/>
          <w:highlight w:val="none"/>
          <w:lang w:val="en-US" w:eastAsia="zh-CN"/>
        </w:rPr>
        <w:t>授权委托书</w:t>
      </w:r>
      <w:bookmarkEnd w:id="579"/>
      <w:r>
        <w:rPr>
          <w:rFonts w:hint="eastAsia"/>
          <w:color w:val="auto"/>
          <w:highlight w:val="none"/>
          <w:lang w:val="en-US" w:eastAsia="zh-CN"/>
        </w:rPr>
        <w:t>（如有）</w:t>
      </w:r>
      <w:bookmarkEnd w:id="580"/>
    </w:p>
    <w:p w14:paraId="2A2424D6">
      <w:pPr>
        <w:bidi w:val="0"/>
        <w:rPr>
          <w:color w:val="auto"/>
          <w:highlight w:val="none"/>
          <w:lang w:val="en-US" w:eastAsia="zh-CN"/>
        </w:rPr>
      </w:pPr>
      <w:r>
        <w:rPr>
          <w:rFonts w:hint="eastAsia"/>
          <w:color w:val="auto"/>
          <w:highlight w:val="none"/>
          <w:lang w:val="en-US" w:eastAsia="zh-CN"/>
        </w:rPr>
        <w:t>（</w:t>
      </w:r>
      <w:r>
        <w:rPr>
          <w:color w:val="auto"/>
          <w:highlight w:val="none"/>
          <w:lang w:val="en-US" w:eastAsia="zh-CN"/>
        </w:rPr>
        <w:t>适用于有委托代理人的情况</w:t>
      </w:r>
      <w:r>
        <w:rPr>
          <w:rFonts w:hint="eastAsia"/>
          <w:color w:val="auto"/>
          <w:highlight w:val="none"/>
          <w:lang w:val="en-US" w:eastAsia="zh-CN"/>
        </w:rPr>
        <w:t>时采用）</w:t>
      </w:r>
    </w:p>
    <w:p w14:paraId="6208768A">
      <w:pPr>
        <w:bidi w:val="0"/>
        <w:rPr>
          <w:color w:val="auto"/>
          <w:highlight w:val="none"/>
        </w:rPr>
      </w:pPr>
    </w:p>
    <w:p w14:paraId="1E8DC08D">
      <w:pPr>
        <w:bidi w:val="0"/>
        <w:jc w:val="left"/>
        <w:rPr>
          <w:rFonts w:hint="eastAsia"/>
          <w:color w:val="auto"/>
          <w:highlight w:val="none"/>
        </w:rPr>
      </w:pPr>
      <w:r>
        <w:rPr>
          <w:rFonts w:hint="eastAsia"/>
          <w:color w:val="auto"/>
          <w:highlight w:val="none"/>
        </w:rPr>
        <w:t>本人</w:t>
      </w:r>
      <w:r>
        <w:rPr>
          <w:rFonts w:hint="eastAsia"/>
          <w:color w:val="auto"/>
          <w:highlight w:val="none"/>
          <w:u w:val="single"/>
        </w:rPr>
        <w:t xml:space="preserve">              </w:t>
      </w:r>
      <w:r>
        <w:rPr>
          <w:rFonts w:hint="eastAsia"/>
          <w:color w:val="auto"/>
          <w:highlight w:val="none"/>
        </w:rPr>
        <w:t>（姓名）系</w:t>
      </w:r>
      <w:r>
        <w:rPr>
          <w:rFonts w:hint="eastAsia"/>
          <w:color w:val="auto"/>
          <w:highlight w:val="none"/>
          <w:u w:val="single"/>
        </w:rPr>
        <w:t xml:space="preserve">                     </w:t>
      </w:r>
      <w:r>
        <w:rPr>
          <w:rFonts w:hint="eastAsia"/>
          <w:color w:val="auto"/>
          <w:highlight w:val="none"/>
        </w:rPr>
        <w:t>（投标人名称）的法定代表人（</w:t>
      </w:r>
      <w:r>
        <w:rPr>
          <w:rFonts w:hint="eastAsia"/>
          <w:color w:val="auto"/>
          <w:highlight w:val="none"/>
          <w:lang w:val="en-US" w:eastAsia="zh-CN"/>
        </w:rPr>
        <w:t>分支机构负责人</w:t>
      </w:r>
      <w:r>
        <w:rPr>
          <w:rFonts w:hint="eastAsia"/>
          <w:color w:val="auto"/>
          <w:highlight w:val="none"/>
        </w:rPr>
        <w:t>），现委托</w:t>
      </w:r>
      <w:r>
        <w:rPr>
          <w:rFonts w:hint="eastAsia"/>
          <w:color w:val="auto"/>
          <w:highlight w:val="none"/>
          <w:u w:val="single"/>
        </w:rPr>
        <w:t xml:space="preserve">             </w:t>
      </w:r>
      <w:r>
        <w:rPr>
          <w:rFonts w:hint="eastAsia"/>
          <w:color w:val="auto"/>
          <w:highlight w:val="none"/>
        </w:rPr>
        <w:t>（姓名）为我方代理人。代理人根据授权，</w:t>
      </w:r>
      <w:r>
        <w:rPr>
          <w:color w:val="auto"/>
          <w:highlight w:val="none"/>
        </w:rPr>
        <w:t>以我方名义签署、澄清、说明、补正、递交、撤回、修改</w:t>
      </w:r>
      <w:r>
        <w:rPr>
          <w:rFonts w:hint="eastAsia"/>
          <w:color w:val="auto"/>
          <w:highlight w:val="none"/>
          <w:u w:val="single"/>
          <w:lang w:val="en-US" w:eastAsia="zh-CN"/>
        </w:rPr>
        <w:t xml:space="preserve">                  </w:t>
      </w:r>
      <w:r>
        <w:rPr>
          <w:color w:val="auto"/>
          <w:highlight w:val="none"/>
          <w:u w:val="single"/>
        </w:rPr>
        <w:t>（项目名称）</w:t>
      </w:r>
      <w:r>
        <w:rPr>
          <w:color w:val="auto"/>
          <w:highlight w:val="none"/>
        </w:rPr>
        <w:t>投标文件、签订合同和处理有关事宜，其法律后果由我方承担</w:t>
      </w:r>
      <w:r>
        <w:rPr>
          <w:rFonts w:hint="eastAsia"/>
          <w:color w:val="auto"/>
          <w:highlight w:val="none"/>
        </w:rPr>
        <w:t>。</w:t>
      </w:r>
    </w:p>
    <w:p w14:paraId="3C01983A">
      <w:pPr>
        <w:bidi w:val="0"/>
        <w:rPr>
          <w:rFonts w:hint="eastAsia"/>
          <w:color w:val="auto"/>
          <w:highlight w:val="none"/>
        </w:rPr>
      </w:pPr>
      <w:r>
        <w:rPr>
          <w:rFonts w:hint="eastAsia"/>
          <w:color w:val="auto"/>
          <w:highlight w:val="none"/>
        </w:rPr>
        <w:t>委托期限：</w:t>
      </w:r>
      <w:r>
        <w:rPr>
          <w:rFonts w:hint="eastAsia"/>
          <w:color w:val="auto"/>
          <w:highlight w:val="none"/>
          <w:u w:val="single"/>
          <w:lang w:val="en-US" w:eastAsia="zh-CN"/>
        </w:rPr>
        <w:t xml:space="preserve">                 </w:t>
      </w:r>
      <w:r>
        <w:rPr>
          <w:rFonts w:hint="eastAsia"/>
          <w:color w:val="auto"/>
          <w:highlight w:val="none"/>
        </w:rPr>
        <w:t>。</w:t>
      </w:r>
    </w:p>
    <w:p w14:paraId="5B7379E6">
      <w:pPr>
        <w:bidi w:val="0"/>
        <w:rPr>
          <w:rFonts w:hint="eastAsia"/>
          <w:color w:val="auto"/>
          <w:highlight w:val="none"/>
        </w:rPr>
      </w:pPr>
      <w:r>
        <w:rPr>
          <w:rFonts w:hint="eastAsia"/>
          <w:color w:val="auto"/>
          <w:highlight w:val="none"/>
        </w:rPr>
        <w:t>代理人无转委托权。</w:t>
      </w:r>
    </w:p>
    <w:p w14:paraId="33AF1AC7">
      <w:pPr>
        <w:bidi w:val="0"/>
        <w:rPr>
          <w:rFonts w:hint="eastAsia"/>
          <w:color w:val="auto"/>
          <w:highlight w:val="none"/>
        </w:rPr>
      </w:pPr>
    </w:p>
    <w:p w14:paraId="55F20609">
      <w:pPr>
        <w:bidi w:val="0"/>
        <w:rPr>
          <w:rFonts w:hint="eastAsia"/>
          <w:color w:val="auto"/>
          <w:highlight w:val="none"/>
        </w:rPr>
      </w:pPr>
    </w:p>
    <w:p w14:paraId="65396002">
      <w:pPr>
        <w:bidi w:val="0"/>
        <w:rPr>
          <w:rFonts w:hint="eastAsia"/>
          <w:color w:val="auto"/>
          <w:highlight w:val="none"/>
        </w:rPr>
      </w:pPr>
    </w:p>
    <w:p w14:paraId="2FD74245">
      <w:pPr>
        <w:bidi w:val="0"/>
        <w:rPr>
          <w:rFonts w:hint="eastAsia"/>
          <w:color w:val="auto"/>
          <w:highlight w:val="none"/>
        </w:rPr>
      </w:pPr>
    </w:p>
    <w:p w14:paraId="1D52814F">
      <w:pPr>
        <w:bidi w:val="0"/>
        <w:rPr>
          <w:rFonts w:hint="eastAsia"/>
          <w:color w:val="auto"/>
          <w:highlight w:val="none"/>
          <w:lang w:eastAsia="zh-CN"/>
        </w:rPr>
      </w:pPr>
    </w:p>
    <w:p w14:paraId="7FF3AB61">
      <w:pPr>
        <w:bidi w:val="0"/>
        <w:rPr>
          <w:rFonts w:hint="eastAsia"/>
          <w:color w:val="auto"/>
          <w:highlight w:val="none"/>
        </w:rPr>
      </w:pPr>
      <w:r>
        <w:rPr>
          <w:rFonts w:hint="eastAsia"/>
          <w:color w:val="auto"/>
          <w:highlight w:val="none"/>
        </w:rPr>
        <w:t>投  标  人：</w:t>
      </w:r>
      <w:r>
        <w:rPr>
          <w:rFonts w:hint="eastAsia"/>
          <w:color w:val="auto"/>
          <w:highlight w:val="none"/>
          <w:lang w:val="en-US" w:eastAsia="zh-CN"/>
        </w:rPr>
        <w:t xml:space="preserve">                                       </w:t>
      </w:r>
      <w:r>
        <w:rPr>
          <w:rFonts w:hint="eastAsia"/>
          <w:color w:val="auto"/>
          <w:highlight w:val="none"/>
        </w:rPr>
        <w:t>（盖单位法人章）</w:t>
      </w:r>
    </w:p>
    <w:p w14:paraId="5AFAC09C">
      <w:pPr>
        <w:bidi w:val="0"/>
        <w:rPr>
          <w:rFonts w:hint="eastAsia"/>
          <w:color w:val="auto"/>
          <w:highlight w:val="none"/>
        </w:rPr>
      </w:pPr>
      <w:r>
        <w:rPr>
          <w:rFonts w:hint="eastAsia"/>
          <w:color w:val="auto"/>
          <w:highlight w:val="none"/>
        </w:rPr>
        <w:t>法定代表人</w:t>
      </w:r>
      <w:r>
        <w:rPr>
          <w:rFonts w:hint="eastAsia"/>
          <w:color w:val="auto"/>
          <w:highlight w:val="none"/>
          <w:lang w:val="en-US" w:eastAsia="zh-CN"/>
        </w:rPr>
        <w:t>/分支机构负责人</w:t>
      </w: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（签字或盖章）</w:t>
      </w:r>
    </w:p>
    <w:p w14:paraId="6A4FE108">
      <w:pPr>
        <w:bidi w:val="0"/>
        <w:rPr>
          <w:rFonts w:hint="eastAsia"/>
          <w:color w:val="auto"/>
          <w:highlight w:val="none"/>
        </w:rPr>
      </w:pPr>
      <w:r>
        <w:rPr>
          <w:rFonts w:hint="eastAsia"/>
          <w:color w:val="auto"/>
          <w:highlight w:val="none"/>
        </w:rPr>
        <w:t>身份证号码：</w:t>
      </w:r>
      <w:r>
        <w:rPr>
          <w:rFonts w:hint="eastAsia"/>
          <w:color w:val="auto"/>
          <w:highlight w:val="none"/>
          <w:lang w:val="en-US" w:eastAsia="zh-CN"/>
        </w:rPr>
        <w:t xml:space="preserve">                                         </w:t>
      </w:r>
    </w:p>
    <w:p w14:paraId="75EFA277">
      <w:pPr>
        <w:bidi w:val="0"/>
        <w:rPr>
          <w:rFonts w:hint="eastAsia"/>
          <w:color w:val="auto"/>
          <w:highlight w:val="none"/>
        </w:rPr>
      </w:pPr>
      <w:r>
        <w:rPr>
          <w:rFonts w:hint="eastAsia"/>
          <w:color w:val="auto"/>
          <w:highlight w:val="none"/>
        </w:rPr>
        <w:t>委托代理人：</w:t>
      </w:r>
      <w:r>
        <w:rPr>
          <w:rFonts w:hint="eastAsia"/>
          <w:color w:val="auto"/>
          <w:highlight w:val="none"/>
          <w:lang w:val="en-US" w:eastAsia="zh-CN"/>
        </w:rPr>
        <w:t xml:space="preserve">                                         </w:t>
      </w:r>
      <w:r>
        <w:rPr>
          <w:rFonts w:hint="eastAsia"/>
          <w:color w:val="auto"/>
          <w:highlight w:val="none"/>
        </w:rPr>
        <w:t>（签字</w:t>
      </w:r>
      <w:r>
        <w:rPr>
          <w:rFonts w:hint="eastAsia"/>
          <w:color w:val="auto"/>
          <w:highlight w:val="none"/>
          <w:lang w:val="en-US" w:eastAsia="zh-CN"/>
        </w:rPr>
        <w:t>或盖章</w:t>
      </w:r>
      <w:r>
        <w:rPr>
          <w:rFonts w:hint="eastAsia"/>
          <w:color w:val="auto"/>
          <w:highlight w:val="none"/>
        </w:rPr>
        <w:t>）</w:t>
      </w:r>
    </w:p>
    <w:p w14:paraId="6561060D">
      <w:pPr>
        <w:bidi w:val="0"/>
        <w:rPr>
          <w:rFonts w:hint="eastAsia"/>
          <w:color w:val="auto"/>
          <w:highlight w:val="none"/>
        </w:rPr>
      </w:pPr>
      <w:r>
        <w:rPr>
          <w:rFonts w:hint="eastAsia"/>
          <w:color w:val="auto"/>
          <w:highlight w:val="none"/>
        </w:rPr>
        <w:t>身份证号码：</w:t>
      </w:r>
      <w:r>
        <w:rPr>
          <w:rFonts w:hint="eastAsia"/>
          <w:color w:val="auto"/>
          <w:highlight w:val="none"/>
          <w:lang w:val="en-US" w:eastAsia="zh-CN"/>
        </w:rPr>
        <w:t xml:space="preserve">                                         </w:t>
      </w:r>
    </w:p>
    <w:p w14:paraId="563E04FF">
      <w:pPr>
        <w:bidi w:val="0"/>
        <w:jc w:val="right"/>
        <w:rPr>
          <w:rFonts w:hint="eastAsia"/>
          <w:color w:val="auto"/>
          <w:highlight w:val="none"/>
        </w:rPr>
      </w:pP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 xml:space="preserve">日 </w:t>
      </w:r>
    </w:p>
    <w:p w14:paraId="3BCD57DA">
      <w:pPr>
        <w:bidi w:val="0"/>
        <w:rPr>
          <w:rFonts w:hint="eastAsia"/>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6144"/>
        </w:sectPr>
      </w:pPr>
    </w:p>
    <w:p w14:paraId="32182A80">
      <w:pPr>
        <w:bidi w:val="0"/>
        <w:rPr>
          <w:rFonts w:hint="eastAsia"/>
          <w:color w:val="auto"/>
          <w:highlight w:val="none"/>
        </w:rPr>
      </w:pPr>
    </w:p>
    <w:p w14:paraId="49710422">
      <w:pPr>
        <w:bidi w:val="0"/>
        <w:rPr>
          <w:rFonts w:hint="eastAsia"/>
          <w:color w:val="auto"/>
          <w:highlight w:val="none"/>
        </w:rPr>
      </w:pPr>
      <w:r>
        <w:rPr>
          <w:rFonts w:hint="eastAsia"/>
          <w:color w:val="auto"/>
          <w:highlight w:val="none"/>
        </w:rPr>
        <w:t>附：法定代表人及委托代理人身份证扫描件（双面）</w:t>
      </w:r>
    </w:p>
    <w:p w14:paraId="7D81ED38">
      <w:pPr>
        <w:bidi w:val="0"/>
        <w:rPr>
          <w:rFonts w:hint="eastAsia"/>
          <w:color w:val="auto"/>
          <w:highlight w:val="none"/>
          <w:lang w:val="en-US" w:eastAsia="zh-CN"/>
        </w:rPr>
      </w:pPr>
      <w:r>
        <w:rPr>
          <w:rFonts w:hint="eastAsia"/>
          <w:color w:val="auto"/>
          <w:highlight w:val="none"/>
          <w:lang w:val="en-US" w:eastAsia="zh-CN"/>
        </w:rPr>
        <w:t>1.法定代表人（分支机构负责人）身份证扫描件：</w:t>
      </w:r>
    </w:p>
    <w:p w14:paraId="4953843C">
      <w:pPr>
        <w:bidi w:val="0"/>
        <w:rPr>
          <w:color w:val="auto"/>
          <w:highlight w:val="none"/>
          <w:lang w:val="en-US" w:eastAsia="zh-CN"/>
        </w:rPr>
      </w:pPr>
    </w:p>
    <w:p w14:paraId="4B853365">
      <w:pPr>
        <w:bidi w:val="0"/>
        <w:rPr>
          <w:color w:val="auto"/>
          <w:highlight w:val="none"/>
          <w:lang w:val="en-US" w:eastAsia="zh-CN"/>
        </w:rPr>
      </w:pPr>
    </w:p>
    <w:p w14:paraId="02285C9D">
      <w:pPr>
        <w:bidi w:val="0"/>
        <w:rPr>
          <w:color w:val="auto"/>
          <w:highlight w:val="none"/>
          <w:lang w:val="en-US" w:eastAsia="zh-CN"/>
        </w:rPr>
      </w:pPr>
    </w:p>
    <w:p w14:paraId="07ADD3A2">
      <w:pPr>
        <w:bidi w:val="0"/>
        <w:rPr>
          <w:color w:val="auto"/>
          <w:highlight w:val="none"/>
          <w:lang w:val="en-US" w:eastAsia="zh-CN"/>
        </w:rPr>
      </w:pPr>
    </w:p>
    <w:p w14:paraId="0043D85B">
      <w:pPr>
        <w:bidi w:val="0"/>
        <w:rPr>
          <w:rFonts w:hint="eastAsia"/>
          <w:color w:val="auto"/>
          <w:highlight w:val="none"/>
          <w:lang w:val="en-US" w:eastAsia="zh-CN"/>
        </w:rPr>
      </w:pPr>
      <w:r>
        <w:rPr>
          <w:rFonts w:hint="eastAsia"/>
          <w:color w:val="auto"/>
          <w:highlight w:val="none"/>
          <w:lang w:val="en-US" w:eastAsia="zh-CN"/>
        </w:rPr>
        <w:t>2.委托代理人身份证扫描件：</w:t>
      </w:r>
    </w:p>
    <w:p w14:paraId="38AD0E0B">
      <w:pPr>
        <w:bidi w:val="0"/>
        <w:rPr>
          <w:color w:val="auto"/>
          <w:highlight w:val="none"/>
          <w:lang w:val="en-US" w:eastAsia="zh-CN"/>
        </w:rPr>
      </w:pPr>
    </w:p>
    <w:p w14:paraId="545206BE">
      <w:pPr>
        <w:bidi w:val="0"/>
        <w:rPr>
          <w:color w:val="auto"/>
          <w:highlight w:val="none"/>
          <w:lang w:val="en-US" w:eastAsia="zh-CN"/>
        </w:rPr>
      </w:pPr>
    </w:p>
    <w:p w14:paraId="417BC4AC">
      <w:pPr>
        <w:bidi w:val="0"/>
        <w:rPr>
          <w:color w:val="auto"/>
          <w:highlight w:val="none"/>
          <w:lang w:val="en-US" w:eastAsia="zh-CN"/>
        </w:rPr>
      </w:pPr>
    </w:p>
    <w:p w14:paraId="6F2D9949">
      <w:pPr>
        <w:bidi w:val="0"/>
        <w:rPr>
          <w:color w:val="auto"/>
          <w:highlight w:val="none"/>
          <w:lang w:val="en-US" w:eastAsia="zh-CN"/>
        </w:rPr>
      </w:pPr>
    </w:p>
    <w:p w14:paraId="07F29969">
      <w:pPr>
        <w:bidi w:val="0"/>
        <w:rPr>
          <w:rFonts w:hint="eastAsia"/>
          <w:color w:val="auto"/>
          <w:highlight w:val="none"/>
        </w:rPr>
      </w:pPr>
      <w:r>
        <w:rPr>
          <w:rFonts w:hint="eastAsia"/>
          <w:color w:val="auto"/>
          <w:highlight w:val="none"/>
        </w:rPr>
        <w:t>注：1、法定代表人</w:t>
      </w:r>
      <w:r>
        <w:rPr>
          <w:rFonts w:hint="eastAsia"/>
          <w:color w:val="auto"/>
          <w:highlight w:val="none"/>
          <w:lang w:val="en-US" w:eastAsia="zh-CN"/>
        </w:rPr>
        <w:t>/分支机构负责人</w:t>
      </w:r>
      <w:r>
        <w:rPr>
          <w:rFonts w:hint="eastAsia"/>
          <w:color w:val="auto"/>
          <w:highlight w:val="none"/>
        </w:rPr>
        <w:t>参加投标活动并签署文件的不需要授权委托书，只需提供法定代表人</w:t>
      </w:r>
      <w:r>
        <w:rPr>
          <w:rFonts w:hint="eastAsia"/>
          <w:color w:val="auto"/>
          <w:highlight w:val="none"/>
          <w:lang w:val="en-US" w:eastAsia="zh-CN"/>
        </w:rPr>
        <w:t>/分支机构负责人</w:t>
      </w:r>
      <w:r>
        <w:rPr>
          <w:rFonts w:hint="eastAsia"/>
          <w:color w:val="auto"/>
          <w:highlight w:val="none"/>
        </w:rPr>
        <w:t>身份证明；非法定代表人</w:t>
      </w:r>
      <w:r>
        <w:rPr>
          <w:rFonts w:hint="eastAsia"/>
          <w:color w:val="auto"/>
          <w:highlight w:val="none"/>
          <w:lang w:val="en-US" w:eastAsia="zh-CN"/>
        </w:rPr>
        <w:t>/分支机构负责人</w:t>
      </w:r>
      <w:r>
        <w:rPr>
          <w:rFonts w:hint="eastAsia"/>
          <w:color w:val="auto"/>
          <w:highlight w:val="none"/>
        </w:rPr>
        <w:t>参加投标活动及签署文件的除提供法定代表人</w:t>
      </w:r>
      <w:r>
        <w:rPr>
          <w:rFonts w:hint="eastAsia"/>
          <w:color w:val="auto"/>
          <w:highlight w:val="none"/>
          <w:lang w:val="en-US" w:eastAsia="zh-CN"/>
        </w:rPr>
        <w:t>/分支机构负责人</w:t>
      </w:r>
      <w:r>
        <w:rPr>
          <w:rFonts w:hint="eastAsia"/>
          <w:color w:val="auto"/>
          <w:highlight w:val="none"/>
        </w:rPr>
        <w:t>身份证明外还须提供授权委托书。</w:t>
      </w:r>
    </w:p>
    <w:p w14:paraId="79B891CD">
      <w:pPr>
        <w:bidi w:val="0"/>
        <w:rPr>
          <w:rFonts w:hint="eastAsia"/>
          <w:color w:val="auto"/>
          <w:highlight w:val="none"/>
        </w:rPr>
      </w:pPr>
      <w:r>
        <w:rPr>
          <w:rFonts w:hint="eastAsia"/>
          <w:color w:val="auto"/>
          <w:highlight w:val="none"/>
        </w:rPr>
        <w:t>2.授权委托书需按上述格式填写完整，不可缺少内容。在此基础上增加内容的不影响其有效性。</w:t>
      </w:r>
    </w:p>
    <w:p w14:paraId="2E0546F7">
      <w:pPr>
        <w:bidi w:val="0"/>
        <w:rPr>
          <w:rFonts w:hint="eastAsia"/>
          <w:color w:val="auto"/>
          <w:highlight w:val="none"/>
        </w:rPr>
      </w:pPr>
      <w:r>
        <w:rPr>
          <w:rFonts w:hint="eastAsia"/>
          <w:color w:val="auto"/>
          <w:highlight w:val="none"/>
        </w:rPr>
        <w:br w:type="page"/>
      </w:r>
    </w:p>
    <w:p w14:paraId="29F01F6E">
      <w:pPr>
        <w:pStyle w:val="31"/>
        <w:bidi w:val="0"/>
        <w:rPr>
          <w:rFonts w:hint="eastAsia"/>
          <w:color w:val="auto"/>
          <w:highlight w:val="none"/>
          <w:lang w:val="en-US" w:eastAsia="zh-CN"/>
        </w:rPr>
      </w:pPr>
      <w:r>
        <w:rPr>
          <w:rFonts w:hint="eastAsia"/>
          <w:color w:val="auto"/>
          <w:highlight w:val="none"/>
          <w:lang w:val="en-US" w:eastAsia="zh-CN"/>
        </w:rPr>
        <w:t>（三）书面声明</w:t>
      </w:r>
    </w:p>
    <w:p w14:paraId="3D9844F8">
      <w:pPr>
        <w:tabs>
          <w:tab w:val="left" w:pos="6300"/>
        </w:tabs>
        <w:snapToGrid w:val="0"/>
        <w:spacing w:line="360" w:lineRule="auto"/>
        <w:rPr>
          <w:color w:val="auto"/>
          <w:highlight w:val="none"/>
        </w:rPr>
      </w:pPr>
    </w:p>
    <w:p w14:paraId="47174FCD">
      <w:pPr>
        <w:tabs>
          <w:tab w:val="left" w:pos="6300"/>
        </w:tabs>
        <w:snapToGrid w:val="0"/>
        <w:spacing w:line="360" w:lineRule="auto"/>
        <w:rPr>
          <w:color w:val="auto"/>
          <w:highlight w:val="none"/>
        </w:rPr>
      </w:pPr>
      <w:r>
        <w:rPr>
          <w:rFonts w:hint="eastAsia"/>
          <w:color w:val="auto"/>
          <w:szCs w:val="28"/>
          <w:highlight w:val="none"/>
        </w:rPr>
        <w:t>项目名称</w:t>
      </w:r>
      <w:r>
        <w:rPr>
          <w:rFonts w:hint="eastAsia"/>
          <w:color w:val="auto"/>
          <w:highlight w:val="none"/>
        </w:rPr>
        <w:t>：</w:t>
      </w:r>
      <w:r>
        <w:rPr>
          <w:rFonts w:hint="eastAsia"/>
          <w:snapToGrid w:val="0"/>
          <w:color w:val="auto"/>
          <w:kern w:val="0"/>
          <w:szCs w:val="24"/>
          <w:highlight w:val="none"/>
          <w:u w:val="single"/>
        </w:rPr>
        <w:t>__________________</w:t>
      </w:r>
    </w:p>
    <w:p w14:paraId="2A7EDC2C">
      <w:pPr>
        <w:tabs>
          <w:tab w:val="left" w:pos="6300"/>
        </w:tabs>
        <w:snapToGrid w:val="0"/>
        <w:spacing w:line="360" w:lineRule="auto"/>
        <w:rPr>
          <w:color w:val="auto"/>
          <w:highlight w:val="none"/>
        </w:rPr>
      </w:pPr>
    </w:p>
    <w:p w14:paraId="535120A7">
      <w:pPr>
        <w:tabs>
          <w:tab w:val="left" w:pos="6300"/>
        </w:tabs>
        <w:snapToGrid w:val="0"/>
        <w:spacing w:line="360" w:lineRule="auto"/>
        <w:rPr>
          <w:color w:val="auto"/>
          <w:highlight w:val="none"/>
        </w:rPr>
      </w:pPr>
      <w:r>
        <w:rPr>
          <w:rFonts w:hint="eastAsia"/>
          <w:color w:val="auto"/>
          <w:highlight w:val="none"/>
        </w:rPr>
        <w:t>致：</w:t>
      </w:r>
      <w:r>
        <w:rPr>
          <w:rFonts w:hint="eastAsia"/>
          <w:snapToGrid w:val="0"/>
          <w:color w:val="auto"/>
          <w:kern w:val="0"/>
          <w:highlight w:val="none"/>
          <w:u w:val="single"/>
        </w:rPr>
        <w:t>重庆三峡银行股份有限公司</w:t>
      </w:r>
      <w:r>
        <w:rPr>
          <w:rFonts w:hint="eastAsia"/>
          <w:color w:val="auto"/>
          <w:highlight w:val="none"/>
        </w:rPr>
        <w:t>：</w:t>
      </w:r>
    </w:p>
    <w:p w14:paraId="7B2837EF">
      <w:pPr>
        <w:tabs>
          <w:tab w:val="left" w:pos="6300"/>
        </w:tabs>
        <w:snapToGrid w:val="0"/>
        <w:spacing w:line="360" w:lineRule="auto"/>
        <w:rPr>
          <w:color w:val="auto"/>
          <w:highlight w:val="none"/>
        </w:rPr>
      </w:pPr>
      <w:r>
        <w:rPr>
          <w:rFonts w:hint="eastAsia"/>
          <w:color w:val="auto"/>
          <w:highlight w:val="none"/>
        </w:rPr>
        <w:t>（</w:t>
      </w:r>
      <w:r>
        <w:rPr>
          <w:rFonts w:hint="eastAsia" w:cs="等线 Light"/>
          <w:snapToGrid w:val="0"/>
          <w:color w:val="auto"/>
          <w:kern w:val="0"/>
          <w:szCs w:val="24"/>
          <w:highlight w:val="none"/>
          <w:lang w:eastAsia="zh-CN"/>
        </w:rPr>
        <w:t>投标</w:t>
      </w:r>
      <w:r>
        <w:rPr>
          <w:rFonts w:hint="eastAsia"/>
          <w:color w:val="auto"/>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w:t>
      </w:r>
      <w:r>
        <w:rPr>
          <w:rFonts w:hint="eastAsia"/>
          <w:color w:val="auto"/>
          <w:highlight w:val="none"/>
          <w:lang w:eastAsia="zh-CN"/>
        </w:rPr>
        <w:t>招标</w:t>
      </w:r>
      <w:r>
        <w:rPr>
          <w:rFonts w:hint="eastAsia"/>
          <w:color w:val="auto"/>
          <w:highlight w:val="none"/>
        </w:rPr>
        <w:t>活动前三年内无重大违法活动记录，符合法律法规规定的</w:t>
      </w:r>
      <w:r>
        <w:rPr>
          <w:rFonts w:hint="eastAsia" w:cs="等线 Light"/>
          <w:snapToGrid w:val="0"/>
          <w:color w:val="auto"/>
          <w:kern w:val="0"/>
          <w:szCs w:val="24"/>
          <w:highlight w:val="none"/>
          <w:lang w:eastAsia="zh-CN"/>
        </w:rPr>
        <w:t>投标</w:t>
      </w:r>
      <w:r>
        <w:rPr>
          <w:rFonts w:hint="eastAsia"/>
          <w:color w:val="auto"/>
          <w:highlight w:val="none"/>
        </w:rPr>
        <w:t>人资格条件；</w:t>
      </w:r>
      <w:r>
        <w:rPr>
          <w:rFonts w:hint="eastAsia"/>
          <w:color w:val="auto"/>
          <w:highlight w:val="none"/>
          <w:lang w:val="en-US" w:eastAsia="zh-CN"/>
        </w:rPr>
        <w:t>我公司</w:t>
      </w:r>
      <w:r>
        <w:rPr>
          <w:rFonts w:hint="eastAsia"/>
          <w:color w:val="auto"/>
          <w:highlight w:val="none"/>
        </w:rPr>
        <w:t>在人员、设备、资金等方面具有相应的供货能力</w:t>
      </w:r>
      <w:r>
        <w:rPr>
          <w:rFonts w:hint="eastAsia"/>
          <w:color w:val="auto"/>
          <w:highlight w:val="none"/>
          <w:lang w:eastAsia="zh-CN"/>
        </w:rPr>
        <w:t>。</w:t>
      </w:r>
      <w:r>
        <w:rPr>
          <w:rFonts w:hint="eastAsia" w:cs="Cambria"/>
          <w:color w:val="auto"/>
          <w:szCs w:val="24"/>
          <w:highlight w:val="none"/>
        </w:rPr>
        <w:t>我公司本次如若</w:t>
      </w:r>
      <w:r>
        <w:rPr>
          <w:rFonts w:hint="eastAsia" w:cs="Cambria"/>
          <w:color w:val="auto"/>
          <w:szCs w:val="24"/>
          <w:highlight w:val="none"/>
          <w:lang w:eastAsia="zh-CN"/>
        </w:rPr>
        <w:t>中标</w:t>
      </w:r>
      <w:r>
        <w:rPr>
          <w:rFonts w:hint="eastAsia" w:cs="Cambria"/>
          <w:color w:val="auto"/>
          <w:szCs w:val="24"/>
          <w:highlight w:val="none"/>
        </w:rPr>
        <w:t>，</w:t>
      </w:r>
      <w:r>
        <w:rPr>
          <w:rFonts w:hint="eastAsia" w:cs="Cambria"/>
          <w:color w:val="auto"/>
          <w:szCs w:val="24"/>
          <w:highlight w:val="none"/>
          <w:lang w:eastAsia="zh-CN"/>
        </w:rPr>
        <w:t>中标</w:t>
      </w:r>
      <w:r>
        <w:rPr>
          <w:rFonts w:hint="eastAsia" w:cs="Cambria"/>
          <w:color w:val="auto"/>
          <w:szCs w:val="24"/>
          <w:highlight w:val="none"/>
        </w:rPr>
        <w:t>后不会对项目进行转包</w:t>
      </w:r>
      <w:r>
        <w:rPr>
          <w:rFonts w:hint="eastAsia"/>
          <w:color w:val="auto"/>
          <w:highlight w:val="none"/>
        </w:rPr>
        <w:t>。我公司近3年财务状况稳定。我方对以上声明负全部法律责任。</w:t>
      </w:r>
    </w:p>
    <w:p w14:paraId="5C5F8657">
      <w:pPr>
        <w:tabs>
          <w:tab w:val="left" w:pos="6300"/>
        </w:tabs>
        <w:snapToGrid w:val="0"/>
        <w:spacing w:line="360" w:lineRule="auto"/>
        <w:rPr>
          <w:color w:val="auto"/>
          <w:highlight w:val="none"/>
        </w:rPr>
      </w:pPr>
      <w:r>
        <w:rPr>
          <w:rFonts w:hint="eastAsia"/>
          <w:color w:val="auto"/>
          <w:highlight w:val="none"/>
        </w:rPr>
        <w:t>特此声明。</w:t>
      </w:r>
    </w:p>
    <w:p w14:paraId="4961CC62">
      <w:pPr>
        <w:tabs>
          <w:tab w:val="left" w:pos="6300"/>
        </w:tabs>
        <w:snapToGrid w:val="0"/>
        <w:spacing w:line="360" w:lineRule="auto"/>
        <w:rPr>
          <w:color w:val="auto"/>
          <w:highlight w:val="none"/>
        </w:rPr>
      </w:pPr>
    </w:p>
    <w:p w14:paraId="3ED9BD3E">
      <w:pPr>
        <w:tabs>
          <w:tab w:val="left" w:pos="6300"/>
        </w:tabs>
        <w:snapToGrid w:val="0"/>
        <w:spacing w:line="360" w:lineRule="auto"/>
        <w:rPr>
          <w:color w:val="auto"/>
          <w:highlight w:val="none"/>
        </w:rPr>
      </w:pPr>
    </w:p>
    <w:p w14:paraId="648CD41C">
      <w:pPr>
        <w:tabs>
          <w:tab w:val="left" w:pos="6300"/>
        </w:tabs>
        <w:snapToGrid w:val="0"/>
        <w:spacing w:line="360" w:lineRule="auto"/>
        <w:rPr>
          <w:color w:val="auto"/>
          <w:highlight w:val="none"/>
        </w:rPr>
      </w:pPr>
    </w:p>
    <w:p w14:paraId="712B44E8">
      <w:pPr>
        <w:tabs>
          <w:tab w:val="left" w:pos="6300"/>
        </w:tabs>
        <w:snapToGrid w:val="0"/>
        <w:spacing w:line="360" w:lineRule="auto"/>
        <w:ind w:right="424"/>
        <w:jc w:val="right"/>
        <w:rPr>
          <w:color w:val="auto"/>
          <w:highlight w:val="none"/>
        </w:rPr>
      </w:pPr>
      <w:r>
        <w:rPr>
          <w:rFonts w:hint="eastAsia"/>
          <w:color w:val="auto"/>
          <w:highlight w:val="none"/>
        </w:rPr>
        <w:t>（</w:t>
      </w:r>
      <w:r>
        <w:rPr>
          <w:rFonts w:hint="eastAsia" w:cs="等线 Light"/>
          <w:snapToGrid w:val="0"/>
          <w:color w:val="auto"/>
          <w:kern w:val="0"/>
          <w:szCs w:val="24"/>
          <w:highlight w:val="none"/>
          <w:lang w:eastAsia="zh-CN"/>
        </w:rPr>
        <w:t>投标</w:t>
      </w:r>
      <w:r>
        <w:rPr>
          <w:rFonts w:hint="eastAsia"/>
          <w:color w:val="auto"/>
          <w:highlight w:val="none"/>
        </w:rPr>
        <w:t>人公章）</w:t>
      </w:r>
    </w:p>
    <w:p w14:paraId="3D8900D4">
      <w:pPr>
        <w:tabs>
          <w:tab w:val="left" w:pos="6300"/>
        </w:tabs>
        <w:snapToGrid w:val="0"/>
        <w:spacing w:line="360" w:lineRule="auto"/>
        <w:ind w:right="480"/>
        <w:jc w:val="right"/>
        <w:rPr>
          <w:color w:val="auto"/>
          <w:highlight w:val="none"/>
        </w:rPr>
      </w:pPr>
      <w:r>
        <w:rPr>
          <w:rFonts w:hint="eastAsia"/>
          <w:color w:val="auto"/>
          <w:highlight w:val="none"/>
        </w:rPr>
        <w:t>年   月   日</w:t>
      </w:r>
    </w:p>
    <w:p w14:paraId="7EABBF02">
      <w:pPr>
        <w:spacing w:line="360" w:lineRule="auto"/>
        <w:jc w:val="left"/>
        <w:rPr>
          <w:rFonts w:cs="等线 Light"/>
          <w:snapToGrid w:val="0"/>
          <w:color w:val="auto"/>
          <w:kern w:val="0"/>
          <w:szCs w:val="24"/>
          <w:highlight w:val="none"/>
        </w:rPr>
      </w:pPr>
    </w:p>
    <w:p w14:paraId="36394F99">
      <w:pPr>
        <w:rPr>
          <w:color w:val="auto"/>
          <w:kern w:val="0"/>
          <w:highlight w:val="none"/>
        </w:rPr>
      </w:pPr>
    </w:p>
    <w:p w14:paraId="103C59DA">
      <w:pPr>
        <w:rPr>
          <w:color w:val="auto"/>
          <w:kern w:val="0"/>
          <w:highlight w:val="none"/>
        </w:rPr>
      </w:pPr>
    </w:p>
    <w:p w14:paraId="37C6E6A5">
      <w:pPr>
        <w:rPr>
          <w:b/>
          <w:bCs/>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26" w:charSpace="6144"/>
        </w:sectPr>
      </w:pPr>
    </w:p>
    <w:p w14:paraId="170A971D">
      <w:pPr>
        <w:pStyle w:val="31"/>
        <w:bidi w:val="0"/>
        <w:rPr>
          <w:rFonts w:hint="eastAsia"/>
          <w:color w:val="auto"/>
          <w:highlight w:val="none"/>
        </w:rPr>
      </w:pPr>
      <w:r>
        <w:rPr>
          <w:rFonts w:hint="eastAsia"/>
          <w:color w:val="auto"/>
          <w:highlight w:val="none"/>
          <w:lang w:val="en-US" w:eastAsia="zh-CN"/>
        </w:rPr>
        <w:t>（四）</w:t>
      </w:r>
      <w:r>
        <w:rPr>
          <w:color w:val="auto"/>
          <w:highlight w:val="none"/>
        </w:rPr>
        <w:t>中国执行信息公开网截图</w:t>
      </w:r>
    </w:p>
    <w:p w14:paraId="058483D0">
      <w:pPr>
        <w:rPr>
          <w:rFonts w:hint="default" w:eastAsia="宋体"/>
          <w:color w:val="auto"/>
          <w:highlight w:val="none"/>
          <w:lang w:val="en-US" w:eastAsia="zh-CN"/>
        </w:rPr>
      </w:pPr>
      <w:r>
        <w:rPr>
          <w:rFonts w:hint="eastAsia"/>
          <w:color w:val="auto"/>
          <w:highlight w:val="none"/>
          <w:lang w:val="en-US" w:eastAsia="zh-CN"/>
        </w:rPr>
        <w:t>1.法人中国执行信息公开网截图</w:t>
      </w:r>
    </w:p>
    <w:p w14:paraId="23F127AA">
      <w:pPr>
        <w:rPr>
          <w:rFonts w:hint="default" w:eastAsia="宋体"/>
          <w:color w:val="auto"/>
          <w:highlight w:val="none"/>
          <w:lang w:val="en-US" w:eastAsia="zh-CN"/>
        </w:rPr>
      </w:pPr>
      <w:r>
        <w:rPr>
          <w:rFonts w:hint="eastAsia"/>
          <w:color w:val="auto"/>
          <w:highlight w:val="none"/>
          <w:lang w:val="en-US" w:eastAsia="zh-CN"/>
        </w:rPr>
        <w:t>2.法定代表人中国执行信息公开网截图</w:t>
      </w:r>
    </w:p>
    <w:p w14:paraId="4F5A1E15">
      <w:pPr>
        <w:rPr>
          <w:rFonts w:hint="eastAsia"/>
          <w:color w:val="auto"/>
          <w:highlight w:val="none"/>
        </w:rPr>
      </w:pPr>
    </w:p>
    <w:p w14:paraId="202D7E7A">
      <w:pPr>
        <w:rPr>
          <w:rFonts w:hint="eastAsia"/>
          <w:color w:val="auto"/>
          <w:highlight w:val="none"/>
        </w:rPr>
      </w:pPr>
    </w:p>
    <w:p w14:paraId="4A2F85F4">
      <w:pPr>
        <w:rPr>
          <w:rFonts w:hint="eastAsia"/>
          <w:color w:val="auto"/>
          <w:highlight w:val="none"/>
        </w:rPr>
      </w:pPr>
      <w:r>
        <w:rPr>
          <w:rFonts w:hint="eastAsia"/>
          <w:color w:val="auto"/>
          <w:highlight w:val="none"/>
        </w:rPr>
        <w:br w:type="page"/>
      </w:r>
    </w:p>
    <w:p w14:paraId="28CF2212">
      <w:pPr>
        <w:pStyle w:val="31"/>
        <w:rPr>
          <w:color w:val="auto"/>
          <w:highlight w:val="none"/>
        </w:rPr>
      </w:pPr>
      <w:bookmarkStart w:id="581" w:name="_Toc5734"/>
      <w:bookmarkStart w:id="582" w:name="_Toc29365"/>
      <w:r>
        <w:rPr>
          <w:color w:val="auto"/>
          <w:highlight w:val="none"/>
        </w:rPr>
        <w:t>（</w:t>
      </w:r>
      <w:r>
        <w:rPr>
          <w:rFonts w:hint="eastAsia"/>
          <w:color w:val="auto"/>
          <w:highlight w:val="none"/>
          <w:lang w:val="en-US" w:eastAsia="zh-CN"/>
        </w:rPr>
        <w:t>五</w:t>
      </w:r>
      <w:r>
        <w:rPr>
          <w:color w:val="auto"/>
          <w:highlight w:val="none"/>
        </w:rPr>
        <w:t>）</w:t>
      </w:r>
      <w:bookmarkEnd w:id="581"/>
      <w:bookmarkEnd w:id="582"/>
      <w:r>
        <w:rPr>
          <w:rFonts w:hint="eastAsia"/>
          <w:color w:val="auto"/>
          <w:highlight w:val="none"/>
          <w:lang w:val="en-US" w:eastAsia="zh-CN"/>
        </w:rPr>
        <w:t>重庆市内内房屋租赁合同或产权证明</w:t>
      </w:r>
    </w:p>
    <w:p w14:paraId="290F8341">
      <w:pPr>
        <w:rPr>
          <w:color w:val="auto"/>
          <w:highlight w:val="none"/>
        </w:rPr>
      </w:pPr>
    </w:p>
    <w:p w14:paraId="163CC736">
      <w:pPr>
        <w:rPr>
          <w:color w:val="auto"/>
          <w:highlight w:val="none"/>
        </w:rPr>
      </w:pPr>
    </w:p>
    <w:p w14:paraId="70B0CF01">
      <w:pPr>
        <w:rPr>
          <w:color w:val="auto"/>
          <w:highlight w:val="none"/>
        </w:rPr>
      </w:pPr>
    </w:p>
    <w:p w14:paraId="61E91030">
      <w:pPr>
        <w:rPr>
          <w:color w:val="auto"/>
          <w:highlight w:val="none"/>
        </w:rPr>
      </w:pPr>
    </w:p>
    <w:p w14:paraId="7A6EB81B">
      <w:pPr>
        <w:rPr>
          <w:color w:val="auto"/>
          <w:highlight w:val="none"/>
        </w:rPr>
      </w:pPr>
    </w:p>
    <w:p w14:paraId="30913F80">
      <w:pPr>
        <w:pStyle w:val="31"/>
        <w:rPr>
          <w:color w:val="auto"/>
          <w:highlight w:val="none"/>
        </w:rPr>
      </w:pPr>
      <w:r>
        <w:rPr>
          <w:rFonts w:hint="eastAsia"/>
          <w:color w:val="auto"/>
          <w:highlight w:val="none"/>
        </w:rPr>
        <w:br w:type="page"/>
      </w:r>
      <w:r>
        <w:rPr>
          <w:color w:val="auto"/>
          <w:highlight w:val="none"/>
        </w:rPr>
        <w:t>（</w:t>
      </w:r>
      <w:r>
        <w:rPr>
          <w:rFonts w:hint="eastAsia"/>
          <w:color w:val="auto"/>
          <w:highlight w:val="none"/>
          <w:lang w:val="en-US" w:eastAsia="zh-CN"/>
        </w:rPr>
        <w:t>六</w:t>
      </w:r>
      <w:r>
        <w:rPr>
          <w:color w:val="auto"/>
          <w:highlight w:val="none"/>
        </w:rPr>
        <w:t>）</w:t>
      </w:r>
      <w:r>
        <w:rPr>
          <w:rFonts w:hint="eastAsia"/>
          <w:color w:val="auto"/>
          <w:highlight w:val="none"/>
          <w:lang w:val="en-US" w:eastAsia="zh-CN"/>
        </w:rPr>
        <w:t>其他（如有）</w:t>
      </w:r>
    </w:p>
    <w:p w14:paraId="06701F5B">
      <w:pPr>
        <w:bidi w:val="0"/>
        <w:rPr>
          <w:rFonts w:hint="eastAsia"/>
          <w:color w:val="auto"/>
          <w:highlight w:val="none"/>
          <w:lang w:val="zh-CN"/>
        </w:rPr>
      </w:pPr>
      <w:r>
        <w:rPr>
          <w:rFonts w:hint="eastAsia"/>
          <w:color w:val="auto"/>
          <w:highlight w:val="none"/>
          <w:lang w:val="zh-CN"/>
        </w:rPr>
        <w:t>（</w:t>
      </w:r>
      <w:r>
        <w:rPr>
          <w:rFonts w:hint="eastAsia"/>
          <w:color w:val="auto"/>
          <w:highlight w:val="none"/>
          <w:lang w:val="en-US" w:eastAsia="zh-CN"/>
        </w:rPr>
        <w:t>如有第一章中需要提供的其他材料，可在此提供</w:t>
      </w:r>
      <w:r>
        <w:rPr>
          <w:rFonts w:hint="eastAsia"/>
          <w:color w:val="auto"/>
          <w:highlight w:val="none"/>
          <w:lang w:val="zh-CN"/>
        </w:rPr>
        <w:t>）</w:t>
      </w:r>
    </w:p>
    <w:p w14:paraId="79F18F52">
      <w:pPr>
        <w:rPr>
          <w:color w:val="auto"/>
          <w:highlight w:val="none"/>
        </w:rPr>
      </w:pPr>
    </w:p>
    <w:p w14:paraId="36430351">
      <w:pPr>
        <w:rPr>
          <w:color w:val="auto"/>
          <w:highlight w:val="none"/>
        </w:rPr>
      </w:pPr>
    </w:p>
    <w:p w14:paraId="5B6180EB">
      <w:pPr>
        <w:rPr>
          <w:color w:val="auto"/>
          <w:highlight w:val="none"/>
        </w:rPr>
      </w:pPr>
    </w:p>
    <w:p w14:paraId="4EE46CB3">
      <w:pPr>
        <w:rPr>
          <w:color w:val="auto"/>
          <w:highlight w:val="none"/>
        </w:rPr>
      </w:pPr>
    </w:p>
    <w:p w14:paraId="19E0FE99">
      <w:pPr>
        <w:pStyle w:val="3"/>
        <w:jc w:val="center"/>
        <w:rPr>
          <w:rStyle w:val="30"/>
          <w:b/>
          <w:color w:val="auto"/>
          <w:highlight w:val="none"/>
          <w:lang w:val="en-US" w:eastAsia="zh-CN"/>
        </w:rPr>
      </w:pPr>
      <w:r>
        <w:rPr>
          <w:rFonts w:hint="eastAsia"/>
          <w:color w:val="auto"/>
          <w:highlight w:val="none"/>
        </w:rPr>
        <w:br w:type="page"/>
      </w:r>
      <w:bookmarkStart w:id="583" w:name="_Toc14306"/>
      <w:r>
        <w:rPr>
          <w:rStyle w:val="30"/>
          <w:rFonts w:hint="eastAsia"/>
          <w:b/>
          <w:color w:val="auto"/>
          <w:highlight w:val="none"/>
          <w:lang w:val="en-US" w:eastAsia="zh-CN"/>
        </w:rPr>
        <w:t>五</w:t>
      </w:r>
      <w:r>
        <w:rPr>
          <w:rStyle w:val="30"/>
          <w:rFonts w:hint="eastAsia"/>
          <w:b/>
          <w:color w:val="auto"/>
          <w:highlight w:val="none"/>
        </w:rPr>
        <w:t>、</w:t>
      </w:r>
      <w:r>
        <w:rPr>
          <w:rStyle w:val="30"/>
          <w:rFonts w:hint="eastAsia"/>
          <w:b/>
          <w:color w:val="auto"/>
          <w:highlight w:val="none"/>
          <w:lang w:val="en-US" w:eastAsia="zh-CN"/>
        </w:rPr>
        <w:t>响应性文件</w:t>
      </w:r>
      <w:bookmarkEnd w:id="583"/>
    </w:p>
    <w:p w14:paraId="7277A09B">
      <w:pPr>
        <w:pStyle w:val="31"/>
        <w:bidi w:val="0"/>
        <w:rPr>
          <w:rFonts w:hint="eastAsia"/>
          <w:color w:val="auto"/>
          <w:highlight w:val="none"/>
          <w:lang w:val="en-US" w:eastAsia="zh-CN"/>
        </w:rPr>
      </w:pPr>
      <w:r>
        <w:rPr>
          <w:rFonts w:hint="eastAsia"/>
          <w:color w:val="auto"/>
          <w:highlight w:val="none"/>
          <w:lang w:val="en-US" w:eastAsia="zh-CN"/>
        </w:rPr>
        <w:t>（一）响应承诺函</w:t>
      </w:r>
    </w:p>
    <w:p w14:paraId="5AB7C7AC">
      <w:pPr>
        <w:bidi w:val="0"/>
        <w:rPr>
          <w:rFonts w:hint="eastAsia"/>
          <w:color w:val="auto"/>
          <w:highlight w:val="none"/>
          <w:lang w:val="en-US" w:eastAsia="zh-CN"/>
        </w:rPr>
      </w:pPr>
      <w:r>
        <w:rPr>
          <w:rFonts w:hint="eastAsia"/>
          <w:color w:val="auto"/>
          <w:highlight w:val="none"/>
          <w:lang w:val="en-US" w:eastAsia="zh-CN"/>
        </w:rPr>
        <w:t>根据第五章“项目要求”内容，做出整体承诺，格式自理。</w:t>
      </w:r>
    </w:p>
    <w:p w14:paraId="383377AE">
      <w:pPr>
        <w:rPr>
          <w:rFonts w:hint="eastAsia"/>
          <w:color w:val="auto"/>
          <w:highlight w:val="none"/>
        </w:rPr>
      </w:pPr>
    </w:p>
    <w:p w14:paraId="082EB294">
      <w:pPr>
        <w:rPr>
          <w:rFonts w:hint="eastAsia"/>
          <w:color w:val="auto"/>
          <w:highlight w:val="none"/>
        </w:rPr>
      </w:pPr>
    </w:p>
    <w:p w14:paraId="7B9D55F7">
      <w:pPr>
        <w:rPr>
          <w:rFonts w:hint="eastAsia"/>
          <w:color w:val="auto"/>
          <w:highlight w:val="none"/>
        </w:rPr>
      </w:pPr>
      <w:r>
        <w:rPr>
          <w:rFonts w:hint="eastAsia"/>
          <w:color w:val="auto"/>
          <w:highlight w:val="none"/>
        </w:rPr>
        <w:br w:type="page"/>
      </w:r>
    </w:p>
    <w:p w14:paraId="7B8EAA20">
      <w:pPr>
        <w:pStyle w:val="31"/>
        <w:bidi w:val="0"/>
        <w:rPr>
          <w:color w:val="auto"/>
          <w:highlight w:val="none"/>
        </w:rPr>
      </w:pPr>
      <w:r>
        <w:rPr>
          <w:rFonts w:hint="eastAsia"/>
          <w:color w:val="auto"/>
          <w:highlight w:val="none"/>
          <w:lang w:val="en-US" w:eastAsia="zh-CN"/>
        </w:rPr>
        <w:t>（二）技术</w:t>
      </w:r>
      <w:r>
        <w:rPr>
          <w:rFonts w:hint="eastAsia"/>
          <w:color w:val="auto"/>
          <w:highlight w:val="none"/>
        </w:rPr>
        <w:t>条款偏离表</w:t>
      </w:r>
    </w:p>
    <w:p w14:paraId="0E6340AD">
      <w:pPr>
        <w:spacing w:line="360" w:lineRule="auto"/>
        <w:rPr>
          <w:rFonts w:ascii="宋体" w:cs="等线 Light"/>
          <w:b/>
          <w:snapToGrid w:val="0"/>
          <w:color w:val="auto"/>
          <w:kern w:val="0"/>
          <w:sz w:val="24"/>
          <w:szCs w:val="24"/>
          <w:highlight w:val="none"/>
        </w:rPr>
      </w:pPr>
    </w:p>
    <w:tbl>
      <w:tblPr>
        <w:tblStyle w:val="23"/>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5CF9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14:paraId="4CC8B2F3">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ascii="宋体" w:hAnsi="宋体" w:cs="等线 Light"/>
                <w:color w:val="auto"/>
                <w:sz w:val="21"/>
                <w:szCs w:val="21"/>
                <w:highlight w:val="none"/>
              </w:rPr>
            </w:pPr>
            <w:r>
              <w:rPr>
                <w:rFonts w:hint="eastAsia" w:ascii="宋体" w:hAnsi="宋体" w:cs="等线 Light"/>
                <w:color w:val="auto"/>
                <w:sz w:val="21"/>
                <w:szCs w:val="21"/>
                <w:highlight w:val="none"/>
              </w:rPr>
              <w:t>序号</w:t>
            </w:r>
          </w:p>
        </w:tc>
        <w:tc>
          <w:tcPr>
            <w:tcW w:w="1980" w:type="dxa"/>
            <w:vAlign w:val="center"/>
          </w:tcPr>
          <w:p w14:paraId="0B639644">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hint="eastAsia" w:ascii="宋体" w:hAnsi="宋体" w:cs="等线 Light"/>
                <w:color w:val="auto"/>
                <w:sz w:val="21"/>
                <w:szCs w:val="21"/>
                <w:highlight w:val="none"/>
              </w:rPr>
            </w:pPr>
            <w:r>
              <w:rPr>
                <w:rFonts w:hint="eastAsia" w:ascii="宋体" w:hAnsi="宋体" w:cs="等线 Light"/>
                <w:color w:val="auto"/>
                <w:sz w:val="21"/>
                <w:szCs w:val="21"/>
                <w:highlight w:val="none"/>
                <w:lang w:eastAsia="zh-CN"/>
              </w:rPr>
              <w:t>招标</w:t>
            </w:r>
            <w:r>
              <w:rPr>
                <w:rFonts w:hint="eastAsia" w:ascii="宋体" w:hAnsi="宋体" w:cs="等线 Light"/>
                <w:color w:val="auto"/>
                <w:sz w:val="21"/>
                <w:szCs w:val="21"/>
                <w:highlight w:val="none"/>
              </w:rPr>
              <w:t>文件条目号</w:t>
            </w:r>
          </w:p>
        </w:tc>
        <w:tc>
          <w:tcPr>
            <w:tcW w:w="2056" w:type="dxa"/>
            <w:vAlign w:val="center"/>
          </w:tcPr>
          <w:p w14:paraId="71EBDDE5">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hint="eastAsia" w:ascii="宋体" w:hAnsi="宋体" w:cs="等线 Light"/>
                <w:color w:val="auto"/>
                <w:sz w:val="21"/>
                <w:szCs w:val="21"/>
                <w:highlight w:val="none"/>
              </w:rPr>
            </w:pPr>
            <w:r>
              <w:rPr>
                <w:rFonts w:hint="eastAsia" w:ascii="宋体" w:hAnsi="宋体" w:cs="等线 Light"/>
                <w:color w:val="auto"/>
                <w:sz w:val="21"/>
                <w:szCs w:val="21"/>
                <w:highlight w:val="none"/>
                <w:lang w:eastAsia="zh-CN"/>
              </w:rPr>
              <w:t>招标</w:t>
            </w:r>
            <w:r>
              <w:rPr>
                <w:rFonts w:hint="eastAsia" w:ascii="宋体" w:hAnsi="宋体" w:cs="等线 Light"/>
                <w:color w:val="auto"/>
                <w:sz w:val="21"/>
                <w:szCs w:val="21"/>
                <w:highlight w:val="none"/>
              </w:rPr>
              <w:t>文件</w:t>
            </w:r>
            <w:r>
              <w:rPr>
                <w:rFonts w:hint="eastAsia" w:ascii="宋体" w:hAnsi="宋体" w:cs="等线 Light"/>
                <w:color w:val="auto"/>
                <w:sz w:val="21"/>
                <w:szCs w:val="21"/>
                <w:highlight w:val="none"/>
                <w:lang w:val="en-US" w:eastAsia="zh-CN"/>
              </w:rPr>
              <w:t>技术条款</w:t>
            </w:r>
          </w:p>
        </w:tc>
        <w:tc>
          <w:tcPr>
            <w:tcW w:w="2490" w:type="dxa"/>
            <w:vAlign w:val="center"/>
          </w:tcPr>
          <w:p w14:paraId="732D14E1">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hint="eastAsia" w:ascii="宋体" w:hAnsi="宋体" w:cs="等线 Light"/>
                <w:color w:val="auto"/>
                <w:sz w:val="21"/>
                <w:szCs w:val="21"/>
                <w:highlight w:val="none"/>
              </w:rPr>
            </w:pPr>
            <w:r>
              <w:rPr>
                <w:rFonts w:hint="eastAsia" w:ascii="宋体" w:hAnsi="宋体" w:cs="等线 Light"/>
                <w:color w:val="auto"/>
                <w:sz w:val="21"/>
                <w:szCs w:val="21"/>
                <w:highlight w:val="none"/>
                <w:lang w:eastAsia="zh-CN"/>
              </w:rPr>
              <w:t>投标</w:t>
            </w:r>
            <w:r>
              <w:rPr>
                <w:rFonts w:hint="eastAsia" w:ascii="宋体" w:hAnsi="宋体" w:cs="等线 Light"/>
                <w:color w:val="auto"/>
                <w:sz w:val="21"/>
                <w:szCs w:val="21"/>
                <w:highlight w:val="none"/>
              </w:rPr>
              <w:t>文件对应</w:t>
            </w:r>
            <w:r>
              <w:rPr>
                <w:rFonts w:hint="eastAsia" w:ascii="宋体" w:hAnsi="宋体" w:cs="等线 Light"/>
                <w:color w:val="auto"/>
                <w:sz w:val="21"/>
                <w:szCs w:val="21"/>
                <w:highlight w:val="none"/>
                <w:lang w:val="en-US" w:eastAsia="zh-CN"/>
              </w:rPr>
              <w:t>技术条款</w:t>
            </w:r>
          </w:p>
        </w:tc>
        <w:tc>
          <w:tcPr>
            <w:tcW w:w="1363" w:type="dxa"/>
            <w:vAlign w:val="center"/>
          </w:tcPr>
          <w:p w14:paraId="3C5F7550">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hint="eastAsia" w:ascii="宋体" w:hAnsi="宋体" w:cs="等线 Light"/>
                <w:color w:val="auto"/>
                <w:sz w:val="21"/>
                <w:szCs w:val="21"/>
                <w:highlight w:val="none"/>
              </w:rPr>
            </w:pPr>
            <w:r>
              <w:rPr>
                <w:rFonts w:hint="eastAsia" w:ascii="宋体" w:hAnsi="宋体" w:cs="等线 Light"/>
                <w:color w:val="auto"/>
                <w:sz w:val="21"/>
                <w:szCs w:val="21"/>
                <w:highlight w:val="none"/>
              </w:rPr>
              <w:t>说明</w:t>
            </w:r>
          </w:p>
        </w:tc>
      </w:tr>
      <w:tr w14:paraId="03E2C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9C9D846">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hint="eastAsia" w:ascii="宋体" w:hAnsi="宋体" w:eastAsia="宋体" w:cs="等线 Light"/>
                <w:color w:val="auto"/>
                <w:sz w:val="21"/>
                <w:szCs w:val="21"/>
                <w:highlight w:val="none"/>
                <w:lang w:val="en-US" w:eastAsia="zh-CN"/>
              </w:rPr>
            </w:pPr>
            <w:r>
              <w:rPr>
                <w:rFonts w:hint="eastAsia" w:ascii="宋体" w:hAnsi="宋体" w:cs="等线 Light"/>
                <w:color w:val="auto"/>
                <w:sz w:val="21"/>
                <w:szCs w:val="21"/>
                <w:highlight w:val="none"/>
                <w:lang w:val="en-US" w:eastAsia="zh-CN"/>
              </w:rPr>
              <w:t>例</w:t>
            </w:r>
          </w:p>
        </w:tc>
        <w:tc>
          <w:tcPr>
            <w:tcW w:w="1980" w:type="dxa"/>
            <w:tcBorders>
              <w:left w:val="single" w:color="auto" w:sz="4" w:space="0"/>
            </w:tcBorders>
            <w:vAlign w:val="center"/>
          </w:tcPr>
          <w:p w14:paraId="66B5FAA6">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eastAsia="宋体" w:cs="等线 Light"/>
                <w:color w:val="auto"/>
                <w:sz w:val="21"/>
                <w:szCs w:val="21"/>
                <w:highlight w:val="none"/>
                <w:lang w:val="en-US" w:eastAsia="zh-CN"/>
              </w:rPr>
            </w:pPr>
            <w:r>
              <w:rPr>
                <w:rFonts w:hint="eastAsia" w:ascii="宋体" w:hAnsi="宋体" w:cs="等线 Light"/>
                <w:color w:val="auto"/>
                <w:sz w:val="21"/>
                <w:szCs w:val="21"/>
                <w:highlight w:val="none"/>
                <w:lang w:val="en-US" w:eastAsia="zh-CN"/>
              </w:rPr>
              <w:t>第三章XXX条</w:t>
            </w:r>
          </w:p>
        </w:tc>
        <w:tc>
          <w:tcPr>
            <w:tcW w:w="2056" w:type="dxa"/>
            <w:tcBorders>
              <w:left w:val="single" w:color="auto" w:sz="4" w:space="0"/>
            </w:tcBorders>
            <w:vAlign w:val="center"/>
          </w:tcPr>
          <w:p w14:paraId="29CA5031">
            <w:pPr>
              <w:keepNext w:val="0"/>
              <w:keepLines w:val="0"/>
              <w:pageBreakBefore w:val="0"/>
              <w:widowControl w:val="0"/>
              <w:kinsoku/>
              <w:wordWrap/>
              <w:overflowPunct/>
              <w:topLinePunct w:val="0"/>
              <w:autoSpaceDE w:val="0"/>
              <w:autoSpaceDN w:val="0"/>
              <w:bidi w:val="0"/>
              <w:spacing w:line="480" w:lineRule="auto"/>
              <w:ind w:firstLine="0" w:firstLineChars="0"/>
              <w:jc w:val="left"/>
              <w:textAlignment w:val="auto"/>
              <w:rPr>
                <w:rFonts w:ascii="宋体" w:hAnsi="宋体" w:eastAsia="宋体" w:cs="等线 Light"/>
                <w:color w:val="auto"/>
                <w:sz w:val="21"/>
                <w:szCs w:val="21"/>
                <w:highlight w:val="none"/>
                <w:lang w:val="en-US" w:eastAsia="zh-CN"/>
              </w:rPr>
            </w:pPr>
            <w:r>
              <w:rPr>
                <w:rFonts w:hint="eastAsia" w:ascii="宋体" w:hAnsi="宋体" w:cs="等线 Light"/>
                <w:color w:val="auto"/>
                <w:sz w:val="21"/>
                <w:szCs w:val="21"/>
                <w:highlight w:val="none"/>
                <w:lang w:val="en-US" w:eastAsia="zh-CN"/>
              </w:rPr>
              <w:t>XXXXXX（招标文件原文）</w:t>
            </w:r>
          </w:p>
        </w:tc>
        <w:tc>
          <w:tcPr>
            <w:tcW w:w="2490" w:type="dxa"/>
            <w:tcBorders>
              <w:left w:val="single" w:color="auto" w:sz="4" w:space="0"/>
            </w:tcBorders>
            <w:vAlign w:val="center"/>
          </w:tcPr>
          <w:p w14:paraId="03B0703A">
            <w:pPr>
              <w:keepNext w:val="0"/>
              <w:keepLines w:val="0"/>
              <w:pageBreakBefore w:val="0"/>
              <w:widowControl w:val="0"/>
              <w:kinsoku/>
              <w:wordWrap/>
              <w:overflowPunct/>
              <w:topLinePunct w:val="0"/>
              <w:autoSpaceDE w:val="0"/>
              <w:autoSpaceDN w:val="0"/>
              <w:bidi w:val="0"/>
              <w:spacing w:line="480" w:lineRule="auto"/>
              <w:ind w:firstLine="0" w:firstLineChars="0"/>
              <w:jc w:val="left"/>
              <w:textAlignment w:val="auto"/>
              <w:rPr>
                <w:rFonts w:hint="eastAsia" w:ascii="宋体" w:hAnsi="宋体" w:cs="等线 Light"/>
                <w:b/>
                <w:bCs/>
                <w:color w:val="auto"/>
                <w:sz w:val="21"/>
                <w:szCs w:val="21"/>
                <w:highlight w:val="none"/>
                <w:lang w:val="en-US" w:eastAsia="zh-CN"/>
              </w:rPr>
            </w:pPr>
            <w:r>
              <w:rPr>
                <w:rFonts w:hint="eastAsia" w:ascii="宋体" w:hAnsi="宋体" w:cs="等线 Light"/>
                <w:b/>
                <w:bCs/>
                <w:color w:val="auto"/>
                <w:sz w:val="21"/>
                <w:szCs w:val="21"/>
                <w:highlight w:val="none"/>
                <w:lang w:val="en-US" w:eastAsia="zh-CN"/>
              </w:rPr>
              <w:t>满足</w:t>
            </w:r>
          </w:p>
          <w:p w14:paraId="16843869">
            <w:pPr>
              <w:keepNext w:val="0"/>
              <w:keepLines w:val="0"/>
              <w:pageBreakBefore w:val="0"/>
              <w:widowControl w:val="0"/>
              <w:kinsoku/>
              <w:wordWrap/>
              <w:overflowPunct/>
              <w:topLinePunct w:val="0"/>
              <w:autoSpaceDE w:val="0"/>
              <w:autoSpaceDN w:val="0"/>
              <w:bidi w:val="0"/>
              <w:spacing w:line="480" w:lineRule="auto"/>
              <w:ind w:firstLine="0" w:firstLineChars="0"/>
              <w:jc w:val="left"/>
              <w:textAlignment w:val="auto"/>
              <w:rPr>
                <w:rFonts w:ascii="宋体" w:hAnsi="宋体" w:cs="等线 Light"/>
                <w:color w:val="auto"/>
                <w:sz w:val="21"/>
                <w:szCs w:val="21"/>
                <w:highlight w:val="none"/>
                <w:lang w:val="en-US" w:eastAsia="zh-CN"/>
              </w:rPr>
            </w:pPr>
            <w:r>
              <w:rPr>
                <w:rFonts w:hint="eastAsia" w:ascii="宋体" w:hAnsi="宋体" w:cs="等线 Light"/>
                <w:color w:val="auto"/>
                <w:sz w:val="21"/>
                <w:szCs w:val="21"/>
                <w:highlight w:val="none"/>
                <w:lang w:val="en-US" w:eastAsia="zh-CN"/>
              </w:rPr>
              <w:t>XXXXXX（投标文件原文）</w:t>
            </w:r>
          </w:p>
        </w:tc>
        <w:tc>
          <w:tcPr>
            <w:tcW w:w="1363" w:type="dxa"/>
            <w:tcBorders>
              <w:left w:val="single" w:color="auto" w:sz="4" w:space="0"/>
            </w:tcBorders>
            <w:vAlign w:val="center"/>
          </w:tcPr>
          <w:p w14:paraId="7379D80B">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hint="eastAsia" w:ascii="宋体" w:hAnsi="宋体" w:cs="等线 Light"/>
                <w:color w:val="auto"/>
                <w:sz w:val="21"/>
                <w:szCs w:val="21"/>
                <w:highlight w:val="none"/>
                <w:lang w:val="en-US" w:eastAsia="zh-CN"/>
              </w:rPr>
            </w:pPr>
            <w:r>
              <w:rPr>
                <w:rFonts w:hint="eastAsia" w:ascii="宋体" w:hAnsi="宋体" w:cs="等线 Light"/>
                <w:color w:val="auto"/>
                <w:sz w:val="21"/>
                <w:szCs w:val="21"/>
                <w:highlight w:val="none"/>
                <w:lang w:val="en-US" w:eastAsia="zh-CN"/>
              </w:rPr>
              <w:t>满足</w:t>
            </w:r>
          </w:p>
          <w:p w14:paraId="09CC5FEF">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lang w:val="en-US" w:eastAsia="zh-CN"/>
              </w:rPr>
            </w:pPr>
            <w:r>
              <w:rPr>
                <w:rFonts w:hint="eastAsia" w:ascii="宋体" w:hAnsi="宋体" w:cs="等线 Light"/>
                <w:color w:val="auto"/>
                <w:sz w:val="21"/>
                <w:szCs w:val="21"/>
                <w:highlight w:val="none"/>
                <w:lang w:val="en-US" w:eastAsia="zh-CN"/>
              </w:rPr>
              <w:t>无偏离</w:t>
            </w:r>
          </w:p>
        </w:tc>
      </w:tr>
      <w:tr w14:paraId="5E73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284206B">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980" w:type="dxa"/>
            <w:tcBorders>
              <w:left w:val="single" w:color="auto" w:sz="4" w:space="0"/>
            </w:tcBorders>
            <w:vAlign w:val="center"/>
          </w:tcPr>
          <w:p w14:paraId="13C33139">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056" w:type="dxa"/>
            <w:tcBorders>
              <w:left w:val="single" w:color="auto" w:sz="4" w:space="0"/>
            </w:tcBorders>
            <w:vAlign w:val="center"/>
          </w:tcPr>
          <w:p w14:paraId="2A963650">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490" w:type="dxa"/>
            <w:tcBorders>
              <w:left w:val="single" w:color="auto" w:sz="4" w:space="0"/>
            </w:tcBorders>
            <w:vAlign w:val="center"/>
          </w:tcPr>
          <w:p w14:paraId="29BFC6B3">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363" w:type="dxa"/>
            <w:tcBorders>
              <w:left w:val="single" w:color="auto" w:sz="4" w:space="0"/>
            </w:tcBorders>
            <w:vAlign w:val="center"/>
          </w:tcPr>
          <w:p w14:paraId="3429DEE6">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r>
      <w:tr w14:paraId="5832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E2DE8C5">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980" w:type="dxa"/>
            <w:tcBorders>
              <w:left w:val="single" w:color="auto" w:sz="4" w:space="0"/>
            </w:tcBorders>
            <w:vAlign w:val="center"/>
          </w:tcPr>
          <w:p w14:paraId="1699EE3E">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056" w:type="dxa"/>
            <w:tcBorders>
              <w:left w:val="single" w:color="auto" w:sz="4" w:space="0"/>
            </w:tcBorders>
            <w:vAlign w:val="center"/>
          </w:tcPr>
          <w:p w14:paraId="7571BF55">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490" w:type="dxa"/>
            <w:tcBorders>
              <w:left w:val="single" w:color="auto" w:sz="4" w:space="0"/>
            </w:tcBorders>
            <w:vAlign w:val="center"/>
          </w:tcPr>
          <w:p w14:paraId="374DD160">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363" w:type="dxa"/>
            <w:tcBorders>
              <w:left w:val="single" w:color="auto" w:sz="4" w:space="0"/>
            </w:tcBorders>
            <w:vAlign w:val="center"/>
          </w:tcPr>
          <w:p w14:paraId="5FBAB886">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r>
      <w:tr w14:paraId="0E5D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6D87175">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980" w:type="dxa"/>
            <w:tcBorders>
              <w:left w:val="single" w:color="auto" w:sz="4" w:space="0"/>
            </w:tcBorders>
            <w:vAlign w:val="center"/>
          </w:tcPr>
          <w:p w14:paraId="7F057A7C">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056" w:type="dxa"/>
            <w:tcBorders>
              <w:left w:val="single" w:color="auto" w:sz="4" w:space="0"/>
            </w:tcBorders>
            <w:vAlign w:val="center"/>
          </w:tcPr>
          <w:p w14:paraId="7B9B78DE">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490" w:type="dxa"/>
            <w:tcBorders>
              <w:left w:val="single" w:color="auto" w:sz="4" w:space="0"/>
            </w:tcBorders>
            <w:vAlign w:val="center"/>
          </w:tcPr>
          <w:p w14:paraId="44229AB2">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363" w:type="dxa"/>
            <w:tcBorders>
              <w:left w:val="single" w:color="auto" w:sz="4" w:space="0"/>
            </w:tcBorders>
            <w:vAlign w:val="center"/>
          </w:tcPr>
          <w:p w14:paraId="3F8226C6">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r>
      <w:tr w14:paraId="20D3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BF0E0C5">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980" w:type="dxa"/>
            <w:tcBorders>
              <w:left w:val="single" w:color="auto" w:sz="4" w:space="0"/>
            </w:tcBorders>
            <w:vAlign w:val="center"/>
          </w:tcPr>
          <w:p w14:paraId="5D5DE2E9">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056" w:type="dxa"/>
            <w:tcBorders>
              <w:left w:val="single" w:color="auto" w:sz="4" w:space="0"/>
            </w:tcBorders>
            <w:vAlign w:val="center"/>
          </w:tcPr>
          <w:p w14:paraId="72759135">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490" w:type="dxa"/>
            <w:tcBorders>
              <w:left w:val="single" w:color="auto" w:sz="4" w:space="0"/>
            </w:tcBorders>
            <w:vAlign w:val="center"/>
          </w:tcPr>
          <w:p w14:paraId="310987E8">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363" w:type="dxa"/>
            <w:tcBorders>
              <w:left w:val="single" w:color="auto" w:sz="4" w:space="0"/>
            </w:tcBorders>
            <w:vAlign w:val="center"/>
          </w:tcPr>
          <w:p w14:paraId="280C339A">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r>
      <w:tr w14:paraId="1DF0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7A7B4EF">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980" w:type="dxa"/>
            <w:tcBorders>
              <w:left w:val="single" w:color="auto" w:sz="4" w:space="0"/>
            </w:tcBorders>
            <w:vAlign w:val="center"/>
          </w:tcPr>
          <w:p w14:paraId="53E5CF77">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056" w:type="dxa"/>
            <w:tcBorders>
              <w:left w:val="single" w:color="auto" w:sz="4" w:space="0"/>
            </w:tcBorders>
            <w:vAlign w:val="center"/>
          </w:tcPr>
          <w:p w14:paraId="17B181C6">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490" w:type="dxa"/>
            <w:tcBorders>
              <w:left w:val="single" w:color="auto" w:sz="4" w:space="0"/>
            </w:tcBorders>
            <w:vAlign w:val="center"/>
          </w:tcPr>
          <w:p w14:paraId="16FA26D0">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363" w:type="dxa"/>
            <w:tcBorders>
              <w:left w:val="single" w:color="auto" w:sz="4" w:space="0"/>
            </w:tcBorders>
            <w:vAlign w:val="center"/>
          </w:tcPr>
          <w:p w14:paraId="1963D7F6">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r>
      <w:tr w14:paraId="4B0C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3FB4B7D">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980" w:type="dxa"/>
            <w:tcBorders>
              <w:left w:val="single" w:color="auto" w:sz="4" w:space="0"/>
            </w:tcBorders>
            <w:vAlign w:val="center"/>
          </w:tcPr>
          <w:p w14:paraId="387FD8B1">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056" w:type="dxa"/>
            <w:tcBorders>
              <w:left w:val="single" w:color="auto" w:sz="4" w:space="0"/>
            </w:tcBorders>
            <w:vAlign w:val="center"/>
          </w:tcPr>
          <w:p w14:paraId="26B600FC">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2490" w:type="dxa"/>
            <w:tcBorders>
              <w:left w:val="single" w:color="auto" w:sz="4" w:space="0"/>
            </w:tcBorders>
            <w:vAlign w:val="center"/>
          </w:tcPr>
          <w:p w14:paraId="70AA16FE">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c>
          <w:tcPr>
            <w:tcW w:w="1363" w:type="dxa"/>
            <w:tcBorders>
              <w:left w:val="single" w:color="auto" w:sz="4" w:space="0"/>
            </w:tcBorders>
            <w:vAlign w:val="center"/>
          </w:tcPr>
          <w:p w14:paraId="5581CA0B">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color w:val="auto"/>
                <w:sz w:val="21"/>
                <w:szCs w:val="21"/>
                <w:highlight w:val="none"/>
              </w:rPr>
            </w:pPr>
          </w:p>
        </w:tc>
      </w:tr>
    </w:tbl>
    <w:p w14:paraId="637543FC">
      <w:pPr>
        <w:autoSpaceDE/>
        <w:autoSpaceDN/>
        <w:bidi w:val="0"/>
        <w:ind w:firstLine="360" w:firstLineChars="200"/>
        <w:rPr>
          <w:rFonts w:hint="eastAsia"/>
          <w:color w:val="auto"/>
          <w:sz w:val="18"/>
          <w:szCs w:val="18"/>
          <w:highlight w:val="none"/>
          <w:lang w:val="en-US" w:eastAsia="zh-CN"/>
        </w:rPr>
      </w:pPr>
      <w:r>
        <w:rPr>
          <w:rFonts w:hint="eastAsia"/>
          <w:color w:val="auto"/>
          <w:sz w:val="18"/>
          <w:szCs w:val="18"/>
          <w:highlight w:val="none"/>
          <w:lang w:val="en-US" w:eastAsia="zh-CN"/>
        </w:rPr>
        <w:t>注：根据第五章第3条“技术要求”表格中内容填写技术条款偏离表，逐一列出，填写与响应，内容齐全、无遗漏。需每页加盖公章。</w:t>
      </w:r>
    </w:p>
    <w:p w14:paraId="4958F65F">
      <w:pPr>
        <w:autoSpaceDE/>
        <w:autoSpaceDN/>
        <w:bidi w:val="0"/>
        <w:ind w:firstLine="360" w:firstLineChars="200"/>
        <w:rPr>
          <w:color w:val="auto"/>
          <w:sz w:val="18"/>
          <w:szCs w:val="18"/>
          <w:highlight w:val="none"/>
          <w:lang w:val="en-US" w:eastAsia="zh-CN"/>
        </w:rPr>
      </w:pPr>
      <w:r>
        <w:rPr>
          <w:rFonts w:hint="eastAsia"/>
          <w:color w:val="auto"/>
          <w:sz w:val="18"/>
          <w:szCs w:val="18"/>
          <w:highlight w:val="none"/>
          <w:lang w:val="en-US" w:eastAsia="zh-CN"/>
        </w:rPr>
        <w:t>表格填写说明如下：</w:t>
      </w:r>
    </w:p>
    <w:p w14:paraId="2CE29118">
      <w:pPr>
        <w:autoSpaceDE/>
        <w:autoSpaceDN/>
        <w:bidi w:val="0"/>
        <w:ind w:firstLine="360" w:firstLineChars="200"/>
        <w:rPr>
          <w:rFonts w:hint="eastAsia"/>
          <w:color w:val="auto"/>
          <w:sz w:val="18"/>
          <w:szCs w:val="18"/>
          <w:highlight w:val="none"/>
          <w:lang w:val="en-US" w:eastAsia="zh-CN"/>
        </w:rPr>
      </w:pPr>
      <w:r>
        <w:rPr>
          <w:rFonts w:hint="eastAsia"/>
          <w:color w:val="auto"/>
          <w:sz w:val="18"/>
          <w:szCs w:val="18"/>
          <w:highlight w:val="none"/>
          <w:lang w:val="en-US" w:eastAsia="zh-CN"/>
        </w:rPr>
        <w:t>“招标文件条目号”：详细写明第几章第几条；</w:t>
      </w:r>
    </w:p>
    <w:p w14:paraId="694E5889">
      <w:pPr>
        <w:autoSpaceDE/>
        <w:autoSpaceDN/>
        <w:bidi w:val="0"/>
        <w:ind w:firstLine="360" w:firstLineChars="200"/>
        <w:rPr>
          <w:rFonts w:hint="eastAsia"/>
          <w:color w:val="auto"/>
          <w:sz w:val="18"/>
          <w:szCs w:val="18"/>
          <w:highlight w:val="none"/>
          <w:lang w:val="en-US" w:eastAsia="zh-CN"/>
        </w:rPr>
      </w:pPr>
      <w:r>
        <w:rPr>
          <w:rFonts w:hint="eastAsia"/>
          <w:color w:val="auto"/>
          <w:sz w:val="18"/>
          <w:szCs w:val="18"/>
          <w:highlight w:val="none"/>
          <w:lang w:val="en-US" w:eastAsia="zh-CN"/>
        </w:rPr>
        <w:t>“</w:t>
      </w:r>
      <w:r>
        <w:rPr>
          <w:rFonts w:hint="eastAsia" w:ascii="宋体" w:hAnsi="宋体" w:cs="等线 Light"/>
          <w:color w:val="auto"/>
          <w:sz w:val="18"/>
          <w:szCs w:val="18"/>
          <w:highlight w:val="none"/>
          <w:lang w:eastAsia="zh-CN"/>
        </w:rPr>
        <w:t>招标</w:t>
      </w:r>
      <w:r>
        <w:rPr>
          <w:rFonts w:hint="eastAsia" w:ascii="宋体" w:hAnsi="宋体" w:cs="等线 Light"/>
          <w:color w:val="auto"/>
          <w:sz w:val="18"/>
          <w:szCs w:val="18"/>
          <w:highlight w:val="none"/>
        </w:rPr>
        <w:t>文件</w:t>
      </w:r>
      <w:r>
        <w:rPr>
          <w:rFonts w:hint="eastAsia" w:ascii="宋体" w:hAnsi="宋体" w:cs="等线 Light"/>
          <w:color w:val="auto"/>
          <w:sz w:val="18"/>
          <w:szCs w:val="18"/>
          <w:highlight w:val="none"/>
          <w:lang w:val="en-US" w:eastAsia="zh-CN"/>
        </w:rPr>
        <w:t>技术</w:t>
      </w:r>
      <w:r>
        <w:rPr>
          <w:rFonts w:hint="eastAsia" w:ascii="宋体" w:hAnsi="宋体" w:cs="等线 Light"/>
          <w:color w:val="auto"/>
          <w:sz w:val="18"/>
          <w:szCs w:val="18"/>
          <w:highlight w:val="none"/>
        </w:rPr>
        <w:t>条款</w:t>
      </w:r>
      <w:r>
        <w:rPr>
          <w:rFonts w:hint="eastAsia"/>
          <w:color w:val="auto"/>
          <w:sz w:val="18"/>
          <w:szCs w:val="18"/>
          <w:highlight w:val="none"/>
          <w:lang w:val="en-US" w:eastAsia="zh-CN"/>
        </w:rPr>
        <w:t>”：招标文件中该条对应内容；</w:t>
      </w:r>
    </w:p>
    <w:p w14:paraId="2D38C8A2">
      <w:pPr>
        <w:autoSpaceDE/>
        <w:autoSpaceDN/>
        <w:bidi w:val="0"/>
        <w:ind w:firstLine="360" w:firstLineChars="200"/>
        <w:rPr>
          <w:rFonts w:hint="eastAsia"/>
          <w:color w:val="auto"/>
          <w:sz w:val="18"/>
          <w:szCs w:val="18"/>
          <w:highlight w:val="none"/>
          <w:lang w:val="en-US" w:eastAsia="zh-CN"/>
        </w:rPr>
      </w:pPr>
      <w:r>
        <w:rPr>
          <w:rFonts w:hint="eastAsia"/>
          <w:color w:val="auto"/>
          <w:sz w:val="18"/>
          <w:szCs w:val="18"/>
          <w:highlight w:val="none"/>
          <w:lang w:val="en-US" w:eastAsia="zh-CN"/>
        </w:rPr>
        <w:t>“</w:t>
      </w:r>
      <w:r>
        <w:rPr>
          <w:rFonts w:hint="eastAsia" w:ascii="宋体" w:hAnsi="宋体" w:cs="等线 Light"/>
          <w:color w:val="auto"/>
          <w:sz w:val="18"/>
          <w:szCs w:val="18"/>
          <w:highlight w:val="none"/>
          <w:lang w:eastAsia="zh-CN"/>
        </w:rPr>
        <w:t>投标</w:t>
      </w:r>
      <w:r>
        <w:rPr>
          <w:rFonts w:hint="eastAsia" w:ascii="宋体" w:hAnsi="宋体" w:cs="等线 Light"/>
          <w:color w:val="auto"/>
          <w:sz w:val="18"/>
          <w:szCs w:val="18"/>
          <w:highlight w:val="none"/>
        </w:rPr>
        <w:t>文件对应</w:t>
      </w:r>
      <w:r>
        <w:rPr>
          <w:rFonts w:hint="eastAsia" w:ascii="宋体" w:hAnsi="宋体" w:cs="等线 Light"/>
          <w:color w:val="auto"/>
          <w:sz w:val="18"/>
          <w:szCs w:val="18"/>
          <w:highlight w:val="none"/>
          <w:lang w:val="en-US" w:eastAsia="zh-CN"/>
        </w:rPr>
        <w:t>技术</w:t>
      </w:r>
      <w:r>
        <w:rPr>
          <w:rFonts w:hint="eastAsia" w:ascii="宋体" w:hAnsi="宋体" w:cs="等线 Light"/>
          <w:color w:val="auto"/>
          <w:sz w:val="18"/>
          <w:szCs w:val="18"/>
          <w:highlight w:val="none"/>
        </w:rPr>
        <w:t>条款</w:t>
      </w:r>
      <w:r>
        <w:rPr>
          <w:rFonts w:hint="eastAsia"/>
          <w:color w:val="auto"/>
          <w:sz w:val="18"/>
          <w:szCs w:val="18"/>
          <w:highlight w:val="none"/>
          <w:lang w:val="en-US" w:eastAsia="zh-CN"/>
        </w:rPr>
        <w:t>”：写明是否满足，并附投标文件中该条对应内容；</w:t>
      </w:r>
    </w:p>
    <w:p w14:paraId="6C5E87DA">
      <w:pPr>
        <w:autoSpaceDE/>
        <w:autoSpaceDN/>
        <w:bidi w:val="0"/>
        <w:ind w:firstLine="360" w:firstLineChars="200"/>
        <w:rPr>
          <w:color w:val="auto"/>
          <w:sz w:val="18"/>
          <w:szCs w:val="18"/>
          <w:highlight w:val="none"/>
          <w:lang w:val="en-US" w:eastAsia="zh-CN"/>
        </w:rPr>
      </w:pPr>
      <w:r>
        <w:rPr>
          <w:rFonts w:hint="eastAsia"/>
          <w:color w:val="auto"/>
          <w:sz w:val="18"/>
          <w:szCs w:val="18"/>
          <w:highlight w:val="none"/>
          <w:lang w:val="en-US" w:eastAsia="zh-CN"/>
        </w:rPr>
        <w:t>“</w:t>
      </w:r>
      <w:r>
        <w:rPr>
          <w:rFonts w:hint="eastAsia" w:ascii="宋体" w:hAnsi="宋体" w:cs="等线 Light"/>
          <w:color w:val="auto"/>
          <w:sz w:val="18"/>
          <w:szCs w:val="18"/>
          <w:highlight w:val="none"/>
          <w:lang w:val="en-US" w:eastAsia="zh-CN"/>
        </w:rPr>
        <w:t>说明</w:t>
      </w:r>
      <w:r>
        <w:rPr>
          <w:rFonts w:hint="eastAsia"/>
          <w:color w:val="auto"/>
          <w:sz w:val="18"/>
          <w:szCs w:val="18"/>
          <w:highlight w:val="none"/>
          <w:lang w:val="en-US" w:eastAsia="zh-CN"/>
        </w:rPr>
        <w:t>”：填写是否满足，是否偏离，正/负偏离原因。</w:t>
      </w:r>
    </w:p>
    <w:p w14:paraId="3425455C">
      <w:pPr>
        <w:spacing w:line="360" w:lineRule="auto"/>
        <w:rPr>
          <w:rFonts w:ascii="宋体" w:cs="等线 Light"/>
          <w:snapToGrid w:val="0"/>
          <w:color w:val="auto"/>
          <w:kern w:val="0"/>
          <w:sz w:val="24"/>
          <w:szCs w:val="24"/>
          <w:highlight w:val="none"/>
        </w:rPr>
      </w:pPr>
    </w:p>
    <w:p w14:paraId="5F6E985A">
      <w:pPr>
        <w:spacing w:line="360" w:lineRule="auto"/>
        <w:rPr>
          <w:rFonts w:ascii="宋体" w:cs="等线 Light"/>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6144"/>
        </w:sectPr>
      </w:pPr>
    </w:p>
    <w:p w14:paraId="3CD4B77C">
      <w:pPr>
        <w:pStyle w:val="31"/>
        <w:bidi w:val="0"/>
        <w:rPr>
          <w:color w:val="auto"/>
          <w:highlight w:val="none"/>
          <w:lang w:val="en-US" w:eastAsia="zh-CN"/>
        </w:rPr>
      </w:pPr>
      <w:r>
        <w:rPr>
          <w:rFonts w:hint="eastAsia"/>
          <w:color w:val="auto"/>
          <w:highlight w:val="none"/>
          <w:lang w:val="en-US" w:eastAsia="zh-CN"/>
        </w:rPr>
        <w:t>（三）知识产权承诺函</w:t>
      </w:r>
    </w:p>
    <w:p w14:paraId="010F647C">
      <w:pPr>
        <w:bidi w:val="0"/>
        <w:rPr>
          <w:rFonts w:hint="eastAsia"/>
          <w:color w:val="auto"/>
          <w:highlight w:val="none"/>
          <w:lang w:val="en-US" w:eastAsia="zh-CN"/>
        </w:rPr>
      </w:pPr>
      <w:r>
        <w:rPr>
          <w:rFonts w:hint="eastAsia"/>
          <w:color w:val="auto"/>
          <w:highlight w:val="none"/>
        </w:rPr>
        <w:t>项目名称：</w:t>
      </w:r>
    </w:p>
    <w:p w14:paraId="18D9EBA1">
      <w:pPr>
        <w:bidi w:val="0"/>
        <w:rPr>
          <w:rFonts w:hint="eastAsia"/>
          <w:color w:val="auto"/>
          <w:highlight w:val="none"/>
          <w:lang w:val="en-US" w:eastAsia="zh-CN"/>
        </w:rPr>
      </w:pPr>
    </w:p>
    <w:p w14:paraId="4C2D03A2">
      <w:pPr>
        <w:bidi w:val="0"/>
        <w:rPr>
          <w:color w:val="auto"/>
          <w:highlight w:val="none"/>
        </w:rPr>
      </w:pPr>
      <w:r>
        <w:rPr>
          <w:rFonts w:hint="eastAsia"/>
          <w:color w:val="auto"/>
          <w:highlight w:val="none"/>
        </w:rPr>
        <w:t>致：重庆三峡银行股份有限公司：</w:t>
      </w:r>
    </w:p>
    <w:p w14:paraId="4368BC5B">
      <w:pPr>
        <w:bidi w:val="0"/>
        <w:rPr>
          <w:color w:val="auto"/>
          <w:highlight w:val="none"/>
          <w:lang w:val="en-US" w:eastAsia="zh-CN"/>
        </w:rPr>
      </w:pPr>
    </w:p>
    <w:p w14:paraId="0CC172C0">
      <w:pPr>
        <w:bidi w:val="0"/>
        <w:rPr>
          <w:rFonts w:hint="eastAsia"/>
          <w:color w:val="auto"/>
          <w:highlight w:val="none"/>
          <w:lang w:val="en-US" w:eastAsia="zh-CN"/>
        </w:rPr>
      </w:pPr>
      <w:r>
        <w:rPr>
          <w:rFonts w:hint="eastAsia"/>
          <w:color w:val="auto"/>
          <w:highlight w:val="none"/>
          <w:lang w:val="en-US" w:eastAsia="zh-CN"/>
        </w:rPr>
        <w:t>我公司本次如若中标，中标后我公司向行方提供的任何产品（包括但不限于：设备硬件、设备软件、设备配件、设备本身等）和服务不存在侵犯任何其他方知识产权或专利权的情形；如行方因此遭受任何第三方的起诉或索赔，我公司承诺主动与起诉方或索赔方进行交涉，为行方的应诉或处理索赔事宜支付费用，支付行方因败诉或被索赔应偿付的赔偿款，并对行方由此造成的全部损失进行赔偿。</w:t>
      </w:r>
    </w:p>
    <w:p w14:paraId="539ADA23">
      <w:pPr>
        <w:bidi w:val="0"/>
        <w:rPr>
          <w:rFonts w:hint="eastAsia"/>
          <w:color w:val="auto"/>
          <w:highlight w:val="none"/>
          <w:lang w:val="en-US" w:eastAsia="zh-CN"/>
        </w:rPr>
      </w:pPr>
    </w:p>
    <w:p w14:paraId="5FC57B06">
      <w:pPr>
        <w:bidi w:val="0"/>
        <w:rPr>
          <w:rFonts w:hint="eastAsia"/>
          <w:color w:val="auto"/>
          <w:highlight w:val="none"/>
          <w:lang w:val="en-US" w:eastAsia="zh-CN"/>
        </w:rPr>
      </w:pPr>
    </w:p>
    <w:p w14:paraId="52B6D4A4">
      <w:pPr>
        <w:bidi w:val="0"/>
        <w:rPr>
          <w:color w:val="auto"/>
          <w:highlight w:val="none"/>
        </w:rPr>
      </w:pPr>
      <w:r>
        <w:rPr>
          <w:rFonts w:hint="eastAsia"/>
          <w:color w:val="auto"/>
          <w:highlight w:val="none"/>
        </w:rPr>
        <w:t>特此</w:t>
      </w:r>
      <w:r>
        <w:rPr>
          <w:rFonts w:hint="eastAsia"/>
          <w:color w:val="auto"/>
          <w:highlight w:val="none"/>
          <w:lang w:val="en-US" w:eastAsia="zh-CN"/>
        </w:rPr>
        <w:t>承诺</w:t>
      </w:r>
      <w:r>
        <w:rPr>
          <w:rFonts w:hint="eastAsia"/>
          <w:color w:val="auto"/>
          <w:highlight w:val="none"/>
        </w:rPr>
        <w:t>。</w:t>
      </w:r>
    </w:p>
    <w:p w14:paraId="379CF598">
      <w:pPr>
        <w:bidi w:val="0"/>
        <w:rPr>
          <w:color w:val="auto"/>
          <w:highlight w:val="none"/>
        </w:rPr>
      </w:pPr>
    </w:p>
    <w:p w14:paraId="12C31B63">
      <w:pPr>
        <w:bidi w:val="0"/>
        <w:rPr>
          <w:color w:val="auto"/>
          <w:highlight w:val="none"/>
        </w:rPr>
      </w:pPr>
    </w:p>
    <w:p w14:paraId="03E96FDC">
      <w:pPr>
        <w:bidi w:val="0"/>
        <w:jc w:val="right"/>
        <w:rPr>
          <w:color w:val="auto"/>
          <w:highlight w:val="none"/>
        </w:rPr>
      </w:pPr>
      <w:r>
        <w:rPr>
          <w:rFonts w:hint="eastAsia"/>
          <w:color w:val="auto"/>
          <w:highlight w:val="none"/>
        </w:rPr>
        <w:t>（</w:t>
      </w:r>
      <w:r>
        <w:rPr>
          <w:rFonts w:hint="eastAsia"/>
          <w:color w:val="auto"/>
          <w:highlight w:val="none"/>
          <w:lang w:eastAsia="zh-CN"/>
        </w:rPr>
        <w:t>投标</w:t>
      </w:r>
      <w:r>
        <w:rPr>
          <w:rFonts w:hint="eastAsia"/>
          <w:color w:val="auto"/>
          <w:highlight w:val="none"/>
        </w:rPr>
        <w:t>人公章）</w:t>
      </w:r>
    </w:p>
    <w:p w14:paraId="5ECECDE6">
      <w:pPr>
        <w:bidi w:val="0"/>
        <w:jc w:val="right"/>
        <w:rPr>
          <w:color w:val="auto"/>
          <w:highlight w:val="none"/>
        </w:rPr>
      </w:pPr>
      <w:r>
        <w:rPr>
          <w:rFonts w:hint="eastAsia"/>
          <w:color w:val="auto"/>
          <w:highlight w:val="none"/>
        </w:rPr>
        <w:t>年   月   日</w:t>
      </w:r>
    </w:p>
    <w:p w14:paraId="77DAD71C">
      <w:pPr>
        <w:bidi w:val="0"/>
        <w:rPr>
          <w:color w:val="auto"/>
          <w:highlight w:val="none"/>
          <w:lang w:val="en-US" w:eastAsia="zh-CN"/>
        </w:rPr>
      </w:pPr>
    </w:p>
    <w:p w14:paraId="48C09B4A">
      <w:pPr>
        <w:bidi w:val="0"/>
        <w:rPr>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6144"/>
        </w:sectPr>
      </w:pPr>
    </w:p>
    <w:p w14:paraId="5B8D2638">
      <w:pPr>
        <w:pStyle w:val="31"/>
        <w:bidi w:val="0"/>
        <w:rPr>
          <w:rFonts w:hint="eastAsia"/>
          <w:color w:val="auto"/>
          <w:highlight w:val="none"/>
        </w:rPr>
      </w:pPr>
      <w:r>
        <w:rPr>
          <w:rFonts w:hint="eastAsia"/>
          <w:color w:val="auto"/>
          <w:highlight w:val="none"/>
          <w:lang w:val="en-US" w:eastAsia="zh-CN"/>
        </w:rPr>
        <w:t>（四）</w:t>
      </w:r>
      <w:r>
        <w:rPr>
          <w:rFonts w:hint="eastAsia"/>
          <w:color w:val="auto"/>
          <w:highlight w:val="none"/>
        </w:rPr>
        <w:t>投标保证金</w:t>
      </w:r>
      <w:bookmarkEnd w:id="567"/>
    </w:p>
    <w:p w14:paraId="78E340F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ascii="Arial" w:hAnsi="Arial" w:cs="Arial"/>
          <w:color w:val="auto"/>
          <w:sz w:val="21"/>
          <w:szCs w:val="21"/>
          <w:highlight w:val="none"/>
        </w:rPr>
      </w:pPr>
      <w:r>
        <w:rPr>
          <w:rFonts w:ascii="Arial" w:hAnsi="Arial" w:eastAsia="Arial" w:cs="Arial"/>
          <w:snapToGrid w:val="0"/>
          <w:color w:val="auto"/>
          <w:kern w:val="0"/>
          <w:sz w:val="21"/>
          <w:szCs w:val="21"/>
          <w:highlight w:val="none"/>
          <w:lang w:val="en-US" w:eastAsia="zh-CN"/>
        </w:rPr>
        <w:t>（应在此提供汇款凭证的扫描件）</w:t>
      </w:r>
    </w:p>
    <w:p w14:paraId="4CBBCD02">
      <w:pPr>
        <w:ind w:left="0" w:firstLine="0" w:firstLineChars="0"/>
        <w:rPr>
          <w:rFonts w:hint="eastAsia"/>
          <w:color w:val="auto"/>
          <w:highlight w:val="none"/>
          <w:lang w:val="en-US" w:eastAsia="zh-CN"/>
        </w:rPr>
      </w:pPr>
    </w:p>
    <w:p w14:paraId="1BA91FCB">
      <w:pPr>
        <w:pStyle w:val="4"/>
        <w:outlineLvl w:val="9"/>
        <w:rPr>
          <w:rFonts w:hint="eastAsia"/>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6144"/>
        </w:sectPr>
      </w:pPr>
    </w:p>
    <w:p w14:paraId="576E28C6">
      <w:pPr>
        <w:pStyle w:val="31"/>
        <w:bidi w:val="0"/>
        <w:rPr>
          <w:rFonts w:hint="eastAsia" w:eastAsia="宋体"/>
          <w:color w:val="auto"/>
          <w:highlight w:val="none"/>
          <w:lang w:eastAsia="zh-CN"/>
        </w:rPr>
      </w:pPr>
      <w:r>
        <w:rPr>
          <w:rFonts w:hint="eastAsia"/>
          <w:color w:val="auto"/>
          <w:highlight w:val="none"/>
          <w:lang w:val="en-US" w:eastAsia="zh-CN"/>
        </w:rPr>
        <w:t>（五）其他（如有）</w:t>
      </w:r>
    </w:p>
    <w:p w14:paraId="53A57638">
      <w:pPr>
        <w:bidi w:val="0"/>
        <w:rPr>
          <w:rFonts w:hint="eastAsia"/>
          <w:color w:val="auto"/>
          <w:highlight w:val="none"/>
          <w:lang w:val="zh-CN"/>
        </w:rPr>
      </w:pPr>
      <w:r>
        <w:rPr>
          <w:rFonts w:hint="eastAsia"/>
          <w:color w:val="auto"/>
          <w:highlight w:val="none"/>
          <w:lang w:val="zh-CN"/>
        </w:rPr>
        <w:t>（</w:t>
      </w:r>
      <w:r>
        <w:rPr>
          <w:rFonts w:hint="eastAsia"/>
          <w:color w:val="auto"/>
          <w:highlight w:val="none"/>
          <w:lang w:val="en-US" w:eastAsia="zh-CN"/>
        </w:rPr>
        <w:t>如有第五章中需要提供的其他材料，可在此提供</w:t>
      </w:r>
      <w:r>
        <w:rPr>
          <w:rFonts w:hint="eastAsia"/>
          <w:color w:val="auto"/>
          <w:highlight w:val="none"/>
          <w:lang w:val="zh-CN"/>
        </w:rPr>
        <w:t>）</w:t>
      </w:r>
    </w:p>
    <w:p w14:paraId="5C1EB482">
      <w:pPr>
        <w:ind w:left="0" w:firstLine="0" w:firstLineChars="0"/>
        <w:rPr>
          <w:rFonts w:hint="eastAsia"/>
          <w:color w:val="auto"/>
          <w:highlight w:val="none"/>
          <w:lang w:val="en-US" w:eastAsia="zh-CN"/>
        </w:rPr>
      </w:pPr>
    </w:p>
    <w:p w14:paraId="5719CC61">
      <w:pPr>
        <w:ind w:left="0" w:firstLine="0" w:firstLineChars="0"/>
        <w:rPr>
          <w:rFonts w:hint="eastAsia"/>
          <w:color w:val="auto"/>
          <w:highlight w:val="none"/>
          <w:lang w:val="en-US" w:eastAsia="zh-CN"/>
        </w:rPr>
      </w:pPr>
    </w:p>
    <w:p w14:paraId="3F58570C">
      <w:pPr>
        <w:pStyle w:val="4"/>
        <w:outlineLvl w:val="9"/>
        <w:rPr>
          <w:rFonts w:hint="eastAsia"/>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6144"/>
        </w:sectPr>
      </w:pPr>
    </w:p>
    <w:p w14:paraId="39887A5C">
      <w:pPr>
        <w:pStyle w:val="29"/>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eastAsia"/>
          <w:color w:val="auto"/>
          <w:highlight w:val="none"/>
        </w:rPr>
      </w:pPr>
      <w:bookmarkStart w:id="584" w:name="_Toc32535"/>
      <w:r>
        <w:rPr>
          <w:rFonts w:hint="eastAsia"/>
          <w:color w:val="auto"/>
          <w:highlight w:val="none"/>
          <w:lang w:val="en-US" w:eastAsia="zh-CN"/>
        </w:rPr>
        <w:t>六、商务文件</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bookmarkEnd w:id="584"/>
    </w:p>
    <w:p w14:paraId="3D26EEA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color w:val="auto"/>
          <w:highlight w:val="none"/>
        </w:rPr>
      </w:pPr>
      <w:r>
        <w:rPr>
          <w:rFonts w:hint="eastAsia"/>
          <w:color w:val="auto"/>
          <w:highlight w:val="none"/>
        </w:rPr>
        <w:t>（</w:t>
      </w:r>
      <w:r>
        <w:rPr>
          <w:rFonts w:hint="eastAsia"/>
          <w:color w:val="auto"/>
          <w:highlight w:val="none"/>
          <w:lang w:val="en-US" w:eastAsia="zh-CN"/>
        </w:rPr>
        <w:t>根据第三章内容，如有则提供相关材料</w:t>
      </w:r>
      <w:r>
        <w:rPr>
          <w:rFonts w:hint="eastAsia"/>
          <w:color w:val="auto"/>
          <w:highlight w:val="none"/>
        </w:rPr>
        <w:t>）</w:t>
      </w:r>
    </w:p>
    <w:p w14:paraId="32AAD8C6">
      <w:pPr>
        <w:rPr>
          <w:rStyle w:val="37"/>
          <w:rFonts w:hint="eastAsia"/>
          <w:b/>
          <w:bCs/>
          <w:color w:val="auto"/>
          <w:highlight w:val="none"/>
          <w:lang w:val="en-US" w:eastAsia="zh-CN"/>
        </w:rPr>
      </w:pPr>
      <w:r>
        <w:rPr>
          <w:rStyle w:val="37"/>
          <w:rFonts w:hint="eastAsia"/>
          <w:b/>
          <w:bCs/>
          <w:color w:val="auto"/>
          <w:highlight w:val="none"/>
          <w:lang w:val="en-US" w:eastAsia="zh-CN"/>
        </w:rPr>
        <w:br w:type="page"/>
      </w:r>
    </w:p>
    <w:p w14:paraId="11960941">
      <w:pPr>
        <w:pStyle w:val="3"/>
        <w:jc w:val="center"/>
        <w:rPr>
          <w:rFonts w:hint="eastAsia" w:eastAsia="宋体"/>
          <w:color w:val="auto"/>
          <w:highlight w:val="none"/>
          <w:lang w:eastAsia="zh-CN"/>
        </w:rPr>
      </w:pPr>
      <w:bookmarkStart w:id="585" w:name="_Toc12144"/>
      <w:r>
        <w:rPr>
          <w:rFonts w:hint="eastAsia"/>
          <w:color w:val="auto"/>
          <w:highlight w:val="none"/>
          <w:lang w:val="en-US" w:eastAsia="zh-CN"/>
        </w:rPr>
        <w:t>七</w:t>
      </w:r>
      <w:r>
        <w:rPr>
          <w:rFonts w:hint="eastAsia"/>
          <w:color w:val="auto"/>
          <w:highlight w:val="none"/>
        </w:rPr>
        <w:t>、</w:t>
      </w:r>
      <w:r>
        <w:rPr>
          <w:rFonts w:hint="eastAsia"/>
          <w:color w:val="auto"/>
          <w:highlight w:val="none"/>
          <w:lang w:val="en-US" w:eastAsia="zh-CN"/>
        </w:rPr>
        <w:t>其他（如有）</w:t>
      </w:r>
      <w:bookmarkEnd w:id="585"/>
    </w:p>
    <w:p w14:paraId="4D5EA975">
      <w:pPr>
        <w:bidi w:val="0"/>
        <w:rPr>
          <w:rFonts w:hint="eastAsia"/>
          <w:color w:val="auto"/>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3DFF4">
    <w:pPr>
      <w:pStyle w:val="16"/>
      <w:ind w:firstLine="0" w:firstLineChars="0"/>
      <w:jc w:val="both"/>
      <w:rPr>
        <w:rFonts w:hint="eastAsia"/>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E64B7">
    <w:pPr>
      <w:pStyle w:val="16"/>
      <w:ind w:firstLine="0" w:firstLineChars="0"/>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6569F">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86569F">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FAF5B">
    <w:pPr>
      <w:pStyle w:val="17"/>
      <w:pBdr>
        <w:bottom w:val="none" w:color="auto" w:sz="0" w:space="0"/>
      </w:pBdr>
      <w:ind w:firstLine="0" w:firstLineChars="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ZTg2MDBhN2Q3ZWM5NjQyYzQzZDdlNDk2YzJkNjMxYzAifQ=="/>
  </w:docVars>
  <w:rsids>
    <w:rsidRoot w:val="00000000"/>
    <w:rsid w:val="055F6573"/>
    <w:rsid w:val="071F1FF2"/>
    <w:rsid w:val="07E86B8A"/>
    <w:rsid w:val="1FC828A4"/>
    <w:rsid w:val="2AA21AB4"/>
    <w:rsid w:val="304212B8"/>
    <w:rsid w:val="35787AAA"/>
    <w:rsid w:val="4B3960A3"/>
    <w:rsid w:val="4E3462F4"/>
    <w:rsid w:val="6D321033"/>
    <w:rsid w:val="7ABA1E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41"/>
    <w:autoRedefine/>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42"/>
    <w:autoRedefine/>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4">
    <w:name w:val="heading 3"/>
    <w:basedOn w:val="1"/>
    <w:next w:val="1"/>
    <w:link w:val="43"/>
    <w:autoRedefine/>
    <w:unhideWhenUsed/>
    <w:qFormat/>
    <w:uiPriority w:val="9"/>
    <w:pPr>
      <w:keepNext w:val="0"/>
      <w:keepLines w:val="0"/>
      <w:spacing w:before="0" w:after="0" w:line="360" w:lineRule="auto"/>
      <w:outlineLvl w:val="2"/>
    </w:pPr>
    <w:rPr>
      <w:b/>
      <w:bCs/>
      <w:szCs w:val="32"/>
    </w:rPr>
  </w:style>
  <w:style w:type="paragraph" w:styleId="5">
    <w:name w:val="heading 4"/>
    <w:basedOn w:val="1"/>
    <w:next w:val="1"/>
    <w:link w:val="38"/>
    <w:autoRedefine/>
    <w:qFormat/>
    <w:uiPriority w:val="0"/>
    <w:pPr>
      <w:keepNext w:val="0"/>
      <w:keepLines w:val="0"/>
      <w:spacing w:line="360" w:lineRule="auto"/>
      <w:ind w:firstLine="1044" w:firstLineChars="200"/>
      <w:outlineLvl w:val="3"/>
    </w:pPr>
    <w:rPr>
      <w:rFonts w:cs="Times New Roman"/>
      <w:bCs/>
      <w:szCs w:val="28"/>
    </w:rPr>
  </w:style>
  <w:style w:type="paragraph" w:styleId="6">
    <w:name w:val="heading 5"/>
    <w:basedOn w:val="1"/>
    <w:next w:val="1"/>
    <w:link w:val="44"/>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paragraph" w:styleId="9">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24">
    <w:name w:val="Default Paragraph Font"/>
    <w:autoRedefine/>
    <w:semiHidden/>
    <w:unhideWhenUsed/>
    <w:qFormat/>
    <w:uiPriority w:val="1"/>
  </w:style>
  <w:style w:type="table" w:default="1" w:styleId="23">
    <w:name w:val="Normal Table"/>
    <w:semiHidden/>
    <w:qFormat/>
    <w:uiPriority w:val="0"/>
    <w:tblPr>
      <w:tblCellMar>
        <w:top w:w="0" w:type="dxa"/>
        <w:left w:w="108" w:type="dxa"/>
        <w:bottom w:w="0" w:type="dxa"/>
        <w:right w:w="108" w:type="dxa"/>
      </w:tblCellMar>
    </w:tblPr>
  </w:style>
  <w:style w:type="paragraph" w:styleId="10">
    <w:name w:val="Normal Indent"/>
    <w:basedOn w:val="1"/>
    <w:uiPriority w:val="0"/>
    <w:pPr>
      <w:ind w:firstLine="420" w:firstLineChars="200"/>
    </w:pPr>
  </w:style>
  <w:style w:type="paragraph" w:styleId="11">
    <w:name w:val="annotation text"/>
    <w:basedOn w:val="1"/>
    <w:uiPriority w:val="0"/>
    <w:pPr>
      <w:jc w:val="left"/>
    </w:pPr>
  </w:style>
  <w:style w:type="paragraph" w:styleId="12">
    <w:name w:val="Body Text 3"/>
    <w:basedOn w:val="1"/>
    <w:uiPriority w:val="0"/>
    <w:pPr>
      <w:spacing w:after="120" w:afterLines="0" w:afterAutospacing="0"/>
    </w:pPr>
    <w:rPr>
      <w:sz w:val="16"/>
    </w:rPr>
  </w:style>
  <w:style w:type="paragraph" w:styleId="13">
    <w:name w:val="Body Text"/>
    <w:basedOn w:val="1"/>
    <w:uiPriority w:val="0"/>
    <w:pPr>
      <w:spacing w:after="120" w:afterLines="0" w:afterAutospacing="0"/>
    </w:pPr>
  </w:style>
  <w:style w:type="paragraph" w:styleId="14">
    <w:name w:val="Block Text"/>
    <w:basedOn w:val="1"/>
    <w:uiPriority w:val="0"/>
    <w:pPr>
      <w:spacing w:after="120" w:afterLines="0" w:afterAutospacing="0"/>
      <w:ind w:left="1440" w:leftChars="700" w:rightChars="700"/>
    </w:pPr>
  </w:style>
  <w:style w:type="paragraph" w:styleId="15">
    <w:name w:val="toc 3"/>
    <w:basedOn w:val="1"/>
    <w:next w:val="1"/>
    <w:uiPriority w:val="0"/>
    <w:pPr>
      <w:ind w:left="840" w:leftChars="400"/>
    </w:p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20">
    <w:name w:val="toc 2"/>
    <w:basedOn w:val="1"/>
    <w:next w:val="1"/>
    <w:qFormat/>
    <w:uiPriority w:val="0"/>
    <w:pPr>
      <w:ind w:left="420" w:leftChars="200"/>
    </w:pPr>
  </w:style>
  <w:style w:type="paragraph" w:styleId="21">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2">
    <w:name w:val="annotation subject"/>
    <w:basedOn w:val="11"/>
    <w:next w:val="11"/>
    <w:qFormat/>
    <w:uiPriority w:val="0"/>
    <w:rPr>
      <w:b/>
    </w:rPr>
  </w:style>
  <w:style w:type="character" w:styleId="25">
    <w:name w:val="Hyperlink"/>
    <w:basedOn w:val="24"/>
    <w:uiPriority w:val="0"/>
    <w:rPr>
      <w:color w:val="0000FF"/>
      <w:u w:val="single"/>
    </w:rPr>
  </w:style>
  <w:style w:type="character" w:styleId="26">
    <w:name w:val="annotation reference"/>
    <w:basedOn w:val="24"/>
    <w:qFormat/>
    <w:uiPriority w:val="0"/>
    <w:rPr>
      <w:sz w:val="21"/>
    </w:rPr>
  </w:style>
  <w:style w:type="paragraph" w:styleId="27">
    <w:name w:val="List Paragraph"/>
    <w:basedOn w:val="1"/>
    <w:qFormat/>
    <w:uiPriority w:val="0"/>
    <w:pPr>
      <w:spacing w:before="97"/>
      <w:ind w:left="134"/>
    </w:pPr>
    <w:rPr>
      <w:rFonts w:ascii="宋体" w:hAnsi="宋体" w:eastAsia="宋体" w:cs="宋体"/>
      <w:lang w:val="zh-CN" w:eastAsia="zh-CN" w:bidi="zh-CN"/>
    </w:rPr>
  </w:style>
  <w:style w:type="paragraph" w:customStyle="1" w:styleId="28">
    <w:name w:val="Table Paragraph"/>
    <w:basedOn w:val="1"/>
    <w:qFormat/>
    <w:uiPriority w:val="0"/>
    <w:rPr>
      <w:rFonts w:ascii="宋体" w:hAnsi="宋体" w:eastAsia="宋体" w:cs="宋体"/>
      <w:lang w:val="zh-CN" w:eastAsia="zh-CN" w:bidi="zh-CN"/>
    </w:rPr>
  </w:style>
  <w:style w:type="paragraph" w:customStyle="1" w:styleId="29">
    <w:name w:val="参选文件格式1"/>
    <w:basedOn w:val="1"/>
    <w:next w:val="1"/>
    <w:link w:val="30"/>
    <w:autoRedefine/>
    <w:qFormat/>
    <w:uiPriority w:val="0"/>
    <w:pPr>
      <w:spacing w:line="360" w:lineRule="auto"/>
      <w:ind w:firstLine="0" w:firstLineChars="0"/>
      <w:jc w:val="center"/>
      <w:outlineLvl w:val="1"/>
    </w:pPr>
    <w:rPr>
      <w:rFonts w:hint="eastAsia" w:eastAsia="宋体"/>
      <w:b/>
      <w:sz w:val="28"/>
    </w:rPr>
  </w:style>
  <w:style w:type="character" w:customStyle="1" w:styleId="30">
    <w:name w:val="参选文件格式1 Char"/>
    <w:link w:val="29"/>
    <w:autoRedefine/>
    <w:qFormat/>
    <w:uiPriority w:val="0"/>
    <w:rPr>
      <w:rFonts w:hint="eastAsia" w:eastAsia="宋体"/>
      <w:b/>
      <w:sz w:val="28"/>
    </w:rPr>
  </w:style>
  <w:style w:type="paragraph" w:customStyle="1" w:styleId="31">
    <w:name w:val="参选文件格式2"/>
    <w:basedOn w:val="1"/>
    <w:next w:val="1"/>
    <w:link w:val="45"/>
    <w:autoRedefine/>
    <w:qFormat/>
    <w:uiPriority w:val="0"/>
    <w:pPr>
      <w:ind w:firstLine="0" w:firstLineChars="0"/>
      <w:jc w:val="center"/>
      <w:outlineLvl w:val="2"/>
    </w:pPr>
    <w:rPr>
      <w:rFonts w:eastAsia="宋体"/>
      <w:bCs/>
      <w:szCs w:val="32"/>
    </w:rPr>
  </w:style>
  <w:style w:type="paragraph" w:customStyle="1" w:styleId="32">
    <w:name w:val="参选文件格式3"/>
    <w:basedOn w:val="1"/>
    <w:link w:val="40"/>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33">
    <w:name w:val="font11"/>
    <w:basedOn w:val="24"/>
    <w:autoRedefine/>
    <w:qFormat/>
    <w:uiPriority w:val="0"/>
    <w:rPr>
      <w:rFonts w:ascii="宋体" w:hAnsi="宋体" w:eastAsia="宋体" w:cs="宋体"/>
      <w:b/>
      <w:bCs/>
      <w:color w:val="000000"/>
      <w:sz w:val="21"/>
      <w:szCs w:val="21"/>
      <w:u w:val="none"/>
    </w:rPr>
  </w:style>
  <w:style w:type="character" w:customStyle="1" w:styleId="34">
    <w:name w:val="font21"/>
    <w:basedOn w:val="24"/>
    <w:autoRedefine/>
    <w:qFormat/>
    <w:uiPriority w:val="0"/>
    <w:rPr>
      <w:rFonts w:ascii="宋体" w:hAnsi="宋体" w:eastAsia="宋体" w:cs="宋体"/>
      <w:color w:val="000000"/>
      <w:sz w:val="21"/>
      <w:szCs w:val="21"/>
      <w:u w:val="none"/>
    </w:rPr>
  </w:style>
  <w:style w:type="character" w:customStyle="1" w:styleId="35">
    <w:name w:val="font31"/>
    <w:basedOn w:val="24"/>
    <w:autoRedefine/>
    <w:qFormat/>
    <w:uiPriority w:val="0"/>
    <w:rPr>
      <w:rFonts w:ascii="宋体" w:hAnsi="宋体" w:eastAsia="宋体" w:cs="宋体"/>
      <w:color w:val="FF0000"/>
      <w:sz w:val="21"/>
      <w:szCs w:val="21"/>
      <w:u w:val="none"/>
    </w:rPr>
  </w:style>
  <w:style w:type="paragraph" w:customStyle="1" w:styleId="36">
    <w:name w:val="WPSOffice手动目录 1"/>
    <w:qFormat/>
    <w:uiPriority w:val="0"/>
    <w:rPr>
      <w:rFonts w:ascii="Times New Roman" w:hAnsi="Times New Roman" w:eastAsia="宋体" w:cs="Times New Roman"/>
      <w:sz w:val="20"/>
      <w:szCs w:val="20"/>
      <w:lang w:val="en-US" w:eastAsia="zh-CN" w:bidi="ar-SA"/>
    </w:rPr>
  </w:style>
  <w:style w:type="character" w:customStyle="1" w:styleId="37">
    <w:name w:val="标题 4 Char"/>
    <w:link w:val="5"/>
    <w:autoRedefine/>
    <w:qFormat/>
    <w:uiPriority w:val="0"/>
    <w:rPr>
      <w:rFonts w:cs="Times New Roman"/>
      <w:bCs/>
      <w:szCs w:val="28"/>
    </w:rPr>
  </w:style>
  <w:style w:type="character" w:customStyle="1" w:styleId="38">
    <w:name w:val="heading 4 Char"/>
    <w:link w:val="5"/>
    <w:autoRedefine/>
    <w:qFormat/>
    <w:uiPriority w:val="0"/>
    <w:rPr>
      <w:rFonts w:cs="Times New Roman"/>
      <w:bCs/>
      <w:szCs w:val="28"/>
    </w:rPr>
  </w:style>
  <w:style w:type="character" w:customStyle="1" w:styleId="39">
    <w:name w:val="heading 5 Char"/>
    <w:link w:val="6"/>
    <w:autoRedefine/>
    <w:qFormat/>
    <w:uiPriority w:val="0"/>
    <w:rPr>
      <w:rFonts w:ascii="Times New Roman" w:hAnsi="Times New Roman" w:eastAsia="宋体"/>
      <w:b/>
      <w:sz w:val="28"/>
    </w:rPr>
  </w:style>
  <w:style w:type="character" w:customStyle="1" w:styleId="40">
    <w:name w:val="参选文件格式3 Char"/>
    <w:link w:val="32"/>
    <w:autoRedefine/>
    <w:qFormat/>
    <w:uiPriority w:val="0"/>
    <w:rPr>
      <w:rFonts w:hint="eastAsia" w:ascii="宋体" w:hAnsi="宋体" w:eastAsia="宋体"/>
      <w:b/>
      <w:snapToGrid w:val="0"/>
      <w:kern w:val="0"/>
      <w:u w:val="none"/>
    </w:rPr>
  </w:style>
  <w:style w:type="character" w:customStyle="1" w:styleId="41">
    <w:name w:val="标题 1 Char"/>
    <w:basedOn w:val="24"/>
    <w:link w:val="2"/>
    <w:autoRedefine/>
    <w:qFormat/>
    <w:uiPriority w:val="0"/>
    <w:rPr>
      <w:rFonts w:ascii="Times New Roman" w:hAnsi="Times New Roman" w:eastAsia="宋体" w:cs="等线 Light"/>
      <w:b/>
      <w:snapToGrid w:val="0"/>
      <w:kern w:val="0"/>
      <w:sz w:val="44"/>
      <w:szCs w:val="44"/>
    </w:rPr>
  </w:style>
  <w:style w:type="character" w:customStyle="1" w:styleId="42">
    <w:name w:val="标题 2 Char"/>
    <w:basedOn w:val="24"/>
    <w:link w:val="3"/>
    <w:autoRedefine/>
    <w:qFormat/>
    <w:uiPriority w:val="9"/>
    <w:rPr>
      <w:rFonts w:ascii="Times New Roman" w:hAnsi="Times New Roman" w:eastAsia="宋体" w:cstheme="majorBidi"/>
      <w:b/>
      <w:bCs/>
      <w:snapToGrid w:val="0"/>
      <w:szCs w:val="24"/>
    </w:rPr>
  </w:style>
  <w:style w:type="character" w:customStyle="1" w:styleId="43">
    <w:name w:val="标题 3 Char"/>
    <w:basedOn w:val="24"/>
    <w:link w:val="4"/>
    <w:autoRedefine/>
    <w:qFormat/>
    <w:uiPriority w:val="9"/>
    <w:rPr>
      <w:b/>
      <w:bCs/>
      <w:szCs w:val="32"/>
    </w:rPr>
  </w:style>
  <w:style w:type="character" w:customStyle="1" w:styleId="44">
    <w:name w:val="标题 5 Char"/>
    <w:link w:val="6"/>
    <w:autoRedefine/>
    <w:qFormat/>
    <w:uiPriority w:val="0"/>
    <w:rPr>
      <w:rFonts w:ascii="Times New Roman" w:hAnsi="Times New Roman" w:eastAsia="宋体"/>
      <w:b/>
      <w:sz w:val="28"/>
    </w:rPr>
  </w:style>
  <w:style w:type="character" w:customStyle="1" w:styleId="45">
    <w:name w:val="参选文件格式2 Char"/>
    <w:link w:val="31"/>
    <w:autoRedefine/>
    <w:qFormat/>
    <w:uiPriority w:val="0"/>
    <w:rPr>
      <w:rFonts w:eastAsia="宋体"/>
      <w:bCs/>
      <w:szCs w:val="32"/>
    </w:rPr>
  </w:style>
  <w:style w:type="paragraph" w:customStyle="1" w:styleId="46">
    <w:name w:val="表格"/>
    <w:basedOn w:val="1"/>
    <w:qFormat/>
    <w:uiPriority w:val="0"/>
    <w:pPr>
      <w:spacing w:line="400" w:lineRule="exact"/>
      <w:ind w:firstLine="0" w:firstLineChars="0"/>
    </w:pPr>
    <w:rPr>
      <w:rFonts w:ascii="Times New Roman" w:hAnsi="Times New Roman" w:eastAsia="宋体"/>
      <w:bCs/>
      <w:color w:val="auto"/>
      <w:szCs w:val="18"/>
    </w:rPr>
  </w:style>
  <w:style w:type="paragraph" w:customStyle="1" w:styleId="47">
    <w:name w:val="表格（标题）"/>
    <w:basedOn w:val="1"/>
    <w:qFormat/>
    <w:uiPriority w:val="0"/>
    <w:pPr>
      <w:spacing w:line="360" w:lineRule="auto"/>
      <w:ind w:firstLine="0" w:firstLineChars="0"/>
      <w:jc w:val="center"/>
    </w:pPr>
    <w:rPr>
      <w:rFonts w:ascii="Times New Roman" w:hAnsi="Times New Roman" w:eastAsia="宋体"/>
      <w:b/>
      <w:bCs/>
      <w:color w:val="auto"/>
      <w:sz w:val="21"/>
      <w:szCs w:val="18"/>
    </w:rPr>
  </w:style>
  <w:style w:type="paragraph" w:customStyle="1" w:styleId="48">
    <w:name w:val="标题2（无级别）"/>
    <w:basedOn w:val="1"/>
    <w:next w:val="1"/>
    <w:qFormat/>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49">
    <w:name w:val="标题3（无级别）"/>
    <w:basedOn w:val="1"/>
    <w:next w:val="1"/>
    <w:qFormat/>
    <w:uiPriority w:val="0"/>
    <w:pPr>
      <w:outlineLvl w:val="9"/>
    </w:pPr>
    <w:rPr>
      <w:rFonts w:hint="eastAsia" w:ascii="Times New Roman" w:hAnsi="Times New Roman"/>
      <w:b/>
      <w:bCs/>
      <w:sz w:val="21"/>
      <w:szCs w:val="32"/>
    </w:rPr>
  </w:style>
  <w:style w:type="paragraph" w:customStyle="1" w:styleId="50">
    <w:name w:val="标题2（无级别，居中）"/>
    <w:basedOn w:val="1"/>
    <w:uiPriority w:val="0"/>
    <w:pPr>
      <w:ind w:firstLine="0" w:firstLineChars="0"/>
      <w:jc w:val="center"/>
      <w:outlineLvl w:val="9"/>
    </w:pPr>
    <w:rPr>
      <w:rFonts w:hint="eastAsia" w:ascii="Times New Roman" w:hAnsi="Times New Roman" w:cstheme="majorBidi"/>
      <w:b/>
      <w:bCs/>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8A059F-9109-4517-8EA7-EF75FC688A60}">
  <ds:schemaRefs/>
</ds:datastoreItem>
</file>

<file path=docProps/app.xml><?xml version="1.0" encoding="utf-8"?>
<Properties xmlns="http://schemas.openxmlformats.org/officeDocument/2006/extended-properties" xmlns:vt="http://schemas.openxmlformats.org/officeDocument/2006/docPropsVTypes">
  <Template>Normal.eit</Template>
  <Pages>68</Pages>
  <Words>29812</Words>
  <Characters>31593</Characters>
  <Lines>0</Lines>
  <Paragraphs>876</Paragraphs>
  <TotalTime>0</TotalTime>
  <ScaleCrop>false</ScaleCrop>
  <LinksUpToDate>false</LinksUpToDate>
  <CharactersWithSpaces>33676</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2021-12-02T05:41:00Z</dcterms:created>
  <dc:creator>宋菁菁</dc:creator>
  <cp:lastModifiedBy>杜玲子</cp:lastModifiedBy>
  <dcterms:modified xsi:type="dcterms:W3CDTF">2024-09-11T01:18:48Z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3F2A089258CC4C32B010FC1D07693894_13</vt:lpwstr>
  </property>
</Properties>
</file>