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23021">
      <w:pPr>
        <w:tabs>
          <w:tab w:val="center" w:pos="4201"/>
          <w:tab w:val="right" w:leader="dot" w:pos="9298"/>
        </w:tabs>
        <w:ind w:firstLine="0" w:firstLineChars="0"/>
        <w:rPr>
          <w:color w:val="auto"/>
          <w:highlight w:val="none"/>
        </w:rPr>
      </w:pPr>
    </w:p>
    <w:p w14:paraId="2296E3D8">
      <w:pPr>
        <w:ind w:firstLine="0" w:firstLineChars="0"/>
        <w:rPr>
          <w:rFonts w:cs="Cambria"/>
          <w:b/>
          <w:snapToGrid w:val="0"/>
          <w:color w:val="auto"/>
          <w:kern w:val="0"/>
          <w:sz w:val="52"/>
          <w:szCs w:val="84"/>
          <w:highlight w:val="none"/>
        </w:rPr>
      </w:pPr>
    </w:p>
    <w:p w14:paraId="76934EDC">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172FF413">
      <w:pPr>
        <w:ind w:firstLine="0" w:firstLineChars="0"/>
        <w:jc w:val="center"/>
        <w:rPr>
          <w:rFonts w:cs="Times New Roman"/>
          <w:b/>
          <w:snapToGrid w:val="0"/>
          <w:color w:val="auto"/>
          <w:kern w:val="0"/>
          <w:sz w:val="48"/>
          <w:szCs w:val="84"/>
          <w:highlight w:val="none"/>
        </w:rPr>
      </w:pPr>
      <w:r>
        <w:rPr>
          <w:rFonts w:cs="Times New Roman"/>
          <w:b/>
          <w:snapToGrid w:val="0"/>
          <w:color w:val="auto"/>
          <w:kern w:val="0"/>
          <w:sz w:val="48"/>
          <w:szCs w:val="84"/>
          <w:highlight w:val="none"/>
        </w:rPr>
        <w:t>身份认证系统</w:t>
      </w:r>
      <w:r>
        <w:rPr>
          <w:rFonts w:hint="eastAsia" w:cs="Times New Roman"/>
          <w:b/>
          <w:snapToGrid w:val="0"/>
          <w:color w:val="auto"/>
          <w:kern w:val="0"/>
          <w:sz w:val="48"/>
          <w:szCs w:val="84"/>
          <w:highlight w:val="none"/>
        </w:rPr>
        <w:t>项目</w:t>
      </w:r>
    </w:p>
    <w:p w14:paraId="65D0E760">
      <w:pPr>
        <w:ind w:firstLine="0" w:firstLineChars="0"/>
        <w:jc w:val="left"/>
        <w:rPr>
          <w:rFonts w:cs="Times New Roman"/>
          <w:snapToGrid w:val="0"/>
          <w:color w:val="auto"/>
          <w:kern w:val="0"/>
          <w:sz w:val="18"/>
          <w:highlight w:val="none"/>
        </w:rPr>
      </w:pPr>
    </w:p>
    <w:p w14:paraId="64B9ABEC">
      <w:pPr>
        <w:ind w:firstLine="0" w:firstLineChars="0"/>
        <w:jc w:val="left"/>
        <w:rPr>
          <w:rFonts w:cs="Times New Roman"/>
          <w:snapToGrid w:val="0"/>
          <w:color w:val="auto"/>
          <w:kern w:val="0"/>
          <w:sz w:val="20"/>
          <w:highlight w:val="none"/>
        </w:rPr>
      </w:pPr>
    </w:p>
    <w:p w14:paraId="693E449B">
      <w:pPr>
        <w:ind w:firstLine="0" w:firstLineChars="0"/>
        <w:jc w:val="left"/>
        <w:rPr>
          <w:rFonts w:cs="Times New Roman"/>
          <w:snapToGrid w:val="0"/>
          <w:color w:val="auto"/>
          <w:kern w:val="0"/>
          <w:sz w:val="20"/>
          <w:highlight w:val="none"/>
        </w:rPr>
      </w:pPr>
    </w:p>
    <w:p w14:paraId="65A7AD76">
      <w:pPr>
        <w:ind w:firstLine="0" w:firstLineChars="0"/>
        <w:jc w:val="left"/>
        <w:rPr>
          <w:rFonts w:cs="Times New Roman"/>
          <w:snapToGrid w:val="0"/>
          <w:color w:val="auto"/>
          <w:kern w:val="0"/>
          <w:sz w:val="20"/>
          <w:highlight w:val="none"/>
        </w:rPr>
      </w:pPr>
    </w:p>
    <w:p w14:paraId="536B1774">
      <w:pPr>
        <w:ind w:firstLine="0" w:firstLineChars="0"/>
        <w:jc w:val="left"/>
        <w:rPr>
          <w:rFonts w:cs="Times New Roman"/>
          <w:snapToGrid w:val="0"/>
          <w:color w:val="auto"/>
          <w:kern w:val="0"/>
          <w:sz w:val="20"/>
          <w:highlight w:val="none"/>
        </w:rPr>
      </w:pPr>
    </w:p>
    <w:p w14:paraId="6009F756">
      <w:pPr>
        <w:ind w:firstLine="0" w:firstLineChars="0"/>
        <w:jc w:val="left"/>
        <w:rPr>
          <w:rFonts w:cs="Times New Roman"/>
          <w:snapToGrid w:val="0"/>
          <w:color w:val="auto"/>
          <w:kern w:val="0"/>
          <w:sz w:val="20"/>
          <w:highlight w:val="none"/>
        </w:rPr>
      </w:pPr>
    </w:p>
    <w:p w14:paraId="41EE4BC7">
      <w:pPr>
        <w:ind w:firstLine="0" w:firstLineChars="0"/>
        <w:jc w:val="left"/>
        <w:rPr>
          <w:rFonts w:cs="Times New Roman"/>
          <w:snapToGrid w:val="0"/>
          <w:color w:val="auto"/>
          <w:kern w:val="0"/>
          <w:sz w:val="20"/>
          <w:highlight w:val="none"/>
        </w:rPr>
      </w:pPr>
    </w:p>
    <w:p w14:paraId="17442682">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比选</w:t>
      </w:r>
      <w:r>
        <w:rPr>
          <w:rFonts w:cs="Times New Roman"/>
          <w:b/>
          <w:snapToGrid w:val="0"/>
          <w:color w:val="auto"/>
          <w:kern w:val="0"/>
          <w:sz w:val="96"/>
          <w:szCs w:val="96"/>
          <w:highlight w:val="none"/>
        </w:rPr>
        <w:t>文件</w:t>
      </w:r>
    </w:p>
    <w:p w14:paraId="2159E925">
      <w:pPr>
        <w:ind w:firstLine="0" w:firstLineChars="0"/>
        <w:jc w:val="center"/>
        <w:rPr>
          <w:rFonts w:cs="Times New Roman"/>
          <w:b/>
          <w:snapToGrid w:val="0"/>
          <w:color w:val="auto"/>
          <w:kern w:val="0"/>
          <w:szCs w:val="28"/>
          <w:highlight w:val="none"/>
        </w:rPr>
      </w:pPr>
    </w:p>
    <w:p w14:paraId="05E7B9EF">
      <w:pPr>
        <w:ind w:firstLine="0" w:firstLineChars="0"/>
        <w:jc w:val="center"/>
        <w:rPr>
          <w:rFonts w:cs="Times New Roman"/>
          <w:b/>
          <w:snapToGrid w:val="0"/>
          <w:color w:val="auto"/>
          <w:kern w:val="0"/>
          <w:szCs w:val="28"/>
          <w:highlight w:val="none"/>
        </w:rPr>
      </w:pPr>
    </w:p>
    <w:p w14:paraId="3FE3C17B">
      <w:pPr>
        <w:ind w:firstLine="0" w:firstLineChars="0"/>
        <w:jc w:val="center"/>
        <w:rPr>
          <w:rFonts w:cs="Times New Roman"/>
          <w:b/>
          <w:snapToGrid w:val="0"/>
          <w:color w:val="auto"/>
          <w:kern w:val="0"/>
          <w:szCs w:val="28"/>
          <w:highlight w:val="none"/>
        </w:rPr>
      </w:pPr>
    </w:p>
    <w:p w14:paraId="47748BAD">
      <w:pPr>
        <w:ind w:firstLine="0" w:firstLineChars="0"/>
        <w:rPr>
          <w:color w:val="auto"/>
          <w:highlight w:val="none"/>
        </w:rPr>
      </w:pPr>
    </w:p>
    <w:p w14:paraId="08198026">
      <w:pPr>
        <w:pStyle w:val="34"/>
        <w:ind w:firstLine="420"/>
        <w:rPr>
          <w:color w:val="auto"/>
          <w:highlight w:val="none"/>
        </w:rPr>
      </w:pPr>
    </w:p>
    <w:p w14:paraId="66AD4706">
      <w:pPr>
        <w:ind w:firstLine="420"/>
        <w:rPr>
          <w:color w:val="auto"/>
          <w:highlight w:val="none"/>
        </w:rPr>
      </w:pPr>
    </w:p>
    <w:p w14:paraId="1331A5AA">
      <w:pPr>
        <w:ind w:firstLine="420"/>
        <w:rPr>
          <w:color w:val="auto"/>
          <w:highlight w:val="none"/>
        </w:rPr>
      </w:pPr>
    </w:p>
    <w:tbl>
      <w:tblPr>
        <w:tblStyle w:val="88"/>
        <w:tblW w:w="0" w:type="auto"/>
        <w:jc w:val="center"/>
        <w:tblLayout w:type="autofit"/>
        <w:tblCellMar>
          <w:top w:w="0" w:type="dxa"/>
          <w:left w:w="108" w:type="dxa"/>
          <w:bottom w:w="0" w:type="dxa"/>
          <w:right w:w="108" w:type="dxa"/>
        </w:tblCellMar>
      </w:tblPr>
      <w:tblGrid>
        <w:gridCol w:w="1756"/>
        <w:gridCol w:w="4744"/>
        <w:gridCol w:w="2020"/>
      </w:tblGrid>
      <w:tr w14:paraId="2B20CD64">
        <w:tblPrEx>
          <w:tblCellMar>
            <w:top w:w="0" w:type="dxa"/>
            <w:left w:w="108" w:type="dxa"/>
            <w:bottom w:w="0" w:type="dxa"/>
            <w:right w:w="108" w:type="dxa"/>
          </w:tblCellMar>
        </w:tblPrEx>
        <w:trPr>
          <w:jc w:val="center"/>
        </w:trPr>
        <w:tc>
          <w:tcPr>
            <w:tcW w:w="1756" w:type="dxa"/>
            <w:tcBorders>
              <w:tl2br w:val="nil"/>
              <w:tr2bl w:val="nil"/>
            </w:tcBorders>
            <w:vAlign w:val="center"/>
          </w:tcPr>
          <w:p w14:paraId="1CE56CB2">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比选人</w:t>
            </w:r>
          </w:p>
        </w:tc>
        <w:tc>
          <w:tcPr>
            <w:tcW w:w="4744" w:type="dxa"/>
            <w:tcBorders>
              <w:tl2br w:val="nil"/>
              <w:tr2bl w:val="nil"/>
            </w:tcBorders>
            <w:vAlign w:val="center"/>
          </w:tcPr>
          <w:p w14:paraId="2CE18471">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3111A4C">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Cs w:val="24"/>
                <w:highlight w:val="none"/>
              </w:rPr>
              <w:t>（盖单位</w:t>
            </w:r>
            <w:r>
              <w:rPr>
                <w:rFonts w:hint="eastAsia" w:cs="Times New Roman"/>
                <w:bCs/>
                <w:snapToGrid w:val="0"/>
                <w:color w:val="auto"/>
                <w:kern w:val="0"/>
                <w:szCs w:val="24"/>
                <w:highlight w:val="none"/>
                <w:lang w:val="en-US" w:eastAsia="zh-CN"/>
              </w:rPr>
              <w:t>公</w:t>
            </w:r>
            <w:r>
              <w:rPr>
                <w:rFonts w:hint="eastAsia" w:cs="Times New Roman"/>
                <w:bCs/>
                <w:snapToGrid w:val="0"/>
                <w:color w:val="auto"/>
                <w:kern w:val="0"/>
                <w:szCs w:val="24"/>
                <w:highlight w:val="none"/>
              </w:rPr>
              <w:t>章）</w:t>
            </w:r>
          </w:p>
        </w:tc>
      </w:tr>
      <w:tr w14:paraId="4C35ABAD">
        <w:tblPrEx>
          <w:tblCellMar>
            <w:top w:w="0" w:type="dxa"/>
            <w:left w:w="108" w:type="dxa"/>
            <w:bottom w:w="0" w:type="dxa"/>
            <w:right w:w="108" w:type="dxa"/>
          </w:tblCellMar>
        </w:tblPrEx>
        <w:trPr>
          <w:jc w:val="center"/>
        </w:trPr>
        <w:tc>
          <w:tcPr>
            <w:tcW w:w="1756" w:type="dxa"/>
            <w:tcBorders>
              <w:tl2br w:val="nil"/>
              <w:tr2bl w:val="nil"/>
            </w:tcBorders>
            <w:vAlign w:val="center"/>
          </w:tcPr>
          <w:p w14:paraId="324DC517">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3D68EF04">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2024 年</w:t>
            </w:r>
            <w:r>
              <w:rPr>
                <w:rFonts w:hint="eastAsia" w:cs="Times New Roman"/>
                <w:b/>
                <w:snapToGrid w:val="0"/>
                <w:color w:val="auto"/>
                <w:kern w:val="0"/>
                <w:sz w:val="30"/>
                <w:szCs w:val="30"/>
                <w:highlight w:val="none"/>
              </w:rPr>
              <w:t xml:space="preserve"> 9</w:t>
            </w:r>
            <w:r>
              <w:rPr>
                <w:rFonts w:cs="Times New Roman"/>
                <w:b/>
                <w:snapToGrid w:val="0"/>
                <w:color w:val="auto"/>
                <w:kern w:val="0"/>
                <w:sz w:val="30"/>
                <w:szCs w:val="30"/>
                <w:highlight w:val="none"/>
              </w:rPr>
              <w:t xml:space="preserve"> 月</w:t>
            </w:r>
          </w:p>
        </w:tc>
        <w:tc>
          <w:tcPr>
            <w:tcW w:w="2020" w:type="dxa"/>
            <w:vMerge w:val="continue"/>
            <w:tcBorders>
              <w:tl2br w:val="nil"/>
              <w:tr2bl w:val="nil"/>
            </w:tcBorders>
            <w:vAlign w:val="center"/>
          </w:tcPr>
          <w:p w14:paraId="5F050A17">
            <w:pPr>
              <w:ind w:firstLine="420"/>
              <w:rPr>
                <w:color w:val="auto"/>
                <w:highlight w:val="none"/>
              </w:rPr>
            </w:pPr>
          </w:p>
        </w:tc>
      </w:tr>
    </w:tbl>
    <w:p w14:paraId="2AF12BBA">
      <w:pPr>
        <w:ind w:firstLine="420"/>
        <w:rPr>
          <w:color w:val="auto"/>
          <w:highlight w:val="none"/>
        </w:rPr>
      </w:pPr>
    </w:p>
    <w:p w14:paraId="4C79D386">
      <w:pPr>
        <w:ind w:firstLine="420"/>
        <w:rPr>
          <w:color w:val="auto"/>
          <w:highlight w:val="none"/>
        </w:rPr>
        <w:sectPr>
          <w:pgSz w:w="11906" w:h="16838"/>
          <w:pgMar w:top="1440" w:right="1800" w:bottom="1440" w:left="1800" w:header="851" w:footer="992" w:gutter="0"/>
          <w:pgNumType w:start="1"/>
          <w:cols w:space="720" w:num="1"/>
          <w:docGrid w:type="lines" w:linePitch="312" w:charSpace="0"/>
        </w:sectPr>
      </w:pPr>
    </w:p>
    <w:p w14:paraId="3ACB417E">
      <w:pPr>
        <w:snapToGrid w:val="0"/>
        <w:ind w:firstLine="0" w:firstLineChars="0"/>
        <w:jc w:val="center"/>
        <w:rPr>
          <w:b/>
          <w:snapToGrid w:val="0"/>
          <w:color w:val="auto"/>
          <w:kern w:val="0"/>
          <w:sz w:val="44"/>
          <w:szCs w:val="44"/>
          <w:highlight w:val="none"/>
        </w:rPr>
      </w:pPr>
      <w:r>
        <w:rPr>
          <w:rFonts w:hint="eastAsia"/>
          <w:b/>
          <w:snapToGrid w:val="0"/>
          <w:color w:val="auto"/>
          <w:kern w:val="0"/>
          <w:sz w:val="44"/>
          <w:szCs w:val="44"/>
          <w:highlight w:val="none"/>
        </w:rPr>
        <w:t>目录</w:t>
      </w:r>
    </w:p>
    <w:p w14:paraId="561C2FB3">
      <w:pPr>
        <w:pStyle w:val="59"/>
        <w:tabs>
          <w:tab w:val="right" w:leader="dot" w:pos="8306"/>
        </w:tabs>
      </w:pPr>
      <w:r>
        <w:rPr>
          <w:snapToGrid w:val="0"/>
          <w:color w:val="auto"/>
          <w:kern w:val="0"/>
          <w:szCs w:val="24"/>
          <w:highlight w:val="none"/>
        </w:rPr>
        <w:fldChar w:fldCharType="begin"/>
      </w:r>
      <w:r>
        <w:rPr>
          <w:rFonts w:hint="eastAsia"/>
          <w:snapToGrid w:val="0"/>
          <w:color w:val="auto"/>
          <w:kern w:val="0"/>
          <w:szCs w:val="24"/>
          <w:highlight w:val="none"/>
        </w:rPr>
        <w:instrText xml:space="preserve">TOC \o "1-1" \h \z \u</w:instrText>
      </w:r>
      <w:r>
        <w:rPr>
          <w:snapToGrid w:val="0"/>
          <w:color w:val="auto"/>
          <w:kern w:val="0"/>
          <w:szCs w:val="24"/>
          <w:highlight w:val="none"/>
        </w:rPr>
        <w:instrText xml:space="preserve"> </w:instrText>
      </w:r>
      <w:r>
        <w:rPr>
          <w:snapToGrid w:val="0"/>
          <w:color w:val="auto"/>
          <w:kern w:val="0"/>
          <w:szCs w:val="24"/>
          <w:highlight w:val="none"/>
        </w:rPr>
        <w:fldChar w:fldCharType="separate"/>
      </w:r>
      <w:r>
        <w:rPr>
          <w:snapToGrid w:val="0"/>
          <w:color w:val="auto"/>
          <w:kern w:val="0"/>
          <w:szCs w:val="24"/>
          <w:highlight w:val="none"/>
        </w:rPr>
        <w:fldChar w:fldCharType="begin"/>
      </w:r>
      <w:r>
        <w:rPr>
          <w:snapToGrid w:val="0"/>
          <w:kern w:val="0"/>
          <w:szCs w:val="24"/>
          <w:highlight w:val="none"/>
        </w:rPr>
        <w:instrText xml:space="preserve"> HYPERLINK \l _Toc7859 </w:instrText>
      </w:r>
      <w:r>
        <w:rPr>
          <w:snapToGrid w:val="0"/>
          <w:kern w:val="0"/>
          <w:szCs w:val="24"/>
          <w:highlight w:val="none"/>
        </w:rPr>
        <w:fldChar w:fldCharType="separate"/>
      </w:r>
      <w:r>
        <w:rPr>
          <w:rFonts w:hint="eastAsia"/>
          <w:highlight w:val="none"/>
        </w:rPr>
        <w:t>第一章 比选公告</w:t>
      </w:r>
      <w:r>
        <w:tab/>
      </w:r>
      <w:r>
        <w:fldChar w:fldCharType="begin"/>
      </w:r>
      <w:r>
        <w:instrText xml:space="preserve"> PAGEREF _Toc7859 \h </w:instrText>
      </w:r>
      <w:r>
        <w:fldChar w:fldCharType="separate"/>
      </w:r>
      <w:r>
        <w:t>1</w:t>
      </w:r>
      <w:r>
        <w:fldChar w:fldCharType="end"/>
      </w:r>
      <w:r>
        <w:rPr>
          <w:snapToGrid w:val="0"/>
          <w:color w:val="auto"/>
          <w:kern w:val="0"/>
          <w:szCs w:val="24"/>
          <w:highlight w:val="none"/>
        </w:rPr>
        <w:fldChar w:fldCharType="end"/>
      </w:r>
    </w:p>
    <w:p w14:paraId="6A1CE5D1">
      <w:pPr>
        <w:pStyle w:val="5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_Toc15900 </w:instrText>
      </w:r>
      <w:r>
        <w:rPr>
          <w:snapToGrid w:val="0"/>
          <w:kern w:val="0"/>
          <w:szCs w:val="24"/>
          <w:highlight w:val="none"/>
        </w:rPr>
        <w:fldChar w:fldCharType="separate"/>
      </w:r>
      <w:r>
        <w:rPr>
          <w:rFonts w:hint="eastAsia"/>
          <w:highlight w:val="none"/>
        </w:rPr>
        <w:t>第二章 参选人须知</w:t>
      </w:r>
      <w:r>
        <w:tab/>
      </w:r>
      <w:r>
        <w:fldChar w:fldCharType="begin"/>
      </w:r>
      <w:r>
        <w:instrText xml:space="preserve"> PAGEREF _Toc15900 \h </w:instrText>
      </w:r>
      <w:r>
        <w:fldChar w:fldCharType="separate"/>
      </w:r>
      <w:r>
        <w:t>5</w:t>
      </w:r>
      <w:r>
        <w:fldChar w:fldCharType="end"/>
      </w:r>
      <w:r>
        <w:rPr>
          <w:snapToGrid w:val="0"/>
          <w:color w:val="auto"/>
          <w:kern w:val="0"/>
          <w:szCs w:val="24"/>
          <w:highlight w:val="none"/>
        </w:rPr>
        <w:fldChar w:fldCharType="end"/>
      </w:r>
    </w:p>
    <w:p w14:paraId="04D14B84">
      <w:pPr>
        <w:pStyle w:val="5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_Toc9978 </w:instrText>
      </w:r>
      <w:r>
        <w:rPr>
          <w:snapToGrid w:val="0"/>
          <w:kern w:val="0"/>
          <w:szCs w:val="24"/>
          <w:highlight w:val="none"/>
        </w:rPr>
        <w:fldChar w:fldCharType="separate"/>
      </w:r>
      <w:r>
        <w:rPr>
          <w:rFonts w:hint="eastAsia"/>
          <w:highlight w:val="none"/>
        </w:rPr>
        <w:t>第三章 项目要求</w:t>
      </w:r>
      <w:r>
        <w:tab/>
      </w:r>
      <w:r>
        <w:fldChar w:fldCharType="begin"/>
      </w:r>
      <w:r>
        <w:instrText xml:space="preserve"> PAGEREF _Toc9978 \h </w:instrText>
      </w:r>
      <w:r>
        <w:fldChar w:fldCharType="separate"/>
      </w:r>
      <w:r>
        <w:t>12</w:t>
      </w:r>
      <w:r>
        <w:fldChar w:fldCharType="end"/>
      </w:r>
      <w:r>
        <w:rPr>
          <w:snapToGrid w:val="0"/>
          <w:color w:val="auto"/>
          <w:kern w:val="0"/>
          <w:szCs w:val="24"/>
          <w:highlight w:val="none"/>
        </w:rPr>
        <w:fldChar w:fldCharType="end"/>
      </w:r>
    </w:p>
    <w:p w14:paraId="6439EABE">
      <w:pPr>
        <w:pStyle w:val="5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_Toc15810 </w:instrText>
      </w:r>
      <w:r>
        <w:rPr>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_Toc15810 \h </w:instrText>
      </w:r>
      <w:r>
        <w:fldChar w:fldCharType="separate"/>
      </w:r>
      <w:r>
        <w:t>26</w:t>
      </w:r>
      <w:r>
        <w:fldChar w:fldCharType="end"/>
      </w:r>
      <w:r>
        <w:rPr>
          <w:snapToGrid w:val="0"/>
          <w:color w:val="auto"/>
          <w:kern w:val="0"/>
          <w:szCs w:val="24"/>
          <w:highlight w:val="none"/>
        </w:rPr>
        <w:fldChar w:fldCharType="end"/>
      </w:r>
    </w:p>
    <w:p w14:paraId="179A7762">
      <w:pPr>
        <w:pStyle w:val="5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_Toc20787 </w:instrText>
      </w:r>
      <w:r>
        <w:rPr>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_Toc20787 \h </w:instrText>
      </w:r>
      <w:r>
        <w:fldChar w:fldCharType="separate"/>
      </w:r>
      <w:r>
        <w:t>32</w:t>
      </w:r>
      <w:r>
        <w:fldChar w:fldCharType="end"/>
      </w:r>
      <w:r>
        <w:rPr>
          <w:snapToGrid w:val="0"/>
          <w:color w:val="auto"/>
          <w:kern w:val="0"/>
          <w:szCs w:val="24"/>
          <w:highlight w:val="none"/>
        </w:rPr>
        <w:fldChar w:fldCharType="end"/>
      </w:r>
    </w:p>
    <w:p w14:paraId="0F7580C8">
      <w:pPr>
        <w:pStyle w:val="5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_Toc27571 </w:instrText>
      </w:r>
      <w:r>
        <w:rPr>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_Toc27571 \h </w:instrText>
      </w:r>
      <w:r>
        <w:fldChar w:fldCharType="separate"/>
      </w:r>
      <w:r>
        <w:t>71</w:t>
      </w:r>
      <w:r>
        <w:fldChar w:fldCharType="end"/>
      </w:r>
      <w:r>
        <w:rPr>
          <w:snapToGrid w:val="0"/>
          <w:color w:val="auto"/>
          <w:kern w:val="0"/>
          <w:szCs w:val="24"/>
          <w:highlight w:val="none"/>
        </w:rPr>
        <w:fldChar w:fldCharType="end"/>
      </w:r>
    </w:p>
    <w:p w14:paraId="7B21052B">
      <w:pPr>
        <w:widowControl/>
        <w:ind w:firstLine="420"/>
        <w:jc w:val="left"/>
        <w:rPr>
          <w:snapToGrid w:val="0"/>
          <w:color w:val="auto"/>
          <w:kern w:val="0"/>
          <w:szCs w:val="24"/>
          <w:highlight w:val="none"/>
        </w:rPr>
      </w:pPr>
      <w:r>
        <w:rPr>
          <w:snapToGrid w:val="0"/>
          <w:color w:val="auto"/>
          <w:kern w:val="0"/>
          <w:szCs w:val="24"/>
          <w:highlight w:val="none"/>
        </w:rPr>
        <w:fldChar w:fldCharType="end"/>
      </w:r>
    </w:p>
    <w:p w14:paraId="3C52838D">
      <w:pPr>
        <w:widowControl/>
        <w:ind w:firstLine="420"/>
        <w:jc w:val="left"/>
        <w:rPr>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74E199CF">
      <w:pPr>
        <w:pStyle w:val="3"/>
        <w:rPr>
          <w:color w:val="auto"/>
          <w:highlight w:val="none"/>
        </w:rPr>
      </w:pPr>
      <w:bookmarkStart w:id="0" w:name="_Toc440628903"/>
      <w:bookmarkStart w:id="1" w:name="_Toc469574661"/>
      <w:bookmarkStart w:id="2" w:name="_Toc7859"/>
      <w:bookmarkStart w:id="3" w:name="_Toc6745"/>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6D39F273">
      <w:pPr>
        <w:ind w:firstLine="420"/>
        <w:rPr>
          <w:color w:val="auto"/>
          <w:highlight w:val="none"/>
        </w:rPr>
      </w:pPr>
      <w:r>
        <w:rPr>
          <w:rFonts w:hint="eastAsia" w:cs="Times New Roman"/>
          <w:color w:val="auto"/>
          <w:highlight w:val="none"/>
        </w:rPr>
        <w:t>为满足比选人内部安全管理需要，拟开展身份认证系统</w:t>
      </w:r>
      <w:r>
        <w:rPr>
          <w:rFonts w:cs="Times New Roman"/>
          <w:color w:val="auto"/>
          <w:highlight w:val="none"/>
        </w:rPr>
        <w:t>的</w:t>
      </w:r>
      <w:r>
        <w:rPr>
          <w:rFonts w:hint="eastAsia" w:cs="Times New Roman"/>
          <w:color w:val="auto"/>
          <w:highlight w:val="none"/>
        </w:rPr>
        <w:t>建设</w:t>
      </w:r>
      <w:r>
        <w:rPr>
          <w:rFonts w:cs="Times New Roman"/>
          <w:color w:val="auto"/>
          <w:highlight w:val="none"/>
        </w:rPr>
        <w:t>工作。以</w:t>
      </w:r>
      <w:r>
        <w:rPr>
          <w:rFonts w:hint="eastAsia" w:cs="Times New Roman"/>
          <w:color w:val="auto"/>
          <w:highlight w:val="none"/>
        </w:rPr>
        <w:t>打造可信安全认证体系</w:t>
      </w:r>
      <w:r>
        <w:rPr>
          <w:rFonts w:cs="Times New Roman"/>
          <w:color w:val="auto"/>
          <w:highlight w:val="none"/>
        </w:rPr>
        <w:t>为目标</w:t>
      </w:r>
      <w:r>
        <w:rPr>
          <w:rFonts w:hint="eastAsia" w:cs="Times New Roman"/>
          <w:color w:val="auto"/>
          <w:highlight w:val="none"/>
        </w:rPr>
        <w:t>，增强用户身份安全性认证，进一步提升用户账户抗风险能力，同时</w:t>
      </w:r>
      <w:r>
        <w:rPr>
          <w:rFonts w:cs="Times New Roman"/>
          <w:color w:val="auto"/>
          <w:highlight w:val="none"/>
        </w:rPr>
        <w:t>丰富</w:t>
      </w:r>
      <w:r>
        <w:rPr>
          <w:rFonts w:hint="eastAsia" w:cs="Times New Roman"/>
          <w:color w:val="auto"/>
          <w:highlight w:val="none"/>
        </w:rPr>
        <w:t>比选人线上应用在登录、小额支付等场景下的</w:t>
      </w:r>
      <w:r>
        <w:rPr>
          <w:rFonts w:cs="Times New Roman"/>
          <w:color w:val="auto"/>
          <w:highlight w:val="none"/>
        </w:rPr>
        <w:t>快速</w:t>
      </w:r>
      <w:r>
        <w:rPr>
          <w:rFonts w:hint="eastAsia" w:cs="Times New Roman"/>
          <w:color w:val="auto"/>
          <w:highlight w:val="none"/>
        </w:rPr>
        <w:t>认证方式，提升用户服务体验</w:t>
      </w:r>
      <w:r>
        <w:rPr>
          <w:rFonts w:hint="eastAsia"/>
          <w:color w:val="auto"/>
          <w:highlight w:val="none"/>
        </w:rPr>
        <w:t>。现对</w:t>
      </w:r>
      <w:r>
        <w:rPr>
          <w:rFonts w:hint="eastAsia" w:cs="Cambria"/>
          <w:snapToGrid w:val="0"/>
          <w:color w:val="auto"/>
          <w:kern w:val="0"/>
          <w:szCs w:val="24"/>
          <w:highlight w:val="none"/>
        </w:rPr>
        <w:t>重庆三峡银行</w:t>
      </w:r>
      <w:r>
        <w:rPr>
          <w:rFonts w:hint="eastAsia" w:cs="Times New Roman"/>
          <w:color w:val="auto"/>
          <w:highlight w:val="none"/>
        </w:rPr>
        <w:t>身份认证系统</w:t>
      </w:r>
      <w:r>
        <w:rPr>
          <w:rFonts w:hint="eastAsia"/>
          <w:color w:val="auto"/>
          <w:highlight w:val="none"/>
        </w:rPr>
        <w:t>项目进行公开比选，</w:t>
      </w:r>
      <w:r>
        <w:rPr>
          <w:color w:val="auto"/>
          <w:highlight w:val="none"/>
        </w:rPr>
        <w:t>特邀请有</w:t>
      </w:r>
      <w:bookmarkStart w:id="4" w:name="_Hlk59455120"/>
      <w:r>
        <w:rPr>
          <w:color w:val="auto"/>
          <w:highlight w:val="none"/>
        </w:rPr>
        <w:t>意向</w:t>
      </w:r>
      <w:bookmarkEnd w:id="4"/>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664886E6">
      <w:pPr>
        <w:pStyle w:val="4"/>
        <w:rPr>
          <w:color w:val="auto"/>
          <w:highlight w:val="none"/>
        </w:rPr>
      </w:pPr>
      <w:r>
        <w:rPr>
          <w:rFonts w:hint="eastAsia"/>
          <w:color w:val="auto"/>
          <w:highlight w:val="none"/>
        </w:rPr>
        <w:t>1. 比选项目内容</w:t>
      </w:r>
    </w:p>
    <w:tbl>
      <w:tblPr>
        <w:tblStyle w:val="8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2409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82C9DEE">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序号</w:t>
            </w:r>
          </w:p>
        </w:tc>
        <w:tc>
          <w:tcPr>
            <w:tcW w:w="2826" w:type="dxa"/>
            <w:vAlign w:val="center"/>
          </w:tcPr>
          <w:p w14:paraId="5FC2485E">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项目名称</w:t>
            </w:r>
          </w:p>
        </w:tc>
        <w:tc>
          <w:tcPr>
            <w:tcW w:w="1646" w:type="dxa"/>
            <w:vAlign w:val="center"/>
          </w:tcPr>
          <w:p w14:paraId="0CB3CFA7">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最高限价</w:t>
            </w:r>
          </w:p>
        </w:tc>
        <w:tc>
          <w:tcPr>
            <w:tcW w:w="1798" w:type="dxa"/>
            <w:vAlign w:val="center"/>
          </w:tcPr>
          <w:p w14:paraId="5FEF3CF9">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中选人数量</w:t>
            </w:r>
          </w:p>
        </w:tc>
        <w:tc>
          <w:tcPr>
            <w:tcW w:w="1798" w:type="dxa"/>
            <w:vAlign w:val="center"/>
          </w:tcPr>
          <w:p w14:paraId="04934409">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备注</w:t>
            </w:r>
          </w:p>
        </w:tc>
      </w:tr>
      <w:tr w14:paraId="12FE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BB182F5">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w:t>
            </w:r>
          </w:p>
        </w:tc>
        <w:tc>
          <w:tcPr>
            <w:tcW w:w="2826" w:type="dxa"/>
            <w:tcBorders>
              <w:top w:val="single" w:color="auto" w:sz="4" w:space="0"/>
              <w:left w:val="single" w:color="auto" w:sz="4" w:space="0"/>
              <w:right w:val="single" w:color="auto" w:sz="4" w:space="0"/>
            </w:tcBorders>
            <w:vAlign w:val="center"/>
          </w:tcPr>
          <w:p w14:paraId="67F8E9BE">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重庆三峡银行身份认证</w:t>
            </w:r>
          </w:p>
          <w:p w14:paraId="1F6DB50B">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系统项目</w:t>
            </w:r>
          </w:p>
        </w:tc>
        <w:tc>
          <w:tcPr>
            <w:tcW w:w="1646" w:type="dxa"/>
            <w:tcBorders>
              <w:top w:val="single" w:color="auto" w:sz="4" w:space="0"/>
              <w:left w:val="single" w:color="auto" w:sz="4" w:space="0"/>
              <w:right w:val="single" w:color="auto" w:sz="4" w:space="0"/>
            </w:tcBorders>
            <w:vAlign w:val="center"/>
          </w:tcPr>
          <w:p w14:paraId="323F860C">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28万元</w:t>
            </w:r>
          </w:p>
        </w:tc>
        <w:tc>
          <w:tcPr>
            <w:tcW w:w="1798" w:type="dxa"/>
            <w:tcBorders>
              <w:top w:val="single" w:color="auto" w:sz="4" w:space="0"/>
              <w:left w:val="single" w:color="auto" w:sz="4" w:space="0"/>
              <w:right w:val="single" w:color="auto" w:sz="4" w:space="0"/>
            </w:tcBorders>
            <w:vAlign w:val="center"/>
          </w:tcPr>
          <w:p w14:paraId="3508237B">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1</w:t>
            </w:r>
          </w:p>
        </w:tc>
        <w:tc>
          <w:tcPr>
            <w:tcW w:w="1798" w:type="dxa"/>
            <w:vAlign w:val="center"/>
          </w:tcPr>
          <w:p w14:paraId="7A568924">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含税</w:t>
            </w:r>
          </w:p>
        </w:tc>
      </w:tr>
    </w:tbl>
    <w:p w14:paraId="7D6FA181">
      <w:pPr>
        <w:pStyle w:val="4"/>
        <w:rPr>
          <w:color w:val="auto"/>
          <w:highlight w:val="none"/>
        </w:rPr>
      </w:pPr>
      <w:bookmarkStart w:id="5" w:name="_Toc89675128"/>
      <w:bookmarkStart w:id="6" w:name="_Toc288224935"/>
      <w:bookmarkStart w:id="7" w:name="_Toc55379219"/>
      <w:bookmarkStart w:id="8" w:name="_Toc297817088"/>
      <w:bookmarkStart w:id="9" w:name="_Toc469574664"/>
      <w:r>
        <w:rPr>
          <w:rFonts w:hint="eastAsia"/>
          <w:color w:val="auto"/>
          <w:highlight w:val="none"/>
        </w:rPr>
        <w:t>2. 参选人资格要求</w:t>
      </w:r>
      <w:bookmarkEnd w:id="5"/>
      <w:bookmarkEnd w:id="6"/>
      <w:bookmarkEnd w:id="7"/>
      <w:bookmarkEnd w:id="8"/>
      <w:bookmarkEnd w:id="9"/>
    </w:p>
    <w:p w14:paraId="38624A5C">
      <w:pPr>
        <w:ind w:firstLine="420"/>
        <w:rPr>
          <w:color w:val="auto"/>
          <w:highlight w:val="none"/>
        </w:rPr>
      </w:pPr>
      <w:bookmarkStart w:id="10" w:name="_Hlk55488870"/>
      <w:r>
        <w:rPr>
          <w:rFonts w:hint="eastAsia"/>
          <w:color w:val="auto"/>
          <w:highlight w:val="none"/>
        </w:rPr>
        <w:t>2.1 参选人应当具备承担比选项目的能力</w:t>
      </w:r>
    </w:p>
    <w:p w14:paraId="652AE021">
      <w:pPr>
        <w:ind w:firstLine="420"/>
        <w:rPr>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416DCEFC">
      <w:pPr>
        <w:ind w:firstLine="420"/>
        <w:rPr>
          <w:color w:val="auto"/>
          <w:highlight w:val="none"/>
        </w:rPr>
      </w:pPr>
      <w:r>
        <w:rPr>
          <w:rFonts w:hint="eastAsia"/>
          <w:color w:val="auto"/>
          <w:highlight w:val="none"/>
        </w:rPr>
        <w:t>注：若为法定代表人（分支机构负责人）办理并签署参选文件的，不提供授权代表委托书。</w:t>
      </w:r>
    </w:p>
    <w:p w14:paraId="4715F87D">
      <w:pPr>
        <w:ind w:firstLine="420"/>
        <w:rPr>
          <w:color w:val="auto"/>
          <w:highlight w:val="none"/>
        </w:rPr>
      </w:pPr>
      <w:r>
        <w:rPr>
          <w:rFonts w:hint="eastAsia"/>
          <w:color w:val="auto"/>
          <w:highlight w:val="none"/>
        </w:rPr>
        <w:t>2.2 具有良好的商业信誉和健全的财务会计制度【提供书面声明】；</w:t>
      </w:r>
    </w:p>
    <w:p w14:paraId="294B3D5A">
      <w:pPr>
        <w:ind w:firstLine="420"/>
        <w:rPr>
          <w:color w:val="auto"/>
          <w:highlight w:val="none"/>
        </w:rPr>
      </w:pPr>
      <w:r>
        <w:rPr>
          <w:rFonts w:hint="eastAsia"/>
          <w:color w:val="auto"/>
          <w:highlight w:val="none"/>
        </w:rPr>
        <w:t>2.3 具有履行合同所必需的设备和专业技术能力【提供书面声明】；</w:t>
      </w:r>
    </w:p>
    <w:p w14:paraId="17669838">
      <w:pPr>
        <w:ind w:firstLine="420"/>
        <w:rPr>
          <w:color w:val="auto"/>
          <w:highlight w:val="none"/>
        </w:rPr>
      </w:pPr>
      <w:r>
        <w:rPr>
          <w:rFonts w:hint="eastAsia"/>
          <w:color w:val="auto"/>
          <w:highlight w:val="none"/>
        </w:rPr>
        <w:t>2.4 有依法缴纳税收和社会保障金的良好记录【提供书面声明】；</w:t>
      </w:r>
    </w:p>
    <w:p w14:paraId="57E4351C">
      <w:pPr>
        <w:ind w:firstLine="420"/>
        <w:rPr>
          <w:color w:val="auto"/>
          <w:highlight w:val="none"/>
        </w:rPr>
      </w:pPr>
      <w:r>
        <w:rPr>
          <w:rFonts w:hint="eastAsia"/>
          <w:color w:val="auto"/>
          <w:highlight w:val="none"/>
        </w:rPr>
        <w:t>2.5 三年内在经营活动中没有重大违法记录【提供书面声明】；</w:t>
      </w:r>
    </w:p>
    <w:p w14:paraId="1DE8C0BE">
      <w:pPr>
        <w:ind w:firstLine="42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1741CC48">
      <w:pPr>
        <w:ind w:firstLine="420"/>
        <w:rPr>
          <w:color w:val="auto"/>
          <w:highlight w:val="none"/>
        </w:rPr>
      </w:pPr>
      <w:r>
        <w:rPr>
          <w:rFonts w:hint="eastAsia"/>
          <w:color w:val="auto"/>
          <w:highlight w:val="none"/>
        </w:rPr>
        <w:t>2.7 本项目不允许任何形式的转包【提供书面声明】。</w:t>
      </w:r>
    </w:p>
    <w:p w14:paraId="4DC21308">
      <w:pPr>
        <w:ind w:firstLine="420"/>
        <w:rPr>
          <w:color w:val="auto"/>
          <w:highlight w:val="none"/>
        </w:rPr>
      </w:pPr>
      <w:r>
        <w:rPr>
          <w:rFonts w:hint="eastAsia"/>
          <w:color w:val="auto"/>
          <w:highlight w:val="none"/>
        </w:rPr>
        <w:t>2.8 本次比选不接受联合体参选。</w:t>
      </w:r>
    </w:p>
    <w:p w14:paraId="780802A9">
      <w:pPr>
        <w:ind w:firstLine="420"/>
        <w:rPr>
          <w:rFonts w:cs="Times New Roman"/>
          <w:snapToGrid w:val="0"/>
          <w:color w:val="auto"/>
          <w:highlight w:val="none"/>
        </w:rPr>
      </w:pPr>
      <w:r>
        <w:rPr>
          <w:rFonts w:hint="eastAsia"/>
          <w:color w:val="auto"/>
          <w:highlight w:val="none"/>
        </w:rPr>
        <w:t>2.9 参选人</w:t>
      </w:r>
      <w:r>
        <w:rPr>
          <w:rFonts w:cs="Times New Roman"/>
          <w:snapToGrid w:val="0"/>
          <w:color w:val="auto"/>
          <w:highlight w:val="none"/>
        </w:rPr>
        <w:t>为线上快速身份认证（即FIDO）联盟成员或</w:t>
      </w:r>
      <w:r>
        <w:rPr>
          <w:rFonts w:hint="eastAsia" w:cs="Times New Roman"/>
          <w:color w:val="auto"/>
          <w:highlight w:val="none"/>
        </w:rPr>
        <w:t>具有FIDO产品认证资质；【提供FIDO认证材料】</w:t>
      </w:r>
    </w:p>
    <w:p w14:paraId="5D0D2522">
      <w:pPr>
        <w:ind w:firstLine="420"/>
        <w:rPr>
          <w:color w:val="auto"/>
          <w:highlight w:val="none"/>
        </w:rPr>
      </w:pPr>
      <w:r>
        <w:rPr>
          <w:rFonts w:hint="eastAsia"/>
          <w:color w:val="auto"/>
          <w:highlight w:val="none"/>
        </w:rPr>
        <w:t>2.10 20</w:t>
      </w:r>
      <w:r>
        <w:rPr>
          <w:color w:val="auto"/>
          <w:highlight w:val="none"/>
        </w:rPr>
        <w:t>18</w:t>
      </w:r>
      <w:r>
        <w:rPr>
          <w:rFonts w:hint="eastAsia"/>
          <w:color w:val="auto"/>
          <w:highlight w:val="none"/>
        </w:rPr>
        <w:t>年</w:t>
      </w:r>
      <w:r>
        <w:rPr>
          <w:color w:val="auto"/>
          <w:highlight w:val="none"/>
        </w:rPr>
        <w:t>1</w:t>
      </w:r>
      <w:r>
        <w:rPr>
          <w:rFonts w:hint="eastAsia"/>
          <w:color w:val="auto"/>
          <w:highlight w:val="none"/>
        </w:rPr>
        <w:t>月1日至</w:t>
      </w:r>
      <w:r>
        <w:rPr>
          <w:rFonts w:cs="Times New Roman"/>
          <w:snapToGrid w:val="0"/>
          <w:color w:val="auto"/>
          <w:highlight w:val="none"/>
        </w:rPr>
        <w:t>参选截止之日</w:t>
      </w:r>
      <w:r>
        <w:rPr>
          <w:rFonts w:hint="eastAsia" w:cs="Times New Roman"/>
          <w:snapToGrid w:val="0"/>
          <w:color w:val="auto"/>
          <w:highlight w:val="none"/>
        </w:rPr>
        <w:t>（以合同签订时间为准）</w:t>
      </w:r>
      <w:r>
        <w:rPr>
          <w:rFonts w:hint="eastAsia"/>
          <w:color w:val="auto"/>
          <w:highlight w:val="none"/>
        </w:rPr>
        <w:t>具有不少于</w:t>
      </w:r>
      <w:r>
        <w:rPr>
          <w:color w:val="auto"/>
          <w:highlight w:val="none"/>
        </w:rPr>
        <w:t>3个身份认证系统</w:t>
      </w:r>
      <w:r>
        <w:rPr>
          <w:rFonts w:hint="eastAsia"/>
          <w:color w:val="auto"/>
          <w:highlight w:val="none"/>
        </w:rPr>
        <w:t>相关实施案例，</w:t>
      </w:r>
      <w:r>
        <w:rPr>
          <w:color w:val="auto"/>
          <w:highlight w:val="none"/>
        </w:rPr>
        <w:t>不满足则</w:t>
      </w:r>
      <w:r>
        <w:rPr>
          <w:rFonts w:hint="eastAsia"/>
          <w:color w:val="auto"/>
          <w:highlight w:val="none"/>
        </w:rPr>
        <w:t>取消参选资质；实施案例项目名称或建设内容应围绕FIDO身份认证领域，包括但不限于“生物识别安全认证/统一平台”、“FIDO认证系统”、“身份认证系统”、“TEE/可信快速认证”、“指纹/人脸认证”等，需求内容应包含生物识别认证方式，技术方案需体现基于FIDO和TEE实现。【提供合同关键页、项目简介、合同对应的发票之一和网上税务系统查询该发票截图。</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。发票开具日期须晚于合同签订日期、发票购买方须与合同买方一致、发票销售方须与合同卖方（参选人）一致】</w:t>
      </w:r>
    </w:p>
    <w:p w14:paraId="7A51EE74">
      <w:pPr>
        <w:ind w:firstLine="420"/>
        <w:rPr>
          <w:color w:val="auto"/>
          <w:highlight w:val="none"/>
        </w:rPr>
      </w:pPr>
      <w:r>
        <w:rPr>
          <w:rFonts w:hint="eastAsia"/>
          <w:color w:val="auto"/>
          <w:highlight w:val="none"/>
        </w:rPr>
        <w:t>2.</w:t>
      </w:r>
      <w:r>
        <w:rPr>
          <w:color w:val="auto"/>
          <w:highlight w:val="none"/>
        </w:rPr>
        <w:t>1</w:t>
      </w:r>
      <w:r>
        <w:rPr>
          <w:rFonts w:hint="eastAsia"/>
          <w:color w:val="auto"/>
          <w:highlight w:val="none"/>
        </w:rPr>
        <w:t>1</w:t>
      </w:r>
      <w:r>
        <w:rPr>
          <w:color w:val="auto"/>
          <w:highlight w:val="none"/>
        </w:rPr>
        <w:t xml:space="preserve"> </w:t>
      </w:r>
      <w:r>
        <w:rPr>
          <w:rFonts w:hint="eastAsia"/>
          <w:color w:val="auto"/>
          <w:highlight w:val="none"/>
        </w:rPr>
        <w:t>参选人为厂商直投或其合法代理商</w:t>
      </w:r>
    </w:p>
    <w:p w14:paraId="10F3D4A0">
      <w:pPr>
        <w:ind w:firstLine="420"/>
        <w:rPr>
          <w:color w:val="auto"/>
          <w:highlight w:val="none"/>
        </w:rPr>
      </w:pPr>
      <w:r>
        <w:rPr>
          <w:rFonts w:hint="eastAsia"/>
          <w:color w:val="auto"/>
          <w:highlight w:val="none"/>
        </w:rPr>
        <w:t>（1）若为厂商直接参与比选，需提供售后服务质保承诺函（包括原厂维保时间及售后服务等级）原件。</w:t>
      </w:r>
    </w:p>
    <w:p w14:paraId="033D4877">
      <w:pPr>
        <w:ind w:firstLine="420"/>
        <w:rPr>
          <w:color w:val="auto"/>
          <w:highlight w:val="none"/>
        </w:rPr>
      </w:pPr>
      <w:r>
        <w:rPr>
          <w:rFonts w:hint="eastAsia"/>
          <w:color w:val="auto"/>
          <w:highlight w:val="none"/>
        </w:rPr>
        <w:t>（2）若为代理商参与比选，参选人须提供比选产品原厂对本项目出具的原厂授权证明文件原件及售后服务质保承诺函（包括原厂维保时间及售后服务等级）原件。</w:t>
      </w:r>
    </w:p>
    <w:p w14:paraId="489D6F07">
      <w:pPr>
        <w:ind w:firstLine="420"/>
        <w:rPr>
          <w:color w:val="auto"/>
          <w:highlight w:val="none"/>
        </w:rPr>
      </w:pPr>
      <w:r>
        <w:rPr>
          <w:rFonts w:hint="eastAsia"/>
          <w:color w:val="auto"/>
          <w:highlight w:val="none"/>
        </w:rPr>
        <w:t>(注：一个原厂对所有标包的产品，仅能委托一个代理商参与本项目）</w:t>
      </w:r>
    </w:p>
    <w:p w14:paraId="0B8ED126">
      <w:pPr>
        <w:ind w:firstLine="420"/>
        <w:rPr>
          <w:color w:val="auto"/>
          <w:highlight w:val="none"/>
        </w:rPr>
      </w:pPr>
      <w:r>
        <w:rPr>
          <w:rFonts w:hint="eastAsia"/>
          <w:color w:val="auto"/>
          <w:highlight w:val="none"/>
        </w:rPr>
        <w:t>（3）同一品牌的厂商和代理商不能同时参与比选。</w:t>
      </w:r>
    </w:p>
    <w:p w14:paraId="3BA7BEEF">
      <w:pPr>
        <w:ind w:firstLine="0" w:firstLineChars="0"/>
        <w:rPr>
          <w:color w:val="auto"/>
          <w:highlight w:val="none"/>
        </w:rPr>
      </w:pPr>
      <w:r>
        <w:rPr>
          <w:rFonts w:hint="eastAsia"/>
          <w:color w:val="auto"/>
          <w:highlight w:val="none"/>
        </w:rPr>
        <w:t>【提供：1、售后服务质保承诺函；2、原厂授权证明文件（如有）】</w:t>
      </w:r>
    </w:p>
    <w:p w14:paraId="0B28082A">
      <w:pPr>
        <w:ind w:firstLine="420"/>
        <w:rPr>
          <w:color w:val="auto"/>
          <w:highlight w:val="none"/>
        </w:rPr>
      </w:pPr>
      <w:r>
        <w:rPr>
          <w:color w:val="auto"/>
          <w:highlight w:val="none"/>
        </w:rPr>
        <w:t>2.1</w:t>
      </w:r>
      <w:r>
        <w:rPr>
          <w:rFonts w:hint="eastAsia"/>
          <w:color w:val="auto"/>
          <w:highlight w:val="none"/>
        </w:rPr>
        <w:t>2</w:t>
      </w:r>
      <w:r>
        <w:rPr>
          <w:color w:val="auto"/>
          <w:highlight w:val="none"/>
        </w:rPr>
        <w:t xml:space="preserve"> </w:t>
      </w:r>
      <w:r>
        <w:rPr>
          <w:rFonts w:cs="Times New Roman"/>
          <w:color w:val="auto"/>
          <w:highlight w:val="none"/>
        </w:rPr>
        <w:t>参选人注册成立时间不少于3年，且近3年财务状况稳定。</w:t>
      </w:r>
      <w:bookmarkStart w:id="11" w:name="_Hlk47356067"/>
      <w:r>
        <w:rPr>
          <w:rFonts w:cs="Times New Roman"/>
          <w:color w:val="auto"/>
          <w:highlight w:val="none"/>
        </w:rPr>
        <w:t>且参选人须具有本次比选内容所涉及的第三方软件代理资格（含开源软件的合法授权），取得本次比选内容所涉及的第三方软件产品的原厂商授权书或确认函</w:t>
      </w:r>
      <w:r>
        <w:rPr>
          <w:rFonts w:hint="eastAsia"/>
          <w:color w:val="auto"/>
          <w:highlight w:val="none"/>
        </w:rPr>
        <w:t>（如不涉及第三方软件，则提供未使用第三方软件产品确认函）</w:t>
      </w:r>
      <w:r>
        <w:rPr>
          <w:color w:val="auto"/>
          <w:highlight w:val="none"/>
        </w:rPr>
        <w:t>。【注册成立时间提供营业执照</w:t>
      </w:r>
      <w:r>
        <w:rPr>
          <w:rFonts w:hint="eastAsia"/>
          <w:color w:val="auto"/>
          <w:highlight w:val="none"/>
        </w:rPr>
        <w:t>，</w:t>
      </w:r>
      <w:r>
        <w:rPr>
          <w:color w:val="auto"/>
          <w:highlight w:val="none"/>
        </w:rPr>
        <w:t>财务状况提供书面声明</w:t>
      </w:r>
      <w:r>
        <w:rPr>
          <w:rFonts w:hint="eastAsia"/>
          <w:color w:val="auto"/>
          <w:highlight w:val="none"/>
        </w:rPr>
        <w:t>，</w:t>
      </w:r>
      <w:r>
        <w:rPr>
          <w:color w:val="auto"/>
          <w:highlight w:val="none"/>
        </w:rPr>
        <w:t>代理资格提供第三方软件产品的原厂商授权书或确认函】</w:t>
      </w:r>
      <w:bookmarkEnd w:id="11"/>
    </w:p>
    <w:p w14:paraId="4885ADA8">
      <w:pPr>
        <w:ind w:firstLine="42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5D9AFFC3">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截止</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8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814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7D332F0">
            <w:pPr>
              <w:ind w:firstLine="0" w:firstLineChars="0"/>
              <w:jc w:val="center"/>
              <w:rPr>
                <w:rFonts w:cs="宋体"/>
                <w:b/>
                <w:bCs/>
                <w:color w:val="auto"/>
                <w:szCs w:val="21"/>
                <w:highlight w:val="none"/>
              </w:rPr>
            </w:pPr>
            <w:r>
              <w:rPr>
                <w:rFonts w:hint="eastAsia" w:cs="宋体"/>
                <w:b/>
                <w:bCs/>
                <w:color w:val="auto"/>
                <w:szCs w:val="21"/>
                <w:highlight w:val="none"/>
              </w:rPr>
              <w:t>序号</w:t>
            </w:r>
          </w:p>
        </w:tc>
        <w:tc>
          <w:tcPr>
            <w:tcW w:w="4933" w:type="dxa"/>
          </w:tcPr>
          <w:p w14:paraId="63B5A343">
            <w:pPr>
              <w:ind w:firstLine="0" w:firstLineChars="0"/>
              <w:jc w:val="center"/>
              <w:rPr>
                <w:rFonts w:cs="宋体"/>
                <w:b/>
                <w:bCs/>
                <w:color w:val="auto"/>
                <w:szCs w:val="21"/>
                <w:highlight w:val="none"/>
              </w:rPr>
            </w:pPr>
            <w:r>
              <w:rPr>
                <w:rFonts w:hint="eastAsia" w:cs="宋体"/>
                <w:b/>
                <w:bCs/>
                <w:color w:val="auto"/>
                <w:szCs w:val="21"/>
                <w:highlight w:val="none"/>
              </w:rPr>
              <w:t>公司</w:t>
            </w:r>
          </w:p>
        </w:tc>
      </w:tr>
      <w:tr w14:paraId="7CB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97E051D">
            <w:pPr>
              <w:ind w:firstLine="0" w:firstLineChars="0"/>
              <w:jc w:val="center"/>
              <w:rPr>
                <w:rFonts w:cs="宋体"/>
                <w:color w:val="auto"/>
                <w:szCs w:val="21"/>
                <w:highlight w:val="none"/>
              </w:rPr>
            </w:pPr>
            <w:r>
              <w:rPr>
                <w:rFonts w:hint="eastAsia" w:cs="宋体"/>
                <w:color w:val="auto"/>
                <w:szCs w:val="21"/>
                <w:highlight w:val="none"/>
              </w:rPr>
              <w:t>1</w:t>
            </w:r>
          </w:p>
        </w:tc>
        <w:tc>
          <w:tcPr>
            <w:tcW w:w="4933" w:type="dxa"/>
          </w:tcPr>
          <w:p w14:paraId="661CFCC6">
            <w:pPr>
              <w:ind w:firstLine="0" w:firstLineChars="0"/>
              <w:jc w:val="center"/>
              <w:rPr>
                <w:rFonts w:cs="宋体"/>
                <w:color w:val="auto"/>
                <w:szCs w:val="21"/>
                <w:highlight w:val="none"/>
              </w:rPr>
            </w:pPr>
            <w:r>
              <w:rPr>
                <w:rFonts w:hint="eastAsia" w:cs="宋体"/>
                <w:color w:val="auto"/>
                <w:szCs w:val="21"/>
                <w:highlight w:val="none"/>
              </w:rPr>
              <w:t>依米康软件技术（深圳）有限责任公司</w:t>
            </w:r>
          </w:p>
        </w:tc>
      </w:tr>
      <w:bookmarkEnd w:id="10"/>
    </w:tbl>
    <w:p w14:paraId="63EA3E20">
      <w:pPr>
        <w:pStyle w:val="4"/>
        <w:rPr>
          <w:color w:val="auto"/>
          <w:highlight w:val="none"/>
        </w:rPr>
      </w:pPr>
      <w:bookmarkStart w:id="12" w:name="_Toc55379220"/>
      <w:bookmarkStart w:id="13" w:name="_Toc89675130"/>
      <w:bookmarkStart w:id="14" w:name="_Toc297817090"/>
      <w:bookmarkStart w:id="15" w:name="_Toc469574667"/>
      <w:r>
        <w:rPr>
          <w:rFonts w:hint="eastAsia"/>
          <w:color w:val="auto"/>
          <w:highlight w:val="none"/>
        </w:rPr>
        <w:t>3. 比选文件的获取</w:t>
      </w:r>
      <w:bookmarkEnd w:id="12"/>
    </w:p>
    <w:p w14:paraId="724BD817">
      <w:pPr>
        <w:ind w:firstLine="420"/>
        <w:rPr>
          <w:color w:val="auto"/>
          <w:highlight w:val="none"/>
        </w:rPr>
      </w:pPr>
      <w:bookmarkStart w:id="16" w:name="_Toc55379221"/>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15EB8B7C">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日到参选截止时间，在重庆市公共资源交易网（www.cqggzy.com）下载比选文件。</w:t>
      </w:r>
    </w:p>
    <w:p w14:paraId="4D16AC4A">
      <w:pPr>
        <w:ind w:firstLine="420"/>
        <w:rPr>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421D2F3F">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533DBB7">
      <w:pPr>
        <w:pStyle w:val="4"/>
        <w:rPr>
          <w:color w:val="auto"/>
          <w:highlight w:val="none"/>
        </w:rPr>
      </w:pPr>
      <w:r>
        <w:rPr>
          <w:rFonts w:hint="eastAsia"/>
          <w:color w:val="auto"/>
          <w:highlight w:val="none"/>
        </w:rPr>
        <w:t>4. 参选保证金的递交</w:t>
      </w:r>
      <w:bookmarkEnd w:id="13"/>
      <w:bookmarkEnd w:id="14"/>
      <w:bookmarkEnd w:id="15"/>
      <w:bookmarkEnd w:id="16"/>
    </w:p>
    <w:p w14:paraId="2FCD7419">
      <w:pPr>
        <w:ind w:firstLine="420"/>
        <w:rPr>
          <w:color w:val="auto"/>
          <w:highlight w:val="none"/>
        </w:rPr>
      </w:pPr>
      <w:bookmarkStart w:id="17" w:name="_Toc55379222"/>
      <w:bookmarkStart w:id="18" w:name="_Toc89675131"/>
      <w:bookmarkStart w:id="19" w:name="_Toc297817091"/>
      <w:bookmarkStart w:id="20" w:name="_Toc469574668"/>
      <w:r>
        <w:rPr>
          <w:rFonts w:hint="eastAsia"/>
          <w:color w:val="auto"/>
          <w:highlight w:val="none"/>
        </w:rPr>
        <w:t>4.1 参选保证金的金额：</w:t>
      </w:r>
      <w:r>
        <w:rPr>
          <w:b/>
          <w:bCs/>
          <w:color w:val="auto"/>
          <w:highlight w:val="none"/>
        </w:rPr>
        <w:t>5</w:t>
      </w:r>
      <w:r>
        <w:rPr>
          <w:rFonts w:hint="eastAsia"/>
          <w:b/>
          <w:bCs/>
          <w:color w:val="auto"/>
          <w:highlight w:val="none"/>
          <w:lang w:val="en-US" w:eastAsia="zh-CN"/>
        </w:rPr>
        <w:t>000</w:t>
      </w:r>
      <w:r>
        <w:rPr>
          <w:rFonts w:hint="eastAsia"/>
          <w:b/>
          <w:bCs/>
          <w:color w:val="auto"/>
          <w:highlight w:val="none"/>
        </w:rPr>
        <w:t>元整（大写：</w:t>
      </w:r>
      <w:r>
        <w:rPr>
          <w:b/>
          <w:bCs/>
          <w:color w:val="auto"/>
          <w:highlight w:val="none"/>
        </w:rPr>
        <w:t>伍仟元整</w:t>
      </w:r>
      <w:r>
        <w:rPr>
          <w:rFonts w:hint="eastAsia"/>
          <w:b/>
          <w:bCs/>
          <w:color w:val="auto"/>
          <w:highlight w:val="none"/>
        </w:rPr>
        <w:t>）</w:t>
      </w:r>
      <w:r>
        <w:rPr>
          <w:rFonts w:hint="eastAsia"/>
          <w:color w:val="auto"/>
          <w:highlight w:val="none"/>
        </w:rPr>
        <w:t>。</w:t>
      </w:r>
    </w:p>
    <w:p w14:paraId="41F791B7">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bookmarkEnd w:id="17"/>
    <w:bookmarkEnd w:id="18"/>
    <w:bookmarkEnd w:id="19"/>
    <w:bookmarkEnd w:id="20"/>
    <w:p w14:paraId="1484D3A4">
      <w:pPr>
        <w:ind w:firstLine="420"/>
        <w:rPr>
          <w:color w:val="auto"/>
          <w:highlight w:val="none"/>
        </w:rPr>
      </w:pPr>
      <w:r>
        <w:rPr>
          <w:rFonts w:hint="eastAsia"/>
          <w:color w:val="auto"/>
          <w:highlight w:val="none"/>
        </w:rPr>
        <w:t>参选人必须在付款凭证备注栏中注明项目简称。可简写成：</w:t>
      </w:r>
      <w:r>
        <w:rPr>
          <w:b/>
          <w:bCs/>
          <w:color w:val="auto"/>
          <w:highlight w:val="none"/>
        </w:rPr>
        <w:t>三峡银行</w:t>
      </w:r>
      <w:r>
        <w:rPr>
          <w:rFonts w:hint="eastAsia"/>
          <w:b/>
          <w:bCs/>
          <w:color w:val="auto"/>
          <w:highlight w:val="none"/>
        </w:rPr>
        <w:t>身份</w:t>
      </w:r>
      <w:r>
        <w:rPr>
          <w:b/>
          <w:bCs/>
          <w:color w:val="auto"/>
          <w:highlight w:val="none"/>
        </w:rPr>
        <w:t>认证</w:t>
      </w:r>
      <w:r>
        <w:rPr>
          <w:rFonts w:hint="eastAsia"/>
          <w:b/>
          <w:bCs/>
          <w:color w:val="auto"/>
          <w:highlight w:val="none"/>
        </w:rPr>
        <w:t>项目</w:t>
      </w:r>
      <w:r>
        <w:rPr>
          <w:rFonts w:hint="eastAsia"/>
          <w:color w:val="auto"/>
          <w:highlight w:val="none"/>
        </w:rPr>
        <w:t>。</w:t>
      </w:r>
    </w:p>
    <w:p w14:paraId="287D645A">
      <w:pPr>
        <w:ind w:firstLine="420"/>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4B91D643">
      <w:pPr>
        <w:ind w:firstLine="42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01CF6E71">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6179170">
      <w:pPr>
        <w:ind w:firstLine="420"/>
        <w:rPr>
          <w:color w:val="auto"/>
          <w:highlight w:val="none"/>
        </w:rPr>
      </w:pPr>
      <w:r>
        <w:rPr>
          <w:rFonts w:hint="eastAsia"/>
          <w:color w:val="auto"/>
          <w:highlight w:val="none"/>
        </w:rPr>
        <w:t>参选保证金以重庆市公共资源交易中心比选现场展示的保证金交纳情况为准。</w:t>
      </w:r>
    </w:p>
    <w:p w14:paraId="7F1A0523">
      <w:pPr>
        <w:pStyle w:val="4"/>
        <w:rPr>
          <w:color w:val="auto"/>
          <w:highlight w:val="none"/>
        </w:rPr>
      </w:pPr>
      <w:bookmarkStart w:id="21" w:name="_Toc469574670"/>
      <w:bookmarkStart w:id="22" w:name="_Toc55379224"/>
      <w:bookmarkStart w:id="23" w:name="_Toc89675133"/>
      <w:bookmarkStart w:id="24" w:name="_Toc250565211"/>
      <w:r>
        <w:rPr>
          <w:rFonts w:hint="eastAsia"/>
          <w:color w:val="auto"/>
          <w:highlight w:val="none"/>
        </w:rPr>
        <w:t>5. 参选文件的递交</w:t>
      </w:r>
    </w:p>
    <w:p w14:paraId="0BD75EDA">
      <w:pPr>
        <w:ind w:firstLine="420"/>
        <w:rPr>
          <w:color w:val="auto"/>
          <w:highlight w:val="none"/>
        </w:rPr>
      </w:pPr>
      <w:bookmarkStart w:id="25" w:name="_Toc89675132"/>
      <w:bookmarkStart w:id="26" w:name="_Toc469574669"/>
      <w:bookmarkStart w:id="27" w:name="_Toc55379223"/>
      <w:r>
        <w:rPr>
          <w:rFonts w:hint="eastAsia"/>
          <w:color w:val="auto"/>
          <w:highlight w:val="none"/>
        </w:rPr>
        <w:t>5.1 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分(北京时间)至参选截止时间。</w:t>
      </w:r>
    </w:p>
    <w:p w14:paraId="03213A46">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31510549">
      <w:pPr>
        <w:ind w:firstLine="420"/>
        <w:rPr>
          <w:color w:val="auto"/>
          <w:highlight w:val="none"/>
        </w:rPr>
      </w:pPr>
      <w:r>
        <w:rPr>
          <w:rFonts w:hint="eastAsia"/>
          <w:color w:val="auto"/>
          <w:highlight w:val="none"/>
        </w:rPr>
        <w:t>5.3 逾期送达的参选文件，不予接收。</w:t>
      </w:r>
    </w:p>
    <w:p w14:paraId="5013AAE3">
      <w:pPr>
        <w:pStyle w:val="4"/>
        <w:rPr>
          <w:color w:val="auto"/>
          <w:highlight w:val="none"/>
        </w:rPr>
      </w:pPr>
      <w:r>
        <w:rPr>
          <w:rFonts w:hint="eastAsia"/>
          <w:color w:val="auto"/>
          <w:highlight w:val="none"/>
        </w:rPr>
        <w:t>6. 发布公告的媒介</w:t>
      </w:r>
      <w:bookmarkEnd w:id="25"/>
      <w:bookmarkEnd w:id="26"/>
      <w:bookmarkEnd w:id="27"/>
    </w:p>
    <w:p w14:paraId="1361D731">
      <w:pPr>
        <w:ind w:firstLine="420"/>
        <w:rPr>
          <w:color w:val="auto"/>
          <w:highlight w:val="none"/>
        </w:rPr>
      </w:pPr>
      <w:r>
        <w:rPr>
          <w:rFonts w:hint="eastAsia"/>
          <w:color w:val="auto"/>
          <w:highlight w:val="none"/>
        </w:rPr>
        <w:t>本次比选公告同时在《重庆市公共资源交易网（www.cqggzy.com）》《重庆三峡银行官网（https://www.ccqtgb.com）》和《中国招标投标公共服务平台（http://www.cebpubservice.com）》上发布。</w:t>
      </w:r>
    </w:p>
    <w:bookmarkEnd w:id="21"/>
    <w:bookmarkEnd w:id="22"/>
    <w:bookmarkEnd w:id="23"/>
    <w:bookmarkEnd w:id="24"/>
    <w:p w14:paraId="3687333E">
      <w:pPr>
        <w:pStyle w:val="4"/>
        <w:rPr>
          <w:color w:val="auto"/>
          <w:highlight w:val="none"/>
        </w:rPr>
      </w:pPr>
      <w:r>
        <w:rPr>
          <w:rFonts w:hint="eastAsia"/>
          <w:color w:val="auto"/>
          <w:highlight w:val="none"/>
        </w:rPr>
        <w:t>7. 联系方式</w:t>
      </w:r>
    </w:p>
    <w:tbl>
      <w:tblPr>
        <w:tblStyle w:val="8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2429308A">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844EBB5">
            <w:pPr>
              <w:ind w:firstLine="0" w:firstLineChars="0"/>
              <w:jc w:val="left"/>
              <w:rPr>
                <w:color w:val="auto"/>
                <w:highlight w:val="none"/>
              </w:rPr>
            </w:pPr>
            <w:r>
              <w:rPr>
                <w:rFonts w:hint="eastAsia"/>
                <w:color w:val="auto"/>
                <w:highlight w:val="none"/>
              </w:rPr>
              <w:t>7.1 项目需求咨询</w:t>
            </w:r>
          </w:p>
        </w:tc>
      </w:tr>
      <w:tr w14:paraId="21123BB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41CD185">
            <w:pPr>
              <w:ind w:firstLine="0" w:firstLineChars="0"/>
              <w:jc w:val="left"/>
              <w:rPr>
                <w:rFonts w:cs="宋体"/>
                <w:color w:val="auto"/>
                <w:szCs w:val="21"/>
                <w:highlight w:val="none"/>
              </w:rPr>
            </w:pPr>
            <w:r>
              <w:rPr>
                <w:rFonts w:hint="eastAsia"/>
                <w:color w:val="auto"/>
                <w:highlight w:val="none"/>
              </w:rPr>
              <w:t>项目联系人：崔丽平</w:t>
            </w:r>
          </w:p>
        </w:tc>
        <w:tc>
          <w:tcPr>
            <w:tcW w:w="5333" w:type="dxa"/>
            <w:tcBorders>
              <w:top w:val="nil"/>
              <w:left w:val="nil"/>
              <w:bottom w:val="nil"/>
              <w:right w:val="single" w:color="auto" w:sz="4" w:space="0"/>
            </w:tcBorders>
          </w:tcPr>
          <w:p w14:paraId="66141ACD">
            <w:pPr>
              <w:ind w:firstLine="0" w:firstLineChars="0"/>
              <w:jc w:val="left"/>
              <w:rPr>
                <w:rFonts w:cs="宋体"/>
                <w:color w:val="auto"/>
                <w:szCs w:val="21"/>
                <w:highlight w:val="none"/>
              </w:rPr>
            </w:pPr>
            <w:r>
              <w:rPr>
                <w:rFonts w:hint="eastAsia"/>
                <w:color w:val="auto"/>
                <w:highlight w:val="none"/>
              </w:rPr>
              <w:t>联系方式：17723046733、023-88890320</w:t>
            </w:r>
          </w:p>
        </w:tc>
      </w:tr>
      <w:tr w14:paraId="1EEDBB3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B0854AA">
            <w:pPr>
              <w:ind w:firstLine="0" w:firstLineChars="0"/>
              <w:jc w:val="left"/>
              <w:rPr>
                <w:color w:val="auto"/>
                <w:highlight w:val="none"/>
              </w:rPr>
            </w:pPr>
          </w:p>
        </w:tc>
      </w:tr>
      <w:tr w14:paraId="730BE8D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9C775A5">
            <w:pPr>
              <w:ind w:firstLine="0" w:firstLineChars="0"/>
              <w:jc w:val="left"/>
              <w:rPr>
                <w:color w:val="auto"/>
                <w:highlight w:val="none"/>
              </w:rPr>
            </w:pPr>
            <w:r>
              <w:rPr>
                <w:rFonts w:hint="eastAsia"/>
                <w:color w:val="auto"/>
                <w:highlight w:val="none"/>
              </w:rPr>
              <w:t>7.2 项目流程咨询</w:t>
            </w:r>
          </w:p>
        </w:tc>
      </w:tr>
      <w:tr w14:paraId="13F6F12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6BF43B">
            <w:pPr>
              <w:ind w:firstLine="0" w:firstLineChars="0"/>
              <w:jc w:val="left"/>
              <w:rPr>
                <w:color w:val="auto"/>
                <w:highlight w:val="none"/>
              </w:rPr>
            </w:pPr>
            <w:r>
              <w:rPr>
                <w:rFonts w:hint="eastAsia"/>
                <w:color w:val="auto"/>
                <w:highlight w:val="none"/>
              </w:rPr>
              <w:t>平台服务机构：重庆联合产权交易所集团股份有限公司</w:t>
            </w:r>
          </w:p>
        </w:tc>
      </w:tr>
      <w:tr w14:paraId="0FEC3F6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2F815DE">
            <w:pPr>
              <w:ind w:firstLine="0" w:firstLineChars="0"/>
              <w:jc w:val="left"/>
              <w:rPr>
                <w:rFonts w:cs="宋体"/>
                <w:color w:val="auto"/>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4C739ECA">
            <w:pPr>
              <w:ind w:firstLine="0" w:firstLineChars="0"/>
              <w:jc w:val="left"/>
              <w:rPr>
                <w:rFonts w:cs="宋体"/>
                <w:color w:val="auto"/>
                <w:szCs w:val="21"/>
                <w:highlight w:val="none"/>
              </w:rPr>
            </w:pPr>
            <w:r>
              <w:rPr>
                <w:rFonts w:hint="eastAsia"/>
                <w:color w:val="auto"/>
                <w:highlight w:val="none"/>
              </w:rPr>
              <w:t>联系方式：023-63621694</w:t>
            </w:r>
          </w:p>
        </w:tc>
      </w:tr>
      <w:tr w14:paraId="2CA4287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9426A1">
            <w:pPr>
              <w:ind w:firstLine="0" w:firstLineChars="0"/>
              <w:jc w:val="left"/>
              <w:rPr>
                <w:color w:val="auto"/>
                <w:highlight w:val="none"/>
              </w:rPr>
            </w:pPr>
          </w:p>
        </w:tc>
      </w:tr>
      <w:tr w14:paraId="649A1F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027DC1">
            <w:pPr>
              <w:ind w:firstLine="0" w:firstLineChars="0"/>
              <w:jc w:val="left"/>
              <w:rPr>
                <w:color w:val="auto"/>
                <w:highlight w:val="none"/>
              </w:rPr>
            </w:pPr>
            <w:r>
              <w:rPr>
                <w:rFonts w:hint="eastAsia"/>
                <w:color w:val="auto"/>
                <w:highlight w:val="none"/>
              </w:rPr>
              <w:t>7.3 比选人联系方式</w:t>
            </w:r>
          </w:p>
        </w:tc>
      </w:tr>
      <w:tr w14:paraId="40A9E14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BB3BE93">
            <w:pPr>
              <w:ind w:firstLine="0" w:firstLineChars="0"/>
              <w:jc w:val="left"/>
              <w:rPr>
                <w:rFonts w:cs="宋体"/>
                <w:color w:val="auto"/>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6E0D73E4">
            <w:pPr>
              <w:ind w:firstLine="0" w:firstLineChars="0"/>
              <w:jc w:val="left"/>
              <w:rPr>
                <w:rFonts w:cs="宋体"/>
                <w:color w:val="auto"/>
                <w:szCs w:val="21"/>
                <w:highlight w:val="none"/>
              </w:rPr>
            </w:pPr>
            <w:r>
              <w:rPr>
                <w:rFonts w:hint="eastAsia"/>
                <w:color w:val="auto"/>
                <w:highlight w:val="none"/>
              </w:rPr>
              <w:t>联系方式：023-88890395</w:t>
            </w:r>
          </w:p>
        </w:tc>
      </w:tr>
      <w:tr w14:paraId="7BB52134">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99282FA">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220820E0">
      <w:pPr>
        <w:ind w:firstLine="420"/>
        <w:rPr>
          <w:color w:val="auto"/>
          <w:highlight w:val="none"/>
        </w:rPr>
      </w:pPr>
    </w:p>
    <w:p w14:paraId="14E5D4DD">
      <w:pPr>
        <w:spacing w:line="240" w:lineRule="auto"/>
        <w:ind w:firstLine="0" w:firstLineChars="0"/>
        <w:jc w:val="right"/>
        <w:rPr>
          <w:rFonts w:hint="eastAsia"/>
          <w:color w:val="auto"/>
          <w:highlight w:val="none"/>
        </w:rPr>
      </w:pPr>
    </w:p>
    <w:p w14:paraId="113B3A49">
      <w:pPr>
        <w:spacing w:line="240" w:lineRule="auto"/>
        <w:ind w:firstLine="0" w:firstLineChars="0"/>
        <w:jc w:val="right"/>
        <w:rPr>
          <w:rFonts w:hint="eastAsia"/>
          <w:color w:val="auto"/>
          <w:highlight w:val="none"/>
        </w:rPr>
      </w:pPr>
    </w:p>
    <w:p w14:paraId="2AB6C25A">
      <w:pPr>
        <w:spacing w:line="240" w:lineRule="auto"/>
        <w:ind w:firstLine="0" w:firstLineChars="0"/>
        <w:jc w:val="right"/>
        <w:rPr>
          <w:color w:val="auto"/>
          <w:highlight w:val="none"/>
        </w:rPr>
      </w:pPr>
      <w:r>
        <w:rPr>
          <w:rFonts w:hint="eastAsia"/>
          <w:color w:val="auto"/>
          <w:highlight w:val="none"/>
        </w:rPr>
        <w:t>重庆三峡银行股份有限公司</w:t>
      </w:r>
    </w:p>
    <w:p w14:paraId="6ABBAFF7">
      <w:pPr>
        <w:ind w:firstLine="42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23</w:t>
      </w:r>
      <w:bookmarkStart w:id="320" w:name="_GoBack"/>
      <w:bookmarkEnd w:id="320"/>
      <w:r>
        <w:rPr>
          <w:rFonts w:hint="eastAsia"/>
          <w:color w:val="auto"/>
          <w:highlight w:val="none"/>
        </w:rPr>
        <w:t>日</w:t>
      </w:r>
    </w:p>
    <w:p w14:paraId="1784649E">
      <w:pPr>
        <w:ind w:firstLine="420"/>
        <w:rPr>
          <w:color w:val="auto"/>
          <w:highlight w:val="none"/>
        </w:rPr>
      </w:pPr>
      <w:r>
        <w:rPr>
          <w:color w:val="auto"/>
          <w:highlight w:val="none"/>
        </w:rPr>
        <w:br w:type="page"/>
      </w:r>
    </w:p>
    <w:p w14:paraId="76835551">
      <w:pPr>
        <w:pStyle w:val="3"/>
        <w:rPr>
          <w:color w:val="auto"/>
          <w:highlight w:val="none"/>
        </w:rPr>
      </w:pPr>
      <w:bookmarkStart w:id="28" w:name="_Toc15900"/>
      <w:bookmarkStart w:id="29" w:name="_Toc89675159"/>
      <w:bookmarkStart w:id="30" w:name="_Toc303066033"/>
      <w:r>
        <w:rPr>
          <w:rFonts w:hint="eastAsia"/>
          <w:color w:val="auto"/>
          <w:highlight w:val="none"/>
        </w:rPr>
        <w:t>第二章 参选人须知</w:t>
      </w:r>
      <w:bookmarkEnd w:id="28"/>
      <w:bookmarkEnd w:id="29"/>
      <w:bookmarkEnd w:id="30"/>
    </w:p>
    <w:p w14:paraId="019CF547">
      <w:pPr>
        <w:pStyle w:val="4"/>
        <w:jc w:val="left"/>
        <w:rPr>
          <w:color w:val="auto"/>
          <w:highlight w:val="none"/>
        </w:rPr>
      </w:pPr>
      <w:bookmarkStart w:id="31" w:name="_Toc89675160"/>
      <w:r>
        <w:rPr>
          <w:rFonts w:hint="eastAsia"/>
          <w:color w:val="auto"/>
          <w:highlight w:val="none"/>
        </w:rPr>
        <w:t>1. 项目信息</w:t>
      </w:r>
    </w:p>
    <w:p w14:paraId="7B8F6D62">
      <w:pPr>
        <w:pStyle w:val="5"/>
        <w:ind w:firstLine="422"/>
        <w:rPr>
          <w:color w:val="auto"/>
          <w:highlight w:val="none"/>
        </w:rPr>
      </w:pPr>
      <w:r>
        <w:rPr>
          <w:rFonts w:hint="eastAsia"/>
          <w:color w:val="auto"/>
          <w:highlight w:val="none"/>
        </w:rPr>
        <w:t>1.1 比选人</w:t>
      </w:r>
    </w:p>
    <w:p w14:paraId="4A1ADE74">
      <w:pPr>
        <w:ind w:firstLine="420"/>
        <w:rPr>
          <w:color w:val="auto"/>
          <w:highlight w:val="none"/>
        </w:rPr>
      </w:pPr>
      <w:r>
        <w:rPr>
          <w:color w:val="auto"/>
          <w:highlight w:val="none"/>
        </w:rPr>
        <w:t>重庆三峡银行股份有限公司</w:t>
      </w:r>
      <w:r>
        <w:rPr>
          <w:rFonts w:hint="eastAsia"/>
          <w:color w:val="auto"/>
          <w:highlight w:val="none"/>
        </w:rPr>
        <w:t>。</w:t>
      </w:r>
    </w:p>
    <w:p w14:paraId="2FE5580E">
      <w:pPr>
        <w:pStyle w:val="5"/>
        <w:ind w:firstLine="422"/>
        <w:rPr>
          <w:color w:val="auto"/>
          <w:highlight w:val="none"/>
        </w:rPr>
      </w:pPr>
      <w:r>
        <w:rPr>
          <w:rFonts w:hint="eastAsia"/>
          <w:color w:val="auto"/>
          <w:highlight w:val="none"/>
        </w:rPr>
        <w:t>1.2 最高限价</w:t>
      </w:r>
    </w:p>
    <w:p w14:paraId="7C9539C6">
      <w:pPr>
        <w:ind w:firstLine="420"/>
        <w:rPr>
          <w:color w:val="auto"/>
          <w:highlight w:val="none"/>
        </w:rPr>
      </w:pPr>
      <w:r>
        <w:rPr>
          <w:rFonts w:hint="eastAsia"/>
          <w:color w:val="auto"/>
          <w:highlight w:val="none"/>
        </w:rPr>
        <w:t>本项目最高限价为：</w:t>
      </w:r>
      <w:r>
        <w:rPr>
          <w:color w:val="auto"/>
          <w:highlight w:val="none"/>
          <w:u w:val="single"/>
        </w:rPr>
        <w:t>28万元整</w:t>
      </w:r>
      <w:r>
        <w:rPr>
          <w:rFonts w:hint="eastAsia"/>
          <w:color w:val="auto"/>
          <w:highlight w:val="none"/>
        </w:rPr>
        <w:t>（人民币大写：</w:t>
      </w:r>
      <w:r>
        <w:rPr>
          <w:color w:val="auto"/>
          <w:highlight w:val="none"/>
          <w:u w:val="single"/>
        </w:rPr>
        <w:t>贰拾捌万元整</w:t>
      </w:r>
      <w:r>
        <w:rPr>
          <w:rFonts w:hint="eastAsia"/>
          <w:color w:val="auto"/>
          <w:highlight w:val="none"/>
        </w:rPr>
        <w:t>）。</w:t>
      </w:r>
    </w:p>
    <w:p w14:paraId="760F45BE">
      <w:pPr>
        <w:pStyle w:val="5"/>
        <w:ind w:firstLine="422"/>
        <w:rPr>
          <w:color w:val="auto"/>
          <w:highlight w:val="none"/>
        </w:rPr>
      </w:pPr>
      <w:r>
        <w:rPr>
          <w:rFonts w:hint="eastAsia"/>
          <w:color w:val="auto"/>
          <w:highlight w:val="none"/>
        </w:rPr>
        <w:t>1.3 项目概况</w:t>
      </w:r>
    </w:p>
    <w:bookmarkEnd w:id="31"/>
    <w:p w14:paraId="458FF122">
      <w:pPr>
        <w:ind w:firstLine="420"/>
        <w:rPr>
          <w:rFonts w:cs="Times New Roman"/>
          <w:color w:val="auto"/>
          <w:szCs w:val="24"/>
          <w:highlight w:val="none"/>
        </w:rPr>
      </w:pPr>
      <w:bookmarkStart w:id="32" w:name="_Toc89675161"/>
      <w:r>
        <w:rPr>
          <w:rFonts w:hint="eastAsia" w:cs="Times New Roman"/>
          <w:color w:val="auto"/>
          <w:highlight w:val="none"/>
        </w:rPr>
        <w:t>为满足比选人内部安全管理需要，拟开展身份认证系统</w:t>
      </w:r>
      <w:r>
        <w:rPr>
          <w:rFonts w:cs="Times New Roman"/>
          <w:color w:val="auto"/>
          <w:highlight w:val="none"/>
        </w:rPr>
        <w:t>的</w:t>
      </w:r>
      <w:r>
        <w:rPr>
          <w:rFonts w:hint="eastAsia" w:cs="Times New Roman"/>
          <w:color w:val="auto"/>
          <w:highlight w:val="none"/>
        </w:rPr>
        <w:t>建设</w:t>
      </w:r>
      <w:r>
        <w:rPr>
          <w:rFonts w:cs="Times New Roman"/>
          <w:color w:val="auto"/>
          <w:highlight w:val="none"/>
        </w:rPr>
        <w:t>工作。</w:t>
      </w:r>
      <w:r>
        <w:rPr>
          <w:rFonts w:cs="Times New Roman"/>
          <w:color w:val="auto"/>
          <w:szCs w:val="24"/>
          <w:highlight w:val="none"/>
        </w:rPr>
        <w:t>该系统可提供灵活多样的生物认证模式，如指纹、3D人脸等，并根据用户手机支持的生物模块类型应用于登录、小额支付等场景。</w:t>
      </w:r>
    </w:p>
    <w:p w14:paraId="1EEA6748">
      <w:pPr>
        <w:ind w:firstLine="420"/>
        <w:rPr>
          <w:rFonts w:cs="Times New Roman"/>
          <w:color w:val="auto"/>
          <w:highlight w:val="none"/>
        </w:rPr>
      </w:pPr>
      <w:r>
        <w:rPr>
          <w:rFonts w:cs="Times New Roman"/>
          <w:color w:val="auto"/>
          <w:szCs w:val="24"/>
          <w:highlight w:val="none"/>
        </w:rPr>
        <w:t>系统以</w:t>
      </w:r>
      <w:r>
        <w:rPr>
          <w:rFonts w:hint="eastAsia" w:cs="Times New Roman"/>
          <w:color w:val="auto"/>
          <w:highlight w:val="none"/>
        </w:rPr>
        <w:t>打造可信安全认证体系</w:t>
      </w:r>
      <w:r>
        <w:rPr>
          <w:rFonts w:cs="Times New Roman"/>
          <w:color w:val="auto"/>
          <w:highlight w:val="none"/>
        </w:rPr>
        <w:t>为目标</w:t>
      </w:r>
      <w:r>
        <w:rPr>
          <w:rFonts w:hint="eastAsia" w:cs="Times New Roman"/>
          <w:color w:val="auto"/>
          <w:highlight w:val="none"/>
        </w:rPr>
        <w:t>，</w:t>
      </w:r>
      <w:r>
        <w:rPr>
          <w:rFonts w:cs="Times New Roman"/>
          <w:color w:val="auto"/>
          <w:szCs w:val="24"/>
          <w:highlight w:val="none"/>
        </w:rPr>
        <w:t>采用基于FIDO协议的身份认证功能，遵循FIDO定义的客户端、服务器端标准接口。并将密码运算、密钥等设置在终端设备安全环境（即TEE）中完成，</w:t>
      </w:r>
      <w:r>
        <w:rPr>
          <w:rFonts w:cs="Times New Roman"/>
          <w:color w:val="auto"/>
          <w:highlight w:val="none"/>
        </w:rPr>
        <w:t>以</w:t>
      </w:r>
      <w:r>
        <w:rPr>
          <w:rFonts w:hint="eastAsia" w:cs="Times New Roman"/>
          <w:color w:val="auto"/>
          <w:highlight w:val="none"/>
        </w:rPr>
        <w:t>增强用户身份安全性认证，进一步提升用户账户抗风险能力。</w:t>
      </w:r>
    </w:p>
    <w:p w14:paraId="4806955C">
      <w:pPr>
        <w:pStyle w:val="5"/>
        <w:ind w:firstLine="422"/>
        <w:rPr>
          <w:color w:val="auto"/>
          <w:highlight w:val="none"/>
        </w:rPr>
      </w:pPr>
      <w:r>
        <w:rPr>
          <w:rFonts w:hint="eastAsia"/>
          <w:color w:val="auto"/>
          <w:highlight w:val="none"/>
        </w:rPr>
        <w:t>1.4 项目目标</w:t>
      </w:r>
    </w:p>
    <w:p w14:paraId="2A7C65F4">
      <w:pPr>
        <w:ind w:firstLine="420"/>
        <w:rPr>
          <w:rFonts w:cs="Times New Roman"/>
          <w:color w:val="auto"/>
          <w:highlight w:val="none"/>
        </w:rPr>
      </w:pPr>
      <w:r>
        <w:rPr>
          <w:rFonts w:hint="eastAsia" w:cs="Times New Roman"/>
          <w:color w:val="auto"/>
          <w:highlight w:val="none"/>
        </w:rPr>
        <w:t>通过新建身份认证系统，</w:t>
      </w:r>
      <w:r>
        <w:rPr>
          <w:rFonts w:cs="Times New Roman"/>
          <w:color w:val="auto"/>
          <w:highlight w:val="none"/>
        </w:rPr>
        <w:t>以</w:t>
      </w:r>
      <w:r>
        <w:rPr>
          <w:rFonts w:hint="eastAsia" w:cs="Times New Roman"/>
          <w:color w:val="auto"/>
          <w:highlight w:val="none"/>
        </w:rPr>
        <w:t>进行标准化的互联网安全认证服务，为</w:t>
      </w:r>
      <w:r>
        <w:rPr>
          <w:rFonts w:cs="Times New Roman"/>
          <w:color w:val="auto"/>
          <w:highlight w:val="none"/>
        </w:rPr>
        <w:t>线上应用</w:t>
      </w:r>
      <w:r>
        <w:rPr>
          <w:rFonts w:hint="eastAsia" w:cs="Times New Roman"/>
          <w:color w:val="auto"/>
          <w:highlight w:val="none"/>
        </w:rPr>
        <w:t>提供可靠、丰富、便捷的身份认证服务</w:t>
      </w:r>
      <w:r>
        <w:rPr>
          <w:rFonts w:cs="Times New Roman"/>
          <w:color w:val="auto"/>
          <w:highlight w:val="none"/>
        </w:rPr>
        <w:t>，</w:t>
      </w:r>
      <w:r>
        <w:rPr>
          <w:rFonts w:hint="eastAsia" w:cs="Times New Roman"/>
          <w:color w:val="auto"/>
          <w:highlight w:val="none"/>
        </w:rPr>
        <w:t>提升用户服务体验</w:t>
      </w:r>
      <w:r>
        <w:rPr>
          <w:rFonts w:cs="Times New Roman"/>
          <w:color w:val="auto"/>
          <w:highlight w:val="none"/>
        </w:rPr>
        <w:t>。</w:t>
      </w:r>
      <w:r>
        <w:rPr>
          <w:rFonts w:hint="eastAsia" w:cs="Times New Roman"/>
          <w:color w:val="auto"/>
          <w:highlight w:val="none"/>
        </w:rPr>
        <w:t>同时打造可信安全认证体系，增强用户身份安全性认证，进一步提升用户账户抗风险能力</w:t>
      </w:r>
      <w:r>
        <w:rPr>
          <w:rFonts w:cs="Times New Roman"/>
          <w:color w:val="auto"/>
          <w:highlight w:val="none"/>
        </w:rPr>
        <w:t>，</w:t>
      </w:r>
      <w:r>
        <w:rPr>
          <w:rFonts w:hint="eastAsia" w:cs="Times New Roman"/>
          <w:color w:val="auto"/>
          <w:highlight w:val="none"/>
        </w:rPr>
        <w:t>实现监管和行内信息</w:t>
      </w:r>
      <w:r>
        <w:rPr>
          <w:rFonts w:cs="Times New Roman"/>
          <w:color w:val="auto"/>
          <w:highlight w:val="none"/>
        </w:rPr>
        <w:t>安全管理需要</w:t>
      </w:r>
      <w:r>
        <w:rPr>
          <w:rFonts w:hint="eastAsia" w:cs="Times New Roman"/>
          <w:color w:val="auto"/>
          <w:highlight w:val="none"/>
        </w:rPr>
        <w:t>。</w:t>
      </w:r>
    </w:p>
    <w:bookmarkEnd w:id="32"/>
    <w:p w14:paraId="78D27E40">
      <w:pPr>
        <w:pStyle w:val="4"/>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p>
    <w:p w14:paraId="188736F1">
      <w:pPr>
        <w:ind w:firstLine="420"/>
        <w:rPr>
          <w:color w:val="auto"/>
          <w:highlight w:val="none"/>
        </w:rPr>
      </w:pPr>
      <w:r>
        <w:rPr>
          <w:rFonts w:hint="eastAsia"/>
          <w:color w:val="auto"/>
          <w:highlight w:val="none"/>
        </w:rPr>
        <w:t>2.1 合格参选人条件</w:t>
      </w:r>
    </w:p>
    <w:p w14:paraId="1CD7314A">
      <w:pPr>
        <w:ind w:firstLine="42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ind w:firstLine="420"/>
        <w:rPr>
          <w:color w:val="auto"/>
          <w:highlight w:val="none"/>
        </w:rPr>
      </w:pPr>
      <w:r>
        <w:rPr>
          <w:rFonts w:hint="eastAsia"/>
          <w:color w:val="auto"/>
          <w:highlight w:val="none"/>
        </w:rPr>
        <w:t>2.2 参选人的风险</w:t>
      </w:r>
    </w:p>
    <w:p w14:paraId="5E5A64DD">
      <w:pPr>
        <w:ind w:firstLine="42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4"/>
        <w:rPr>
          <w:color w:val="auto"/>
          <w:highlight w:val="none"/>
        </w:rPr>
      </w:pPr>
      <w:bookmarkStart w:id="33" w:name="_Toc89675162"/>
      <w:r>
        <w:rPr>
          <w:rFonts w:hint="eastAsia"/>
          <w:color w:val="auto"/>
          <w:highlight w:val="none"/>
        </w:rPr>
        <w:t>3. 比选文件</w:t>
      </w:r>
      <w:bookmarkEnd w:id="33"/>
    </w:p>
    <w:p w14:paraId="7C746612">
      <w:pPr>
        <w:ind w:firstLine="42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64382875">
      <w:pPr>
        <w:ind w:firstLine="42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4"/>
        <w:rPr>
          <w:color w:val="auto"/>
          <w:highlight w:val="none"/>
        </w:rPr>
      </w:pPr>
      <w:bookmarkStart w:id="34" w:name="_Toc89675163"/>
      <w:r>
        <w:rPr>
          <w:rFonts w:hint="eastAsia"/>
          <w:color w:val="auto"/>
          <w:highlight w:val="none"/>
        </w:rPr>
        <w:t xml:space="preserve">4. </w:t>
      </w:r>
      <w:r>
        <w:rPr>
          <w:color w:val="auto"/>
          <w:highlight w:val="none"/>
        </w:rPr>
        <w:t>参选</w:t>
      </w:r>
      <w:bookmarkEnd w:id="34"/>
    </w:p>
    <w:p w14:paraId="430229E6">
      <w:pPr>
        <w:ind w:firstLine="42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5"/>
        <w:ind w:firstLine="422"/>
        <w:rPr>
          <w:color w:val="auto"/>
          <w:highlight w:val="none"/>
        </w:rPr>
      </w:pPr>
      <w:r>
        <w:rPr>
          <w:rFonts w:hint="eastAsia"/>
          <w:color w:val="auto"/>
          <w:highlight w:val="none"/>
        </w:rPr>
        <w:t>4.1 参选文件组成</w:t>
      </w:r>
    </w:p>
    <w:p w14:paraId="44FA4E7A">
      <w:pPr>
        <w:ind w:firstLine="42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419D89C3">
      <w:pPr>
        <w:pStyle w:val="5"/>
        <w:ind w:firstLine="422"/>
        <w:rPr>
          <w:color w:val="auto"/>
          <w:highlight w:val="none"/>
        </w:rPr>
      </w:pPr>
      <w:r>
        <w:rPr>
          <w:rFonts w:hint="eastAsia"/>
          <w:color w:val="auto"/>
          <w:highlight w:val="none"/>
        </w:rPr>
        <w:t>4.2 联合参选</w:t>
      </w:r>
    </w:p>
    <w:p w14:paraId="54DCE8FF">
      <w:pPr>
        <w:ind w:firstLine="420"/>
        <w:rPr>
          <w:color w:val="auto"/>
          <w:highlight w:val="none"/>
        </w:rPr>
      </w:pPr>
      <w:r>
        <w:rPr>
          <w:rFonts w:hint="eastAsia"/>
          <w:color w:val="auto"/>
          <w:highlight w:val="none"/>
        </w:rPr>
        <w:t>本比选项目不接受联合参选</w:t>
      </w:r>
    </w:p>
    <w:p w14:paraId="5142BABD">
      <w:pPr>
        <w:pStyle w:val="5"/>
        <w:ind w:firstLine="422"/>
        <w:rPr>
          <w:color w:val="auto"/>
          <w:highlight w:val="none"/>
        </w:rPr>
      </w:pPr>
      <w:r>
        <w:rPr>
          <w:rFonts w:hint="eastAsia"/>
          <w:color w:val="auto"/>
          <w:highlight w:val="none"/>
        </w:rPr>
        <w:t>4.3 参选有效期</w:t>
      </w:r>
    </w:p>
    <w:p w14:paraId="1BAEC545">
      <w:pPr>
        <w:ind w:firstLine="420"/>
        <w:rPr>
          <w:color w:val="auto"/>
          <w:highlight w:val="none"/>
        </w:rPr>
      </w:pPr>
      <w:r>
        <w:rPr>
          <w:rFonts w:hint="eastAsia"/>
          <w:color w:val="auto"/>
          <w:highlight w:val="none"/>
        </w:rPr>
        <w:t>参选有效期为参选截止日期后90天内。</w:t>
      </w:r>
    </w:p>
    <w:p w14:paraId="3F014722">
      <w:pPr>
        <w:pStyle w:val="5"/>
        <w:ind w:firstLine="422"/>
        <w:rPr>
          <w:color w:val="auto"/>
          <w:highlight w:val="none"/>
        </w:rPr>
      </w:pPr>
      <w:r>
        <w:rPr>
          <w:rFonts w:hint="eastAsia"/>
          <w:color w:val="auto"/>
          <w:highlight w:val="none"/>
        </w:rPr>
        <w:t>4.4 参选保证金</w:t>
      </w:r>
    </w:p>
    <w:p w14:paraId="249C65EE">
      <w:pPr>
        <w:ind w:firstLine="420"/>
        <w:rPr>
          <w:color w:val="auto"/>
          <w:highlight w:val="none"/>
        </w:rPr>
      </w:pPr>
      <w:r>
        <w:rPr>
          <w:rFonts w:hint="eastAsia"/>
          <w:color w:val="auto"/>
          <w:highlight w:val="none"/>
        </w:rPr>
        <w:t>4.4.1 参选人应在参选截止时间前，按比选文件第一章规定向比选人缴纳参选保证金。</w:t>
      </w:r>
    </w:p>
    <w:p w14:paraId="220700F4">
      <w:pPr>
        <w:ind w:firstLine="420"/>
        <w:rPr>
          <w:color w:val="auto"/>
          <w:highlight w:val="none"/>
        </w:rPr>
      </w:pPr>
      <w:r>
        <w:rPr>
          <w:rFonts w:hint="eastAsia"/>
          <w:color w:val="auto"/>
          <w:highlight w:val="none"/>
        </w:rPr>
        <w:t>4.4.2 参选保证金为参选的有效约束条件。</w:t>
      </w:r>
    </w:p>
    <w:p w14:paraId="08B82355">
      <w:pPr>
        <w:ind w:firstLine="420"/>
        <w:rPr>
          <w:color w:val="auto"/>
          <w:highlight w:val="none"/>
        </w:rPr>
      </w:pPr>
      <w:r>
        <w:rPr>
          <w:rFonts w:hint="eastAsia"/>
          <w:color w:val="auto"/>
          <w:highlight w:val="none"/>
        </w:rPr>
        <w:t>4.4.3 参选保证金有效期与参选文件有效期一致。</w:t>
      </w:r>
    </w:p>
    <w:p w14:paraId="56273E6C">
      <w:pPr>
        <w:ind w:firstLine="420"/>
        <w:rPr>
          <w:color w:val="auto"/>
          <w:highlight w:val="none"/>
        </w:rPr>
      </w:pPr>
      <w:r>
        <w:rPr>
          <w:rFonts w:hint="eastAsia"/>
          <w:color w:val="auto"/>
          <w:highlight w:val="none"/>
        </w:rPr>
        <w:t>4.4.4 参选保证金币种应与参选报价币种相同。</w:t>
      </w:r>
    </w:p>
    <w:p w14:paraId="2FB53711">
      <w:pPr>
        <w:ind w:firstLine="420"/>
        <w:rPr>
          <w:color w:val="auto"/>
          <w:highlight w:val="none"/>
        </w:rPr>
      </w:pPr>
      <w:r>
        <w:rPr>
          <w:rFonts w:hint="eastAsia"/>
          <w:color w:val="auto"/>
          <w:highlight w:val="none"/>
        </w:rPr>
        <w:t>4.4.5 参选保证金的退还：</w:t>
      </w:r>
    </w:p>
    <w:p w14:paraId="0B0E1127">
      <w:pPr>
        <w:ind w:firstLine="42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ind w:firstLine="42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ind w:firstLine="42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ind w:firstLine="420"/>
        <w:rPr>
          <w:color w:val="auto"/>
          <w:highlight w:val="none"/>
        </w:rPr>
      </w:pPr>
      <w:r>
        <w:rPr>
          <w:rFonts w:hint="eastAsia"/>
          <w:color w:val="auto"/>
          <w:highlight w:val="none"/>
        </w:rPr>
        <w:t>4.4.6 参选人有下列情形之一的，参选保证金将不予退还：</w:t>
      </w:r>
    </w:p>
    <w:p w14:paraId="02556B1E">
      <w:pPr>
        <w:ind w:firstLine="420"/>
        <w:rPr>
          <w:color w:val="auto"/>
          <w:highlight w:val="none"/>
        </w:rPr>
      </w:pPr>
      <w:r>
        <w:rPr>
          <w:rFonts w:hint="eastAsia"/>
          <w:color w:val="auto"/>
          <w:highlight w:val="none"/>
        </w:rPr>
        <w:t>4.4.6.1 参选人在参选有效期内撤销参选文件的；</w:t>
      </w:r>
    </w:p>
    <w:p w14:paraId="138F9E20">
      <w:pPr>
        <w:ind w:firstLine="420"/>
        <w:rPr>
          <w:color w:val="auto"/>
          <w:highlight w:val="none"/>
        </w:rPr>
      </w:pPr>
      <w:r>
        <w:rPr>
          <w:rFonts w:hint="eastAsia"/>
          <w:color w:val="auto"/>
          <w:highlight w:val="none"/>
        </w:rPr>
        <w:t>4.4.6.2 参选人在参选过程中弄虚作假，提供虚假材料的；</w:t>
      </w:r>
    </w:p>
    <w:p w14:paraId="583C5D04">
      <w:pPr>
        <w:ind w:firstLine="420"/>
        <w:rPr>
          <w:color w:val="auto"/>
          <w:highlight w:val="none"/>
        </w:rPr>
      </w:pPr>
      <w:r>
        <w:rPr>
          <w:rFonts w:hint="eastAsia"/>
          <w:color w:val="auto"/>
          <w:highlight w:val="none"/>
        </w:rPr>
        <w:t>4.4.6.3 中选人无正当理由不与比选人签订合同的；</w:t>
      </w:r>
    </w:p>
    <w:p w14:paraId="1C80C228">
      <w:pPr>
        <w:ind w:firstLine="420"/>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3AF56F01">
      <w:pPr>
        <w:ind w:firstLine="420"/>
        <w:rPr>
          <w:color w:val="auto"/>
          <w:highlight w:val="none"/>
        </w:rPr>
      </w:pPr>
      <w:r>
        <w:rPr>
          <w:rFonts w:hint="eastAsia"/>
          <w:color w:val="auto"/>
          <w:highlight w:val="none"/>
        </w:rPr>
        <w:t>4.4.6.5 中选人拒绝履行合同义务的；</w:t>
      </w:r>
    </w:p>
    <w:p w14:paraId="44B4000E">
      <w:pPr>
        <w:ind w:firstLine="420"/>
        <w:rPr>
          <w:color w:val="auto"/>
          <w:highlight w:val="none"/>
        </w:rPr>
      </w:pPr>
      <w:r>
        <w:rPr>
          <w:rFonts w:hint="eastAsia"/>
          <w:color w:val="auto"/>
          <w:highlight w:val="none"/>
        </w:rPr>
        <w:t>4.4.6.6 其他严重扰乱比选程序的；</w:t>
      </w:r>
    </w:p>
    <w:p w14:paraId="152531BB">
      <w:pPr>
        <w:pStyle w:val="5"/>
        <w:ind w:firstLine="422"/>
        <w:rPr>
          <w:color w:val="auto"/>
          <w:highlight w:val="none"/>
        </w:rPr>
      </w:pPr>
      <w:r>
        <w:rPr>
          <w:rFonts w:hint="eastAsia"/>
          <w:color w:val="auto"/>
          <w:highlight w:val="none"/>
        </w:rPr>
        <w:t>4.5 参选文件的份数和签署</w:t>
      </w:r>
    </w:p>
    <w:p w14:paraId="4E909A30">
      <w:pPr>
        <w:ind w:firstLine="42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ind w:firstLine="420"/>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1BD4078C">
      <w:pPr>
        <w:ind w:firstLine="420"/>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55E2DCD2">
      <w:pPr>
        <w:ind w:firstLine="420"/>
        <w:rPr>
          <w:color w:val="auto"/>
          <w:highlight w:val="none"/>
        </w:rPr>
      </w:pPr>
      <w:r>
        <w:rPr>
          <w:rFonts w:hint="eastAsia"/>
          <w:color w:val="auto"/>
          <w:highlight w:val="none"/>
        </w:rPr>
        <w:t>4.5.4 电报、电话、邮寄、传真形式的参选文件概不接受。</w:t>
      </w:r>
    </w:p>
    <w:p w14:paraId="394BA181">
      <w:pPr>
        <w:pStyle w:val="5"/>
        <w:ind w:firstLine="422"/>
        <w:rPr>
          <w:color w:val="auto"/>
          <w:highlight w:val="none"/>
        </w:rPr>
      </w:pPr>
      <w:r>
        <w:rPr>
          <w:rFonts w:hint="eastAsia"/>
          <w:color w:val="auto"/>
          <w:highlight w:val="none"/>
        </w:rPr>
        <w:t>4.6 参选文件的密封与标记</w:t>
      </w:r>
    </w:p>
    <w:p w14:paraId="087DAF72">
      <w:pPr>
        <w:ind w:firstLine="42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ind w:firstLine="420"/>
        <w:rPr>
          <w:color w:val="auto"/>
          <w:highlight w:val="none"/>
        </w:rPr>
      </w:pPr>
      <w:r>
        <w:rPr>
          <w:rFonts w:hint="eastAsia"/>
          <w:color w:val="auto"/>
          <w:highlight w:val="none"/>
        </w:rPr>
        <w:t>如果未按上述规定进行密封和标记，则其参选将作为无效参选处理。</w:t>
      </w:r>
    </w:p>
    <w:p w14:paraId="353C84BF">
      <w:pPr>
        <w:pStyle w:val="5"/>
        <w:ind w:firstLine="422"/>
        <w:rPr>
          <w:color w:val="auto"/>
          <w:highlight w:val="none"/>
        </w:rPr>
      </w:pPr>
      <w:r>
        <w:rPr>
          <w:rFonts w:hint="eastAsia"/>
          <w:color w:val="auto"/>
          <w:highlight w:val="none"/>
        </w:rPr>
        <w:t>4.7 参选报价</w:t>
      </w:r>
    </w:p>
    <w:p w14:paraId="07C44605">
      <w:pPr>
        <w:ind w:firstLine="420"/>
        <w:rPr>
          <w:color w:val="auto"/>
          <w:highlight w:val="none"/>
        </w:rPr>
      </w:pPr>
      <w:r>
        <w:rPr>
          <w:rFonts w:hint="eastAsia"/>
          <w:color w:val="auto"/>
          <w:highlight w:val="none"/>
        </w:rPr>
        <w:t>4.7.1 参选人应严格按照“参选文件格式”填写报价。</w:t>
      </w:r>
    </w:p>
    <w:p w14:paraId="56E51F53">
      <w:pPr>
        <w:ind w:firstLine="420"/>
        <w:rPr>
          <w:color w:val="auto"/>
          <w:highlight w:val="none"/>
        </w:rPr>
      </w:pPr>
      <w:r>
        <w:rPr>
          <w:rFonts w:hint="eastAsia"/>
          <w:color w:val="auto"/>
          <w:highlight w:val="none"/>
        </w:rPr>
        <w:t>4.7.2 参选人的报价为一次性报价，即在参选有效期内参选价格固定不变。</w:t>
      </w:r>
    </w:p>
    <w:p w14:paraId="75FED30B">
      <w:pPr>
        <w:ind w:firstLine="420"/>
        <w:rPr>
          <w:color w:val="auto"/>
          <w:highlight w:val="none"/>
        </w:rPr>
      </w:pPr>
      <w:r>
        <w:rPr>
          <w:rFonts w:hint="eastAsia"/>
          <w:color w:val="auto"/>
          <w:highlight w:val="none"/>
        </w:rPr>
        <w:t>4.7.3 本项目只接受一个参选报价，有选择的或有条件的参选将不予接受。</w:t>
      </w:r>
    </w:p>
    <w:p w14:paraId="218D3B42">
      <w:pPr>
        <w:ind w:firstLine="420"/>
        <w:rPr>
          <w:color w:val="auto"/>
          <w:highlight w:val="none"/>
        </w:rPr>
      </w:pPr>
      <w:r>
        <w:rPr>
          <w:rFonts w:hint="eastAsia"/>
          <w:color w:val="auto"/>
          <w:highlight w:val="none"/>
        </w:rPr>
        <w:t>4.7.4 参选报价不得高于最高限价。</w:t>
      </w:r>
    </w:p>
    <w:p w14:paraId="6F18CC66">
      <w:pPr>
        <w:pStyle w:val="5"/>
        <w:ind w:firstLine="422"/>
        <w:rPr>
          <w:color w:val="auto"/>
          <w:highlight w:val="none"/>
        </w:rPr>
      </w:pPr>
      <w:r>
        <w:rPr>
          <w:rFonts w:hint="eastAsia"/>
          <w:color w:val="auto"/>
          <w:highlight w:val="none"/>
        </w:rPr>
        <w:t>4.8 修正错误</w:t>
      </w:r>
    </w:p>
    <w:p w14:paraId="660CDAEF">
      <w:pPr>
        <w:ind w:firstLine="420"/>
        <w:rPr>
          <w:color w:val="auto"/>
          <w:highlight w:val="none"/>
        </w:rPr>
      </w:pPr>
      <w:r>
        <w:rPr>
          <w:rFonts w:hint="eastAsia"/>
          <w:color w:val="auto"/>
          <w:highlight w:val="none"/>
        </w:rPr>
        <w:t>若参选文件出现计算或表达上的错误，修正错误的原则如下：</w:t>
      </w:r>
    </w:p>
    <w:p w14:paraId="57D15A62">
      <w:pPr>
        <w:ind w:firstLine="420"/>
        <w:rPr>
          <w:color w:val="auto"/>
          <w:highlight w:val="none"/>
        </w:rPr>
      </w:pPr>
      <w:r>
        <w:rPr>
          <w:rFonts w:hint="eastAsia"/>
          <w:color w:val="auto"/>
          <w:highlight w:val="none"/>
        </w:rPr>
        <w:t>4.8.1 参选文件的大写金额和小写金额不一致的，以大写金额为准；</w:t>
      </w:r>
    </w:p>
    <w:p w14:paraId="4088C802">
      <w:pPr>
        <w:ind w:firstLine="420"/>
        <w:rPr>
          <w:color w:val="auto"/>
          <w:highlight w:val="none"/>
        </w:rPr>
      </w:pPr>
      <w:r>
        <w:rPr>
          <w:rFonts w:hint="eastAsia"/>
          <w:color w:val="auto"/>
          <w:highlight w:val="none"/>
        </w:rPr>
        <w:t>4.8.2 总价金额与按单价汇总金额不一致的，以单价金额计算结果为准；</w:t>
      </w:r>
    </w:p>
    <w:p w14:paraId="1EC872B6">
      <w:pPr>
        <w:ind w:firstLine="420"/>
        <w:rPr>
          <w:color w:val="auto"/>
          <w:highlight w:val="none"/>
        </w:rPr>
      </w:pPr>
      <w:r>
        <w:rPr>
          <w:rFonts w:hint="eastAsia"/>
          <w:color w:val="auto"/>
          <w:highlight w:val="none"/>
        </w:rPr>
        <w:t>4.8.3 单价金额小数点有明显错位的，应以总价为准，并修正单价；</w:t>
      </w:r>
    </w:p>
    <w:p w14:paraId="34D0FD4B">
      <w:pPr>
        <w:ind w:firstLine="420"/>
        <w:rPr>
          <w:color w:val="auto"/>
          <w:highlight w:val="none"/>
        </w:rPr>
      </w:pPr>
      <w:r>
        <w:rPr>
          <w:rFonts w:hint="eastAsia"/>
          <w:color w:val="auto"/>
          <w:highlight w:val="none"/>
        </w:rPr>
        <w:t>4.8.4 对不同文字文本参选文件的解释发生异议的，以中文文本为准。</w:t>
      </w:r>
    </w:p>
    <w:p w14:paraId="6F5E6EF2">
      <w:pPr>
        <w:ind w:firstLine="420"/>
        <w:rPr>
          <w:color w:val="auto"/>
          <w:highlight w:val="none"/>
        </w:rPr>
      </w:pPr>
      <w:r>
        <w:rPr>
          <w:rFonts w:hint="eastAsia"/>
          <w:color w:val="auto"/>
          <w:highlight w:val="none"/>
        </w:rPr>
        <w:t>4.8.5 含税金额与不含税金额不一致的，以含税金额为准。</w:t>
      </w:r>
    </w:p>
    <w:p w14:paraId="026FDAAE">
      <w:pPr>
        <w:ind w:firstLine="42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CA16A07">
      <w:pPr>
        <w:pStyle w:val="4"/>
        <w:rPr>
          <w:color w:val="auto"/>
          <w:highlight w:val="none"/>
        </w:rPr>
      </w:pPr>
      <w:bookmarkStart w:id="35" w:name="_Toc89675166"/>
      <w:r>
        <w:rPr>
          <w:rFonts w:hint="eastAsia"/>
          <w:color w:val="auto"/>
          <w:highlight w:val="none"/>
        </w:rPr>
        <w:t>5. 比选程序</w:t>
      </w:r>
    </w:p>
    <w:p w14:paraId="5818556F">
      <w:pPr>
        <w:ind w:firstLine="420"/>
        <w:rPr>
          <w:color w:val="auto"/>
          <w:highlight w:val="none"/>
        </w:rPr>
      </w:pPr>
      <w:r>
        <w:rPr>
          <w:rFonts w:hint="eastAsia"/>
          <w:color w:val="auto"/>
          <w:highlight w:val="none"/>
        </w:rPr>
        <w:t>主持人按下列程序进行比选：</w:t>
      </w:r>
    </w:p>
    <w:p w14:paraId="20A43910">
      <w:pPr>
        <w:ind w:firstLine="420"/>
        <w:rPr>
          <w:color w:val="auto"/>
          <w:highlight w:val="none"/>
        </w:rPr>
      </w:pPr>
      <w:r>
        <w:rPr>
          <w:rFonts w:hint="eastAsia"/>
          <w:color w:val="auto"/>
          <w:highlight w:val="none"/>
        </w:rPr>
        <w:t>5.1 宣布比选纪律；</w:t>
      </w:r>
    </w:p>
    <w:p w14:paraId="1F19F43C">
      <w:pPr>
        <w:ind w:firstLine="420"/>
        <w:rPr>
          <w:color w:val="auto"/>
          <w:highlight w:val="none"/>
        </w:rPr>
      </w:pPr>
      <w:r>
        <w:rPr>
          <w:rFonts w:hint="eastAsia"/>
          <w:color w:val="auto"/>
          <w:highlight w:val="none"/>
        </w:rPr>
        <w:t>5.2 宣布比选人、唱标人、记录人、监督人等有关人员姓名；</w:t>
      </w:r>
    </w:p>
    <w:p w14:paraId="7789C01F">
      <w:pPr>
        <w:ind w:firstLine="420"/>
        <w:rPr>
          <w:color w:val="auto"/>
          <w:highlight w:val="none"/>
        </w:rPr>
      </w:pPr>
      <w:r>
        <w:rPr>
          <w:rFonts w:hint="eastAsia"/>
          <w:color w:val="auto"/>
          <w:highlight w:val="none"/>
        </w:rPr>
        <w:t>5.3 公布在参选截止时间前递交参选文件的参选人名称，并点名确认参选人是否派人到场；</w:t>
      </w:r>
    </w:p>
    <w:p w14:paraId="7771530A">
      <w:pPr>
        <w:ind w:firstLine="420"/>
        <w:rPr>
          <w:color w:val="auto"/>
          <w:highlight w:val="none"/>
        </w:rPr>
      </w:pPr>
      <w:r>
        <w:rPr>
          <w:rFonts w:hint="eastAsia"/>
          <w:color w:val="auto"/>
          <w:highlight w:val="none"/>
        </w:rPr>
        <w:t>5.4 展示参选保证金，参选保证金缴款不全或有误的，则记录在案交由评审委员会评审；</w:t>
      </w:r>
    </w:p>
    <w:p w14:paraId="7ABA4E64">
      <w:pPr>
        <w:ind w:firstLine="420"/>
        <w:rPr>
          <w:color w:val="auto"/>
          <w:highlight w:val="none"/>
        </w:rPr>
      </w:pPr>
      <w:r>
        <w:rPr>
          <w:rFonts w:hint="eastAsia"/>
          <w:color w:val="auto"/>
          <w:highlight w:val="none"/>
        </w:rPr>
        <w:t>5.5 封装情况检查：参选人或者其推选的代表检查各参选文件的封装情况并确认；</w:t>
      </w:r>
    </w:p>
    <w:p w14:paraId="6DBB3E0E">
      <w:pPr>
        <w:ind w:firstLine="420"/>
        <w:rPr>
          <w:color w:val="auto"/>
          <w:highlight w:val="none"/>
        </w:rPr>
      </w:pPr>
      <w:r>
        <w:rPr>
          <w:rFonts w:hint="eastAsia"/>
          <w:color w:val="auto"/>
          <w:highlight w:val="none"/>
        </w:rPr>
        <w:t>5.6 设有最高限价的，公布最高限价；</w:t>
      </w:r>
    </w:p>
    <w:p w14:paraId="1CF6DCA7">
      <w:pPr>
        <w:ind w:firstLine="420"/>
        <w:rPr>
          <w:color w:val="auto"/>
          <w:highlight w:val="none"/>
        </w:rPr>
      </w:pPr>
      <w:r>
        <w:rPr>
          <w:rFonts w:hint="eastAsia"/>
          <w:color w:val="auto"/>
          <w:highlight w:val="none"/>
        </w:rPr>
        <w:t>5.7 开启参选文件；</w:t>
      </w:r>
    </w:p>
    <w:p w14:paraId="746AA7A5">
      <w:pPr>
        <w:ind w:firstLine="420"/>
        <w:rPr>
          <w:color w:val="auto"/>
          <w:highlight w:val="none"/>
        </w:rPr>
      </w:pPr>
      <w:r>
        <w:rPr>
          <w:rFonts w:hint="eastAsia"/>
          <w:color w:val="auto"/>
          <w:highlight w:val="none"/>
        </w:rPr>
        <w:t>5.8 比选人代表、参选人代表、监督人、记录人等有关人员在比选记录上签字确认；</w:t>
      </w:r>
    </w:p>
    <w:p w14:paraId="1F3F5B3E">
      <w:pPr>
        <w:ind w:firstLine="420"/>
        <w:rPr>
          <w:color w:val="auto"/>
          <w:highlight w:val="none"/>
        </w:rPr>
      </w:pPr>
      <w:r>
        <w:rPr>
          <w:rFonts w:hint="eastAsia"/>
          <w:color w:val="auto"/>
          <w:highlight w:val="none"/>
        </w:rPr>
        <w:t>5.9 比选结束。</w:t>
      </w:r>
    </w:p>
    <w:p w14:paraId="1D6CB7CF">
      <w:pPr>
        <w:pStyle w:val="4"/>
        <w:rPr>
          <w:color w:val="auto"/>
          <w:highlight w:val="none"/>
        </w:rPr>
      </w:pPr>
      <w:r>
        <w:rPr>
          <w:rFonts w:hint="eastAsia"/>
          <w:color w:val="auto"/>
          <w:highlight w:val="none"/>
        </w:rPr>
        <w:t>6. 评审</w:t>
      </w:r>
    </w:p>
    <w:p w14:paraId="2AB30CB7">
      <w:pPr>
        <w:ind w:firstLine="420"/>
        <w:rPr>
          <w:color w:val="auto"/>
          <w:highlight w:val="none"/>
        </w:rPr>
      </w:pPr>
      <w:r>
        <w:rPr>
          <w:rFonts w:hint="eastAsia"/>
          <w:color w:val="auto"/>
          <w:highlight w:val="none"/>
        </w:rPr>
        <w:t>见第四章内容。</w:t>
      </w:r>
    </w:p>
    <w:p w14:paraId="1E680967">
      <w:pPr>
        <w:pStyle w:val="4"/>
        <w:rPr>
          <w:color w:val="auto"/>
          <w:highlight w:val="none"/>
        </w:rPr>
      </w:pPr>
      <w:r>
        <w:rPr>
          <w:rFonts w:hint="eastAsia"/>
          <w:color w:val="auto"/>
          <w:highlight w:val="none"/>
        </w:rPr>
        <w:t>7. 定</w:t>
      </w:r>
      <w:r>
        <w:rPr>
          <w:color w:val="auto"/>
          <w:highlight w:val="none"/>
        </w:rPr>
        <w:t>选</w:t>
      </w:r>
      <w:bookmarkEnd w:id="35"/>
    </w:p>
    <w:p w14:paraId="4E852C00">
      <w:pPr>
        <w:ind w:firstLine="420"/>
        <w:rPr>
          <w:color w:val="auto"/>
          <w:highlight w:val="none"/>
        </w:rPr>
      </w:pPr>
      <w:r>
        <w:rPr>
          <w:rFonts w:hint="eastAsia"/>
          <w:color w:val="auto"/>
          <w:highlight w:val="none"/>
        </w:rPr>
        <w:t>7.1 定选原则</w:t>
      </w:r>
    </w:p>
    <w:p w14:paraId="6461D2D8">
      <w:pPr>
        <w:ind w:firstLine="42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452EB1DD">
      <w:pPr>
        <w:ind w:firstLine="420"/>
        <w:rPr>
          <w:color w:val="auto"/>
          <w:highlight w:val="none"/>
        </w:rPr>
      </w:pPr>
      <w:r>
        <w:rPr>
          <w:rFonts w:hint="eastAsia"/>
          <w:color w:val="auto"/>
          <w:highlight w:val="none"/>
        </w:rPr>
        <w:t>7.2 不承诺最低价格中选。</w:t>
      </w:r>
    </w:p>
    <w:p w14:paraId="31180EF6">
      <w:pPr>
        <w:ind w:firstLine="42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4"/>
        <w:rPr>
          <w:color w:val="auto"/>
          <w:highlight w:val="none"/>
        </w:rPr>
      </w:pPr>
      <w:bookmarkStart w:id="36" w:name="_Toc89675168"/>
      <w:bookmarkStart w:id="37" w:name="_Toc12245"/>
      <w:r>
        <w:rPr>
          <w:rFonts w:hint="eastAsia"/>
          <w:color w:val="auto"/>
          <w:highlight w:val="none"/>
        </w:rPr>
        <w:t>8. 签订合同</w:t>
      </w:r>
      <w:bookmarkEnd w:id="36"/>
      <w:bookmarkEnd w:id="37"/>
    </w:p>
    <w:p w14:paraId="50673AD4">
      <w:pPr>
        <w:ind w:firstLine="42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ind w:firstLine="420"/>
        <w:rPr>
          <w:color w:val="auto"/>
          <w:highlight w:val="none"/>
        </w:rPr>
      </w:pPr>
      <w:r>
        <w:rPr>
          <w:rFonts w:hint="eastAsia"/>
          <w:color w:val="auto"/>
          <w:highlight w:val="none"/>
        </w:rPr>
        <w:t>8.2 比选文件、中选人的参选文件及澄清文件等，均为签订合同的依据。</w:t>
      </w:r>
    </w:p>
    <w:p w14:paraId="6CCE66A6">
      <w:pPr>
        <w:ind w:firstLine="420"/>
        <w:rPr>
          <w:color w:val="auto"/>
          <w:highlight w:val="none"/>
        </w:rPr>
      </w:pPr>
      <w:r>
        <w:rPr>
          <w:rFonts w:hint="eastAsia"/>
          <w:color w:val="auto"/>
          <w:highlight w:val="none"/>
        </w:rPr>
        <w:t>8.3 合同生效条款由供需双方约定，法律、行政法规规定应当办理批准、登记等手续后生效的合同，依照其规定。</w:t>
      </w:r>
    </w:p>
    <w:p w14:paraId="73DD3EE7">
      <w:pPr>
        <w:ind w:firstLine="420"/>
        <w:rPr>
          <w:color w:val="auto"/>
          <w:highlight w:val="none"/>
        </w:rPr>
      </w:pPr>
      <w:r>
        <w:rPr>
          <w:rFonts w:hint="eastAsia"/>
          <w:color w:val="auto"/>
          <w:highlight w:val="none"/>
        </w:rPr>
        <w:t>8.4 签订合同前后，若中选人无法按要求履约，比选人可以废除中选人资格，并可选择按照中选候选人顺位与下一候选人签订合同。</w:t>
      </w:r>
    </w:p>
    <w:p w14:paraId="67A578AD">
      <w:pPr>
        <w:ind w:firstLine="420"/>
        <w:rPr>
          <w:color w:val="auto"/>
          <w:highlight w:val="none"/>
        </w:rPr>
      </w:pPr>
      <w:r>
        <w:rPr>
          <w:rFonts w:hint="eastAsia"/>
          <w:color w:val="auto"/>
          <w:highlight w:val="none"/>
        </w:rPr>
        <w:t>8.5 该项目不允许任何形式的转包。</w:t>
      </w:r>
    </w:p>
    <w:p w14:paraId="5E5B26D1">
      <w:pPr>
        <w:pStyle w:val="4"/>
        <w:rPr>
          <w:color w:val="auto"/>
          <w:highlight w:val="none"/>
        </w:rPr>
      </w:pPr>
      <w:r>
        <w:rPr>
          <w:rFonts w:hint="eastAsia"/>
          <w:color w:val="auto"/>
          <w:highlight w:val="none"/>
        </w:rPr>
        <w:t>9. 纪律与要求</w:t>
      </w:r>
    </w:p>
    <w:p w14:paraId="62C1242C">
      <w:pPr>
        <w:ind w:firstLine="42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79D6D6C3">
      <w:pPr>
        <w:ind w:firstLine="420"/>
        <w:rPr>
          <w:color w:val="auto"/>
          <w:highlight w:val="none"/>
        </w:rPr>
      </w:pPr>
      <w:r>
        <w:rPr>
          <w:rFonts w:hint="eastAsia"/>
          <w:color w:val="auto"/>
          <w:highlight w:val="none"/>
        </w:rPr>
        <w:t>9.1 有下列情形之一的，属于参选人相互串通参选：</w:t>
      </w:r>
    </w:p>
    <w:p w14:paraId="18B872CC">
      <w:pPr>
        <w:ind w:firstLine="420"/>
        <w:rPr>
          <w:color w:val="auto"/>
          <w:highlight w:val="none"/>
        </w:rPr>
      </w:pPr>
      <w:r>
        <w:rPr>
          <w:rFonts w:hint="eastAsia"/>
          <w:color w:val="auto"/>
          <w:highlight w:val="none"/>
        </w:rPr>
        <w:t>9.1.1 参选人之间协商参选报价等参选文件的实质性内容；</w:t>
      </w:r>
    </w:p>
    <w:p w14:paraId="31AEB2EF">
      <w:pPr>
        <w:ind w:firstLine="420"/>
        <w:rPr>
          <w:color w:val="auto"/>
          <w:highlight w:val="none"/>
        </w:rPr>
      </w:pPr>
      <w:r>
        <w:rPr>
          <w:rFonts w:hint="eastAsia"/>
          <w:color w:val="auto"/>
          <w:highlight w:val="none"/>
        </w:rPr>
        <w:t>9.1.2 参选人之间约定中选人；</w:t>
      </w:r>
    </w:p>
    <w:p w14:paraId="57B01E1D">
      <w:pPr>
        <w:ind w:firstLine="420"/>
        <w:rPr>
          <w:color w:val="auto"/>
          <w:highlight w:val="none"/>
        </w:rPr>
      </w:pPr>
      <w:r>
        <w:rPr>
          <w:rFonts w:hint="eastAsia"/>
          <w:color w:val="auto"/>
          <w:highlight w:val="none"/>
        </w:rPr>
        <w:t>9.1.3 参选人之间约定部分参选人放弃参选或者中选；</w:t>
      </w:r>
    </w:p>
    <w:p w14:paraId="1052B19D">
      <w:pPr>
        <w:ind w:firstLine="420"/>
        <w:rPr>
          <w:color w:val="auto"/>
          <w:highlight w:val="none"/>
        </w:rPr>
      </w:pPr>
      <w:r>
        <w:rPr>
          <w:rFonts w:hint="eastAsia"/>
          <w:color w:val="auto"/>
          <w:highlight w:val="none"/>
        </w:rPr>
        <w:t>9.1.4 属于同一集团、协会、商会等组织成员的参选人按照该组织要求协同参选；</w:t>
      </w:r>
    </w:p>
    <w:p w14:paraId="1BE79D93">
      <w:pPr>
        <w:ind w:firstLine="420"/>
        <w:rPr>
          <w:color w:val="auto"/>
          <w:highlight w:val="none"/>
        </w:rPr>
      </w:pPr>
      <w:r>
        <w:rPr>
          <w:rFonts w:hint="eastAsia"/>
          <w:color w:val="auto"/>
          <w:highlight w:val="none"/>
        </w:rPr>
        <w:t>9.1.5 参选人之间为谋取中选或者排斥特定参选人而采取的其他联合行动。</w:t>
      </w:r>
    </w:p>
    <w:p w14:paraId="3CCBDFCC">
      <w:pPr>
        <w:ind w:firstLine="420"/>
        <w:rPr>
          <w:color w:val="auto"/>
          <w:highlight w:val="none"/>
        </w:rPr>
      </w:pPr>
      <w:r>
        <w:rPr>
          <w:rFonts w:hint="eastAsia"/>
          <w:color w:val="auto"/>
          <w:highlight w:val="none"/>
        </w:rPr>
        <w:t>9.2 有下列情形之一的，视为参选人相互串通参选：</w:t>
      </w:r>
    </w:p>
    <w:p w14:paraId="16F85214">
      <w:pPr>
        <w:ind w:firstLine="420"/>
        <w:rPr>
          <w:color w:val="auto"/>
          <w:highlight w:val="none"/>
        </w:rPr>
      </w:pPr>
      <w:r>
        <w:rPr>
          <w:rFonts w:hint="eastAsia"/>
          <w:color w:val="auto"/>
          <w:highlight w:val="none"/>
        </w:rPr>
        <w:t>9.2.1 不同参选人的参选文件由同一单位或者个人编制；</w:t>
      </w:r>
    </w:p>
    <w:p w14:paraId="41BBBC86">
      <w:pPr>
        <w:ind w:firstLine="420"/>
        <w:rPr>
          <w:color w:val="auto"/>
          <w:highlight w:val="none"/>
        </w:rPr>
      </w:pPr>
      <w:r>
        <w:rPr>
          <w:rFonts w:hint="eastAsia"/>
          <w:color w:val="auto"/>
          <w:highlight w:val="none"/>
        </w:rPr>
        <w:t>9.2.2 不同参选人委托同一单位或者个人办理参选事宜；</w:t>
      </w:r>
    </w:p>
    <w:p w14:paraId="2CCB0E57">
      <w:pPr>
        <w:ind w:firstLine="420"/>
        <w:rPr>
          <w:color w:val="auto"/>
          <w:highlight w:val="none"/>
        </w:rPr>
      </w:pPr>
      <w:r>
        <w:rPr>
          <w:rFonts w:hint="eastAsia"/>
          <w:color w:val="auto"/>
          <w:highlight w:val="none"/>
        </w:rPr>
        <w:t>9.2.3 不同参选人的参选文件载明的项目管理成员为同一人；</w:t>
      </w:r>
    </w:p>
    <w:p w14:paraId="7C5746E7">
      <w:pPr>
        <w:ind w:firstLine="420"/>
        <w:rPr>
          <w:color w:val="auto"/>
          <w:highlight w:val="none"/>
        </w:rPr>
      </w:pPr>
      <w:r>
        <w:rPr>
          <w:rFonts w:hint="eastAsia"/>
          <w:color w:val="auto"/>
          <w:highlight w:val="none"/>
        </w:rPr>
        <w:t>9.2.4 不同参选人的参选文件相互混装；</w:t>
      </w:r>
    </w:p>
    <w:p w14:paraId="21237180">
      <w:pPr>
        <w:ind w:firstLine="420"/>
        <w:rPr>
          <w:color w:val="auto"/>
          <w:highlight w:val="none"/>
        </w:rPr>
      </w:pPr>
      <w:r>
        <w:rPr>
          <w:rFonts w:hint="eastAsia"/>
          <w:color w:val="auto"/>
          <w:highlight w:val="none"/>
        </w:rPr>
        <w:t>9.2.5 不同参选人的参选保证金从同一单位或者个人的账户转出。</w:t>
      </w:r>
    </w:p>
    <w:p w14:paraId="28EB7C4F">
      <w:pPr>
        <w:ind w:firstLine="420"/>
        <w:rPr>
          <w:color w:val="auto"/>
          <w:highlight w:val="none"/>
        </w:rPr>
      </w:pPr>
      <w:r>
        <w:rPr>
          <w:rFonts w:hint="eastAsia"/>
          <w:color w:val="auto"/>
          <w:highlight w:val="none"/>
        </w:rPr>
        <w:t>9.3 使用通过受让或者租借等方式获取的资格、资质证书参选的，属于以他人名义参选。</w:t>
      </w:r>
    </w:p>
    <w:p w14:paraId="7B0BFB1D">
      <w:pPr>
        <w:ind w:firstLine="420"/>
        <w:rPr>
          <w:color w:val="auto"/>
          <w:highlight w:val="none"/>
        </w:rPr>
      </w:pPr>
      <w:r>
        <w:rPr>
          <w:rFonts w:hint="eastAsia"/>
          <w:color w:val="auto"/>
          <w:highlight w:val="none"/>
        </w:rPr>
        <w:t>9.4 参选人有下列情形之一的，属于弄虚作假的行为：</w:t>
      </w:r>
    </w:p>
    <w:p w14:paraId="255C5B09">
      <w:pPr>
        <w:ind w:firstLine="420"/>
        <w:rPr>
          <w:color w:val="auto"/>
          <w:highlight w:val="none"/>
        </w:rPr>
      </w:pPr>
      <w:r>
        <w:rPr>
          <w:rFonts w:hint="eastAsia"/>
          <w:color w:val="auto"/>
          <w:highlight w:val="none"/>
        </w:rPr>
        <w:t>9.4.1 使用伪造、变造的许可证件；</w:t>
      </w:r>
    </w:p>
    <w:p w14:paraId="0A594AD8">
      <w:pPr>
        <w:ind w:firstLine="420"/>
        <w:rPr>
          <w:color w:val="auto"/>
          <w:highlight w:val="none"/>
        </w:rPr>
      </w:pPr>
      <w:r>
        <w:rPr>
          <w:rFonts w:hint="eastAsia"/>
          <w:color w:val="auto"/>
          <w:highlight w:val="none"/>
        </w:rPr>
        <w:t>9.4.2 提供虚假的财务状况或者虚假业绩；</w:t>
      </w:r>
    </w:p>
    <w:p w14:paraId="30A04672">
      <w:pPr>
        <w:ind w:firstLine="420"/>
        <w:rPr>
          <w:color w:val="auto"/>
          <w:highlight w:val="none"/>
        </w:rPr>
      </w:pPr>
      <w:r>
        <w:rPr>
          <w:rFonts w:hint="eastAsia"/>
          <w:color w:val="auto"/>
          <w:highlight w:val="none"/>
        </w:rPr>
        <w:t>9.4.3 提供虚假的项目负责人或者主要技术人员简历、劳动关系证明；</w:t>
      </w:r>
    </w:p>
    <w:p w14:paraId="442C2254">
      <w:pPr>
        <w:ind w:firstLine="420"/>
        <w:rPr>
          <w:color w:val="auto"/>
          <w:highlight w:val="none"/>
        </w:rPr>
      </w:pPr>
      <w:r>
        <w:rPr>
          <w:rFonts w:hint="eastAsia"/>
          <w:color w:val="auto"/>
          <w:highlight w:val="none"/>
        </w:rPr>
        <w:t>9.4.4 提供虚假的信用状况；</w:t>
      </w:r>
    </w:p>
    <w:p w14:paraId="59D5F4C4">
      <w:pPr>
        <w:ind w:firstLine="420"/>
        <w:rPr>
          <w:color w:val="auto"/>
          <w:highlight w:val="none"/>
        </w:rPr>
      </w:pPr>
      <w:r>
        <w:rPr>
          <w:rFonts w:hint="eastAsia"/>
          <w:color w:val="auto"/>
          <w:highlight w:val="none"/>
        </w:rPr>
        <w:t>9.4.5 其它弄虚作假的行为。</w:t>
      </w:r>
    </w:p>
    <w:p w14:paraId="55ADEADB">
      <w:pPr>
        <w:ind w:firstLine="42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4"/>
        <w:rPr>
          <w:color w:val="auto"/>
          <w:highlight w:val="none"/>
        </w:rPr>
      </w:pPr>
      <w:bookmarkStart w:id="38" w:name="_Toc89675169"/>
      <w:r>
        <w:rPr>
          <w:rFonts w:hint="eastAsia"/>
          <w:color w:val="auto"/>
          <w:highlight w:val="none"/>
        </w:rPr>
        <w:t>10. 提问、质疑、投诉</w:t>
      </w:r>
    </w:p>
    <w:p w14:paraId="40ED3AF2">
      <w:pPr>
        <w:ind w:firstLine="0"/>
        <w:rPr>
          <w:color w:val="auto"/>
          <w:highlight w:val="none"/>
        </w:rPr>
      </w:pPr>
      <w:r>
        <w:rPr>
          <w:rFonts w:hint="eastAsia"/>
          <w:color w:val="auto"/>
          <w:highlight w:val="none"/>
        </w:rPr>
        <w:t>10.1 补遗内容可能影响参选文件编制的，须在参选截止时间3日前发布，发布时间至参选截止时间不足3日的，须相应延后参选截止时间。</w:t>
      </w:r>
    </w:p>
    <w:p w14:paraId="39A6EB38">
      <w:pPr>
        <w:ind w:firstLine="0"/>
        <w:rPr>
          <w:color w:val="auto"/>
          <w:highlight w:val="none"/>
        </w:rPr>
      </w:pPr>
      <w:r>
        <w:rPr>
          <w:rFonts w:hint="eastAsia"/>
          <w:color w:val="auto"/>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C795166">
      <w:pPr>
        <w:ind w:firstLine="0"/>
        <w:rPr>
          <w:color w:val="auto"/>
          <w:highlight w:val="none"/>
        </w:rPr>
      </w:pPr>
      <w:r>
        <w:rPr>
          <w:rFonts w:hint="eastAsia"/>
          <w:color w:val="auto"/>
          <w:highlight w:val="none"/>
        </w:rPr>
        <w:t>10.3 参选人对公示的中选结果有质疑，参选人需在公示期内以书面形式向比选人提出质疑。比选人认为有必要对参选人所提质疑进行答复时，将以书面形式进行答复。</w:t>
      </w:r>
    </w:p>
    <w:p w14:paraId="0F053DE7">
      <w:pPr>
        <w:ind w:firstLine="0"/>
        <w:rPr>
          <w:color w:val="auto"/>
          <w:highlight w:val="none"/>
        </w:rPr>
      </w:pPr>
      <w:r>
        <w:rPr>
          <w:rFonts w:hint="eastAsia"/>
          <w:color w:val="auto"/>
          <w:highlight w:val="none"/>
        </w:rPr>
        <w:t>10.4 参选人对比选人的答复不满意或者有质疑，可向本行纪检监察部投诉。</w:t>
      </w:r>
    </w:p>
    <w:p w14:paraId="2669C6CC">
      <w:pPr>
        <w:ind w:firstLine="0"/>
        <w:rPr>
          <w:color w:val="auto"/>
          <w:highlight w:val="none"/>
        </w:rPr>
      </w:pPr>
      <w:r>
        <w:rPr>
          <w:rFonts w:hint="eastAsia"/>
          <w:color w:val="auto"/>
          <w:highlight w:val="none"/>
        </w:rPr>
        <w:t>采购质疑邮箱：</w:t>
      </w:r>
      <w:r>
        <w:rPr>
          <w:color w:val="auto"/>
          <w:highlight w:val="none"/>
        </w:rPr>
        <w:t>sx.jcb@ccqtgb.com</w:t>
      </w:r>
    </w:p>
    <w:p w14:paraId="182846CA">
      <w:pPr>
        <w:ind w:firstLine="0"/>
        <w:rPr>
          <w:color w:val="auto"/>
          <w:highlight w:val="none"/>
        </w:rPr>
      </w:pPr>
      <w:r>
        <w:rPr>
          <w:rFonts w:hint="eastAsia"/>
          <w:color w:val="auto"/>
          <w:highlight w:val="none"/>
        </w:rPr>
        <w:t>采购投诉邮箱：</w:t>
      </w:r>
      <w:bookmarkStart w:id="39" w:name="_Hlk74215856"/>
      <w:r>
        <w:rPr>
          <w:rFonts w:hint="eastAsia"/>
          <w:color w:val="auto"/>
          <w:highlight w:val="none"/>
        </w:rPr>
        <w:t>sxyhjjz@</w:t>
      </w:r>
      <w:r>
        <w:rPr>
          <w:color w:val="auto"/>
          <w:highlight w:val="none"/>
        </w:rPr>
        <w:t>ccqtgb</w:t>
      </w:r>
      <w:r>
        <w:rPr>
          <w:rFonts w:hint="eastAsia"/>
          <w:color w:val="auto"/>
          <w:highlight w:val="none"/>
        </w:rPr>
        <w:t>.com</w:t>
      </w:r>
      <w:bookmarkEnd w:id="39"/>
    </w:p>
    <w:p w14:paraId="69334E8C">
      <w:pPr>
        <w:pStyle w:val="4"/>
        <w:rPr>
          <w:color w:val="auto"/>
          <w:highlight w:val="none"/>
        </w:rPr>
      </w:pPr>
      <w:bookmarkStart w:id="40" w:name="_Toc15059431"/>
      <w:bookmarkStart w:id="41" w:name="_Toc275199618"/>
      <w:bookmarkStart w:id="42" w:name="_Toc440628924"/>
      <w:bookmarkStart w:id="43" w:name="_Toc89675157"/>
      <w:bookmarkStart w:id="44" w:name="_Toc11439"/>
      <w:r>
        <w:rPr>
          <w:rFonts w:hint="eastAsia"/>
          <w:color w:val="auto"/>
          <w:highlight w:val="none"/>
        </w:rPr>
        <w:t>11. 无效参选条款</w:t>
      </w:r>
      <w:bookmarkEnd w:id="40"/>
      <w:bookmarkEnd w:id="41"/>
      <w:bookmarkEnd w:id="42"/>
      <w:bookmarkEnd w:id="43"/>
      <w:bookmarkEnd w:id="44"/>
    </w:p>
    <w:p w14:paraId="76036DE2">
      <w:pPr>
        <w:ind w:firstLine="420"/>
        <w:rPr>
          <w:color w:val="auto"/>
          <w:highlight w:val="none"/>
        </w:rPr>
      </w:pPr>
      <w:r>
        <w:rPr>
          <w:rFonts w:hint="eastAsia"/>
          <w:color w:val="auto"/>
          <w:highlight w:val="none"/>
        </w:rPr>
        <w:t>参选人或其参选文件出现下列情况之一者，应为无效参选：</w:t>
      </w:r>
    </w:p>
    <w:p w14:paraId="53F492C5">
      <w:pPr>
        <w:ind w:firstLine="42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1CDC40ED">
      <w:pPr>
        <w:ind w:firstLine="42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ind w:firstLine="420"/>
        <w:rPr>
          <w:color w:val="auto"/>
          <w:highlight w:val="none"/>
        </w:rPr>
      </w:pPr>
      <w:r>
        <w:rPr>
          <w:rFonts w:hint="eastAsia"/>
          <w:color w:val="auto"/>
          <w:highlight w:val="none"/>
        </w:rPr>
        <w:t>11.3 参选人超出其营业执照或事业单位法人证书上经营范围（业务范围）参选的。</w:t>
      </w:r>
    </w:p>
    <w:p w14:paraId="54A3F31E">
      <w:pPr>
        <w:ind w:firstLine="420"/>
        <w:rPr>
          <w:color w:val="auto"/>
          <w:highlight w:val="none"/>
        </w:rPr>
      </w:pPr>
      <w:r>
        <w:rPr>
          <w:rFonts w:hint="eastAsia"/>
          <w:color w:val="auto"/>
          <w:highlight w:val="none"/>
        </w:rPr>
        <w:t>11.4 单位负责人为同一人或者存在直接控股、管理关系的不同参选人，不得参加同一合同项下的采购活动。</w:t>
      </w:r>
    </w:p>
    <w:p w14:paraId="0890D3B7">
      <w:pPr>
        <w:ind w:firstLine="42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7CCADDFA">
      <w:pPr>
        <w:ind w:firstLine="42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34AC2FEC">
      <w:pPr>
        <w:ind w:firstLine="42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71FDB6B9">
      <w:pPr>
        <w:ind w:firstLine="42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2B3C0CB8">
      <w:pPr>
        <w:ind w:firstLine="42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3641E687">
      <w:pPr>
        <w:ind w:firstLine="420"/>
        <w:rPr>
          <w:color w:val="auto"/>
          <w:highlight w:val="none"/>
        </w:rPr>
      </w:pPr>
      <w:r>
        <w:rPr>
          <w:rFonts w:hint="eastAsia"/>
          <w:color w:val="auto"/>
          <w:highlight w:val="none"/>
        </w:rPr>
        <w:t>11.10 出现影响比选公正的违法、违规行为的。</w:t>
      </w:r>
    </w:p>
    <w:p w14:paraId="77BEA317">
      <w:pPr>
        <w:ind w:firstLine="420"/>
        <w:rPr>
          <w:color w:val="auto"/>
          <w:highlight w:val="none"/>
        </w:rPr>
      </w:pPr>
      <w:r>
        <w:rPr>
          <w:rFonts w:hint="eastAsia"/>
          <w:color w:val="auto"/>
          <w:highlight w:val="none"/>
        </w:rPr>
        <w:t>11.11 与比选人、评审专家、其他参选人恶意串通。</w:t>
      </w:r>
    </w:p>
    <w:p w14:paraId="0094E92C">
      <w:pPr>
        <w:ind w:firstLine="420"/>
        <w:rPr>
          <w:color w:val="auto"/>
          <w:highlight w:val="none"/>
        </w:rPr>
      </w:pPr>
      <w:r>
        <w:rPr>
          <w:rFonts w:hint="eastAsia"/>
          <w:color w:val="auto"/>
          <w:highlight w:val="none"/>
        </w:rPr>
        <w:t>11.12 参选法人发生合并、分立、破产等重大变化后，不再具备比选要求的资格条件的。</w:t>
      </w:r>
    </w:p>
    <w:p w14:paraId="4B184D15">
      <w:pPr>
        <w:ind w:firstLine="420"/>
        <w:rPr>
          <w:color w:val="auto"/>
          <w:highlight w:val="none"/>
        </w:rPr>
      </w:pPr>
      <w:r>
        <w:rPr>
          <w:rFonts w:hint="eastAsia"/>
          <w:color w:val="auto"/>
          <w:highlight w:val="none"/>
        </w:rPr>
        <w:t>11.13 提供虚假材料谋取中选资格的。</w:t>
      </w:r>
    </w:p>
    <w:p w14:paraId="121331E6">
      <w:pPr>
        <w:ind w:firstLine="420"/>
        <w:rPr>
          <w:color w:val="auto"/>
          <w:highlight w:val="none"/>
        </w:rPr>
      </w:pPr>
      <w:r>
        <w:rPr>
          <w:rFonts w:hint="eastAsia"/>
          <w:color w:val="auto"/>
          <w:highlight w:val="none"/>
        </w:rPr>
        <w:t>11.14 参选文件含有比选人不能接受的附件条件的。</w:t>
      </w:r>
    </w:p>
    <w:p w14:paraId="0E150E10">
      <w:pPr>
        <w:pStyle w:val="4"/>
        <w:rPr>
          <w:rFonts w:hint="eastAsia" w:ascii="宋体" w:hAnsi="宋体"/>
          <w:color w:val="auto"/>
          <w:highlight w:val="none"/>
        </w:rPr>
      </w:pPr>
      <w:r>
        <w:rPr>
          <w:rFonts w:hint="eastAsia" w:ascii="宋体" w:hAnsi="宋体"/>
          <w:color w:val="auto"/>
          <w:highlight w:val="none"/>
        </w:rPr>
        <w:t>12. 比选失败情形</w:t>
      </w:r>
    </w:p>
    <w:p w14:paraId="1D4F129E">
      <w:pPr>
        <w:snapToGrid w:val="0"/>
        <w:spacing w:line="600" w:lineRule="exact"/>
        <w:ind w:firstLine="420"/>
        <w:rPr>
          <w:color w:val="auto"/>
          <w:highlight w:val="none"/>
        </w:rPr>
      </w:pPr>
      <w:r>
        <w:rPr>
          <w:rFonts w:hint="eastAsia"/>
          <w:color w:val="auto"/>
          <w:highlight w:val="none"/>
        </w:rPr>
        <w:t>出现以下情形本次比选失败：</w:t>
      </w:r>
    </w:p>
    <w:p w14:paraId="4D67F1C5">
      <w:pPr>
        <w:snapToGrid w:val="0"/>
        <w:spacing w:line="600" w:lineRule="exact"/>
        <w:ind w:firstLine="420"/>
        <w:rPr>
          <w:color w:val="auto"/>
          <w:highlight w:val="none"/>
        </w:rPr>
      </w:pPr>
      <w:r>
        <w:rPr>
          <w:rFonts w:hint="eastAsia"/>
          <w:color w:val="auto"/>
          <w:highlight w:val="none"/>
        </w:rPr>
        <w:t>12.1 参选截止时间止，参选人少于2个的。</w:t>
      </w:r>
    </w:p>
    <w:p w14:paraId="02A4BE77">
      <w:pPr>
        <w:ind w:firstLine="420"/>
        <w:rPr>
          <w:color w:val="auto"/>
          <w:highlight w:val="none"/>
        </w:rPr>
      </w:pPr>
      <w:r>
        <w:rPr>
          <w:rFonts w:hint="eastAsia"/>
          <w:color w:val="auto"/>
          <w:highlight w:val="none"/>
        </w:rPr>
        <w:t>12.2 经评审委员会评审后否决所有参选的。</w:t>
      </w:r>
    </w:p>
    <w:p w14:paraId="37F83092">
      <w:pPr>
        <w:pStyle w:val="4"/>
        <w:rPr>
          <w:color w:val="auto"/>
          <w:highlight w:val="none"/>
        </w:rPr>
      </w:pPr>
      <w:r>
        <w:rPr>
          <w:rFonts w:hint="eastAsia"/>
          <w:color w:val="auto"/>
          <w:highlight w:val="none"/>
        </w:rPr>
        <w:t>13. 终止</w:t>
      </w:r>
      <w:r>
        <w:rPr>
          <w:color w:val="auto"/>
          <w:highlight w:val="none"/>
        </w:rPr>
        <w:t>比选</w:t>
      </w:r>
      <w:bookmarkEnd w:id="38"/>
    </w:p>
    <w:p w14:paraId="75E0796A">
      <w:pPr>
        <w:ind w:firstLine="42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3053956F">
      <w:pPr>
        <w:ind w:firstLine="42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57E20214">
      <w:pPr>
        <w:pStyle w:val="4"/>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51E1CBA9">
      <w:pPr>
        <w:ind w:firstLine="420"/>
        <w:rPr>
          <w:color w:val="auto"/>
          <w:highlight w:val="none"/>
        </w:rPr>
      </w:pPr>
      <w:r>
        <w:rPr>
          <w:rFonts w:hint="eastAsia"/>
          <w:color w:val="auto"/>
          <w:highlight w:val="none"/>
        </w:rPr>
        <w:t>参选人参与本比选项目时，一切与参选有关的费用均由参选人自理。</w:t>
      </w:r>
    </w:p>
    <w:p w14:paraId="0F2EF463">
      <w:pPr>
        <w:ind w:firstLine="420"/>
        <w:rPr>
          <w:color w:val="auto"/>
          <w:highlight w:val="none"/>
        </w:rPr>
      </w:pPr>
      <w:r>
        <w:rPr>
          <w:rFonts w:hint="eastAsia"/>
          <w:color w:val="auto"/>
          <w:highlight w:val="none"/>
        </w:rPr>
        <w:t>本项目平台服务费为</w:t>
      </w:r>
      <w:r>
        <w:rPr>
          <w:rFonts w:hint="eastAsia"/>
          <w:color w:val="auto"/>
          <w:highlight w:val="none"/>
          <w:u w:val="single"/>
        </w:rPr>
        <w:t xml:space="preserve"> 8000 </w:t>
      </w:r>
      <w:r>
        <w:rPr>
          <w:rFonts w:hint="eastAsia"/>
          <w:color w:val="auto"/>
          <w:highlight w:val="none"/>
        </w:rPr>
        <w:t>元，由中选人向重庆联合产权交易所集团股份有限公司支付。中选人应在领取中选通知书时一次性缴纳，请各参选人综合考虑进行报价。</w:t>
      </w:r>
    </w:p>
    <w:p w14:paraId="5AEB41FA">
      <w:pPr>
        <w:widowControl/>
        <w:ind w:firstLine="420"/>
        <w:jc w:val="left"/>
        <w:rPr>
          <w:rFonts w:hint="eastAsia"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5C329370">
      <w:pPr>
        <w:pStyle w:val="3"/>
        <w:rPr>
          <w:color w:val="auto"/>
          <w:highlight w:val="none"/>
        </w:rPr>
      </w:pPr>
      <w:bookmarkStart w:id="45" w:name="_Toc9978"/>
      <w:r>
        <w:rPr>
          <w:rFonts w:hint="eastAsia"/>
          <w:color w:val="auto"/>
          <w:highlight w:val="none"/>
        </w:rPr>
        <w:t>第三章 项目要求</w:t>
      </w:r>
      <w:bookmarkEnd w:id="45"/>
    </w:p>
    <w:p w14:paraId="7D3BF52E">
      <w:pPr>
        <w:pStyle w:val="4"/>
        <w:rPr>
          <w:color w:val="auto"/>
          <w:highlight w:val="none"/>
        </w:rPr>
      </w:pPr>
      <w:r>
        <w:rPr>
          <w:color w:val="auto"/>
          <w:highlight w:val="none"/>
        </w:rPr>
        <w:t>1.</w:t>
      </w:r>
      <w:r>
        <w:rPr>
          <w:rFonts w:hint="eastAsia"/>
          <w:color w:val="auto"/>
          <w:highlight w:val="none"/>
        </w:rPr>
        <w:t xml:space="preserve"> 业务需求</w:t>
      </w:r>
    </w:p>
    <w:p w14:paraId="716E964A">
      <w:pPr>
        <w:pStyle w:val="5"/>
        <w:ind w:firstLine="422"/>
        <w:rPr>
          <w:color w:val="auto"/>
          <w:highlight w:val="none"/>
        </w:rPr>
      </w:pPr>
      <w:r>
        <w:rPr>
          <w:color w:val="auto"/>
          <w:highlight w:val="none"/>
        </w:rPr>
        <w:t>1.1 概述</w:t>
      </w:r>
    </w:p>
    <w:p w14:paraId="55411D74">
      <w:pPr>
        <w:ind w:firstLine="420"/>
        <w:rPr>
          <w:color w:val="auto"/>
          <w:highlight w:val="none"/>
        </w:rPr>
      </w:pPr>
      <w:r>
        <w:rPr>
          <w:rFonts w:hint="eastAsia"/>
          <w:color w:val="auto"/>
          <w:highlight w:val="none"/>
        </w:rPr>
        <w:t>为进一步提升行内应用系统的安全性，拓宽用户账户的登录、支付等认证方式，增强用户身份安全性认证，并实现信创建设目标，拟新建身份认证系统。</w:t>
      </w:r>
      <w:r>
        <w:rPr>
          <w:color w:val="auto"/>
          <w:highlight w:val="none"/>
        </w:rPr>
        <w:t>该系统应提供灵活多样的生物认证模式，如指纹、3D人脸等，并根据用户手机支持的生物模块类型应用于登录、小额支付等场景。系统需提供基于FIDO协议的身份认证功能，遵循FIDO定义的客户端、服务器端标准接口，并将密码运算、密钥等设置在终端设备安全环境TEE中完成。</w:t>
      </w:r>
    </w:p>
    <w:p w14:paraId="0F22283B">
      <w:pPr>
        <w:pStyle w:val="5"/>
        <w:ind w:firstLine="422"/>
        <w:rPr>
          <w:color w:val="auto"/>
          <w:highlight w:val="none"/>
        </w:rPr>
      </w:pPr>
      <w:bookmarkStart w:id="46" w:name="_Toc83630015"/>
      <w:bookmarkStart w:id="47" w:name="_Toc527550322"/>
      <w:bookmarkStart w:id="48" w:name="_Toc78372212"/>
      <w:bookmarkStart w:id="49" w:name="_Toc83630513"/>
      <w:r>
        <w:rPr>
          <w:color w:val="auto"/>
          <w:highlight w:val="none"/>
        </w:rPr>
        <w:t>1.2 功能模块</w:t>
      </w:r>
      <w:bookmarkEnd w:id="46"/>
      <w:bookmarkEnd w:id="47"/>
      <w:bookmarkEnd w:id="48"/>
      <w:bookmarkEnd w:id="49"/>
      <w:r>
        <w:rPr>
          <w:color w:val="auto"/>
          <w:highlight w:val="none"/>
        </w:rPr>
        <w:t>要求</w:t>
      </w:r>
    </w:p>
    <w:tbl>
      <w:tblPr>
        <w:tblStyle w:val="8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autofit"/>
        <w:tblCellMar>
          <w:top w:w="0" w:type="dxa"/>
          <w:left w:w="10" w:type="dxa"/>
          <w:bottom w:w="0" w:type="dxa"/>
          <w:right w:w="10" w:type="dxa"/>
        </w:tblCellMar>
      </w:tblPr>
      <w:tblGrid>
        <w:gridCol w:w="1864"/>
        <w:gridCol w:w="6600"/>
      </w:tblGrid>
      <w:tr w14:paraId="576D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101" w:type="pct"/>
            <w:shd w:val="clear" w:color="auto" w:fill="FFFFFF"/>
            <w:tcMar>
              <w:top w:w="80" w:type="dxa"/>
              <w:left w:w="80" w:type="dxa"/>
              <w:bottom w:w="80" w:type="dxa"/>
              <w:right w:w="80" w:type="dxa"/>
            </w:tcMar>
            <w:vAlign w:val="center"/>
          </w:tcPr>
          <w:p w14:paraId="7EA811CC">
            <w:pPr>
              <w:pStyle w:val="111"/>
              <w:rPr>
                <w:color w:val="auto"/>
                <w:highlight w:val="none"/>
              </w:rPr>
            </w:pPr>
            <w:r>
              <w:rPr>
                <w:rFonts w:hint="eastAsia"/>
                <w:color w:val="auto"/>
                <w:highlight w:val="none"/>
              </w:rPr>
              <w:t>功能分类</w:t>
            </w:r>
          </w:p>
        </w:tc>
        <w:tc>
          <w:tcPr>
            <w:tcW w:w="3898" w:type="pct"/>
            <w:shd w:val="clear" w:color="auto" w:fill="FFFFFF"/>
            <w:tcMar>
              <w:top w:w="80" w:type="dxa"/>
              <w:left w:w="80" w:type="dxa"/>
              <w:bottom w:w="80" w:type="dxa"/>
              <w:right w:w="80" w:type="dxa"/>
            </w:tcMar>
            <w:vAlign w:val="center"/>
          </w:tcPr>
          <w:p w14:paraId="60D8190A">
            <w:pPr>
              <w:pStyle w:val="111"/>
              <w:rPr>
                <w:color w:val="auto"/>
                <w:highlight w:val="none"/>
              </w:rPr>
            </w:pPr>
            <w:r>
              <w:rPr>
                <w:rFonts w:hint="eastAsia"/>
                <w:color w:val="auto"/>
                <w:highlight w:val="none"/>
              </w:rPr>
              <w:t>关键指标</w:t>
            </w:r>
          </w:p>
        </w:tc>
      </w:tr>
      <w:tr w14:paraId="781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6B8F5CD4">
            <w:pPr>
              <w:pStyle w:val="110"/>
              <w:rPr>
                <w:color w:val="auto"/>
                <w:highlight w:val="none"/>
              </w:rPr>
            </w:pPr>
            <w:r>
              <w:rPr>
                <w:rFonts w:hint="eastAsia"/>
                <w:color w:val="auto"/>
                <w:highlight w:val="none"/>
              </w:rPr>
              <w:t>基础功能</w:t>
            </w:r>
          </w:p>
        </w:tc>
        <w:tc>
          <w:tcPr>
            <w:tcW w:w="3898" w:type="pct"/>
            <w:shd w:val="clear" w:color="auto" w:fill="FFFFFF"/>
            <w:tcMar>
              <w:top w:w="80" w:type="dxa"/>
              <w:left w:w="80" w:type="dxa"/>
              <w:bottom w:w="80" w:type="dxa"/>
              <w:right w:w="80" w:type="dxa"/>
            </w:tcMar>
            <w:vAlign w:val="center"/>
          </w:tcPr>
          <w:p w14:paraId="360515B6">
            <w:pPr>
              <w:pStyle w:val="110"/>
              <w:rPr>
                <w:color w:val="auto"/>
                <w:highlight w:val="none"/>
              </w:rPr>
            </w:pPr>
            <w:r>
              <w:rPr>
                <w:rFonts w:hint="eastAsia"/>
                <w:color w:val="auto"/>
                <w:highlight w:val="none"/>
              </w:rPr>
              <w:t>指纹登录功能</w:t>
            </w:r>
          </w:p>
        </w:tc>
      </w:tr>
      <w:tr w14:paraId="31D2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60862D14">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010BA1B1">
            <w:pPr>
              <w:pStyle w:val="110"/>
              <w:rPr>
                <w:color w:val="auto"/>
                <w:highlight w:val="none"/>
              </w:rPr>
            </w:pPr>
            <w:r>
              <w:rPr>
                <w:rFonts w:hint="eastAsia"/>
                <w:color w:val="auto"/>
                <w:highlight w:val="none"/>
              </w:rPr>
              <w:t>3D人脸登录功能</w:t>
            </w:r>
          </w:p>
        </w:tc>
      </w:tr>
      <w:tr w14:paraId="4A08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287BE453">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52C5B6F8">
            <w:pPr>
              <w:pStyle w:val="110"/>
              <w:rPr>
                <w:color w:val="auto"/>
                <w:highlight w:val="none"/>
              </w:rPr>
            </w:pPr>
            <w:r>
              <w:rPr>
                <w:rFonts w:hint="eastAsia"/>
                <w:color w:val="auto"/>
                <w:highlight w:val="none"/>
              </w:rPr>
              <w:t>生物特征校验管理</w:t>
            </w:r>
          </w:p>
        </w:tc>
      </w:tr>
      <w:tr w14:paraId="7945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57E34DC8">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6CC66F8">
            <w:pPr>
              <w:pStyle w:val="110"/>
              <w:rPr>
                <w:color w:val="auto"/>
                <w:highlight w:val="none"/>
              </w:rPr>
            </w:pPr>
            <w:r>
              <w:rPr>
                <w:rFonts w:hint="eastAsia"/>
                <w:color w:val="auto"/>
                <w:highlight w:val="none"/>
              </w:rPr>
              <w:t>指纹认证支付功能</w:t>
            </w:r>
          </w:p>
        </w:tc>
      </w:tr>
      <w:tr w14:paraId="5B63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10FEF343">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63DD9E9">
            <w:pPr>
              <w:pStyle w:val="110"/>
              <w:rPr>
                <w:color w:val="auto"/>
                <w:highlight w:val="none"/>
              </w:rPr>
            </w:pPr>
            <w:r>
              <w:rPr>
                <w:rFonts w:hint="eastAsia"/>
                <w:color w:val="auto"/>
                <w:highlight w:val="none"/>
              </w:rPr>
              <w:t>3D人脸认证支付功能</w:t>
            </w:r>
          </w:p>
        </w:tc>
      </w:tr>
      <w:tr w14:paraId="2D37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081BEC9B">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3B27DD27">
            <w:pPr>
              <w:pStyle w:val="110"/>
              <w:rPr>
                <w:color w:val="auto"/>
                <w:highlight w:val="none"/>
              </w:rPr>
            </w:pPr>
            <w:r>
              <w:rPr>
                <w:rFonts w:hint="eastAsia"/>
                <w:color w:val="auto"/>
                <w:highlight w:val="none"/>
              </w:rPr>
              <w:t>多渠道接入支持</w:t>
            </w:r>
          </w:p>
        </w:tc>
      </w:tr>
      <w:tr w14:paraId="520D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5D0F6E1B">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0388111D">
            <w:pPr>
              <w:pStyle w:val="110"/>
              <w:rPr>
                <w:color w:val="auto"/>
                <w:highlight w:val="none"/>
              </w:rPr>
            </w:pPr>
            <w:r>
              <w:rPr>
                <w:rFonts w:hint="eastAsia"/>
                <w:color w:val="auto"/>
                <w:highlight w:val="none"/>
              </w:rPr>
              <w:t>环境检测功能</w:t>
            </w:r>
          </w:p>
        </w:tc>
      </w:tr>
      <w:tr w14:paraId="5038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681DE8C5">
            <w:pPr>
              <w:pStyle w:val="110"/>
              <w:rPr>
                <w:color w:val="auto"/>
                <w:highlight w:val="none"/>
              </w:rPr>
            </w:pPr>
            <w:r>
              <w:rPr>
                <w:rFonts w:hint="eastAsia"/>
                <w:color w:val="auto"/>
                <w:highlight w:val="none"/>
              </w:rPr>
              <w:t>管理功能</w:t>
            </w:r>
          </w:p>
        </w:tc>
        <w:tc>
          <w:tcPr>
            <w:tcW w:w="3898" w:type="pct"/>
            <w:shd w:val="clear" w:color="auto" w:fill="FFFFFF"/>
            <w:tcMar>
              <w:top w:w="80" w:type="dxa"/>
              <w:left w:w="80" w:type="dxa"/>
              <w:bottom w:w="80" w:type="dxa"/>
              <w:right w:w="80" w:type="dxa"/>
            </w:tcMar>
            <w:vAlign w:val="center"/>
          </w:tcPr>
          <w:p w14:paraId="280B1F0F">
            <w:pPr>
              <w:pStyle w:val="110"/>
              <w:rPr>
                <w:color w:val="auto"/>
                <w:highlight w:val="none"/>
              </w:rPr>
            </w:pPr>
            <w:r>
              <w:rPr>
                <w:rFonts w:hint="eastAsia"/>
                <w:color w:val="auto"/>
                <w:highlight w:val="none"/>
              </w:rPr>
              <w:t>用户注册信息统计</w:t>
            </w:r>
          </w:p>
        </w:tc>
      </w:tr>
      <w:tr w14:paraId="360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6A07D03B">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5441C96A">
            <w:pPr>
              <w:pStyle w:val="110"/>
              <w:rPr>
                <w:color w:val="auto"/>
                <w:highlight w:val="none"/>
              </w:rPr>
            </w:pPr>
            <w:r>
              <w:rPr>
                <w:rFonts w:hint="eastAsia"/>
                <w:color w:val="auto"/>
                <w:highlight w:val="none"/>
              </w:rPr>
              <w:t>用户认证统计</w:t>
            </w:r>
          </w:p>
        </w:tc>
      </w:tr>
      <w:tr w14:paraId="4AB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24BB1788">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7A076553">
            <w:pPr>
              <w:pStyle w:val="110"/>
              <w:rPr>
                <w:color w:val="auto"/>
                <w:highlight w:val="none"/>
              </w:rPr>
            </w:pPr>
            <w:r>
              <w:rPr>
                <w:rFonts w:hint="eastAsia"/>
                <w:color w:val="auto"/>
                <w:highlight w:val="none"/>
              </w:rPr>
              <w:t>日志管理</w:t>
            </w:r>
          </w:p>
        </w:tc>
      </w:tr>
      <w:tr w14:paraId="5DFE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48108413">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DB4C504">
            <w:pPr>
              <w:pStyle w:val="110"/>
              <w:rPr>
                <w:color w:val="auto"/>
                <w:highlight w:val="none"/>
              </w:rPr>
            </w:pPr>
            <w:r>
              <w:rPr>
                <w:rFonts w:hint="eastAsia"/>
                <w:color w:val="auto"/>
                <w:highlight w:val="none"/>
              </w:rPr>
              <w:t>安全策略管理</w:t>
            </w:r>
          </w:p>
        </w:tc>
      </w:tr>
      <w:tr w14:paraId="4DBC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22633DAA">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A17A344">
            <w:pPr>
              <w:pStyle w:val="110"/>
              <w:rPr>
                <w:color w:val="auto"/>
                <w:highlight w:val="none"/>
              </w:rPr>
            </w:pPr>
            <w:r>
              <w:rPr>
                <w:rFonts w:hint="eastAsia"/>
                <w:color w:val="auto"/>
                <w:highlight w:val="none"/>
              </w:rPr>
              <w:t>渠道配置管理</w:t>
            </w:r>
          </w:p>
        </w:tc>
      </w:tr>
      <w:tr w14:paraId="67FF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3A120ED0">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19F214B">
            <w:pPr>
              <w:pStyle w:val="110"/>
              <w:rPr>
                <w:color w:val="auto"/>
                <w:highlight w:val="none"/>
              </w:rPr>
            </w:pPr>
            <w:r>
              <w:rPr>
                <w:rFonts w:hint="eastAsia"/>
                <w:color w:val="auto"/>
                <w:highlight w:val="none"/>
              </w:rPr>
              <w:t>系统管理</w:t>
            </w:r>
          </w:p>
        </w:tc>
      </w:tr>
      <w:tr w14:paraId="316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1B9E8EC2">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1395A59B">
            <w:pPr>
              <w:pStyle w:val="110"/>
              <w:rPr>
                <w:color w:val="auto"/>
                <w:highlight w:val="none"/>
              </w:rPr>
            </w:pPr>
            <w:r>
              <w:rPr>
                <w:rFonts w:hint="eastAsia"/>
                <w:color w:val="auto"/>
                <w:highlight w:val="none"/>
              </w:rPr>
              <w:t>配置管理</w:t>
            </w:r>
          </w:p>
        </w:tc>
      </w:tr>
      <w:tr w14:paraId="68CB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vAlign w:val="center"/>
          </w:tcPr>
          <w:p w14:paraId="41C2C94D">
            <w:pPr>
              <w:pStyle w:val="110"/>
              <w:rPr>
                <w:color w:val="auto"/>
                <w:highlight w:val="none"/>
              </w:rPr>
            </w:pPr>
            <w:r>
              <w:rPr>
                <w:rFonts w:hint="eastAsia"/>
                <w:color w:val="auto"/>
                <w:highlight w:val="none"/>
              </w:rPr>
              <w:t>兼容性</w:t>
            </w:r>
          </w:p>
        </w:tc>
        <w:tc>
          <w:tcPr>
            <w:tcW w:w="3898" w:type="pct"/>
            <w:shd w:val="clear" w:color="auto" w:fill="FFFFFF"/>
            <w:tcMar>
              <w:top w:w="80" w:type="dxa"/>
              <w:left w:w="80" w:type="dxa"/>
              <w:bottom w:w="80" w:type="dxa"/>
              <w:right w:w="80" w:type="dxa"/>
            </w:tcMar>
            <w:vAlign w:val="center"/>
          </w:tcPr>
          <w:p w14:paraId="232DC83E">
            <w:pPr>
              <w:pStyle w:val="110"/>
              <w:rPr>
                <w:color w:val="auto"/>
                <w:highlight w:val="none"/>
              </w:rPr>
            </w:pPr>
            <w:r>
              <w:rPr>
                <w:rFonts w:hint="eastAsia"/>
                <w:color w:val="auto"/>
                <w:highlight w:val="none"/>
              </w:rPr>
              <w:t>支持主流手机品牌如华为、苹果、小米、荣耀、VIVO、OPPO等。</w:t>
            </w:r>
          </w:p>
        </w:tc>
      </w:tr>
      <w:tr w14:paraId="475F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74A33078">
            <w:pPr>
              <w:pStyle w:val="110"/>
              <w:rPr>
                <w:color w:val="auto"/>
                <w:highlight w:val="none"/>
              </w:rPr>
            </w:pPr>
          </w:p>
        </w:tc>
        <w:tc>
          <w:tcPr>
            <w:tcW w:w="3898" w:type="pct"/>
            <w:shd w:val="clear" w:color="auto" w:fill="FFFFFF"/>
            <w:tcMar>
              <w:top w:w="80" w:type="dxa"/>
              <w:left w:w="80" w:type="dxa"/>
              <w:bottom w:w="80" w:type="dxa"/>
              <w:right w:w="80" w:type="dxa"/>
            </w:tcMar>
            <w:vAlign w:val="center"/>
          </w:tcPr>
          <w:p w14:paraId="59A4EB88">
            <w:pPr>
              <w:pStyle w:val="110"/>
              <w:rPr>
                <w:color w:val="auto"/>
                <w:highlight w:val="none"/>
              </w:rPr>
            </w:pPr>
            <w:r>
              <w:rPr>
                <w:rFonts w:hint="eastAsia"/>
                <w:color w:val="auto"/>
                <w:highlight w:val="none"/>
              </w:rPr>
              <w:t>支持Android、IOS、鸿蒙等操作系统，保持对操作版本升级兼容。</w:t>
            </w:r>
          </w:p>
        </w:tc>
      </w:tr>
    </w:tbl>
    <w:p w14:paraId="26367CB5">
      <w:pPr>
        <w:pStyle w:val="5"/>
        <w:ind w:firstLine="422"/>
        <w:rPr>
          <w:color w:val="auto"/>
          <w:highlight w:val="none"/>
        </w:rPr>
      </w:pPr>
      <w:r>
        <w:rPr>
          <w:color w:val="auto"/>
          <w:highlight w:val="none"/>
        </w:rPr>
        <w:t>1.3 业务切换计划</w:t>
      </w:r>
    </w:p>
    <w:p w14:paraId="42DCB867">
      <w:pPr>
        <w:ind w:firstLine="420"/>
        <w:rPr>
          <w:color w:val="auto"/>
          <w:highlight w:val="none"/>
        </w:rPr>
      </w:pPr>
      <w:r>
        <w:rPr>
          <w:color w:val="auto"/>
          <w:highlight w:val="none"/>
        </w:rPr>
        <w:t>身份认证系统作为新建系统，需要在2024年12月底前完成标准化上线，实现上述功能要求，并完成与手机银行的联调测试。</w:t>
      </w:r>
    </w:p>
    <w:p w14:paraId="63B74CCB">
      <w:pPr>
        <w:pStyle w:val="4"/>
        <w:rPr>
          <w:color w:val="auto"/>
          <w:highlight w:val="none"/>
        </w:rPr>
      </w:pPr>
      <w:r>
        <w:rPr>
          <w:color w:val="auto"/>
          <w:highlight w:val="none"/>
        </w:rPr>
        <w:t>2.</w:t>
      </w:r>
      <w:r>
        <w:rPr>
          <w:rFonts w:hint="eastAsia"/>
          <w:color w:val="auto"/>
          <w:highlight w:val="none"/>
        </w:rPr>
        <w:t xml:space="preserve"> 技术要求</w:t>
      </w:r>
    </w:p>
    <w:p w14:paraId="1CE4AD96">
      <w:pPr>
        <w:pStyle w:val="5"/>
        <w:ind w:firstLine="422"/>
        <w:rPr>
          <w:color w:val="auto"/>
          <w:highlight w:val="none"/>
        </w:rPr>
      </w:pPr>
      <w:r>
        <w:rPr>
          <w:color w:val="auto"/>
          <w:highlight w:val="none"/>
        </w:rPr>
        <w:t>2.1 总体原则</w:t>
      </w:r>
    </w:p>
    <w:p w14:paraId="70966255">
      <w:pPr>
        <w:ind w:firstLine="420"/>
        <w:rPr>
          <w:color w:val="auto"/>
          <w:highlight w:val="none"/>
        </w:rPr>
      </w:pPr>
      <w:r>
        <w:rPr>
          <w:color w:val="auto"/>
          <w:highlight w:val="none"/>
        </w:rPr>
        <w:t>系统的建设应遵循集成性、先进性、稳定性、安全性、经济性和可维护性相结合的原则。</w:t>
      </w:r>
    </w:p>
    <w:p w14:paraId="6C5CCB1F">
      <w:pPr>
        <w:ind w:firstLine="420"/>
        <w:rPr>
          <w:color w:val="auto"/>
          <w:highlight w:val="none"/>
        </w:rPr>
      </w:pPr>
      <w:r>
        <w:rPr>
          <w:color w:val="auto"/>
          <w:highlight w:val="none"/>
        </w:rPr>
        <w:t>2.1.1 集成性：系统建设需充分考虑与其它系统的集成，能快速与比选人其它业务和管理系统的集成。</w:t>
      </w:r>
    </w:p>
    <w:p w14:paraId="01DFAD3B">
      <w:pPr>
        <w:ind w:firstLine="420"/>
        <w:rPr>
          <w:color w:val="auto"/>
          <w:highlight w:val="none"/>
        </w:rPr>
      </w:pPr>
      <w:r>
        <w:rPr>
          <w:color w:val="auto"/>
          <w:highlight w:val="none"/>
        </w:rPr>
        <w:t>2.1.2 先进性：软件系统的选择与开发应在满足业务需求的基础上具有易改造、易升级、易操作、易维护等特点。</w:t>
      </w:r>
    </w:p>
    <w:p w14:paraId="0AFF038B">
      <w:pPr>
        <w:ind w:firstLine="420"/>
        <w:rPr>
          <w:color w:val="auto"/>
          <w:highlight w:val="none"/>
        </w:rPr>
      </w:pPr>
      <w:r>
        <w:rPr>
          <w:color w:val="auto"/>
          <w:highlight w:val="none"/>
        </w:rPr>
        <w:t>2.1.3 稳定性：系统要确保系统平稳运行，支持7×24小时连续运行，满足高峰处理的需要。</w:t>
      </w:r>
    </w:p>
    <w:p w14:paraId="53D4D7BF">
      <w:pPr>
        <w:ind w:firstLine="420"/>
        <w:rPr>
          <w:color w:val="auto"/>
          <w:highlight w:val="none"/>
        </w:rPr>
      </w:pPr>
      <w:r>
        <w:rPr>
          <w:color w:val="auto"/>
          <w:highlight w:val="none"/>
        </w:rPr>
        <w:t>2.1.4 安全性</w:t>
      </w:r>
    </w:p>
    <w:p w14:paraId="48B62A34">
      <w:pPr>
        <w:ind w:firstLine="420"/>
        <w:rPr>
          <w:color w:val="auto"/>
          <w:highlight w:val="none"/>
        </w:rPr>
      </w:pPr>
      <w:r>
        <w:rPr>
          <w:color w:val="auto"/>
          <w:highlight w:val="none"/>
        </w:rPr>
        <w:t>1）系统必须建立在成熟稳定的硬件环境和应用软件基础上，通过完善的备份恢复策略、安全控制机制、可靠的运行管理监控和故障处理手段来保障系统的运行稳定、安全。</w:t>
      </w:r>
    </w:p>
    <w:p w14:paraId="290E9F91">
      <w:pPr>
        <w:ind w:firstLine="420"/>
        <w:rPr>
          <w:color w:val="auto"/>
          <w:highlight w:val="none"/>
        </w:rPr>
      </w:pPr>
      <w:r>
        <w:rPr>
          <w:color w:val="auto"/>
          <w:highlight w:val="none"/>
        </w:rPr>
        <w:t>2）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C53D417">
      <w:pPr>
        <w:ind w:firstLine="420"/>
        <w:rPr>
          <w:color w:val="auto"/>
          <w:highlight w:val="none"/>
        </w:rPr>
      </w:pPr>
      <w:r>
        <w:rPr>
          <w:color w:val="auto"/>
          <w:highlight w:val="none"/>
        </w:rPr>
        <w:t>2.1.5 经济性：系统的建设要考虑在网络、设备、信息安全等方面合理利用现有的资源。要充分调研，结合业务需求，合理利用现有资源，降低系统的投资，创造最优的工作效率，产生最好的经济效益。</w:t>
      </w:r>
    </w:p>
    <w:p w14:paraId="681F3891">
      <w:pPr>
        <w:ind w:firstLine="420"/>
        <w:rPr>
          <w:color w:val="auto"/>
          <w:highlight w:val="none"/>
        </w:rPr>
      </w:pPr>
      <w:r>
        <w:rPr>
          <w:color w:val="auto"/>
          <w:highlight w:val="none"/>
        </w:rPr>
        <w:t>2.1.6 可维护性：系统可维护，运行成本可控</w:t>
      </w:r>
    </w:p>
    <w:p w14:paraId="46657E93">
      <w:pPr>
        <w:pStyle w:val="5"/>
        <w:ind w:firstLine="422"/>
        <w:rPr>
          <w:color w:val="auto"/>
          <w:highlight w:val="none"/>
        </w:rPr>
      </w:pPr>
      <w:r>
        <w:rPr>
          <w:color w:val="auto"/>
          <w:highlight w:val="none"/>
        </w:rPr>
        <w:t>2.</w:t>
      </w:r>
      <w:r>
        <w:rPr>
          <w:rFonts w:hint="eastAsia"/>
          <w:color w:val="auto"/>
          <w:highlight w:val="none"/>
        </w:rPr>
        <w:t>2 用户体验要求</w:t>
      </w:r>
    </w:p>
    <w:p w14:paraId="78DA960A">
      <w:pPr>
        <w:ind w:firstLine="420"/>
        <w:rPr>
          <w:color w:val="auto"/>
          <w:highlight w:val="none"/>
        </w:rPr>
      </w:pPr>
      <w:r>
        <w:rPr>
          <w:rFonts w:hint="eastAsia"/>
          <w:color w:val="auto"/>
          <w:highlight w:val="none"/>
        </w:rPr>
        <w:t>系统注重用户体验，用户可根据自己喜好选择认证方式，如人脸、指纹，减小繁琐的密码认证带来的不便，系统各项功能易学易用，方便用户快速上手。图形界面简单直观，提供操作指引，让用户具有更好的操作体验。系统支持跨平台、跨系统和应用适配能力，便于各类终端用户使用。</w:t>
      </w:r>
    </w:p>
    <w:p w14:paraId="08D6D4BC">
      <w:pPr>
        <w:pStyle w:val="5"/>
        <w:ind w:firstLine="422"/>
        <w:rPr>
          <w:color w:val="auto"/>
          <w:highlight w:val="none"/>
        </w:rPr>
      </w:pPr>
      <w:r>
        <w:rPr>
          <w:color w:val="auto"/>
          <w:highlight w:val="none"/>
        </w:rPr>
        <w:t>2.3 系统认证流程要求</w:t>
      </w:r>
    </w:p>
    <w:p w14:paraId="190EB6F2">
      <w:pPr>
        <w:ind w:firstLine="420"/>
        <w:rPr>
          <w:rFonts w:cs="Times New Roman"/>
          <w:color w:val="auto"/>
          <w:szCs w:val="24"/>
          <w:highlight w:val="none"/>
        </w:rPr>
      </w:pPr>
      <w:r>
        <w:rPr>
          <w:rFonts w:hint="eastAsia" w:cs="Times New Roman"/>
          <w:color w:val="auto"/>
          <w:szCs w:val="24"/>
          <w:highlight w:val="none"/>
        </w:rPr>
        <w:t>身份认证系统</w:t>
      </w:r>
      <w:r>
        <w:rPr>
          <w:rFonts w:cs="Times New Roman"/>
          <w:color w:val="auto"/>
          <w:szCs w:val="24"/>
          <w:highlight w:val="none"/>
        </w:rPr>
        <w:t>应</w:t>
      </w:r>
      <w:r>
        <w:rPr>
          <w:rFonts w:hint="eastAsia" w:cs="Times New Roman"/>
          <w:color w:val="auto"/>
          <w:szCs w:val="24"/>
          <w:highlight w:val="none"/>
        </w:rPr>
        <w:t>采用两步</w:t>
      </w:r>
      <w:r>
        <w:rPr>
          <w:rFonts w:cs="Times New Roman"/>
          <w:color w:val="auto"/>
          <w:szCs w:val="24"/>
          <w:highlight w:val="none"/>
        </w:rPr>
        <w:t>走方式进行身份核实</w:t>
      </w:r>
      <w:r>
        <w:rPr>
          <w:rFonts w:hint="eastAsia" w:cs="Times New Roman"/>
          <w:color w:val="auto"/>
          <w:szCs w:val="24"/>
          <w:highlight w:val="none"/>
        </w:rPr>
        <w:t>：</w:t>
      </w:r>
    </w:p>
    <w:p w14:paraId="615461A0">
      <w:pPr>
        <w:ind w:firstLine="420"/>
        <w:rPr>
          <w:rFonts w:cs="Times New Roman"/>
          <w:color w:val="auto"/>
          <w:szCs w:val="24"/>
          <w:highlight w:val="none"/>
        </w:rPr>
      </w:pPr>
      <w:r>
        <w:rPr>
          <w:rFonts w:hint="eastAsia" w:cs="Times New Roman"/>
          <w:color w:val="auto"/>
          <w:szCs w:val="24"/>
          <w:highlight w:val="none"/>
        </w:rPr>
        <w:t>第一步：由用户终端设备验证用户身份</w:t>
      </w:r>
      <w:r>
        <w:rPr>
          <w:rFonts w:cs="Times New Roman"/>
          <w:color w:val="auto"/>
          <w:szCs w:val="24"/>
          <w:highlight w:val="none"/>
        </w:rPr>
        <w:t>合法性。</w:t>
      </w:r>
      <w:r>
        <w:rPr>
          <w:rFonts w:hint="eastAsia" w:cs="Times New Roman"/>
          <w:color w:val="auto"/>
          <w:szCs w:val="24"/>
          <w:highlight w:val="none"/>
        </w:rPr>
        <w:t>验证方式可以多种多样，目前通常采用生物识别技术</w:t>
      </w:r>
      <w:r>
        <w:rPr>
          <w:rFonts w:cs="Times New Roman"/>
          <w:color w:val="auto"/>
          <w:szCs w:val="24"/>
          <w:highlight w:val="none"/>
        </w:rPr>
        <w:t>如</w:t>
      </w:r>
      <w:r>
        <w:rPr>
          <w:rFonts w:hint="eastAsia" w:cs="Times New Roman"/>
          <w:color w:val="auto"/>
          <w:szCs w:val="24"/>
          <w:highlight w:val="none"/>
        </w:rPr>
        <w:t>指纹、3D人脸等，验证通过后，</w:t>
      </w:r>
      <w:r>
        <w:rPr>
          <w:rFonts w:cs="Times New Roman"/>
          <w:color w:val="auto"/>
          <w:szCs w:val="24"/>
          <w:highlight w:val="none"/>
        </w:rPr>
        <w:t>可</w:t>
      </w:r>
      <w:r>
        <w:rPr>
          <w:rFonts w:hint="eastAsia" w:cs="Times New Roman"/>
          <w:color w:val="auto"/>
          <w:szCs w:val="24"/>
          <w:highlight w:val="none"/>
        </w:rPr>
        <w:t>解锁保存在认证器中的用户私钥；</w:t>
      </w:r>
    </w:p>
    <w:p w14:paraId="0407AA49">
      <w:pPr>
        <w:ind w:firstLine="420"/>
        <w:rPr>
          <w:rFonts w:cs="Times New Roman"/>
          <w:color w:val="auto"/>
          <w:szCs w:val="24"/>
          <w:highlight w:val="none"/>
        </w:rPr>
      </w:pPr>
      <w:r>
        <w:rPr>
          <w:rFonts w:hint="eastAsia" w:cs="Times New Roman"/>
          <w:color w:val="auto"/>
          <w:szCs w:val="24"/>
          <w:highlight w:val="none"/>
        </w:rPr>
        <w:t>第二步：</w:t>
      </w:r>
      <w:r>
        <w:rPr>
          <w:rFonts w:cs="Times New Roman"/>
          <w:color w:val="auto"/>
          <w:szCs w:val="24"/>
          <w:highlight w:val="none"/>
        </w:rPr>
        <w:t>由身份认证服务器端验证设备合法性。</w:t>
      </w:r>
      <w:r>
        <w:rPr>
          <w:rFonts w:hint="eastAsia" w:cs="Times New Roman"/>
          <w:color w:val="auto"/>
          <w:szCs w:val="24"/>
          <w:highlight w:val="none"/>
        </w:rPr>
        <w:t>使用解锁的用户私钥对响应消息进行签名，身份认证服务器端使用该用户对应的公钥进行验签，从而完成整个身份鉴别流程。</w:t>
      </w:r>
    </w:p>
    <w:p w14:paraId="01665808">
      <w:pPr>
        <w:ind w:firstLine="420"/>
        <w:rPr>
          <w:rFonts w:cs="Times New Roman"/>
          <w:color w:val="auto"/>
          <w:szCs w:val="24"/>
          <w:highlight w:val="none"/>
        </w:rPr>
      </w:pPr>
      <w:r>
        <w:rPr>
          <w:rFonts w:hint="eastAsia" w:cs="Times New Roman"/>
          <w:color w:val="auto"/>
          <w:szCs w:val="24"/>
          <w:highlight w:val="none"/>
        </w:rPr>
        <w:t>身份认证系统</w:t>
      </w:r>
      <w:r>
        <w:rPr>
          <w:rFonts w:cs="Times New Roman"/>
          <w:color w:val="auto"/>
          <w:szCs w:val="24"/>
          <w:highlight w:val="none"/>
        </w:rPr>
        <w:t>应</w:t>
      </w:r>
      <w:r>
        <w:rPr>
          <w:rFonts w:hint="eastAsia" w:cs="Times New Roman"/>
          <w:color w:val="auto"/>
          <w:szCs w:val="24"/>
          <w:highlight w:val="none"/>
        </w:rPr>
        <w:t>将认证协议与认证方式解耦，可根据终端能力和场景需求，灵活选择合适的本地认证方式，并能在未来方便扩展新的认证方式。</w:t>
      </w:r>
    </w:p>
    <w:p w14:paraId="4B757A0E">
      <w:pPr>
        <w:ind w:firstLine="420"/>
        <w:rPr>
          <w:rFonts w:cs="Times New Roman"/>
          <w:color w:val="auto"/>
          <w:szCs w:val="24"/>
          <w:highlight w:val="none"/>
        </w:rPr>
      </w:pPr>
      <w:r>
        <w:rPr>
          <w:rFonts w:hint="eastAsia" w:cs="Times New Roman"/>
          <w:color w:val="auto"/>
          <w:szCs w:val="24"/>
          <w:highlight w:val="none"/>
        </w:rPr>
        <w:t>身份认证系统</w:t>
      </w:r>
      <w:r>
        <w:rPr>
          <w:rFonts w:cs="Times New Roman"/>
          <w:color w:val="auto"/>
          <w:szCs w:val="24"/>
          <w:highlight w:val="none"/>
        </w:rPr>
        <w:t>应</w:t>
      </w:r>
      <w:r>
        <w:rPr>
          <w:rFonts w:hint="eastAsia" w:cs="Times New Roman"/>
          <w:color w:val="auto"/>
          <w:szCs w:val="24"/>
          <w:highlight w:val="none"/>
        </w:rPr>
        <w:t>提供端到端认证服务，后端服务器与前端认证器间使用标准认证协议构建可信交互，而业务应用通过后端调用认证服务器接口使用认证服务，</w:t>
      </w:r>
      <w:r>
        <w:rPr>
          <w:rFonts w:cs="Times New Roman"/>
          <w:color w:val="auto"/>
          <w:szCs w:val="24"/>
          <w:highlight w:val="none"/>
        </w:rPr>
        <w:t>以</w:t>
      </w:r>
      <w:r>
        <w:rPr>
          <w:rFonts w:hint="eastAsia" w:cs="Times New Roman"/>
          <w:color w:val="auto"/>
          <w:szCs w:val="24"/>
          <w:highlight w:val="none"/>
        </w:rPr>
        <w:t>避免前端调用带来的安全风险。</w:t>
      </w:r>
    </w:p>
    <w:p w14:paraId="13102AE6">
      <w:pPr>
        <w:pStyle w:val="5"/>
        <w:ind w:firstLine="422"/>
        <w:rPr>
          <w:color w:val="auto"/>
          <w:highlight w:val="none"/>
        </w:rPr>
      </w:pPr>
      <w:r>
        <w:rPr>
          <w:color w:val="auto"/>
          <w:highlight w:val="none"/>
        </w:rPr>
        <w:t>2.4 系统性能要求</w:t>
      </w:r>
    </w:p>
    <w:p w14:paraId="4FF8FBC0">
      <w:pPr>
        <w:ind w:firstLine="420"/>
        <w:rPr>
          <w:rFonts w:cs="Times New Roman"/>
          <w:color w:val="auto"/>
          <w:szCs w:val="24"/>
          <w:highlight w:val="none"/>
        </w:rPr>
      </w:pPr>
      <w:r>
        <w:rPr>
          <w:rFonts w:cs="Times New Roman"/>
          <w:color w:val="auto"/>
          <w:szCs w:val="24"/>
          <w:highlight w:val="none"/>
        </w:rPr>
        <w:t>1）应具有高效的运行效率，能通过负载均衡、流量控制、消息缓存等机制，提供大规模、高并发量的处理能力，满足各渠道百万级用户身份认证需求；</w:t>
      </w:r>
    </w:p>
    <w:p w14:paraId="588027B2">
      <w:pPr>
        <w:ind w:firstLine="420"/>
        <w:rPr>
          <w:rFonts w:cs="Times New Roman"/>
          <w:color w:val="auto"/>
          <w:szCs w:val="24"/>
          <w:highlight w:val="none"/>
        </w:rPr>
      </w:pPr>
      <w:r>
        <w:rPr>
          <w:rFonts w:cs="Times New Roman"/>
          <w:color w:val="auto"/>
          <w:szCs w:val="24"/>
          <w:highlight w:val="none"/>
        </w:rPr>
        <w:t>2）系统必须提供平台级的负载均衡和容错能力；</w:t>
      </w:r>
    </w:p>
    <w:p w14:paraId="03748993">
      <w:pPr>
        <w:ind w:firstLine="420"/>
        <w:rPr>
          <w:rFonts w:cs="Times New Roman"/>
          <w:color w:val="auto"/>
          <w:szCs w:val="24"/>
          <w:highlight w:val="none"/>
        </w:rPr>
      </w:pPr>
      <w:r>
        <w:rPr>
          <w:rFonts w:cs="Times New Roman"/>
          <w:color w:val="auto"/>
          <w:szCs w:val="24"/>
          <w:highlight w:val="none"/>
        </w:rPr>
        <w:t>3）主机系统能够保持7*24稳定的不间断运行，从系统软硬件平台及网络等方面来保证系统的稳定性；</w:t>
      </w:r>
    </w:p>
    <w:p w14:paraId="2F40B1C1">
      <w:pPr>
        <w:ind w:firstLine="420"/>
        <w:rPr>
          <w:rFonts w:cs="Times New Roman"/>
          <w:color w:val="auto"/>
          <w:szCs w:val="24"/>
          <w:highlight w:val="none"/>
        </w:rPr>
      </w:pPr>
      <w:r>
        <w:rPr>
          <w:rFonts w:cs="Times New Roman"/>
          <w:color w:val="auto"/>
          <w:szCs w:val="24"/>
          <w:highlight w:val="none"/>
        </w:rPr>
        <w:t>4）可用率：系统总体平均可用率在99.99%以上。</w:t>
      </w:r>
    </w:p>
    <w:p w14:paraId="2E49B0E8">
      <w:pPr>
        <w:pStyle w:val="5"/>
        <w:ind w:firstLine="422"/>
        <w:rPr>
          <w:color w:val="auto"/>
          <w:highlight w:val="none"/>
        </w:rPr>
      </w:pPr>
      <w:r>
        <w:rPr>
          <w:color w:val="auto"/>
          <w:highlight w:val="none"/>
        </w:rPr>
        <w:t>2.5 安全性要求</w:t>
      </w:r>
    </w:p>
    <w:p w14:paraId="61D51D05">
      <w:pPr>
        <w:ind w:firstLine="420"/>
        <w:rPr>
          <w:rFonts w:cs="Times New Roman"/>
          <w:color w:val="auto"/>
          <w:szCs w:val="24"/>
          <w:highlight w:val="none"/>
        </w:rPr>
      </w:pPr>
      <w:r>
        <w:rPr>
          <w:rFonts w:cs="Times New Roman"/>
          <w:color w:val="auto"/>
          <w:szCs w:val="24"/>
          <w:highlight w:val="none"/>
        </w:rPr>
        <w:t>为确保信息安全，采取的措施包括但不限于以下：</w:t>
      </w:r>
    </w:p>
    <w:p w14:paraId="269759D9">
      <w:pPr>
        <w:ind w:firstLine="420"/>
        <w:rPr>
          <w:rFonts w:cs="Times New Roman"/>
          <w:color w:val="auto"/>
          <w:szCs w:val="24"/>
          <w:highlight w:val="none"/>
        </w:rPr>
      </w:pPr>
      <w:r>
        <w:rPr>
          <w:rFonts w:cs="Times New Roman"/>
          <w:color w:val="auto"/>
          <w:szCs w:val="24"/>
          <w:highlight w:val="none"/>
        </w:rPr>
        <w:t>1）平台安全：架构设计符合安全性要求，平台软件达到安全设计标准且不低于同业相关系统要求。</w:t>
      </w:r>
    </w:p>
    <w:p w14:paraId="3879FDD5">
      <w:pPr>
        <w:ind w:firstLine="420"/>
        <w:rPr>
          <w:rFonts w:cs="Times New Roman"/>
          <w:color w:val="auto"/>
          <w:szCs w:val="24"/>
          <w:highlight w:val="none"/>
        </w:rPr>
      </w:pPr>
      <w:r>
        <w:rPr>
          <w:rFonts w:cs="Times New Roman"/>
          <w:color w:val="auto"/>
          <w:szCs w:val="24"/>
          <w:highlight w:val="none"/>
        </w:rPr>
        <w:t>2）数据安全：支持数据传输加密、远程安全访问、数据存储加密，数据部署网络区域应支持入侵检测与防御系统、防火墙的应用。</w:t>
      </w:r>
    </w:p>
    <w:p w14:paraId="41BBED09">
      <w:pPr>
        <w:ind w:firstLine="420"/>
        <w:rPr>
          <w:rFonts w:cs="Times New Roman"/>
          <w:color w:val="auto"/>
          <w:szCs w:val="24"/>
          <w:highlight w:val="none"/>
        </w:rPr>
      </w:pPr>
      <w:r>
        <w:rPr>
          <w:rFonts w:cs="Times New Roman"/>
          <w:color w:val="auto"/>
          <w:szCs w:val="24"/>
          <w:highlight w:val="none"/>
        </w:rPr>
        <w:t>3）容灾备份：支持各种容灾的软硬件设备的使用等。</w:t>
      </w:r>
    </w:p>
    <w:p w14:paraId="4ACD264C">
      <w:pPr>
        <w:ind w:firstLine="420"/>
        <w:rPr>
          <w:rFonts w:cs="Times New Roman"/>
          <w:color w:val="auto"/>
          <w:szCs w:val="24"/>
          <w:highlight w:val="none"/>
        </w:rPr>
      </w:pPr>
      <w:r>
        <w:rPr>
          <w:rFonts w:cs="Times New Roman"/>
          <w:color w:val="auto"/>
          <w:szCs w:val="24"/>
          <w:highlight w:val="none"/>
        </w:rPr>
        <w:t>4）管理安全：提供完善的日志功能，能够记录系统使用人员的关键操作，保证系统应用的安全。</w:t>
      </w:r>
    </w:p>
    <w:p w14:paraId="67711CB3">
      <w:pPr>
        <w:ind w:firstLine="420"/>
        <w:rPr>
          <w:rFonts w:cs="Times New Roman"/>
          <w:color w:val="auto"/>
          <w:szCs w:val="24"/>
          <w:highlight w:val="none"/>
        </w:rPr>
      </w:pPr>
      <w:r>
        <w:rPr>
          <w:rFonts w:cs="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4CB00239">
      <w:pPr>
        <w:ind w:firstLine="420"/>
        <w:rPr>
          <w:rFonts w:cs="Times New Roman"/>
          <w:color w:val="auto"/>
          <w:szCs w:val="24"/>
          <w:highlight w:val="none"/>
        </w:rPr>
      </w:pPr>
      <w:r>
        <w:rPr>
          <w:rFonts w:cs="Times New Roman"/>
          <w:color w:val="auto"/>
          <w:szCs w:val="24"/>
          <w:highlight w:val="none"/>
        </w:rPr>
        <w:t>6）系统严密、灵活的访问安全控制；</w:t>
      </w:r>
    </w:p>
    <w:p w14:paraId="6B060914">
      <w:pPr>
        <w:ind w:firstLine="420"/>
        <w:rPr>
          <w:rFonts w:cs="Times New Roman"/>
          <w:color w:val="auto"/>
          <w:szCs w:val="24"/>
          <w:highlight w:val="none"/>
        </w:rPr>
      </w:pPr>
      <w:r>
        <w:rPr>
          <w:rFonts w:cs="Times New Roman"/>
          <w:color w:val="auto"/>
          <w:szCs w:val="24"/>
          <w:highlight w:val="none"/>
        </w:rPr>
        <w:t>7）系统有整体的用户/权限管理体系，可统一进行用户/权限的管理，实现到字段级的查询、修改、管理权限控制；</w:t>
      </w:r>
    </w:p>
    <w:p w14:paraId="4E06333C">
      <w:pPr>
        <w:ind w:firstLine="420"/>
        <w:rPr>
          <w:rFonts w:cs="Times New Roman"/>
          <w:color w:val="auto"/>
          <w:szCs w:val="24"/>
          <w:highlight w:val="none"/>
        </w:rPr>
      </w:pPr>
      <w:r>
        <w:rPr>
          <w:rFonts w:cs="Times New Roman"/>
          <w:color w:val="auto"/>
          <w:szCs w:val="24"/>
          <w:highlight w:val="none"/>
        </w:rPr>
        <w:t>具体如下表所示：</w:t>
      </w:r>
    </w:p>
    <w:tbl>
      <w:tblPr>
        <w:tblStyle w:val="88"/>
        <w:tblW w:w="0" w:type="auto"/>
        <w:tblInd w:w="-116" w:type="dxa"/>
        <w:tblLayout w:type="autofit"/>
        <w:tblCellMar>
          <w:top w:w="0" w:type="dxa"/>
          <w:left w:w="108" w:type="dxa"/>
          <w:bottom w:w="0" w:type="dxa"/>
          <w:right w:w="108" w:type="dxa"/>
        </w:tblCellMar>
      </w:tblPr>
      <w:tblGrid>
        <w:gridCol w:w="826"/>
        <w:gridCol w:w="826"/>
        <w:gridCol w:w="6869"/>
      </w:tblGrid>
      <w:tr w14:paraId="6A4BE36E">
        <w:trPr>
          <w:trHeight w:val="240" w:hRule="atLeast"/>
        </w:trPr>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29548B49">
            <w:pPr>
              <w:pStyle w:val="111"/>
              <w:rPr>
                <w:color w:val="auto"/>
                <w:highlight w:val="none"/>
              </w:rPr>
            </w:pPr>
            <w:r>
              <w:rPr>
                <w:color w:val="auto"/>
                <w:highlight w:val="none"/>
              </w:rPr>
              <w:t>类别</w:t>
            </w:r>
          </w:p>
        </w:tc>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53250194">
            <w:pPr>
              <w:pStyle w:val="111"/>
              <w:rPr>
                <w:color w:val="auto"/>
                <w:highlight w:val="none"/>
              </w:rPr>
            </w:pPr>
            <w:r>
              <w:rPr>
                <w:color w:val="auto"/>
                <w:highlight w:val="none"/>
              </w:rPr>
              <w:t>子类</w:t>
            </w:r>
          </w:p>
        </w:tc>
        <w:tc>
          <w:tcPr>
            <w:tcW w:w="6869"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52590059">
            <w:pPr>
              <w:pStyle w:val="111"/>
              <w:rPr>
                <w:color w:val="auto"/>
                <w:highlight w:val="none"/>
              </w:rPr>
            </w:pPr>
            <w:r>
              <w:rPr>
                <w:color w:val="auto"/>
                <w:highlight w:val="none"/>
              </w:rPr>
              <w:t>安全需求</w:t>
            </w:r>
          </w:p>
        </w:tc>
      </w:tr>
      <w:tr w14:paraId="34F282D8">
        <w:tblPrEx>
          <w:tblCellMar>
            <w:top w:w="0" w:type="dxa"/>
            <w:left w:w="108" w:type="dxa"/>
            <w:bottom w:w="0" w:type="dxa"/>
            <w:right w:w="108" w:type="dxa"/>
          </w:tblCellMar>
        </w:tblPrEx>
        <w:trPr>
          <w:trHeight w:val="552"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0FCC863">
            <w:pPr>
              <w:pStyle w:val="110"/>
              <w:rPr>
                <w:color w:val="auto"/>
                <w:highlight w:val="none"/>
              </w:rPr>
            </w:pPr>
            <w:r>
              <w:rPr>
                <w:color w:val="auto"/>
                <w:highlight w:val="none"/>
              </w:rPr>
              <w:t>身份认证</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A168DA3">
            <w:pPr>
              <w:pStyle w:val="110"/>
              <w:rPr>
                <w:color w:val="auto"/>
                <w:highlight w:val="none"/>
              </w:rPr>
            </w:pPr>
            <w:r>
              <w:rPr>
                <w:color w:val="auto"/>
                <w:highlight w:val="none"/>
              </w:rPr>
              <w:t>口令安全策略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EBD5994">
            <w:pPr>
              <w:pStyle w:val="110"/>
              <w:rPr>
                <w:color w:val="auto"/>
                <w:highlight w:val="none"/>
              </w:rPr>
            </w:pPr>
            <w:r>
              <w:rPr>
                <w:color w:val="auto"/>
                <w:highlight w:val="none"/>
              </w:rPr>
              <w:t>应用系统应具有口令复杂度限制功能，并在设置密码、修改密码、重置密码的时候进行密码复杂度校验：</w:t>
            </w:r>
          </w:p>
          <w:p w14:paraId="39DE0EED">
            <w:pPr>
              <w:pStyle w:val="110"/>
              <w:rPr>
                <w:color w:val="auto"/>
                <w:highlight w:val="none"/>
              </w:rPr>
            </w:pPr>
            <w:r>
              <w:rPr>
                <w:color w:val="auto"/>
                <w:highlight w:val="none"/>
              </w:rPr>
              <w:t>（1）口令复杂度要求：长度8位及以上，至少包含大写，小写字母，数字，特殊字符中的三种或三种以上；</w:t>
            </w:r>
          </w:p>
          <w:p w14:paraId="0985FF48">
            <w:pPr>
              <w:pStyle w:val="110"/>
              <w:rPr>
                <w:color w:val="auto"/>
                <w:highlight w:val="none"/>
              </w:rPr>
            </w:pPr>
            <w:r>
              <w:rPr>
                <w:color w:val="auto"/>
                <w:highlight w:val="none"/>
              </w:rPr>
              <w:t>（2）不能使用和用户名相同的密码；</w:t>
            </w:r>
          </w:p>
          <w:p w14:paraId="5B90DB96">
            <w:pPr>
              <w:pStyle w:val="110"/>
              <w:rPr>
                <w:color w:val="auto"/>
                <w:highlight w:val="none"/>
              </w:rPr>
            </w:pPr>
            <w:r>
              <w:rPr>
                <w:color w:val="auto"/>
                <w:highlight w:val="none"/>
              </w:rPr>
              <w:t>（3）避免使用默认口令，如果使用，应在用户首次登录时，强制用户修改密码。</w:t>
            </w:r>
          </w:p>
          <w:p w14:paraId="54171F99">
            <w:pPr>
              <w:pStyle w:val="110"/>
              <w:rPr>
                <w:color w:val="auto"/>
                <w:highlight w:val="none"/>
              </w:rPr>
            </w:pPr>
            <w:r>
              <w:rPr>
                <w:color w:val="auto"/>
                <w:highlight w:val="none"/>
              </w:rPr>
              <w:t>（4）系统各用户应根据使用场景定期更改密码，设置密码更新周期频率（最长不超过90天）。</w:t>
            </w:r>
          </w:p>
        </w:tc>
      </w:tr>
      <w:tr w14:paraId="0B63E3B6">
        <w:tblPrEx>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809533">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3C9DC0E">
            <w:pPr>
              <w:pStyle w:val="110"/>
              <w:rPr>
                <w:color w:val="auto"/>
                <w:highlight w:val="none"/>
              </w:rPr>
            </w:pPr>
            <w:r>
              <w:rPr>
                <w:color w:val="auto"/>
                <w:highlight w:val="none"/>
              </w:rPr>
              <w:t>口令加密传输</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9051B80">
            <w:pPr>
              <w:pStyle w:val="110"/>
              <w:rPr>
                <w:color w:val="auto"/>
                <w:highlight w:val="none"/>
              </w:rPr>
            </w:pPr>
            <w:r>
              <w:rPr>
                <w:color w:val="auto"/>
                <w:highlight w:val="none"/>
              </w:rPr>
              <w:t>用户口令在传输过程中需进行加密，建议使用md5加盐(随机数)、sha2、pbkdf2等方式进行加密传输，禁止直接使用明文传输，禁止直接使用MD5、sha1等弱加密方式。</w:t>
            </w:r>
          </w:p>
        </w:tc>
      </w:tr>
      <w:tr w14:paraId="4207FD3B">
        <w:tblPrEx>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762203">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95F3C09">
            <w:pPr>
              <w:pStyle w:val="110"/>
              <w:rPr>
                <w:color w:val="auto"/>
                <w:highlight w:val="none"/>
              </w:rPr>
            </w:pPr>
            <w:r>
              <w:rPr>
                <w:color w:val="auto"/>
                <w:highlight w:val="none"/>
              </w:rPr>
              <w:t>防暴力猜解</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1A64923">
            <w:pPr>
              <w:pStyle w:val="110"/>
              <w:rPr>
                <w:color w:val="auto"/>
                <w:highlight w:val="none"/>
              </w:rPr>
            </w:pPr>
            <w:r>
              <w:rPr>
                <w:color w:val="auto"/>
                <w:highlight w:val="none"/>
              </w:rPr>
              <w:t>身份认证时，应防止暴力猜解账号口令：</w:t>
            </w:r>
          </w:p>
          <w:p w14:paraId="588DD891">
            <w:pPr>
              <w:pStyle w:val="110"/>
              <w:rPr>
                <w:color w:val="auto"/>
                <w:highlight w:val="none"/>
              </w:rPr>
            </w:pPr>
            <w:r>
              <w:rPr>
                <w:color w:val="auto"/>
                <w:highlight w:val="none"/>
              </w:rPr>
              <w:t>（1）在登录认证失败时给出通用的错误提示（如“账号或密码错误”），不能透露用户ID是否存在等信息。</w:t>
            </w:r>
          </w:p>
          <w:p w14:paraId="43CEC423">
            <w:pPr>
              <w:pStyle w:val="110"/>
              <w:rPr>
                <w:color w:val="auto"/>
                <w:highlight w:val="none"/>
              </w:rPr>
            </w:pPr>
            <w:r>
              <w:rPr>
                <w:color w:val="auto"/>
                <w:highlight w:val="none"/>
              </w:rPr>
              <w:t>（2）记录尝试次数，当超过阈值时（例如五次），限制访问（限制IP或锁定用户，锁定时间及解锁方式自行确定）。</w:t>
            </w:r>
          </w:p>
          <w:p w14:paraId="1BE17837">
            <w:pPr>
              <w:pStyle w:val="110"/>
              <w:rPr>
                <w:color w:val="auto"/>
                <w:highlight w:val="none"/>
              </w:rPr>
            </w:pPr>
            <w:r>
              <w:rPr>
                <w:color w:val="auto"/>
                <w:highlight w:val="none"/>
              </w:rPr>
              <w:t>（3）使用图片验证码防止暴力破解。</w:t>
            </w:r>
          </w:p>
        </w:tc>
      </w:tr>
      <w:tr w14:paraId="6BFADB2C">
        <w:tblPrEx>
          <w:tblCellMar>
            <w:top w:w="0" w:type="dxa"/>
            <w:left w:w="108" w:type="dxa"/>
            <w:bottom w:w="0" w:type="dxa"/>
            <w:right w:w="108" w:type="dxa"/>
          </w:tblCellMar>
        </w:tblPrEx>
        <w:trPr>
          <w:trHeight w:val="950" w:hRule="atLeast"/>
        </w:trPr>
        <w:tc>
          <w:tcPr>
            <w:tcW w:w="82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D884F4A">
            <w:pPr>
              <w:pStyle w:val="110"/>
              <w:rPr>
                <w:color w:val="auto"/>
                <w:highlight w:val="none"/>
              </w:rPr>
            </w:pPr>
            <w:r>
              <w:rPr>
                <w:color w:val="auto"/>
                <w:highlight w:val="none"/>
              </w:rPr>
              <w:t>Cookie安全性</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0321174">
            <w:pPr>
              <w:pStyle w:val="110"/>
              <w:rPr>
                <w:color w:val="auto"/>
                <w:highlight w:val="none"/>
              </w:rPr>
            </w:pPr>
            <w:r>
              <w:rPr>
                <w:color w:val="auto"/>
                <w:highlight w:val="none"/>
              </w:rPr>
              <w:t>Cookie安全性</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6BCDC11">
            <w:pPr>
              <w:pStyle w:val="110"/>
              <w:rPr>
                <w:color w:val="auto"/>
                <w:highlight w:val="none"/>
              </w:rPr>
            </w:pPr>
            <w:r>
              <w:rPr>
                <w:color w:val="auto"/>
                <w:highlight w:val="none"/>
              </w:rPr>
              <w:t>禁止将账号口令等敏感信息明文或简单编码存放在Cookie中。</w:t>
            </w:r>
          </w:p>
        </w:tc>
      </w:tr>
      <w:tr w14:paraId="4291E1B7">
        <w:tblPrEx>
          <w:tblCellMar>
            <w:top w:w="0" w:type="dxa"/>
            <w:left w:w="108" w:type="dxa"/>
            <w:bottom w:w="0" w:type="dxa"/>
            <w:right w:w="108" w:type="dxa"/>
          </w:tblCellMar>
        </w:tblPrEx>
        <w:trPr>
          <w:trHeight w:val="36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61EA1DD">
            <w:pPr>
              <w:pStyle w:val="110"/>
              <w:rPr>
                <w:color w:val="auto"/>
                <w:highlight w:val="none"/>
              </w:rPr>
            </w:pPr>
            <w:r>
              <w:rPr>
                <w:color w:val="auto"/>
                <w:highlight w:val="none"/>
              </w:rPr>
              <w:t>访问控制</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BC72D01">
            <w:pPr>
              <w:pStyle w:val="110"/>
              <w:rPr>
                <w:color w:val="auto"/>
                <w:highlight w:val="none"/>
              </w:rPr>
            </w:pPr>
            <w:r>
              <w:rPr>
                <w:color w:val="auto"/>
                <w:highlight w:val="none"/>
              </w:rPr>
              <w:t>未授权访问</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A821AD4">
            <w:pPr>
              <w:pStyle w:val="110"/>
              <w:rPr>
                <w:color w:val="auto"/>
                <w:highlight w:val="none"/>
              </w:rPr>
            </w:pPr>
            <w:r>
              <w:rPr>
                <w:color w:val="auto"/>
                <w:highlight w:val="none"/>
              </w:rPr>
              <w:t>应建立安全的访问控制机制，禁止未登录用户访问用户登录后的资源、页面或URL。</w:t>
            </w:r>
          </w:p>
        </w:tc>
      </w:tr>
      <w:tr w14:paraId="539FB698">
        <w:tblPrEx>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2E922A">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27AE475">
            <w:pPr>
              <w:pStyle w:val="110"/>
              <w:rPr>
                <w:color w:val="auto"/>
                <w:highlight w:val="none"/>
              </w:rPr>
            </w:pPr>
            <w:r>
              <w:rPr>
                <w:color w:val="auto"/>
                <w:highlight w:val="none"/>
              </w:rPr>
              <w:t>防水平越权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9AD1E9B">
            <w:pPr>
              <w:pStyle w:val="110"/>
              <w:rPr>
                <w:color w:val="auto"/>
                <w:highlight w:val="none"/>
              </w:rPr>
            </w:pPr>
            <w:r>
              <w:rPr>
                <w:color w:val="auto"/>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2D5E5A1A">
        <w:tblPrEx>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53930B">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B716B59">
            <w:pPr>
              <w:pStyle w:val="110"/>
              <w:rPr>
                <w:color w:val="auto"/>
                <w:highlight w:val="none"/>
              </w:rPr>
            </w:pPr>
            <w:r>
              <w:rPr>
                <w:color w:val="auto"/>
                <w:highlight w:val="none"/>
              </w:rPr>
              <w:t>防垂直越权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5042DA7">
            <w:pPr>
              <w:pStyle w:val="110"/>
              <w:rPr>
                <w:color w:val="auto"/>
                <w:highlight w:val="none"/>
              </w:rPr>
            </w:pPr>
            <w:r>
              <w:rPr>
                <w:color w:val="auto"/>
                <w:highlight w:val="none"/>
              </w:rPr>
              <w:t>（1）授予不同账户为完成各自承担任务所需的最小权限，应严格限制默认账户或预设账户的权限，禁止将所有权限集中在某一预设账户上。</w:t>
            </w:r>
          </w:p>
          <w:p w14:paraId="7BDD06AB">
            <w:pPr>
              <w:pStyle w:val="110"/>
              <w:rPr>
                <w:color w:val="auto"/>
                <w:highlight w:val="none"/>
              </w:rPr>
            </w:pPr>
            <w:r>
              <w:rPr>
                <w:color w:val="auto"/>
                <w:highlight w:val="none"/>
              </w:rPr>
              <w:t>（2）在为用户授权时，服务器端按照权限规则对权限进行校验，互斥的权限不能共存于一人。如操作和审核权限。</w:t>
            </w:r>
          </w:p>
          <w:p w14:paraId="69E95EB1">
            <w:pPr>
              <w:pStyle w:val="110"/>
              <w:rPr>
                <w:color w:val="auto"/>
                <w:highlight w:val="none"/>
              </w:rPr>
            </w:pPr>
            <w:r>
              <w:rPr>
                <w:color w:val="auto"/>
                <w:highlight w:val="none"/>
              </w:rPr>
              <w:t>（3）在重要操作（如账号增删改、授权、业务操作、业务审批）时，系统应在服务器端对当前用户的权限进行校验，防止垂直越权。</w:t>
            </w:r>
          </w:p>
        </w:tc>
      </w:tr>
      <w:tr w14:paraId="6C3AA066">
        <w:tblPrEx>
          <w:tblCellMar>
            <w:top w:w="0" w:type="dxa"/>
            <w:left w:w="108" w:type="dxa"/>
            <w:bottom w:w="0" w:type="dxa"/>
            <w:right w:w="108" w:type="dxa"/>
          </w:tblCellMar>
        </w:tblPrEx>
        <w:trPr>
          <w:trHeight w:val="1530"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2CE4F12">
            <w:pPr>
              <w:pStyle w:val="110"/>
              <w:rPr>
                <w:color w:val="auto"/>
                <w:highlight w:val="none"/>
              </w:rPr>
            </w:pPr>
            <w:r>
              <w:rPr>
                <w:color w:val="auto"/>
                <w:highlight w:val="none"/>
              </w:rPr>
              <w:t>输入校验</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C04FBFC">
            <w:pPr>
              <w:pStyle w:val="110"/>
              <w:rPr>
                <w:color w:val="auto"/>
                <w:highlight w:val="none"/>
              </w:rPr>
            </w:pPr>
            <w:r>
              <w:rPr>
                <w:color w:val="auto"/>
                <w:highlight w:val="none"/>
              </w:rPr>
              <w:t>防sql注入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EDC13BE">
            <w:pPr>
              <w:pStyle w:val="110"/>
              <w:rPr>
                <w:color w:val="auto"/>
                <w:highlight w:val="none"/>
              </w:rPr>
            </w:pPr>
            <w:r>
              <w:rPr>
                <w:color w:val="auto"/>
                <w:highlight w:val="none"/>
              </w:rPr>
              <w:t>应用系统应具有统一的防SQL注入机制：</w:t>
            </w:r>
          </w:p>
          <w:p w14:paraId="00DDC0AC">
            <w:pPr>
              <w:pStyle w:val="110"/>
              <w:rPr>
                <w:color w:val="auto"/>
                <w:highlight w:val="none"/>
              </w:rPr>
            </w:pPr>
            <w:r>
              <w:rPr>
                <w:color w:val="auto"/>
                <w:highlight w:val="none"/>
              </w:rPr>
              <w:t>（1）防SQL注入输入校验，至少校验以下危险字符：select、 where、 from、and、or、union等。</w:t>
            </w:r>
          </w:p>
          <w:p w14:paraId="3C784EA1">
            <w:pPr>
              <w:pStyle w:val="110"/>
              <w:rPr>
                <w:color w:val="auto"/>
                <w:highlight w:val="none"/>
              </w:rPr>
            </w:pPr>
            <w:r>
              <w:rPr>
                <w:color w:val="auto"/>
                <w:highlight w:val="none"/>
              </w:rPr>
              <w:t>（2）应使用存储过程或参数化查询，避免使用字符串拼接SQL语句，防止SQL注入。</w:t>
            </w:r>
          </w:p>
        </w:tc>
      </w:tr>
      <w:tr w14:paraId="72049F9F">
        <w:tblPrEx>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119BD49">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1C4506D">
            <w:pPr>
              <w:pStyle w:val="110"/>
              <w:rPr>
                <w:color w:val="auto"/>
                <w:highlight w:val="none"/>
              </w:rPr>
            </w:pPr>
            <w:r>
              <w:rPr>
                <w:color w:val="auto"/>
                <w:highlight w:val="none"/>
              </w:rPr>
              <w:t>防跨站</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392415F">
            <w:pPr>
              <w:pStyle w:val="110"/>
              <w:rPr>
                <w:color w:val="auto"/>
                <w:highlight w:val="none"/>
              </w:rPr>
            </w:pPr>
            <w:r>
              <w:rPr>
                <w:color w:val="auto"/>
                <w:highlight w:val="none"/>
              </w:rPr>
              <w:t>应用系统应具有统一的防XSS跨站校验攻击机制：</w:t>
            </w:r>
          </w:p>
          <w:p w14:paraId="75997419">
            <w:pPr>
              <w:pStyle w:val="110"/>
              <w:rPr>
                <w:color w:val="auto"/>
                <w:highlight w:val="none"/>
              </w:rPr>
            </w:pPr>
            <w:r>
              <w:rPr>
                <w:color w:val="auto"/>
                <w:highlight w:val="none"/>
              </w:rPr>
              <w:t>（1）防跨站输入校验，至少应校验以下危险字符：&lt;&gt; " ' % ( ) &amp; + \ \' \"，prompt，script， alert等。</w:t>
            </w:r>
          </w:p>
          <w:p w14:paraId="0153C90C">
            <w:pPr>
              <w:pStyle w:val="110"/>
              <w:rPr>
                <w:color w:val="auto"/>
                <w:highlight w:val="none"/>
              </w:rPr>
            </w:pPr>
            <w:r>
              <w:rPr>
                <w:color w:val="auto"/>
                <w:highlight w:val="none"/>
              </w:rPr>
              <w:t>（2）防跨站输出编码，如果数据是输出到HTML中则进行Html输出编码，如果数据是输出到javascript代码中进行拼接，则进行javascript输出编码。</w:t>
            </w:r>
          </w:p>
          <w:p w14:paraId="63533BAD">
            <w:pPr>
              <w:pStyle w:val="110"/>
              <w:rPr>
                <w:color w:val="auto"/>
                <w:highlight w:val="none"/>
              </w:rPr>
            </w:pPr>
            <w:r>
              <w:rPr>
                <w:color w:val="auto"/>
                <w:highlight w:val="none"/>
              </w:rPr>
              <w:t>（3）设置cookie的HttpOnly属性，能够有效防止XSS攻击。</w:t>
            </w:r>
          </w:p>
        </w:tc>
      </w:tr>
      <w:tr w14:paraId="1AF1B13B">
        <w:tblPrEx>
          <w:tblCellMar>
            <w:top w:w="0" w:type="dxa"/>
            <w:left w:w="108" w:type="dxa"/>
            <w:bottom w:w="0" w:type="dxa"/>
            <w:right w:w="108" w:type="dxa"/>
          </w:tblCellMar>
        </w:tblPrEx>
        <w:trPr>
          <w:trHeight w:val="2115"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0486B84">
            <w:pPr>
              <w:pStyle w:val="110"/>
              <w:rPr>
                <w:color w:val="auto"/>
                <w:highlight w:val="none"/>
              </w:rPr>
            </w:pPr>
            <w:r>
              <w:rPr>
                <w:color w:val="auto"/>
                <w:highlight w:val="none"/>
              </w:rPr>
              <w:t>文件上传</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1684026">
            <w:pPr>
              <w:pStyle w:val="110"/>
              <w:rPr>
                <w:color w:val="auto"/>
                <w:highlight w:val="none"/>
              </w:rPr>
            </w:pPr>
            <w:r>
              <w:rPr>
                <w:color w:val="auto"/>
                <w:highlight w:val="none"/>
              </w:rPr>
              <w:t>防止任意文件上传</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9B76DF4">
            <w:pPr>
              <w:pStyle w:val="110"/>
              <w:rPr>
                <w:color w:val="auto"/>
                <w:highlight w:val="none"/>
              </w:rPr>
            </w:pPr>
            <w:r>
              <w:rPr>
                <w:color w:val="auto"/>
                <w:highlight w:val="none"/>
              </w:rPr>
              <w:t>应对上传文件进行以下处理，防止任意文件上传：</w:t>
            </w:r>
          </w:p>
          <w:p w14:paraId="41C26E0C">
            <w:pPr>
              <w:pStyle w:val="110"/>
              <w:rPr>
                <w:color w:val="auto"/>
                <w:highlight w:val="none"/>
              </w:rPr>
            </w:pPr>
            <w:r>
              <w:rPr>
                <w:color w:val="auto"/>
                <w:highlight w:val="none"/>
              </w:rPr>
              <w:t>（1）使用白名单方式控制上传文件的类型。服务器端应对上传文件的大小、扩展名、类型（报头信息）进行校验，防止任意文件上传。</w:t>
            </w:r>
          </w:p>
          <w:p w14:paraId="59144CC8">
            <w:pPr>
              <w:pStyle w:val="110"/>
              <w:rPr>
                <w:color w:val="auto"/>
                <w:highlight w:val="none"/>
              </w:rPr>
            </w:pPr>
            <w:r>
              <w:rPr>
                <w:color w:val="auto"/>
                <w:highlight w:val="none"/>
              </w:rPr>
              <w:t>（2）文件应尽量保存在文件服务器或web目录外部，避免通过web应用直接访问上传的文件。</w:t>
            </w:r>
          </w:p>
          <w:p w14:paraId="739B63B4">
            <w:pPr>
              <w:pStyle w:val="110"/>
              <w:rPr>
                <w:color w:val="auto"/>
                <w:highlight w:val="none"/>
              </w:rPr>
            </w:pPr>
            <w:r>
              <w:rPr>
                <w:color w:val="auto"/>
                <w:highlight w:val="none"/>
              </w:rPr>
              <w:t>（3）应控制文件上传目录的权限，禁止运行权限。</w:t>
            </w:r>
          </w:p>
          <w:p w14:paraId="0A016D2F">
            <w:pPr>
              <w:pStyle w:val="110"/>
              <w:rPr>
                <w:color w:val="auto"/>
                <w:highlight w:val="none"/>
              </w:rPr>
            </w:pPr>
            <w:r>
              <w:rPr>
                <w:color w:val="auto"/>
                <w:highlight w:val="none"/>
              </w:rPr>
              <w:t>（4）应对上传文件进行重命名。</w:t>
            </w:r>
          </w:p>
        </w:tc>
      </w:tr>
      <w:tr w14:paraId="10F9EF67">
        <w:tblPrEx>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7D443B">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F3ADF6C">
            <w:pPr>
              <w:pStyle w:val="110"/>
              <w:rPr>
                <w:color w:val="auto"/>
                <w:highlight w:val="none"/>
              </w:rPr>
            </w:pPr>
            <w:r>
              <w:rPr>
                <w:color w:val="auto"/>
                <w:highlight w:val="none"/>
              </w:rPr>
              <w:t>输入校验</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314F0AF">
            <w:pPr>
              <w:pStyle w:val="110"/>
              <w:rPr>
                <w:color w:val="auto"/>
                <w:highlight w:val="none"/>
              </w:rPr>
            </w:pPr>
            <w:r>
              <w:rPr>
                <w:color w:val="auto"/>
                <w:highlight w:val="none"/>
              </w:rPr>
              <w:t>应对上传文件中的所有参数字段（如文件名称、文件类型、其他信息等）进行输入校验，防止注入、跨站等漏洞。</w:t>
            </w:r>
          </w:p>
        </w:tc>
      </w:tr>
      <w:tr w14:paraId="7B513928">
        <w:tblPrEx>
          <w:tblCellMar>
            <w:top w:w="0" w:type="dxa"/>
            <w:left w:w="108" w:type="dxa"/>
            <w:bottom w:w="0" w:type="dxa"/>
            <w:right w:w="108" w:type="dxa"/>
          </w:tblCellMar>
        </w:tblPrEx>
        <w:trPr>
          <w:trHeight w:val="61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8FEE877">
            <w:pPr>
              <w:pStyle w:val="110"/>
              <w:rPr>
                <w:color w:val="auto"/>
                <w:highlight w:val="none"/>
              </w:rPr>
            </w:pPr>
            <w:r>
              <w:rPr>
                <w:color w:val="auto"/>
                <w:highlight w:val="none"/>
              </w:rPr>
              <w:t>数据安全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3EC3E41">
            <w:pPr>
              <w:pStyle w:val="110"/>
              <w:rPr>
                <w:color w:val="auto"/>
                <w:highlight w:val="none"/>
              </w:rPr>
            </w:pPr>
            <w:r>
              <w:rPr>
                <w:color w:val="auto"/>
                <w:highlight w:val="none"/>
              </w:rPr>
              <w:t>口令加密存储</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FBA2897">
            <w:pPr>
              <w:pStyle w:val="110"/>
              <w:rPr>
                <w:color w:val="auto"/>
                <w:highlight w:val="none"/>
              </w:rPr>
            </w:pPr>
            <w:r>
              <w:rPr>
                <w:color w:val="auto"/>
                <w:highlight w:val="none"/>
              </w:rPr>
              <w:t>用户口令在存储过程中需进行加密，建议使用md5加盐(随机数)、sha2、pbkdf2等方式进行加密存储，禁止直接使用明文存储，禁止直接使用MD5、sha1等弱加密方式。</w:t>
            </w:r>
          </w:p>
        </w:tc>
      </w:tr>
      <w:tr w14:paraId="3EC58ABE">
        <w:tblPrEx>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AFCA54">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86B43BD">
            <w:pPr>
              <w:pStyle w:val="110"/>
              <w:rPr>
                <w:color w:val="auto"/>
                <w:highlight w:val="none"/>
              </w:rPr>
            </w:pPr>
            <w:r>
              <w:rPr>
                <w:color w:val="auto"/>
                <w:highlight w:val="none"/>
              </w:rPr>
              <w:t>多余信息返回</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C0CF51A">
            <w:pPr>
              <w:pStyle w:val="110"/>
              <w:rPr>
                <w:color w:val="auto"/>
                <w:highlight w:val="none"/>
              </w:rPr>
            </w:pPr>
            <w:r>
              <w:rPr>
                <w:color w:val="auto"/>
                <w:highlight w:val="none"/>
              </w:rPr>
              <w:t>对服务器返回的参数做严格的限制，保证不是功能必须的参数不在返回的参数中，防止多余信息引起的数据泄露。</w:t>
            </w:r>
          </w:p>
        </w:tc>
      </w:tr>
      <w:tr w14:paraId="16769B18">
        <w:tblPrEx>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4E5F14">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4FC5408">
            <w:pPr>
              <w:pStyle w:val="110"/>
              <w:rPr>
                <w:color w:val="auto"/>
                <w:highlight w:val="none"/>
              </w:rPr>
            </w:pPr>
            <w:r>
              <w:rPr>
                <w:color w:val="auto"/>
                <w:highlight w:val="none"/>
              </w:rPr>
              <w:t>敏感信息显示要求</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B7DB39F">
            <w:pPr>
              <w:pStyle w:val="110"/>
              <w:rPr>
                <w:color w:val="auto"/>
                <w:highlight w:val="none"/>
              </w:rPr>
            </w:pPr>
            <w:r>
              <w:rPr>
                <w:color w:val="auto"/>
                <w:highlight w:val="none"/>
              </w:rPr>
              <w:t>避免在html页面、js文件、客户端等前端上直接显示绝对路径、内网IP地址、账号口令等敏感信息。如：</w:t>
            </w:r>
          </w:p>
          <w:p w14:paraId="7C348CDD">
            <w:pPr>
              <w:pStyle w:val="110"/>
              <w:rPr>
                <w:color w:val="auto"/>
                <w:highlight w:val="none"/>
              </w:rPr>
            </w:pPr>
            <w:r>
              <w:rPr>
                <w:color w:val="auto"/>
                <w:highlight w:val="none"/>
              </w:rPr>
              <w:t>http://XX.XX.XX.XX/index.js;</w:t>
            </w:r>
          </w:p>
          <w:p w14:paraId="3E2AB987">
            <w:pPr>
              <w:pStyle w:val="110"/>
              <w:rPr>
                <w:color w:val="auto"/>
                <w:highlight w:val="none"/>
              </w:rPr>
            </w:pPr>
            <w:r>
              <w:rPr>
                <w:color w:val="auto"/>
                <w:highlight w:val="none"/>
              </w:rPr>
              <w:t>/var/www/html;</w:t>
            </w:r>
          </w:p>
          <w:p w14:paraId="35E8D55C">
            <w:pPr>
              <w:pStyle w:val="110"/>
              <w:rPr>
                <w:color w:val="auto"/>
                <w:highlight w:val="none"/>
              </w:rPr>
            </w:pPr>
            <w:r>
              <w:rPr>
                <w:color w:val="auto"/>
                <w:highlight w:val="none"/>
              </w:rPr>
              <w:t>user=admin,pass=admin;</w:t>
            </w:r>
          </w:p>
        </w:tc>
      </w:tr>
      <w:tr w14:paraId="3D0B290A">
        <w:tblPrEx>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C75FE9">
            <w:pPr>
              <w:pStyle w:val="110"/>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FE344C5">
            <w:pPr>
              <w:pStyle w:val="110"/>
              <w:rPr>
                <w:color w:val="auto"/>
                <w:highlight w:val="none"/>
              </w:rPr>
            </w:pPr>
            <w:r>
              <w:rPr>
                <w:color w:val="auto"/>
                <w:highlight w:val="none"/>
              </w:rPr>
              <w:t>敏感数据脱敏</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0FFE32D">
            <w:pPr>
              <w:pStyle w:val="110"/>
              <w:rPr>
                <w:color w:val="auto"/>
                <w:highlight w:val="none"/>
              </w:rPr>
            </w:pPr>
            <w:r>
              <w:rPr>
                <w:color w:val="auto"/>
                <w:highlight w:val="none"/>
              </w:rPr>
              <w:t>敏感数据在显示时，应进行脱敏处理，如：</w:t>
            </w:r>
          </w:p>
          <w:p w14:paraId="48A63B49">
            <w:pPr>
              <w:pStyle w:val="110"/>
              <w:rPr>
                <w:color w:val="auto"/>
                <w:highlight w:val="none"/>
              </w:rPr>
            </w:pPr>
            <w:r>
              <w:rPr>
                <w:color w:val="auto"/>
                <w:highlight w:val="none"/>
              </w:rPr>
              <w:t>姓名：张三脱敏为*三</w:t>
            </w:r>
          </w:p>
          <w:p w14:paraId="1A850A65">
            <w:pPr>
              <w:pStyle w:val="110"/>
              <w:rPr>
                <w:color w:val="auto"/>
                <w:highlight w:val="none"/>
              </w:rPr>
            </w:pPr>
            <w:r>
              <w:rPr>
                <w:color w:val="auto"/>
                <w:highlight w:val="none"/>
              </w:rPr>
              <w:t>身份证号：1002**********1237</w:t>
            </w:r>
          </w:p>
          <w:p w14:paraId="4BFCB695">
            <w:pPr>
              <w:pStyle w:val="110"/>
              <w:rPr>
                <w:color w:val="auto"/>
                <w:highlight w:val="none"/>
              </w:rPr>
            </w:pPr>
            <w:r>
              <w:rPr>
                <w:color w:val="auto"/>
                <w:highlight w:val="none"/>
              </w:rPr>
              <w:t>手机号：186****0781</w:t>
            </w:r>
          </w:p>
          <w:p w14:paraId="2213FB58">
            <w:pPr>
              <w:pStyle w:val="110"/>
              <w:rPr>
                <w:color w:val="auto"/>
                <w:highlight w:val="none"/>
              </w:rPr>
            </w:pPr>
            <w:r>
              <w:rPr>
                <w:color w:val="auto"/>
                <w:highlight w:val="none"/>
              </w:rPr>
              <w:t>银行卡号：623078*********4846</w:t>
            </w:r>
          </w:p>
          <w:p w14:paraId="7D8AA706">
            <w:pPr>
              <w:pStyle w:val="110"/>
              <w:rPr>
                <w:color w:val="auto"/>
                <w:highlight w:val="none"/>
              </w:rPr>
            </w:pPr>
            <w:r>
              <w:rPr>
                <w:color w:val="auto"/>
                <w:highlight w:val="none"/>
              </w:rPr>
              <w:t>住址：****3单元302</w:t>
            </w:r>
          </w:p>
        </w:tc>
      </w:tr>
      <w:tr w14:paraId="2389C7A0">
        <w:tblPrEx>
          <w:tblCellMar>
            <w:top w:w="0" w:type="dxa"/>
            <w:left w:w="108" w:type="dxa"/>
            <w:bottom w:w="0" w:type="dxa"/>
            <w:right w:w="108" w:type="dxa"/>
          </w:tblCellMar>
        </w:tblPrEx>
        <w:trPr>
          <w:trHeight w:val="812"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B1E71CB">
            <w:pPr>
              <w:pStyle w:val="110"/>
              <w:rPr>
                <w:color w:val="auto"/>
                <w:highlight w:val="none"/>
              </w:rPr>
            </w:pPr>
            <w:r>
              <w:rPr>
                <w:color w:val="auto"/>
                <w:highlight w:val="none"/>
              </w:rPr>
              <w:t>系统容错</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DD21596">
            <w:pPr>
              <w:pStyle w:val="110"/>
              <w:rPr>
                <w:color w:val="auto"/>
                <w:highlight w:val="none"/>
              </w:rPr>
            </w:pPr>
            <w:r>
              <w:rPr>
                <w:color w:val="auto"/>
                <w:highlight w:val="none"/>
              </w:rPr>
              <w:t>统一错误处理</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A7499D7">
            <w:pPr>
              <w:pStyle w:val="110"/>
              <w:rPr>
                <w:color w:val="auto"/>
                <w:highlight w:val="none"/>
              </w:rPr>
            </w:pPr>
            <w:r>
              <w:rPr>
                <w:color w:val="auto"/>
                <w:highlight w:val="none"/>
              </w:rPr>
              <w:t>应用系统应有统一错误处理功能，有效屏蔽系统技术错误信息，不将系统产生的错误信息（如中间件信息、数据库信息）直接反馈给客户端，提升用户体验，防止信息泄露。</w:t>
            </w:r>
          </w:p>
        </w:tc>
      </w:tr>
      <w:tr w14:paraId="11EDE85E">
        <w:tblPrEx>
          <w:tblCellMar>
            <w:top w:w="0" w:type="dxa"/>
            <w:left w:w="108" w:type="dxa"/>
            <w:bottom w:w="0" w:type="dxa"/>
            <w:right w:w="108" w:type="dxa"/>
          </w:tblCellMar>
        </w:tblPrEx>
        <w:trPr>
          <w:trHeight w:val="354"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29E2D12">
            <w:pPr>
              <w:pStyle w:val="110"/>
              <w:rPr>
                <w:color w:val="auto"/>
                <w:highlight w:val="none"/>
              </w:rPr>
            </w:pPr>
            <w:r>
              <w:rPr>
                <w:color w:val="auto"/>
                <w:highlight w:val="none"/>
              </w:rPr>
              <w:t>框架安全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04E9863">
            <w:pPr>
              <w:pStyle w:val="110"/>
              <w:rPr>
                <w:color w:val="auto"/>
                <w:highlight w:val="none"/>
              </w:rPr>
            </w:pPr>
            <w:r>
              <w:rPr>
                <w:color w:val="auto"/>
                <w:highlight w:val="none"/>
              </w:rPr>
              <w:t>第三方组件或框架</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EA37D12">
            <w:pPr>
              <w:pStyle w:val="110"/>
              <w:rPr>
                <w:color w:val="auto"/>
                <w:highlight w:val="none"/>
              </w:rPr>
            </w:pPr>
            <w:r>
              <w:rPr>
                <w:color w:val="auto"/>
                <w:highlight w:val="none"/>
              </w:rPr>
              <w:t>组件和中间件是导致漏洞的重要原因，使用时需遵守如下要求：</w:t>
            </w:r>
          </w:p>
          <w:p w14:paraId="2193BFE1">
            <w:pPr>
              <w:pStyle w:val="110"/>
              <w:rPr>
                <w:color w:val="auto"/>
                <w:highlight w:val="none"/>
              </w:rPr>
            </w:pPr>
            <w:r>
              <w:rPr>
                <w:color w:val="auto"/>
                <w:highlight w:val="none"/>
              </w:rPr>
              <w:t>1.使用的版本需是官方正常维护的版本，如不是最新版本，需更新当前版本的安全补丁或升级；</w:t>
            </w:r>
          </w:p>
          <w:p w14:paraId="4F1DCA9C">
            <w:pPr>
              <w:pStyle w:val="110"/>
              <w:rPr>
                <w:color w:val="auto"/>
                <w:highlight w:val="none"/>
              </w:rPr>
            </w:pPr>
            <w:r>
              <w:rPr>
                <w:color w:val="auto"/>
                <w:highlight w:val="none"/>
              </w:rPr>
              <w:t>2.对使用的组件进行安全认证或限制源IP访问，避免造成未授权访问漏洞，如mongoDB、redis、Memcached、JBOSS、VNC、Zookeeper、Rsync、ElasticSearch、Hadoop、Kibana、Confluence、Jenkins、spring boot等；</w:t>
            </w:r>
          </w:p>
          <w:p w14:paraId="60462751">
            <w:pPr>
              <w:pStyle w:val="110"/>
              <w:rPr>
                <w:color w:val="auto"/>
                <w:highlight w:val="none"/>
              </w:rPr>
            </w:pPr>
            <w:r>
              <w:rPr>
                <w:color w:val="auto"/>
                <w:highlight w:val="none"/>
              </w:rPr>
              <w:t>3.登录各组件的默认口令需进行修改，修改要求参照口令安全策略，如JBOSS、Tomcat、ActiveMQ等；</w:t>
            </w:r>
          </w:p>
        </w:tc>
      </w:tr>
    </w:tbl>
    <w:p w14:paraId="5277E6A7">
      <w:pPr>
        <w:pStyle w:val="5"/>
        <w:ind w:firstLine="422"/>
        <w:rPr>
          <w:color w:val="auto"/>
          <w:highlight w:val="none"/>
        </w:rPr>
      </w:pPr>
      <w:r>
        <w:rPr>
          <w:color w:val="auto"/>
          <w:highlight w:val="none"/>
        </w:rPr>
        <w:t>2.6 可扩展性需求</w:t>
      </w:r>
    </w:p>
    <w:p w14:paraId="34DA1EFE">
      <w:pPr>
        <w:ind w:firstLine="420"/>
        <w:rPr>
          <w:rFonts w:cs="Times New Roman"/>
          <w:color w:val="auto"/>
          <w:szCs w:val="24"/>
          <w:highlight w:val="none"/>
        </w:rPr>
      </w:pPr>
      <w:r>
        <w:rPr>
          <w:rFonts w:cs="Times New Roman"/>
          <w:color w:val="auto"/>
          <w:szCs w:val="24"/>
          <w:highlight w:val="none"/>
        </w:rPr>
        <w:t>1）系统要求支持主流</w:t>
      </w:r>
      <w:r>
        <w:rPr>
          <w:rFonts w:cs="Times New Roman"/>
          <w:color w:val="auto"/>
          <w:szCs w:val="28"/>
          <w:highlight w:val="none"/>
        </w:rPr>
        <w:t>操作系统、数据库和通讯中间件，对软、硬件平台具有良好的可扩展能力，支持</w:t>
      </w:r>
      <w:r>
        <w:rPr>
          <w:rFonts w:cs="Times New Roman"/>
          <w:color w:val="auto"/>
          <w:szCs w:val="24"/>
          <w:highlight w:val="none"/>
        </w:rPr>
        <w:t>跨平台客制化开发。</w:t>
      </w:r>
    </w:p>
    <w:p w14:paraId="4B0ECA50">
      <w:pPr>
        <w:ind w:firstLine="420"/>
        <w:rPr>
          <w:rFonts w:cs="Times New Roman"/>
          <w:color w:val="auto"/>
          <w:szCs w:val="24"/>
          <w:highlight w:val="none"/>
        </w:rPr>
      </w:pPr>
      <w:r>
        <w:rPr>
          <w:rFonts w:cs="Times New Roman"/>
          <w:color w:val="auto"/>
          <w:szCs w:val="24"/>
          <w:highlight w:val="none"/>
        </w:rPr>
        <w:t>2）提供的平台能够很好的实现业务功能扩展的灵活性，通过后台服务器对业务功能的模块化处理和可配置处理实现对功能的一站式更新，且不影响原有系统的正常运行。</w:t>
      </w:r>
    </w:p>
    <w:p w14:paraId="712E09B1">
      <w:pPr>
        <w:ind w:firstLine="420"/>
        <w:rPr>
          <w:rFonts w:cs="Times New Roman"/>
          <w:color w:val="auto"/>
          <w:szCs w:val="24"/>
          <w:highlight w:val="none"/>
        </w:rPr>
      </w:pPr>
      <w:r>
        <w:rPr>
          <w:rFonts w:cs="Times New Roman"/>
          <w:color w:val="auto"/>
          <w:szCs w:val="24"/>
          <w:highlight w:val="none"/>
        </w:rPr>
        <w:t>3）系统的计算能力支持横向扩展。</w:t>
      </w:r>
    </w:p>
    <w:p w14:paraId="33E6E0B3">
      <w:pPr>
        <w:ind w:firstLine="420"/>
        <w:rPr>
          <w:rFonts w:cs="Times New Roman"/>
          <w:color w:val="auto"/>
          <w:szCs w:val="24"/>
          <w:highlight w:val="none"/>
        </w:rPr>
      </w:pPr>
      <w:r>
        <w:rPr>
          <w:rFonts w:cs="Times New Roman"/>
          <w:color w:val="auto"/>
          <w:szCs w:val="24"/>
          <w:highlight w:val="none"/>
        </w:rPr>
        <w:t>4）对第三方平台提供良好的接口支持和扩展能力。</w:t>
      </w:r>
    </w:p>
    <w:p w14:paraId="3D7D137C">
      <w:pPr>
        <w:pStyle w:val="5"/>
        <w:ind w:firstLine="422"/>
        <w:rPr>
          <w:color w:val="auto"/>
          <w:highlight w:val="none"/>
        </w:rPr>
      </w:pPr>
      <w:r>
        <w:rPr>
          <w:color w:val="auto"/>
          <w:highlight w:val="none"/>
        </w:rPr>
        <w:t>2.7 其它非功能性要求</w:t>
      </w:r>
    </w:p>
    <w:p w14:paraId="00C05529">
      <w:pPr>
        <w:ind w:firstLine="420"/>
        <w:rPr>
          <w:color w:val="auto"/>
          <w:highlight w:val="none"/>
        </w:rPr>
      </w:pPr>
      <w:r>
        <w:rPr>
          <w:color w:val="auto"/>
          <w:highlight w:val="none"/>
        </w:rPr>
        <w:t>2.7.1 运维要求</w:t>
      </w:r>
    </w:p>
    <w:p w14:paraId="0DA7A7B6">
      <w:pPr>
        <w:ind w:firstLine="420"/>
        <w:rPr>
          <w:color w:val="auto"/>
          <w:highlight w:val="none"/>
        </w:rPr>
      </w:pPr>
      <w:r>
        <w:rPr>
          <w:color w:val="auto"/>
          <w:highlight w:val="none"/>
        </w:rPr>
        <w:t>1）提供日常运行监控和完整的系统维护管理的方案：提供日志、实时监控等系统问题定位方案；提供日志和历史数据备份、清理机制；</w:t>
      </w:r>
    </w:p>
    <w:p w14:paraId="122B34F2">
      <w:pPr>
        <w:ind w:firstLine="420"/>
        <w:rPr>
          <w:color w:val="auto"/>
          <w:highlight w:val="none"/>
        </w:rPr>
      </w:pPr>
      <w:r>
        <w:rPr>
          <w:color w:val="auto"/>
          <w:highlight w:val="none"/>
        </w:rPr>
        <w:t>2）提供应用系统之间逻辑独立、启停服务时系统间不相互影响的部署方案（十分重要），保障系统的7*24小时运行；</w:t>
      </w:r>
    </w:p>
    <w:p w14:paraId="4A977910">
      <w:pPr>
        <w:ind w:firstLine="420"/>
        <w:rPr>
          <w:color w:val="auto"/>
          <w:highlight w:val="none"/>
        </w:rPr>
      </w:pPr>
      <w:r>
        <w:rPr>
          <w:color w:val="auto"/>
          <w:highlight w:val="none"/>
        </w:rPr>
        <w:t>3）提供系统资源运行情况实时监控报告；提供系统出现异常预警报告；提供系统运行情况报表等。</w:t>
      </w:r>
    </w:p>
    <w:p w14:paraId="597D5697">
      <w:pPr>
        <w:ind w:firstLine="420"/>
        <w:rPr>
          <w:color w:val="auto"/>
          <w:highlight w:val="none"/>
        </w:rPr>
      </w:pPr>
      <w:r>
        <w:rPr>
          <w:color w:val="auto"/>
          <w:highlight w:val="none"/>
        </w:rPr>
        <w:t>4）涉及重大生产故障，需15分钟内响应，30分钟内提供临时解决方案并能恢复生产服务，并安排响应的技术专家进行技术支持。</w:t>
      </w:r>
    </w:p>
    <w:p w14:paraId="42E8717B">
      <w:pPr>
        <w:ind w:firstLine="420"/>
        <w:rPr>
          <w:color w:val="auto"/>
          <w:highlight w:val="none"/>
        </w:rPr>
      </w:pPr>
      <w:r>
        <w:rPr>
          <w:color w:val="auto"/>
          <w:highlight w:val="none"/>
        </w:rPr>
        <w:t>5）对接比选人监控运维体系，满足监控体系各项要求。</w:t>
      </w:r>
    </w:p>
    <w:p w14:paraId="6DDC9B08">
      <w:pPr>
        <w:ind w:firstLine="420"/>
        <w:rPr>
          <w:color w:val="auto"/>
          <w:highlight w:val="none"/>
        </w:rPr>
      </w:pPr>
      <w:r>
        <w:rPr>
          <w:color w:val="auto"/>
          <w:highlight w:val="none"/>
        </w:rPr>
        <w:t>2.7.2 日志要求</w:t>
      </w:r>
    </w:p>
    <w:p w14:paraId="156A1562">
      <w:pPr>
        <w:ind w:firstLine="420"/>
        <w:rPr>
          <w:color w:val="auto"/>
          <w:highlight w:val="none"/>
        </w:rPr>
      </w:pPr>
      <w:r>
        <w:rPr>
          <w:color w:val="auto"/>
          <w:highlight w:val="none"/>
        </w:rPr>
        <w:t>1）应完整记录所有通讯日志，方便交易统计分析。如果通讯日志为字节码的，不能直接查看的，应提供查看工具。</w:t>
      </w:r>
    </w:p>
    <w:p w14:paraId="00C34906">
      <w:pPr>
        <w:ind w:firstLine="420"/>
        <w:rPr>
          <w:color w:val="auto"/>
          <w:highlight w:val="none"/>
        </w:rPr>
      </w:pPr>
      <w:r>
        <w:rPr>
          <w:color w:val="auto"/>
          <w:highlight w:val="none"/>
        </w:rPr>
        <w:t>2）可在线动态调整日志级别，在生产环境下定位问题时不需要中断服务。</w:t>
      </w:r>
    </w:p>
    <w:p w14:paraId="4D47CBDA">
      <w:pPr>
        <w:ind w:firstLine="420"/>
        <w:rPr>
          <w:color w:val="auto"/>
          <w:highlight w:val="none"/>
        </w:rPr>
      </w:pPr>
      <w:r>
        <w:rPr>
          <w:color w:val="auto"/>
          <w:highlight w:val="none"/>
        </w:rPr>
        <w:t>3）系统相关日志应输出在应用目录之外。</w:t>
      </w:r>
    </w:p>
    <w:p w14:paraId="7708F973">
      <w:pPr>
        <w:ind w:firstLine="420"/>
        <w:rPr>
          <w:color w:val="auto"/>
          <w:highlight w:val="none"/>
        </w:rPr>
      </w:pPr>
      <w:r>
        <w:rPr>
          <w:color w:val="auto"/>
          <w:highlight w:val="none"/>
        </w:rPr>
        <w:t>4）不应在日志中记录客户登录、支付敏感信息；不允许保留非本机构的客户敏感信息。</w:t>
      </w:r>
    </w:p>
    <w:p w14:paraId="7A332050">
      <w:pPr>
        <w:ind w:firstLine="420"/>
        <w:rPr>
          <w:color w:val="auto"/>
          <w:highlight w:val="none"/>
        </w:rPr>
      </w:pPr>
      <w:r>
        <w:rPr>
          <w:color w:val="auto"/>
          <w:highlight w:val="none"/>
        </w:rPr>
        <w:t>2.7.3 自动监控指标</w:t>
      </w:r>
    </w:p>
    <w:p w14:paraId="199945A2">
      <w:pPr>
        <w:ind w:firstLine="420"/>
        <w:rPr>
          <w:color w:val="auto"/>
          <w:highlight w:val="none"/>
        </w:rPr>
      </w:pPr>
      <w:r>
        <w:rPr>
          <w:color w:val="auto"/>
          <w:highlight w:val="none"/>
        </w:rPr>
        <w:t>1）磁盘占用率（关键目录）、CPU使用率、内存占用率等；</w:t>
      </w:r>
    </w:p>
    <w:p w14:paraId="6DF1A556">
      <w:pPr>
        <w:ind w:firstLine="420"/>
        <w:rPr>
          <w:color w:val="auto"/>
          <w:highlight w:val="none"/>
        </w:rPr>
      </w:pPr>
      <w:r>
        <w:rPr>
          <w:color w:val="auto"/>
          <w:highlight w:val="none"/>
        </w:rPr>
        <w:t>2）数据库连接池使用情况：总连接数、空闲连接数、使用中连接数；线程池使用情况：总线程、空闲线程、使用中线程；</w:t>
      </w:r>
    </w:p>
    <w:p w14:paraId="7D0EB684">
      <w:pPr>
        <w:ind w:firstLine="420"/>
        <w:rPr>
          <w:color w:val="auto"/>
          <w:highlight w:val="none"/>
        </w:rPr>
      </w:pPr>
      <w:r>
        <w:rPr>
          <w:color w:val="auto"/>
          <w:highlight w:val="none"/>
        </w:rPr>
        <w:t>3）虚拟机堆内存情况（适用Java）：空闲内存、使用中内存；</w:t>
      </w:r>
    </w:p>
    <w:p w14:paraId="38725DE8">
      <w:pPr>
        <w:ind w:firstLine="420"/>
        <w:rPr>
          <w:color w:val="auto"/>
          <w:highlight w:val="none"/>
        </w:rPr>
      </w:pPr>
      <w:r>
        <w:rPr>
          <w:color w:val="auto"/>
          <w:highlight w:val="none"/>
        </w:rPr>
        <w:t>4）应用系统重大错误；</w:t>
      </w:r>
    </w:p>
    <w:p w14:paraId="61E87F18">
      <w:pPr>
        <w:pStyle w:val="5"/>
        <w:ind w:firstLine="422"/>
        <w:rPr>
          <w:color w:val="auto"/>
          <w:highlight w:val="none"/>
        </w:rPr>
      </w:pPr>
      <w:r>
        <w:rPr>
          <w:color w:val="auto"/>
          <w:highlight w:val="none"/>
        </w:rPr>
        <w:t>2.8 应当遵循的标准和规范</w:t>
      </w:r>
    </w:p>
    <w:p w14:paraId="3A632B34">
      <w:pPr>
        <w:ind w:firstLine="420"/>
        <w:rPr>
          <w:color w:val="auto"/>
          <w:highlight w:val="none"/>
        </w:rPr>
      </w:pPr>
      <w:r>
        <w:rPr>
          <w:color w:val="auto"/>
          <w:highlight w:val="none"/>
        </w:rPr>
        <w:t>应用应实现与比选人各种操作系统、中间件、数据库、业务系统及工具软件进行平滑对接。系统的底层应支持各个层次的多种协议，支持与业务系统的互通、互联，应用系统采用标准的数据交换方式，保证数据共享。</w:t>
      </w:r>
    </w:p>
    <w:p w14:paraId="302BDE4E">
      <w:pPr>
        <w:ind w:firstLine="420"/>
        <w:rPr>
          <w:color w:val="auto"/>
          <w:highlight w:val="none"/>
        </w:rPr>
      </w:pPr>
      <w:r>
        <w:rPr>
          <w:color w:val="auto"/>
          <w:highlight w:val="none"/>
        </w:rPr>
        <w:t>系统架构必须遵循比选人应用架构统一架构规范；对外交互界面（含接口、交互流程）均需遵照比选人确定统一规范进行设计和开发，接口交互均需要通过分布式应用服务管理平台（以下简称“ESC”），数据文件交互优先使用 ESC 文件中心进行文件交互；同时开发过程的产出物（如：设计文档、代码、测试案例、测试报告等）也需完全遵照比选人确定的统一标准规范完成。</w:t>
      </w:r>
    </w:p>
    <w:p w14:paraId="37809FE2">
      <w:pPr>
        <w:pStyle w:val="5"/>
        <w:ind w:firstLine="422"/>
        <w:rPr>
          <w:color w:val="auto"/>
          <w:highlight w:val="none"/>
        </w:rPr>
      </w:pPr>
      <w:r>
        <w:rPr>
          <w:color w:val="auto"/>
          <w:highlight w:val="none"/>
        </w:rPr>
        <w:t>2.9 其他技术要求</w:t>
      </w:r>
    </w:p>
    <w:p w14:paraId="215478F8">
      <w:pPr>
        <w:ind w:firstLine="420"/>
        <w:rPr>
          <w:color w:val="auto"/>
          <w:highlight w:val="none"/>
        </w:rPr>
      </w:pPr>
      <w:r>
        <w:rPr>
          <w:color w:val="auto"/>
          <w:highlight w:val="none"/>
        </w:rPr>
        <w:t>1）开发环境基于J2EE轻量级框架，支持JDK版本：openJDK1.8及以上版本。</w:t>
      </w:r>
    </w:p>
    <w:p w14:paraId="2D3D2F2C">
      <w:pPr>
        <w:ind w:firstLine="420"/>
        <w:rPr>
          <w:color w:val="auto"/>
          <w:highlight w:val="none"/>
        </w:rPr>
      </w:pPr>
      <w:r>
        <w:rPr>
          <w:color w:val="auto"/>
          <w:highlight w:val="none"/>
        </w:rPr>
        <w:t>2）操作系统、数据库和中间件满足以下要求：服务端操作系统支持Linux（RHEL 7.9）、银河麒麟V10等，支持Oracle（19C）数据库（支持rac）、OceanBase数据库等，支持TongWeb、Weblogic（12.2.1.4及以上）中间件及Tomcat中间件。</w:t>
      </w:r>
    </w:p>
    <w:p w14:paraId="26828D1B">
      <w:pPr>
        <w:ind w:firstLine="420"/>
        <w:rPr>
          <w:color w:val="auto"/>
          <w:highlight w:val="none"/>
        </w:rPr>
      </w:pPr>
      <w:r>
        <w:rPr>
          <w:color w:val="auto"/>
          <w:highlight w:val="none"/>
        </w:rPr>
        <w:t>3）必须支持Windows全系操作系统，即WinXP/Win7/Win8/Win10，支持麒麟桌面操作系统，支持谷歌、360、IE6及以上版本浏览器使用，支持统信、奇安信、360等国产浏览器使用。</w:t>
      </w:r>
    </w:p>
    <w:p w14:paraId="1F30B885">
      <w:pPr>
        <w:ind w:firstLine="420"/>
        <w:rPr>
          <w:color w:val="auto"/>
          <w:highlight w:val="none"/>
        </w:rPr>
      </w:pPr>
      <w:r>
        <w:rPr>
          <w:color w:val="auto"/>
          <w:highlight w:val="none"/>
        </w:rPr>
        <w:t>4）系统基础架构和底层数据库具备灵活性。</w:t>
      </w:r>
    </w:p>
    <w:p w14:paraId="23C86858">
      <w:pPr>
        <w:ind w:firstLine="420"/>
        <w:rPr>
          <w:color w:val="auto"/>
          <w:highlight w:val="none"/>
        </w:rPr>
      </w:pPr>
      <w:r>
        <w:rPr>
          <w:color w:val="auto"/>
          <w:highlight w:val="none"/>
        </w:rPr>
        <w:t>5）系统可集群部署，支持负载均衡，具备横向可扩展性。</w:t>
      </w:r>
    </w:p>
    <w:p w14:paraId="32423EC1">
      <w:pPr>
        <w:ind w:firstLine="420"/>
        <w:rPr>
          <w:color w:val="auto"/>
          <w:highlight w:val="none"/>
        </w:rPr>
      </w:pPr>
      <w:r>
        <w:rPr>
          <w:color w:val="auto"/>
          <w:highlight w:val="none"/>
        </w:rPr>
        <w:t>6）系统处理能力能满足现有业务数据以及未来三年可能发展的业务数据量。</w:t>
      </w:r>
    </w:p>
    <w:p w14:paraId="7DEF28E1">
      <w:pPr>
        <w:ind w:firstLine="420"/>
        <w:rPr>
          <w:color w:val="auto"/>
          <w:highlight w:val="none"/>
        </w:rPr>
      </w:pPr>
      <w:r>
        <w:rPr>
          <w:color w:val="auto"/>
          <w:highlight w:val="none"/>
        </w:rPr>
        <w:t>7）系统开发需要符合比选人开发规范和整体框架要求。</w:t>
      </w:r>
    </w:p>
    <w:p w14:paraId="11FDB26F">
      <w:pPr>
        <w:ind w:firstLine="420"/>
        <w:rPr>
          <w:color w:val="auto"/>
          <w:highlight w:val="none"/>
        </w:rPr>
      </w:pPr>
      <w:r>
        <w:rPr>
          <w:color w:val="auto"/>
          <w:highlight w:val="none"/>
        </w:rPr>
        <w:t>8）系统需支持dns方式连接数据库以及应用。</w:t>
      </w:r>
    </w:p>
    <w:p w14:paraId="55314364">
      <w:pPr>
        <w:ind w:firstLine="420"/>
        <w:rPr>
          <w:color w:val="auto"/>
          <w:highlight w:val="none"/>
        </w:rPr>
      </w:pPr>
      <w:r>
        <w:rPr>
          <w:color w:val="auto"/>
          <w:highlight w:val="none"/>
        </w:rPr>
        <w:t>9）原则上不对系统许可（license）做限制。</w:t>
      </w:r>
    </w:p>
    <w:p w14:paraId="59BAC24E">
      <w:pPr>
        <w:ind w:firstLine="420"/>
        <w:rPr>
          <w:color w:val="auto"/>
          <w:highlight w:val="none"/>
        </w:rPr>
      </w:pPr>
      <w:r>
        <w:rPr>
          <w:color w:val="auto"/>
          <w:highlight w:val="none"/>
        </w:rPr>
        <w:t>10）参选人需提供完善的数据备份方案及备份机制。</w:t>
      </w:r>
    </w:p>
    <w:p w14:paraId="39C242F7">
      <w:pPr>
        <w:ind w:firstLine="420"/>
        <w:rPr>
          <w:color w:val="auto"/>
          <w:highlight w:val="none"/>
        </w:rPr>
      </w:pPr>
      <w:r>
        <w:rPr>
          <w:color w:val="auto"/>
          <w:highlight w:val="none"/>
        </w:rPr>
        <w:t>11）需支持IPV6协议。</w:t>
      </w:r>
    </w:p>
    <w:p w14:paraId="7C5B579D">
      <w:pPr>
        <w:ind w:firstLine="420"/>
        <w:rPr>
          <w:color w:val="auto"/>
          <w:highlight w:val="none"/>
        </w:rPr>
      </w:pPr>
      <w:r>
        <w:rPr>
          <w:color w:val="auto"/>
          <w:highlight w:val="none"/>
        </w:rPr>
        <w:t>12）禁止应用软件部署使用的安装码或授权码与其运行的基础环境（如：硬盘序列号、CPU序列号或网卡序列号等）进行绑定。</w:t>
      </w:r>
    </w:p>
    <w:p w14:paraId="67C578C5">
      <w:pPr>
        <w:ind w:firstLine="420"/>
        <w:rPr>
          <w:color w:val="auto"/>
          <w:highlight w:val="none"/>
        </w:rPr>
      </w:pPr>
      <w:r>
        <w:rPr>
          <w:color w:val="auto"/>
          <w:highlight w:val="none"/>
        </w:rPr>
        <w:t>13）系统在集群部署共享文件访问时使用对象存储（不得使用NAS）。</w:t>
      </w:r>
    </w:p>
    <w:p w14:paraId="4CC78E8E">
      <w:pPr>
        <w:ind w:firstLine="420"/>
        <w:rPr>
          <w:color w:val="auto"/>
          <w:highlight w:val="none"/>
        </w:rPr>
      </w:pPr>
      <w:r>
        <w:rPr>
          <w:color w:val="auto"/>
          <w:highlight w:val="none"/>
        </w:rPr>
        <w:t>14）系统应按照比选人研发运维标准完成比选人DevOps研发效能平台和AiOps智能运维平台的对接。</w:t>
      </w:r>
    </w:p>
    <w:p w14:paraId="255B7C8B">
      <w:pPr>
        <w:ind w:firstLine="420"/>
        <w:rPr>
          <w:color w:val="auto"/>
          <w:highlight w:val="none"/>
        </w:rPr>
      </w:pPr>
      <w:r>
        <w:rPr>
          <w:color w:val="auto"/>
          <w:highlight w:val="none"/>
        </w:rPr>
        <w:t>15）从底层技术框架及系统管理功能中提供完备的应用层面安全保密支撑，支持信创软硬件运行环境，对信息系统提供全方位的安全支持。</w:t>
      </w:r>
    </w:p>
    <w:p w14:paraId="3DCFA288">
      <w:pPr>
        <w:pStyle w:val="4"/>
        <w:rPr>
          <w:color w:val="auto"/>
          <w:highlight w:val="none"/>
        </w:rPr>
      </w:pPr>
      <w:r>
        <w:rPr>
          <w:color w:val="auto"/>
          <w:highlight w:val="none"/>
        </w:rPr>
        <w:t>3.</w:t>
      </w:r>
      <w:r>
        <w:rPr>
          <w:rFonts w:hint="eastAsia"/>
          <w:color w:val="auto"/>
          <w:highlight w:val="none"/>
        </w:rPr>
        <w:t xml:space="preserve"> </w:t>
      </w:r>
      <w:r>
        <w:rPr>
          <w:color w:val="auto"/>
          <w:highlight w:val="none"/>
        </w:rPr>
        <w:t>测试要求</w:t>
      </w:r>
    </w:p>
    <w:p w14:paraId="3CE42F2D">
      <w:pPr>
        <w:ind w:firstLine="420"/>
        <w:rPr>
          <w:color w:val="auto"/>
          <w:highlight w:val="none"/>
        </w:rPr>
      </w:pPr>
      <w:r>
        <w:rPr>
          <w:color w:val="auto"/>
          <w:highlight w:val="none"/>
        </w:rPr>
        <w:t>1）</w:t>
      </w:r>
      <w:r>
        <w:rPr>
          <w:rFonts w:hint="eastAsia"/>
          <w:color w:val="auto"/>
          <w:highlight w:val="none"/>
        </w:rPr>
        <w:t>中</w:t>
      </w:r>
      <w:r>
        <w:rPr>
          <w:color w:val="auto"/>
          <w:highlight w:val="none"/>
        </w:rPr>
        <w:t>选人应负责系统的单元、集成和系统测试，提交完整的测试案例及达到准出标准的单元、集成和系统测试报告。</w:t>
      </w:r>
    </w:p>
    <w:p w14:paraId="1B838A50">
      <w:pPr>
        <w:ind w:firstLine="420"/>
        <w:rPr>
          <w:color w:val="auto"/>
          <w:highlight w:val="none"/>
        </w:rPr>
      </w:pPr>
      <w:r>
        <w:rPr>
          <w:color w:val="auto"/>
          <w:highlight w:val="none"/>
        </w:rPr>
        <w:t>2）</w:t>
      </w:r>
      <w:r>
        <w:rPr>
          <w:rFonts w:hint="eastAsia"/>
          <w:color w:val="auto"/>
          <w:highlight w:val="none"/>
        </w:rPr>
        <w:t>中</w:t>
      </w:r>
      <w:r>
        <w:rPr>
          <w:color w:val="auto"/>
          <w:highlight w:val="none"/>
        </w:rPr>
        <w:t>选人应提供专职的性能测试负责人及性能测试人员进行系统的性能测试，提交满足系统性能指标的性能测试报告。</w:t>
      </w:r>
    </w:p>
    <w:p w14:paraId="37628E37">
      <w:pPr>
        <w:ind w:firstLine="420"/>
        <w:rPr>
          <w:color w:val="auto"/>
          <w:highlight w:val="none"/>
        </w:rPr>
      </w:pPr>
      <w:r>
        <w:rPr>
          <w:color w:val="auto"/>
          <w:highlight w:val="none"/>
        </w:rPr>
        <w:t>3）</w:t>
      </w:r>
      <w:r>
        <w:rPr>
          <w:rFonts w:hint="eastAsia"/>
          <w:color w:val="auto"/>
          <w:highlight w:val="none"/>
        </w:rPr>
        <w:t>中</w:t>
      </w:r>
      <w:r>
        <w:rPr>
          <w:color w:val="auto"/>
          <w:highlight w:val="none"/>
        </w:rPr>
        <w:t>选人应指派专职的测试项目经理及项目成员进行系统测试，参照比选人系统测试准入准出标准。</w:t>
      </w:r>
    </w:p>
    <w:tbl>
      <w:tblPr>
        <w:tblStyle w:val="88"/>
        <w:tblW w:w="4801"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5"/>
        <w:gridCol w:w="6888"/>
      </w:tblGrid>
      <w:tr w14:paraId="0202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69773FE3">
            <w:pPr>
              <w:pStyle w:val="111"/>
              <w:rPr>
                <w:color w:val="auto"/>
                <w:highlight w:val="none"/>
              </w:rPr>
            </w:pPr>
            <w:r>
              <w:rPr>
                <w:color w:val="auto"/>
                <w:highlight w:val="none"/>
              </w:rPr>
              <w:t>系统测试准入准出标准</w:t>
            </w:r>
          </w:p>
        </w:tc>
      </w:tr>
      <w:tr w14:paraId="68CCC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35674850">
            <w:pPr>
              <w:pStyle w:val="111"/>
              <w:jc w:val="left"/>
              <w:rPr>
                <w:color w:val="auto"/>
                <w:highlight w:val="none"/>
              </w:rPr>
            </w:pPr>
            <w:r>
              <w:rPr>
                <w:color w:val="auto"/>
                <w:highlight w:val="none"/>
              </w:rPr>
              <w:t>一、系统测试准入标准</w:t>
            </w:r>
          </w:p>
        </w:tc>
      </w:tr>
      <w:tr w14:paraId="64573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10E16A">
            <w:pPr>
              <w:pStyle w:val="111"/>
              <w:rPr>
                <w:color w:val="auto"/>
                <w:highlight w:val="none"/>
              </w:rPr>
            </w:pPr>
            <w:r>
              <w:rPr>
                <w:color w:val="auto"/>
                <w:highlight w:val="none"/>
              </w:rPr>
              <w:t>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B6681D">
            <w:pPr>
              <w:pStyle w:val="111"/>
              <w:rPr>
                <w:color w:val="auto"/>
                <w:highlight w:val="none"/>
              </w:rPr>
            </w:pPr>
            <w:r>
              <w:rPr>
                <w:color w:val="auto"/>
                <w:highlight w:val="none"/>
              </w:rPr>
              <w:t>准入条件</w:t>
            </w:r>
          </w:p>
        </w:tc>
      </w:tr>
      <w:tr w14:paraId="7EA4D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6113B872">
            <w:pPr>
              <w:pStyle w:val="110"/>
              <w:jc w:val="center"/>
              <w:rPr>
                <w:color w:val="auto"/>
                <w:highlight w:val="none"/>
              </w:rPr>
            </w:pPr>
            <w:r>
              <w:rPr>
                <w:color w:val="auto"/>
                <w:highlight w:val="none"/>
              </w:rPr>
              <w:t>计划阶段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DB10B49">
            <w:pPr>
              <w:pStyle w:val="110"/>
              <w:rPr>
                <w:color w:val="auto"/>
                <w:highlight w:val="none"/>
              </w:rPr>
            </w:pPr>
            <w:r>
              <w:rPr>
                <w:color w:val="auto"/>
                <w:highlight w:val="none"/>
              </w:rPr>
              <w:t>开发项目整体项目计划必须包含系统测试计划或系统测试计划时间</w:t>
            </w:r>
          </w:p>
        </w:tc>
      </w:tr>
      <w:tr w14:paraId="4425B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28E8280E">
            <w:pPr>
              <w:pStyle w:val="110"/>
              <w:jc w:val="center"/>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3EF4AC">
            <w:pPr>
              <w:pStyle w:val="110"/>
              <w:rPr>
                <w:color w:val="auto"/>
                <w:highlight w:val="none"/>
              </w:rPr>
            </w:pPr>
            <w:r>
              <w:rPr>
                <w:color w:val="auto"/>
                <w:highlight w:val="none"/>
              </w:rPr>
              <w:t>测试方要求的需求说明书及相关说明书已经通过评审，并形成终稿；文档包括但不限于：业务需求、需求说明书、系统原型、概要设计（可选）、用户手册（可选）</w:t>
            </w:r>
          </w:p>
        </w:tc>
      </w:tr>
      <w:tr w14:paraId="306F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25C8E491">
            <w:pPr>
              <w:pStyle w:val="110"/>
              <w:jc w:val="center"/>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2A6A21">
            <w:pPr>
              <w:pStyle w:val="110"/>
              <w:rPr>
                <w:color w:val="auto"/>
                <w:highlight w:val="none"/>
              </w:rPr>
            </w:pPr>
            <w:r>
              <w:rPr>
                <w:color w:val="auto"/>
                <w:highlight w:val="none"/>
              </w:rPr>
              <w:t>变更影响范围是否提供</w:t>
            </w:r>
          </w:p>
        </w:tc>
      </w:tr>
      <w:tr w14:paraId="217C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4A6C64CE">
            <w:pPr>
              <w:pStyle w:val="110"/>
              <w:jc w:val="center"/>
              <w:rPr>
                <w:color w:val="auto"/>
                <w:highlight w:val="none"/>
              </w:rPr>
            </w:pPr>
            <w:r>
              <w:rPr>
                <w:color w:val="auto"/>
                <w:highlight w:val="none"/>
              </w:rPr>
              <w:t>执行阶段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533B9B3">
            <w:pPr>
              <w:pStyle w:val="110"/>
              <w:rPr>
                <w:color w:val="auto"/>
                <w:highlight w:val="none"/>
              </w:rPr>
            </w:pPr>
            <w:r>
              <w:rPr>
                <w:color w:val="auto"/>
                <w:highlight w:val="none"/>
              </w:rPr>
              <w:t>提交的产品经过了开发自测(单元及集成测试），并提交了测试案例与测试报告，单元及集成测试案例密度不低于20条/每功能点，案例需求覆盖度100%，无致命及严重遗留问题</w:t>
            </w:r>
          </w:p>
        </w:tc>
      </w:tr>
      <w:tr w14:paraId="32B7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5CA5DCE1">
            <w:pPr>
              <w:pStyle w:val="110"/>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FED4DC7">
            <w:pPr>
              <w:pStyle w:val="110"/>
              <w:rPr>
                <w:color w:val="auto"/>
                <w:highlight w:val="none"/>
              </w:rPr>
            </w:pPr>
            <w:r>
              <w:rPr>
                <w:color w:val="auto"/>
                <w:highlight w:val="none"/>
              </w:rPr>
              <w:t>系统测试案例准备就绪（案例密度为35条/每功能点）</w:t>
            </w:r>
          </w:p>
        </w:tc>
      </w:tr>
      <w:tr w14:paraId="72F2B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5B278896">
            <w:pPr>
              <w:pStyle w:val="110"/>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FFAC01">
            <w:pPr>
              <w:pStyle w:val="110"/>
              <w:rPr>
                <w:color w:val="auto"/>
                <w:highlight w:val="none"/>
              </w:rPr>
            </w:pPr>
            <w:r>
              <w:rPr>
                <w:color w:val="auto"/>
                <w:highlight w:val="none"/>
              </w:rPr>
              <w:t>测试环境准备就绪</w:t>
            </w:r>
          </w:p>
        </w:tc>
      </w:tr>
      <w:tr w14:paraId="06BE1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1FFE91B4">
            <w:pPr>
              <w:pStyle w:val="110"/>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86AD3E6">
            <w:pPr>
              <w:pStyle w:val="110"/>
              <w:rPr>
                <w:color w:val="auto"/>
                <w:highlight w:val="none"/>
              </w:rPr>
            </w:pPr>
            <w:r>
              <w:rPr>
                <w:color w:val="auto"/>
                <w:highlight w:val="none"/>
              </w:rPr>
              <w:t>测试版本能够成功部署到测试环境。（如果测试和开发处于同一环境，则在系统测试开始前应该按照开发提交的版本重新部署）</w:t>
            </w:r>
          </w:p>
        </w:tc>
      </w:tr>
      <w:tr w14:paraId="40B11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034B5926">
            <w:pPr>
              <w:pStyle w:val="110"/>
              <w:rPr>
                <w:color w:val="auto"/>
                <w:highlight w:val="none"/>
              </w:rPr>
            </w:pP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AF7DE4">
            <w:pPr>
              <w:pStyle w:val="110"/>
              <w:rPr>
                <w:color w:val="auto"/>
                <w:highlight w:val="none"/>
              </w:rPr>
            </w:pPr>
            <w:r>
              <w:rPr>
                <w:color w:val="auto"/>
                <w:highlight w:val="none"/>
              </w:rPr>
              <w:t>冒烟测试达到通过标准（冒烟测试案例通过率大于90%，有效缺陷率不高于10%）</w:t>
            </w:r>
          </w:p>
        </w:tc>
      </w:tr>
      <w:tr w14:paraId="7F8CB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668285E">
            <w:pPr>
              <w:pStyle w:val="111"/>
              <w:jc w:val="left"/>
              <w:rPr>
                <w:color w:val="auto"/>
                <w:highlight w:val="none"/>
              </w:rPr>
            </w:pPr>
            <w:r>
              <w:rPr>
                <w:color w:val="auto"/>
                <w:highlight w:val="none"/>
              </w:rPr>
              <w:t>二、暂停/继续标准：满足下列之一的条件并由项目组审核同意，测试可以暂停</w:t>
            </w:r>
          </w:p>
        </w:tc>
      </w:tr>
      <w:tr w14:paraId="15D0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DA300D">
            <w:pPr>
              <w:pStyle w:val="111"/>
              <w:rPr>
                <w:color w:val="auto"/>
                <w:highlight w:val="none"/>
              </w:rPr>
            </w:pPr>
            <w:r>
              <w:rPr>
                <w:color w:val="auto"/>
                <w:highlight w:val="none"/>
              </w:rPr>
              <w:t>序号</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6470A0">
            <w:pPr>
              <w:pStyle w:val="111"/>
              <w:rPr>
                <w:color w:val="auto"/>
                <w:highlight w:val="none"/>
              </w:rPr>
            </w:pPr>
            <w:r>
              <w:rPr>
                <w:color w:val="auto"/>
                <w:highlight w:val="none"/>
              </w:rPr>
              <w:t>暂停条件</w:t>
            </w:r>
          </w:p>
        </w:tc>
      </w:tr>
      <w:tr w14:paraId="2A6F3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447929E">
            <w:pPr>
              <w:pStyle w:val="110"/>
              <w:jc w:val="center"/>
              <w:rPr>
                <w:color w:val="auto"/>
                <w:highlight w:val="none"/>
              </w:rPr>
            </w:pPr>
            <w:r>
              <w:rPr>
                <w:color w:val="auto"/>
                <w:highlight w:val="none"/>
              </w:rPr>
              <w:t>1</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26630B">
            <w:pPr>
              <w:pStyle w:val="110"/>
              <w:rPr>
                <w:color w:val="auto"/>
                <w:highlight w:val="none"/>
              </w:rPr>
            </w:pPr>
            <w:r>
              <w:rPr>
                <w:color w:val="auto"/>
                <w:highlight w:val="none"/>
              </w:rPr>
              <w:t>由于程序、环境原因导致测试无法进行</w:t>
            </w:r>
          </w:p>
        </w:tc>
      </w:tr>
      <w:tr w14:paraId="0CAE5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0915FF2">
            <w:pPr>
              <w:pStyle w:val="110"/>
              <w:jc w:val="center"/>
              <w:rPr>
                <w:color w:val="auto"/>
                <w:highlight w:val="none"/>
              </w:rPr>
            </w:pPr>
            <w:r>
              <w:rPr>
                <w:color w:val="auto"/>
                <w:highlight w:val="none"/>
              </w:rPr>
              <w:t>2</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EC12C1">
            <w:pPr>
              <w:pStyle w:val="110"/>
              <w:rPr>
                <w:color w:val="auto"/>
                <w:highlight w:val="none"/>
              </w:rPr>
            </w:pPr>
            <w:r>
              <w:rPr>
                <w:color w:val="auto"/>
                <w:highlight w:val="none"/>
              </w:rPr>
              <w:t>项目暂停，已无测试必要</w:t>
            </w:r>
          </w:p>
        </w:tc>
      </w:tr>
      <w:tr w14:paraId="6E35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BAAD4FC">
            <w:pPr>
              <w:pStyle w:val="110"/>
              <w:jc w:val="center"/>
              <w:rPr>
                <w:color w:val="auto"/>
                <w:highlight w:val="none"/>
              </w:rPr>
            </w:pPr>
            <w:r>
              <w:rPr>
                <w:rFonts w:hint="eastAsia"/>
                <w:color w:val="auto"/>
                <w:highlight w:val="none"/>
              </w:rPr>
              <w:t>3</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2F7C746">
            <w:pPr>
              <w:pStyle w:val="110"/>
              <w:rPr>
                <w:color w:val="auto"/>
                <w:highlight w:val="none"/>
              </w:rPr>
            </w:pPr>
            <w:r>
              <w:rPr>
                <w:color w:val="auto"/>
                <w:highlight w:val="none"/>
              </w:rPr>
              <w:t>测试需求稳定指数小于70%，则暂停测试执行</w:t>
            </w:r>
          </w:p>
        </w:tc>
      </w:tr>
      <w:tr w14:paraId="3F6B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EF790E">
            <w:pPr>
              <w:pStyle w:val="110"/>
              <w:jc w:val="center"/>
              <w:rPr>
                <w:color w:val="auto"/>
                <w:highlight w:val="none"/>
              </w:rPr>
            </w:pPr>
            <w:r>
              <w:rPr>
                <w:rFonts w:hint="eastAsia"/>
                <w:color w:val="auto"/>
                <w:highlight w:val="none"/>
              </w:rPr>
              <w:t>4</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018AF1">
            <w:pPr>
              <w:pStyle w:val="110"/>
              <w:rPr>
                <w:color w:val="auto"/>
                <w:highlight w:val="none"/>
              </w:rPr>
            </w:pPr>
            <w:r>
              <w:rPr>
                <w:color w:val="auto"/>
                <w:highlight w:val="none"/>
              </w:rPr>
              <w:t>每个里程碑节点或执行轮次案例执行通过率低于60%，则暂停测试执行</w:t>
            </w:r>
          </w:p>
        </w:tc>
      </w:tr>
      <w:tr w14:paraId="67805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0E495F">
            <w:pPr>
              <w:pStyle w:val="110"/>
              <w:jc w:val="center"/>
              <w:rPr>
                <w:color w:val="auto"/>
                <w:highlight w:val="none"/>
              </w:rPr>
            </w:pPr>
            <w:r>
              <w:rPr>
                <w:rFonts w:hint="eastAsia"/>
                <w:color w:val="auto"/>
                <w:highlight w:val="none"/>
              </w:rPr>
              <w:t>5</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49B85CD">
            <w:pPr>
              <w:pStyle w:val="110"/>
              <w:rPr>
                <w:color w:val="auto"/>
                <w:highlight w:val="none"/>
              </w:rPr>
            </w:pPr>
            <w:r>
              <w:rPr>
                <w:color w:val="auto"/>
                <w:highlight w:val="none"/>
              </w:rPr>
              <w:t>每个里程碑节点或执行轮次缺陷解决率低于50%，则暂停测试执行</w:t>
            </w:r>
          </w:p>
        </w:tc>
      </w:tr>
      <w:tr w14:paraId="7F6C9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C26D7C">
            <w:pPr>
              <w:pStyle w:val="110"/>
              <w:jc w:val="center"/>
              <w:rPr>
                <w:color w:val="auto"/>
                <w:highlight w:val="none"/>
              </w:rPr>
            </w:pPr>
            <w:r>
              <w:rPr>
                <w:rFonts w:hint="eastAsia"/>
                <w:color w:val="auto"/>
                <w:highlight w:val="none"/>
              </w:rPr>
              <w:t>6</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EAD545">
            <w:pPr>
              <w:pStyle w:val="110"/>
              <w:rPr>
                <w:color w:val="auto"/>
                <w:highlight w:val="none"/>
              </w:rPr>
            </w:pPr>
            <w:r>
              <w:rPr>
                <w:color w:val="auto"/>
                <w:highlight w:val="none"/>
              </w:rPr>
              <w:t>每个里程碑节点或执行轮次缺陷的案例命中率大于25%，则暂停测试执行</w:t>
            </w:r>
          </w:p>
        </w:tc>
      </w:tr>
      <w:tr w14:paraId="27DEA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AC1DBAD">
            <w:pPr>
              <w:pStyle w:val="110"/>
              <w:jc w:val="center"/>
              <w:rPr>
                <w:color w:val="auto"/>
                <w:highlight w:val="none"/>
              </w:rPr>
            </w:pPr>
            <w:r>
              <w:rPr>
                <w:rFonts w:hint="eastAsia"/>
                <w:color w:val="auto"/>
                <w:highlight w:val="none"/>
              </w:rPr>
              <w:t>7</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10C8E0">
            <w:pPr>
              <w:pStyle w:val="110"/>
              <w:rPr>
                <w:color w:val="auto"/>
                <w:highlight w:val="none"/>
              </w:rPr>
            </w:pPr>
            <w:r>
              <w:rPr>
                <w:color w:val="auto"/>
                <w:highlight w:val="none"/>
              </w:rPr>
              <w:t>每个里程碑节点或执行轮次严重以上缺陷占比大于35%，则暂停测试执行</w:t>
            </w:r>
          </w:p>
        </w:tc>
      </w:tr>
      <w:tr w14:paraId="117C0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215905">
            <w:pPr>
              <w:pStyle w:val="110"/>
              <w:jc w:val="center"/>
              <w:rPr>
                <w:color w:val="auto"/>
                <w:highlight w:val="none"/>
              </w:rPr>
            </w:pPr>
            <w:r>
              <w:rPr>
                <w:rFonts w:hint="eastAsia"/>
                <w:color w:val="auto"/>
                <w:highlight w:val="none"/>
              </w:rPr>
              <w:t>8</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3F5327">
            <w:pPr>
              <w:pStyle w:val="110"/>
              <w:rPr>
                <w:color w:val="auto"/>
                <w:highlight w:val="none"/>
              </w:rPr>
            </w:pPr>
            <w:r>
              <w:rPr>
                <w:color w:val="auto"/>
                <w:highlight w:val="none"/>
              </w:rPr>
              <w:t>测试环境、测试数据、测试人员等等测试必备条件不再具备或发生变化导致测试不能进行，则暂停测试执行</w:t>
            </w:r>
          </w:p>
        </w:tc>
      </w:tr>
      <w:tr w14:paraId="4F826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BBAB083">
            <w:pPr>
              <w:pStyle w:val="110"/>
              <w:jc w:val="center"/>
              <w:rPr>
                <w:color w:val="auto"/>
                <w:highlight w:val="none"/>
              </w:rPr>
            </w:pPr>
            <w:r>
              <w:rPr>
                <w:rFonts w:hint="eastAsia"/>
                <w:color w:val="auto"/>
                <w:highlight w:val="none"/>
              </w:rPr>
              <w:t>9</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E6A301">
            <w:pPr>
              <w:pStyle w:val="110"/>
              <w:rPr>
                <w:color w:val="auto"/>
                <w:highlight w:val="none"/>
              </w:rPr>
            </w:pPr>
            <w:r>
              <w:rPr>
                <w:color w:val="auto"/>
                <w:highlight w:val="none"/>
              </w:rPr>
              <w:t>项目组确定的可以暂停的其他条件</w:t>
            </w:r>
          </w:p>
        </w:tc>
      </w:tr>
      <w:tr w14:paraId="5700C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55973BC">
            <w:pPr>
              <w:pStyle w:val="110"/>
              <w:jc w:val="center"/>
              <w:rPr>
                <w:color w:val="auto"/>
                <w:highlight w:val="none"/>
              </w:rPr>
            </w:pPr>
            <w:r>
              <w:rPr>
                <w:rFonts w:hint="eastAsia"/>
                <w:color w:val="auto"/>
                <w:highlight w:val="none"/>
              </w:rPr>
              <w:t>10</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68D66D5">
            <w:pPr>
              <w:pStyle w:val="110"/>
              <w:rPr>
                <w:color w:val="auto"/>
                <w:highlight w:val="none"/>
              </w:rPr>
            </w:pPr>
            <w:r>
              <w:rPr>
                <w:color w:val="auto"/>
                <w:highlight w:val="none"/>
              </w:rPr>
              <w:t>恢复以上的条件并由项目组审核同意，测试可以继续</w:t>
            </w:r>
          </w:p>
        </w:tc>
      </w:tr>
      <w:tr w14:paraId="3FCB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06A1352">
            <w:pPr>
              <w:pStyle w:val="111"/>
              <w:jc w:val="left"/>
              <w:rPr>
                <w:color w:val="auto"/>
                <w:highlight w:val="none"/>
              </w:rPr>
            </w:pPr>
            <w:r>
              <w:rPr>
                <w:color w:val="auto"/>
                <w:highlight w:val="none"/>
              </w:rPr>
              <w:t>三、系统测试准出标准：同时满足以下条件，系统测试完成</w:t>
            </w:r>
          </w:p>
        </w:tc>
      </w:tr>
      <w:tr w14:paraId="43F0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8B7D32E">
            <w:pPr>
              <w:pStyle w:val="111"/>
              <w:rPr>
                <w:color w:val="auto"/>
                <w:highlight w:val="none"/>
              </w:rPr>
            </w:pPr>
            <w:r>
              <w:rPr>
                <w:color w:val="auto"/>
                <w:highlight w:val="none"/>
              </w:rPr>
              <w:t>序号</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A1AB6D">
            <w:pPr>
              <w:pStyle w:val="111"/>
              <w:rPr>
                <w:color w:val="auto"/>
                <w:highlight w:val="none"/>
              </w:rPr>
            </w:pPr>
            <w:r>
              <w:rPr>
                <w:color w:val="auto"/>
                <w:highlight w:val="none"/>
              </w:rPr>
              <w:t>准出条件</w:t>
            </w:r>
          </w:p>
        </w:tc>
      </w:tr>
      <w:tr w14:paraId="1BBD6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C6EBACA">
            <w:pPr>
              <w:pStyle w:val="110"/>
              <w:jc w:val="center"/>
              <w:rPr>
                <w:color w:val="auto"/>
                <w:highlight w:val="none"/>
              </w:rPr>
            </w:pPr>
            <w:r>
              <w:rPr>
                <w:color w:val="auto"/>
                <w:highlight w:val="none"/>
              </w:rPr>
              <w:t>1</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06E0E92">
            <w:pPr>
              <w:pStyle w:val="110"/>
              <w:rPr>
                <w:color w:val="auto"/>
                <w:highlight w:val="none"/>
              </w:rPr>
            </w:pPr>
            <w:r>
              <w:rPr>
                <w:color w:val="auto"/>
                <w:highlight w:val="none"/>
              </w:rPr>
              <w:t>测试需求覆盖率达到100%，测试案例覆盖度100%</w:t>
            </w:r>
          </w:p>
        </w:tc>
      </w:tr>
      <w:tr w14:paraId="56FE4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CF3B0E5">
            <w:pPr>
              <w:pStyle w:val="110"/>
              <w:jc w:val="center"/>
              <w:rPr>
                <w:color w:val="auto"/>
                <w:highlight w:val="none"/>
              </w:rPr>
            </w:pPr>
            <w:r>
              <w:rPr>
                <w:color w:val="auto"/>
                <w:highlight w:val="none"/>
              </w:rPr>
              <w:t>2</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7166798">
            <w:pPr>
              <w:pStyle w:val="110"/>
              <w:rPr>
                <w:color w:val="auto"/>
                <w:highlight w:val="none"/>
              </w:rPr>
            </w:pPr>
            <w:r>
              <w:rPr>
                <w:color w:val="auto"/>
                <w:highlight w:val="none"/>
              </w:rPr>
              <w:t>测试案例执行率达到100%，测试通过率95%</w:t>
            </w:r>
          </w:p>
        </w:tc>
      </w:tr>
      <w:tr w14:paraId="7EC98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F6ADC6">
            <w:pPr>
              <w:pStyle w:val="110"/>
              <w:jc w:val="center"/>
              <w:rPr>
                <w:color w:val="auto"/>
                <w:highlight w:val="none"/>
              </w:rPr>
            </w:pPr>
            <w:r>
              <w:rPr>
                <w:color w:val="auto"/>
                <w:highlight w:val="none"/>
              </w:rPr>
              <w:t>3</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498CAD6">
            <w:pPr>
              <w:pStyle w:val="110"/>
              <w:rPr>
                <w:color w:val="auto"/>
                <w:highlight w:val="none"/>
              </w:rPr>
            </w:pPr>
            <w:r>
              <w:rPr>
                <w:color w:val="auto"/>
                <w:highlight w:val="none"/>
              </w:rPr>
              <w:t>缺陷修复率达到95%</w:t>
            </w:r>
          </w:p>
        </w:tc>
      </w:tr>
      <w:tr w14:paraId="43555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110FB34">
            <w:pPr>
              <w:pStyle w:val="110"/>
              <w:jc w:val="center"/>
              <w:rPr>
                <w:color w:val="auto"/>
                <w:highlight w:val="none"/>
              </w:rPr>
            </w:pPr>
            <w:r>
              <w:rPr>
                <w:color w:val="auto"/>
                <w:highlight w:val="none"/>
              </w:rPr>
              <w:t>4</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2590EC4">
            <w:pPr>
              <w:pStyle w:val="110"/>
              <w:rPr>
                <w:color w:val="auto"/>
                <w:highlight w:val="none"/>
              </w:rPr>
            </w:pPr>
            <w:r>
              <w:rPr>
                <w:color w:val="auto"/>
                <w:highlight w:val="none"/>
              </w:rPr>
              <w:t>致命缺陷、严重缺陷解决率达到100%</w:t>
            </w:r>
          </w:p>
        </w:tc>
      </w:tr>
      <w:tr w14:paraId="6B7E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FA2448">
            <w:pPr>
              <w:pStyle w:val="110"/>
              <w:jc w:val="center"/>
              <w:rPr>
                <w:color w:val="auto"/>
                <w:highlight w:val="none"/>
              </w:rPr>
            </w:pPr>
            <w:r>
              <w:rPr>
                <w:color w:val="auto"/>
                <w:highlight w:val="none"/>
              </w:rPr>
              <w:t>5</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CEF2B6">
            <w:pPr>
              <w:pStyle w:val="110"/>
              <w:rPr>
                <w:color w:val="auto"/>
                <w:highlight w:val="none"/>
              </w:rPr>
            </w:pPr>
            <w:r>
              <w:rPr>
                <w:color w:val="auto"/>
                <w:highlight w:val="none"/>
              </w:rPr>
              <w:t>一般缺陷、微小缺陷解决率达到90%以上，建议缺陷解决率达到80%以上，且未解决缺陷得项目组认可</w:t>
            </w:r>
          </w:p>
        </w:tc>
      </w:tr>
      <w:tr w14:paraId="025C9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F42637">
            <w:pPr>
              <w:pStyle w:val="110"/>
              <w:jc w:val="center"/>
              <w:rPr>
                <w:color w:val="auto"/>
                <w:highlight w:val="none"/>
              </w:rPr>
            </w:pPr>
            <w:r>
              <w:rPr>
                <w:color w:val="auto"/>
                <w:highlight w:val="none"/>
              </w:rPr>
              <w:t>6</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91C710">
            <w:pPr>
              <w:pStyle w:val="110"/>
              <w:rPr>
                <w:color w:val="auto"/>
                <w:highlight w:val="none"/>
              </w:rPr>
            </w:pPr>
            <w:r>
              <w:rPr>
                <w:color w:val="auto"/>
                <w:highlight w:val="none"/>
              </w:rPr>
              <w:t>提交系统测试报告及通过评审</w:t>
            </w:r>
          </w:p>
        </w:tc>
      </w:tr>
      <w:tr w14:paraId="5F6FA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59E5E8F">
            <w:pPr>
              <w:pStyle w:val="111"/>
              <w:jc w:val="left"/>
              <w:rPr>
                <w:color w:val="auto"/>
                <w:highlight w:val="none"/>
              </w:rPr>
            </w:pPr>
            <w:r>
              <w:rPr>
                <w:color w:val="auto"/>
                <w:highlight w:val="none"/>
              </w:rPr>
              <w:t>四、测试指标公式附录</w:t>
            </w:r>
          </w:p>
        </w:tc>
      </w:tr>
      <w:tr w14:paraId="2102E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8277F0E">
            <w:pPr>
              <w:pStyle w:val="111"/>
              <w:rPr>
                <w:color w:val="auto"/>
                <w:highlight w:val="none"/>
              </w:rPr>
            </w:pPr>
            <w:r>
              <w:rPr>
                <w:color w:val="auto"/>
                <w:highlight w:val="none"/>
              </w:rPr>
              <w:t>TPI</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863C5A">
            <w:pPr>
              <w:pStyle w:val="111"/>
              <w:rPr>
                <w:color w:val="auto"/>
                <w:highlight w:val="none"/>
              </w:rPr>
            </w:pPr>
            <w:r>
              <w:rPr>
                <w:color w:val="auto"/>
                <w:highlight w:val="none"/>
              </w:rPr>
              <w:t>公式</w:t>
            </w:r>
          </w:p>
        </w:tc>
      </w:tr>
      <w:tr w14:paraId="51EB4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FE51168">
            <w:pPr>
              <w:pStyle w:val="110"/>
              <w:rPr>
                <w:color w:val="auto"/>
                <w:highlight w:val="none"/>
              </w:rPr>
            </w:pPr>
            <w:r>
              <w:rPr>
                <w:color w:val="auto"/>
                <w:highlight w:val="none"/>
              </w:rPr>
              <w:t>测试需求覆盖率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839689">
            <w:pPr>
              <w:pStyle w:val="110"/>
              <w:rPr>
                <w:color w:val="auto"/>
                <w:highlight w:val="none"/>
              </w:rPr>
            </w:pPr>
            <w:r>
              <w:rPr>
                <w:color w:val="auto"/>
                <w:highlight w:val="none"/>
              </w:rPr>
              <w:t>测试需求覆盖点/软件需求功能点</w:t>
            </w:r>
          </w:p>
        </w:tc>
      </w:tr>
      <w:tr w14:paraId="24945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275926">
            <w:pPr>
              <w:pStyle w:val="110"/>
              <w:rPr>
                <w:color w:val="auto"/>
                <w:highlight w:val="none"/>
              </w:rPr>
            </w:pPr>
            <w:r>
              <w:rPr>
                <w:color w:val="auto"/>
                <w:highlight w:val="none"/>
              </w:rPr>
              <w:t>有效案例总数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9435DE7">
            <w:pPr>
              <w:pStyle w:val="110"/>
              <w:rPr>
                <w:color w:val="auto"/>
                <w:highlight w:val="none"/>
              </w:rPr>
            </w:pPr>
            <w:r>
              <w:rPr>
                <w:color w:val="auto"/>
                <w:highlight w:val="none"/>
              </w:rPr>
              <w:t>案例总数-无效案例总数</w:t>
            </w:r>
          </w:p>
        </w:tc>
      </w:tr>
      <w:tr w14:paraId="0D951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F1827E4">
            <w:pPr>
              <w:pStyle w:val="110"/>
              <w:rPr>
                <w:color w:val="auto"/>
                <w:highlight w:val="none"/>
              </w:rPr>
            </w:pPr>
            <w:r>
              <w:rPr>
                <w:color w:val="auto"/>
                <w:highlight w:val="none"/>
              </w:rPr>
              <w:t>有效缺陷总数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4C7D1D">
            <w:pPr>
              <w:pStyle w:val="110"/>
              <w:rPr>
                <w:color w:val="auto"/>
                <w:highlight w:val="none"/>
              </w:rPr>
            </w:pPr>
            <w:r>
              <w:rPr>
                <w:color w:val="auto"/>
                <w:highlight w:val="none"/>
              </w:rPr>
              <w:t>缺陷总数-无效缺陷总数-伪缺陷总数</w:t>
            </w:r>
          </w:p>
        </w:tc>
      </w:tr>
      <w:tr w14:paraId="7B0B9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F79E72">
            <w:pPr>
              <w:pStyle w:val="110"/>
              <w:rPr>
                <w:color w:val="auto"/>
                <w:highlight w:val="none"/>
              </w:rPr>
            </w:pPr>
            <w:r>
              <w:rPr>
                <w:color w:val="auto"/>
                <w:highlight w:val="none"/>
              </w:rPr>
              <w:t>严重以上缺陷总数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D1655E">
            <w:pPr>
              <w:pStyle w:val="110"/>
              <w:rPr>
                <w:color w:val="auto"/>
                <w:highlight w:val="none"/>
              </w:rPr>
            </w:pPr>
            <w:r>
              <w:rPr>
                <w:color w:val="auto"/>
                <w:highlight w:val="none"/>
              </w:rPr>
              <w:t>严重及致命缺陷总数-无效的严重及致命缺陷总数</w:t>
            </w:r>
          </w:p>
        </w:tc>
      </w:tr>
      <w:tr w14:paraId="34D57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7CA911">
            <w:pPr>
              <w:pStyle w:val="110"/>
              <w:rPr>
                <w:color w:val="auto"/>
                <w:highlight w:val="none"/>
              </w:rPr>
            </w:pPr>
            <w:r>
              <w:rPr>
                <w:color w:val="auto"/>
                <w:highlight w:val="none"/>
              </w:rPr>
              <w:t>案例执行率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864E6E5">
            <w:pPr>
              <w:pStyle w:val="110"/>
              <w:rPr>
                <w:color w:val="auto"/>
                <w:highlight w:val="none"/>
              </w:rPr>
            </w:pPr>
            <w:r>
              <w:rPr>
                <w:color w:val="auto"/>
                <w:highlight w:val="none"/>
              </w:rPr>
              <w:t>每轮执行案例数/每轮计划执行的案例个数</w:t>
            </w:r>
          </w:p>
        </w:tc>
      </w:tr>
      <w:tr w14:paraId="28C01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D931CB8">
            <w:pPr>
              <w:pStyle w:val="110"/>
              <w:rPr>
                <w:color w:val="auto"/>
                <w:highlight w:val="none"/>
              </w:rPr>
            </w:pPr>
            <w:r>
              <w:rPr>
                <w:color w:val="auto"/>
                <w:highlight w:val="none"/>
              </w:rPr>
              <w:t>需求稳定指数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730241">
            <w:pPr>
              <w:pStyle w:val="110"/>
              <w:rPr>
                <w:color w:val="auto"/>
                <w:highlight w:val="none"/>
              </w:rPr>
            </w:pPr>
            <w:r>
              <w:rPr>
                <w:color w:val="auto"/>
                <w:highlight w:val="none"/>
              </w:rPr>
              <w:t>（测试需求分析中规则数量-业务需求因素引起变更的测试需求规则数-开发因素引起变更的测试需求规则数）/测试需求分析中规则数量</w:t>
            </w:r>
          </w:p>
        </w:tc>
      </w:tr>
      <w:tr w14:paraId="3C5EF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977AC01">
            <w:pPr>
              <w:pStyle w:val="110"/>
              <w:rPr>
                <w:color w:val="auto"/>
                <w:highlight w:val="none"/>
              </w:rPr>
            </w:pPr>
            <w:r>
              <w:rPr>
                <w:color w:val="auto"/>
                <w:highlight w:val="none"/>
              </w:rPr>
              <w:t>案例执行通过率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B436DF">
            <w:pPr>
              <w:pStyle w:val="110"/>
              <w:rPr>
                <w:color w:val="auto"/>
                <w:highlight w:val="none"/>
              </w:rPr>
            </w:pPr>
            <w:r>
              <w:rPr>
                <w:color w:val="auto"/>
                <w:highlight w:val="none"/>
              </w:rPr>
              <w:t>每轮执行通过的案例个数/每轮执行案例数</w:t>
            </w:r>
          </w:p>
        </w:tc>
      </w:tr>
      <w:tr w14:paraId="1CC34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65697C19">
            <w:pPr>
              <w:pStyle w:val="110"/>
              <w:rPr>
                <w:color w:val="auto"/>
                <w:highlight w:val="none"/>
              </w:rPr>
            </w:pPr>
            <w:r>
              <w:rPr>
                <w:color w:val="auto"/>
                <w:highlight w:val="none"/>
              </w:rPr>
              <w:t>缺陷的案例命中率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619F20DF">
            <w:pPr>
              <w:pStyle w:val="110"/>
              <w:rPr>
                <w:color w:val="auto"/>
                <w:highlight w:val="none"/>
              </w:rPr>
            </w:pPr>
            <w:r>
              <w:rPr>
                <w:color w:val="auto"/>
                <w:highlight w:val="none"/>
              </w:rPr>
              <w:t>有效缺陷总数/有效案例总数</w:t>
            </w:r>
          </w:p>
        </w:tc>
      </w:tr>
      <w:tr w14:paraId="2CC3E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076DADCB">
            <w:pPr>
              <w:pStyle w:val="110"/>
              <w:rPr>
                <w:color w:val="auto"/>
                <w:highlight w:val="none"/>
              </w:rPr>
            </w:pPr>
            <w:r>
              <w:rPr>
                <w:color w:val="auto"/>
                <w:highlight w:val="none"/>
              </w:rPr>
              <w:t>严重以上缺陷占比</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7270127D">
            <w:pPr>
              <w:pStyle w:val="110"/>
              <w:rPr>
                <w:color w:val="auto"/>
                <w:highlight w:val="none"/>
              </w:rPr>
            </w:pPr>
            <w:r>
              <w:rPr>
                <w:color w:val="auto"/>
                <w:highlight w:val="none"/>
              </w:rPr>
              <w:t>严重以上缺陷总数/有效缺陷总数</w:t>
            </w:r>
          </w:p>
        </w:tc>
      </w:tr>
      <w:tr w14:paraId="25AB0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3DCCF6E1">
            <w:pPr>
              <w:pStyle w:val="110"/>
              <w:rPr>
                <w:color w:val="auto"/>
                <w:highlight w:val="none"/>
              </w:rPr>
            </w:pPr>
            <w:r>
              <w:rPr>
                <w:color w:val="auto"/>
                <w:highlight w:val="none"/>
              </w:rPr>
              <w:t>缺陷解决率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2BA5B920">
            <w:pPr>
              <w:pStyle w:val="110"/>
              <w:rPr>
                <w:color w:val="auto"/>
                <w:highlight w:val="none"/>
              </w:rPr>
            </w:pPr>
            <w:r>
              <w:rPr>
                <w:color w:val="auto"/>
                <w:highlight w:val="none"/>
              </w:rPr>
              <w:t>关闭缺陷总数/有效缺陷总数</w:t>
            </w:r>
          </w:p>
        </w:tc>
      </w:tr>
    </w:tbl>
    <w:p w14:paraId="2BEF4934">
      <w:pPr>
        <w:pStyle w:val="4"/>
        <w:rPr>
          <w:color w:val="auto"/>
          <w:highlight w:val="none"/>
        </w:rPr>
      </w:pPr>
      <w:r>
        <w:rPr>
          <w:color w:val="auto"/>
          <w:highlight w:val="none"/>
        </w:rPr>
        <w:t>4.</w:t>
      </w:r>
      <w:r>
        <w:rPr>
          <w:rFonts w:hint="eastAsia"/>
          <w:color w:val="auto"/>
          <w:highlight w:val="none"/>
        </w:rPr>
        <w:t xml:space="preserve"> </w:t>
      </w:r>
      <w:r>
        <w:rPr>
          <w:color w:val="auto"/>
          <w:highlight w:val="none"/>
        </w:rPr>
        <w:t>人员要求</w:t>
      </w:r>
    </w:p>
    <w:p w14:paraId="3E41B6B4">
      <w:pPr>
        <w:snapToGrid w:val="0"/>
        <w:ind w:firstLine="420"/>
        <w:rPr>
          <w:rFonts w:cs="Times New Roman"/>
          <w:b/>
          <w:color w:val="auto"/>
          <w:szCs w:val="24"/>
          <w:highlight w:val="none"/>
        </w:rPr>
      </w:pPr>
      <w:bookmarkStart w:id="50" w:name="_Toc89675142"/>
      <w:r>
        <w:rPr>
          <w:rFonts w:cs="Times New Roman"/>
          <w:color w:val="auto"/>
          <w:highlight w:val="none"/>
        </w:rPr>
        <w:t>1）参选人应承诺未征得比选人书面同意的情况下不得更换项目成员。</w:t>
      </w:r>
      <w:bookmarkEnd w:id="50"/>
    </w:p>
    <w:p w14:paraId="4436662B">
      <w:pPr>
        <w:snapToGrid w:val="0"/>
        <w:ind w:firstLine="420"/>
        <w:rPr>
          <w:color w:val="auto"/>
          <w:highlight w:val="none"/>
        </w:rPr>
      </w:pPr>
      <w:r>
        <w:rPr>
          <w:rFonts w:cs="Times New Roman"/>
          <w:color w:val="auto"/>
          <w:highlight w:val="none"/>
        </w:rPr>
        <w:t>2）</w:t>
      </w:r>
      <w:r>
        <w:rPr>
          <w:rFonts w:cs="Times New Roman"/>
          <w:snapToGrid w:val="0"/>
          <w:color w:val="auto"/>
          <w:kern w:val="0"/>
          <w:szCs w:val="28"/>
          <w:highlight w:val="none"/>
        </w:rPr>
        <w:t>所有成员必须为</w:t>
      </w:r>
      <w:r>
        <w:rPr>
          <w:rFonts w:cs="Times New Roman"/>
          <w:color w:val="auto"/>
          <w:highlight w:val="none"/>
        </w:rPr>
        <w:t>参选人</w:t>
      </w:r>
      <w:r>
        <w:rPr>
          <w:rFonts w:cs="Times New Roman"/>
          <w:snapToGrid w:val="0"/>
          <w:color w:val="auto"/>
          <w:kern w:val="0"/>
          <w:szCs w:val="28"/>
          <w:highlight w:val="none"/>
        </w:rPr>
        <w:t>单位员工，</w:t>
      </w:r>
      <w:r>
        <w:rPr>
          <w:rFonts w:cs="Times New Roman"/>
          <w:b/>
          <w:color w:val="auto"/>
          <w:highlight w:val="none"/>
        </w:rPr>
        <w:t>参选人</w:t>
      </w:r>
      <w:r>
        <w:rPr>
          <w:rFonts w:cs="Times New Roman"/>
          <w:b/>
          <w:snapToGrid w:val="0"/>
          <w:color w:val="auto"/>
          <w:kern w:val="0"/>
          <w:szCs w:val="28"/>
          <w:highlight w:val="none"/>
        </w:rPr>
        <w:t>项目组成员须提供近三个月公司为其缴纳社保的证明材料，不得外包其他单位员工。（</w:t>
      </w:r>
      <w:r>
        <w:rPr>
          <w:rFonts w:hint="eastAsia"/>
          <w:b/>
          <w:snapToGrid w:val="0"/>
          <w:color w:val="auto"/>
          <w:kern w:val="0"/>
          <w:szCs w:val="28"/>
          <w:highlight w:val="none"/>
        </w:rPr>
        <w:t>员工</w:t>
      </w:r>
      <w:r>
        <w:rPr>
          <w:b/>
          <w:snapToGrid w:val="0"/>
          <w:color w:val="auto"/>
          <w:kern w:val="0"/>
          <w:szCs w:val="28"/>
          <w:highlight w:val="none"/>
        </w:rPr>
        <w:t>参保单位为参选人或委托第三方公司代缴，均认定有效；若员工社保委托第三方公司代缴，需提供代缴材料证明</w:t>
      </w:r>
      <w:r>
        <w:rPr>
          <w:rFonts w:hint="eastAsia"/>
          <w:b/>
          <w:snapToGrid w:val="0"/>
          <w:color w:val="auto"/>
          <w:kern w:val="0"/>
          <w:szCs w:val="28"/>
          <w:highlight w:val="none"/>
        </w:rPr>
        <w:t>与</w:t>
      </w:r>
      <w:r>
        <w:rPr>
          <w:b/>
          <w:snapToGrid w:val="0"/>
          <w:color w:val="auto"/>
          <w:kern w:val="0"/>
          <w:szCs w:val="28"/>
          <w:highlight w:val="none"/>
        </w:rPr>
        <w:t>第三方签订的合同或协议</w:t>
      </w:r>
      <w:r>
        <w:rPr>
          <w:rFonts w:hint="eastAsia"/>
          <w:b/>
          <w:snapToGrid w:val="0"/>
          <w:color w:val="auto"/>
          <w:kern w:val="0"/>
          <w:szCs w:val="28"/>
          <w:highlight w:val="none"/>
        </w:rPr>
        <w:t>。总公司</w:t>
      </w:r>
      <w:r>
        <w:rPr>
          <w:b/>
          <w:snapToGrid w:val="0"/>
          <w:color w:val="auto"/>
          <w:kern w:val="0"/>
          <w:szCs w:val="28"/>
          <w:highlight w:val="none"/>
        </w:rPr>
        <w:t>参选的，分公司员工可计算入内</w:t>
      </w:r>
      <w:r>
        <w:rPr>
          <w:rFonts w:hint="eastAsia"/>
          <w:b/>
          <w:snapToGrid w:val="0"/>
          <w:color w:val="auto"/>
          <w:kern w:val="0"/>
          <w:szCs w:val="28"/>
          <w:highlight w:val="none"/>
        </w:rPr>
        <w:t>，</w:t>
      </w:r>
      <w:r>
        <w:rPr>
          <w:b/>
          <w:snapToGrid w:val="0"/>
          <w:color w:val="auto"/>
          <w:kern w:val="0"/>
          <w:szCs w:val="28"/>
          <w:highlight w:val="none"/>
        </w:rPr>
        <w:t>子公司不计算入内</w:t>
      </w:r>
      <w:r>
        <w:rPr>
          <w:rFonts w:hint="eastAsia"/>
          <w:b/>
          <w:snapToGrid w:val="0"/>
          <w:color w:val="auto"/>
          <w:kern w:val="0"/>
          <w:szCs w:val="28"/>
          <w:highlight w:val="none"/>
        </w:rPr>
        <w:t>。分支机构</w:t>
      </w:r>
      <w:r>
        <w:rPr>
          <w:b/>
          <w:snapToGrid w:val="0"/>
          <w:color w:val="auto"/>
          <w:kern w:val="0"/>
          <w:szCs w:val="28"/>
          <w:highlight w:val="none"/>
        </w:rPr>
        <w:t>参选的，总公司人员不计算入内</w:t>
      </w:r>
      <w:r>
        <w:rPr>
          <w:rFonts w:hint="eastAsia"/>
          <w:b/>
          <w:snapToGrid w:val="0"/>
          <w:color w:val="auto"/>
          <w:kern w:val="0"/>
          <w:szCs w:val="28"/>
          <w:highlight w:val="none"/>
        </w:rPr>
        <w:t>。）</w:t>
      </w:r>
      <w:r>
        <w:rPr>
          <w:rFonts w:hint="eastAsia"/>
          <w:color w:val="auto"/>
          <w:highlight w:val="none"/>
        </w:rPr>
        <w:t>【提供近三个月公司为项目组成员缴纳社保的证明材料】</w:t>
      </w:r>
    </w:p>
    <w:tbl>
      <w:tblPr>
        <w:tblStyle w:val="8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641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6BEAEB12">
            <w:pPr>
              <w:spacing w:line="240" w:lineRule="auto"/>
              <w:ind w:firstLine="0" w:firstLineChars="0"/>
              <w:rPr>
                <w:rFonts w:cs="Times New Roman"/>
                <w:color w:val="auto"/>
                <w:szCs w:val="24"/>
                <w:highlight w:val="none"/>
              </w:rPr>
            </w:pPr>
            <w:r>
              <w:rPr>
                <w:rFonts w:cs="Times New Roman"/>
                <w:color w:val="auto"/>
                <w:szCs w:val="24"/>
                <w:highlight w:val="none"/>
              </w:rPr>
              <w:t>项目经理</w:t>
            </w:r>
          </w:p>
        </w:tc>
        <w:tc>
          <w:tcPr>
            <w:tcW w:w="7660" w:type="dxa"/>
            <w:tcBorders>
              <w:top w:val="single" w:color="auto" w:sz="4" w:space="0"/>
              <w:left w:val="single" w:color="auto" w:sz="4" w:space="0"/>
              <w:bottom w:val="single" w:color="auto" w:sz="4" w:space="0"/>
              <w:right w:val="single" w:color="auto" w:sz="4" w:space="0"/>
            </w:tcBorders>
            <w:noWrap/>
          </w:tcPr>
          <w:p w14:paraId="6F876F81">
            <w:pPr>
              <w:spacing w:line="240" w:lineRule="auto"/>
              <w:ind w:firstLine="0" w:firstLineChars="0"/>
              <w:rPr>
                <w:rFonts w:cs="Times New Roman"/>
                <w:color w:val="auto"/>
                <w:szCs w:val="24"/>
                <w:highlight w:val="none"/>
              </w:rPr>
            </w:pPr>
            <w:r>
              <w:rPr>
                <w:rFonts w:cs="Times New Roman"/>
                <w:color w:val="auto"/>
                <w:szCs w:val="24"/>
                <w:highlight w:val="none"/>
              </w:rPr>
              <w:t>主导过三个以上同类项目和具有五年（含）以上项目经理工作经验，具有独当一面的技术能力；直接对项目的实施负责，通过对工期、成本、质量的控制（包括总体制定、执行、跟踪、调整相关计划，协调项目可用资源），确保项目按要求完成。</w:t>
            </w:r>
          </w:p>
        </w:tc>
      </w:tr>
      <w:tr w14:paraId="3BC4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2356446C">
            <w:pPr>
              <w:spacing w:line="240" w:lineRule="auto"/>
              <w:ind w:firstLine="0" w:firstLineChars="0"/>
              <w:rPr>
                <w:rFonts w:cs="Times New Roman"/>
                <w:color w:val="auto"/>
                <w:szCs w:val="24"/>
                <w:highlight w:val="none"/>
              </w:rPr>
            </w:pPr>
            <w:r>
              <w:rPr>
                <w:rFonts w:cs="Times New Roman"/>
                <w:color w:val="auto"/>
                <w:szCs w:val="24"/>
                <w:highlight w:val="none"/>
              </w:rPr>
              <w:t>项目组交付人员</w:t>
            </w:r>
          </w:p>
        </w:tc>
        <w:tc>
          <w:tcPr>
            <w:tcW w:w="7660" w:type="dxa"/>
            <w:tcBorders>
              <w:top w:val="single" w:color="auto" w:sz="4" w:space="0"/>
              <w:left w:val="single" w:color="auto" w:sz="4" w:space="0"/>
              <w:bottom w:val="single" w:color="auto" w:sz="4" w:space="0"/>
              <w:right w:val="single" w:color="auto" w:sz="4" w:space="0"/>
            </w:tcBorders>
            <w:noWrap/>
          </w:tcPr>
          <w:p w14:paraId="78DF870E">
            <w:pPr>
              <w:spacing w:line="240" w:lineRule="auto"/>
              <w:ind w:firstLine="0" w:firstLineChars="0"/>
              <w:rPr>
                <w:rFonts w:cs="Times New Roman"/>
                <w:color w:val="auto"/>
                <w:szCs w:val="24"/>
                <w:highlight w:val="none"/>
              </w:rPr>
            </w:pPr>
            <w:r>
              <w:rPr>
                <w:rFonts w:cs="Times New Roman"/>
                <w:color w:val="auto"/>
                <w:szCs w:val="24"/>
                <w:highlight w:val="none"/>
              </w:rPr>
              <w:t>具有两年（含）以上金融业（银行业、保险业、信托业、证券业和租赁业）相关系统交付经验。</w:t>
            </w:r>
          </w:p>
        </w:tc>
      </w:tr>
    </w:tbl>
    <w:p w14:paraId="7C158A21">
      <w:pPr>
        <w:ind w:firstLine="420"/>
        <w:rPr>
          <w:rFonts w:cs="Times New Roman"/>
          <w:snapToGrid w:val="0"/>
          <w:color w:val="auto"/>
          <w:kern w:val="0"/>
          <w:highlight w:val="none"/>
        </w:rPr>
      </w:pPr>
      <w:r>
        <w:rPr>
          <w:rFonts w:cs="Times New Roman"/>
          <w:color w:val="auto"/>
          <w:highlight w:val="none"/>
        </w:rPr>
        <w:t>3）</w:t>
      </w:r>
      <w:r>
        <w:rPr>
          <w:color w:val="auto"/>
          <w:highlight w:val="none"/>
        </w:rPr>
        <w:t>需提供人员简历信息（可参照第六章响应承诺中项目组成员简历信息）</w:t>
      </w:r>
      <w:r>
        <w:rPr>
          <w:rFonts w:hint="eastAsia"/>
          <w:color w:val="auto"/>
          <w:highlight w:val="none"/>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比选项目的项目组成员参与开发建设。</w:t>
      </w:r>
      <w:r>
        <w:rPr>
          <w:color w:val="auto"/>
          <w:highlight w:val="none"/>
        </w:rPr>
        <w:t>同时，比选人将对所提供的人员进行审核，达不到比选人要求的将要求替换，最终审核通过的项目组成员在合同签订时不得进行更换。</w:t>
      </w:r>
      <w:r>
        <w:rPr>
          <w:rFonts w:hint="eastAsia"/>
          <w:color w:val="auto"/>
          <w:highlight w:val="none"/>
        </w:rPr>
        <w:t>【提供</w:t>
      </w:r>
      <w:r>
        <w:rPr>
          <w:color w:val="auto"/>
          <w:highlight w:val="none"/>
        </w:rPr>
        <w:t>项目组成员简历信息</w:t>
      </w:r>
      <w:r>
        <w:rPr>
          <w:rFonts w:hint="eastAsia"/>
          <w:color w:val="auto"/>
          <w:highlight w:val="none"/>
        </w:rPr>
        <w:t>】</w:t>
      </w:r>
    </w:p>
    <w:p w14:paraId="6BC805F1">
      <w:pPr>
        <w:ind w:firstLine="420"/>
        <w:rPr>
          <w:rFonts w:cs="Times New Roman"/>
          <w:color w:val="auto"/>
          <w:highlight w:val="none"/>
        </w:rPr>
      </w:pPr>
      <w:r>
        <w:rPr>
          <w:rFonts w:cs="Times New Roman"/>
          <w:color w:val="auto"/>
          <w:highlight w:val="none"/>
        </w:rPr>
        <w:t>4）</w:t>
      </w:r>
      <w:r>
        <w:rPr>
          <w:rFonts w:cs="Times New Roman"/>
          <w:color w:val="auto"/>
          <w:szCs w:val="24"/>
          <w:highlight w:val="none"/>
        </w:rPr>
        <w:t>项目组成员若有违约违规行为将由参选人承担责任。</w:t>
      </w:r>
    </w:p>
    <w:p w14:paraId="59B90A98">
      <w:pPr>
        <w:pStyle w:val="4"/>
        <w:ind w:left="360" w:hanging="360"/>
        <w:rPr>
          <w:color w:val="auto"/>
          <w:highlight w:val="none"/>
        </w:rPr>
      </w:pPr>
      <w:r>
        <w:rPr>
          <w:color w:val="auto"/>
          <w:highlight w:val="none"/>
        </w:rPr>
        <w:t>5.</w:t>
      </w:r>
      <w:r>
        <w:rPr>
          <w:rFonts w:hint="eastAsia"/>
          <w:color w:val="auto"/>
          <w:highlight w:val="none"/>
        </w:rPr>
        <w:t xml:space="preserve"> </w:t>
      </w:r>
      <w:r>
        <w:rPr>
          <w:color w:val="auto"/>
          <w:highlight w:val="none"/>
        </w:rPr>
        <w:t>项目实施要求</w:t>
      </w:r>
    </w:p>
    <w:p w14:paraId="278332E0">
      <w:pPr>
        <w:ind w:firstLine="420"/>
        <w:rPr>
          <w:rFonts w:cs="Times New Roman"/>
          <w:color w:val="auto"/>
          <w:highlight w:val="none"/>
        </w:rPr>
      </w:pPr>
      <w:r>
        <w:rPr>
          <w:rFonts w:cs="Times New Roman"/>
          <w:color w:val="auto"/>
          <w:highlight w:val="none"/>
        </w:rPr>
        <w:t>在本项目实施周期内，如遇到原系统功能与需求不符，需要及时调整实施方案，满足比选人的要求，并征得比选人同意方可变更。</w:t>
      </w:r>
    </w:p>
    <w:p w14:paraId="3627C3D5">
      <w:pPr>
        <w:ind w:firstLine="420"/>
        <w:rPr>
          <w:rFonts w:cs="Times New Roman"/>
          <w:color w:val="auto"/>
          <w:highlight w:val="none"/>
        </w:rPr>
      </w:pPr>
      <w:r>
        <w:rPr>
          <w:rFonts w:hint="eastAsia" w:cs="Times New Roman"/>
          <w:color w:val="auto"/>
          <w:highlight w:val="none"/>
        </w:rPr>
        <w:t>中</w:t>
      </w:r>
      <w:r>
        <w:rPr>
          <w:rFonts w:cs="Times New Roman"/>
          <w:color w:val="auto"/>
          <w:highlight w:val="none"/>
        </w:rPr>
        <w:t>选人在项目实施过程中，需按照比选人项目管理规范提供相应文档（所有提交文档必须为中文）。</w:t>
      </w:r>
    </w:p>
    <w:p w14:paraId="346C2B9D">
      <w:pPr>
        <w:ind w:firstLine="420"/>
        <w:rPr>
          <w:rFonts w:cs="Times New Roman"/>
          <w:color w:val="auto"/>
          <w:highlight w:val="none"/>
        </w:rPr>
      </w:pPr>
      <w:r>
        <w:rPr>
          <w:rFonts w:cs="Times New Roman"/>
          <w:color w:val="auto"/>
          <w:highlight w:val="none"/>
        </w:rPr>
        <w:t>本项目为现场开发，原则上不允许远程开发模式，除非得到比选人的明确认可和授权。</w:t>
      </w:r>
    </w:p>
    <w:p w14:paraId="69E64AB6">
      <w:pPr>
        <w:pStyle w:val="4"/>
        <w:ind w:left="360" w:hanging="360"/>
        <w:rPr>
          <w:color w:val="auto"/>
          <w:highlight w:val="none"/>
        </w:rPr>
      </w:pPr>
      <w:r>
        <w:rPr>
          <w:color w:val="auto"/>
          <w:highlight w:val="none"/>
        </w:rPr>
        <w:t>6.</w:t>
      </w:r>
      <w:r>
        <w:rPr>
          <w:rFonts w:hint="eastAsia"/>
          <w:color w:val="auto"/>
          <w:highlight w:val="none"/>
        </w:rPr>
        <w:t xml:space="preserve"> </w:t>
      </w:r>
      <w:r>
        <w:rPr>
          <w:color w:val="auto"/>
          <w:highlight w:val="none"/>
        </w:rPr>
        <w:t>项目源代码要求</w:t>
      </w:r>
    </w:p>
    <w:p w14:paraId="6A15A784">
      <w:pPr>
        <w:ind w:firstLine="420"/>
        <w:rPr>
          <w:rFonts w:cs="Times New Roman"/>
          <w:color w:val="auto"/>
          <w:highlight w:val="none"/>
        </w:rPr>
      </w:pPr>
      <w:r>
        <w:rPr>
          <w:rFonts w:cs="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w:t>
      </w:r>
    </w:p>
    <w:p w14:paraId="6AF55CC4">
      <w:pPr>
        <w:pStyle w:val="4"/>
        <w:ind w:left="360" w:hanging="360"/>
        <w:rPr>
          <w:color w:val="auto"/>
          <w:highlight w:val="none"/>
        </w:rPr>
      </w:pPr>
      <w:r>
        <w:rPr>
          <w:color w:val="auto"/>
          <w:highlight w:val="none"/>
        </w:rPr>
        <w:t>7.</w:t>
      </w:r>
      <w:r>
        <w:rPr>
          <w:rFonts w:hint="eastAsia"/>
          <w:color w:val="auto"/>
          <w:highlight w:val="none"/>
        </w:rPr>
        <w:t xml:space="preserve"> 交付周期、地点</w:t>
      </w:r>
    </w:p>
    <w:p w14:paraId="23E20B03">
      <w:pPr>
        <w:pStyle w:val="5"/>
        <w:ind w:firstLine="420"/>
        <w:rPr>
          <w:rFonts w:cs="Times New Roman"/>
          <w:b w:val="0"/>
          <w:bCs w:val="0"/>
          <w:color w:val="auto"/>
          <w:highlight w:val="none"/>
        </w:rPr>
      </w:pPr>
      <w:bookmarkStart w:id="51" w:name="_Toc10458"/>
      <w:r>
        <w:rPr>
          <w:rFonts w:cs="Times New Roman"/>
          <w:b w:val="0"/>
          <w:bCs w:val="0"/>
          <w:color w:val="auto"/>
          <w:highlight w:val="none"/>
        </w:rPr>
        <w:t>7.1 交付时间</w:t>
      </w:r>
      <w:bookmarkEnd w:id="51"/>
    </w:p>
    <w:p w14:paraId="7F8A2C87">
      <w:pPr>
        <w:ind w:firstLine="420"/>
        <w:rPr>
          <w:rFonts w:cs="Times New Roman"/>
          <w:color w:val="auto"/>
          <w:highlight w:val="none"/>
        </w:rPr>
      </w:pPr>
      <w:r>
        <w:rPr>
          <w:rFonts w:cs="Times New Roman"/>
          <w:color w:val="auto"/>
          <w:highlight w:val="none"/>
        </w:rPr>
        <w:t>以项目合同为准。</w:t>
      </w:r>
    </w:p>
    <w:p w14:paraId="5FBBACCE">
      <w:pPr>
        <w:pStyle w:val="5"/>
        <w:ind w:firstLine="422"/>
        <w:rPr>
          <w:rFonts w:cs="Times New Roman"/>
          <w:color w:val="auto"/>
          <w:highlight w:val="none"/>
        </w:rPr>
      </w:pPr>
      <w:bookmarkStart w:id="52" w:name="_Toc27528"/>
      <w:r>
        <w:rPr>
          <w:rFonts w:cs="Times New Roman"/>
          <w:color w:val="auto"/>
          <w:highlight w:val="none"/>
        </w:rPr>
        <w:t>7.2 实施及交付地点</w:t>
      </w:r>
      <w:bookmarkEnd w:id="52"/>
    </w:p>
    <w:p w14:paraId="7892D838">
      <w:pPr>
        <w:ind w:firstLine="420"/>
        <w:rPr>
          <w:rFonts w:cs="Times New Roman"/>
          <w:color w:val="auto"/>
          <w:highlight w:val="none"/>
        </w:rPr>
      </w:pPr>
      <w:r>
        <w:rPr>
          <w:rFonts w:cs="Times New Roman"/>
          <w:color w:val="auto"/>
          <w:highlight w:val="none"/>
        </w:rPr>
        <w:t>比选人指定地点。</w:t>
      </w:r>
    </w:p>
    <w:p w14:paraId="760C064B">
      <w:pPr>
        <w:pStyle w:val="4"/>
        <w:ind w:left="360" w:hanging="360"/>
        <w:rPr>
          <w:color w:val="auto"/>
          <w:highlight w:val="none"/>
        </w:rPr>
      </w:pPr>
      <w:bookmarkStart w:id="53" w:name="_Toc9164"/>
      <w:r>
        <w:rPr>
          <w:color w:val="auto"/>
          <w:highlight w:val="none"/>
        </w:rPr>
        <w:t>8.</w:t>
      </w:r>
      <w:r>
        <w:rPr>
          <w:rFonts w:hint="eastAsia"/>
          <w:color w:val="auto"/>
          <w:highlight w:val="none"/>
        </w:rPr>
        <w:t xml:space="preserve"> </w:t>
      </w:r>
      <w:r>
        <w:rPr>
          <w:color w:val="auto"/>
          <w:highlight w:val="none"/>
        </w:rPr>
        <w:t>验收测试</w:t>
      </w:r>
      <w:bookmarkEnd w:id="53"/>
    </w:p>
    <w:p w14:paraId="45406A50">
      <w:pPr>
        <w:pStyle w:val="5"/>
        <w:ind w:firstLine="422"/>
        <w:rPr>
          <w:rFonts w:cs="Times New Roman"/>
          <w:color w:val="auto"/>
          <w:szCs w:val="20"/>
          <w:highlight w:val="none"/>
        </w:rPr>
      </w:pPr>
      <w:bookmarkStart w:id="54" w:name="_Toc32199"/>
      <w:r>
        <w:rPr>
          <w:rFonts w:cs="Times New Roman"/>
          <w:color w:val="auto"/>
          <w:szCs w:val="20"/>
          <w:highlight w:val="none"/>
        </w:rPr>
        <w:t>8.1 验收测试的范围</w:t>
      </w:r>
      <w:bookmarkEnd w:id="54"/>
    </w:p>
    <w:p w14:paraId="34896063">
      <w:pPr>
        <w:ind w:firstLine="420"/>
        <w:rPr>
          <w:rFonts w:cs="Times New Roman"/>
          <w:color w:val="auto"/>
          <w:highlight w:val="none"/>
        </w:rPr>
      </w:pPr>
      <w:r>
        <w:rPr>
          <w:rFonts w:cs="Times New Roman"/>
          <w:color w:val="auto"/>
          <w:highlight w:val="none"/>
        </w:rPr>
        <w:t>验收测试的范围为项目实施完毕，上线前最终确认的所有需求。</w:t>
      </w:r>
    </w:p>
    <w:p w14:paraId="759744F2">
      <w:pPr>
        <w:pStyle w:val="5"/>
        <w:ind w:firstLine="422"/>
        <w:rPr>
          <w:rFonts w:cs="Times New Roman"/>
          <w:color w:val="auto"/>
          <w:szCs w:val="20"/>
          <w:highlight w:val="none"/>
        </w:rPr>
      </w:pPr>
      <w:bookmarkStart w:id="55" w:name="_Toc7279"/>
      <w:r>
        <w:rPr>
          <w:rFonts w:cs="Times New Roman"/>
          <w:color w:val="auto"/>
          <w:szCs w:val="20"/>
          <w:highlight w:val="none"/>
        </w:rPr>
        <w:t>8.2 验收测试的组织</w:t>
      </w:r>
      <w:bookmarkEnd w:id="55"/>
    </w:p>
    <w:p w14:paraId="27952C03">
      <w:pPr>
        <w:ind w:firstLine="420"/>
        <w:rPr>
          <w:rFonts w:cs="Times New Roman"/>
          <w:color w:val="auto"/>
          <w:highlight w:val="none"/>
        </w:rPr>
      </w:pPr>
      <w:r>
        <w:rPr>
          <w:rFonts w:cs="Times New Roman"/>
          <w:color w:val="auto"/>
          <w:highlight w:val="none"/>
        </w:rPr>
        <w:t>比选人根据验收范围对项目进行验收，验收过程中</w:t>
      </w:r>
      <w:r>
        <w:rPr>
          <w:rFonts w:hint="eastAsia" w:cs="Times New Roman"/>
          <w:color w:val="auto"/>
          <w:highlight w:val="none"/>
        </w:rPr>
        <w:t>中</w:t>
      </w:r>
      <w:r>
        <w:rPr>
          <w:rFonts w:cs="Times New Roman"/>
          <w:color w:val="auto"/>
          <w:highlight w:val="none"/>
        </w:rPr>
        <w:t>选人需根据比选人提出的验收意见对系统进行及时优化，出现严重缺陷或质量问题时，比选人可以决定暂停所有验收工作，直至缺陷和问题得到纠正，造成比选人损失的，由中选人承担。</w:t>
      </w:r>
    </w:p>
    <w:p w14:paraId="006E4A29">
      <w:pPr>
        <w:pStyle w:val="5"/>
        <w:ind w:firstLine="422"/>
        <w:rPr>
          <w:rFonts w:cs="Times New Roman"/>
          <w:color w:val="auto"/>
          <w:szCs w:val="20"/>
          <w:highlight w:val="none"/>
        </w:rPr>
      </w:pPr>
      <w:bookmarkStart w:id="56" w:name="_Toc23523"/>
      <w:r>
        <w:rPr>
          <w:rFonts w:cs="Times New Roman"/>
          <w:color w:val="auto"/>
          <w:szCs w:val="20"/>
          <w:highlight w:val="none"/>
        </w:rPr>
        <w:t>8.3 验收测试的程序</w:t>
      </w:r>
      <w:bookmarkEnd w:id="56"/>
    </w:p>
    <w:p w14:paraId="358F5291">
      <w:pPr>
        <w:ind w:firstLine="420"/>
        <w:rPr>
          <w:rFonts w:cs="Times New Roman"/>
          <w:color w:val="auto"/>
          <w:highlight w:val="none"/>
        </w:rPr>
      </w:pPr>
      <w:r>
        <w:rPr>
          <w:rFonts w:cs="Times New Roman"/>
          <w:color w:val="auto"/>
          <w:highlight w:val="none"/>
        </w:rPr>
        <w:t>1）对各功能模块进行测试；</w:t>
      </w:r>
    </w:p>
    <w:p w14:paraId="61DC0BC6">
      <w:pPr>
        <w:ind w:firstLine="420"/>
        <w:rPr>
          <w:rFonts w:cs="Times New Roman"/>
          <w:color w:val="auto"/>
          <w:highlight w:val="none"/>
        </w:rPr>
      </w:pPr>
      <w:r>
        <w:rPr>
          <w:rFonts w:cs="Times New Roman"/>
          <w:color w:val="auto"/>
          <w:highlight w:val="none"/>
        </w:rPr>
        <w:t>2）在各功能模块测试合格的前提下，对系统进行全面初验；</w:t>
      </w:r>
    </w:p>
    <w:p w14:paraId="1D39A877">
      <w:pPr>
        <w:ind w:firstLine="420"/>
        <w:rPr>
          <w:rFonts w:cs="Times New Roman"/>
          <w:color w:val="auto"/>
          <w:highlight w:val="none"/>
        </w:rPr>
      </w:pPr>
      <w:r>
        <w:rPr>
          <w:rFonts w:cs="Times New Roman"/>
          <w:color w:val="auto"/>
          <w:highlight w:val="none"/>
        </w:rPr>
        <w:t>3）系统验收测试合格后，进入试运行阶段；</w:t>
      </w:r>
    </w:p>
    <w:p w14:paraId="648CE8D5">
      <w:pPr>
        <w:ind w:firstLine="420"/>
        <w:rPr>
          <w:rFonts w:cs="Times New Roman"/>
          <w:color w:val="auto"/>
          <w:highlight w:val="none"/>
        </w:rPr>
      </w:pPr>
      <w:r>
        <w:rPr>
          <w:rFonts w:cs="Times New Roman"/>
          <w:color w:val="auto"/>
          <w:highlight w:val="none"/>
        </w:rPr>
        <w:t>4）系统（包含合同约定全部功能）在全行上线试运行三个月后，进行项目验收。</w:t>
      </w:r>
    </w:p>
    <w:p w14:paraId="748691F3">
      <w:pPr>
        <w:pStyle w:val="5"/>
        <w:ind w:firstLine="422"/>
        <w:rPr>
          <w:rFonts w:cs="Times New Roman"/>
          <w:color w:val="auto"/>
          <w:szCs w:val="20"/>
          <w:highlight w:val="none"/>
        </w:rPr>
      </w:pPr>
      <w:bookmarkStart w:id="57" w:name="_Toc10160"/>
      <w:r>
        <w:rPr>
          <w:rFonts w:cs="Times New Roman"/>
          <w:color w:val="auto"/>
          <w:szCs w:val="20"/>
          <w:highlight w:val="none"/>
        </w:rPr>
        <w:t>8.4 验收测试的评定</w:t>
      </w:r>
      <w:bookmarkEnd w:id="57"/>
    </w:p>
    <w:p w14:paraId="60A3FB60">
      <w:pPr>
        <w:ind w:firstLine="420"/>
        <w:rPr>
          <w:rFonts w:cs="Times New Roman"/>
          <w:color w:val="auto"/>
          <w:highlight w:val="none"/>
        </w:rPr>
      </w:pPr>
      <w:r>
        <w:rPr>
          <w:rFonts w:cs="Times New Roman"/>
          <w:color w:val="auto"/>
          <w:highlight w:val="none"/>
        </w:rPr>
        <w:t>测试结果按下列级别评定，并经验收小组签字认可：</w:t>
      </w:r>
    </w:p>
    <w:p w14:paraId="2995160B">
      <w:pPr>
        <w:ind w:firstLine="420"/>
        <w:rPr>
          <w:rFonts w:cs="Times New Roman"/>
          <w:color w:val="auto"/>
          <w:highlight w:val="none"/>
        </w:rPr>
      </w:pPr>
      <w:r>
        <w:rPr>
          <w:rFonts w:cs="Times New Roman"/>
          <w:color w:val="auto"/>
          <w:highlight w:val="none"/>
        </w:rPr>
        <w:t>•优良：功能和质量达到预期目的。</w:t>
      </w:r>
    </w:p>
    <w:p w14:paraId="69A8D0F1">
      <w:pPr>
        <w:ind w:firstLine="420"/>
        <w:rPr>
          <w:rFonts w:cs="Times New Roman"/>
          <w:color w:val="auto"/>
          <w:highlight w:val="none"/>
        </w:rPr>
      </w:pPr>
      <w:r>
        <w:rPr>
          <w:rFonts w:cs="Times New Roman"/>
          <w:color w:val="auto"/>
          <w:highlight w:val="none"/>
        </w:rPr>
        <w:t>•合格：部分功能和质量不能满足比选人的要求，但中选人（集成商）采取了改正措施，使测试结果达到预期目的。</w:t>
      </w:r>
    </w:p>
    <w:p w14:paraId="5B47C380">
      <w:pPr>
        <w:ind w:firstLine="420"/>
        <w:rPr>
          <w:rFonts w:cs="Times New Roman"/>
          <w:color w:val="auto"/>
          <w:highlight w:val="none"/>
        </w:rPr>
      </w:pPr>
      <w:r>
        <w:rPr>
          <w:rFonts w:cs="Times New Roman"/>
          <w:color w:val="auto"/>
          <w:highlight w:val="none"/>
        </w:rPr>
        <w:t>•不合格：功能和质量不能满足比选人的要求。</w:t>
      </w:r>
    </w:p>
    <w:p w14:paraId="12DFFA21">
      <w:pPr>
        <w:pStyle w:val="4"/>
        <w:ind w:left="360" w:hanging="360"/>
        <w:rPr>
          <w:color w:val="auto"/>
          <w:kern w:val="0"/>
          <w:highlight w:val="none"/>
        </w:rPr>
      </w:pPr>
      <w:bookmarkStart w:id="58" w:name="_Toc20602"/>
      <w:r>
        <w:rPr>
          <w:color w:val="auto"/>
          <w:kern w:val="0"/>
          <w:highlight w:val="none"/>
        </w:rPr>
        <w:t>9.</w:t>
      </w:r>
      <w:r>
        <w:rPr>
          <w:rFonts w:hint="eastAsia"/>
          <w:color w:val="auto"/>
          <w:kern w:val="0"/>
          <w:highlight w:val="none"/>
        </w:rPr>
        <w:t xml:space="preserve"> </w:t>
      </w:r>
      <w:r>
        <w:rPr>
          <w:color w:val="auto"/>
          <w:kern w:val="0"/>
          <w:highlight w:val="none"/>
        </w:rPr>
        <w:t>售后服务和支持</w:t>
      </w:r>
      <w:bookmarkEnd w:id="58"/>
    </w:p>
    <w:p w14:paraId="30FEE1A8">
      <w:pPr>
        <w:ind w:firstLine="420"/>
        <w:rPr>
          <w:rFonts w:cs="Times New Roman"/>
          <w:color w:val="auto"/>
          <w:highlight w:val="none"/>
        </w:rPr>
      </w:pPr>
      <w:r>
        <w:rPr>
          <w:rFonts w:cs="Times New Roman"/>
          <w:color w:val="auto"/>
          <w:highlight w:val="none"/>
        </w:rPr>
        <w:t>服务和支持的范围：</w:t>
      </w:r>
    </w:p>
    <w:p w14:paraId="1BE02F1A">
      <w:pPr>
        <w:ind w:firstLine="420"/>
        <w:rPr>
          <w:rFonts w:cs="Times New Roman"/>
          <w:color w:val="auto"/>
          <w:highlight w:val="none"/>
        </w:rPr>
      </w:pPr>
      <w:r>
        <w:rPr>
          <w:rFonts w:cs="Times New Roman"/>
          <w:color w:val="auto"/>
          <w:highlight w:val="none"/>
        </w:rPr>
        <w:t>•系统的安装、部署和调试；</w:t>
      </w:r>
    </w:p>
    <w:p w14:paraId="6B051116">
      <w:pPr>
        <w:ind w:firstLine="420"/>
        <w:rPr>
          <w:rFonts w:cs="Times New Roman"/>
          <w:color w:val="auto"/>
          <w:highlight w:val="none"/>
        </w:rPr>
      </w:pPr>
      <w:r>
        <w:rPr>
          <w:rFonts w:cs="Times New Roman"/>
          <w:color w:val="auto"/>
          <w:highlight w:val="none"/>
        </w:rPr>
        <w:t>•项目的验收测试；</w:t>
      </w:r>
    </w:p>
    <w:p w14:paraId="08D5FCEF">
      <w:pPr>
        <w:ind w:firstLine="420"/>
        <w:rPr>
          <w:rFonts w:cs="Times New Roman"/>
          <w:color w:val="auto"/>
          <w:highlight w:val="none"/>
        </w:rPr>
      </w:pPr>
      <w:r>
        <w:rPr>
          <w:rFonts w:cs="Times New Roman"/>
          <w:color w:val="auto"/>
          <w:highlight w:val="none"/>
        </w:rPr>
        <w:t>•项目的数据转换、数据迁移、模拟运行和试运行；</w:t>
      </w:r>
    </w:p>
    <w:p w14:paraId="3DD32613">
      <w:pPr>
        <w:ind w:firstLine="420"/>
        <w:rPr>
          <w:rFonts w:cs="Times New Roman"/>
          <w:color w:val="auto"/>
          <w:highlight w:val="none"/>
        </w:rPr>
      </w:pPr>
      <w:r>
        <w:rPr>
          <w:rFonts w:cs="Times New Roman"/>
          <w:color w:val="auto"/>
          <w:highlight w:val="none"/>
        </w:rPr>
        <w:t>•与系统运行有关的技术问题（含操作系统、数据库、应用系统的整体性能调优等）</w:t>
      </w:r>
    </w:p>
    <w:p w14:paraId="04435DCA">
      <w:pPr>
        <w:ind w:firstLine="420"/>
        <w:rPr>
          <w:rFonts w:cs="Times New Roman"/>
          <w:color w:val="auto"/>
          <w:highlight w:val="none"/>
        </w:rPr>
      </w:pPr>
      <w:r>
        <w:rPr>
          <w:rFonts w:cs="Times New Roman"/>
          <w:color w:val="auto"/>
          <w:highlight w:val="none"/>
        </w:rPr>
        <w:t>•项目上线后两年内，针对本项目的完善性需求以及监管提出的安全性需求，中选人需免费进行开发。</w:t>
      </w:r>
    </w:p>
    <w:p w14:paraId="1060BD95">
      <w:pPr>
        <w:spacing w:line="600" w:lineRule="exact"/>
        <w:ind w:firstLine="420"/>
        <w:rPr>
          <w:rFonts w:cs="Times New Roman"/>
          <w:snapToGrid w:val="0"/>
          <w:color w:val="auto"/>
          <w:kern w:val="0"/>
          <w:szCs w:val="24"/>
          <w:highlight w:val="none"/>
        </w:rPr>
      </w:pPr>
      <w:r>
        <w:rPr>
          <w:rFonts w:cs="Times New Roman"/>
          <w:color w:val="auto"/>
          <w:highlight w:val="none"/>
        </w:rPr>
        <w:t>•相关技术及业务培训</w:t>
      </w:r>
      <w:r>
        <w:rPr>
          <w:rFonts w:cs="Times New Roman"/>
          <w:snapToGrid w:val="0"/>
          <w:color w:val="auto"/>
          <w:kern w:val="0"/>
          <w:szCs w:val="24"/>
          <w:highlight w:val="none"/>
        </w:rPr>
        <w:t>（在项目终验前必须组织技术人员进行针对本系统的操作、使用、运维等方面的技术培训，并提供平台的所有技术文档等）。</w:t>
      </w:r>
    </w:p>
    <w:p w14:paraId="7B95924A">
      <w:pPr>
        <w:ind w:firstLine="420"/>
        <w:rPr>
          <w:rFonts w:cs="Times New Roman"/>
          <w:b/>
          <w:snapToGrid w:val="0"/>
          <w:color w:val="auto"/>
          <w:kern w:val="0"/>
          <w:szCs w:val="24"/>
          <w:highlight w:val="none"/>
        </w:rPr>
      </w:pPr>
      <w:r>
        <w:rPr>
          <w:rFonts w:cs="Times New Roman"/>
          <w:color w:val="auto"/>
          <w:highlight w:val="none"/>
        </w:rPr>
        <w:t>•</w:t>
      </w:r>
      <w:r>
        <w:rPr>
          <w:rFonts w:cs="Times New Roman"/>
          <w:snapToGrid w:val="0"/>
          <w:color w:val="auto"/>
          <w:kern w:val="0"/>
          <w:szCs w:val="24"/>
          <w:highlight w:val="none"/>
        </w:rPr>
        <w:t>相应的售后服务（含不少于2年免费维护期），维护期起始日为项目正式验收合格后次日起，维护期结束日需延期至到期当年的6月30日或12月31日中较近日期（即维保延期最长不超过半年）。</w:t>
      </w:r>
    </w:p>
    <w:p w14:paraId="7386485E">
      <w:pPr>
        <w:ind w:firstLine="420"/>
        <w:rPr>
          <w:rFonts w:cs="Times New Roman"/>
          <w:color w:val="auto"/>
          <w:highlight w:val="none"/>
        </w:rPr>
      </w:pPr>
      <w:r>
        <w:rPr>
          <w:rFonts w:cs="Times New Roman"/>
          <w:color w:val="auto"/>
          <w:highlight w:val="none"/>
        </w:rPr>
        <w:t>•参选人在参选文件中详细说明在系统维保期的具体服务内容，系统维保期过后有偿维保的内容、价格及收取方式，若按开发量评估收取，应说明每人/月价格；</w:t>
      </w:r>
    </w:p>
    <w:p w14:paraId="33C2D2A7">
      <w:pPr>
        <w:ind w:firstLine="420"/>
        <w:rPr>
          <w:rFonts w:cs="Times New Roman"/>
          <w:color w:val="auto"/>
          <w:highlight w:val="none"/>
        </w:rPr>
      </w:pPr>
      <w:r>
        <w:rPr>
          <w:rFonts w:cs="Times New Roman"/>
          <w:color w:val="auto"/>
          <w:highlight w:val="none"/>
        </w:rPr>
        <w:t>参选人在参选文件中需对以上相关内容中进行阐述并作出相应承诺。</w:t>
      </w:r>
    </w:p>
    <w:p w14:paraId="55BEAE8D">
      <w:pPr>
        <w:ind w:firstLine="420"/>
        <w:rPr>
          <w:rFonts w:cs="Times New Roman"/>
          <w:color w:val="auto"/>
          <w:highlight w:val="none"/>
        </w:rPr>
      </w:pPr>
      <w:r>
        <w:rPr>
          <w:rFonts w:hint="eastAsia" w:cs="Times New Roman"/>
          <w:color w:val="auto"/>
          <w:highlight w:val="none"/>
        </w:rPr>
        <w:t>【提供</w:t>
      </w:r>
      <w:r>
        <w:rPr>
          <w:rFonts w:cs="Times New Roman"/>
          <w:color w:val="auto"/>
          <w:highlight w:val="none"/>
        </w:rPr>
        <w:t>售后服务和培训方案</w:t>
      </w:r>
      <w:r>
        <w:rPr>
          <w:rFonts w:hint="eastAsia" w:cs="Times New Roman"/>
          <w:color w:val="auto"/>
          <w:highlight w:val="none"/>
        </w:rPr>
        <w:t>】</w:t>
      </w:r>
    </w:p>
    <w:p w14:paraId="225928D2">
      <w:pPr>
        <w:pStyle w:val="4"/>
        <w:ind w:left="360" w:hanging="360"/>
        <w:rPr>
          <w:color w:val="auto"/>
          <w:highlight w:val="none"/>
        </w:rPr>
      </w:pPr>
      <w:r>
        <w:rPr>
          <w:color w:val="auto"/>
          <w:highlight w:val="none"/>
        </w:rPr>
        <w:t>10.</w:t>
      </w:r>
      <w:r>
        <w:rPr>
          <w:rFonts w:hint="eastAsia"/>
          <w:color w:val="auto"/>
          <w:highlight w:val="none"/>
        </w:rPr>
        <w:t xml:space="preserve"> </w:t>
      </w:r>
      <w:r>
        <w:rPr>
          <w:color w:val="auto"/>
          <w:highlight w:val="none"/>
        </w:rPr>
        <w:t>系统维保费用</w:t>
      </w:r>
    </w:p>
    <w:p w14:paraId="4A1C2E93">
      <w:pPr>
        <w:ind w:firstLine="420"/>
        <w:rPr>
          <w:rFonts w:cs="Times New Roman"/>
          <w:color w:val="auto"/>
          <w:highlight w:val="none"/>
        </w:rPr>
      </w:pPr>
      <w:r>
        <w:rPr>
          <w:rFonts w:cs="Times New Roman"/>
          <w:snapToGrid w:val="0"/>
          <w:color w:val="auto"/>
          <w:kern w:val="0"/>
          <w:szCs w:val="24"/>
          <w:highlight w:val="none"/>
        </w:rPr>
        <w:t>维护期满后，每年维护费用不高于合同价8%，且每年系统升级改造工作量2个人月内不收费（工作量以比选人的最终评估为准），具体维保费用以合同约定为准。如比选人每年购买中选人的驻场实施服务费用高于系统维保费用的，中选人不再收取维保费用。在安全加固、BUG修复等方面应免费开展维护，不得另行收费。</w:t>
      </w:r>
    </w:p>
    <w:p w14:paraId="17546466">
      <w:pPr>
        <w:pStyle w:val="4"/>
        <w:ind w:left="360" w:hanging="360"/>
        <w:rPr>
          <w:color w:val="auto"/>
          <w:highlight w:val="none"/>
        </w:rPr>
      </w:pPr>
      <w:r>
        <w:rPr>
          <w:color w:val="auto"/>
          <w:highlight w:val="none"/>
        </w:rPr>
        <w:t>11.</w:t>
      </w:r>
      <w:r>
        <w:rPr>
          <w:rFonts w:hint="eastAsia"/>
          <w:color w:val="auto"/>
          <w:highlight w:val="none"/>
        </w:rPr>
        <w:t xml:space="preserve"> </w:t>
      </w:r>
      <w:r>
        <w:rPr>
          <w:color w:val="auto"/>
          <w:highlight w:val="none"/>
        </w:rPr>
        <w:t>文档和培训</w:t>
      </w:r>
    </w:p>
    <w:p w14:paraId="5F8856DC">
      <w:pPr>
        <w:pStyle w:val="5"/>
        <w:ind w:firstLine="420"/>
        <w:rPr>
          <w:rFonts w:cs="Times New Roman"/>
          <w:b w:val="0"/>
          <w:bCs w:val="0"/>
          <w:color w:val="auto"/>
          <w:szCs w:val="20"/>
          <w:highlight w:val="none"/>
        </w:rPr>
      </w:pPr>
      <w:bookmarkStart w:id="59" w:name="_Toc4315"/>
      <w:r>
        <w:rPr>
          <w:rFonts w:cs="Times New Roman"/>
          <w:b w:val="0"/>
          <w:bCs w:val="0"/>
          <w:color w:val="auto"/>
          <w:highlight w:val="none"/>
        </w:rPr>
        <w:t xml:space="preserve">11.1 </w:t>
      </w:r>
      <w:r>
        <w:rPr>
          <w:rFonts w:cs="Times New Roman"/>
          <w:b w:val="0"/>
          <w:bCs w:val="0"/>
          <w:color w:val="auto"/>
          <w:szCs w:val="20"/>
          <w:highlight w:val="none"/>
        </w:rPr>
        <w:t>文档</w:t>
      </w:r>
      <w:bookmarkEnd w:id="59"/>
    </w:p>
    <w:p w14:paraId="3DD7386F">
      <w:pPr>
        <w:ind w:firstLine="420"/>
        <w:rPr>
          <w:rFonts w:cs="Times New Roman"/>
          <w:color w:val="auto"/>
          <w:highlight w:val="none"/>
        </w:rPr>
      </w:pPr>
      <w:r>
        <w:rPr>
          <w:rFonts w:cs="Times New Roman"/>
          <w:color w:val="auto"/>
          <w:highlight w:val="none"/>
        </w:rPr>
        <w:t>1）文档范围</w:t>
      </w:r>
    </w:p>
    <w:p w14:paraId="3834AA4F">
      <w:pPr>
        <w:ind w:firstLine="420"/>
        <w:rPr>
          <w:rFonts w:cs="Times New Roman"/>
          <w:color w:val="auto"/>
          <w:highlight w:val="none"/>
        </w:rPr>
      </w:pPr>
      <w:r>
        <w:rPr>
          <w:rFonts w:cs="Times New Roman"/>
          <w:color w:val="auto"/>
          <w:highlight w:val="none"/>
        </w:rPr>
        <w:t>包括中选人收集整理的系统建设中所形成的全部文字记载、录音和照片等，项目验收后由中选人向比选人提供。</w:t>
      </w:r>
    </w:p>
    <w:p w14:paraId="326CB09C">
      <w:pPr>
        <w:ind w:firstLine="420"/>
        <w:rPr>
          <w:rFonts w:cs="Times New Roman"/>
          <w:color w:val="auto"/>
          <w:highlight w:val="none"/>
        </w:rPr>
      </w:pPr>
      <w:r>
        <w:rPr>
          <w:rFonts w:cs="Times New Roman"/>
          <w:color w:val="auto"/>
          <w:highlight w:val="none"/>
        </w:rPr>
        <w:t>2）文档内容</w:t>
      </w:r>
    </w:p>
    <w:p w14:paraId="36E708C9">
      <w:pPr>
        <w:ind w:firstLine="420"/>
        <w:rPr>
          <w:rFonts w:cs="Times New Roman"/>
          <w:color w:val="auto"/>
          <w:highlight w:val="none"/>
        </w:rPr>
      </w:pPr>
      <w:r>
        <w:rPr>
          <w:rFonts w:cs="Times New Roman"/>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015ED520">
      <w:pPr>
        <w:ind w:firstLine="420"/>
        <w:rPr>
          <w:rFonts w:cs="Times New Roman"/>
          <w:color w:val="auto"/>
          <w:highlight w:val="none"/>
        </w:rPr>
      </w:pPr>
      <w:r>
        <w:rPr>
          <w:rFonts w:cs="Times New Roman"/>
          <w:color w:val="auto"/>
          <w:highlight w:val="none"/>
        </w:rPr>
        <w:t>3）要求</w:t>
      </w:r>
    </w:p>
    <w:p w14:paraId="43E4A065">
      <w:pPr>
        <w:ind w:firstLine="420"/>
        <w:rPr>
          <w:rFonts w:cs="Times New Roman"/>
          <w:color w:val="auto"/>
          <w:highlight w:val="none"/>
        </w:rPr>
      </w:pPr>
      <w:r>
        <w:rPr>
          <w:rFonts w:cs="Times New Roman"/>
          <w:color w:val="auto"/>
          <w:highlight w:val="none"/>
        </w:rPr>
        <w:t>参选人提供的文档要保持完整性和准确性。所有文档都采用简体中文（第三方产品出厂文件除外）。</w:t>
      </w:r>
    </w:p>
    <w:p w14:paraId="1B335F09">
      <w:pPr>
        <w:pStyle w:val="5"/>
        <w:ind w:firstLine="422"/>
        <w:rPr>
          <w:rFonts w:cs="Times New Roman"/>
          <w:color w:val="auto"/>
          <w:szCs w:val="20"/>
          <w:highlight w:val="none"/>
        </w:rPr>
      </w:pPr>
      <w:bookmarkStart w:id="60" w:name="_Toc30059"/>
      <w:r>
        <w:rPr>
          <w:rFonts w:cs="Times New Roman"/>
          <w:color w:val="auto"/>
          <w:szCs w:val="20"/>
          <w:highlight w:val="none"/>
        </w:rPr>
        <w:t>11.2 培训</w:t>
      </w:r>
      <w:bookmarkEnd w:id="60"/>
    </w:p>
    <w:p w14:paraId="530BE774">
      <w:pPr>
        <w:ind w:firstLine="420"/>
        <w:rPr>
          <w:rFonts w:cs="Times New Roman"/>
          <w:color w:val="auto"/>
          <w:highlight w:val="none"/>
        </w:rPr>
      </w:pPr>
      <w:r>
        <w:rPr>
          <w:rFonts w:cs="Times New Roman"/>
          <w:color w:val="auto"/>
          <w:highlight w:val="none"/>
        </w:rPr>
        <w:t>1）培训人员</w:t>
      </w:r>
    </w:p>
    <w:p w14:paraId="38656C57">
      <w:pPr>
        <w:ind w:firstLine="420"/>
        <w:rPr>
          <w:rFonts w:cs="Times New Roman"/>
          <w:color w:val="auto"/>
          <w:highlight w:val="none"/>
        </w:rPr>
      </w:pPr>
      <w:r>
        <w:rPr>
          <w:rFonts w:cs="Times New Roman"/>
          <w:color w:val="auto"/>
          <w:highlight w:val="none"/>
        </w:rPr>
        <w:t>中选人应对下列人员进行相应的技术与业务培训：</w:t>
      </w:r>
    </w:p>
    <w:p w14:paraId="6F78FCE2">
      <w:pPr>
        <w:ind w:firstLine="420"/>
        <w:rPr>
          <w:rFonts w:cs="Times New Roman"/>
          <w:color w:val="auto"/>
          <w:highlight w:val="none"/>
        </w:rPr>
      </w:pPr>
      <w:r>
        <w:rPr>
          <w:rFonts w:cs="Times New Roman"/>
          <w:color w:val="auto"/>
          <w:highlight w:val="none"/>
        </w:rPr>
        <w:t>包括但不限于涉及本项目的相关开发人员、运维人员以及业务人员等。</w:t>
      </w:r>
    </w:p>
    <w:p w14:paraId="209085A3">
      <w:pPr>
        <w:ind w:firstLine="420"/>
        <w:rPr>
          <w:rFonts w:cs="Times New Roman"/>
          <w:color w:val="auto"/>
          <w:highlight w:val="none"/>
        </w:rPr>
      </w:pPr>
      <w:r>
        <w:rPr>
          <w:rFonts w:cs="Times New Roman"/>
          <w:color w:val="auto"/>
          <w:highlight w:val="none"/>
        </w:rPr>
        <w:t>2）要求</w:t>
      </w:r>
    </w:p>
    <w:p w14:paraId="40F04720">
      <w:pPr>
        <w:ind w:firstLine="420"/>
        <w:rPr>
          <w:rFonts w:cs="Times New Roman"/>
          <w:color w:val="auto"/>
          <w:highlight w:val="none"/>
        </w:rPr>
      </w:pPr>
      <w:r>
        <w:rPr>
          <w:rFonts w:cs="Times New Roman"/>
          <w:color w:val="auto"/>
          <w:highlight w:val="none"/>
        </w:rPr>
        <w:t>对所有的培训，参选人除提供完备的书面教材外，还应提交培训方案和计划。</w:t>
      </w:r>
    </w:p>
    <w:p w14:paraId="27A2892C">
      <w:pPr>
        <w:ind w:firstLine="420"/>
        <w:rPr>
          <w:rFonts w:cs="Times New Roman"/>
          <w:snapToGrid w:val="0"/>
          <w:color w:val="auto"/>
          <w:kern w:val="0"/>
          <w:szCs w:val="24"/>
          <w:highlight w:val="none"/>
        </w:rPr>
      </w:pPr>
      <w:r>
        <w:rPr>
          <w:rFonts w:cs="Times New Roman"/>
          <w:color w:val="auto"/>
          <w:highlight w:val="none"/>
        </w:rPr>
        <w:t>比选人要求所有的培训在比选人指定地点进行。</w:t>
      </w:r>
    </w:p>
    <w:p w14:paraId="0F13DD90">
      <w:pPr>
        <w:pStyle w:val="4"/>
        <w:ind w:left="360" w:hanging="360"/>
        <w:rPr>
          <w:color w:val="auto"/>
          <w:highlight w:val="none"/>
        </w:rPr>
      </w:pPr>
      <w:r>
        <w:rPr>
          <w:color w:val="auto"/>
          <w:highlight w:val="none"/>
        </w:rPr>
        <w:t>12.</w:t>
      </w:r>
      <w:r>
        <w:rPr>
          <w:rFonts w:hint="eastAsia"/>
          <w:color w:val="auto"/>
          <w:highlight w:val="none"/>
        </w:rPr>
        <w:t xml:space="preserve"> </w:t>
      </w:r>
      <w:r>
        <w:rPr>
          <w:color w:val="auto"/>
          <w:highlight w:val="none"/>
        </w:rPr>
        <w:t>服务连续性预案</w:t>
      </w:r>
    </w:p>
    <w:p w14:paraId="131EEDB8">
      <w:pPr>
        <w:ind w:firstLine="420"/>
        <w:rPr>
          <w:rFonts w:cs="Times New Roman"/>
          <w:color w:val="auto"/>
          <w:highlight w:val="none"/>
        </w:rPr>
      </w:pPr>
      <w:r>
        <w:rPr>
          <w:rFonts w:cs="Times New Roman"/>
          <w:color w:val="auto"/>
          <w:highlight w:val="none"/>
        </w:rPr>
        <w:t>在本次比选中，参选人应在参选文件中提供服务连续性预案供比选人查看，服务连续性预案应考虑供应链风险产生的影响。【提供服务连续性预案】</w:t>
      </w:r>
    </w:p>
    <w:p w14:paraId="337F6D9D">
      <w:pPr>
        <w:pStyle w:val="4"/>
        <w:ind w:left="360" w:hanging="360"/>
        <w:rPr>
          <w:color w:val="auto"/>
          <w:highlight w:val="none"/>
        </w:rPr>
      </w:pPr>
      <w:r>
        <w:rPr>
          <w:color w:val="auto"/>
          <w:highlight w:val="none"/>
        </w:rPr>
        <w:t>13.</w:t>
      </w:r>
      <w:r>
        <w:rPr>
          <w:rFonts w:hint="eastAsia"/>
          <w:color w:val="auto"/>
          <w:highlight w:val="none"/>
        </w:rPr>
        <w:t xml:space="preserve"> </w:t>
      </w:r>
      <w:r>
        <w:rPr>
          <w:color w:val="auto"/>
          <w:highlight w:val="none"/>
        </w:rPr>
        <w:t>项目实施方案</w:t>
      </w:r>
    </w:p>
    <w:p w14:paraId="13BEC7C1">
      <w:pPr>
        <w:ind w:firstLine="420"/>
        <w:rPr>
          <w:rFonts w:cs="Times New Roman"/>
          <w:color w:val="auto"/>
          <w:highlight w:val="none"/>
        </w:rPr>
      </w:pPr>
      <w:r>
        <w:rPr>
          <w:rFonts w:cs="Times New Roman"/>
          <w:color w:val="auto"/>
          <w:highlight w:val="none"/>
        </w:rPr>
        <w:t>在本次比选中，参选人应在参选文件中提供项目实施方案供比选人查看，方案应包括包括履行合同的时间计划、提交资料、人员安排等内容。【提供项目实施方案】</w:t>
      </w:r>
    </w:p>
    <w:p w14:paraId="49F3A776">
      <w:pPr>
        <w:pStyle w:val="4"/>
        <w:ind w:left="360" w:hanging="360"/>
        <w:rPr>
          <w:color w:val="auto"/>
          <w:highlight w:val="none"/>
        </w:rPr>
      </w:pPr>
      <w:r>
        <w:rPr>
          <w:color w:val="auto"/>
          <w:highlight w:val="none"/>
        </w:rPr>
        <w:t>14.</w:t>
      </w:r>
      <w:r>
        <w:rPr>
          <w:rFonts w:hint="eastAsia"/>
          <w:color w:val="auto"/>
          <w:highlight w:val="none"/>
        </w:rPr>
        <w:t xml:space="preserve"> </w:t>
      </w:r>
      <w:r>
        <w:rPr>
          <w:color w:val="auto"/>
          <w:highlight w:val="none"/>
        </w:rPr>
        <w:t>付款方式</w:t>
      </w:r>
    </w:p>
    <w:p w14:paraId="146EDD05">
      <w:pPr>
        <w:ind w:firstLine="420"/>
        <w:rPr>
          <w:rFonts w:cs="Times New Roman"/>
          <w:snapToGrid w:val="0"/>
          <w:color w:val="auto"/>
          <w:highlight w:val="none"/>
        </w:rPr>
      </w:pPr>
      <w:r>
        <w:rPr>
          <w:rFonts w:cs="Times New Roman"/>
          <w:snapToGrid w:val="0"/>
          <w:color w:val="auto"/>
          <w:highlight w:val="none"/>
        </w:rPr>
        <w:t>本项目款项采用分期付款方式，具体如下：</w:t>
      </w:r>
    </w:p>
    <w:p w14:paraId="1D96742E">
      <w:pPr>
        <w:ind w:firstLine="420"/>
        <w:rPr>
          <w:rFonts w:cs="Times New Roman"/>
          <w:snapToGrid w:val="0"/>
          <w:color w:val="auto"/>
          <w:highlight w:val="none"/>
        </w:rPr>
      </w:pPr>
      <w:r>
        <w:rPr>
          <w:rFonts w:cs="Times New Roman"/>
          <w:snapToGrid w:val="0"/>
          <w:color w:val="auto"/>
          <w:highlight w:val="none"/>
        </w:rPr>
        <w:t>·项目安装、调试并投入试运行后30个工作日内，支付项目合同总价的60％。</w:t>
      </w:r>
    </w:p>
    <w:p w14:paraId="373A6EE4">
      <w:pPr>
        <w:ind w:firstLine="420"/>
        <w:rPr>
          <w:rFonts w:cs="Times New Roman"/>
          <w:snapToGrid w:val="0"/>
          <w:color w:val="auto"/>
          <w:highlight w:val="none"/>
        </w:rPr>
      </w:pPr>
      <w:r>
        <w:rPr>
          <w:rFonts w:cs="Times New Roman"/>
          <w:snapToGrid w:val="0"/>
          <w:color w:val="auto"/>
          <w:highlight w:val="none"/>
        </w:rPr>
        <w:t>·项目正式验收合格后30个工作日内，支付项目合同总价的30％。</w:t>
      </w:r>
    </w:p>
    <w:p w14:paraId="6EF9E318">
      <w:pPr>
        <w:ind w:firstLine="420"/>
        <w:rPr>
          <w:rFonts w:cs="Times New Roman"/>
          <w:snapToGrid w:val="0"/>
          <w:color w:val="auto"/>
          <w:highlight w:val="none"/>
        </w:rPr>
      </w:pPr>
      <w:r>
        <w:rPr>
          <w:rFonts w:cs="Times New Roman"/>
          <w:snapToGrid w:val="0"/>
          <w:color w:val="auto"/>
          <w:highlight w:val="none"/>
        </w:rPr>
        <w:t>·维护到期后30个工作日内，支付项目合同总价的10%。</w:t>
      </w:r>
    </w:p>
    <w:p w14:paraId="54F0545A">
      <w:pPr>
        <w:pStyle w:val="4"/>
        <w:ind w:left="360" w:hanging="360"/>
        <w:rPr>
          <w:color w:val="auto"/>
          <w:highlight w:val="none"/>
        </w:rPr>
      </w:pPr>
      <w:bookmarkStart w:id="61" w:name="_Toc10934"/>
      <w:r>
        <w:rPr>
          <w:color w:val="auto"/>
          <w:highlight w:val="none"/>
        </w:rPr>
        <w:t>15.</w:t>
      </w:r>
      <w:r>
        <w:rPr>
          <w:rFonts w:hint="eastAsia"/>
          <w:color w:val="auto"/>
          <w:highlight w:val="none"/>
        </w:rPr>
        <w:t xml:space="preserve"> </w:t>
      </w:r>
      <w:r>
        <w:rPr>
          <w:color w:val="auto"/>
          <w:highlight w:val="none"/>
        </w:rPr>
        <w:t>保密条款</w:t>
      </w:r>
      <w:bookmarkEnd w:id="61"/>
    </w:p>
    <w:p w14:paraId="3C608525">
      <w:pPr>
        <w:pStyle w:val="5"/>
        <w:ind w:firstLine="422"/>
        <w:rPr>
          <w:rFonts w:cs="Times New Roman"/>
          <w:color w:val="auto"/>
          <w:highlight w:val="none"/>
        </w:rPr>
      </w:pPr>
      <w:bookmarkStart w:id="62" w:name="_Toc17069"/>
      <w:r>
        <w:rPr>
          <w:rFonts w:cs="Times New Roman"/>
          <w:color w:val="auto"/>
          <w:highlight w:val="none"/>
        </w:rPr>
        <w:t>15.1 保密范围</w:t>
      </w:r>
      <w:bookmarkEnd w:id="62"/>
    </w:p>
    <w:p w14:paraId="31460456">
      <w:pPr>
        <w:ind w:firstLine="420"/>
        <w:rPr>
          <w:rFonts w:cs="Times New Roman"/>
          <w:color w:val="auto"/>
          <w:highlight w:val="none"/>
        </w:rPr>
      </w:pPr>
      <w:r>
        <w:rPr>
          <w:rFonts w:cs="Times New Roman"/>
          <w:color w:val="auto"/>
          <w:highlight w:val="none"/>
        </w:rPr>
        <w:t>中选人在实施过程中接触到的比选人知识产权、经营信息等。</w:t>
      </w:r>
    </w:p>
    <w:p w14:paraId="389C7066">
      <w:pPr>
        <w:pStyle w:val="5"/>
        <w:ind w:firstLine="422"/>
        <w:rPr>
          <w:rFonts w:cs="Times New Roman"/>
          <w:color w:val="auto"/>
          <w:highlight w:val="none"/>
        </w:rPr>
      </w:pPr>
      <w:bookmarkStart w:id="63" w:name="_Toc17342"/>
      <w:r>
        <w:rPr>
          <w:rFonts w:cs="Times New Roman"/>
          <w:color w:val="auto"/>
          <w:highlight w:val="none"/>
        </w:rPr>
        <w:t>15.2 保密责任</w:t>
      </w:r>
      <w:bookmarkEnd w:id="63"/>
    </w:p>
    <w:p w14:paraId="2A50D037">
      <w:pPr>
        <w:ind w:firstLine="420"/>
        <w:rPr>
          <w:rFonts w:cs="Times New Roman"/>
          <w:color w:val="auto"/>
          <w:highlight w:val="none"/>
        </w:rPr>
      </w:pPr>
      <w:r>
        <w:rPr>
          <w:rFonts w:cs="Times New Roman"/>
          <w:color w:val="auto"/>
          <w:highlight w:val="none"/>
        </w:rPr>
        <w:t>双方互为保密资料的提供方和接受方，负有保密义务，承担保密责任。除经过双方书面同意，任何一方不得将有关内容提供给合同以外的第三人。</w:t>
      </w:r>
    </w:p>
    <w:p w14:paraId="58F88FB8">
      <w:pPr>
        <w:pStyle w:val="4"/>
        <w:ind w:left="360" w:hanging="360"/>
        <w:rPr>
          <w:color w:val="auto"/>
          <w:highlight w:val="none"/>
        </w:rPr>
      </w:pPr>
      <w:bookmarkStart w:id="64" w:name="_Toc15128"/>
      <w:r>
        <w:rPr>
          <w:color w:val="auto"/>
          <w:highlight w:val="none"/>
        </w:rPr>
        <w:t>16.</w:t>
      </w:r>
      <w:r>
        <w:rPr>
          <w:rFonts w:hint="eastAsia"/>
          <w:color w:val="auto"/>
          <w:highlight w:val="none"/>
        </w:rPr>
        <w:t xml:space="preserve"> </w:t>
      </w:r>
      <w:r>
        <w:rPr>
          <w:color w:val="auto"/>
          <w:highlight w:val="none"/>
        </w:rPr>
        <w:t>报价要求</w:t>
      </w:r>
      <w:bookmarkEnd w:id="64"/>
    </w:p>
    <w:p w14:paraId="4A9F5108">
      <w:pPr>
        <w:ind w:firstLine="420"/>
        <w:rPr>
          <w:rFonts w:cs="Times New Roman"/>
          <w:color w:val="auto"/>
          <w:highlight w:val="none"/>
        </w:rPr>
      </w:pPr>
      <w:r>
        <w:rPr>
          <w:rFonts w:cs="Times New Roman"/>
          <w:color w:val="auto"/>
          <w:highlight w:val="none"/>
        </w:rPr>
        <w:t>参选人应严格按照《参选文件格式》的“报价一览表”的格式认真填写。</w:t>
      </w:r>
    </w:p>
    <w:p w14:paraId="772B0AFF">
      <w:pPr>
        <w:pStyle w:val="4"/>
        <w:ind w:left="360" w:hanging="360"/>
        <w:rPr>
          <w:color w:val="auto"/>
          <w:highlight w:val="none"/>
        </w:rPr>
      </w:pPr>
      <w:bookmarkStart w:id="65" w:name="_Toc9496"/>
      <w:r>
        <w:rPr>
          <w:color w:val="auto"/>
          <w:highlight w:val="none"/>
        </w:rPr>
        <w:t>17.</w:t>
      </w:r>
      <w:r>
        <w:rPr>
          <w:rFonts w:hint="eastAsia"/>
          <w:color w:val="auto"/>
          <w:highlight w:val="none"/>
        </w:rPr>
        <w:t xml:space="preserve"> </w:t>
      </w:r>
      <w:r>
        <w:rPr>
          <w:color w:val="auto"/>
          <w:highlight w:val="none"/>
        </w:rPr>
        <w:t>知识产权</w:t>
      </w:r>
      <w:bookmarkEnd w:id="65"/>
    </w:p>
    <w:p w14:paraId="1358093C">
      <w:pPr>
        <w:ind w:firstLine="420"/>
        <w:rPr>
          <w:rFonts w:cs="Times New Roman"/>
          <w:color w:val="auto"/>
          <w:highlight w:val="none"/>
        </w:rPr>
      </w:pPr>
      <w:r>
        <w:rPr>
          <w:rFonts w:cs="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一经发现中选人将比选人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0807933">
      <w:pPr>
        <w:pStyle w:val="4"/>
        <w:ind w:left="360" w:hanging="360"/>
        <w:rPr>
          <w:color w:val="auto"/>
          <w:highlight w:val="none"/>
        </w:rPr>
      </w:pPr>
      <w:bookmarkStart w:id="66" w:name="_Toc30693"/>
      <w:r>
        <w:rPr>
          <w:color w:val="auto"/>
          <w:highlight w:val="none"/>
        </w:rPr>
        <w:t>18.</w:t>
      </w:r>
      <w:r>
        <w:rPr>
          <w:rFonts w:hint="eastAsia"/>
          <w:color w:val="auto"/>
          <w:highlight w:val="none"/>
        </w:rPr>
        <w:t xml:space="preserve"> </w:t>
      </w:r>
      <w:r>
        <w:rPr>
          <w:color w:val="auto"/>
          <w:highlight w:val="none"/>
        </w:rPr>
        <w:t>其他</w:t>
      </w:r>
      <w:bookmarkEnd w:id="66"/>
    </w:p>
    <w:p w14:paraId="791C1CFE">
      <w:pPr>
        <w:ind w:firstLine="420"/>
        <w:rPr>
          <w:rFonts w:cs="Times New Roman"/>
          <w:color w:val="auto"/>
          <w:highlight w:val="none"/>
        </w:rPr>
      </w:pPr>
      <w:r>
        <w:rPr>
          <w:rFonts w:cs="Times New Roman"/>
          <w:color w:val="auto"/>
          <w:highlight w:val="none"/>
        </w:rPr>
        <w:t>1）参选人必须在响应承诺函中对本章内容做出整体承诺，承诺内容必须达到本</w:t>
      </w:r>
      <w:r>
        <w:rPr>
          <w:rFonts w:hint="eastAsia" w:cs="Times New Roman"/>
          <w:color w:val="auto"/>
          <w:highlight w:val="none"/>
        </w:rPr>
        <w:t>章</w:t>
      </w:r>
      <w:r>
        <w:rPr>
          <w:rFonts w:cs="Times New Roman"/>
          <w:color w:val="auto"/>
          <w:highlight w:val="none"/>
        </w:rPr>
        <w:t>及比选文件其他条款的要求。</w:t>
      </w:r>
    </w:p>
    <w:p w14:paraId="044B426B">
      <w:pPr>
        <w:ind w:firstLine="420"/>
        <w:rPr>
          <w:rFonts w:cs="Times New Roman"/>
          <w:color w:val="auto"/>
          <w:highlight w:val="none"/>
        </w:rPr>
      </w:pPr>
      <w:r>
        <w:rPr>
          <w:rFonts w:cs="Times New Roman"/>
          <w:color w:val="auto"/>
          <w:highlight w:val="none"/>
        </w:rPr>
        <w:t>2）参选人应根据本章内容和要求，提供对应材料，内容齐全，无遗漏。</w:t>
      </w:r>
    </w:p>
    <w:p w14:paraId="2B2B1F1A">
      <w:pPr>
        <w:ind w:firstLine="420"/>
        <w:rPr>
          <w:rFonts w:cs="Times New Roman"/>
          <w:color w:val="auto"/>
          <w:highlight w:val="none"/>
        </w:rPr>
      </w:pPr>
      <w:r>
        <w:rPr>
          <w:rFonts w:cs="Times New Roman"/>
          <w:color w:val="auto"/>
          <w:highlight w:val="none"/>
        </w:rPr>
        <w:t>3）其他未尽事宜由供需双方在合同中详细约定。</w:t>
      </w:r>
    </w:p>
    <w:p w14:paraId="3AC748AC">
      <w:pPr>
        <w:snapToGrid w:val="0"/>
        <w:ind w:firstLine="420"/>
        <w:rPr>
          <w:rFonts w:cs="宋体"/>
          <w:snapToGrid w:val="0"/>
          <w:color w:val="auto"/>
          <w:kern w:val="0"/>
          <w:szCs w:val="24"/>
          <w:highlight w:val="none"/>
        </w:rPr>
      </w:pPr>
    </w:p>
    <w:p w14:paraId="63353BF3">
      <w:pPr>
        <w:snapToGrid w:val="0"/>
        <w:ind w:firstLine="420"/>
        <w:rPr>
          <w:rFonts w:cs="宋体"/>
          <w:snapToGrid w:val="0"/>
          <w:color w:val="auto"/>
          <w:kern w:val="0"/>
          <w:szCs w:val="24"/>
          <w:highlight w:val="none"/>
        </w:rPr>
      </w:pPr>
      <w:r>
        <w:rPr>
          <w:rFonts w:hint="eastAsia" w:cs="宋体"/>
          <w:snapToGrid w:val="0"/>
          <w:color w:val="auto"/>
          <w:kern w:val="0"/>
          <w:szCs w:val="24"/>
          <w:highlight w:val="none"/>
        </w:rPr>
        <w:br w:type="page"/>
      </w:r>
      <w:bookmarkStart w:id="67" w:name="_Toc29189"/>
    </w:p>
    <w:p w14:paraId="197BFF3D">
      <w:pPr>
        <w:pStyle w:val="3"/>
        <w:rPr>
          <w:color w:val="auto"/>
          <w:highlight w:val="none"/>
        </w:rPr>
      </w:pPr>
      <w:bookmarkStart w:id="68" w:name="_Toc15810"/>
      <w:r>
        <w:rPr>
          <w:rFonts w:hint="eastAsia"/>
          <w:color w:val="auto"/>
          <w:highlight w:val="none"/>
        </w:rPr>
        <w:t>第四章 评审办法（综合评估法）</w:t>
      </w:r>
      <w:bookmarkEnd w:id="67"/>
      <w:bookmarkEnd w:id="68"/>
    </w:p>
    <w:p w14:paraId="0BB6D5E6">
      <w:pPr>
        <w:ind w:firstLine="422"/>
        <w:rPr>
          <w:b/>
          <w:bCs/>
          <w:color w:val="auto"/>
          <w:highlight w:val="none"/>
        </w:rPr>
      </w:pPr>
      <w:bookmarkStart w:id="69" w:name="_Toc14810"/>
      <w:bookmarkStart w:id="70" w:name="_Toc27076"/>
      <w:bookmarkStart w:id="71" w:name="_Toc11471"/>
      <w:bookmarkStart w:id="72" w:name="_Toc2028"/>
      <w:r>
        <w:rPr>
          <w:rFonts w:hint="eastAsia"/>
          <w:b/>
          <w:bCs/>
          <w:color w:val="auto"/>
          <w:highlight w:val="none"/>
        </w:rPr>
        <w:t>评审办法前附表</w:t>
      </w:r>
      <w:bookmarkEnd w:id="69"/>
      <w:bookmarkEnd w:id="70"/>
      <w:bookmarkEnd w:id="71"/>
      <w:bookmarkEnd w:id="72"/>
    </w:p>
    <w:p w14:paraId="76EF0524">
      <w:pPr>
        <w:ind w:firstLine="420"/>
        <w:rPr>
          <w:color w:val="auto"/>
          <w:highlight w:val="none"/>
        </w:rPr>
      </w:pPr>
      <w:r>
        <w:rPr>
          <w:color w:val="auto"/>
          <w:szCs w:val="21"/>
          <w:highlight w:val="none"/>
        </w:rPr>
        <w:t>若</w:t>
      </w:r>
      <w:r>
        <w:rPr>
          <w:rFonts w:hint="eastAsia"/>
          <w:color w:val="auto"/>
          <w:szCs w:val="21"/>
          <w:highlight w:val="none"/>
        </w:rPr>
        <w:t>评审办法前附表</w:t>
      </w:r>
      <w:r>
        <w:rPr>
          <w:color w:val="auto"/>
          <w:szCs w:val="21"/>
          <w:highlight w:val="none"/>
        </w:rPr>
        <w:t>与正文不一致的地方，以</w:t>
      </w:r>
      <w:r>
        <w:rPr>
          <w:rFonts w:hint="eastAsia"/>
          <w:color w:val="auto"/>
          <w:szCs w:val="21"/>
          <w:highlight w:val="none"/>
        </w:rPr>
        <w:t>评审办法前附表</w:t>
      </w:r>
      <w:r>
        <w:rPr>
          <w:color w:val="auto"/>
          <w:szCs w:val="21"/>
          <w:highlight w:val="none"/>
        </w:rPr>
        <w:t>为准。</w:t>
      </w:r>
    </w:p>
    <w:tbl>
      <w:tblPr>
        <w:tblStyle w:val="8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03AC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7B6D122D">
            <w:pPr>
              <w:pStyle w:val="111"/>
              <w:rPr>
                <w:color w:val="auto"/>
                <w:highlight w:val="none"/>
              </w:rPr>
            </w:pPr>
            <w:bookmarkStart w:id="73" w:name="CQZH1_07"/>
            <w:r>
              <w:rPr>
                <w:rFonts w:hint="eastAsia"/>
                <w:color w:val="auto"/>
                <w:highlight w:val="none"/>
              </w:rPr>
              <w:t>条款号</w:t>
            </w:r>
          </w:p>
        </w:tc>
        <w:tc>
          <w:tcPr>
            <w:tcW w:w="1482" w:type="dxa"/>
            <w:vAlign w:val="center"/>
          </w:tcPr>
          <w:p w14:paraId="685E2CBA">
            <w:pPr>
              <w:pStyle w:val="111"/>
              <w:rPr>
                <w:color w:val="auto"/>
                <w:highlight w:val="none"/>
              </w:rPr>
            </w:pPr>
            <w:r>
              <w:rPr>
                <w:rFonts w:hint="eastAsia"/>
                <w:color w:val="auto"/>
                <w:highlight w:val="none"/>
              </w:rPr>
              <w:t>评审因素</w:t>
            </w:r>
          </w:p>
        </w:tc>
        <w:tc>
          <w:tcPr>
            <w:tcW w:w="7162" w:type="dxa"/>
            <w:gridSpan w:val="3"/>
            <w:vAlign w:val="center"/>
          </w:tcPr>
          <w:p w14:paraId="6C7ECAB2">
            <w:pPr>
              <w:pStyle w:val="111"/>
              <w:rPr>
                <w:color w:val="auto"/>
                <w:highlight w:val="none"/>
              </w:rPr>
            </w:pPr>
            <w:r>
              <w:rPr>
                <w:rFonts w:hint="eastAsia"/>
                <w:color w:val="auto"/>
                <w:highlight w:val="none"/>
              </w:rPr>
              <w:t>评审标准</w:t>
            </w:r>
          </w:p>
        </w:tc>
      </w:tr>
      <w:tr w14:paraId="7C00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113D232A">
            <w:pPr>
              <w:pStyle w:val="110"/>
              <w:rPr>
                <w:color w:val="auto"/>
                <w:highlight w:val="none"/>
              </w:rPr>
            </w:pPr>
            <w:r>
              <w:rPr>
                <w:rFonts w:hint="eastAsia"/>
                <w:color w:val="auto"/>
                <w:highlight w:val="none"/>
              </w:rPr>
              <w:t>1</w:t>
            </w:r>
          </w:p>
        </w:tc>
        <w:tc>
          <w:tcPr>
            <w:tcW w:w="1482" w:type="dxa"/>
            <w:tcBorders>
              <w:top w:val="single" w:color="auto" w:sz="4" w:space="0"/>
              <w:left w:val="single" w:color="auto" w:sz="4" w:space="0"/>
              <w:right w:val="single" w:color="auto" w:sz="4" w:space="0"/>
            </w:tcBorders>
            <w:vAlign w:val="center"/>
          </w:tcPr>
          <w:p w14:paraId="2BFA8A4B">
            <w:pPr>
              <w:pStyle w:val="110"/>
              <w:rPr>
                <w:color w:val="auto"/>
                <w:highlight w:val="none"/>
              </w:rPr>
            </w:pPr>
            <w:r>
              <w:rPr>
                <w:rFonts w:hint="eastAsia"/>
                <w:color w:val="auto"/>
                <w:highlight w:val="none"/>
              </w:rPr>
              <w:t>评审办法</w:t>
            </w:r>
          </w:p>
        </w:tc>
        <w:tc>
          <w:tcPr>
            <w:tcW w:w="7162" w:type="dxa"/>
            <w:gridSpan w:val="3"/>
            <w:vAlign w:val="center"/>
          </w:tcPr>
          <w:p w14:paraId="38605360">
            <w:pPr>
              <w:pStyle w:val="110"/>
              <w:rPr>
                <w:color w:val="auto"/>
                <w:highlight w:val="none"/>
              </w:rPr>
            </w:pPr>
            <w:r>
              <w:rPr>
                <w:rFonts w:hint="eastAsia"/>
                <w:color w:val="auto"/>
                <w:highlight w:val="none"/>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w:t>
            </w:r>
            <w:r>
              <w:rPr>
                <w:color w:val="auto"/>
                <w:highlight w:val="none"/>
              </w:rPr>
              <w:t>参选人</w:t>
            </w:r>
            <w:r>
              <w:rPr>
                <w:rFonts w:hint="eastAsia"/>
                <w:color w:val="auto"/>
                <w:highlight w:val="none"/>
              </w:rPr>
              <w:t>项目</w:t>
            </w:r>
            <w:r>
              <w:rPr>
                <w:color w:val="auto"/>
                <w:highlight w:val="none"/>
              </w:rPr>
              <w:t>实施案例得分从高到低</w:t>
            </w:r>
            <w:r>
              <w:rPr>
                <w:rFonts w:hint="eastAsia"/>
                <w:color w:val="auto"/>
                <w:highlight w:val="none"/>
              </w:rPr>
              <w:t>原则排序。</w:t>
            </w:r>
          </w:p>
        </w:tc>
      </w:tr>
      <w:tr w14:paraId="1D22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4DCF0E23">
            <w:pPr>
              <w:pStyle w:val="110"/>
              <w:rPr>
                <w:color w:val="auto"/>
                <w:highlight w:val="none"/>
              </w:rPr>
            </w:pPr>
            <w:r>
              <w:rPr>
                <w:rFonts w:hint="eastAsia"/>
                <w:color w:val="auto"/>
                <w:highlight w:val="none"/>
              </w:rPr>
              <w:t>2.1</w:t>
            </w:r>
          </w:p>
        </w:tc>
        <w:tc>
          <w:tcPr>
            <w:tcW w:w="1482" w:type="dxa"/>
            <w:tcBorders>
              <w:top w:val="single" w:color="auto" w:sz="4" w:space="0"/>
              <w:left w:val="single" w:color="auto" w:sz="4" w:space="0"/>
              <w:right w:val="single" w:color="auto" w:sz="4" w:space="0"/>
            </w:tcBorders>
            <w:vAlign w:val="center"/>
          </w:tcPr>
          <w:p w14:paraId="334AE220">
            <w:pPr>
              <w:pStyle w:val="110"/>
              <w:rPr>
                <w:color w:val="auto"/>
                <w:highlight w:val="none"/>
              </w:rPr>
            </w:pPr>
            <w:r>
              <w:rPr>
                <w:rFonts w:hint="eastAsia"/>
                <w:color w:val="auto"/>
                <w:highlight w:val="none"/>
              </w:rPr>
              <w:t>初步评审标准</w:t>
            </w:r>
          </w:p>
        </w:tc>
        <w:tc>
          <w:tcPr>
            <w:tcW w:w="7162" w:type="dxa"/>
            <w:gridSpan w:val="3"/>
            <w:vAlign w:val="center"/>
          </w:tcPr>
          <w:p w14:paraId="200A1492">
            <w:pPr>
              <w:pStyle w:val="110"/>
              <w:rPr>
                <w:color w:val="auto"/>
                <w:highlight w:val="none"/>
              </w:rPr>
            </w:pPr>
            <w:r>
              <w:rPr>
                <w:rFonts w:hint="eastAsia"/>
                <w:color w:val="auto"/>
                <w:highlight w:val="none"/>
              </w:rPr>
              <w:t>所有参选单位进行初步评审。初步评审内容：资格评审、形式评审、响应性评审。</w:t>
            </w:r>
          </w:p>
        </w:tc>
      </w:tr>
      <w:tr w14:paraId="474C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3E4552DA">
            <w:pPr>
              <w:pStyle w:val="110"/>
              <w:rPr>
                <w:color w:val="auto"/>
                <w:highlight w:val="none"/>
              </w:rPr>
            </w:pPr>
            <w:r>
              <w:rPr>
                <w:rFonts w:hint="eastAsia"/>
                <w:color w:val="auto"/>
                <w:highlight w:val="none"/>
              </w:rPr>
              <w:t>2.1.1</w:t>
            </w:r>
          </w:p>
        </w:tc>
        <w:tc>
          <w:tcPr>
            <w:tcW w:w="1482" w:type="dxa"/>
            <w:tcBorders>
              <w:top w:val="single" w:color="auto" w:sz="4" w:space="0"/>
              <w:left w:val="single" w:color="auto" w:sz="4" w:space="0"/>
              <w:right w:val="single" w:color="auto" w:sz="4" w:space="0"/>
            </w:tcBorders>
            <w:vAlign w:val="center"/>
          </w:tcPr>
          <w:p w14:paraId="659EBE8F">
            <w:pPr>
              <w:pStyle w:val="110"/>
              <w:rPr>
                <w:color w:val="auto"/>
                <w:highlight w:val="none"/>
              </w:rPr>
            </w:pPr>
            <w:r>
              <w:rPr>
                <w:rFonts w:hint="eastAsia"/>
                <w:color w:val="auto"/>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42E1F5F6">
            <w:pPr>
              <w:pStyle w:val="110"/>
              <w:rPr>
                <w:color w:val="auto"/>
                <w:highlight w:val="none"/>
              </w:rPr>
            </w:pPr>
            <w:r>
              <w:rPr>
                <w:rFonts w:hint="eastAsia"/>
                <w:color w:val="auto"/>
                <w:highlight w:val="none"/>
              </w:rPr>
              <w:t>资格条件要求</w:t>
            </w:r>
          </w:p>
        </w:tc>
        <w:tc>
          <w:tcPr>
            <w:tcW w:w="5476" w:type="dxa"/>
            <w:vAlign w:val="center"/>
          </w:tcPr>
          <w:p w14:paraId="47191271">
            <w:pPr>
              <w:pStyle w:val="110"/>
              <w:rPr>
                <w:color w:val="auto"/>
                <w:highlight w:val="none"/>
              </w:rPr>
            </w:pPr>
            <w:r>
              <w:rPr>
                <w:rFonts w:hint="eastAsia"/>
                <w:color w:val="auto"/>
                <w:highlight w:val="none"/>
              </w:rPr>
              <w:t>符合第一章“2. 参选人资格要求”规定</w:t>
            </w:r>
          </w:p>
        </w:tc>
      </w:tr>
      <w:tr w14:paraId="2767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restart"/>
            <w:vAlign w:val="center"/>
          </w:tcPr>
          <w:p w14:paraId="0E39DDCA">
            <w:pPr>
              <w:pStyle w:val="110"/>
              <w:rPr>
                <w:color w:val="auto"/>
                <w:highlight w:val="none"/>
              </w:rPr>
            </w:pPr>
            <w:r>
              <w:rPr>
                <w:rFonts w:hint="eastAsia"/>
                <w:color w:val="auto"/>
                <w:highlight w:val="none"/>
              </w:rPr>
              <w:t>2.1.2</w:t>
            </w:r>
          </w:p>
        </w:tc>
        <w:tc>
          <w:tcPr>
            <w:tcW w:w="1482" w:type="dxa"/>
            <w:vMerge w:val="restart"/>
            <w:tcBorders>
              <w:top w:val="single" w:color="auto" w:sz="4" w:space="0"/>
              <w:left w:val="single" w:color="auto" w:sz="4" w:space="0"/>
              <w:right w:val="single" w:color="auto" w:sz="4" w:space="0"/>
            </w:tcBorders>
            <w:vAlign w:val="center"/>
          </w:tcPr>
          <w:p w14:paraId="25CC78F6">
            <w:pPr>
              <w:pStyle w:val="110"/>
              <w:rPr>
                <w:color w:val="auto"/>
                <w:highlight w:val="none"/>
              </w:rPr>
            </w:pPr>
            <w:r>
              <w:rPr>
                <w:rFonts w:hint="eastAsia"/>
                <w:color w:val="auto"/>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421D094F">
            <w:pPr>
              <w:pStyle w:val="110"/>
              <w:rPr>
                <w:color w:val="auto"/>
                <w:highlight w:val="none"/>
              </w:rPr>
            </w:pPr>
            <w:r>
              <w:rPr>
                <w:rFonts w:hint="eastAsia"/>
                <w:color w:val="auto"/>
                <w:highlight w:val="none"/>
              </w:rPr>
              <w:t>参选人名称</w:t>
            </w:r>
          </w:p>
        </w:tc>
        <w:tc>
          <w:tcPr>
            <w:tcW w:w="5476" w:type="dxa"/>
            <w:vAlign w:val="center"/>
          </w:tcPr>
          <w:p w14:paraId="54553C91">
            <w:pPr>
              <w:pStyle w:val="110"/>
              <w:rPr>
                <w:color w:val="auto"/>
                <w:highlight w:val="none"/>
              </w:rPr>
            </w:pPr>
            <w:r>
              <w:rPr>
                <w:rFonts w:hint="eastAsia"/>
                <w:color w:val="auto"/>
                <w:highlight w:val="none"/>
              </w:rPr>
              <w:t>与营业执照、资格证明材料一致</w:t>
            </w:r>
          </w:p>
        </w:tc>
      </w:tr>
      <w:tr w14:paraId="4C1D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4710B5BA">
            <w:pPr>
              <w:pStyle w:val="110"/>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373B994A">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FF8F83B">
            <w:pPr>
              <w:pStyle w:val="110"/>
              <w:rPr>
                <w:color w:val="auto"/>
                <w:highlight w:val="none"/>
              </w:rPr>
            </w:pPr>
            <w:r>
              <w:rPr>
                <w:rFonts w:hint="eastAsia"/>
                <w:color w:val="auto"/>
                <w:highlight w:val="none"/>
              </w:rPr>
              <w:t>参选文件的签字盖章</w:t>
            </w:r>
          </w:p>
        </w:tc>
        <w:tc>
          <w:tcPr>
            <w:tcW w:w="5476" w:type="dxa"/>
            <w:vAlign w:val="center"/>
          </w:tcPr>
          <w:p w14:paraId="535D3CF5">
            <w:pPr>
              <w:pStyle w:val="110"/>
              <w:rPr>
                <w:color w:val="auto"/>
                <w:highlight w:val="none"/>
              </w:rPr>
            </w:pPr>
            <w:r>
              <w:rPr>
                <w:rFonts w:hint="eastAsia"/>
                <w:color w:val="auto"/>
                <w:highlight w:val="none"/>
              </w:rPr>
              <w:t>符合第二章“参选人须知”4.5 条规定</w:t>
            </w:r>
          </w:p>
        </w:tc>
      </w:tr>
      <w:tr w14:paraId="0B6E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161DEA1D">
            <w:pPr>
              <w:pStyle w:val="110"/>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D4EF8CD">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217DA98">
            <w:pPr>
              <w:pStyle w:val="110"/>
              <w:rPr>
                <w:color w:val="auto"/>
                <w:highlight w:val="none"/>
              </w:rPr>
            </w:pPr>
            <w:r>
              <w:rPr>
                <w:rFonts w:hint="eastAsia"/>
                <w:color w:val="auto"/>
                <w:highlight w:val="none"/>
              </w:rPr>
              <w:t>参选文件的密封</w:t>
            </w:r>
          </w:p>
        </w:tc>
        <w:tc>
          <w:tcPr>
            <w:tcW w:w="5476" w:type="dxa"/>
            <w:vAlign w:val="center"/>
          </w:tcPr>
          <w:p w14:paraId="2836B7E6">
            <w:pPr>
              <w:pStyle w:val="110"/>
              <w:rPr>
                <w:color w:val="auto"/>
                <w:highlight w:val="none"/>
              </w:rPr>
            </w:pPr>
            <w:r>
              <w:rPr>
                <w:rFonts w:hint="eastAsia"/>
                <w:color w:val="auto"/>
                <w:highlight w:val="none"/>
              </w:rPr>
              <w:t>符合第二章“参选人须知”4.6 条规定</w:t>
            </w:r>
          </w:p>
        </w:tc>
      </w:tr>
      <w:tr w14:paraId="5A24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52F2E3CA">
            <w:pPr>
              <w:pStyle w:val="110"/>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2C0EE35">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C70218D">
            <w:pPr>
              <w:pStyle w:val="110"/>
              <w:rPr>
                <w:color w:val="auto"/>
                <w:highlight w:val="none"/>
              </w:rPr>
            </w:pPr>
            <w:r>
              <w:rPr>
                <w:rFonts w:hint="eastAsia"/>
                <w:color w:val="auto"/>
                <w:highlight w:val="none"/>
              </w:rPr>
              <w:t>参选文件格式</w:t>
            </w:r>
          </w:p>
        </w:tc>
        <w:tc>
          <w:tcPr>
            <w:tcW w:w="5476" w:type="dxa"/>
            <w:vAlign w:val="center"/>
          </w:tcPr>
          <w:p w14:paraId="06CB8B31">
            <w:pPr>
              <w:pStyle w:val="110"/>
              <w:rPr>
                <w:color w:val="auto"/>
                <w:highlight w:val="none"/>
              </w:rPr>
            </w:pPr>
            <w:r>
              <w:rPr>
                <w:rFonts w:hint="eastAsia"/>
                <w:color w:val="auto"/>
                <w:highlight w:val="none"/>
              </w:rPr>
              <w:t>符合第六章“参选文件格式”的要求</w:t>
            </w:r>
          </w:p>
        </w:tc>
      </w:tr>
      <w:tr w14:paraId="1416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78DE543D">
            <w:pPr>
              <w:pStyle w:val="110"/>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018ACD9A">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8B458CA">
            <w:pPr>
              <w:pStyle w:val="110"/>
              <w:rPr>
                <w:color w:val="auto"/>
                <w:highlight w:val="none"/>
              </w:rPr>
            </w:pPr>
            <w:r>
              <w:rPr>
                <w:rFonts w:hint="eastAsia"/>
                <w:color w:val="auto"/>
                <w:highlight w:val="none"/>
              </w:rPr>
              <w:t>参选文件组成</w:t>
            </w:r>
          </w:p>
        </w:tc>
        <w:tc>
          <w:tcPr>
            <w:tcW w:w="5476" w:type="dxa"/>
            <w:vAlign w:val="center"/>
          </w:tcPr>
          <w:p w14:paraId="0DD5E368">
            <w:pPr>
              <w:pStyle w:val="110"/>
              <w:rPr>
                <w:color w:val="auto"/>
                <w:highlight w:val="none"/>
              </w:rPr>
            </w:pPr>
            <w:r>
              <w:rPr>
                <w:rFonts w:hint="eastAsia"/>
                <w:color w:val="auto"/>
                <w:highlight w:val="none"/>
              </w:rPr>
              <w:t>符合第二章“参选人须知”4.1 条规定，内容齐全、无遗漏</w:t>
            </w:r>
          </w:p>
        </w:tc>
      </w:tr>
      <w:tr w14:paraId="7183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523CD246">
            <w:pPr>
              <w:pStyle w:val="110"/>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3DB72640">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B556AA3">
            <w:pPr>
              <w:pStyle w:val="110"/>
              <w:rPr>
                <w:color w:val="auto"/>
                <w:highlight w:val="none"/>
              </w:rPr>
            </w:pPr>
            <w:r>
              <w:rPr>
                <w:rFonts w:hint="eastAsia"/>
                <w:color w:val="auto"/>
                <w:highlight w:val="none"/>
              </w:rPr>
              <w:t>联合体参选</w:t>
            </w:r>
          </w:p>
        </w:tc>
        <w:tc>
          <w:tcPr>
            <w:tcW w:w="5476" w:type="dxa"/>
            <w:vAlign w:val="center"/>
          </w:tcPr>
          <w:p w14:paraId="44F51242">
            <w:pPr>
              <w:pStyle w:val="110"/>
              <w:rPr>
                <w:color w:val="auto"/>
                <w:highlight w:val="none"/>
              </w:rPr>
            </w:pPr>
            <w:r>
              <w:rPr>
                <w:rFonts w:hint="eastAsia"/>
                <w:color w:val="auto"/>
                <w:highlight w:val="none"/>
              </w:rPr>
              <w:t>符合第一章“2. 参选人资格要求”2.8 条的要求</w:t>
            </w:r>
          </w:p>
        </w:tc>
      </w:tr>
      <w:tr w14:paraId="1843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restart"/>
            <w:vAlign w:val="center"/>
          </w:tcPr>
          <w:p w14:paraId="41E8F4BF">
            <w:pPr>
              <w:pStyle w:val="110"/>
              <w:rPr>
                <w:color w:val="auto"/>
                <w:highlight w:val="none"/>
              </w:rPr>
            </w:pPr>
            <w:r>
              <w:rPr>
                <w:rFonts w:hint="eastAsia"/>
                <w:color w:val="auto"/>
                <w:highlight w:val="none"/>
              </w:rPr>
              <w:t>2.1.3</w:t>
            </w:r>
          </w:p>
        </w:tc>
        <w:tc>
          <w:tcPr>
            <w:tcW w:w="1482" w:type="dxa"/>
            <w:vMerge w:val="restart"/>
            <w:tcBorders>
              <w:top w:val="single" w:color="auto" w:sz="4" w:space="0"/>
              <w:left w:val="single" w:color="auto" w:sz="4" w:space="0"/>
              <w:right w:val="single" w:color="auto" w:sz="4" w:space="0"/>
            </w:tcBorders>
            <w:vAlign w:val="center"/>
          </w:tcPr>
          <w:p w14:paraId="531A035F">
            <w:pPr>
              <w:pStyle w:val="110"/>
              <w:rPr>
                <w:color w:val="auto"/>
                <w:highlight w:val="none"/>
              </w:rPr>
            </w:pPr>
            <w:r>
              <w:rPr>
                <w:rFonts w:hint="eastAsia"/>
                <w:color w:val="auto"/>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5F75CB44">
            <w:pPr>
              <w:pStyle w:val="110"/>
              <w:rPr>
                <w:color w:val="auto"/>
                <w:highlight w:val="none"/>
              </w:rPr>
            </w:pPr>
            <w:r>
              <w:rPr>
                <w:rFonts w:hint="eastAsia"/>
                <w:color w:val="auto"/>
                <w:highlight w:val="none"/>
              </w:rPr>
              <w:t>参选内容</w:t>
            </w:r>
          </w:p>
        </w:tc>
        <w:tc>
          <w:tcPr>
            <w:tcW w:w="5476" w:type="dxa"/>
            <w:vAlign w:val="center"/>
          </w:tcPr>
          <w:p w14:paraId="3E44B6E6">
            <w:pPr>
              <w:pStyle w:val="110"/>
              <w:rPr>
                <w:color w:val="auto"/>
                <w:highlight w:val="none"/>
              </w:rPr>
            </w:pPr>
            <w:r>
              <w:rPr>
                <w:rFonts w:hint="eastAsia"/>
                <w:color w:val="auto"/>
                <w:highlight w:val="none"/>
              </w:rPr>
              <w:t>1. 在响应承诺函中对第三章“项目要求”内容做出整体承诺；</w:t>
            </w:r>
          </w:p>
          <w:p w14:paraId="09E2E651">
            <w:pPr>
              <w:pStyle w:val="110"/>
              <w:rPr>
                <w:color w:val="auto"/>
                <w:highlight w:val="none"/>
              </w:rPr>
            </w:pPr>
            <w:r>
              <w:rPr>
                <w:rFonts w:hint="eastAsia"/>
                <w:color w:val="auto"/>
                <w:highlight w:val="none"/>
              </w:rPr>
              <w:t xml:space="preserve">2. 根据第一章“2. </w:t>
            </w:r>
            <w:r>
              <w:rPr>
                <w:color w:val="auto"/>
                <w:highlight w:val="none"/>
              </w:rPr>
              <w:t>参选人资格要求”和第三章“项目要求”的要求规定，提供材料，内容齐全、无遗漏。</w:t>
            </w:r>
          </w:p>
        </w:tc>
      </w:tr>
      <w:tr w14:paraId="19C0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0BDFE8BB">
            <w:pPr>
              <w:pStyle w:val="110"/>
              <w:rPr>
                <w:color w:val="auto"/>
                <w:highlight w:val="none"/>
              </w:rPr>
            </w:pPr>
          </w:p>
        </w:tc>
        <w:tc>
          <w:tcPr>
            <w:tcW w:w="1482" w:type="dxa"/>
            <w:vMerge w:val="continue"/>
            <w:tcBorders>
              <w:top w:val="single" w:color="auto" w:sz="4" w:space="0"/>
              <w:left w:val="single" w:color="auto" w:sz="4" w:space="0"/>
              <w:right w:val="single" w:color="auto" w:sz="4" w:space="0"/>
            </w:tcBorders>
          </w:tcPr>
          <w:p w14:paraId="042F7052">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DB36AE6">
            <w:pPr>
              <w:pStyle w:val="110"/>
              <w:rPr>
                <w:color w:val="auto"/>
                <w:highlight w:val="none"/>
              </w:rPr>
            </w:pPr>
            <w:r>
              <w:rPr>
                <w:rFonts w:hint="eastAsia"/>
                <w:color w:val="auto"/>
                <w:highlight w:val="none"/>
              </w:rPr>
              <w:t>参选文件份数</w:t>
            </w:r>
          </w:p>
        </w:tc>
        <w:tc>
          <w:tcPr>
            <w:tcW w:w="5476" w:type="dxa"/>
            <w:vAlign w:val="center"/>
          </w:tcPr>
          <w:p w14:paraId="6370F71E">
            <w:pPr>
              <w:pStyle w:val="110"/>
              <w:rPr>
                <w:color w:val="auto"/>
                <w:highlight w:val="none"/>
              </w:rPr>
            </w:pPr>
            <w:r>
              <w:rPr>
                <w:rFonts w:hint="eastAsia"/>
                <w:color w:val="auto"/>
                <w:highlight w:val="none"/>
              </w:rPr>
              <w:t>符合第二章“参选人须知”4.5 条规定</w:t>
            </w:r>
          </w:p>
        </w:tc>
      </w:tr>
      <w:tr w14:paraId="42E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37438D69">
            <w:pPr>
              <w:pStyle w:val="110"/>
              <w:rPr>
                <w:color w:val="auto"/>
                <w:highlight w:val="none"/>
              </w:rPr>
            </w:pPr>
          </w:p>
        </w:tc>
        <w:tc>
          <w:tcPr>
            <w:tcW w:w="1482" w:type="dxa"/>
            <w:vMerge w:val="continue"/>
            <w:tcBorders>
              <w:top w:val="single" w:color="auto" w:sz="4" w:space="0"/>
              <w:left w:val="single" w:color="auto" w:sz="4" w:space="0"/>
              <w:right w:val="single" w:color="auto" w:sz="4" w:space="0"/>
            </w:tcBorders>
          </w:tcPr>
          <w:p w14:paraId="567323BA">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C8548DE">
            <w:pPr>
              <w:pStyle w:val="110"/>
              <w:rPr>
                <w:color w:val="auto"/>
                <w:highlight w:val="none"/>
              </w:rPr>
            </w:pPr>
            <w:r>
              <w:rPr>
                <w:rFonts w:hint="eastAsia"/>
                <w:color w:val="auto"/>
                <w:highlight w:val="none"/>
              </w:rPr>
              <w:t>参选方案唯一</w:t>
            </w:r>
          </w:p>
        </w:tc>
        <w:tc>
          <w:tcPr>
            <w:tcW w:w="5476" w:type="dxa"/>
            <w:vAlign w:val="center"/>
          </w:tcPr>
          <w:p w14:paraId="2B3B792C">
            <w:pPr>
              <w:pStyle w:val="110"/>
              <w:rPr>
                <w:color w:val="auto"/>
                <w:highlight w:val="none"/>
              </w:rPr>
            </w:pPr>
            <w:r>
              <w:rPr>
                <w:rFonts w:hint="eastAsia"/>
                <w:color w:val="auto"/>
                <w:highlight w:val="none"/>
              </w:rPr>
              <w:t>只能有一个方案参选。</w:t>
            </w:r>
          </w:p>
        </w:tc>
      </w:tr>
      <w:tr w14:paraId="4403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3971A4F3">
            <w:pPr>
              <w:pStyle w:val="110"/>
              <w:rPr>
                <w:color w:val="auto"/>
                <w:highlight w:val="none"/>
              </w:rPr>
            </w:pPr>
          </w:p>
        </w:tc>
        <w:tc>
          <w:tcPr>
            <w:tcW w:w="1482" w:type="dxa"/>
            <w:vMerge w:val="continue"/>
            <w:tcBorders>
              <w:top w:val="single" w:color="auto" w:sz="4" w:space="0"/>
              <w:left w:val="single" w:color="auto" w:sz="4" w:space="0"/>
              <w:right w:val="single" w:color="auto" w:sz="4" w:space="0"/>
            </w:tcBorders>
          </w:tcPr>
          <w:p w14:paraId="41E781BB">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666700A">
            <w:pPr>
              <w:pStyle w:val="110"/>
              <w:rPr>
                <w:color w:val="auto"/>
                <w:highlight w:val="none"/>
              </w:rPr>
            </w:pPr>
            <w:r>
              <w:rPr>
                <w:rFonts w:hint="eastAsia"/>
                <w:color w:val="auto"/>
                <w:highlight w:val="none"/>
              </w:rPr>
              <w:t>参选报价</w:t>
            </w:r>
          </w:p>
        </w:tc>
        <w:tc>
          <w:tcPr>
            <w:tcW w:w="5476" w:type="dxa"/>
            <w:vAlign w:val="center"/>
          </w:tcPr>
          <w:p w14:paraId="2E935625">
            <w:pPr>
              <w:pStyle w:val="110"/>
              <w:rPr>
                <w:color w:val="auto"/>
                <w:highlight w:val="none"/>
              </w:rPr>
            </w:pPr>
            <w:r>
              <w:rPr>
                <w:rFonts w:hint="eastAsia"/>
                <w:color w:val="auto"/>
                <w:highlight w:val="none"/>
              </w:rPr>
              <w:t>符合第二章“参选人须知”4.7 条规定</w:t>
            </w:r>
          </w:p>
        </w:tc>
      </w:tr>
      <w:tr w14:paraId="3B7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2BF92994">
            <w:pPr>
              <w:pStyle w:val="110"/>
              <w:rPr>
                <w:color w:val="auto"/>
                <w:highlight w:val="none"/>
              </w:rPr>
            </w:pPr>
          </w:p>
        </w:tc>
        <w:tc>
          <w:tcPr>
            <w:tcW w:w="1482" w:type="dxa"/>
            <w:vMerge w:val="continue"/>
            <w:tcBorders>
              <w:top w:val="single" w:color="auto" w:sz="4" w:space="0"/>
              <w:left w:val="single" w:color="auto" w:sz="4" w:space="0"/>
              <w:right w:val="single" w:color="auto" w:sz="4" w:space="0"/>
            </w:tcBorders>
          </w:tcPr>
          <w:p w14:paraId="3DCBF392">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94B06F2">
            <w:pPr>
              <w:pStyle w:val="110"/>
              <w:rPr>
                <w:color w:val="auto"/>
                <w:highlight w:val="none"/>
              </w:rPr>
            </w:pPr>
            <w:r>
              <w:rPr>
                <w:rFonts w:hint="eastAsia"/>
                <w:color w:val="auto"/>
                <w:highlight w:val="none"/>
              </w:rPr>
              <w:t>参选有效期</w:t>
            </w:r>
          </w:p>
        </w:tc>
        <w:tc>
          <w:tcPr>
            <w:tcW w:w="5476" w:type="dxa"/>
          </w:tcPr>
          <w:p w14:paraId="5A18C7C2">
            <w:pPr>
              <w:pStyle w:val="110"/>
              <w:rPr>
                <w:color w:val="auto"/>
                <w:highlight w:val="none"/>
              </w:rPr>
            </w:pPr>
            <w:r>
              <w:rPr>
                <w:rFonts w:hint="eastAsia"/>
                <w:color w:val="auto"/>
                <w:highlight w:val="none"/>
              </w:rPr>
              <w:t>符合第二章“参选人须知”4.3 条规定</w:t>
            </w:r>
          </w:p>
        </w:tc>
      </w:tr>
      <w:tr w14:paraId="4CED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081A67E7">
            <w:pPr>
              <w:pStyle w:val="110"/>
              <w:rPr>
                <w:color w:val="auto"/>
                <w:highlight w:val="none"/>
              </w:rPr>
            </w:pPr>
          </w:p>
        </w:tc>
        <w:tc>
          <w:tcPr>
            <w:tcW w:w="1482" w:type="dxa"/>
            <w:vMerge w:val="continue"/>
            <w:tcBorders>
              <w:top w:val="single" w:color="auto" w:sz="4" w:space="0"/>
              <w:left w:val="single" w:color="auto" w:sz="4" w:space="0"/>
              <w:right w:val="single" w:color="auto" w:sz="4" w:space="0"/>
            </w:tcBorders>
          </w:tcPr>
          <w:p w14:paraId="044750D5">
            <w:pPr>
              <w:pStyle w:val="110"/>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22AA898">
            <w:pPr>
              <w:pStyle w:val="110"/>
              <w:rPr>
                <w:color w:val="auto"/>
                <w:highlight w:val="none"/>
              </w:rPr>
            </w:pPr>
            <w:r>
              <w:rPr>
                <w:rFonts w:hint="eastAsia"/>
                <w:color w:val="auto"/>
                <w:highlight w:val="none"/>
              </w:rPr>
              <w:t>参选保证金</w:t>
            </w:r>
          </w:p>
        </w:tc>
        <w:tc>
          <w:tcPr>
            <w:tcW w:w="5476" w:type="dxa"/>
          </w:tcPr>
          <w:p w14:paraId="50BC68CC">
            <w:pPr>
              <w:pStyle w:val="110"/>
              <w:rPr>
                <w:color w:val="auto"/>
                <w:highlight w:val="none"/>
              </w:rPr>
            </w:pPr>
            <w:r>
              <w:rPr>
                <w:rFonts w:hint="eastAsia"/>
                <w:color w:val="auto"/>
                <w:highlight w:val="none"/>
              </w:rPr>
              <w:t>符合第二章“参选人须知”4.4 条规定</w:t>
            </w:r>
          </w:p>
        </w:tc>
      </w:tr>
      <w:tr w14:paraId="2CA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restart"/>
            <w:vAlign w:val="center"/>
          </w:tcPr>
          <w:p w14:paraId="1F8DFC37">
            <w:pPr>
              <w:pStyle w:val="110"/>
              <w:rPr>
                <w:color w:val="auto"/>
                <w:highlight w:val="none"/>
              </w:rPr>
            </w:pPr>
            <w:r>
              <w:rPr>
                <w:rFonts w:hint="eastAsia"/>
                <w:color w:val="auto"/>
                <w:highlight w:val="none"/>
              </w:rPr>
              <w:t>2.2</w:t>
            </w:r>
          </w:p>
        </w:tc>
        <w:tc>
          <w:tcPr>
            <w:tcW w:w="1482" w:type="dxa"/>
            <w:vMerge w:val="restart"/>
            <w:tcBorders>
              <w:top w:val="single" w:color="auto" w:sz="4" w:space="0"/>
              <w:left w:val="single" w:color="auto" w:sz="4" w:space="0"/>
              <w:right w:val="single" w:color="auto" w:sz="4" w:space="0"/>
            </w:tcBorders>
            <w:vAlign w:val="center"/>
          </w:tcPr>
          <w:p w14:paraId="7F07CDAD">
            <w:pPr>
              <w:pStyle w:val="110"/>
              <w:rPr>
                <w:color w:val="auto"/>
                <w:highlight w:val="none"/>
              </w:rPr>
            </w:pPr>
            <w:r>
              <w:rPr>
                <w:rFonts w:hint="eastAsia"/>
                <w:color w:val="auto"/>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2F6FBDC8">
            <w:pPr>
              <w:pStyle w:val="110"/>
              <w:rPr>
                <w:color w:val="auto"/>
                <w:highlight w:val="none"/>
              </w:rPr>
            </w:pPr>
            <w:r>
              <w:rPr>
                <w:rFonts w:hint="eastAsia"/>
                <w:color w:val="auto"/>
                <w:highlight w:val="none"/>
              </w:rPr>
              <w:t>分值构成与评分标准</w:t>
            </w:r>
          </w:p>
          <w:p w14:paraId="0D8A845A">
            <w:pPr>
              <w:pStyle w:val="110"/>
              <w:rPr>
                <w:color w:val="auto"/>
                <w:highlight w:val="none"/>
              </w:rPr>
            </w:pPr>
            <w:r>
              <w:rPr>
                <w:rFonts w:hint="eastAsia"/>
                <w:color w:val="auto"/>
                <w:highlight w:val="none"/>
              </w:rPr>
              <w:t>(总分100分)</w:t>
            </w:r>
          </w:p>
        </w:tc>
        <w:tc>
          <w:tcPr>
            <w:tcW w:w="5476" w:type="dxa"/>
            <w:vAlign w:val="center"/>
          </w:tcPr>
          <w:p w14:paraId="064FB64E">
            <w:pPr>
              <w:pStyle w:val="110"/>
              <w:rPr>
                <w:color w:val="auto"/>
                <w:highlight w:val="none"/>
              </w:rPr>
            </w:pPr>
            <w:r>
              <w:rPr>
                <w:b/>
                <w:bCs w:val="0"/>
                <w:color w:val="auto"/>
                <w:highlight w:val="none"/>
              </w:rPr>
              <w:t>一、参选报价</w:t>
            </w:r>
            <w:r>
              <w:rPr>
                <w:rFonts w:hint="eastAsia"/>
                <w:b/>
                <w:bCs w:val="0"/>
                <w:color w:val="auto"/>
                <w:highlight w:val="none"/>
              </w:rPr>
              <w:t>（不含税报价）</w:t>
            </w:r>
            <w:r>
              <w:rPr>
                <w:b/>
                <w:bCs w:val="0"/>
                <w:color w:val="auto"/>
                <w:highlight w:val="none"/>
              </w:rPr>
              <w:t>评分规则（分值：50分）</w:t>
            </w:r>
          </w:p>
          <w:p w14:paraId="38D30A08">
            <w:pPr>
              <w:pStyle w:val="110"/>
              <w:rPr>
                <w:color w:val="auto"/>
                <w:highlight w:val="none"/>
              </w:rPr>
            </w:pPr>
            <w:r>
              <w:rPr>
                <w:rFonts w:hint="eastAsia"/>
                <w:color w:val="auto"/>
                <w:highlight w:val="none"/>
              </w:rPr>
              <w:t>1. 以各有效报价（不含税报价）之和的平均价格作为评标基准价，基准分为</w:t>
            </w:r>
            <w:r>
              <w:rPr>
                <w:color w:val="auto"/>
                <w:highlight w:val="none"/>
              </w:rPr>
              <w:t>50</w:t>
            </w:r>
            <w:r>
              <w:rPr>
                <w:rFonts w:hint="eastAsia"/>
                <w:color w:val="auto"/>
                <w:highlight w:val="none"/>
              </w:rPr>
              <w:t>分；</w:t>
            </w:r>
          </w:p>
          <w:p w14:paraId="56C26A49">
            <w:pPr>
              <w:pStyle w:val="110"/>
              <w:rPr>
                <w:color w:val="auto"/>
                <w:highlight w:val="none"/>
              </w:rPr>
            </w:pPr>
            <w:r>
              <w:rPr>
                <w:rFonts w:hint="eastAsia"/>
                <w:color w:val="auto"/>
                <w:highlight w:val="none"/>
              </w:rPr>
              <w:t>2.计算各有效报价与评标基准价的偏离度。偏离度=（有效报价/评标基准价-1）*100%；</w:t>
            </w:r>
          </w:p>
          <w:p w14:paraId="070359AE">
            <w:pPr>
              <w:pStyle w:val="110"/>
              <w:rPr>
                <w:color w:val="auto"/>
                <w:highlight w:val="none"/>
              </w:rPr>
            </w:pPr>
            <w:r>
              <w:rPr>
                <w:rFonts w:hint="eastAsia"/>
                <w:color w:val="auto"/>
                <w:highlight w:val="none"/>
              </w:rPr>
              <w:t>3. 报价向上每偏离基准价的1%扣1分；向下偏离基准价10%以内的，不扣分；向下偏离基准价超过10%的，在向下偏离基准价10%的基础上，向下偏离每多超过1%扣0.5分，扣完为止，不足1%的不予扣减。</w:t>
            </w:r>
          </w:p>
        </w:tc>
      </w:tr>
      <w:tr w14:paraId="26F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continue"/>
            <w:vAlign w:val="center"/>
          </w:tcPr>
          <w:p w14:paraId="21FF9424">
            <w:pPr>
              <w:pStyle w:val="110"/>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4E540AAC">
            <w:pPr>
              <w:pStyle w:val="110"/>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7BE6EEC2">
            <w:pPr>
              <w:pStyle w:val="110"/>
              <w:rPr>
                <w:color w:val="auto"/>
                <w:highlight w:val="none"/>
              </w:rPr>
            </w:pPr>
          </w:p>
        </w:tc>
        <w:tc>
          <w:tcPr>
            <w:tcW w:w="5476" w:type="dxa"/>
            <w:vAlign w:val="center"/>
          </w:tcPr>
          <w:p w14:paraId="635244C7">
            <w:pPr>
              <w:pStyle w:val="110"/>
              <w:rPr>
                <w:b/>
                <w:bCs w:val="0"/>
                <w:color w:val="auto"/>
                <w:highlight w:val="none"/>
              </w:rPr>
            </w:pPr>
            <w:r>
              <w:rPr>
                <w:b/>
                <w:bCs w:val="0"/>
                <w:color w:val="auto"/>
                <w:highlight w:val="none"/>
              </w:rPr>
              <w:t>二、商务部分评分规则（分值：40分）</w:t>
            </w:r>
          </w:p>
          <w:p w14:paraId="7C61125E">
            <w:pPr>
              <w:pStyle w:val="110"/>
              <w:rPr>
                <w:b/>
                <w:bCs w:val="0"/>
                <w:color w:val="auto"/>
                <w:highlight w:val="none"/>
              </w:rPr>
            </w:pPr>
            <w:r>
              <w:rPr>
                <w:b/>
                <w:bCs w:val="0"/>
                <w:color w:val="auto"/>
                <w:highlight w:val="none"/>
              </w:rPr>
              <w:t>1.参选人管理资质（分值：7分）</w:t>
            </w:r>
          </w:p>
          <w:p w14:paraId="37CF244B">
            <w:pPr>
              <w:pStyle w:val="110"/>
              <w:rPr>
                <w:color w:val="auto"/>
                <w:highlight w:val="none"/>
              </w:rPr>
            </w:pPr>
            <w:r>
              <w:rPr>
                <w:color w:val="auto"/>
                <w:highlight w:val="none"/>
              </w:rPr>
              <w:t>（1）有ISO体系相关认证，如：ISO9001（质量管理）/ISO20000（服务管理）/ISO27001（信息安全）/ISO22301（业务连续性），每项有一项认证得0.5分；满分2分；</w:t>
            </w:r>
          </w:p>
          <w:p w14:paraId="71A14454">
            <w:pPr>
              <w:pStyle w:val="110"/>
              <w:rPr>
                <w:color w:val="auto"/>
                <w:highlight w:val="none"/>
              </w:rPr>
            </w:pPr>
            <w:r>
              <w:rPr>
                <w:color w:val="auto"/>
                <w:highlight w:val="none"/>
              </w:rPr>
              <w:t>（2）有软件成熟度相关认证，拥有CMMI3级得1分，拥有CMMI4级得1.5分，拥有CMMI5级得2分，CMMI3级以下为0分；存在多项认证则以最高</w:t>
            </w:r>
            <w:r>
              <w:rPr>
                <w:rFonts w:hint="eastAsia"/>
                <w:color w:val="auto"/>
                <w:highlight w:val="none"/>
              </w:rPr>
              <w:t>单项得分为准</w:t>
            </w:r>
            <w:r>
              <w:rPr>
                <w:color w:val="auto"/>
                <w:highlight w:val="none"/>
              </w:rPr>
              <w:t>，满分2分；</w:t>
            </w:r>
          </w:p>
          <w:p w14:paraId="1E30D5C7">
            <w:pPr>
              <w:pStyle w:val="110"/>
              <w:rPr>
                <w:color w:val="auto"/>
                <w:highlight w:val="none"/>
              </w:rPr>
            </w:pPr>
            <w:r>
              <w:rPr>
                <w:color w:val="auto"/>
                <w:highlight w:val="none"/>
              </w:rPr>
              <w:t>（3）</w:t>
            </w:r>
            <w:r>
              <w:rPr>
                <w:rFonts w:hint="eastAsia"/>
                <w:color w:val="auto"/>
                <w:highlight w:val="none"/>
              </w:rPr>
              <w:t>参选人</w:t>
            </w:r>
            <w:r>
              <w:rPr>
                <w:color w:val="auto"/>
                <w:highlight w:val="none"/>
              </w:rPr>
              <w:t>在</w:t>
            </w:r>
            <w:r>
              <w:rPr>
                <w:rFonts w:hint="eastAsia"/>
                <w:color w:val="auto"/>
                <w:highlight w:val="none"/>
              </w:rPr>
              <w:t>FIDO领域拥有自主知识产权并提供著作权证书</w:t>
            </w:r>
            <w:r>
              <w:rPr>
                <w:color w:val="auto"/>
                <w:highlight w:val="none"/>
              </w:rPr>
              <w:t>、资质证书或专利</w:t>
            </w:r>
            <w:r>
              <w:rPr>
                <w:rFonts w:hint="eastAsia"/>
                <w:color w:val="auto"/>
                <w:highlight w:val="none"/>
              </w:rPr>
              <w:t>，每</w:t>
            </w:r>
            <w:r>
              <w:rPr>
                <w:color w:val="auto"/>
                <w:highlight w:val="none"/>
              </w:rPr>
              <w:t>拥有一项</w:t>
            </w:r>
            <w:r>
              <w:rPr>
                <w:rFonts w:hint="eastAsia"/>
                <w:color w:val="auto"/>
                <w:highlight w:val="none"/>
              </w:rPr>
              <w:t>证书</w:t>
            </w:r>
            <w:r>
              <w:rPr>
                <w:color w:val="auto"/>
                <w:highlight w:val="none"/>
              </w:rPr>
              <w:t>得1</w:t>
            </w:r>
            <w:r>
              <w:rPr>
                <w:rFonts w:hint="eastAsia"/>
                <w:color w:val="auto"/>
                <w:highlight w:val="none"/>
              </w:rPr>
              <w:t>分，满分</w:t>
            </w:r>
            <w:r>
              <w:rPr>
                <w:color w:val="auto"/>
                <w:highlight w:val="none"/>
              </w:rPr>
              <w:t>3</w:t>
            </w:r>
            <w:r>
              <w:rPr>
                <w:rFonts w:hint="eastAsia"/>
                <w:color w:val="auto"/>
                <w:highlight w:val="none"/>
              </w:rPr>
              <w:t>分。</w:t>
            </w:r>
          </w:p>
          <w:p w14:paraId="704E33DA">
            <w:pPr>
              <w:pStyle w:val="110"/>
              <w:rPr>
                <w:color w:val="auto"/>
                <w:highlight w:val="none"/>
              </w:rPr>
            </w:pPr>
            <w:r>
              <w:rPr>
                <w:color w:val="auto"/>
                <w:highlight w:val="none"/>
              </w:rPr>
              <w:t>注：上述证书、材料需提供原件或复印件。</w:t>
            </w:r>
          </w:p>
          <w:p w14:paraId="134040FD">
            <w:pPr>
              <w:pStyle w:val="110"/>
              <w:rPr>
                <w:b/>
                <w:bCs w:val="0"/>
                <w:color w:val="auto"/>
                <w:highlight w:val="none"/>
              </w:rPr>
            </w:pPr>
            <w:r>
              <w:rPr>
                <w:rFonts w:hint="eastAsia"/>
                <w:b/>
                <w:bCs w:val="0"/>
                <w:color w:val="auto"/>
                <w:highlight w:val="none"/>
              </w:rPr>
              <w:t>2.参选人实施案例（分值：25分）</w:t>
            </w:r>
          </w:p>
          <w:p w14:paraId="78C6B525">
            <w:pPr>
              <w:pStyle w:val="110"/>
              <w:rPr>
                <w:color w:val="auto"/>
                <w:highlight w:val="none"/>
              </w:rPr>
            </w:pPr>
            <w:r>
              <w:rPr>
                <w:rFonts w:hint="eastAsia"/>
                <w:color w:val="auto"/>
                <w:highlight w:val="none"/>
              </w:rPr>
              <w:t>得分项：</w:t>
            </w:r>
          </w:p>
          <w:p w14:paraId="0E1A4478">
            <w:pPr>
              <w:pStyle w:val="110"/>
              <w:rPr>
                <w:color w:val="auto"/>
                <w:highlight w:val="none"/>
              </w:rPr>
            </w:pPr>
            <w:r>
              <w:rPr>
                <w:color w:val="auto"/>
                <w:highlight w:val="none"/>
              </w:rPr>
              <w:t>（1）2018年1月1日至参选截止之日</w:t>
            </w:r>
            <w:r>
              <w:rPr>
                <w:rFonts w:hint="eastAsia"/>
                <w:color w:val="auto"/>
                <w:highlight w:val="none"/>
              </w:rPr>
              <w:t>（以合同签订时间为准）</w:t>
            </w:r>
            <w:r>
              <w:rPr>
                <w:color w:val="auto"/>
                <w:highlight w:val="none"/>
              </w:rPr>
              <w:t>，具有</w:t>
            </w:r>
            <w:r>
              <w:rPr>
                <w:rFonts w:hint="eastAsia"/>
                <w:color w:val="auto"/>
                <w:highlight w:val="none"/>
              </w:rPr>
              <w:t>国有大型银行（包括工、农、中、建、交、邮储）或全国股份制银行（包括招商、兴业、中信、浦发、光大、民生、平安、华夏、浙商、广发、渤海、恒丰）</w:t>
            </w:r>
            <w:r>
              <w:rPr>
                <w:color w:val="auto"/>
                <w:highlight w:val="none"/>
              </w:rPr>
              <w:t>FIDO</w:t>
            </w:r>
            <w:r>
              <w:rPr>
                <w:rFonts w:hint="eastAsia"/>
                <w:color w:val="auto"/>
                <w:highlight w:val="none"/>
              </w:rPr>
              <w:t>领域的开发项目成功案例</w:t>
            </w:r>
            <w:r>
              <w:rPr>
                <w:color w:val="auto"/>
                <w:highlight w:val="none"/>
              </w:rPr>
              <w:t>，</w:t>
            </w:r>
            <w:r>
              <w:rPr>
                <w:rFonts w:hint="eastAsia"/>
                <w:color w:val="auto"/>
                <w:highlight w:val="none"/>
              </w:rPr>
              <w:t>每个</w:t>
            </w:r>
            <w:r>
              <w:rPr>
                <w:color w:val="auto"/>
                <w:highlight w:val="none"/>
              </w:rPr>
              <w:t>案例</w:t>
            </w:r>
            <w:r>
              <w:rPr>
                <w:rFonts w:hint="eastAsia"/>
                <w:color w:val="auto"/>
                <w:highlight w:val="none"/>
              </w:rPr>
              <w:t>得</w:t>
            </w:r>
            <w:r>
              <w:rPr>
                <w:color w:val="auto"/>
                <w:highlight w:val="none"/>
              </w:rPr>
              <w:t>2</w:t>
            </w:r>
            <w:r>
              <w:rPr>
                <w:rFonts w:hint="eastAsia"/>
                <w:color w:val="auto"/>
                <w:highlight w:val="none"/>
              </w:rPr>
              <w:t>分；</w:t>
            </w:r>
          </w:p>
          <w:p w14:paraId="6E0D492F">
            <w:pPr>
              <w:pStyle w:val="110"/>
              <w:rPr>
                <w:color w:val="auto"/>
                <w:highlight w:val="none"/>
              </w:rPr>
            </w:pPr>
            <w:r>
              <w:rPr>
                <w:color w:val="auto"/>
                <w:highlight w:val="none"/>
              </w:rPr>
              <w:t>（2）2018年1月1日至参选截止之日</w:t>
            </w:r>
            <w:r>
              <w:rPr>
                <w:rFonts w:hint="eastAsia"/>
                <w:color w:val="auto"/>
                <w:highlight w:val="none"/>
              </w:rPr>
              <w:t>（以合同签订时间为准）</w:t>
            </w:r>
            <w:r>
              <w:rPr>
                <w:color w:val="auto"/>
                <w:highlight w:val="none"/>
              </w:rPr>
              <w:t>，具有</w:t>
            </w:r>
            <w:r>
              <w:rPr>
                <w:rFonts w:hint="eastAsia"/>
                <w:color w:val="auto"/>
                <w:highlight w:val="none"/>
              </w:rPr>
              <w:t>城商行或农商行或农信社</w:t>
            </w:r>
            <w:r>
              <w:rPr>
                <w:color w:val="auto"/>
                <w:highlight w:val="none"/>
              </w:rPr>
              <w:t>FIDO</w:t>
            </w:r>
            <w:r>
              <w:rPr>
                <w:rFonts w:hint="eastAsia"/>
                <w:color w:val="auto"/>
                <w:highlight w:val="none"/>
              </w:rPr>
              <w:t>领域的开发项目成功案例</w:t>
            </w:r>
            <w:r>
              <w:rPr>
                <w:color w:val="auto"/>
                <w:highlight w:val="none"/>
              </w:rPr>
              <w:t>，</w:t>
            </w:r>
            <w:r>
              <w:rPr>
                <w:rFonts w:hint="eastAsia"/>
                <w:color w:val="auto"/>
                <w:highlight w:val="none"/>
              </w:rPr>
              <w:t>每个</w:t>
            </w:r>
            <w:r>
              <w:rPr>
                <w:color w:val="auto"/>
                <w:highlight w:val="none"/>
              </w:rPr>
              <w:t>案例</w:t>
            </w:r>
            <w:r>
              <w:rPr>
                <w:rFonts w:hint="eastAsia"/>
                <w:color w:val="auto"/>
                <w:highlight w:val="none"/>
              </w:rPr>
              <w:t>得</w:t>
            </w:r>
            <w:r>
              <w:rPr>
                <w:color w:val="auto"/>
                <w:highlight w:val="none"/>
              </w:rPr>
              <w:t>1.5</w:t>
            </w:r>
            <w:r>
              <w:rPr>
                <w:rFonts w:hint="eastAsia"/>
                <w:color w:val="auto"/>
                <w:highlight w:val="none"/>
              </w:rPr>
              <w:t>分。</w:t>
            </w:r>
          </w:p>
          <w:p w14:paraId="1CCDBD6B">
            <w:pPr>
              <w:pStyle w:val="110"/>
              <w:rPr>
                <w:color w:val="auto"/>
                <w:highlight w:val="none"/>
              </w:rPr>
            </w:pPr>
            <w:r>
              <w:rPr>
                <w:color w:val="auto"/>
                <w:highlight w:val="none"/>
              </w:rPr>
              <w:t>（3）在（1）、（2）的实施案例中，每存在一个信创部署案例额外加1分。</w:t>
            </w:r>
          </w:p>
          <w:p w14:paraId="2452893B">
            <w:pPr>
              <w:pStyle w:val="110"/>
              <w:rPr>
                <w:color w:val="auto"/>
                <w:highlight w:val="none"/>
              </w:rPr>
            </w:pPr>
            <w:r>
              <w:rPr>
                <w:color w:val="auto"/>
                <w:highlight w:val="none"/>
              </w:rPr>
              <w:t>（4）</w:t>
            </w:r>
            <w:r>
              <w:rPr>
                <w:rFonts w:hint="eastAsia"/>
                <w:color w:val="auto"/>
                <w:highlight w:val="none"/>
              </w:rPr>
              <w:t>为体现手机硬件兼容性支持，提供与手机厂商合作的合同</w:t>
            </w:r>
            <w:r>
              <w:rPr>
                <w:color w:val="auto"/>
                <w:highlight w:val="none"/>
              </w:rPr>
              <w:t>材料</w:t>
            </w:r>
            <w:r>
              <w:rPr>
                <w:rFonts w:hint="eastAsia"/>
                <w:color w:val="auto"/>
                <w:highlight w:val="none"/>
              </w:rPr>
              <w:t>，每个</w:t>
            </w:r>
            <w:r>
              <w:rPr>
                <w:color w:val="auto"/>
                <w:highlight w:val="none"/>
              </w:rPr>
              <w:t>合同</w:t>
            </w:r>
            <w:r>
              <w:rPr>
                <w:rFonts w:hint="eastAsia"/>
                <w:color w:val="auto"/>
                <w:highlight w:val="none"/>
              </w:rPr>
              <w:t>得1分。</w:t>
            </w:r>
          </w:p>
          <w:p w14:paraId="189936C0">
            <w:pPr>
              <w:pStyle w:val="110"/>
              <w:rPr>
                <w:color w:val="auto"/>
                <w:highlight w:val="none"/>
              </w:rPr>
            </w:pPr>
            <w:r>
              <w:rPr>
                <w:rFonts w:hint="eastAsia"/>
                <w:color w:val="auto"/>
                <w:highlight w:val="none"/>
              </w:rPr>
              <w:t>要求：</w:t>
            </w:r>
          </w:p>
          <w:p w14:paraId="35090475">
            <w:pPr>
              <w:pStyle w:val="110"/>
              <w:rPr>
                <w:color w:val="auto"/>
                <w:highlight w:val="none"/>
              </w:rPr>
            </w:pPr>
            <w:r>
              <w:rPr>
                <w:rFonts w:hint="eastAsia"/>
                <w:color w:val="auto"/>
                <w:highlight w:val="none"/>
              </w:rPr>
              <w:t>（1）</w:t>
            </w:r>
            <w:r>
              <w:rPr>
                <w:color w:val="auto"/>
                <w:highlight w:val="none"/>
              </w:rPr>
              <w:t>同一家建设单位的多个项目只计算一个案例；</w:t>
            </w:r>
          </w:p>
          <w:p w14:paraId="35FCC988">
            <w:pPr>
              <w:pStyle w:val="110"/>
              <w:rPr>
                <w:color w:val="auto"/>
                <w:highlight w:val="none"/>
              </w:rPr>
            </w:pPr>
            <w:r>
              <w:rPr>
                <w:rFonts w:hint="eastAsia"/>
                <w:color w:val="auto"/>
                <w:highlight w:val="none"/>
              </w:rPr>
              <w:t>（2）有效案例的认定时间以合同签订时间为准；</w:t>
            </w:r>
          </w:p>
          <w:p w14:paraId="4CDEE58E">
            <w:pPr>
              <w:pStyle w:val="110"/>
              <w:rPr>
                <w:rFonts w:hint="eastAsia"/>
                <w:color w:val="auto"/>
                <w:highlight w:val="none"/>
              </w:rPr>
            </w:pPr>
            <w:r>
              <w:rPr>
                <w:rFonts w:hint="eastAsia"/>
                <w:color w:val="auto"/>
                <w:highlight w:val="none"/>
              </w:rPr>
              <w:t>（3）</w:t>
            </w:r>
            <w:r>
              <w:rPr>
                <w:color w:val="auto"/>
                <w:highlight w:val="none"/>
              </w:rPr>
              <w:t>该部分总分为25分，参选人累计案例得分超过25分则以25分计，并根据自身案例情况提供材料</w:t>
            </w:r>
            <w:r>
              <w:rPr>
                <w:rFonts w:hint="eastAsia"/>
                <w:color w:val="auto"/>
                <w:highlight w:val="none"/>
              </w:rPr>
              <w:t>。</w:t>
            </w:r>
          </w:p>
          <w:p w14:paraId="271C9EDA">
            <w:pPr>
              <w:pStyle w:val="110"/>
              <w:rPr>
                <w:color w:val="auto"/>
                <w:highlight w:val="none"/>
              </w:rPr>
            </w:pPr>
            <w:r>
              <w:rPr>
                <w:color w:val="auto"/>
                <w:highlight w:val="none"/>
              </w:rPr>
              <w:t>评审依据：</w:t>
            </w:r>
          </w:p>
          <w:p w14:paraId="424D30FA">
            <w:pPr>
              <w:pStyle w:val="110"/>
              <w:rPr>
                <w:color w:val="auto"/>
                <w:highlight w:val="none"/>
              </w:rPr>
            </w:pPr>
            <w:r>
              <w:rPr>
                <w:rFonts w:hint="eastAsia"/>
                <w:color w:val="auto"/>
                <w:highlight w:val="none"/>
              </w:rPr>
              <w:t>（1）</w:t>
            </w:r>
            <w:r>
              <w:rPr>
                <w:color w:val="auto"/>
                <w:highlight w:val="none"/>
              </w:rPr>
              <w:t>在案例满足资格要求</w:t>
            </w:r>
            <w:r>
              <w:rPr>
                <w:rFonts w:hint="eastAsia"/>
                <w:color w:val="auto"/>
                <w:highlight w:val="none"/>
              </w:rPr>
              <w:t>业绩案例的</w:t>
            </w:r>
            <w:r>
              <w:rPr>
                <w:color w:val="auto"/>
                <w:highlight w:val="none"/>
              </w:rPr>
              <w:t>基础上进行评分，资格</w:t>
            </w:r>
            <w:r>
              <w:rPr>
                <w:rFonts w:hint="eastAsia"/>
                <w:color w:val="auto"/>
                <w:highlight w:val="none"/>
              </w:rPr>
              <w:t>评审</w:t>
            </w:r>
            <w:r>
              <w:rPr>
                <w:color w:val="auto"/>
                <w:highlight w:val="none"/>
              </w:rPr>
              <w:t>的</w:t>
            </w:r>
            <w:r>
              <w:rPr>
                <w:rFonts w:hint="eastAsia"/>
                <w:color w:val="auto"/>
                <w:highlight w:val="none"/>
              </w:rPr>
              <w:t>业绩</w:t>
            </w:r>
            <w:r>
              <w:rPr>
                <w:color w:val="auto"/>
                <w:highlight w:val="none"/>
              </w:rPr>
              <w:t>案例不纳入评分</w:t>
            </w:r>
            <w:r>
              <w:rPr>
                <w:rFonts w:hint="eastAsia"/>
                <w:color w:val="auto"/>
                <w:highlight w:val="none"/>
              </w:rPr>
              <w:t>；</w:t>
            </w:r>
          </w:p>
          <w:p w14:paraId="009ABADD">
            <w:pPr>
              <w:pStyle w:val="110"/>
              <w:rPr>
                <w:color w:val="auto"/>
                <w:highlight w:val="none"/>
              </w:rPr>
            </w:pPr>
            <w:r>
              <w:rPr>
                <w:rFonts w:hint="eastAsia"/>
                <w:color w:val="auto"/>
                <w:highlight w:val="none"/>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参选人）一致；</w:t>
            </w:r>
          </w:p>
          <w:p w14:paraId="1D193A3B">
            <w:pPr>
              <w:pStyle w:val="110"/>
              <w:rPr>
                <w:color w:val="auto"/>
                <w:highlight w:val="none"/>
              </w:rPr>
            </w:pPr>
            <w:r>
              <w:rPr>
                <w:rFonts w:hint="eastAsia"/>
                <w:color w:val="auto"/>
                <w:highlight w:val="none"/>
              </w:rPr>
              <w:t>（3）</w:t>
            </w:r>
            <w:r>
              <w:rPr>
                <w:color w:val="auto"/>
                <w:highlight w:val="none"/>
              </w:rPr>
              <w:t>实施案例项目名称或建设内容应围绕FIDO身份认证领域，包括但不限于</w:t>
            </w:r>
            <w:r>
              <w:rPr>
                <w:rFonts w:hint="eastAsia"/>
                <w:color w:val="auto"/>
                <w:highlight w:val="none"/>
              </w:rPr>
              <w:t>“</w:t>
            </w:r>
            <w:r>
              <w:rPr>
                <w:color w:val="auto"/>
                <w:highlight w:val="none"/>
              </w:rPr>
              <w:t>生物识别安全认证/统一平台</w:t>
            </w:r>
            <w:r>
              <w:rPr>
                <w:rFonts w:hint="eastAsia"/>
                <w:color w:val="auto"/>
                <w:highlight w:val="none"/>
              </w:rPr>
              <w:t>”</w:t>
            </w:r>
            <w:r>
              <w:rPr>
                <w:color w:val="auto"/>
                <w:highlight w:val="none"/>
              </w:rPr>
              <w:t>、</w:t>
            </w:r>
            <w:r>
              <w:rPr>
                <w:rFonts w:hint="eastAsia"/>
                <w:color w:val="auto"/>
                <w:highlight w:val="none"/>
              </w:rPr>
              <w:t>“</w:t>
            </w:r>
            <w:r>
              <w:rPr>
                <w:color w:val="auto"/>
                <w:highlight w:val="none"/>
              </w:rPr>
              <w:t>FIDO认证系统</w:t>
            </w:r>
            <w:r>
              <w:rPr>
                <w:rFonts w:hint="eastAsia"/>
                <w:color w:val="auto"/>
                <w:highlight w:val="none"/>
              </w:rPr>
              <w:t>”</w:t>
            </w:r>
            <w:r>
              <w:rPr>
                <w:color w:val="auto"/>
                <w:highlight w:val="none"/>
              </w:rPr>
              <w:t>、</w:t>
            </w:r>
            <w:r>
              <w:rPr>
                <w:rFonts w:hint="eastAsia"/>
                <w:color w:val="auto"/>
                <w:highlight w:val="none"/>
              </w:rPr>
              <w:t>“</w:t>
            </w:r>
            <w:r>
              <w:rPr>
                <w:color w:val="auto"/>
                <w:highlight w:val="none"/>
              </w:rPr>
              <w:t>身份认证系统</w:t>
            </w:r>
            <w:r>
              <w:rPr>
                <w:rFonts w:hint="eastAsia"/>
                <w:color w:val="auto"/>
                <w:highlight w:val="none"/>
              </w:rPr>
              <w:t>”</w:t>
            </w:r>
            <w:r>
              <w:rPr>
                <w:color w:val="auto"/>
                <w:highlight w:val="none"/>
              </w:rPr>
              <w:t>、</w:t>
            </w:r>
            <w:r>
              <w:rPr>
                <w:rFonts w:hint="eastAsia"/>
                <w:color w:val="auto"/>
                <w:highlight w:val="none"/>
              </w:rPr>
              <w:t>“</w:t>
            </w:r>
            <w:r>
              <w:rPr>
                <w:color w:val="auto"/>
                <w:highlight w:val="none"/>
              </w:rPr>
              <w:t>TEE/可信快速认证</w:t>
            </w:r>
            <w:r>
              <w:rPr>
                <w:rFonts w:hint="eastAsia"/>
                <w:color w:val="auto"/>
                <w:highlight w:val="none"/>
              </w:rPr>
              <w:t>”</w:t>
            </w:r>
            <w:r>
              <w:rPr>
                <w:color w:val="auto"/>
                <w:highlight w:val="none"/>
              </w:rPr>
              <w:t>、</w:t>
            </w:r>
            <w:r>
              <w:rPr>
                <w:rFonts w:hint="eastAsia"/>
                <w:color w:val="auto"/>
                <w:highlight w:val="none"/>
              </w:rPr>
              <w:t>“</w:t>
            </w:r>
            <w:r>
              <w:rPr>
                <w:color w:val="auto"/>
                <w:highlight w:val="none"/>
              </w:rPr>
              <w:t>指纹/人脸认证</w:t>
            </w:r>
            <w:r>
              <w:rPr>
                <w:rFonts w:hint="eastAsia"/>
                <w:color w:val="auto"/>
                <w:highlight w:val="none"/>
              </w:rPr>
              <w:t>”</w:t>
            </w:r>
            <w:r>
              <w:rPr>
                <w:color w:val="auto"/>
                <w:highlight w:val="none"/>
              </w:rPr>
              <w:t>等，需求内容应包含生物识别认证方式，技术方案需体现基于FIDO和TEE实现。</w:t>
            </w:r>
            <w:r>
              <w:rPr>
                <w:rFonts w:hint="eastAsia"/>
                <w:color w:val="auto"/>
                <w:highlight w:val="none"/>
              </w:rPr>
              <w:t>信创案例需在合同体现适配国产数据库、中间件和国产操作系统等。</w:t>
            </w:r>
          </w:p>
          <w:p w14:paraId="401529F6">
            <w:pPr>
              <w:pStyle w:val="110"/>
              <w:rPr>
                <w:color w:val="auto"/>
                <w:highlight w:val="none"/>
              </w:rPr>
            </w:pPr>
            <w:r>
              <w:rPr>
                <w:rFonts w:hint="eastAsia"/>
                <w:color w:val="auto"/>
                <w:highlight w:val="none"/>
              </w:rPr>
              <w:t>以上证明文件若采购人存疑，参选人需提供原件备查，参选文件中须附相关证明文件复印件并逐页加盖公章，案例证明需提供甲方联系方式备查。</w:t>
            </w:r>
          </w:p>
          <w:p w14:paraId="61238DB0">
            <w:pPr>
              <w:pStyle w:val="110"/>
              <w:rPr>
                <w:b/>
                <w:bCs w:val="0"/>
                <w:color w:val="auto"/>
                <w:highlight w:val="none"/>
              </w:rPr>
            </w:pPr>
            <w:r>
              <w:rPr>
                <w:rFonts w:hint="eastAsia"/>
                <w:b/>
                <w:bCs w:val="0"/>
                <w:color w:val="auto"/>
                <w:highlight w:val="none"/>
              </w:rPr>
              <w:t>3.实施团队要求（分值：5分）</w:t>
            </w:r>
          </w:p>
          <w:p w14:paraId="123E96E6">
            <w:pPr>
              <w:pStyle w:val="110"/>
              <w:rPr>
                <w:color w:val="auto"/>
                <w:highlight w:val="none"/>
              </w:rPr>
            </w:pPr>
            <w:r>
              <w:rPr>
                <w:rFonts w:hint="eastAsia"/>
                <w:color w:val="auto"/>
                <w:highlight w:val="none"/>
              </w:rPr>
              <w:t>项目经理及核心成员</w:t>
            </w:r>
            <w:r>
              <w:rPr>
                <w:color w:val="auto"/>
                <w:highlight w:val="none"/>
              </w:rPr>
              <w:t>应具有近3年的</w:t>
            </w:r>
            <w:r>
              <w:rPr>
                <w:rFonts w:hint="eastAsia"/>
                <w:color w:val="auto"/>
                <w:highlight w:val="none"/>
              </w:rPr>
              <w:t>相关工作经验、主导的实施案例及服务能力</w:t>
            </w:r>
            <w:r>
              <w:rPr>
                <w:color w:val="auto"/>
                <w:highlight w:val="none"/>
              </w:rPr>
              <w:t>：</w:t>
            </w:r>
          </w:p>
          <w:p w14:paraId="0F52CDF7">
            <w:pPr>
              <w:pStyle w:val="110"/>
              <w:rPr>
                <w:color w:val="auto"/>
                <w:highlight w:val="none"/>
              </w:rPr>
            </w:pPr>
            <w:r>
              <w:rPr>
                <w:color w:val="auto"/>
                <w:highlight w:val="none"/>
              </w:rPr>
              <w:t>（1）项目经理及核心成员近3年</w:t>
            </w:r>
            <w:r>
              <w:rPr>
                <w:rFonts w:hint="eastAsia"/>
                <w:color w:val="auto"/>
                <w:highlight w:val="none"/>
              </w:rPr>
              <w:t>具有</w:t>
            </w:r>
            <w:r>
              <w:rPr>
                <w:color w:val="auto"/>
                <w:highlight w:val="none"/>
              </w:rPr>
              <w:t>FIDO</w:t>
            </w:r>
            <w:r>
              <w:rPr>
                <w:rFonts w:hint="eastAsia"/>
                <w:color w:val="auto"/>
                <w:highlight w:val="none"/>
              </w:rPr>
              <w:t>领域</w:t>
            </w:r>
            <w:r>
              <w:rPr>
                <w:color w:val="auto"/>
                <w:highlight w:val="none"/>
              </w:rPr>
              <w:t>3个及以上银行</w:t>
            </w:r>
            <w:r>
              <w:rPr>
                <w:rFonts w:hint="eastAsia"/>
                <w:color w:val="auto"/>
                <w:highlight w:val="none"/>
              </w:rPr>
              <w:t>案例实施经验得</w:t>
            </w:r>
            <w:r>
              <w:rPr>
                <w:color w:val="auto"/>
                <w:highlight w:val="none"/>
              </w:rPr>
              <w:t>3</w:t>
            </w:r>
            <w:r>
              <w:rPr>
                <w:rFonts w:hint="eastAsia"/>
                <w:color w:val="auto"/>
                <w:highlight w:val="none"/>
              </w:rPr>
              <w:t>分</w:t>
            </w:r>
            <w:r>
              <w:rPr>
                <w:color w:val="auto"/>
                <w:highlight w:val="none"/>
              </w:rPr>
              <w:t>;具有1-3个银行案例实施经验得2分</w:t>
            </w:r>
            <w:r>
              <w:rPr>
                <w:rFonts w:hint="eastAsia"/>
                <w:color w:val="auto"/>
                <w:highlight w:val="none"/>
              </w:rPr>
              <w:t>；</w:t>
            </w:r>
            <w:r>
              <w:rPr>
                <w:color w:val="auto"/>
                <w:highlight w:val="none"/>
              </w:rPr>
              <w:t>没有银行案例实施经验不得分。</w:t>
            </w:r>
          </w:p>
          <w:p w14:paraId="625D4E72">
            <w:pPr>
              <w:pStyle w:val="110"/>
              <w:rPr>
                <w:color w:val="auto"/>
                <w:highlight w:val="none"/>
              </w:rPr>
            </w:pPr>
            <w:r>
              <w:rPr>
                <w:color w:val="auto"/>
                <w:highlight w:val="none"/>
              </w:rPr>
              <w:t>（2）公司总部位于西南区域，或在西南区域设有研发中心或分公司，提供营业执照副本得1分，提供项目相关3名技术人员证明材料得1分，证明材料包括但不限于近三个月</w:t>
            </w:r>
            <w:r>
              <w:rPr>
                <w:rFonts w:hint="eastAsia"/>
                <w:color w:val="auto"/>
                <w:highlight w:val="none"/>
              </w:rPr>
              <w:t>公司为其缴纳社保的证明材料，不得外包其他单位员工。（员工参保单位为参选人或委托第三方公司代缴，均认定有效；若员工社保委托第三方公司代缴，需提供代缴材料证明与第三方签订的合同或协议。总公司参选的，分公司员工可计算入内，子公司不计算入内。分支机构参选的，总公司人员不计算入内。）</w:t>
            </w:r>
          </w:p>
          <w:p w14:paraId="333A73BA">
            <w:pPr>
              <w:pStyle w:val="110"/>
              <w:rPr>
                <w:color w:val="auto"/>
                <w:highlight w:val="none"/>
              </w:rPr>
            </w:pPr>
            <w:r>
              <w:rPr>
                <w:color w:val="auto"/>
                <w:highlight w:val="none"/>
              </w:rPr>
              <w:t>注：参与本比选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比选项目的项目组成员参与开发建设。</w:t>
            </w:r>
          </w:p>
          <w:p w14:paraId="4C42F8B7">
            <w:pPr>
              <w:pStyle w:val="110"/>
              <w:rPr>
                <w:b/>
                <w:bCs w:val="0"/>
                <w:color w:val="auto"/>
                <w:highlight w:val="none"/>
              </w:rPr>
            </w:pPr>
            <w:r>
              <w:rPr>
                <w:rFonts w:hint="eastAsia"/>
                <w:b/>
                <w:bCs w:val="0"/>
                <w:color w:val="auto"/>
                <w:highlight w:val="none"/>
              </w:rPr>
              <w:t>4..参选人服务承诺（分值：3分）</w:t>
            </w:r>
          </w:p>
          <w:p w14:paraId="3F8A4370">
            <w:pPr>
              <w:pStyle w:val="110"/>
              <w:rPr>
                <w:color w:val="auto"/>
                <w:highlight w:val="none"/>
              </w:rPr>
            </w:pPr>
            <w:r>
              <w:rPr>
                <w:rFonts w:hint="eastAsia"/>
                <w:color w:val="auto"/>
                <w:highlight w:val="none"/>
              </w:rPr>
              <w:t>根据参选人提供的参选函，</w:t>
            </w:r>
            <w:r>
              <w:rPr>
                <w:color w:val="auto"/>
                <w:highlight w:val="none"/>
              </w:rPr>
              <w:t>免费维护期在2年的基础上，维护期每增加1年得1分，本项满分2分</w:t>
            </w:r>
            <w:r>
              <w:rPr>
                <w:rFonts w:hint="eastAsia"/>
                <w:color w:val="auto"/>
                <w:highlight w:val="none"/>
              </w:rPr>
              <w:t>；</w:t>
            </w:r>
          </w:p>
          <w:p w14:paraId="0BD840B6">
            <w:pPr>
              <w:pStyle w:val="110"/>
              <w:rPr>
                <w:color w:val="auto"/>
                <w:highlight w:val="none"/>
              </w:rPr>
            </w:pPr>
            <w:r>
              <w:rPr>
                <w:color w:val="auto"/>
                <w:highlight w:val="none"/>
              </w:rPr>
              <w:t>每年维护费在合同的8%的基础上，每降低1%得0.5分，不足1%不得分，本项满分1分。</w:t>
            </w:r>
          </w:p>
        </w:tc>
      </w:tr>
      <w:tr w14:paraId="5F1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continue"/>
            <w:vAlign w:val="center"/>
          </w:tcPr>
          <w:p w14:paraId="4894A61A">
            <w:pPr>
              <w:pStyle w:val="110"/>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681B3CF6">
            <w:pPr>
              <w:pStyle w:val="110"/>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0592EEE6">
            <w:pPr>
              <w:pStyle w:val="110"/>
              <w:rPr>
                <w:color w:val="auto"/>
                <w:highlight w:val="none"/>
              </w:rPr>
            </w:pPr>
          </w:p>
        </w:tc>
        <w:tc>
          <w:tcPr>
            <w:tcW w:w="5476" w:type="dxa"/>
            <w:vAlign w:val="center"/>
          </w:tcPr>
          <w:p w14:paraId="04CA9C66">
            <w:pPr>
              <w:pStyle w:val="110"/>
              <w:rPr>
                <w:b/>
                <w:bCs w:val="0"/>
                <w:color w:val="auto"/>
                <w:highlight w:val="none"/>
              </w:rPr>
            </w:pPr>
            <w:r>
              <w:rPr>
                <w:rFonts w:hint="eastAsia"/>
                <w:b/>
                <w:bCs w:val="0"/>
                <w:color w:val="auto"/>
                <w:highlight w:val="none"/>
              </w:rPr>
              <w:t>三、技术部分评分规则（分值：10分）</w:t>
            </w:r>
          </w:p>
          <w:p w14:paraId="73D124BA">
            <w:pPr>
              <w:pStyle w:val="110"/>
              <w:rPr>
                <w:b/>
                <w:bCs w:val="0"/>
                <w:color w:val="auto"/>
                <w:highlight w:val="none"/>
              </w:rPr>
            </w:pPr>
            <w:r>
              <w:rPr>
                <w:rFonts w:hint="eastAsia"/>
                <w:b/>
                <w:bCs w:val="0"/>
                <w:color w:val="auto"/>
                <w:highlight w:val="none"/>
              </w:rPr>
              <w:t>1.技术成熟度要求（分值：5分）</w:t>
            </w:r>
          </w:p>
          <w:p w14:paraId="0C4D6A6A">
            <w:pPr>
              <w:pStyle w:val="110"/>
              <w:rPr>
                <w:color w:val="auto"/>
                <w:highlight w:val="none"/>
              </w:rPr>
            </w:pPr>
            <w:r>
              <w:rPr>
                <w:rFonts w:hint="eastAsia"/>
                <w:color w:val="auto"/>
                <w:highlight w:val="none"/>
              </w:rPr>
              <w:t>根据</w:t>
            </w:r>
            <w:r>
              <w:rPr>
                <w:color w:val="auto"/>
                <w:highlight w:val="none"/>
              </w:rPr>
              <w:t>参选人所提供的</w:t>
            </w:r>
            <w:r>
              <w:rPr>
                <w:rFonts w:hint="eastAsia"/>
                <w:color w:val="auto"/>
                <w:highlight w:val="none"/>
              </w:rPr>
              <w:t>项目</w:t>
            </w:r>
            <w:r>
              <w:rPr>
                <w:color w:val="auto"/>
                <w:highlight w:val="none"/>
              </w:rPr>
              <w:t>实施方案</w:t>
            </w:r>
            <w:r>
              <w:rPr>
                <w:rFonts w:hint="eastAsia"/>
                <w:color w:val="auto"/>
                <w:highlight w:val="none"/>
              </w:rPr>
              <w:t>，从方案的</w:t>
            </w:r>
            <w:r>
              <w:rPr>
                <w:color w:val="auto"/>
                <w:highlight w:val="none"/>
              </w:rPr>
              <w:t>完整</w:t>
            </w:r>
            <w:r>
              <w:rPr>
                <w:rFonts w:hint="eastAsia"/>
                <w:color w:val="auto"/>
                <w:highlight w:val="none"/>
              </w:rPr>
              <w:t>性</w:t>
            </w:r>
            <w:r>
              <w:rPr>
                <w:color w:val="auto"/>
                <w:highlight w:val="none"/>
              </w:rPr>
              <w:t>、详细</w:t>
            </w:r>
            <w:r>
              <w:rPr>
                <w:rFonts w:hint="eastAsia"/>
                <w:color w:val="auto"/>
                <w:highlight w:val="none"/>
              </w:rPr>
              <w:t>程度</w:t>
            </w:r>
            <w:r>
              <w:rPr>
                <w:color w:val="auto"/>
                <w:highlight w:val="none"/>
              </w:rPr>
              <w:t>，实施步骤</w:t>
            </w:r>
            <w:r>
              <w:rPr>
                <w:rFonts w:hint="eastAsia"/>
                <w:color w:val="auto"/>
                <w:highlight w:val="none"/>
              </w:rPr>
              <w:t>是否明确</w:t>
            </w:r>
            <w:r>
              <w:rPr>
                <w:color w:val="auto"/>
                <w:highlight w:val="none"/>
              </w:rPr>
              <w:t>、计划</w:t>
            </w:r>
            <w:r>
              <w:rPr>
                <w:rFonts w:hint="eastAsia"/>
                <w:color w:val="auto"/>
                <w:highlight w:val="none"/>
              </w:rPr>
              <w:t>是否</w:t>
            </w:r>
            <w:r>
              <w:rPr>
                <w:color w:val="auto"/>
                <w:highlight w:val="none"/>
              </w:rPr>
              <w:t>明确，</w:t>
            </w:r>
            <w:r>
              <w:rPr>
                <w:rFonts w:hint="eastAsia"/>
                <w:color w:val="auto"/>
                <w:highlight w:val="none"/>
              </w:rPr>
              <w:t>是否</w:t>
            </w:r>
            <w:r>
              <w:rPr>
                <w:color w:val="auto"/>
                <w:highlight w:val="none"/>
              </w:rPr>
              <w:t>符合项目建设要求</w:t>
            </w:r>
            <w:r>
              <w:rPr>
                <w:rFonts w:hint="eastAsia"/>
                <w:color w:val="auto"/>
                <w:highlight w:val="none"/>
              </w:rPr>
              <w:t>和</w:t>
            </w:r>
            <w:r>
              <w:rPr>
                <w:color w:val="auto"/>
                <w:highlight w:val="none"/>
              </w:rPr>
              <w:t>可行性</w:t>
            </w:r>
            <w:r>
              <w:rPr>
                <w:rFonts w:hint="eastAsia"/>
                <w:color w:val="auto"/>
                <w:highlight w:val="none"/>
              </w:rPr>
              <w:t>等方面，由评审委员会酌情给分</w:t>
            </w:r>
            <w:r>
              <w:rPr>
                <w:color w:val="auto"/>
                <w:highlight w:val="none"/>
              </w:rPr>
              <w:t>。</w:t>
            </w:r>
          </w:p>
          <w:p w14:paraId="3D8DD7C5">
            <w:pPr>
              <w:pStyle w:val="110"/>
              <w:rPr>
                <w:color w:val="auto"/>
                <w:highlight w:val="none"/>
              </w:rPr>
            </w:pPr>
            <w:r>
              <w:rPr>
                <w:rFonts w:hint="eastAsia"/>
                <w:color w:val="auto"/>
                <w:highlight w:val="none"/>
              </w:rPr>
              <w:t>方案内容优秀，得4-5分；</w:t>
            </w:r>
          </w:p>
          <w:p w14:paraId="7EB25C7A">
            <w:pPr>
              <w:pStyle w:val="110"/>
              <w:rPr>
                <w:color w:val="auto"/>
                <w:highlight w:val="none"/>
              </w:rPr>
            </w:pPr>
            <w:r>
              <w:rPr>
                <w:rFonts w:hint="eastAsia"/>
                <w:color w:val="auto"/>
                <w:highlight w:val="none"/>
              </w:rPr>
              <w:t>方案内容一般，得2-3分；</w:t>
            </w:r>
          </w:p>
          <w:p w14:paraId="4341C1E4">
            <w:pPr>
              <w:pStyle w:val="110"/>
              <w:rPr>
                <w:color w:val="auto"/>
                <w:highlight w:val="none"/>
              </w:rPr>
            </w:pPr>
            <w:r>
              <w:rPr>
                <w:rFonts w:hint="eastAsia"/>
                <w:color w:val="auto"/>
                <w:highlight w:val="none"/>
              </w:rPr>
              <w:t>方案内容差，得0-1分。</w:t>
            </w:r>
          </w:p>
          <w:p w14:paraId="7239D275">
            <w:pPr>
              <w:pStyle w:val="110"/>
              <w:rPr>
                <w:color w:val="auto"/>
                <w:highlight w:val="none"/>
              </w:rPr>
            </w:pPr>
            <w:r>
              <w:rPr>
                <w:color w:val="auto"/>
                <w:highlight w:val="none"/>
              </w:rPr>
              <w:t>注：参选人应结合第三章业务需求与业务切换计划的内容，提供详细且可行的</w:t>
            </w:r>
            <w:r>
              <w:rPr>
                <w:rFonts w:hint="eastAsia"/>
                <w:color w:val="auto"/>
                <w:highlight w:val="none"/>
              </w:rPr>
              <w:t>项目</w:t>
            </w:r>
            <w:r>
              <w:rPr>
                <w:color w:val="auto"/>
                <w:highlight w:val="none"/>
              </w:rPr>
              <w:t>实施方案与进度计划安排，内容包含：实施方案、实施阶段、实施范围内容、人员安排、实施工期等。</w:t>
            </w:r>
          </w:p>
          <w:p w14:paraId="2130D4F1">
            <w:pPr>
              <w:pStyle w:val="110"/>
              <w:rPr>
                <w:b/>
                <w:bCs w:val="0"/>
                <w:color w:val="auto"/>
                <w:highlight w:val="none"/>
              </w:rPr>
            </w:pPr>
            <w:r>
              <w:rPr>
                <w:b/>
                <w:bCs w:val="0"/>
                <w:color w:val="auto"/>
                <w:highlight w:val="none"/>
              </w:rPr>
              <w:t>2.管理平台要求（分值：5分）</w:t>
            </w:r>
          </w:p>
          <w:p w14:paraId="632F022F">
            <w:pPr>
              <w:pStyle w:val="110"/>
              <w:rPr>
                <w:color w:val="auto"/>
                <w:highlight w:val="none"/>
              </w:rPr>
            </w:pPr>
            <w:r>
              <w:rPr>
                <w:rFonts w:hint="eastAsia"/>
                <w:color w:val="auto"/>
                <w:highlight w:val="none"/>
              </w:rPr>
              <w:t>根据参选人项目实施方案中管理平台的内容，管理平台支持以下内容，每支持一个得1分，满分5分。</w:t>
            </w:r>
          </w:p>
          <w:p w14:paraId="6C048DEA">
            <w:pPr>
              <w:pStyle w:val="110"/>
              <w:rPr>
                <w:color w:val="auto"/>
                <w:highlight w:val="none"/>
              </w:rPr>
            </w:pPr>
            <w:r>
              <w:rPr>
                <w:rFonts w:hint="eastAsia"/>
                <w:color w:val="auto"/>
                <w:highlight w:val="none"/>
              </w:rPr>
              <w:t>（1）可信应用和设备管理；</w:t>
            </w:r>
          </w:p>
          <w:p w14:paraId="479F80D1">
            <w:pPr>
              <w:pStyle w:val="110"/>
              <w:rPr>
                <w:color w:val="auto"/>
                <w:highlight w:val="none"/>
              </w:rPr>
            </w:pPr>
            <w:r>
              <w:rPr>
                <w:rFonts w:hint="eastAsia"/>
                <w:color w:val="auto"/>
                <w:highlight w:val="none"/>
              </w:rPr>
              <w:t>（2）元数据管理；</w:t>
            </w:r>
          </w:p>
          <w:p w14:paraId="160F7F42">
            <w:pPr>
              <w:pStyle w:val="110"/>
              <w:rPr>
                <w:color w:val="auto"/>
                <w:highlight w:val="none"/>
              </w:rPr>
            </w:pPr>
            <w:r>
              <w:rPr>
                <w:rFonts w:hint="eastAsia"/>
                <w:color w:val="auto"/>
                <w:highlight w:val="none"/>
              </w:rPr>
              <w:t>（3）认证策略管理；</w:t>
            </w:r>
          </w:p>
          <w:p w14:paraId="2C11FEB7">
            <w:pPr>
              <w:pStyle w:val="110"/>
              <w:rPr>
                <w:color w:val="auto"/>
                <w:highlight w:val="none"/>
              </w:rPr>
            </w:pPr>
            <w:r>
              <w:rPr>
                <w:rFonts w:hint="eastAsia"/>
                <w:color w:val="auto"/>
                <w:highlight w:val="none"/>
              </w:rPr>
              <w:t>（4）黑白名单管理；</w:t>
            </w:r>
          </w:p>
          <w:p w14:paraId="1C62831F">
            <w:pPr>
              <w:pStyle w:val="110"/>
              <w:rPr>
                <w:color w:val="auto"/>
                <w:highlight w:val="none"/>
              </w:rPr>
            </w:pPr>
            <w:r>
              <w:rPr>
                <w:rFonts w:hint="eastAsia"/>
                <w:color w:val="auto"/>
                <w:highlight w:val="none"/>
              </w:rPr>
              <w:t>（5）多渠道管理等功能。</w:t>
            </w:r>
          </w:p>
        </w:tc>
      </w:tr>
      <w:tr w14:paraId="278F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Align w:val="center"/>
          </w:tcPr>
          <w:p w14:paraId="0883487D">
            <w:pPr>
              <w:pStyle w:val="110"/>
              <w:rPr>
                <w:color w:val="auto"/>
                <w:highlight w:val="none"/>
              </w:rPr>
            </w:pPr>
            <w:r>
              <w:rPr>
                <w:rFonts w:hint="eastAsia"/>
                <w:color w:val="auto"/>
                <w:highlight w:val="none"/>
              </w:rPr>
              <w:t>3</w:t>
            </w:r>
          </w:p>
        </w:tc>
        <w:tc>
          <w:tcPr>
            <w:tcW w:w="1482" w:type="dxa"/>
            <w:tcBorders>
              <w:top w:val="single" w:color="auto" w:sz="4" w:space="0"/>
              <w:left w:val="single" w:color="auto" w:sz="4" w:space="0"/>
              <w:right w:val="single" w:color="auto" w:sz="4" w:space="0"/>
            </w:tcBorders>
            <w:vAlign w:val="center"/>
          </w:tcPr>
          <w:p w14:paraId="17D908C2">
            <w:pPr>
              <w:pStyle w:val="110"/>
              <w:rPr>
                <w:color w:val="auto"/>
                <w:highlight w:val="none"/>
              </w:rPr>
            </w:pPr>
            <w:r>
              <w:rPr>
                <w:rFonts w:hint="eastAsia"/>
                <w:color w:val="auto"/>
                <w:highlight w:val="none"/>
              </w:rPr>
              <w:t>评审程序</w:t>
            </w:r>
          </w:p>
        </w:tc>
        <w:tc>
          <w:tcPr>
            <w:tcW w:w="7162" w:type="dxa"/>
            <w:gridSpan w:val="3"/>
          </w:tcPr>
          <w:p w14:paraId="4A9EFAEF">
            <w:pPr>
              <w:pStyle w:val="110"/>
              <w:rPr>
                <w:color w:val="auto"/>
                <w:highlight w:val="none"/>
              </w:rPr>
            </w:pPr>
            <w:r>
              <w:rPr>
                <w:rFonts w:hint="eastAsia"/>
                <w:color w:val="auto"/>
                <w:highlight w:val="none"/>
              </w:rPr>
              <w:t>1.评审委员会在初步评审前，按本章第3.1.3项的规定对参选报价有算术性错误的进行算术性错误修正。</w:t>
            </w:r>
          </w:p>
          <w:p w14:paraId="74B59F34">
            <w:pPr>
              <w:pStyle w:val="110"/>
              <w:rPr>
                <w:color w:val="auto"/>
                <w:highlight w:val="none"/>
              </w:rPr>
            </w:pPr>
            <w:r>
              <w:rPr>
                <w:rFonts w:hint="eastAsia"/>
                <w:color w:val="auto"/>
                <w:highlight w:val="none"/>
              </w:rPr>
              <w:t>2.评审委员会对参选文件进行初步评审。</w:t>
            </w:r>
          </w:p>
          <w:p w14:paraId="7346923C">
            <w:pPr>
              <w:pStyle w:val="110"/>
              <w:rPr>
                <w:color w:val="auto"/>
                <w:highlight w:val="none"/>
              </w:rPr>
            </w:pPr>
            <w:r>
              <w:rPr>
                <w:rFonts w:hint="eastAsia"/>
                <w:color w:val="auto"/>
                <w:highlight w:val="none"/>
              </w:rPr>
              <w:t>3.评审委员会对初步评审合格的参选文件进行详细评审，主观评审部分由各专家独立评审打分，最后取平均得分，保留2位小数。</w:t>
            </w:r>
          </w:p>
          <w:p w14:paraId="71BDC938">
            <w:pPr>
              <w:pStyle w:val="110"/>
              <w:rPr>
                <w:color w:val="auto"/>
                <w:highlight w:val="none"/>
              </w:rPr>
            </w:pPr>
            <w:r>
              <w:rPr>
                <w:rFonts w:hint="eastAsia"/>
                <w:color w:val="auto"/>
                <w:highlight w:val="none"/>
              </w:rPr>
              <w:t>4.评审委员会汇总详细评审得分，根据详细评审得分由高至低进行排序，推荐1-3家合格的中选候选人。并依次为第一、二、三中选候选人。</w:t>
            </w:r>
          </w:p>
        </w:tc>
      </w:tr>
      <w:tr w14:paraId="58BB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02" w:type="dxa"/>
            <w:gridSpan w:val="2"/>
            <w:vAlign w:val="center"/>
          </w:tcPr>
          <w:p w14:paraId="065CB5C4">
            <w:pPr>
              <w:pStyle w:val="110"/>
              <w:rPr>
                <w:color w:val="auto"/>
                <w:highlight w:val="none"/>
              </w:rPr>
            </w:pPr>
            <w:r>
              <w:rPr>
                <w:rFonts w:hint="eastAsia"/>
                <w:color w:val="auto"/>
                <w:highlight w:val="none"/>
              </w:rPr>
              <w:t>3.2.3</w:t>
            </w:r>
          </w:p>
        </w:tc>
        <w:tc>
          <w:tcPr>
            <w:tcW w:w="1511" w:type="dxa"/>
            <w:tcBorders>
              <w:top w:val="single" w:color="auto" w:sz="4" w:space="0"/>
              <w:left w:val="single" w:color="auto" w:sz="4" w:space="0"/>
              <w:right w:val="single" w:color="auto" w:sz="4" w:space="0"/>
            </w:tcBorders>
            <w:vAlign w:val="center"/>
          </w:tcPr>
          <w:p w14:paraId="04D3A053">
            <w:pPr>
              <w:pStyle w:val="110"/>
              <w:rPr>
                <w:color w:val="auto"/>
                <w:highlight w:val="none"/>
              </w:rPr>
            </w:pPr>
            <w:r>
              <w:rPr>
                <w:rFonts w:hint="eastAsia"/>
                <w:color w:val="auto"/>
                <w:highlight w:val="none"/>
              </w:rPr>
              <w:t>参选人得分</w:t>
            </w:r>
          </w:p>
        </w:tc>
        <w:tc>
          <w:tcPr>
            <w:tcW w:w="5651" w:type="dxa"/>
            <w:gridSpan w:val="2"/>
            <w:vAlign w:val="center"/>
          </w:tcPr>
          <w:p w14:paraId="209531CA">
            <w:pPr>
              <w:pStyle w:val="110"/>
              <w:rPr>
                <w:color w:val="auto"/>
                <w:highlight w:val="none"/>
              </w:rPr>
            </w:pPr>
            <w:r>
              <w:rPr>
                <w:rFonts w:hint="eastAsia"/>
                <w:color w:val="auto"/>
                <w:highlight w:val="none"/>
              </w:rPr>
              <w:t>参选人得分=参选报价得分+商务部分得分+技术部分得分</w:t>
            </w:r>
          </w:p>
        </w:tc>
      </w:tr>
      <w:bookmarkEnd w:id="73"/>
    </w:tbl>
    <w:p w14:paraId="31390933">
      <w:pPr>
        <w:ind w:firstLine="420"/>
        <w:rPr>
          <w:rFonts w:cs="宋体"/>
          <w:snapToGrid w:val="0"/>
          <w:color w:val="auto"/>
          <w:szCs w:val="21"/>
          <w:highlight w:val="none"/>
        </w:rPr>
      </w:pPr>
      <w:bookmarkStart w:id="74" w:name="_Toc21111"/>
      <w:bookmarkStart w:id="75" w:name="_Toc636"/>
      <w:r>
        <w:rPr>
          <w:rFonts w:hint="eastAsia" w:cs="宋体"/>
          <w:snapToGrid w:val="0"/>
          <w:color w:val="auto"/>
          <w:szCs w:val="21"/>
          <w:highlight w:val="none"/>
        </w:rPr>
        <w:br w:type="page"/>
      </w:r>
    </w:p>
    <w:bookmarkEnd w:id="74"/>
    <w:bookmarkEnd w:id="75"/>
    <w:p w14:paraId="5667B822">
      <w:pPr>
        <w:pStyle w:val="4"/>
        <w:rPr>
          <w:color w:val="auto"/>
          <w:highlight w:val="none"/>
        </w:rPr>
      </w:pPr>
      <w:bookmarkStart w:id="76" w:name="_Toc28684"/>
      <w:bookmarkStart w:id="77" w:name="_Toc18283"/>
      <w:bookmarkStart w:id="78" w:name="_Toc27234"/>
      <w:bookmarkStart w:id="79" w:name="_Toc150953074"/>
      <w:bookmarkStart w:id="80" w:name="_Toc303066034"/>
      <w:bookmarkStart w:id="81" w:name="_Toc89675170"/>
      <w:r>
        <w:rPr>
          <w:rFonts w:hint="eastAsia"/>
          <w:color w:val="auto"/>
          <w:highlight w:val="none"/>
        </w:rPr>
        <w:t>1. 评审方法</w:t>
      </w:r>
      <w:bookmarkEnd w:id="76"/>
      <w:bookmarkEnd w:id="77"/>
      <w:bookmarkEnd w:id="78"/>
    </w:p>
    <w:p w14:paraId="341F3416">
      <w:pPr>
        <w:ind w:firstLine="420"/>
        <w:rPr>
          <w:color w:val="auto"/>
          <w:highlight w:val="none"/>
        </w:rPr>
      </w:pPr>
      <w:bookmarkStart w:id="82" w:name="_Toc330569206"/>
      <w:bookmarkStart w:id="83" w:name="_Toc377067339"/>
      <w:bookmarkStart w:id="84" w:name="_Toc287607813"/>
      <w:bookmarkStart w:id="85" w:name="_Toc287620752"/>
      <w:bookmarkStart w:id="86" w:name="_Toc224103385"/>
      <w:bookmarkStart w:id="87" w:name="_Toc440022827"/>
      <w:bookmarkStart w:id="88" w:name="_Toc376114120"/>
      <w:bookmarkStart w:id="89" w:name="_Toc377115419"/>
      <w:bookmarkStart w:id="90" w:name="_Toc277082619"/>
      <w:bookmarkStart w:id="91" w:name="_Toc407195379"/>
      <w:bookmarkStart w:id="92" w:name="_Toc200513199"/>
      <w:r>
        <w:rPr>
          <w:rFonts w:hint="eastAsia"/>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B9BC11B">
      <w:pPr>
        <w:pStyle w:val="4"/>
        <w:rPr>
          <w:color w:val="auto"/>
          <w:highlight w:val="none"/>
        </w:rPr>
      </w:pPr>
      <w:bookmarkStart w:id="93" w:name="_Toc765"/>
      <w:bookmarkStart w:id="94" w:name="_Toc5950"/>
      <w:bookmarkStart w:id="95" w:name="_Toc2274"/>
      <w:bookmarkStart w:id="96" w:name="_Toc27931"/>
      <w:bookmarkStart w:id="97" w:name="_Toc27406"/>
      <w:bookmarkStart w:id="98" w:name="_Toc23969"/>
      <w:bookmarkStart w:id="99" w:name="_Toc444155968"/>
      <w:bookmarkStart w:id="100" w:name="_Toc16716"/>
      <w:bookmarkStart w:id="101" w:name="_Toc31615"/>
      <w:r>
        <w:rPr>
          <w:rFonts w:hint="eastAsia"/>
          <w:color w:val="auto"/>
          <w:highlight w:val="none"/>
        </w:rPr>
        <w:t>2. 评审标准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A3E0598">
      <w:pPr>
        <w:pStyle w:val="5"/>
        <w:ind w:firstLine="422"/>
        <w:rPr>
          <w:color w:val="auto"/>
          <w:highlight w:val="none"/>
        </w:rPr>
      </w:pPr>
      <w:bookmarkStart w:id="102" w:name="_Toc277082620"/>
      <w:bookmarkStart w:id="103" w:name="_Toc377115420"/>
      <w:bookmarkStart w:id="104" w:name="_Toc377067340"/>
      <w:bookmarkStart w:id="105" w:name="_Toc444155969"/>
      <w:bookmarkStart w:id="106" w:name="_Toc16537"/>
      <w:bookmarkStart w:id="107" w:name="_Toc376114121"/>
      <w:bookmarkStart w:id="108" w:name="_Toc11839"/>
      <w:bookmarkStart w:id="109" w:name="_Toc1358"/>
      <w:bookmarkStart w:id="110" w:name="_Toc7584"/>
      <w:bookmarkStart w:id="111" w:name="_Toc10533"/>
      <w:bookmarkStart w:id="112" w:name="_Toc407195380"/>
      <w:bookmarkStart w:id="113" w:name="_Toc21593"/>
      <w:bookmarkStart w:id="114" w:name="_Toc224103386"/>
      <w:bookmarkStart w:id="115" w:name="_Toc330569207"/>
      <w:bookmarkStart w:id="116" w:name="_Toc23425"/>
      <w:bookmarkStart w:id="117" w:name="_Toc440022828"/>
      <w:bookmarkStart w:id="118" w:name="_Toc287607814"/>
      <w:bookmarkStart w:id="119" w:name="_Toc287620753"/>
      <w:bookmarkStart w:id="120" w:name="_Toc200513200"/>
      <w:r>
        <w:rPr>
          <w:rFonts w:hint="eastAsia"/>
          <w:color w:val="auto"/>
          <w:highlight w:val="none"/>
        </w:rPr>
        <w:t>2.1 初步评审标准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6308044">
      <w:pPr>
        <w:ind w:firstLine="420"/>
        <w:rPr>
          <w:color w:val="auto"/>
          <w:highlight w:val="none"/>
        </w:rPr>
      </w:pPr>
      <w:r>
        <w:rPr>
          <w:rFonts w:hint="eastAsia"/>
          <w:color w:val="auto"/>
          <w:highlight w:val="none"/>
        </w:rPr>
        <w:t>2.1.1 资格评审标准：见评审办法前附表。</w:t>
      </w:r>
    </w:p>
    <w:p w14:paraId="528CF1B2">
      <w:pPr>
        <w:ind w:firstLine="420"/>
        <w:rPr>
          <w:color w:val="auto"/>
          <w:highlight w:val="none"/>
        </w:rPr>
      </w:pPr>
      <w:r>
        <w:rPr>
          <w:rFonts w:hint="eastAsia"/>
          <w:color w:val="auto"/>
          <w:highlight w:val="none"/>
        </w:rPr>
        <w:t>2.1.2 形式评审标准：见评审办法前附表。</w:t>
      </w:r>
    </w:p>
    <w:p w14:paraId="3FF53ABB">
      <w:pPr>
        <w:ind w:firstLine="420"/>
        <w:rPr>
          <w:color w:val="auto"/>
          <w:highlight w:val="none"/>
        </w:rPr>
      </w:pPr>
      <w:r>
        <w:rPr>
          <w:rFonts w:hint="eastAsia"/>
          <w:color w:val="auto"/>
          <w:highlight w:val="none"/>
        </w:rPr>
        <w:t>2.1.3 响应性评审标准：见评审办法前附表。</w:t>
      </w:r>
    </w:p>
    <w:p w14:paraId="36991527">
      <w:pPr>
        <w:pStyle w:val="5"/>
        <w:ind w:firstLine="422"/>
        <w:rPr>
          <w:color w:val="auto"/>
          <w:highlight w:val="none"/>
        </w:rPr>
      </w:pPr>
      <w:bookmarkStart w:id="121" w:name="_Toc377067341"/>
      <w:bookmarkStart w:id="122" w:name="_Toc287607815"/>
      <w:bookmarkStart w:id="123" w:name="_Toc224103387"/>
      <w:bookmarkStart w:id="124" w:name="_Toc444155970"/>
      <w:bookmarkStart w:id="125" w:name="_Toc277082621"/>
      <w:bookmarkStart w:id="126" w:name="_Toc200513201"/>
      <w:bookmarkStart w:id="127" w:name="_Toc287620754"/>
      <w:bookmarkStart w:id="128" w:name="_Toc440022829"/>
      <w:bookmarkStart w:id="129" w:name="_Toc9090"/>
      <w:bookmarkStart w:id="130" w:name="_Toc330569208"/>
      <w:bookmarkStart w:id="131" w:name="_Toc376114122"/>
      <w:bookmarkStart w:id="132" w:name="_Toc377115421"/>
      <w:bookmarkStart w:id="133" w:name="_Toc6503"/>
      <w:bookmarkStart w:id="134" w:name="_Toc1387"/>
      <w:bookmarkStart w:id="135" w:name="_Toc407195381"/>
      <w:bookmarkStart w:id="136" w:name="_Toc2340"/>
      <w:bookmarkStart w:id="137" w:name="_Toc23296"/>
      <w:bookmarkStart w:id="138" w:name="_Toc25129"/>
      <w:bookmarkStart w:id="139" w:name="_Toc20840"/>
      <w:r>
        <w:rPr>
          <w:rFonts w:hint="eastAsia"/>
          <w:color w:val="auto"/>
          <w:highlight w:val="none"/>
        </w:rPr>
        <w:t>2.2 分值构成与评分标准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6A72918">
      <w:pPr>
        <w:ind w:firstLine="420"/>
        <w:rPr>
          <w:color w:val="auto"/>
          <w:highlight w:val="none"/>
        </w:rPr>
      </w:pPr>
      <w:r>
        <w:rPr>
          <w:rFonts w:hint="eastAsia"/>
          <w:color w:val="auto"/>
          <w:highlight w:val="none"/>
        </w:rPr>
        <w:t xml:space="preserve">2.2.1 分值构成：见评审办法前附表。 </w:t>
      </w:r>
    </w:p>
    <w:p w14:paraId="3081FFC0">
      <w:pPr>
        <w:ind w:firstLine="420"/>
        <w:rPr>
          <w:color w:val="auto"/>
          <w:highlight w:val="none"/>
        </w:rPr>
      </w:pPr>
      <w:r>
        <w:rPr>
          <w:rFonts w:hint="eastAsia"/>
          <w:color w:val="auto"/>
          <w:highlight w:val="none"/>
        </w:rPr>
        <w:t>2.2.2 评审基准价计算方法：见评审办法前附表。</w:t>
      </w:r>
    </w:p>
    <w:p w14:paraId="1B094881">
      <w:pPr>
        <w:ind w:firstLine="420"/>
        <w:rPr>
          <w:color w:val="auto"/>
          <w:highlight w:val="none"/>
        </w:rPr>
      </w:pPr>
      <w:r>
        <w:rPr>
          <w:rFonts w:hint="eastAsia"/>
          <w:color w:val="auto"/>
          <w:highlight w:val="none"/>
        </w:rPr>
        <w:t>2.2.3 评分标准：</w:t>
      </w:r>
    </w:p>
    <w:p w14:paraId="7DB45019">
      <w:pPr>
        <w:ind w:firstLine="420"/>
        <w:rPr>
          <w:color w:val="auto"/>
          <w:highlight w:val="none"/>
        </w:rPr>
      </w:pPr>
      <w:r>
        <w:rPr>
          <w:rFonts w:hint="eastAsia"/>
          <w:color w:val="auto"/>
          <w:highlight w:val="none"/>
        </w:rPr>
        <w:t>（1）参选报价评分标准：见评审办法前附表；</w:t>
      </w:r>
    </w:p>
    <w:p w14:paraId="6D88C828">
      <w:pPr>
        <w:ind w:firstLine="420"/>
        <w:rPr>
          <w:color w:val="auto"/>
          <w:highlight w:val="none"/>
        </w:rPr>
      </w:pPr>
      <w:r>
        <w:rPr>
          <w:rFonts w:hint="eastAsia"/>
          <w:color w:val="auto"/>
          <w:highlight w:val="none"/>
        </w:rPr>
        <w:t>（2）商务部分评分标准：见评审办法前附表；</w:t>
      </w:r>
    </w:p>
    <w:p w14:paraId="00B7B4FB">
      <w:pPr>
        <w:ind w:firstLine="420"/>
        <w:rPr>
          <w:color w:val="auto"/>
          <w:highlight w:val="none"/>
        </w:rPr>
      </w:pPr>
      <w:r>
        <w:rPr>
          <w:rFonts w:hint="eastAsia"/>
          <w:color w:val="auto"/>
          <w:highlight w:val="none"/>
        </w:rPr>
        <w:t>（3）技术部分评分标准：见评审办法前附表。</w:t>
      </w:r>
    </w:p>
    <w:p w14:paraId="227D5A44">
      <w:pPr>
        <w:pStyle w:val="4"/>
        <w:rPr>
          <w:color w:val="auto"/>
          <w:highlight w:val="none"/>
        </w:rPr>
      </w:pPr>
      <w:bookmarkStart w:id="140" w:name="_Toc277082622"/>
      <w:bookmarkStart w:id="141" w:name="_Toc377115422"/>
      <w:bookmarkStart w:id="142" w:name="_Toc2982"/>
      <w:bookmarkStart w:id="143" w:name="_Toc8004"/>
      <w:bookmarkStart w:id="144" w:name="_Toc9488"/>
      <w:bookmarkStart w:id="145" w:name="_Toc287620755"/>
      <w:bookmarkStart w:id="146" w:name="_Toc330569209"/>
      <w:bookmarkStart w:id="147" w:name="_Toc12538"/>
      <w:bookmarkStart w:id="148" w:name="_Toc224103388"/>
      <w:bookmarkStart w:id="149" w:name="_Toc5546"/>
      <w:bookmarkStart w:id="150" w:name="_Toc14353"/>
      <w:bookmarkStart w:id="151" w:name="_Toc440022830"/>
      <w:bookmarkStart w:id="152" w:name="_Toc444155971"/>
      <w:bookmarkStart w:id="153" w:name="_Toc23633"/>
      <w:bookmarkStart w:id="154" w:name="_Toc200513202"/>
      <w:bookmarkStart w:id="155" w:name="_Toc15132"/>
      <w:bookmarkStart w:id="156" w:name="_Toc377067342"/>
      <w:bookmarkStart w:id="157" w:name="_Toc287607816"/>
      <w:bookmarkStart w:id="158" w:name="_Toc407195382"/>
      <w:bookmarkStart w:id="159" w:name="_Toc376114123"/>
      <w:r>
        <w:rPr>
          <w:rFonts w:hint="eastAsia"/>
          <w:color w:val="auto"/>
          <w:highlight w:val="none"/>
        </w:rPr>
        <w:t>3. 评审程序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F4FB0A8">
      <w:pPr>
        <w:pStyle w:val="5"/>
        <w:ind w:firstLine="422"/>
        <w:rPr>
          <w:color w:val="auto"/>
          <w:highlight w:val="none"/>
        </w:rPr>
      </w:pPr>
      <w:bookmarkStart w:id="160" w:name="_Toc407195383"/>
      <w:bookmarkStart w:id="161" w:name="_Toc277082623"/>
      <w:bookmarkStart w:id="162" w:name="_Toc6448"/>
      <w:bookmarkStart w:id="163" w:name="_Toc287620756"/>
      <w:bookmarkStart w:id="164" w:name="_Toc377067343"/>
      <w:bookmarkStart w:id="165" w:name="_Toc19840"/>
      <w:bookmarkStart w:id="166" w:name="_Toc444155972"/>
      <w:bookmarkStart w:id="167" w:name="_Toc32002"/>
      <w:bookmarkStart w:id="168" w:name="_Toc9683"/>
      <w:bookmarkStart w:id="169" w:name="_Toc376114124"/>
      <w:bookmarkStart w:id="170" w:name="_Toc224103389"/>
      <w:bookmarkStart w:id="171" w:name="_Toc440022831"/>
      <w:bookmarkStart w:id="172" w:name="_Toc22279"/>
      <w:bookmarkStart w:id="173" w:name="_Toc377115423"/>
      <w:bookmarkStart w:id="174" w:name="_Toc5462"/>
      <w:bookmarkStart w:id="175" w:name="_Toc287607817"/>
      <w:bookmarkStart w:id="176" w:name="_Toc200513203"/>
      <w:bookmarkStart w:id="177" w:name="_Toc330569210"/>
      <w:bookmarkStart w:id="178" w:name="_Toc13851"/>
      <w:r>
        <w:rPr>
          <w:rFonts w:hint="eastAsia"/>
          <w:color w:val="auto"/>
          <w:highlight w:val="none"/>
        </w:rPr>
        <w:t>3.1 初步评审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F005954">
      <w:pPr>
        <w:ind w:firstLine="420"/>
        <w:rPr>
          <w:color w:val="auto"/>
          <w:highlight w:val="none"/>
        </w:rPr>
      </w:pPr>
      <w:bookmarkStart w:id="179" w:name="_Toc377067344"/>
      <w:bookmarkStart w:id="180" w:name="_Toc332015984"/>
      <w:bookmarkStart w:id="181" w:name="_Toc332380970"/>
      <w:bookmarkStart w:id="182" w:name="_Toc407195384"/>
      <w:bookmarkStart w:id="183" w:name="_Toc331232649"/>
      <w:bookmarkStart w:id="184" w:name="_Toc373264792"/>
      <w:bookmarkStart w:id="185" w:name="_Toc377115424"/>
      <w:bookmarkStart w:id="186" w:name="_Toc444155973"/>
      <w:bookmarkStart w:id="187" w:name="_Toc330569211"/>
      <w:bookmarkStart w:id="188" w:name="_Toc332028970"/>
      <w:bookmarkStart w:id="189" w:name="_Toc331232467"/>
      <w:bookmarkStart w:id="190" w:name="_Toc354387014"/>
      <w:bookmarkStart w:id="191" w:name="_Toc356243677"/>
      <w:bookmarkStart w:id="192" w:name="_Toc334002333"/>
      <w:bookmarkStart w:id="193" w:name="_Toc376114125"/>
      <w:bookmarkStart w:id="194" w:name="_Toc440022832"/>
      <w:bookmarkStart w:id="195" w:name="_Toc373172234"/>
      <w:bookmarkStart w:id="196" w:name="_Toc356484119"/>
      <w:bookmarkStart w:id="197" w:name="_Toc27164"/>
      <w:r>
        <w:rPr>
          <w:rFonts w:hint="eastAsia"/>
          <w:color w:val="auto"/>
          <w:highlight w:val="none"/>
        </w:rPr>
        <w:t>3.1.1 评审委员会依据本章第2.1 条规定的标准对参选文件进行初步评审。有一项不符合评审标准的，作否决参选处理。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375410A">
      <w:pPr>
        <w:ind w:firstLine="420"/>
        <w:rPr>
          <w:color w:val="auto"/>
          <w:highlight w:val="none"/>
        </w:rPr>
      </w:pPr>
      <w:r>
        <w:rPr>
          <w:rFonts w:hint="eastAsia"/>
          <w:color w:val="auto"/>
          <w:highlight w:val="none"/>
        </w:rPr>
        <w:t>3.1.2 参选人有以下情形之一的，其参选作否决参选处理：</w:t>
      </w:r>
    </w:p>
    <w:p w14:paraId="5AC252B5">
      <w:pPr>
        <w:ind w:firstLine="420"/>
        <w:rPr>
          <w:color w:val="auto"/>
          <w:highlight w:val="none"/>
        </w:rPr>
      </w:pPr>
      <w:r>
        <w:rPr>
          <w:rFonts w:hint="eastAsia"/>
          <w:color w:val="auto"/>
          <w:highlight w:val="none"/>
        </w:rPr>
        <w:t>3.1.2.1 有第二章“参选人须知”第9.条以及第11. 条规定的任何一种情形的；</w:t>
      </w:r>
    </w:p>
    <w:p w14:paraId="36D6AED8">
      <w:pPr>
        <w:ind w:firstLine="420"/>
        <w:rPr>
          <w:color w:val="auto"/>
          <w:highlight w:val="none"/>
        </w:rPr>
      </w:pPr>
      <w:r>
        <w:rPr>
          <w:rFonts w:hint="eastAsia"/>
          <w:color w:val="auto"/>
          <w:highlight w:val="none"/>
        </w:rPr>
        <w:t>3.1.2.2 有串通参选、弄虚作假等其他违反相关法律、法规行为的；</w:t>
      </w:r>
    </w:p>
    <w:p w14:paraId="41F90AA0">
      <w:pPr>
        <w:ind w:firstLine="420"/>
        <w:rPr>
          <w:color w:val="auto"/>
          <w:highlight w:val="none"/>
        </w:rPr>
      </w:pPr>
      <w:r>
        <w:rPr>
          <w:rFonts w:hint="eastAsia"/>
          <w:color w:val="auto"/>
          <w:highlight w:val="none"/>
        </w:rPr>
        <w:t>3.1.2.3 不按评审委员会要求澄清、说明或补正的。</w:t>
      </w:r>
    </w:p>
    <w:p w14:paraId="4931FD01">
      <w:pPr>
        <w:ind w:firstLine="420"/>
        <w:rPr>
          <w:color w:val="auto"/>
          <w:highlight w:val="none"/>
        </w:rPr>
      </w:pPr>
      <w:r>
        <w:rPr>
          <w:rFonts w:hint="eastAsia"/>
          <w:color w:val="auto"/>
          <w:highlight w:val="none"/>
        </w:rPr>
        <w:t>3.1.2.4 本参选文件约定的其它情形。</w:t>
      </w:r>
    </w:p>
    <w:p w14:paraId="3698DF2D">
      <w:pPr>
        <w:ind w:firstLine="42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679025B7">
      <w:pPr>
        <w:pStyle w:val="5"/>
        <w:ind w:firstLine="422"/>
        <w:rPr>
          <w:color w:val="auto"/>
          <w:highlight w:val="none"/>
        </w:rPr>
      </w:pPr>
      <w:bookmarkStart w:id="198" w:name="_Toc444155974"/>
      <w:bookmarkStart w:id="199" w:name="_Toc200513204"/>
      <w:bookmarkStart w:id="200" w:name="_Toc377067345"/>
      <w:bookmarkStart w:id="201" w:name="_Toc22848"/>
      <w:bookmarkStart w:id="202" w:name="_Toc22246"/>
      <w:bookmarkStart w:id="203" w:name="_Toc224103390"/>
      <w:bookmarkStart w:id="204" w:name="_Toc287620757"/>
      <w:bookmarkStart w:id="205" w:name="_Toc287607818"/>
      <w:bookmarkStart w:id="206" w:name="_Toc19604"/>
      <w:bookmarkStart w:id="207" w:name="_Toc10847"/>
      <w:bookmarkStart w:id="208" w:name="_Toc277082624"/>
      <w:bookmarkStart w:id="209" w:name="_Toc407195385"/>
      <w:bookmarkStart w:id="210" w:name="_Toc376114126"/>
      <w:bookmarkStart w:id="211" w:name="_Toc7832"/>
      <w:bookmarkStart w:id="212" w:name="_Toc11246"/>
      <w:bookmarkStart w:id="213" w:name="_Toc440022833"/>
      <w:bookmarkStart w:id="214" w:name="_Toc377115425"/>
      <w:bookmarkStart w:id="215" w:name="_Toc330569212"/>
      <w:bookmarkStart w:id="216" w:name="_Toc29925"/>
      <w:r>
        <w:rPr>
          <w:rFonts w:hint="eastAsia"/>
          <w:color w:val="auto"/>
          <w:highlight w:val="none"/>
        </w:rPr>
        <w:t>3.2 详细评审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A6653BE">
      <w:pPr>
        <w:ind w:firstLine="420"/>
        <w:rPr>
          <w:color w:val="auto"/>
          <w:highlight w:val="none"/>
        </w:rPr>
      </w:pPr>
      <w:r>
        <w:rPr>
          <w:rFonts w:hint="eastAsia"/>
          <w:color w:val="auto"/>
          <w:highlight w:val="none"/>
        </w:rPr>
        <w:t>3.2.1 评审委员会按本章第2.2 条规定的量化因素和分值进行打分，并计算出综合评估得分。</w:t>
      </w:r>
    </w:p>
    <w:p w14:paraId="2C47E31F">
      <w:pPr>
        <w:ind w:firstLine="420"/>
        <w:rPr>
          <w:color w:val="auto"/>
          <w:highlight w:val="none"/>
        </w:rPr>
      </w:pPr>
      <w:r>
        <w:rPr>
          <w:rFonts w:hint="eastAsia"/>
          <w:color w:val="auto"/>
          <w:highlight w:val="none"/>
        </w:rPr>
        <w:t>3.2.1.1 按本章第2.2 条规定的评审因素和分值对参选报价计算出得分；</w:t>
      </w:r>
    </w:p>
    <w:p w14:paraId="35E59D8E">
      <w:pPr>
        <w:ind w:firstLine="420"/>
        <w:rPr>
          <w:color w:val="auto"/>
          <w:highlight w:val="none"/>
        </w:rPr>
      </w:pPr>
      <w:r>
        <w:rPr>
          <w:rFonts w:hint="eastAsia"/>
          <w:color w:val="auto"/>
          <w:highlight w:val="none"/>
        </w:rPr>
        <w:t>3.2.1.2 按本章第2.2 条规定的评审因素和分值对商务部分计算出得分（评审委员会统一打分）；</w:t>
      </w:r>
    </w:p>
    <w:p w14:paraId="12648239">
      <w:pPr>
        <w:ind w:firstLine="420"/>
        <w:rPr>
          <w:color w:val="auto"/>
          <w:highlight w:val="none"/>
        </w:rPr>
      </w:pPr>
      <w:r>
        <w:rPr>
          <w:rFonts w:hint="eastAsia"/>
          <w:color w:val="auto"/>
          <w:highlight w:val="none"/>
        </w:rPr>
        <w:t>3.2.2 评分分值计算保留小数点后两位，小数点后第三位“四舍五入”。</w:t>
      </w:r>
    </w:p>
    <w:p w14:paraId="4BFC5DB4">
      <w:pPr>
        <w:ind w:firstLine="420"/>
        <w:rPr>
          <w:color w:val="auto"/>
          <w:highlight w:val="none"/>
        </w:rPr>
      </w:pPr>
      <w:r>
        <w:rPr>
          <w:rFonts w:hint="eastAsia"/>
          <w:color w:val="auto"/>
          <w:highlight w:val="none"/>
        </w:rPr>
        <w:t>3.2.3 参选人得分=参选报价得分+商务部分得分+技术部分得分。</w:t>
      </w:r>
    </w:p>
    <w:p w14:paraId="0FAD7628">
      <w:pPr>
        <w:pStyle w:val="5"/>
        <w:ind w:firstLine="422"/>
        <w:rPr>
          <w:color w:val="auto"/>
          <w:highlight w:val="none"/>
        </w:rPr>
      </w:pPr>
      <w:bookmarkStart w:id="217" w:name="_Toc224103391"/>
      <w:bookmarkStart w:id="218" w:name="_Toc7176"/>
      <w:bookmarkStart w:id="219" w:name="_Toc377067346"/>
      <w:bookmarkStart w:id="220" w:name="_Toc287607819"/>
      <w:bookmarkStart w:id="221" w:name="_Toc287620758"/>
      <w:bookmarkStart w:id="222" w:name="_Toc377115426"/>
      <w:bookmarkStart w:id="223" w:name="_Toc277082625"/>
      <w:bookmarkStart w:id="224" w:name="_Toc18708"/>
      <w:bookmarkStart w:id="225" w:name="_Toc407195386"/>
      <w:bookmarkStart w:id="226" w:name="_Toc32039"/>
      <w:bookmarkStart w:id="227" w:name="_Toc1080"/>
      <w:bookmarkStart w:id="228" w:name="_Toc330569213"/>
      <w:bookmarkStart w:id="229" w:name="_Toc200513205"/>
      <w:bookmarkStart w:id="230" w:name="_Toc20948"/>
      <w:bookmarkStart w:id="231" w:name="_Toc29261"/>
      <w:bookmarkStart w:id="232" w:name="_Toc376114127"/>
      <w:bookmarkStart w:id="233" w:name="_Toc444155975"/>
      <w:bookmarkStart w:id="234" w:name="_Toc2542"/>
      <w:bookmarkStart w:id="235" w:name="_Toc440022834"/>
      <w:r>
        <w:rPr>
          <w:rFonts w:hint="eastAsia"/>
          <w:color w:val="auto"/>
          <w:highlight w:val="none"/>
        </w:rPr>
        <w:t>3.3 参选文件的澄清和补正</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AEF2D94">
      <w:pPr>
        <w:ind w:firstLine="420"/>
        <w:rPr>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D0FCC1D">
      <w:pPr>
        <w:ind w:firstLine="420"/>
        <w:rPr>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14:paraId="63F8F818">
      <w:pPr>
        <w:ind w:firstLine="420"/>
        <w:rPr>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14:paraId="2A238DD3">
      <w:pPr>
        <w:pStyle w:val="5"/>
        <w:ind w:firstLine="422"/>
        <w:rPr>
          <w:color w:val="auto"/>
          <w:highlight w:val="none"/>
        </w:rPr>
      </w:pPr>
      <w:bookmarkStart w:id="236" w:name="_Toc30672"/>
      <w:bookmarkStart w:id="237" w:name="_Toc444155976"/>
      <w:bookmarkStart w:id="238" w:name="_Toc6310"/>
      <w:bookmarkStart w:id="239" w:name="_Toc21450"/>
      <w:bookmarkStart w:id="240" w:name="_Toc200513206"/>
      <w:bookmarkStart w:id="241" w:name="_Toc14840"/>
      <w:bookmarkStart w:id="242" w:name="_Toc407195387"/>
      <w:bookmarkStart w:id="243" w:name="_Toc287607820"/>
      <w:bookmarkStart w:id="244" w:name="_Toc31270"/>
      <w:bookmarkStart w:id="245" w:name="_Toc19054"/>
      <w:bookmarkStart w:id="246" w:name="_Toc376114128"/>
      <w:bookmarkStart w:id="247" w:name="_Toc377067347"/>
      <w:bookmarkStart w:id="248" w:name="_Toc287620759"/>
      <w:bookmarkStart w:id="249" w:name="_Toc224103392"/>
      <w:bookmarkStart w:id="250" w:name="_Toc440022835"/>
      <w:bookmarkStart w:id="251" w:name="_Toc4814"/>
      <w:bookmarkStart w:id="252" w:name="_Toc330569214"/>
      <w:bookmarkStart w:id="253" w:name="_Toc377115427"/>
      <w:bookmarkStart w:id="254" w:name="_Toc277082626"/>
      <w:r>
        <w:rPr>
          <w:rFonts w:hint="eastAsia"/>
          <w:color w:val="auto"/>
          <w:highlight w:val="none"/>
        </w:rPr>
        <w:t>3.4 评审结果</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38EDC2D">
      <w:pPr>
        <w:ind w:firstLine="0"/>
        <w:rPr>
          <w:color w:val="auto"/>
          <w:highlight w:val="none"/>
        </w:rPr>
      </w:pPr>
      <w:r>
        <w:rPr>
          <w:rFonts w:hint="eastAsia"/>
          <w:color w:val="auto"/>
          <w:highlight w:val="none"/>
        </w:rPr>
        <w:t>3.4.1 评审委员会按照得分由高到低的顺序推荐中选候选人。</w:t>
      </w:r>
    </w:p>
    <w:p w14:paraId="770DFF90">
      <w:pPr>
        <w:ind w:firstLine="0"/>
        <w:rPr>
          <w:color w:val="auto"/>
          <w:highlight w:val="none"/>
        </w:rPr>
      </w:pPr>
      <w:r>
        <w:rPr>
          <w:rFonts w:hint="eastAsia"/>
          <w:color w:val="auto"/>
          <w:highlight w:val="none"/>
        </w:rPr>
        <w:t>3.4.2 评审委员会完成评审后，应当向比选人提交书面评审报告。</w:t>
      </w:r>
    </w:p>
    <w:p w14:paraId="5E03FF9B">
      <w:pPr>
        <w:ind w:firstLine="0"/>
        <w:rPr>
          <w:color w:val="auto"/>
          <w:highlight w:val="none"/>
        </w:rPr>
      </w:pPr>
      <w:r>
        <w:rPr>
          <w:rFonts w:hint="eastAsia"/>
          <w:color w:val="auto"/>
          <w:highlight w:val="none"/>
        </w:rPr>
        <w:t>3.4.3 有效参选不足两个的，经评审委员会判定，参选人具有相对行业竞争力的，可继续进行评审。</w:t>
      </w:r>
    </w:p>
    <w:p w14:paraId="52C8B77A">
      <w:pPr>
        <w:pStyle w:val="5"/>
        <w:ind w:firstLine="422"/>
        <w:rPr>
          <w:color w:val="auto"/>
          <w:highlight w:val="none"/>
        </w:rPr>
      </w:pPr>
      <w:r>
        <w:rPr>
          <w:rFonts w:hint="eastAsia"/>
          <w:color w:val="auto"/>
          <w:highlight w:val="none"/>
        </w:rPr>
        <w:t>3.5 对评审委员会成员的纪律要求</w:t>
      </w:r>
    </w:p>
    <w:p w14:paraId="61E278A0">
      <w:pPr>
        <w:ind w:firstLine="42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62C21EC">
      <w:pPr>
        <w:pStyle w:val="5"/>
        <w:ind w:firstLine="422"/>
        <w:rPr>
          <w:color w:val="auto"/>
          <w:highlight w:val="none"/>
        </w:rPr>
      </w:pPr>
      <w:r>
        <w:rPr>
          <w:rFonts w:hint="eastAsia"/>
          <w:color w:val="auto"/>
          <w:highlight w:val="none"/>
        </w:rPr>
        <w:t>3.6 对与评审活动有关的工作人员的纪律要求</w:t>
      </w:r>
    </w:p>
    <w:p w14:paraId="371516AA">
      <w:pPr>
        <w:ind w:firstLine="42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DE56807">
      <w:pPr>
        <w:ind w:firstLine="420"/>
        <w:rPr>
          <w:color w:val="auto"/>
          <w:highlight w:val="none"/>
        </w:rPr>
      </w:pPr>
    </w:p>
    <w:p w14:paraId="3C5196DA">
      <w:pPr>
        <w:ind w:firstLine="420"/>
        <w:rPr>
          <w:color w:val="auto"/>
          <w:highlight w:val="none"/>
        </w:rPr>
      </w:pPr>
      <w:r>
        <w:rPr>
          <w:rFonts w:hint="eastAsia"/>
          <w:color w:val="auto"/>
          <w:highlight w:val="none"/>
        </w:rPr>
        <w:br w:type="page"/>
      </w:r>
    </w:p>
    <w:p w14:paraId="400F6A75">
      <w:pPr>
        <w:pStyle w:val="3"/>
        <w:rPr>
          <w:color w:val="auto"/>
          <w:highlight w:val="none"/>
        </w:rPr>
      </w:pPr>
      <w:bookmarkStart w:id="255" w:name="_Toc20787"/>
      <w:r>
        <w:rPr>
          <w:rFonts w:hint="eastAsia"/>
          <w:color w:val="auto"/>
          <w:highlight w:val="none"/>
        </w:rPr>
        <w:t>第五章 合同</w:t>
      </w:r>
      <w:r>
        <w:rPr>
          <w:color w:val="auto"/>
          <w:highlight w:val="none"/>
        </w:rPr>
        <w:t>模板</w:t>
      </w:r>
      <w:bookmarkEnd w:id="79"/>
      <w:bookmarkEnd w:id="255"/>
    </w:p>
    <w:p w14:paraId="0B54D566">
      <w:pPr>
        <w:ind w:firstLine="0" w:firstLineChars="0"/>
        <w:jc w:val="center"/>
        <w:rPr>
          <w:color w:val="auto"/>
          <w:highlight w:val="none"/>
        </w:rPr>
      </w:pPr>
      <w:r>
        <w:rPr>
          <w:rFonts w:hint="eastAsia"/>
          <w:color w:val="auto"/>
          <w:highlight w:val="none"/>
        </w:rPr>
        <w:t>（本章节的合同条款及格式仅供参考，具体以合同签订时为准）</w:t>
      </w:r>
    </w:p>
    <w:p w14:paraId="559940BA">
      <w:pPr>
        <w:ind w:firstLine="560"/>
        <w:jc w:val="right"/>
        <w:rPr>
          <w:rStyle w:val="90"/>
          <w:rFonts w:ascii="宋体"/>
          <w:b w:val="0"/>
          <w:color w:val="auto"/>
          <w:sz w:val="28"/>
          <w:szCs w:val="28"/>
          <w:highlight w:val="none"/>
        </w:rPr>
      </w:pPr>
      <w:r>
        <w:rPr>
          <w:rStyle w:val="90"/>
          <w:rFonts w:hint="eastAsia" w:ascii="宋体"/>
          <w:b w:val="0"/>
          <w:color w:val="auto"/>
          <w:sz w:val="28"/>
          <w:szCs w:val="28"/>
          <w:highlight w:val="none"/>
        </w:rPr>
        <w:t>编号：SXYH20220101018_</w:t>
      </w:r>
      <w:r>
        <w:rPr>
          <w:rStyle w:val="90"/>
          <w:rFonts w:ascii="宋体"/>
          <w:b w:val="0"/>
          <w:color w:val="auto"/>
          <w:sz w:val="28"/>
          <w:szCs w:val="28"/>
          <w:highlight w:val="none"/>
        </w:rPr>
        <w:t>__</w:t>
      </w:r>
    </w:p>
    <w:p w14:paraId="695E388A">
      <w:pPr>
        <w:ind w:firstLine="422"/>
        <w:jc w:val="center"/>
        <w:rPr>
          <w:rStyle w:val="90"/>
          <w:color w:val="auto"/>
          <w:szCs w:val="21"/>
          <w:highlight w:val="none"/>
        </w:rPr>
      </w:pPr>
    </w:p>
    <w:p w14:paraId="7CC9C7C0">
      <w:pPr>
        <w:ind w:firstLine="422"/>
        <w:jc w:val="center"/>
        <w:rPr>
          <w:rStyle w:val="90"/>
          <w:color w:val="auto"/>
          <w:szCs w:val="21"/>
          <w:highlight w:val="none"/>
        </w:rPr>
      </w:pPr>
    </w:p>
    <w:p w14:paraId="49DCEA3C">
      <w:pPr>
        <w:ind w:firstLine="422"/>
        <w:jc w:val="center"/>
        <w:rPr>
          <w:rStyle w:val="90"/>
          <w:color w:val="auto"/>
          <w:szCs w:val="21"/>
          <w:highlight w:val="none"/>
        </w:rPr>
      </w:pPr>
    </w:p>
    <w:p w14:paraId="54DCAE79">
      <w:pPr>
        <w:ind w:firstLine="422"/>
        <w:jc w:val="center"/>
        <w:rPr>
          <w:rStyle w:val="90"/>
          <w:color w:val="auto"/>
          <w:szCs w:val="21"/>
          <w:highlight w:val="none"/>
        </w:rPr>
      </w:pPr>
    </w:p>
    <w:p w14:paraId="4181BE85">
      <w:pPr>
        <w:pStyle w:val="114"/>
        <w:rPr>
          <w:color w:val="auto"/>
          <w:highlight w:val="none"/>
        </w:rPr>
      </w:pPr>
      <w:r>
        <w:rPr>
          <w:rFonts w:hint="eastAsia"/>
          <w:color w:val="auto"/>
          <w:highlight w:val="none"/>
        </w:rPr>
        <w:t>重庆三峡银行</w:t>
      </w:r>
    </w:p>
    <w:p w14:paraId="32179B71">
      <w:pPr>
        <w:pStyle w:val="114"/>
        <w:rPr>
          <w:color w:val="auto"/>
          <w:highlight w:val="none"/>
        </w:rPr>
      </w:pPr>
      <w:r>
        <w:rPr>
          <w:rFonts w:hint="eastAsia"/>
          <w:color w:val="auto"/>
          <w:highlight w:val="none"/>
        </w:rPr>
        <w:t>身份认证系统项目合同</w:t>
      </w:r>
    </w:p>
    <w:p w14:paraId="05A76DF6">
      <w:pPr>
        <w:ind w:firstLine="422"/>
        <w:jc w:val="center"/>
        <w:rPr>
          <w:rStyle w:val="90"/>
          <w:color w:val="auto"/>
          <w:szCs w:val="21"/>
          <w:highlight w:val="none"/>
        </w:rPr>
      </w:pPr>
    </w:p>
    <w:p w14:paraId="59ABE0CA">
      <w:pPr>
        <w:ind w:firstLine="422"/>
        <w:jc w:val="center"/>
        <w:rPr>
          <w:rStyle w:val="90"/>
          <w:color w:val="auto"/>
          <w:szCs w:val="21"/>
          <w:highlight w:val="none"/>
        </w:rPr>
      </w:pPr>
    </w:p>
    <w:p w14:paraId="6BE02FDA">
      <w:pPr>
        <w:ind w:firstLine="422"/>
        <w:jc w:val="center"/>
        <w:rPr>
          <w:b/>
          <w:bCs/>
          <w:color w:val="auto"/>
          <w:highlight w:val="none"/>
        </w:rPr>
      </w:pPr>
    </w:p>
    <w:p w14:paraId="11FA160C">
      <w:pPr>
        <w:ind w:firstLine="422"/>
        <w:jc w:val="center"/>
        <w:rPr>
          <w:b/>
          <w:bCs/>
          <w:color w:val="auto"/>
          <w:highlight w:val="none"/>
        </w:rPr>
      </w:pPr>
    </w:p>
    <w:p w14:paraId="221EA50F">
      <w:pPr>
        <w:ind w:firstLine="422"/>
        <w:jc w:val="center"/>
        <w:rPr>
          <w:b/>
          <w:bCs/>
          <w:color w:val="auto"/>
          <w:highlight w:val="none"/>
        </w:rPr>
      </w:pPr>
    </w:p>
    <w:p w14:paraId="2243FF21">
      <w:pPr>
        <w:ind w:firstLine="422"/>
        <w:rPr>
          <w:b/>
          <w:bCs/>
          <w:color w:val="auto"/>
          <w:highlight w:val="none"/>
        </w:rPr>
      </w:pPr>
    </w:p>
    <w:p w14:paraId="1EEA9760">
      <w:pPr>
        <w:ind w:firstLine="422"/>
        <w:jc w:val="center"/>
        <w:rPr>
          <w:b/>
          <w:bCs/>
          <w:color w:val="auto"/>
          <w:highlight w:val="none"/>
        </w:rPr>
      </w:pPr>
    </w:p>
    <w:p w14:paraId="444A7AAA">
      <w:pPr>
        <w:ind w:firstLine="422"/>
        <w:jc w:val="center"/>
        <w:rPr>
          <w:b/>
          <w:bCs/>
          <w:color w:val="auto"/>
          <w:highlight w:val="none"/>
        </w:rPr>
      </w:pPr>
    </w:p>
    <w:p w14:paraId="1D2B7182">
      <w:pPr>
        <w:ind w:firstLine="422"/>
        <w:jc w:val="center"/>
        <w:rPr>
          <w:b/>
          <w:bCs/>
          <w:color w:val="auto"/>
          <w:highlight w:val="none"/>
        </w:rPr>
      </w:pPr>
    </w:p>
    <w:p w14:paraId="6B7BF9F7">
      <w:pPr>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206BEE74">
      <w:pPr>
        <w:tabs>
          <w:tab w:val="right" w:pos="8312"/>
        </w:tabs>
        <w:ind w:left="840" w:firstLine="420" w:firstLineChars="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58B30343">
      <w:pPr>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3099A730">
      <w:pPr>
        <w:ind w:firstLine="643"/>
        <w:rPr>
          <w:b/>
          <w:color w:val="auto"/>
          <w:sz w:val="32"/>
          <w:highlight w:val="none"/>
        </w:rPr>
      </w:pPr>
    </w:p>
    <w:p w14:paraId="6106DFB6">
      <w:pPr>
        <w:ind w:firstLine="42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20CFE05D">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第一条定义</w:t>
      </w:r>
    </w:p>
    <w:p w14:paraId="6C96289A">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第二条项目名称、内容及要求</w:t>
      </w:r>
    </w:p>
    <w:p w14:paraId="393868FA">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第三条项目履行的进度、期限、地点、地域、方式</w:t>
      </w:r>
    </w:p>
    <w:p w14:paraId="631A6ED3">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第四条方案调整</w:t>
      </w:r>
    </w:p>
    <w:p w14:paraId="1041AEB5">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第五条验收</w:t>
      </w:r>
    </w:p>
    <w:p w14:paraId="7EF3B1F9">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第六条交付使用后维护期、系统完善和保修维护服务</w:t>
      </w:r>
    </w:p>
    <w:p w14:paraId="76E8C057">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第七条技术辅导与培训</w:t>
      </w:r>
    </w:p>
    <w:p w14:paraId="3F6E4D99">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第八条双方的权利、义务</w:t>
      </w:r>
    </w:p>
    <w:p w14:paraId="3C463A4F">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第九条乙方的声明与保证</w:t>
      </w:r>
    </w:p>
    <w:p w14:paraId="5DCC0CCC">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第十条知识产权</w:t>
      </w:r>
    </w:p>
    <w:p w14:paraId="369FBB80">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第十一条第三方索赔</w:t>
      </w:r>
    </w:p>
    <w:p w14:paraId="5C7D2CBE">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第十二条保密</w:t>
      </w:r>
    </w:p>
    <w:p w14:paraId="239BE3B6">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第十三条价格与支付</w:t>
      </w:r>
    </w:p>
    <w:p w14:paraId="0AEFC7A4">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第十四条风险责任的承担</w:t>
      </w:r>
    </w:p>
    <w:p w14:paraId="7B7FAFCB">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第十五条违约与赔偿</w:t>
      </w:r>
    </w:p>
    <w:p w14:paraId="44DA065D">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第十六条合同的解除</w:t>
      </w:r>
    </w:p>
    <w:p w14:paraId="3CC9C63F">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第十七条合同变更及转让</w:t>
      </w:r>
    </w:p>
    <w:p w14:paraId="70675637">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第十八条争议解决</w:t>
      </w:r>
    </w:p>
    <w:p w14:paraId="4C4CCC14">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第十九条通知与送达</w:t>
      </w:r>
    </w:p>
    <w:p w14:paraId="6FCB6440">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第二十条合同生效</w:t>
      </w:r>
    </w:p>
    <w:p w14:paraId="631AB16C">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第二十一条不可抗力</w:t>
      </w:r>
    </w:p>
    <w:p w14:paraId="3EF7A41B">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第二十二条反商业贿赂</w:t>
      </w:r>
    </w:p>
    <w:p w14:paraId="67B26640">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第二十三条附件</w:t>
      </w:r>
    </w:p>
    <w:p w14:paraId="5B68C517">
      <w:pPr>
        <w:pStyle w:val="59"/>
        <w:tabs>
          <w:tab w:val="right" w:leader="dot" w:pos="8302"/>
        </w:tabs>
        <w:spacing w:line="350" w:lineRule="auto"/>
        <w:ind w:firstLine="422"/>
        <w:rPr>
          <w:rFonts w:ascii="宋体"/>
          <w:b/>
          <w:bCs/>
          <w:color w:val="auto"/>
          <w:highlight w:val="none"/>
        </w:rPr>
      </w:pPr>
      <w:r>
        <w:rPr>
          <w:rFonts w:hint="eastAsia" w:ascii="宋体"/>
          <w:b/>
          <w:bCs/>
          <w:color w:val="auto"/>
          <w:highlight w:val="none"/>
        </w:rPr>
        <w:t>第二十四条其他</w:t>
      </w:r>
    </w:p>
    <w:p w14:paraId="0718BA1C">
      <w:pPr>
        <w:ind w:firstLine="420"/>
        <w:rPr>
          <w:rFonts w:ascii="宋体"/>
          <w:color w:val="auto"/>
          <w:highlight w:val="none"/>
        </w:rPr>
      </w:pPr>
    </w:p>
    <w:p w14:paraId="587CD73E">
      <w:pPr>
        <w:ind w:firstLine="42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3F255963">
      <w:pPr>
        <w:ind w:firstLine="420"/>
        <w:rPr>
          <w:rFonts w:ascii="宋体"/>
          <w:color w:val="auto"/>
          <w:highlight w:val="none"/>
        </w:rPr>
      </w:pPr>
      <w:r>
        <w:rPr>
          <w:rFonts w:hint="eastAsia" w:ascii="宋体"/>
          <w:color w:val="auto"/>
          <w:highlight w:val="none"/>
        </w:rPr>
        <w:t>法定代表人：刘江桥</w:t>
      </w:r>
    </w:p>
    <w:p w14:paraId="15C5F9E9">
      <w:pPr>
        <w:ind w:firstLine="42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5C17F341">
      <w:pPr>
        <w:ind w:firstLine="420"/>
        <w:rPr>
          <w:rFonts w:ascii="宋体"/>
          <w:color w:val="auto"/>
          <w:highlight w:val="none"/>
        </w:rPr>
      </w:pPr>
      <w:r>
        <w:rPr>
          <w:rFonts w:hint="eastAsia" w:ascii="宋体"/>
          <w:color w:val="auto"/>
          <w:highlight w:val="none"/>
        </w:rPr>
        <w:t>邮政编码：</w:t>
      </w:r>
    </w:p>
    <w:p w14:paraId="5589756E">
      <w:pPr>
        <w:ind w:firstLine="420"/>
        <w:rPr>
          <w:rFonts w:ascii="宋体"/>
          <w:color w:val="auto"/>
          <w:highlight w:val="none"/>
        </w:rPr>
      </w:pPr>
      <w:r>
        <w:rPr>
          <w:rFonts w:hint="eastAsia" w:ascii="宋体"/>
          <w:color w:val="auto"/>
          <w:highlight w:val="none"/>
        </w:rPr>
        <w:t>联系人：</w:t>
      </w:r>
    </w:p>
    <w:p w14:paraId="66BEDBD4">
      <w:pPr>
        <w:ind w:firstLine="420"/>
        <w:rPr>
          <w:rFonts w:ascii="宋体"/>
          <w:color w:val="auto"/>
          <w:highlight w:val="none"/>
        </w:rPr>
      </w:pPr>
      <w:r>
        <w:rPr>
          <w:rFonts w:hint="eastAsia" w:ascii="宋体"/>
          <w:color w:val="auto"/>
          <w:highlight w:val="none"/>
        </w:rPr>
        <w:t>电话：</w:t>
      </w:r>
    </w:p>
    <w:p w14:paraId="6767082D">
      <w:pPr>
        <w:ind w:firstLine="420"/>
        <w:rPr>
          <w:rFonts w:ascii="宋体"/>
          <w:color w:val="auto"/>
          <w:highlight w:val="none"/>
        </w:rPr>
      </w:pPr>
      <w:r>
        <w:rPr>
          <w:rFonts w:hint="eastAsia" w:ascii="宋体"/>
          <w:color w:val="auto"/>
          <w:highlight w:val="none"/>
        </w:rPr>
        <w:t>电子邮箱：</w:t>
      </w:r>
    </w:p>
    <w:p w14:paraId="01691E3E">
      <w:pPr>
        <w:ind w:firstLine="420"/>
        <w:rPr>
          <w:rFonts w:ascii="宋体"/>
          <w:color w:val="auto"/>
          <w:highlight w:val="none"/>
        </w:rPr>
      </w:pPr>
    </w:p>
    <w:p w14:paraId="4C5A9F72">
      <w:pPr>
        <w:ind w:firstLine="422"/>
        <w:rPr>
          <w:rFonts w:ascii="宋体"/>
          <w:b/>
          <w:color w:val="auto"/>
          <w:highlight w:val="none"/>
        </w:rPr>
      </w:pPr>
      <w:r>
        <w:rPr>
          <w:rFonts w:hint="eastAsia" w:ascii="宋体"/>
          <w:b/>
          <w:color w:val="auto"/>
          <w:highlight w:val="none"/>
        </w:rPr>
        <w:t>受托方：XXXXXXXXXXXXX（以下简称“乙方”）</w:t>
      </w:r>
    </w:p>
    <w:p w14:paraId="4A983E89">
      <w:pPr>
        <w:ind w:firstLine="420"/>
        <w:rPr>
          <w:rFonts w:ascii="宋体"/>
          <w:color w:val="auto"/>
          <w:highlight w:val="none"/>
        </w:rPr>
      </w:pPr>
      <w:r>
        <w:rPr>
          <w:rFonts w:hint="eastAsia" w:ascii="宋体"/>
          <w:color w:val="auto"/>
          <w:highlight w:val="none"/>
        </w:rPr>
        <w:t xml:space="preserve">法定代表人： </w:t>
      </w:r>
    </w:p>
    <w:p w14:paraId="0EBEAC99">
      <w:pPr>
        <w:ind w:firstLine="420"/>
        <w:rPr>
          <w:rFonts w:ascii="宋体"/>
          <w:color w:val="auto"/>
          <w:highlight w:val="none"/>
        </w:rPr>
      </w:pPr>
      <w:r>
        <w:rPr>
          <w:rFonts w:hint="eastAsia" w:ascii="宋体"/>
          <w:color w:val="auto"/>
          <w:highlight w:val="none"/>
        </w:rPr>
        <w:t>地址：</w:t>
      </w:r>
    </w:p>
    <w:p w14:paraId="53B87E53">
      <w:pPr>
        <w:ind w:firstLine="420"/>
        <w:rPr>
          <w:rFonts w:ascii="宋体"/>
          <w:color w:val="auto"/>
          <w:highlight w:val="none"/>
        </w:rPr>
      </w:pPr>
      <w:r>
        <w:rPr>
          <w:rFonts w:hint="eastAsia" w:ascii="宋体"/>
          <w:color w:val="auto"/>
          <w:highlight w:val="none"/>
        </w:rPr>
        <w:t>邮政编码：</w:t>
      </w:r>
    </w:p>
    <w:p w14:paraId="796AE6F6">
      <w:pPr>
        <w:ind w:firstLine="420"/>
        <w:rPr>
          <w:rFonts w:ascii="宋体"/>
          <w:color w:val="auto"/>
          <w:highlight w:val="none"/>
        </w:rPr>
      </w:pPr>
      <w:r>
        <w:rPr>
          <w:rFonts w:hint="eastAsia" w:ascii="宋体"/>
          <w:color w:val="auto"/>
          <w:highlight w:val="none"/>
        </w:rPr>
        <w:t xml:space="preserve">开户银行： </w:t>
      </w:r>
    </w:p>
    <w:p w14:paraId="4817FF9C">
      <w:pPr>
        <w:ind w:firstLine="420"/>
        <w:rPr>
          <w:rFonts w:ascii="宋体"/>
          <w:color w:val="auto"/>
          <w:highlight w:val="none"/>
        </w:rPr>
      </w:pPr>
      <w:r>
        <w:rPr>
          <w:rFonts w:hint="eastAsia" w:ascii="宋体"/>
          <w:color w:val="auto"/>
          <w:highlight w:val="none"/>
        </w:rPr>
        <w:t>账号：</w:t>
      </w:r>
    </w:p>
    <w:p w14:paraId="44B26338">
      <w:pPr>
        <w:ind w:firstLine="420"/>
        <w:rPr>
          <w:rFonts w:ascii="宋体"/>
          <w:color w:val="auto"/>
          <w:highlight w:val="none"/>
        </w:rPr>
      </w:pPr>
      <w:r>
        <w:rPr>
          <w:rFonts w:hint="eastAsia" w:ascii="宋体"/>
          <w:color w:val="auto"/>
          <w:highlight w:val="none"/>
        </w:rPr>
        <w:t>税号：</w:t>
      </w:r>
    </w:p>
    <w:p w14:paraId="258EE8CE">
      <w:pPr>
        <w:ind w:firstLine="420"/>
        <w:rPr>
          <w:rFonts w:ascii="宋体"/>
          <w:color w:val="auto"/>
          <w:highlight w:val="none"/>
        </w:rPr>
      </w:pPr>
      <w:r>
        <w:rPr>
          <w:rFonts w:hint="eastAsia" w:ascii="宋体"/>
          <w:color w:val="auto"/>
          <w:highlight w:val="none"/>
        </w:rPr>
        <w:t xml:space="preserve">联系人： </w:t>
      </w:r>
    </w:p>
    <w:p w14:paraId="088E978E">
      <w:pPr>
        <w:ind w:firstLine="420"/>
        <w:rPr>
          <w:rFonts w:ascii="宋体"/>
          <w:color w:val="auto"/>
          <w:highlight w:val="none"/>
        </w:rPr>
      </w:pPr>
      <w:r>
        <w:rPr>
          <w:rFonts w:hint="eastAsia" w:ascii="宋体"/>
          <w:color w:val="auto"/>
          <w:highlight w:val="none"/>
        </w:rPr>
        <w:t>电话：</w:t>
      </w:r>
    </w:p>
    <w:p w14:paraId="45C24ED7">
      <w:pPr>
        <w:ind w:firstLine="420"/>
        <w:rPr>
          <w:rFonts w:ascii="宋体"/>
          <w:color w:val="auto"/>
          <w:highlight w:val="none"/>
        </w:rPr>
      </w:pPr>
      <w:r>
        <w:rPr>
          <w:rFonts w:hint="eastAsia" w:ascii="宋体"/>
          <w:color w:val="auto"/>
          <w:highlight w:val="none"/>
        </w:rPr>
        <w:t>手机：</w:t>
      </w:r>
    </w:p>
    <w:p w14:paraId="7036D1DA">
      <w:pPr>
        <w:ind w:firstLine="420"/>
        <w:rPr>
          <w:rFonts w:ascii="宋体"/>
          <w:color w:val="auto"/>
          <w:highlight w:val="none"/>
        </w:rPr>
      </w:pPr>
      <w:r>
        <w:rPr>
          <w:rFonts w:hint="eastAsia" w:ascii="宋体"/>
          <w:color w:val="auto"/>
          <w:highlight w:val="none"/>
        </w:rPr>
        <w:t>传真：</w:t>
      </w:r>
    </w:p>
    <w:p w14:paraId="21F869EE">
      <w:pPr>
        <w:ind w:firstLine="420"/>
        <w:rPr>
          <w:rFonts w:ascii="宋体"/>
          <w:color w:val="auto"/>
          <w:highlight w:val="none"/>
          <w:lang w:val="en-GB"/>
        </w:rPr>
      </w:pPr>
      <w:r>
        <w:rPr>
          <w:rFonts w:hint="eastAsia" w:ascii="宋体"/>
          <w:color w:val="auto"/>
          <w:highlight w:val="none"/>
        </w:rPr>
        <w:t>电子邮箱：</w:t>
      </w:r>
    </w:p>
    <w:p w14:paraId="4D2992E9">
      <w:pPr>
        <w:ind w:firstLine="422"/>
        <w:rPr>
          <w:rStyle w:val="115"/>
          <w:rFonts w:hint="default"/>
          <w:color w:val="auto"/>
          <w:highlight w:val="none"/>
        </w:rPr>
      </w:pPr>
      <w:r>
        <w:rPr>
          <w:rFonts w:ascii="宋体"/>
          <w:b/>
          <w:color w:val="auto"/>
          <w:highlight w:val="none"/>
        </w:rPr>
        <w:br w:type="page"/>
      </w:r>
      <w:r>
        <w:rPr>
          <w:rStyle w:val="115"/>
          <w:color w:val="auto"/>
          <w:highlight w:val="none"/>
        </w:rPr>
        <w:t>鉴于：</w:t>
      </w:r>
    </w:p>
    <w:p w14:paraId="15BB4B2C">
      <w:pPr>
        <w:ind w:firstLine="420"/>
        <w:rPr>
          <w:color w:val="auto"/>
          <w:highlight w:val="none"/>
        </w:rPr>
      </w:pPr>
      <w:r>
        <w:rPr>
          <w:rFonts w:hint="eastAsia"/>
          <w:color w:val="auto"/>
          <w:highlight w:val="none"/>
        </w:rPr>
        <w:t>乙方具有良好的开发实施能力，甲乙双方经友好协商并达成一致，依据相关法律、法规的规定，就甲方委托</w:t>
      </w:r>
      <w:r>
        <w:rPr>
          <w:color w:val="auto"/>
          <w:highlight w:val="none"/>
        </w:rPr>
        <w:t>乙方</w:t>
      </w:r>
      <w:r>
        <w:rPr>
          <w:rFonts w:hint="eastAsia"/>
          <w:color w:val="auto"/>
          <w:highlight w:val="none"/>
        </w:rPr>
        <w:t>进行</w:t>
      </w:r>
      <w:r>
        <w:rPr>
          <w:color w:val="auto"/>
          <w:highlight w:val="none"/>
        </w:rPr>
        <w:t>项目实施与技术支持</w:t>
      </w:r>
      <w:r>
        <w:rPr>
          <w:rFonts w:hint="eastAsia"/>
          <w:color w:val="auto"/>
          <w:highlight w:val="none"/>
        </w:rPr>
        <w:t>，向乙方订购</w:t>
      </w:r>
      <w:r>
        <w:rPr>
          <w:color w:val="auto"/>
          <w:highlight w:val="none"/>
        </w:rPr>
        <w:t>身份认证系统</w:t>
      </w:r>
      <w:r>
        <w:rPr>
          <w:rFonts w:hint="eastAsia"/>
          <w:color w:val="auto"/>
          <w:highlight w:val="none"/>
        </w:rPr>
        <w:t>（含定制化开发）的相关事宜订立本合同，以资信守：</w:t>
      </w:r>
    </w:p>
    <w:p w14:paraId="205EFCCF">
      <w:pPr>
        <w:pStyle w:val="4"/>
        <w:rPr>
          <w:color w:val="auto"/>
          <w:highlight w:val="none"/>
        </w:rPr>
      </w:pPr>
      <w:bookmarkStart w:id="256" w:name="_Toc84948025"/>
      <w:r>
        <w:rPr>
          <w:rFonts w:hint="eastAsia"/>
          <w:color w:val="auto"/>
          <w:highlight w:val="none"/>
        </w:rPr>
        <w:t>第一条 定义</w:t>
      </w:r>
      <w:bookmarkEnd w:id="256"/>
    </w:p>
    <w:p w14:paraId="14D74E00">
      <w:pPr>
        <w:ind w:firstLine="420"/>
        <w:rPr>
          <w:color w:val="auto"/>
          <w:highlight w:val="none"/>
        </w:rPr>
      </w:pPr>
      <w:r>
        <w:rPr>
          <w:rFonts w:hint="eastAsia"/>
          <w:color w:val="auto"/>
          <w:highlight w:val="none"/>
        </w:rPr>
        <w:t>在本合同中，除非有相反的表述，下列术语具有如下含义：</w:t>
      </w:r>
    </w:p>
    <w:p w14:paraId="5B9C813C">
      <w:pPr>
        <w:ind w:firstLine="420"/>
        <w:rPr>
          <w:color w:val="auto"/>
          <w:highlight w:val="none"/>
        </w:rPr>
      </w:pPr>
      <w:r>
        <w:rPr>
          <w:rFonts w:hint="eastAsia"/>
          <w:color w:val="auto"/>
          <w:highlight w:val="none"/>
        </w:rPr>
        <w:t>1.1“项目”系指乙方受甲方委托，单独为本合同目的依据合同附件一《工作（需求）说明书》的产品实施与数据迁移服务。</w:t>
      </w:r>
    </w:p>
    <w:p w14:paraId="1B8FDD98">
      <w:pPr>
        <w:ind w:firstLine="420"/>
        <w:rPr>
          <w:color w:val="auto"/>
          <w:highlight w:val="none"/>
        </w:rPr>
      </w:pPr>
      <w:r>
        <w:rPr>
          <w:rFonts w:hint="eastAsia"/>
          <w:color w:val="auto"/>
          <w:highlight w:val="none"/>
        </w:rPr>
        <w:t>1.2“客户化工作”指项目交付乙方后乙方对甲方的需求进行开发实施。</w:t>
      </w:r>
    </w:p>
    <w:p w14:paraId="2F36929B">
      <w:pPr>
        <w:ind w:firstLine="420"/>
        <w:rPr>
          <w:color w:val="auto"/>
          <w:highlight w:val="none"/>
        </w:rPr>
      </w:pPr>
      <w:r>
        <w:rPr>
          <w:rFonts w:hint="eastAsia"/>
          <w:color w:val="auto"/>
          <w:highlight w:val="none"/>
        </w:rPr>
        <w:t>1.3“产品实施数据迁移”指乙方产品的安装配置和业务数据迁移服务。</w:t>
      </w:r>
    </w:p>
    <w:p w14:paraId="0BC74BFB">
      <w:pPr>
        <w:ind w:firstLine="420"/>
        <w:rPr>
          <w:color w:val="auto"/>
          <w:highlight w:val="none"/>
        </w:rPr>
      </w:pPr>
      <w:r>
        <w:rPr>
          <w:rFonts w:hint="eastAsia"/>
          <w:color w:val="auto"/>
          <w:highlight w:val="none"/>
        </w:rPr>
        <w:t>1.4“</w:t>
      </w:r>
      <w:r>
        <w:rPr>
          <w:color w:val="auto"/>
          <w:highlight w:val="none"/>
        </w:rPr>
        <w:t>身份认证</w:t>
      </w:r>
      <w:r>
        <w:rPr>
          <w:color w:val="auto"/>
          <w:highlight w:val="none"/>
          <w:lang w:val="en-GB"/>
        </w:rPr>
        <w:t>系统</w:t>
      </w:r>
      <w:r>
        <w:rPr>
          <w:color w:val="auto"/>
          <w:highlight w:val="none"/>
        </w:rPr>
        <w:t>业务</w:t>
      </w:r>
      <w:r>
        <w:rPr>
          <w:rFonts w:hint="eastAsia"/>
          <w:color w:val="auto"/>
          <w:highlight w:val="none"/>
        </w:rPr>
        <w:t>”指乙方提供给甲方的附件一中所涵盖的业务功能。</w:t>
      </w:r>
    </w:p>
    <w:p w14:paraId="417FD74D">
      <w:pPr>
        <w:ind w:firstLine="420"/>
        <w:rPr>
          <w:color w:val="auto"/>
          <w:highlight w:val="none"/>
        </w:rPr>
      </w:pPr>
      <w:r>
        <w:rPr>
          <w:rFonts w:hint="eastAsia"/>
          <w:color w:val="auto"/>
          <w:highlight w:val="none"/>
        </w:rPr>
        <w:t>1.</w:t>
      </w:r>
      <w:r>
        <w:rPr>
          <w:color w:val="auto"/>
          <w:highlight w:val="none"/>
        </w:rPr>
        <w:t>5</w:t>
      </w:r>
      <w:r>
        <w:rPr>
          <w:rFonts w:hint="eastAsia"/>
          <w:color w:val="auto"/>
          <w:highlight w:val="none"/>
        </w:rPr>
        <w:t>“缺陷逃逸率”：后一测试阶段测试期间发现的缺陷个数/（当前测试期间所发现的缺陷个数+后一测试期间发现的缺陷个数）。</w:t>
      </w:r>
    </w:p>
    <w:p w14:paraId="45AB77B7">
      <w:pPr>
        <w:ind w:firstLine="420"/>
        <w:rPr>
          <w:color w:val="auto"/>
          <w:highlight w:val="none"/>
        </w:rPr>
      </w:pPr>
      <w:r>
        <w:rPr>
          <w:rFonts w:hint="eastAsia"/>
          <w:color w:val="auto"/>
          <w:highlight w:val="none"/>
        </w:rPr>
        <w:t>1.</w:t>
      </w:r>
      <w:r>
        <w:rPr>
          <w:color w:val="auto"/>
          <w:highlight w:val="none"/>
        </w:rPr>
        <w:t>6</w:t>
      </w:r>
      <w:r>
        <w:rPr>
          <w:rFonts w:hint="eastAsia"/>
          <w:color w:val="auto"/>
          <w:highlight w:val="none"/>
        </w:rPr>
        <w:t>“试运行”：项目上线后进入试运行阶段，项目试运行至少3个月。在试运行期间，甲方随时将发现的逃逸的缺陷通知乙方，乙方在最快的时间内予以响应。</w:t>
      </w:r>
    </w:p>
    <w:p w14:paraId="6C60E0E0">
      <w:pPr>
        <w:ind w:firstLine="420"/>
        <w:rPr>
          <w:color w:val="auto"/>
          <w:highlight w:val="none"/>
        </w:rPr>
      </w:pPr>
      <w:r>
        <w:rPr>
          <w:rFonts w:hint="eastAsia"/>
          <w:color w:val="auto"/>
          <w:highlight w:val="none"/>
        </w:rPr>
        <w:t>1.</w:t>
      </w:r>
      <w:r>
        <w:rPr>
          <w:color w:val="auto"/>
          <w:highlight w:val="none"/>
        </w:rPr>
        <w:t>7</w:t>
      </w:r>
      <w:r>
        <w:rPr>
          <w:rFonts w:hint="eastAsia"/>
          <w:color w:val="auto"/>
          <w:highlight w:val="none"/>
        </w:rPr>
        <w:t>“响应时间”：指乙方就甲方提出的问题予以答复的时间。</w:t>
      </w:r>
    </w:p>
    <w:p w14:paraId="74DA3A2D">
      <w:pPr>
        <w:ind w:firstLine="420"/>
        <w:rPr>
          <w:color w:val="auto"/>
          <w:highlight w:val="none"/>
        </w:rPr>
      </w:pPr>
      <w:r>
        <w:rPr>
          <w:rFonts w:hint="eastAsia"/>
          <w:color w:val="auto"/>
          <w:highlight w:val="none"/>
        </w:rPr>
        <w:t>1.</w:t>
      </w:r>
      <w:r>
        <w:rPr>
          <w:color w:val="auto"/>
          <w:highlight w:val="none"/>
        </w:rPr>
        <w:t>8</w:t>
      </w:r>
      <w:r>
        <w:rPr>
          <w:rFonts w:hint="eastAsia"/>
          <w:color w:val="auto"/>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5B064666">
      <w:pPr>
        <w:ind w:firstLine="420"/>
        <w:rPr>
          <w:color w:val="auto"/>
          <w:highlight w:val="none"/>
        </w:rPr>
      </w:pPr>
      <w:r>
        <w:rPr>
          <w:rFonts w:hint="eastAsia"/>
          <w:color w:val="auto"/>
          <w:highlight w:val="none"/>
        </w:rPr>
        <w:t>1.</w:t>
      </w:r>
      <w:r>
        <w:rPr>
          <w:color w:val="auto"/>
          <w:highlight w:val="none"/>
        </w:rPr>
        <w:t>9</w:t>
      </w:r>
      <w:r>
        <w:rPr>
          <w:rFonts w:hint="eastAsia"/>
          <w:color w:val="auto"/>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0858D967">
      <w:pPr>
        <w:ind w:firstLine="420"/>
        <w:rPr>
          <w:color w:val="auto"/>
          <w:highlight w:val="none"/>
        </w:rPr>
      </w:pPr>
      <w:r>
        <w:rPr>
          <w:rFonts w:hint="eastAsia"/>
          <w:color w:val="auto"/>
          <w:highlight w:val="none"/>
        </w:rPr>
        <w:t>1.1</w:t>
      </w:r>
      <w:r>
        <w:rPr>
          <w:color w:val="auto"/>
          <w:highlight w:val="none"/>
        </w:rPr>
        <w:t>0</w:t>
      </w:r>
      <w:r>
        <w:rPr>
          <w:rFonts w:hint="eastAsia"/>
          <w:color w:val="auto"/>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15840C91">
      <w:pPr>
        <w:ind w:firstLine="420"/>
        <w:rPr>
          <w:color w:val="auto"/>
          <w:highlight w:val="none"/>
        </w:rPr>
      </w:pPr>
      <w:r>
        <w:rPr>
          <w:rFonts w:hint="eastAsia"/>
          <w:color w:val="auto"/>
          <w:highlight w:val="none"/>
        </w:rPr>
        <w:t>1.1</w:t>
      </w:r>
      <w:r>
        <w:rPr>
          <w:color w:val="auto"/>
          <w:highlight w:val="none"/>
        </w:rPr>
        <w:t>1</w:t>
      </w:r>
      <w:r>
        <w:rPr>
          <w:rFonts w:hint="eastAsia"/>
          <w:color w:val="auto"/>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B04D8AC">
      <w:pPr>
        <w:ind w:firstLine="420"/>
        <w:rPr>
          <w:color w:val="auto"/>
          <w:highlight w:val="none"/>
        </w:rPr>
      </w:pPr>
      <w:r>
        <w:rPr>
          <w:rFonts w:hint="eastAsia"/>
          <w:color w:val="auto"/>
          <w:highlight w:val="none"/>
        </w:rPr>
        <w:t>1.1</w:t>
      </w:r>
      <w:r>
        <w:rPr>
          <w:color w:val="auto"/>
          <w:highlight w:val="none"/>
        </w:rPr>
        <w:t>2</w:t>
      </w:r>
      <w:r>
        <w:rPr>
          <w:rFonts w:hint="eastAsia"/>
          <w:color w:val="auto"/>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F6A259C">
      <w:pPr>
        <w:ind w:firstLine="420"/>
        <w:rPr>
          <w:color w:val="auto"/>
          <w:highlight w:val="none"/>
        </w:rPr>
      </w:pPr>
      <w:r>
        <w:rPr>
          <w:rFonts w:hint="eastAsia"/>
          <w:color w:val="auto"/>
          <w:highlight w:val="none"/>
        </w:rPr>
        <w:t>1.1</w:t>
      </w:r>
      <w:r>
        <w:rPr>
          <w:color w:val="auto"/>
          <w:highlight w:val="none"/>
        </w:rPr>
        <w:t>3</w:t>
      </w:r>
      <w:r>
        <w:rPr>
          <w:rFonts w:hint="eastAsia"/>
          <w:color w:val="auto"/>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9203BCD">
      <w:pPr>
        <w:ind w:firstLine="420"/>
        <w:rPr>
          <w:color w:val="auto"/>
          <w:highlight w:val="none"/>
        </w:rPr>
      </w:pPr>
      <w:r>
        <w:rPr>
          <w:rFonts w:hint="eastAsia"/>
          <w:color w:val="auto"/>
          <w:highlight w:val="none"/>
        </w:rPr>
        <w:t>1.1</w:t>
      </w:r>
      <w:r>
        <w:rPr>
          <w:color w:val="auto"/>
          <w:highlight w:val="none"/>
        </w:rPr>
        <w:t>4</w:t>
      </w:r>
      <w:r>
        <w:rPr>
          <w:rFonts w:hint="eastAsia"/>
          <w:color w:val="auto"/>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14486811">
      <w:pPr>
        <w:ind w:firstLine="420"/>
        <w:rPr>
          <w:color w:val="auto"/>
          <w:highlight w:val="none"/>
        </w:rPr>
      </w:pPr>
      <w:r>
        <w:rPr>
          <w:rFonts w:hint="eastAsia"/>
          <w:color w:val="auto"/>
          <w:highlight w:val="none"/>
        </w:rPr>
        <w:t>1.1</w:t>
      </w:r>
      <w:r>
        <w:rPr>
          <w:color w:val="auto"/>
          <w:highlight w:val="none"/>
        </w:rPr>
        <w:t>5</w:t>
      </w:r>
      <w:r>
        <w:rPr>
          <w:rFonts w:hint="eastAsia"/>
          <w:color w:val="auto"/>
          <w:highlight w:val="none"/>
        </w:rPr>
        <w:t>“重大缺陷”：指严重缺陷和致命缺陷。</w:t>
      </w:r>
    </w:p>
    <w:p w14:paraId="56EB7C0C">
      <w:pPr>
        <w:ind w:firstLine="420"/>
        <w:rPr>
          <w:color w:val="auto"/>
          <w:highlight w:val="none"/>
        </w:rPr>
      </w:pPr>
    </w:p>
    <w:p w14:paraId="612AE1CE">
      <w:pPr>
        <w:pStyle w:val="4"/>
        <w:rPr>
          <w:color w:val="auto"/>
          <w:highlight w:val="none"/>
        </w:rPr>
      </w:pPr>
      <w:bookmarkStart w:id="257" w:name="_Toc84948026"/>
      <w:r>
        <w:rPr>
          <w:rFonts w:hint="eastAsia"/>
          <w:color w:val="auto"/>
          <w:highlight w:val="none"/>
        </w:rPr>
        <w:t>第二条</w:t>
      </w:r>
      <w:bookmarkStart w:id="258" w:name="_Toc58337493"/>
      <w:r>
        <w:rPr>
          <w:rFonts w:hint="eastAsia"/>
          <w:color w:val="auto"/>
          <w:highlight w:val="none"/>
        </w:rPr>
        <w:t xml:space="preserve"> 项目名称</w:t>
      </w:r>
      <w:r>
        <w:rPr>
          <w:color w:val="auto"/>
          <w:highlight w:val="none"/>
        </w:rPr>
        <w:t>、</w:t>
      </w:r>
      <w:r>
        <w:rPr>
          <w:rFonts w:hint="eastAsia"/>
          <w:color w:val="auto"/>
          <w:highlight w:val="none"/>
        </w:rPr>
        <w:t>内容及要求</w:t>
      </w:r>
      <w:bookmarkEnd w:id="257"/>
      <w:bookmarkEnd w:id="258"/>
    </w:p>
    <w:p w14:paraId="6A16FD33">
      <w:pPr>
        <w:ind w:firstLine="420"/>
        <w:rPr>
          <w:color w:val="auto"/>
          <w:highlight w:val="none"/>
        </w:rPr>
      </w:pPr>
      <w:r>
        <w:rPr>
          <w:rFonts w:hint="eastAsia"/>
          <w:color w:val="auto"/>
          <w:highlight w:val="none"/>
        </w:rPr>
        <w:t>2.1项目名称</w:t>
      </w:r>
      <w:r>
        <w:rPr>
          <w:color w:val="auto"/>
          <w:highlight w:val="none"/>
        </w:rPr>
        <w:t>：身份认证系统项目</w:t>
      </w:r>
    </w:p>
    <w:p w14:paraId="13215FF4">
      <w:pPr>
        <w:ind w:firstLine="420"/>
        <w:rPr>
          <w:color w:val="auto"/>
          <w:highlight w:val="none"/>
        </w:rPr>
      </w:pPr>
      <w:bookmarkStart w:id="259" w:name="_Toc58337494"/>
      <w:r>
        <w:rPr>
          <w:rFonts w:hint="eastAsia"/>
          <w:color w:val="auto"/>
          <w:highlight w:val="none"/>
        </w:rPr>
        <w:t>2.2项目内容</w:t>
      </w:r>
      <w:r>
        <w:rPr>
          <w:color w:val="auto"/>
          <w:highlight w:val="none"/>
        </w:rPr>
        <w:t>、</w:t>
      </w:r>
      <w:r>
        <w:rPr>
          <w:rFonts w:hint="eastAsia"/>
          <w:color w:val="auto"/>
          <w:highlight w:val="none"/>
        </w:rPr>
        <w:t>范围及要求</w:t>
      </w:r>
      <w:bookmarkEnd w:id="259"/>
    </w:p>
    <w:p w14:paraId="0028ABCB">
      <w:pPr>
        <w:ind w:firstLine="420"/>
        <w:rPr>
          <w:color w:val="auto"/>
          <w:highlight w:val="none"/>
        </w:rPr>
      </w:pPr>
      <w:r>
        <w:rPr>
          <w:color w:val="auto"/>
          <w:highlight w:val="none"/>
        </w:rPr>
        <w:t>详细内容参考附件一《工作（需求）说明书》，最终以附件一中双方约定的内容为准。</w:t>
      </w:r>
    </w:p>
    <w:p w14:paraId="1E5AE2F8">
      <w:pPr>
        <w:ind w:firstLine="420"/>
        <w:rPr>
          <w:color w:val="auto"/>
          <w:highlight w:val="none"/>
        </w:rPr>
      </w:pPr>
      <w:bookmarkStart w:id="260" w:name="_Toc58337495"/>
      <w:r>
        <w:rPr>
          <w:rFonts w:hint="eastAsia"/>
          <w:color w:val="auto"/>
          <w:highlight w:val="none"/>
        </w:rPr>
        <w:t>2.3技术指标和质量要求</w:t>
      </w:r>
      <w:bookmarkEnd w:id="260"/>
      <w:r>
        <w:rPr>
          <w:rFonts w:hint="eastAsia"/>
          <w:color w:val="auto"/>
          <w:highlight w:val="none"/>
        </w:rPr>
        <w:t>。</w:t>
      </w:r>
    </w:p>
    <w:p w14:paraId="2AC54B89">
      <w:pPr>
        <w:ind w:firstLine="420"/>
        <w:rPr>
          <w:color w:val="auto"/>
          <w:highlight w:val="none"/>
        </w:rPr>
      </w:pPr>
      <w:r>
        <w:rPr>
          <w:rFonts w:hint="eastAsia"/>
          <w:color w:val="auto"/>
          <w:highlight w:val="none"/>
        </w:rPr>
        <w:t>见附件一、附件四。</w:t>
      </w:r>
    </w:p>
    <w:p w14:paraId="249F9830">
      <w:pPr>
        <w:ind w:firstLine="420"/>
        <w:rPr>
          <w:color w:val="auto"/>
          <w:highlight w:val="none"/>
        </w:rPr>
      </w:pPr>
      <w:bookmarkStart w:id="261" w:name="_Toc58337496"/>
      <w:r>
        <w:rPr>
          <w:rFonts w:hint="eastAsia"/>
          <w:color w:val="auto"/>
          <w:highlight w:val="none"/>
        </w:rPr>
        <w:t>2.4应当遵循的标准和规范</w:t>
      </w:r>
      <w:bookmarkEnd w:id="261"/>
      <w:r>
        <w:rPr>
          <w:rFonts w:hint="eastAsia"/>
          <w:color w:val="auto"/>
          <w:highlight w:val="none"/>
        </w:rPr>
        <w:t>。</w:t>
      </w:r>
    </w:p>
    <w:p w14:paraId="180F2E7E">
      <w:pPr>
        <w:ind w:firstLine="420"/>
        <w:rPr>
          <w:color w:val="auto"/>
          <w:highlight w:val="none"/>
        </w:rPr>
      </w:pPr>
      <w:r>
        <w:rPr>
          <w:rFonts w:hint="eastAsia"/>
          <w:color w:val="auto"/>
          <w:highlight w:val="none"/>
        </w:rPr>
        <w:t>乙方交付的</w:t>
      </w:r>
      <w:r>
        <w:rPr>
          <w:color w:val="auto"/>
          <w:highlight w:val="none"/>
        </w:rPr>
        <w:t>身份认证系统项目</w:t>
      </w:r>
      <w:r>
        <w:rPr>
          <w:rFonts w:hint="eastAsia"/>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9D47E94">
      <w:pPr>
        <w:ind w:firstLine="420"/>
        <w:rPr>
          <w:color w:val="auto"/>
          <w:highlight w:val="none"/>
        </w:rPr>
      </w:pPr>
    </w:p>
    <w:p w14:paraId="2289DF04">
      <w:pPr>
        <w:pStyle w:val="4"/>
        <w:rPr>
          <w:color w:val="auto"/>
          <w:highlight w:val="none"/>
        </w:rPr>
      </w:pPr>
      <w:bookmarkStart w:id="262" w:name="_Toc84948027"/>
      <w:r>
        <w:rPr>
          <w:rFonts w:hint="eastAsia"/>
          <w:color w:val="auto"/>
          <w:highlight w:val="none"/>
        </w:rPr>
        <w:t>第三条 项目履行的进度、期限、地点、地域、方式</w:t>
      </w:r>
      <w:bookmarkEnd w:id="262"/>
    </w:p>
    <w:p w14:paraId="2067297D">
      <w:pPr>
        <w:ind w:firstLine="420"/>
        <w:rPr>
          <w:color w:val="auto"/>
          <w:highlight w:val="none"/>
        </w:rPr>
      </w:pPr>
      <w:r>
        <w:rPr>
          <w:rFonts w:hint="eastAsia"/>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替换人员技术水平或级别需不低于被替换的人员水平或级别，并需通过甲方考察并取得甲方同意，否则甲方有权要求更换。</w:t>
      </w:r>
    </w:p>
    <w:p w14:paraId="78C0BB9F">
      <w:pPr>
        <w:ind w:firstLine="420"/>
        <w:rPr>
          <w:color w:val="auto"/>
          <w:highlight w:val="none"/>
        </w:rPr>
      </w:pPr>
      <w:r>
        <w:rPr>
          <w:rFonts w:hint="eastAsia"/>
          <w:color w:val="auto"/>
          <w:highlight w:val="none"/>
        </w:rPr>
        <w:t>3.2进度：乙方应严格按照3.3所列示的期限完成项目实施任务。</w:t>
      </w:r>
    </w:p>
    <w:p w14:paraId="145CD42A">
      <w:pPr>
        <w:ind w:firstLine="420"/>
        <w:rPr>
          <w:color w:val="auto"/>
          <w:highlight w:val="none"/>
        </w:rPr>
      </w:pPr>
      <w:r>
        <w:rPr>
          <w:rFonts w:hint="eastAsia"/>
          <w:color w:val="auto"/>
          <w:highlight w:val="none"/>
        </w:rPr>
        <w:t>3.3期限：上线时间为    年    月     日</w:t>
      </w:r>
      <w:r>
        <w:rPr>
          <w:color w:val="auto"/>
          <w:highlight w:val="none"/>
        </w:rPr>
        <w:t>前</w:t>
      </w:r>
      <w:r>
        <w:rPr>
          <w:rFonts w:hint="eastAsia"/>
          <w:color w:val="auto"/>
          <w:highlight w:val="none"/>
        </w:rPr>
        <w:t>。</w:t>
      </w:r>
    </w:p>
    <w:p w14:paraId="24343519">
      <w:pPr>
        <w:ind w:firstLine="420"/>
        <w:rPr>
          <w:color w:val="auto"/>
          <w:highlight w:val="none"/>
        </w:rPr>
      </w:pPr>
      <w:r>
        <w:rPr>
          <w:rFonts w:hint="eastAsia"/>
          <w:color w:val="auto"/>
          <w:highlight w:val="none"/>
        </w:rPr>
        <w:t>3.4地点：乙方完成项目实施工作的地点为：重庆；【驻场】实施。</w:t>
      </w:r>
    </w:p>
    <w:p w14:paraId="6592281B">
      <w:pPr>
        <w:ind w:firstLine="420"/>
        <w:rPr>
          <w:color w:val="auto"/>
          <w:highlight w:val="none"/>
        </w:rPr>
      </w:pPr>
      <w:r>
        <w:rPr>
          <w:rFonts w:hint="eastAsia"/>
          <w:color w:val="auto"/>
          <w:highlight w:val="none"/>
        </w:rPr>
        <w:t>3.5地域：本项目适用机构所在地域包括：重庆三峡银行总行各部门及辖内各经营机构。</w:t>
      </w:r>
    </w:p>
    <w:p w14:paraId="6BC85CC9">
      <w:pPr>
        <w:ind w:firstLine="420"/>
        <w:rPr>
          <w:color w:val="auto"/>
          <w:highlight w:val="none"/>
        </w:rPr>
      </w:pPr>
      <w:r>
        <w:rPr>
          <w:rFonts w:hint="eastAsia"/>
          <w:color w:val="auto"/>
          <w:highlight w:val="none"/>
        </w:rPr>
        <w:t>3.6方式：</w:t>
      </w:r>
    </w:p>
    <w:p w14:paraId="0EB04400">
      <w:pPr>
        <w:ind w:firstLine="420"/>
        <w:rPr>
          <w:color w:val="auto"/>
          <w:highlight w:val="none"/>
        </w:rPr>
      </w:pPr>
      <w:r>
        <w:rPr>
          <w:rFonts w:hint="eastAsia"/>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BDED38C">
      <w:pPr>
        <w:ind w:firstLine="420"/>
        <w:rPr>
          <w:color w:val="auto"/>
          <w:highlight w:val="none"/>
        </w:rPr>
      </w:pPr>
      <w:r>
        <w:rPr>
          <w:rFonts w:hint="eastAsia"/>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EC2AAEF">
      <w:pPr>
        <w:ind w:firstLine="420"/>
        <w:rPr>
          <w:color w:val="auto"/>
          <w:highlight w:val="none"/>
        </w:rPr>
      </w:pPr>
    </w:p>
    <w:p w14:paraId="6916FF14">
      <w:pPr>
        <w:pStyle w:val="4"/>
        <w:rPr>
          <w:color w:val="auto"/>
          <w:highlight w:val="none"/>
        </w:rPr>
      </w:pPr>
      <w:bookmarkStart w:id="263" w:name="_Toc84948028"/>
      <w:r>
        <w:rPr>
          <w:rFonts w:hint="eastAsia"/>
          <w:color w:val="auto"/>
          <w:highlight w:val="none"/>
        </w:rPr>
        <w:t>第四条 方案调整</w:t>
      </w:r>
      <w:bookmarkEnd w:id="263"/>
    </w:p>
    <w:p w14:paraId="47CD05C7">
      <w:pPr>
        <w:ind w:firstLine="420"/>
        <w:rPr>
          <w:color w:val="auto"/>
          <w:highlight w:val="none"/>
        </w:rPr>
      </w:pPr>
      <w:r>
        <w:rPr>
          <w:rFonts w:hint="eastAsia"/>
          <w:color w:val="auto"/>
          <w:highlight w:val="none"/>
        </w:rPr>
        <w:t>4.1因甲方原因提出导致增加【</w:t>
      </w:r>
      <w:r>
        <w:rPr>
          <w:color w:val="auto"/>
          <w:highlight w:val="none"/>
        </w:rPr>
        <w:t>2</w:t>
      </w:r>
      <w:r>
        <w:rPr>
          <w:rFonts w:hint="eastAsia"/>
          <w:color w:val="auto"/>
          <w:highlight w:val="none"/>
        </w:rPr>
        <w:t>】∕人∕月以上工作量的需求变更，须通知乙方并由乙方确认，对此变更给乙方带来的额外劳动部分甲乙双方协商解决，由此变更导致项目进度延期不构成违约。但4.2款确认的，由乙方原因引起的工作量，甲方无需承担任何费用。</w:t>
      </w:r>
    </w:p>
    <w:p w14:paraId="267EC626">
      <w:pPr>
        <w:ind w:firstLine="420"/>
        <w:rPr>
          <w:color w:val="auto"/>
          <w:highlight w:val="none"/>
        </w:rPr>
      </w:pPr>
      <w:r>
        <w:rPr>
          <w:rFonts w:hint="eastAsia"/>
          <w:color w:val="auto"/>
          <w:highlight w:val="none"/>
        </w:rPr>
        <w:t>4.2 方案一经双方确认，任何一方有方案调整意见，均需与对方签字确认。</w:t>
      </w:r>
    </w:p>
    <w:p w14:paraId="0DFCDB3D">
      <w:pPr>
        <w:ind w:firstLine="420"/>
        <w:rPr>
          <w:color w:val="auto"/>
          <w:highlight w:val="none"/>
        </w:rPr>
      </w:pPr>
    </w:p>
    <w:p w14:paraId="536D36CF">
      <w:pPr>
        <w:pStyle w:val="4"/>
        <w:rPr>
          <w:color w:val="auto"/>
          <w:highlight w:val="none"/>
        </w:rPr>
      </w:pPr>
      <w:bookmarkStart w:id="264" w:name="_Toc84948029"/>
      <w:r>
        <w:rPr>
          <w:rFonts w:hint="eastAsia"/>
          <w:color w:val="auto"/>
          <w:highlight w:val="none"/>
        </w:rPr>
        <w:t>第五条 验收</w:t>
      </w:r>
      <w:bookmarkEnd w:id="264"/>
    </w:p>
    <w:p w14:paraId="25E1FAB7">
      <w:pPr>
        <w:ind w:firstLine="420"/>
        <w:rPr>
          <w:color w:val="auto"/>
          <w:highlight w:val="none"/>
        </w:rPr>
      </w:pPr>
      <w:r>
        <w:rPr>
          <w:rFonts w:hint="eastAsia"/>
          <w:color w:val="auto"/>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在符合甲方项目预期目标且试运行满三个月后，由甲方按照合同约定进行正式验收，验收通过后签署验收表或验收报告。</w:t>
      </w:r>
    </w:p>
    <w:p w14:paraId="0431D4C6">
      <w:pPr>
        <w:ind w:firstLine="420"/>
        <w:rPr>
          <w:color w:val="auto"/>
          <w:highlight w:val="none"/>
        </w:rPr>
      </w:pPr>
      <w:r>
        <w:rPr>
          <w:rFonts w:hint="eastAsia"/>
          <w:color w:val="auto"/>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38509139">
      <w:pPr>
        <w:ind w:firstLine="420"/>
        <w:rPr>
          <w:color w:val="auto"/>
          <w:highlight w:val="none"/>
        </w:rPr>
      </w:pPr>
    </w:p>
    <w:p w14:paraId="520787E0">
      <w:pPr>
        <w:pStyle w:val="4"/>
        <w:rPr>
          <w:color w:val="auto"/>
          <w:highlight w:val="none"/>
        </w:rPr>
      </w:pPr>
      <w:bookmarkStart w:id="265" w:name="_Toc84948030"/>
      <w:r>
        <w:rPr>
          <w:rFonts w:hint="eastAsia"/>
          <w:color w:val="auto"/>
          <w:highlight w:val="none"/>
        </w:rPr>
        <w:t>第六条 交付使用后维护期、系统完善和保修维护服务</w:t>
      </w:r>
      <w:bookmarkEnd w:id="265"/>
    </w:p>
    <w:p w14:paraId="018B8AFC">
      <w:pPr>
        <w:ind w:firstLine="420"/>
        <w:rPr>
          <w:color w:val="auto"/>
          <w:highlight w:val="none"/>
        </w:rPr>
      </w:pPr>
      <w:r>
        <w:rPr>
          <w:rFonts w:hint="eastAsia"/>
          <w:color w:val="auto"/>
          <w:highlight w:val="none"/>
        </w:rPr>
        <w:t>6.1本合同金额包含【】年维护，维护期为自本产品正式验收合格后次日至次年并延期至6月30日或12月31日中较近日期（即维保延期最长不超过半年）。</w:t>
      </w:r>
    </w:p>
    <w:p w14:paraId="655B0959">
      <w:pPr>
        <w:ind w:firstLine="420"/>
        <w:rPr>
          <w:color w:val="auto"/>
          <w:highlight w:val="none"/>
        </w:rPr>
      </w:pPr>
      <w:r>
        <w:rPr>
          <w:rFonts w:hint="eastAsia"/>
          <w:color w:val="auto"/>
          <w:highlight w:val="none"/>
        </w:rPr>
        <w:t>6.2本合同产品的有偿技术服务期为本合同</w:t>
      </w:r>
      <w:r>
        <w:rPr>
          <w:color w:val="auto"/>
          <w:highlight w:val="none"/>
        </w:rPr>
        <w:t>第</w:t>
      </w:r>
      <w:r>
        <w:rPr>
          <w:rFonts w:hint="eastAsia"/>
          <w:color w:val="auto"/>
          <w:highlight w:val="none"/>
        </w:rPr>
        <w:t>6.1条</w:t>
      </w:r>
      <w:r>
        <w:rPr>
          <w:color w:val="auto"/>
          <w:highlight w:val="none"/>
        </w:rPr>
        <w:t>约定的</w:t>
      </w:r>
      <w:r>
        <w:rPr>
          <w:rFonts w:hint="eastAsia"/>
          <w:color w:val="auto"/>
          <w:highlight w:val="none"/>
        </w:rPr>
        <w:t>维护期到期之日起10年。本项目产品服务期内（包括本合同</w:t>
      </w:r>
      <w:r>
        <w:rPr>
          <w:color w:val="auto"/>
          <w:highlight w:val="none"/>
        </w:rPr>
        <w:t>第</w:t>
      </w:r>
      <w:r>
        <w:rPr>
          <w:rFonts w:hint="eastAsia"/>
          <w:color w:val="auto"/>
          <w:highlight w:val="none"/>
        </w:rPr>
        <w:t>6.1条</w:t>
      </w:r>
      <w:r>
        <w:rPr>
          <w:color w:val="auto"/>
          <w:highlight w:val="none"/>
        </w:rPr>
        <w:t>约定的</w:t>
      </w:r>
      <w:r>
        <w:rPr>
          <w:rFonts w:hint="eastAsia"/>
          <w:color w:val="auto"/>
          <w:highlight w:val="none"/>
        </w:rPr>
        <w:t>维护期与有偿技术服务期）如甲方对照附件一发现项目存在技术缺陷和隐蔽瑕疵，乙方应负责予以解决并应承担相应法律责任。</w:t>
      </w:r>
    </w:p>
    <w:p w14:paraId="07B6EAD5">
      <w:pPr>
        <w:ind w:firstLine="420"/>
        <w:rPr>
          <w:color w:val="auto"/>
          <w:highlight w:val="none"/>
        </w:rPr>
      </w:pPr>
      <w:r>
        <w:rPr>
          <w:rFonts w:hint="eastAsia"/>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72A1845">
      <w:pPr>
        <w:ind w:firstLine="420"/>
        <w:rPr>
          <w:color w:val="auto"/>
          <w:highlight w:val="none"/>
        </w:rPr>
      </w:pPr>
      <w:r>
        <w:rPr>
          <w:rFonts w:hint="eastAsia"/>
          <w:color w:val="auto"/>
          <w:highlight w:val="none"/>
        </w:rPr>
        <w:t>6.4 维护服务期内（包括本合同</w:t>
      </w:r>
      <w:r>
        <w:rPr>
          <w:color w:val="auto"/>
          <w:highlight w:val="none"/>
        </w:rPr>
        <w:t>第</w:t>
      </w:r>
      <w:r>
        <w:rPr>
          <w:rFonts w:hint="eastAsia"/>
          <w:color w:val="auto"/>
          <w:highlight w:val="none"/>
        </w:rPr>
        <w:t>6.1条</w:t>
      </w:r>
      <w:r>
        <w:rPr>
          <w:color w:val="auto"/>
          <w:highlight w:val="none"/>
        </w:rPr>
        <w:t>约定的</w:t>
      </w:r>
      <w:r>
        <w:rPr>
          <w:rFonts w:hint="eastAsia"/>
          <w:color w:val="auto"/>
          <w:highlight w:val="none"/>
        </w:rPr>
        <w:t>维护期与有偿技术服务期）的服务内容和服务方式详见附件四《维护服务条款》。</w:t>
      </w:r>
    </w:p>
    <w:p w14:paraId="29F3AAD4">
      <w:pPr>
        <w:ind w:firstLine="420"/>
        <w:rPr>
          <w:color w:val="auto"/>
          <w:highlight w:val="none"/>
        </w:rPr>
      </w:pPr>
      <w:r>
        <w:rPr>
          <w:rFonts w:hint="eastAsia"/>
          <w:color w:val="auto"/>
          <w:highlight w:val="none"/>
        </w:rPr>
        <w:t>6.5上述服务，不包括由下列事件引起的故障：</w:t>
      </w:r>
    </w:p>
    <w:p w14:paraId="6554D4AE">
      <w:pPr>
        <w:ind w:firstLine="420"/>
        <w:rPr>
          <w:color w:val="auto"/>
          <w:highlight w:val="none"/>
        </w:rPr>
      </w:pPr>
      <w:r>
        <w:rPr>
          <w:rFonts w:hint="eastAsia"/>
          <w:color w:val="auto"/>
          <w:highlight w:val="none"/>
        </w:rPr>
        <w:t>6.5.1 未能为系统提供适当的外部环境-如必要的系统环境、必要的管理体系、未能按照乙方要求配备资源等。</w:t>
      </w:r>
    </w:p>
    <w:p w14:paraId="6CF5C33A">
      <w:pPr>
        <w:ind w:firstLine="420"/>
        <w:rPr>
          <w:color w:val="auto"/>
          <w:highlight w:val="none"/>
        </w:rPr>
      </w:pPr>
      <w:r>
        <w:rPr>
          <w:rFonts w:hint="eastAsia"/>
          <w:color w:val="auto"/>
          <w:highlight w:val="none"/>
        </w:rPr>
        <w:t>6.5.2 使用并非由乙方提供的产品或服务。</w:t>
      </w:r>
    </w:p>
    <w:p w14:paraId="4B65B3B3">
      <w:pPr>
        <w:ind w:firstLine="420"/>
        <w:rPr>
          <w:color w:val="auto"/>
          <w:highlight w:val="none"/>
        </w:rPr>
      </w:pPr>
      <w:r>
        <w:rPr>
          <w:rFonts w:hint="eastAsia"/>
          <w:color w:val="auto"/>
          <w:highlight w:val="none"/>
        </w:rPr>
        <w:t>6.6在本合同第6.1条约定的维护期内，如甲方发现交付的项目、产品与双方最终签字确认的需求不符，尽管已经验收，但乙方仍具有立即纠正不符之处的责任。如乙方在收到甲方不符通知后 3 日内不到甲方现场进行检修，或在收到甲方通知后 10 日内仍不能纠正不符之处的，甲方有权采取其他措施（包括聘请第三方替代履行）以减少损失，由此产生的费用及相关损失由乙方负责。乙方承</w:t>
      </w:r>
    </w:p>
    <w:p w14:paraId="42ED84A3">
      <w:pPr>
        <w:ind w:firstLine="420"/>
        <w:rPr>
          <w:color w:val="auto"/>
          <w:highlight w:val="none"/>
        </w:rPr>
      </w:pPr>
      <w:r>
        <w:rPr>
          <w:rFonts w:hint="eastAsia"/>
          <w:color w:val="auto"/>
          <w:highlight w:val="none"/>
        </w:rPr>
        <w:t>诺，甲方采取上述措施不必征得乙方事先同意，且不构成对乙方的任何侵权。</w:t>
      </w:r>
    </w:p>
    <w:p w14:paraId="0096CDB7">
      <w:pPr>
        <w:ind w:firstLine="420"/>
        <w:rPr>
          <w:color w:val="auto"/>
          <w:highlight w:val="none"/>
        </w:rPr>
      </w:pPr>
      <w:r>
        <w:rPr>
          <w:rFonts w:hint="eastAsia"/>
          <w:color w:val="auto"/>
          <w:highlight w:val="none"/>
        </w:rPr>
        <w:t>6.7 本合同</w:t>
      </w:r>
      <w:r>
        <w:rPr>
          <w:color w:val="auto"/>
          <w:highlight w:val="none"/>
        </w:rPr>
        <w:t>第</w:t>
      </w:r>
      <w:r>
        <w:rPr>
          <w:rFonts w:hint="eastAsia"/>
          <w:color w:val="auto"/>
          <w:highlight w:val="none"/>
        </w:rPr>
        <w:t>6.1条</w:t>
      </w:r>
      <w:r>
        <w:rPr>
          <w:color w:val="auto"/>
          <w:highlight w:val="none"/>
        </w:rPr>
        <w:t>约定的</w:t>
      </w:r>
      <w:r>
        <w:rPr>
          <w:rFonts w:hint="eastAsia"/>
          <w:color w:val="auto"/>
          <w:highlight w:val="none"/>
        </w:rPr>
        <w:t>维护期结束后的10年有偿技术服务期内，如甲方需要乙方提供维护服务,乙方应予提供。双方确认，甲方有权选择是否购买维护，乙方无权要求甲方对未使用维护服务的期间支付费用。</w:t>
      </w:r>
    </w:p>
    <w:p w14:paraId="546F5EF1">
      <w:pPr>
        <w:ind w:firstLine="420"/>
        <w:rPr>
          <w:b/>
          <w:bCs/>
          <w:color w:val="auto"/>
          <w:highlight w:val="none"/>
        </w:rPr>
      </w:pPr>
      <w:r>
        <w:rPr>
          <w:rFonts w:hint="eastAsia"/>
          <w:color w:val="auto"/>
          <w:highlight w:val="none"/>
        </w:rPr>
        <w:t>6.8 维护期结束后有偿技术服务期每年的维护价格【不超过/为】合同总额的【8%】，具体服务内容详见附件四《维护服务条款》。有偿技术服务期的服务水平不低于附件四承诺的维护期的服务水平。</w:t>
      </w:r>
      <w:r>
        <w:rPr>
          <w:rFonts w:hint="eastAsia"/>
          <w:b/>
          <w:bCs/>
          <w:color w:val="auto"/>
          <w:highlight w:val="none"/>
        </w:rPr>
        <w:t>后续改造类项目维护费用以系统首期建设合同（即本合同）约定为准，不得叠加、单独收取。</w:t>
      </w:r>
    </w:p>
    <w:p w14:paraId="07A3A499">
      <w:pPr>
        <w:ind w:firstLine="422"/>
        <w:rPr>
          <w:color w:val="auto"/>
          <w:highlight w:val="none"/>
        </w:rPr>
      </w:pPr>
      <w:r>
        <w:rPr>
          <w:rFonts w:hint="eastAsia"/>
          <w:b/>
          <w:bCs/>
          <w:color w:val="auto"/>
          <w:highlight w:val="none"/>
        </w:rPr>
        <w:t>本合同为改造类项目合同，后续维保费用以系统首期建设合同（可注明首期建设合同名称及编号）约定为准，不得叠加、单独收取。</w:t>
      </w:r>
    </w:p>
    <w:p w14:paraId="78551597">
      <w:pPr>
        <w:ind w:firstLine="420"/>
        <w:rPr>
          <w:color w:val="auto"/>
          <w:highlight w:val="none"/>
        </w:rPr>
      </w:pPr>
      <w:r>
        <w:rPr>
          <w:rFonts w:hint="eastAsia"/>
          <w:color w:val="auto"/>
          <w:highlight w:val="none"/>
        </w:rPr>
        <w:t>6.9本合同并非维护期结束后的维护服务合同，有偿技术服务的合同由双方另行签订。</w:t>
      </w:r>
    </w:p>
    <w:p w14:paraId="489D93AF">
      <w:pPr>
        <w:ind w:firstLine="420"/>
        <w:rPr>
          <w:color w:val="auto"/>
          <w:highlight w:val="none"/>
        </w:rPr>
      </w:pPr>
    </w:p>
    <w:p w14:paraId="3F774E0C">
      <w:pPr>
        <w:pStyle w:val="4"/>
        <w:rPr>
          <w:color w:val="auto"/>
          <w:highlight w:val="none"/>
        </w:rPr>
      </w:pPr>
      <w:bookmarkStart w:id="266" w:name="_Toc84948031"/>
      <w:r>
        <w:rPr>
          <w:rFonts w:hint="eastAsia"/>
          <w:color w:val="auto"/>
          <w:highlight w:val="none"/>
        </w:rPr>
        <w:t>第七条 技术辅导与培训</w:t>
      </w:r>
      <w:bookmarkEnd w:id="266"/>
    </w:p>
    <w:p w14:paraId="6930CC3B">
      <w:pPr>
        <w:ind w:firstLine="420"/>
        <w:rPr>
          <w:color w:val="auto"/>
          <w:highlight w:val="none"/>
        </w:rPr>
      </w:pPr>
      <w:r>
        <w:rPr>
          <w:rFonts w:hint="eastAsia"/>
          <w:color w:val="auto"/>
          <w:highlight w:val="none"/>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4789E371">
      <w:pPr>
        <w:ind w:firstLine="420"/>
        <w:rPr>
          <w:color w:val="auto"/>
          <w:highlight w:val="none"/>
        </w:rPr>
      </w:pPr>
      <w:r>
        <w:rPr>
          <w:rFonts w:hint="eastAsia"/>
          <w:color w:val="auto"/>
          <w:highlight w:val="none"/>
        </w:rPr>
        <w:t>具体培训内容由双方共同商定，并由甲方项目经理签字确认。</w:t>
      </w:r>
    </w:p>
    <w:p w14:paraId="2A175DF5">
      <w:pPr>
        <w:ind w:firstLine="420"/>
        <w:rPr>
          <w:color w:val="auto"/>
          <w:highlight w:val="none"/>
        </w:rPr>
      </w:pPr>
    </w:p>
    <w:p w14:paraId="365D0FE7">
      <w:pPr>
        <w:pStyle w:val="4"/>
        <w:rPr>
          <w:color w:val="auto"/>
          <w:highlight w:val="none"/>
        </w:rPr>
      </w:pPr>
      <w:bookmarkStart w:id="267" w:name="_Toc84948032"/>
      <w:r>
        <w:rPr>
          <w:rFonts w:hint="eastAsia"/>
          <w:color w:val="auto"/>
          <w:highlight w:val="none"/>
        </w:rPr>
        <w:t>第八条 双方的权利、义务</w:t>
      </w:r>
      <w:bookmarkEnd w:id="267"/>
    </w:p>
    <w:p w14:paraId="56B12557">
      <w:pPr>
        <w:ind w:firstLine="420"/>
        <w:rPr>
          <w:color w:val="auto"/>
          <w:highlight w:val="none"/>
        </w:rPr>
      </w:pPr>
      <w:r>
        <w:rPr>
          <w:rFonts w:hint="eastAsia"/>
          <w:color w:val="auto"/>
          <w:highlight w:val="none"/>
        </w:rPr>
        <w:t>8.1除本合同其他条款外，甲方应承担如下义务：</w:t>
      </w:r>
    </w:p>
    <w:p w14:paraId="2763985D">
      <w:pPr>
        <w:ind w:firstLine="420"/>
        <w:rPr>
          <w:color w:val="auto"/>
          <w:highlight w:val="none"/>
        </w:rPr>
      </w:pPr>
      <w:r>
        <w:rPr>
          <w:rFonts w:hint="eastAsia"/>
          <w:color w:val="auto"/>
          <w:highlight w:val="none"/>
        </w:rPr>
        <w:t>8.1.1 按照本合同第十三条的规定向乙方支付报酬。</w:t>
      </w:r>
    </w:p>
    <w:p w14:paraId="79B18355">
      <w:pPr>
        <w:ind w:firstLine="420"/>
        <w:rPr>
          <w:color w:val="auto"/>
          <w:highlight w:val="none"/>
        </w:rPr>
      </w:pPr>
      <w:r>
        <w:rPr>
          <w:rFonts w:hint="eastAsia"/>
          <w:color w:val="auto"/>
          <w:highlight w:val="none"/>
        </w:rPr>
        <w:t>8.1.2 向乙方提供本合同约定的业务协作：如参与各方的资源协调与进度管理、商务保障、项目环境保障等，确保参与各方按期、按质协同工作。</w:t>
      </w:r>
    </w:p>
    <w:p w14:paraId="771386C4">
      <w:pPr>
        <w:ind w:firstLine="420"/>
        <w:rPr>
          <w:color w:val="auto"/>
          <w:highlight w:val="none"/>
        </w:rPr>
      </w:pPr>
      <w:r>
        <w:rPr>
          <w:rFonts w:hint="eastAsia"/>
          <w:color w:val="auto"/>
          <w:highlight w:val="none"/>
        </w:rPr>
        <w:t>8.1.3 指派一名项目主要负责人参加甲、乙双方为本项目召开的会议并协调相关工作和签署有关文件。</w:t>
      </w:r>
    </w:p>
    <w:p w14:paraId="39ED38C2">
      <w:pPr>
        <w:ind w:firstLine="420"/>
        <w:rPr>
          <w:color w:val="auto"/>
          <w:highlight w:val="none"/>
        </w:rPr>
      </w:pPr>
      <w:r>
        <w:rPr>
          <w:rFonts w:hint="eastAsia"/>
          <w:color w:val="auto"/>
          <w:highlight w:val="none"/>
        </w:rPr>
        <w:t>8.1.4 甲方为乙方解决现场人员正常开展工作的开发测试系统环境和场地。</w:t>
      </w:r>
    </w:p>
    <w:p w14:paraId="4F046D4C">
      <w:pPr>
        <w:ind w:firstLine="420"/>
        <w:rPr>
          <w:color w:val="auto"/>
          <w:highlight w:val="none"/>
        </w:rPr>
      </w:pPr>
      <w:r>
        <w:rPr>
          <w:rFonts w:hint="eastAsia"/>
          <w:color w:val="auto"/>
          <w:highlight w:val="none"/>
        </w:rPr>
        <w:t>8.2除本合同其他条款外，乙方应承担如下义务：</w:t>
      </w:r>
    </w:p>
    <w:p w14:paraId="7EA6BBDC">
      <w:pPr>
        <w:ind w:firstLine="420"/>
        <w:rPr>
          <w:color w:val="auto"/>
          <w:highlight w:val="none"/>
        </w:rPr>
      </w:pPr>
      <w:r>
        <w:rPr>
          <w:color w:val="auto"/>
          <w:highlight w:val="none"/>
        </w:rPr>
        <w:t>8.2.1 遵守法律法规及银行业金融机构内部管理制度</w:t>
      </w:r>
      <w:r>
        <w:rPr>
          <w:rFonts w:hint="eastAsia"/>
          <w:color w:val="auto"/>
          <w:highlight w:val="none"/>
        </w:rPr>
        <w:t>及规定</w:t>
      </w:r>
      <w:r>
        <w:rPr>
          <w:color w:val="auto"/>
          <w:highlight w:val="none"/>
        </w:rPr>
        <w:t>，贯彻执行相关监管政策。</w:t>
      </w:r>
    </w:p>
    <w:p w14:paraId="6A9AD803">
      <w:pPr>
        <w:ind w:firstLine="420"/>
        <w:rPr>
          <w:color w:val="auto"/>
          <w:highlight w:val="none"/>
        </w:rPr>
      </w:pPr>
      <w:r>
        <w:rPr>
          <w:rFonts w:hint="eastAsia"/>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F9035E8">
      <w:pPr>
        <w:ind w:firstLine="420"/>
        <w:rPr>
          <w:color w:val="auto"/>
          <w:highlight w:val="none"/>
        </w:rPr>
      </w:pPr>
      <w:r>
        <w:rPr>
          <w:rFonts w:hint="eastAsia"/>
          <w:color w:val="auto"/>
          <w:highlight w:val="none"/>
        </w:rPr>
        <w:t>8.2.3 负责在甲方的环境内安装并调试实施项目。</w:t>
      </w:r>
    </w:p>
    <w:p w14:paraId="5417656F">
      <w:pPr>
        <w:ind w:firstLine="420"/>
        <w:rPr>
          <w:color w:val="auto"/>
          <w:highlight w:val="none"/>
        </w:rPr>
      </w:pPr>
      <w:r>
        <w:rPr>
          <w:rFonts w:hint="eastAsia"/>
          <w:color w:val="auto"/>
          <w:highlight w:val="none"/>
        </w:rPr>
        <w:t>8.2.4 指派一名项目主要负责人参加甲、乙双方为本项目召开的会议并协调相关工作和签署有关文件。</w:t>
      </w:r>
    </w:p>
    <w:p w14:paraId="1C011694">
      <w:pPr>
        <w:ind w:firstLine="420"/>
        <w:rPr>
          <w:color w:val="auto"/>
          <w:highlight w:val="none"/>
        </w:rPr>
      </w:pPr>
      <w:r>
        <w:rPr>
          <w:rFonts w:hint="eastAsia"/>
          <w:color w:val="auto"/>
          <w:highlight w:val="none"/>
        </w:rPr>
        <w:t>8.2.5</w:t>
      </w:r>
      <w:r>
        <w:rPr>
          <w:color w:val="auto"/>
          <w:highlight w:val="none"/>
        </w:rPr>
        <w:t xml:space="preserve"> </w:t>
      </w:r>
      <w:r>
        <w:rPr>
          <w:rFonts w:hint="eastAsia"/>
          <w:color w:val="auto"/>
          <w:highlight w:val="none"/>
        </w:rPr>
        <w:t>指派独立于开发团队的测试人员负责项目系统测试，并承诺按照甲方质量管理要求完成项目系统测试、性能测试、安全测试等。</w:t>
      </w:r>
    </w:p>
    <w:p w14:paraId="09C3B954">
      <w:pPr>
        <w:ind w:firstLine="420"/>
        <w:rPr>
          <w:color w:val="auto"/>
          <w:highlight w:val="none"/>
        </w:rPr>
      </w:pPr>
      <w:r>
        <w:rPr>
          <w:rFonts w:hint="eastAsia"/>
          <w:color w:val="auto"/>
          <w:highlight w:val="none"/>
        </w:rPr>
        <w:t>8.2.6 按照本合同的约定向甲方提供相关技术资料并提供技术指导。</w:t>
      </w:r>
    </w:p>
    <w:p w14:paraId="2CA0D689">
      <w:pPr>
        <w:ind w:firstLine="420"/>
        <w:rPr>
          <w:color w:val="auto"/>
          <w:highlight w:val="none"/>
        </w:rPr>
      </w:pPr>
      <w:r>
        <w:rPr>
          <w:rFonts w:hint="eastAsia"/>
          <w:color w:val="auto"/>
          <w:highlight w:val="none"/>
        </w:rPr>
        <w:t>8.2.7</w:t>
      </w:r>
      <w:r>
        <w:rPr>
          <w:color w:val="auto"/>
          <w:highlight w:val="none"/>
        </w:rPr>
        <w:t xml:space="preserve"> </w:t>
      </w:r>
      <w:r>
        <w:rPr>
          <w:rFonts w:hint="eastAsia"/>
          <w:color w:val="auto"/>
          <w:highlight w:val="none"/>
        </w:rPr>
        <w:t>乙方需为甲方提供持续的项目风险识别和控制措施，并按甲方要求提供公司财务分析报告、项目进度报告以及重大事项报告等。</w:t>
      </w:r>
    </w:p>
    <w:p w14:paraId="63E9095F">
      <w:pPr>
        <w:ind w:firstLine="420"/>
        <w:rPr>
          <w:color w:val="auto"/>
          <w:highlight w:val="none"/>
        </w:rPr>
      </w:pPr>
      <w:r>
        <w:rPr>
          <w:rFonts w:hint="eastAsia"/>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D251F3F">
      <w:pPr>
        <w:ind w:firstLine="420"/>
        <w:rPr>
          <w:color w:val="auto"/>
          <w:highlight w:val="none"/>
        </w:rPr>
      </w:pPr>
      <w:r>
        <w:rPr>
          <w:rFonts w:hint="eastAsia"/>
          <w:color w:val="auto"/>
          <w:highlight w:val="none"/>
        </w:rPr>
        <w:t>8.2</w:t>
      </w:r>
      <w:r>
        <w:rPr>
          <w:color w:val="auto"/>
          <w:highlight w:val="none"/>
        </w:rPr>
        <w:t>.</w:t>
      </w:r>
      <w:r>
        <w:rPr>
          <w:rFonts w:hint="eastAsia"/>
          <w:color w:val="auto"/>
          <w:highlight w:val="none"/>
        </w:rPr>
        <w:t>9</w:t>
      </w:r>
      <w:r>
        <w:rPr>
          <w:color w:val="auto"/>
          <w:highlight w:val="none"/>
        </w:rPr>
        <w:t xml:space="preserve"> 乙方应针对服务内容为甲方制定业务连续性计划和应急计划并维护好相关资源</w:t>
      </w:r>
      <w:r>
        <w:rPr>
          <w:rFonts w:hint="eastAsia"/>
          <w:color w:val="auto"/>
          <w:highlight w:val="none"/>
        </w:rPr>
        <w:t>，</w:t>
      </w:r>
      <w:r>
        <w:rPr>
          <w:color w:val="auto"/>
          <w:highlight w:val="none"/>
        </w:rPr>
        <w:t>在服务质量不能满足合同要求时</w:t>
      </w:r>
      <w:r>
        <w:rPr>
          <w:rFonts w:hint="eastAsia"/>
          <w:color w:val="auto"/>
          <w:highlight w:val="none"/>
        </w:rPr>
        <w:t>，甲方具有</w:t>
      </w:r>
      <w:r>
        <w:rPr>
          <w:color w:val="auto"/>
          <w:highlight w:val="none"/>
        </w:rPr>
        <w:t>优先获取服务资源的权利</w:t>
      </w:r>
      <w:r>
        <w:rPr>
          <w:rFonts w:hint="eastAsia"/>
          <w:color w:val="auto"/>
          <w:highlight w:val="none"/>
        </w:rPr>
        <w:t>。</w:t>
      </w:r>
    </w:p>
    <w:p w14:paraId="67FCEC5E">
      <w:pPr>
        <w:ind w:firstLine="420"/>
        <w:rPr>
          <w:color w:val="auto"/>
          <w:highlight w:val="none"/>
        </w:rPr>
      </w:pPr>
      <w:r>
        <w:rPr>
          <w:rFonts w:hint="eastAsia"/>
          <w:color w:val="auto"/>
          <w:highlight w:val="none"/>
        </w:rPr>
        <w:t>8.2.10 乙方应当自己完成本合同项下的开发、测试或维护等工作，而不得分包给任何第三方，也不得进行转包或变相转包。</w:t>
      </w:r>
    </w:p>
    <w:p w14:paraId="4B6F05CD">
      <w:pPr>
        <w:ind w:firstLine="420"/>
        <w:rPr>
          <w:color w:val="auto"/>
          <w:highlight w:val="none"/>
        </w:rPr>
      </w:pPr>
      <w:r>
        <w:rPr>
          <w:color w:val="auto"/>
          <w:highlight w:val="none"/>
        </w:rPr>
        <w:t>8.2.11 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289D206B">
      <w:pPr>
        <w:ind w:firstLine="420"/>
        <w:rPr>
          <w:color w:val="auto"/>
          <w:highlight w:val="none"/>
        </w:rPr>
      </w:pPr>
    </w:p>
    <w:p w14:paraId="4774290A">
      <w:pPr>
        <w:pStyle w:val="4"/>
        <w:rPr>
          <w:color w:val="auto"/>
          <w:highlight w:val="none"/>
        </w:rPr>
      </w:pPr>
      <w:bookmarkStart w:id="268" w:name="_Toc84948033"/>
      <w:r>
        <w:rPr>
          <w:rFonts w:hint="eastAsia"/>
          <w:color w:val="auto"/>
          <w:highlight w:val="none"/>
        </w:rPr>
        <w:t>第九条 乙方的声明与保证</w:t>
      </w:r>
      <w:bookmarkEnd w:id="268"/>
    </w:p>
    <w:p w14:paraId="5B5F5D38">
      <w:pPr>
        <w:ind w:firstLine="420"/>
        <w:rPr>
          <w:color w:val="auto"/>
          <w:highlight w:val="none"/>
        </w:rPr>
      </w:pPr>
      <w:r>
        <w:rPr>
          <w:rFonts w:hint="eastAsia"/>
          <w:color w:val="auto"/>
          <w:highlight w:val="none"/>
        </w:rPr>
        <w:t>乙方向甲方做出如下声明与保证：</w:t>
      </w:r>
    </w:p>
    <w:p w14:paraId="2828E5D5">
      <w:pPr>
        <w:ind w:firstLine="420"/>
        <w:rPr>
          <w:color w:val="auto"/>
          <w:highlight w:val="none"/>
        </w:rPr>
      </w:pPr>
      <w:r>
        <w:rPr>
          <w:rFonts w:hint="eastAsia"/>
          <w:color w:val="auto"/>
          <w:highlight w:val="none"/>
        </w:rPr>
        <w:t>9.1乙方完全具有本合同项下项目实施的技术资质与实力，包括开发技术人员、硬件设施等。</w:t>
      </w:r>
    </w:p>
    <w:p w14:paraId="2A4DE455">
      <w:pPr>
        <w:ind w:firstLine="420"/>
        <w:rPr>
          <w:color w:val="auto"/>
          <w:highlight w:val="none"/>
        </w:rPr>
      </w:pPr>
      <w:r>
        <w:rPr>
          <w:rFonts w:hint="eastAsia"/>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7D1BDD55">
      <w:pPr>
        <w:ind w:firstLine="420"/>
        <w:rPr>
          <w:color w:val="auto"/>
          <w:highlight w:val="none"/>
        </w:rPr>
      </w:pPr>
      <w:r>
        <w:rPr>
          <w:rFonts w:hint="eastAsia"/>
          <w:color w:val="auto"/>
          <w:highlight w:val="none"/>
        </w:rPr>
        <w:t>9.3乙方在本项目中【使用/未使用】第三方</w:t>
      </w:r>
      <w:r>
        <w:rPr>
          <w:color w:val="auto"/>
          <w:highlight w:val="none"/>
        </w:rPr>
        <w:t>产品</w:t>
      </w:r>
      <w:r>
        <w:rPr>
          <w:rFonts w:hint="eastAsia"/>
          <w:color w:val="auto"/>
          <w:highlight w:val="none"/>
        </w:rPr>
        <w:t>，</w:t>
      </w:r>
      <w:r>
        <w:rPr>
          <w:color w:val="auto"/>
          <w:highlight w:val="none"/>
        </w:rPr>
        <w:t>包括第三方</w:t>
      </w:r>
      <w:r>
        <w:rPr>
          <w:rFonts w:hint="eastAsia"/>
          <w:color w:val="auto"/>
          <w:highlight w:val="none"/>
        </w:rPr>
        <w:t>SDK、小程序、软件、开源组件等，（若选择【使用】请列举）例：第三方SDK：XXXX、XXX；第三方小程序：XXX等。若乙方在项目中使用了第三方产品，乙方须按如下要求执行：</w:t>
      </w:r>
    </w:p>
    <w:p w14:paraId="14D54669">
      <w:pPr>
        <w:ind w:firstLine="420"/>
        <w:rPr>
          <w:color w:val="auto"/>
          <w:highlight w:val="none"/>
        </w:rPr>
      </w:pPr>
      <w:r>
        <w:rPr>
          <w:rFonts w:hint="eastAsia"/>
          <w:color w:val="auto"/>
          <w:highlight w:val="none"/>
        </w:rPr>
        <w:t>（1）针对第三方SDK：乙方应开展安全评估和个人信息保护评估，并提供无中高风险的评估报告；</w:t>
      </w:r>
    </w:p>
    <w:p w14:paraId="46F135C8">
      <w:pPr>
        <w:ind w:firstLine="420"/>
        <w:rPr>
          <w:color w:val="auto"/>
          <w:highlight w:val="none"/>
        </w:rPr>
      </w:pPr>
      <w:r>
        <w:rPr>
          <w:rFonts w:hint="eastAsia"/>
          <w:color w:val="auto"/>
          <w:highlight w:val="none"/>
        </w:rPr>
        <w:t>（2）针对第三方小程序：乙方应开展安全评估，并提供无中高风险漏洞的安全评估报告。</w:t>
      </w:r>
    </w:p>
    <w:p w14:paraId="25DDD257">
      <w:pPr>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）若第三方产品出现安全漏洞或违反个人信息保护相关法规，甲方有权要求乙方进行修复，若因此给甲方造成损失的，甲方有权随时向乙方追偿。</w:t>
      </w:r>
    </w:p>
    <w:p w14:paraId="5408D8FA">
      <w:pPr>
        <w:ind w:firstLine="420"/>
        <w:rPr>
          <w:color w:val="auto"/>
          <w:highlight w:val="none"/>
        </w:rPr>
      </w:pPr>
      <w:r>
        <w:rPr>
          <w:rFonts w:hint="eastAsia"/>
          <w:color w:val="auto"/>
          <w:highlight w:val="none"/>
        </w:rPr>
        <w:t>9</w:t>
      </w:r>
      <w:r>
        <w:rPr>
          <w:color w:val="auto"/>
          <w:highlight w:val="none"/>
        </w:rPr>
        <w:t>.4</w:t>
      </w:r>
      <w:r>
        <w:rPr>
          <w:rFonts w:hint="eastAsia"/>
          <w:color w:val="auto"/>
          <w:highlight w:val="none"/>
        </w:rPr>
        <w:t>乙方保证向甲方提供的项目产品（含第三方产品）的安全性、合规性，保证无恶意脚本、后门及恶意漏洞，不携带任何病毒，不越权收集、处理客户信息。</w:t>
      </w:r>
    </w:p>
    <w:p w14:paraId="778CF2A6">
      <w:pPr>
        <w:ind w:firstLine="420"/>
        <w:rPr>
          <w:color w:val="auto"/>
          <w:highlight w:val="none"/>
        </w:rPr>
      </w:pPr>
      <w:r>
        <w:rPr>
          <w:rFonts w:hint="eastAsia"/>
          <w:color w:val="auto"/>
          <w:highlight w:val="none"/>
        </w:rPr>
        <w:t>9.5乙方向甲方提供的产品和服务不会有任何第三方主张权利，也不会侵害任何第三方的合法权益，包括知识产权。</w:t>
      </w:r>
    </w:p>
    <w:p w14:paraId="6980230E">
      <w:pPr>
        <w:ind w:firstLine="420"/>
        <w:rPr>
          <w:color w:val="auto"/>
          <w:highlight w:val="none"/>
        </w:rPr>
      </w:pPr>
      <w:r>
        <w:rPr>
          <w:rFonts w:hint="eastAsia"/>
          <w:color w:val="auto"/>
          <w:highlight w:val="none"/>
        </w:rPr>
        <w:t>9.</w:t>
      </w:r>
      <w:r>
        <w:rPr>
          <w:color w:val="auto"/>
          <w:highlight w:val="none"/>
        </w:rPr>
        <w:t>6</w:t>
      </w:r>
      <w:r>
        <w:rPr>
          <w:rFonts w:hint="eastAsia"/>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0DF9D5DD">
      <w:pPr>
        <w:ind w:firstLine="420"/>
        <w:rPr>
          <w:color w:val="auto"/>
          <w:highlight w:val="none"/>
        </w:rPr>
      </w:pPr>
      <w:r>
        <w:rPr>
          <w:rFonts w:hint="eastAsia"/>
          <w:color w:val="auto"/>
          <w:highlight w:val="none"/>
        </w:rPr>
        <w:t>9.</w:t>
      </w:r>
      <w:r>
        <w:rPr>
          <w:color w:val="auto"/>
          <w:highlight w:val="none"/>
        </w:rPr>
        <w:t>7</w:t>
      </w:r>
      <w:r>
        <w:rPr>
          <w:rFonts w:hint="eastAsia"/>
          <w:color w:val="auto"/>
          <w:highlight w:val="none"/>
        </w:rPr>
        <w:t xml:space="preserve"> 乙方保证其人员无不良记录，服务商与其建立合法的雇佣关系，依法履行用工管理职责。</w:t>
      </w:r>
    </w:p>
    <w:p w14:paraId="760DC6D9">
      <w:pPr>
        <w:ind w:firstLine="420"/>
        <w:rPr>
          <w:color w:val="auto"/>
          <w:highlight w:val="none"/>
        </w:rPr>
      </w:pPr>
      <w:r>
        <w:rPr>
          <w:rFonts w:hint="eastAsia"/>
          <w:color w:val="auto"/>
          <w:highlight w:val="none"/>
        </w:rPr>
        <w:t>9.</w:t>
      </w:r>
      <w:r>
        <w:rPr>
          <w:color w:val="auto"/>
          <w:highlight w:val="none"/>
        </w:rPr>
        <w:t>8</w:t>
      </w:r>
      <w:r>
        <w:rPr>
          <w:rFonts w:hint="eastAsia"/>
          <w:color w:val="auto"/>
          <w:highlight w:val="none"/>
        </w:rPr>
        <w:t xml:space="preserve"> 乙方定期通报外包事项，及时通报外包突发性事件及解决情况。</w:t>
      </w:r>
    </w:p>
    <w:p w14:paraId="6C102E35">
      <w:pPr>
        <w:ind w:firstLine="420"/>
        <w:rPr>
          <w:color w:val="auto"/>
          <w:highlight w:val="none"/>
        </w:rPr>
      </w:pPr>
    </w:p>
    <w:p w14:paraId="38E96BA3">
      <w:pPr>
        <w:pStyle w:val="4"/>
        <w:rPr>
          <w:color w:val="auto"/>
          <w:highlight w:val="none"/>
        </w:rPr>
      </w:pPr>
      <w:bookmarkStart w:id="269" w:name="_Toc84948034"/>
      <w:r>
        <w:rPr>
          <w:rFonts w:hint="eastAsia"/>
          <w:color w:val="auto"/>
          <w:highlight w:val="none"/>
        </w:rPr>
        <w:t>第十条 知识产权</w:t>
      </w:r>
      <w:bookmarkEnd w:id="269"/>
    </w:p>
    <w:p w14:paraId="7B71A87A">
      <w:pPr>
        <w:ind w:firstLine="420"/>
        <w:rPr>
          <w:color w:val="auto"/>
          <w:highlight w:val="none"/>
        </w:rPr>
      </w:pPr>
      <w:r>
        <w:rPr>
          <w:rFonts w:hint="eastAsia"/>
          <w:color w:val="auto"/>
          <w:highlight w:val="none"/>
        </w:rPr>
        <w:t>10.1</w:t>
      </w:r>
      <w:r>
        <w:rPr>
          <w:color w:val="auto"/>
          <w:highlight w:val="none"/>
        </w:rPr>
        <w:t xml:space="preserve"> </w:t>
      </w:r>
      <w:r>
        <w:rPr>
          <w:rFonts w:hint="eastAsia"/>
          <w:color w:val="auto"/>
          <w:highlight w:val="none"/>
        </w:rPr>
        <w:t>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r>
        <w:rPr>
          <w:color w:val="auto"/>
          <w:highlight w:val="none"/>
        </w:rPr>
        <w:t>，且甲方保留接触本合同，不再支付任何费用的权利。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550E19E2">
      <w:pPr>
        <w:ind w:firstLine="420"/>
        <w:rPr>
          <w:color w:val="auto"/>
          <w:highlight w:val="none"/>
        </w:rPr>
      </w:pPr>
      <w:bookmarkStart w:id="270" w:name="_Toc84948035"/>
      <w:r>
        <w:rPr>
          <w:color w:val="auto"/>
          <w:highlight w:val="none"/>
        </w:rPr>
        <w:t>10</w:t>
      </w:r>
      <w:r>
        <w:rPr>
          <w:rFonts w:hint="eastAsia"/>
          <w:color w:val="auto"/>
          <w:highlight w:val="none"/>
        </w:rPr>
        <w:t>.</w:t>
      </w:r>
      <w:r>
        <w:rPr>
          <w:color w:val="auto"/>
          <w:highlight w:val="none"/>
        </w:rPr>
        <w:t xml:space="preserve">2 </w:t>
      </w:r>
      <w:r>
        <w:rPr>
          <w:rFonts w:hint="eastAsia"/>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BC56FC3">
      <w:pPr>
        <w:ind w:firstLine="420"/>
        <w:rPr>
          <w:color w:val="auto"/>
          <w:highlight w:val="none"/>
        </w:rPr>
      </w:pPr>
      <w:r>
        <w:rPr>
          <w:rFonts w:hint="eastAsia"/>
          <w:color w:val="auto"/>
          <w:highlight w:val="none"/>
        </w:rPr>
        <w:t>10.</w:t>
      </w:r>
      <w:r>
        <w:rPr>
          <w:color w:val="auto"/>
          <w:highlight w:val="none"/>
        </w:rPr>
        <w:t xml:space="preserve">3 </w:t>
      </w:r>
      <w:r>
        <w:rPr>
          <w:rFonts w:hint="eastAsia"/>
          <w:color w:val="auto"/>
          <w:highlight w:val="none"/>
        </w:rPr>
        <w:t>乙方应将有关资料（数据库设计文件、技术文件和用户手册等全部资料）在甲方要求期限内，按国家有关项目开发标准以文字等载体的形式交给甲方，甲方拥有永久的使用权。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7F64102F">
      <w:pPr>
        <w:ind w:firstLine="420"/>
        <w:rPr>
          <w:color w:val="auto"/>
          <w:highlight w:val="none"/>
        </w:rPr>
      </w:pPr>
      <w:r>
        <w:rPr>
          <w:rFonts w:hint="eastAsia"/>
          <w:color w:val="auto"/>
          <w:highlight w:val="none"/>
        </w:rPr>
        <w:t>1</w:t>
      </w:r>
      <w:r>
        <w:rPr>
          <w:color w:val="auto"/>
          <w:highlight w:val="none"/>
        </w:rPr>
        <w:t>0.4 本项目</w:t>
      </w:r>
      <w:r>
        <w:rPr>
          <w:rFonts w:hint="eastAsia"/>
          <w:color w:val="auto"/>
          <w:highlight w:val="none"/>
        </w:rPr>
        <w:t>客户化源代码的知识产权归甲方单独所有，其余部分归双方共有。</w:t>
      </w:r>
    </w:p>
    <w:p w14:paraId="7D2C6900">
      <w:pPr>
        <w:ind w:firstLine="420"/>
        <w:rPr>
          <w:color w:val="auto"/>
          <w:highlight w:val="none"/>
        </w:rPr>
      </w:pPr>
      <w:r>
        <w:rPr>
          <w:rFonts w:hint="eastAsia"/>
          <w:color w:val="auto"/>
          <w:highlight w:val="none"/>
        </w:rPr>
        <w:t>1</w:t>
      </w:r>
      <w:r>
        <w:rPr>
          <w:color w:val="auto"/>
          <w:highlight w:val="none"/>
        </w:rPr>
        <w:t xml:space="preserve">0.4.1 </w:t>
      </w:r>
      <w:r>
        <w:rPr>
          <w:rFonts w:hint="eastAsia"/>
          <w:color w:val="auto"/>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8AB68B2">
      <w:pPr>
        <w:ind w:firstLine="420"/>
        <w:rPr>
          <w:color w:val="auto"/>
          <w:highlight w:val="none"/>
        </w:rPr>
      </w:pPr>
      <w:r>
        <w:rPr>
          <w:color w:val="auto"/>
          <w:highlight w:val="none"/>
        </w:rPr>
        <w:t xml:space="preserve">10.4.2 </w:t>
      </w:r>
      <w:r>
        <w:rPr>
          <w:rFonts w:hint="eastAsia"/>
          <w:color w:val="auto"/>
          <w:highlight w:val="none"/>
        </w:rPr>
        <w:t>针对共有部分，甲方拥有在甲方及其分支机构使用及后续开发的权利，甲方在乙方交付的系统版本上进行自主开发或交由第三方公司开发，开发成果的知识产权归甲方所有。乙方拥有在其公司和其他组织范围内使用的权利，但乙方使用时不得侵犯甲方利益。</w:t>
      </w:r>
    </w:p>
    <w:p w14:paraId="07CB026F">
      <w:pPr>
        <w:ind w:firstLine="420"/>
        <w:rPr>
          <w:color w:val="auto"/>
          <w:highlight w:val="none"/>
        </w:rPr>
      </w:pPr>
    </w:p>
    <w:p w14:paraId="0374F068">
      <w:pPr>
        <w:pStyle w:val="4"/>
        <w:rPr>
          <w:color w:val="auto"/>
          <w:highlight w:val="none"/>
        </w:rPr>
      </w:pPr>
      <w:r>
        <w:rPr>
          <w:rFonts w:hint="eastAsia"/>
          <w:color w:val="auto"/>
          <w:highlight w:val="none"/>
        </w:rPr>
        <w:t>第十一条 第三方索赔</w:t>
      </w:r>
      <w:bookmarkEnd w:id="270"/>
    </w:p>
    <w:p w14:paraId="5675ADE9">
      <w:pPr>
        <w:ind w:firstLine="420"/>
        <w:rPr>
          <w:color w:val="auto"/>
          <w:highlight w:val="none"/>
        </w:rPr>
      </w:pPr>
      <w:r>
        <w:rPr>
          <w:rFonts w:hint="eastAsia"/>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5CEBAD2">
      <w:pPr>
        <w:ind w:firstLine="420"/>
        <w:rPr>
          <w:color w:val="auto"/>
          <w:highlight w:val="none"/>
        </w:rPr>
      </w:pPr>
      <w:r>
        <w:rPr>
          <w:rFonts w:hint="eastAsia"/>
          <w:color w:val="auto"/>
          <w:highlight w:val="none"/>
        </w:rPr>
        <w:t>11.2对于第11.1条涉及的侵权索赔，乙方将承担全部费用，包括诉讼费、仲裁费、甲方支付的律师费、差旅住宿费、公证费、鉴定费、调解费及仲裁裁决、法院判决或调解协议中由甲方承担的赔偿金。</w:t>
      </w:r>
    </w:p>
    <w:p w14:paraId="326F08B4">
      <w:pPr>
        <w:ind w:firstLine="420"/>
        <w:rPr>
          <w:color w:val="auto"/>
          <w:highlight w:val="none"/>
        </w:rPr>
      </w:pPr>
      <w:r>
        <w:rPr>
          <w:rFonts w:hint="eastAsia"/>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部损失。</w:t>
      </w:r>
    </w:p>
    <w:p w14:paraId="0E4979BC">
      <w:pPr>
        <w:ind w:firstLine="420"/>
        <w:rPr>
          <w:color w:val="auto"/>
          <w:highlight w:val="none"/>
        </w:rPr>
      </w:pPr>
      <w:r>
        <w:rPr>
          <w:rFonts w:hint="eastAsia"/>
          <w:color w:val="auto"/>
          <w:highlight w:val="none"/>
        </w:rPr>
        <w:t>11.4乙方对由以下非乙方的过错引起的侵权索赔不承担责任：</w:t>
      </w:r>
    </w:p>
    <w:p w14:paraId="31574715">
      <w:pPr>
        <w:ind w:firstLine="420"/>
        <w:rPr>
          <w:color w:val="auto"/>
          <w:highlight w:val="none"/>
        </w:rPr>
      </w:pPr>
      <w:r>
        <w:rPr>
          <w:rFonts w:hint="eastAsia"/>
          <w:color w:val="auto"/>
          <w:highlight w:val="none"/>
        </w:rPr>
        <w:t>11.4.1 甲方使用不当所造成的侵权。</w:t>
      </w:r>
    </w:p>
    <w:p w14:paraId="2B6CD1EC">
      <w:pPr>
        <w:ind w:firstLine="420"/>
        <w:rPr>
          <w:color w:val="auto"/>
          <w:highlight w:val="none"/>
        </w:rPr>
      </w:pPr>
      <w:r>
        <w:rPr>
          <w:rFonts w:hint="eastAsia"/>
          <w:color w:val="auto"/>
          <w:highlight w:val="none"/>
        </w:rPr>
        <w:t>11.4.2 因甲方或第三方对开发软件或资料进行修改所直接造成的侵权。</w:t>
      </w:r>
    </w:p>
    <w:p w14:paraId="3208C86B">
      <w:pPr>
        <w:ind w:firstLine="420"/>
        <w:rPr>
          <w:color w:val="auto"/>
          <w:highlight w:val="none"/>
        </w:rPr>
      </w:pPr>
    </w:p>
    <w:p w14:paraId="2CF75E85">
      <w:pPr>
        <w:pStyle w:val="4"/>
        <w:rPr>
          <w:color w:val="auto"/>
          <w:highlight w:val="none"/>
        </w:rPr>
      </w:pPr>
      <w:bookmarkStart w:id="271" w:name="_Toc84948036"/>
      <w:r>
        <w:rPr>
          <w:rFonts w:hint="eastAsia"/>
          <w:color w:val="auto"/>
          <w:highlight w:val="none"/>
        </w:rPr>
        <w:t>第十二条 保密</w:t>
      </w:r>
      <w:bookmarkEnd w:id="271"/>
    </w:p>
    <w:p w14:paraId="45508CCE">
      <w:pPr>
        <w:ind w:firstLine="420"/>
        <w:rPr>
          <w:color w:val="auto"/>
          <w:highlight w:val="none"/>
        </w:rPr>
      </w:pPr>
      <w:r>
        <w:rPr>
          <w:rFonts w:hint="eastAsia"/>
          <w:color w:val="auto"/>
          <w:highlight w:val="none"/>
        </w:rPr>
        <w:t>12.1乙方须对本合同项下的所有条款保密。乙方人员入场前须与甲方签订相应诚信安全承诺书。</w:t>
      </w:r>
    </w:p>
    <w:p w14:paraId="59D0BC2E">
      <w:pPr>
        <w:ind w:firstLine="420"/>
        <w:rPr>
          <w:color w:val="auto"/>
          <w:highlight w:val="none"/>
        </w:rPr>
      </w:pPr>
      <w:r>
        <w:rPr>
          <w:rFonts w:hint="eastAsia"/>
          <w:color w:val="auto"/>
          <w:highlight w:val="none"/>
        </w:rPr>
        <w:t>12.</w:t>
      </w:r>
      <w:r>
        <w:rPr>
          <w:color w:val="auto"/>
          <w:highlight w:val="none"/>
        </w:rPr>
        <w:t>2</w:t>
      </w:r>
      <w:r>
        <w:rPr>
          <w:rFonts w:hint="eastAsia"/>
          <w:color w:val="auto"/>
          <w:highlight w:val="none"/>
        </w:rPr>
        <w:t>乙方应对本合同所述的客户信息、技术资料、业务流程、源代码</w:t>
      </w:r>
      <w:r>
        <w:rPr>
          <w:color w:val="auto"/>
          <w:highlight w:val="none"/>
        </w:rPr>
        <w:t>、</w:t>
      </w:r>
      <w:r>
        <w:rPr>
          <w:rFonts w:hint="eastAsia"/>
          <w:color w:val="auto"/>
          <w:highlight w:val="none"/>
        </w:rPr>
        <w:t>数据等</w:t>
      </w:r>
      <w:r>
        <w:rPr>
          <w:color w:val="auto"/>
          <w:highlight w:val="none"/>
        </w:rPr>
        <w:t>重要</w:t>
      </w:r>
      <w:r>
        <w:rPr>
          <w:rFonts w:hint="eastAsia"/>
          <w:color w:val="auto"/>
          <w:highlight w:val="none"/>
        </w:rPr>
        <w:t>信息采取保密措施，未经甲方的书面同意，乙方不得在合同允许范围外使用、披露、存放于</w:t>
      </w:r>
      <w:r>
        <w:rPr>
          <w:color w:val="auto"/>
          <w:highlight w:val="none"/>
        </w:rPr>
        <w:t>第三方托管平台</w:t>
      </w:r>
      <w:r>
        <w:rPr>
          <w:rFonts w:hint="eastAsia"/>
          <w:color w:val="auto"/>
          <w:highlight w:val="none"/>
        </w:rPr>
        <w:t>、向无关人员或第三方透露，也不能就有关合同内容的任何部分进行新闻的发布、公开的宣称、否认或承认。</w:t>
      </w:r>
    </w:p>
    <w:p w14:paraId="7F3ADCAE">
      <w:pPr>
        <w:ind w:firstLine="420"/>
        <w:rPr>
          <w:color w:val="auto"/>
          <w:highlight w:val="none"/>
        </w:rPr>
      </w:pPr>
      <w:r>
        <w:rPr>
          <w:rFonts w:hint="eastAsia"/>
          <w:color w:val="auto"/>
          <w:highlight w:val="none"/>
        </w:rPr>
        <w:t>12.</w:t>
      </w:r>
      <w:r>
        <w:rPr>
          <w:color w:val="auto"/>
          <w:highlight w:val="none"/>
        </w:rPr>
        <w:t>3</w:t>
      </w:r>
      <w:r>
        <w:rPr>
          <w:rFonts w:hint="eastAsia"/>
          <w:color w:val="auto"/>
          <w:highlight w:val="none"/>
        </w:rPr>
        <w:t>乙方不得以甲方名义开展活动，不得将甲方数据、信息以任何形式转移、挪用或谋取合同约定以外的利益。</w:t>
      </w:r>
    </w:p>
    <w:p w14:paraId="70A53DFD">
      <w:pPr>
        <w:ind w:firstLine="420"/>
        <w:rPr>
          <w:color w:val="auto"/>
          <w:highlight w:val="none"/>
        </w:rPr>
      </w:pPr>
      <w:r>
        <w:rPr>
          <w:rFonts w:hint="eastAsia"/>
          <w:color w:val="auto"/>
          <w:highlight w:val="none"/>
        </w:rPr>
        <w:t>12.4乙方知道违反本条规定将给甲方客户权利以及甲方造成难以弥补的损失，为此同意承担由此产生的经济上和法律上的责任和</w:t>
      </w:r>
      <w:r>
        <w:rPr>
          <w:color w:val="auto"/>
          <w:highlight w:val="none"/>
        </w:rPr>
        <w:t>损失</w:t>
      </w:r>
      <w:r>
        <w:rPr>
          <w:rFonts w:hint="eastAsia"/>
          <w:color w:val="auto"/>
          <w:highlight w:val="none"/>
        </w:rPr>
        <w:t>。</w:t>
      </w:r>
    </w:p>
    <w:p w14:paraId="5103A2FB">
      <w:pPr>
        <w:ind w:firstLine="420"/>
        <w:rPr>
          <w:color w:val="auto"/>
          <w:highlight w:val="none"/>
        </w:rPr>
      </w:pPr>
      <w:r>
        <w:rPr>
          <w:rFonts w:hint="eastAsia"/>
          <w:color w:val="auto"/>
          <w:highlight w:val="none"/>
        </w:rPr>
        <w:t>12.5乙方承认本合同中的技术资料和技术秘密为甲方所专有，将其对乙方进行披露并不意味着任何所有权、专利权的转让。</w:t>
      </w:r>
    </w:p>
    <w:p w14:paraId="441940DD">
      <w:pPr>
        <w:ind w:firstLine="420"/>
        <w:rPr>
          <w:color w:val="auto"/>
          <w:highlight w:val="none"/>
        </w:rPr>
      </w:pPr>
      <w:r>
        <w:rPr>
          <w:rFonts w:hint="eastAsia"/>
          <w:color w:val="auto"/>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F5ED097">
      <w:pPr>
        <w:ind w:firstLine="420"/>
        <w:rPr>
          <w:color w:val="auto"/>
          <w:highlight w:val="none"/>
        </w:rPr>
      </w:pPr>
      <w:r>
        <w:rPr>
          <w:rFonts w:hint="eastAsia"/>
          <w:color w:val="auto"/>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1BBFF68">
      <w:pPr>
        <w:ind w:firstLine="420"/>
        <w:rPr>
          <w:color w:val="auto"/>
          <w:highlight w:val="none"/>
        </w:rPr>
      </w:pPr>
      <w:r>
        <w:rPr>
          <w:rFonts w:hint="eastAsia"/>
          <w:color w:val="auto"/>
          <w:highlight w:val="none"/>
        </w:rPr>
        <w:t>12.8除非甲方特别声明，乙方对于保密信息的保密义务为无限期保密，直至甲方宣布解密或者保密信息实际上已经公开。</w:t>
      </w:r>
    </w:p>
    <w:p w14:paraId="3737FD1A">
      <w:pPr>
        <w:ind w:firstLine="420"/>
        <w:rPr>
          <w:color w:val="auto"/>
          <w:highlight w:val="none"/>
        </w:rPr>
      </w:pPr>
      <w:r>
        <w:rPr>
          <w:rFonts w:hint="eastAsia"/>
          <w:color w:val="auto"/>
          <w:highlight w:val="none"/>
        </w:rPr>
        <w:t>12.9 本合同</w:t>
      </w:r>
      <w:r>
        <w:rPr>
          <w:color w:val="auto"/>
          <w:highlight w:val="none"/>
        </w:rPr>
        <w:t>项下乙方</w:t>
      </w:r>
      <w:r>
        <w:rPr>
          <w:rFonts w:hint="eastAsia"/>
          <w:color w:val="auto"/>
          <w:highlight w:val="none"/>
        </w:rPr>
        <w:t>人员</w:t>
      </w:r>
      <w:r>
        <w:rPr>
          <w:color w:val="auto"/>
          <w:highlight w:val="none"/>
        </w:rPr>
        <w:t>行为视为乙方行为，</w:t>
      </w:r>
      <w:r>
        <w:rPr>
          <w:rFonts w:hint="eastAsia"/>
          <w:color w:val="auto"/>
          <w:highlight w:val="none"/>
        </w:rPr>
        <w:t>乙方应承担全部责任及损失</w:t>
      </w:r>
      <w:r>
        <w:rPr>
          <w:color w:val="auto"/>
          <w:highlight w:val="none"/>
        </w:rPr>
        <w:t>。</w:t>
      </w:r>
    </w:p>
    <w:p w14:paraId="70B64532">
      <w:pPr>
        <w:ind w:firstLine="420"/>
        <w:rPr>
          <w:color w:val="auto"/>
          <w:highlight w:val="none"/>
        </w:rPr>
      </w:pPr>
    </w:p>
    <w:p w14:paraId="0A933DA0">
      <w:pPr>
        <w:pStyle w:val="4"/>
        <w:rPr>
          <w:color w:val="auto"/>
          <w:highlight w:val="none"/>
        </w:rPr>
      </w:pPr>
      <w:bookmarkStart w:id="272" w:name="_Toc84948037"/>
      <w:r>
        <w:rPr>
          <w:rFonts w:hint="eastAsia"/>
          <w:color w:val="auto"/>
          <w:highlight w:val="none"/>
        </w:rPr>
        <w:t>第十三条 价格与支付</w:t>
      </w:r>
      <w:bookmarkEnd w:id="272"/>
    </w:p>
    <w:p w14:paraId="192145E1">
      <w:pPr>
        <w:ind w:firstLine="420"/>
        <w:rPr>
          <w:color w:val="auto"/>
          <w:highlight w:val="none"/>
        </w:rPr>
      </w:pPr>
      <w:r>
        <w:rPr>
          <w:rFonts w:hint="eastAsia"/>
          <w:color w:val="auto"/>
          <w:highlight w:val="none"/>
        </w:rPr>
        <w:t>13.1本项目合同总金额（价税合计）为_______元（大写：</w:t>
      </w:r>
      <w:r>
        <w:rPr>
          <w:color w:val="auto"/>
          <w:highlight w:val="none"/>
        </w:rPr>
        <w:t>整</w:t>
      </w:r>
      <w:r>
        <w:rPr>
          <w:rFonts w:hint="eastAsia"/>
          <w:color w:val="auto"/>
          <w:highlight w:val="none"/>
        </w:rPr>
        <w:t>），</w:t>
      </w:r>
      <w:r>
        <w:rPr>
          <w:color w:val="auto"/>
          <w:highlight w:val="none"/>
        </w:rPr>
        <w:t>税率为13%，</w:t>
      </w:r>
      <w:r>
        <w:rPr>
          <w:rFonts w:hint="eastAsia"/>
          <w:color w:val="auto"/>
          <w:highlight w:val="none"/>
        </w:rPr>
        <w:t>不含税价为：_______元（大写：</w:t>
      </w:r>
      <w:r>
        <w:rPr>
          <w:color w:val="auto"/>
          <w:highlight w:val="none"/>
        </w:rPr>
        <w:t>整</w:t>
      </w:r>
      <w:r>
        <w:rPr>
          <w:rFonts w:hint="eastAsia"/>
          <w:color w:val="auto"/>
          <w:highlight w:val="none"/>
        </w:rPr>
        <w:t>）,税额为：_______元（大写：</w:t>
      </w:r>
      <w:r>
        <w:rPr>
          <w:color w:val="auto"/>
          <w:highlight w:val="none"/>
        </w:rPr>
        <w:t>整</w:t>
      </w:r>
      <w:r>
        <w:rPr>
          <w:rFonts w:hint="eastAsia"/>
          <w:color w:val="auto"/>
          <w:highlight w:val="none"/>
        </w:rPr>
        <w:t>）。</w:t>
      </w:r>
      <w:r>
        <w:rPr>
          <w:color w:val="auto"/>
          <w:highlight w:val="none"/>
        </w:rPr>
        <w:t>其中产品金额（价税合计）为</w:t>
      </w:r>
      <w:r>
        <w:rPr>
          <w:rFonts w:hint="eastAsia"/>
          <w:color w:val="auto"/>
          <w:highlight w:val="none"/>
        </w:rPr>
        <w:t>_______元（大写：</w:t>
      </w:r>
      <w:r>
        <w:rPr>
          <w:color w:val="auto"/>
          <w:highlight w:val="none"/>
        </w:rPr>
        <w:t>整</w:t>
      </w:r>
      <w:r>
        <w:rPr>
          <w:rFonts w:hint="eastAsia"/>
          <w:color w:val="auto"/>
          <w:highlight w:val="none"/>
        </w:rPr>
        <w:t>）</w:t>
      </w:r>
      <w:r>
        <w:rPr>
          <w:color w:val="auto"/>
          <w:highlight w:val="none"/>
        </w:rPr>
        <w:t>，实施金额（价税合计）为</w:t>
      </w:r>
      <w:r>
        <w:rPr>
          <w:rFonts w:hint="eastAsia"/>
          <w:color w:val="auto"/>
          <w:highlight w:val="none"/>
        </w:rPr>
        <w:t>_______元（大写：</w:t>
      </w:r>
      <w:r>
        <w:rPr>
          <w:color w:val="auto"/>
          <w:highlight w:val="none"/>
        </w:rPr>
        <w:t>整</w:t>
      </w:r>
      <w:r>
        <w:rPr>
          <w:rFonts w:hint="eastAsia"/>
          <w:color w:val="auto"/>
          <w:highlight w:val="none"/>
        </w:rPr>
        <w:t>）</w:t>
      </w:r>
      <w:r>
        <w:rPr>
          <w:color w:val="auto"/>
          <w:highlight w:val="none"/>
        </w:rPr>
        <w:t>。</w:t>
      </w:r>
      <w:r>
        <w:rPr>
          <w:rFonts w:hint="eastAsia"/>
          <w:color w:val="auto"/>
          <w:highlight w:val="none"/>
        </w:rPr>
        <w:t>不含税价格不因国家税率变化而变化，若在合同履行期间，如遇国家的税率调整，则价税合计应相应调整，以开具发票的时间为准。该金额为本合同约定项目的全部费用，除双方另有约定外，甲方无须向乙方支付其他任何费用。</w:t>
      </w:r>
    </w:p>
    <w:p w14:paraId="42CB5A81">
      <w:pPr>
        <w:ind w:firstLine="420"/>
        <w:rPr>
          <w:color w:val="auto"/>
          <w:highlight w:val="none"/>
        </w:rPr>
      </w:pPr>
      <w:r>
        <w:rPr>
          <w:rFonts w:hint="eastAsia"/>
          <w:color w:val="auto"/>
          <w:highlight w:val="none"/>
        </w:rPr>
        <w:t>本项目产品价格（含实施</w:t>
      </w:r>
      <w:r>
        <w:rPr>
          <w:color w:val="auto"/>
          <w:highlight w:val="none"/>
        </w:rPr>
        <w:t>金额部分</w:t>
      </w:r>
      <w:r>
        <w:rPr>
          <w:rFonts w:hint="eastAsia"/>
          <w:color w:val="auto"/>
          <w:highlight w:val="none"/>
        </w:rPr>
        <w:t>）如下表所示：</w:t>
      </w:r>
    </w:p>
    <w:tbl>
      <w:tblPr>
        <w:tblStyle w:val="88"/>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1B3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5E73C09A">
            <w:pPr>
              <w:pStyle w:val="111"/>
              <w:rPr>
                <w:color w:val="auto"/>
                <w:highlight w:val="none"/>
              </w:rPr>
            </w:pPr>
            <w:r>
              <w:rPr>
                <w:color w:val="auto"/>
                <w:highlight w:val="none"/>
              </w:rPr>
              <w:t>产品名称</w:t>
            </w:r>
          </w:p>
        </w:tc>
        <w:tc>
          <w:tcPr>
            <w:tcW w:w="1701" w:type="dxa"/>
            <w:tcBorders>
              <w:tl2br w:val="nil"/>
              <w:tr2bl w:val="nil"/>
            </w:tcBorders>
            <w:vAlign w:val="center"/>
          </w:tcPr>
          <w:p w14:paraId="76E3796C">
            <w:pPr>
              <w:pStyle w:val="111"/>
              <w:rPr>
                <w:color w:val="auto"/>
                <w:highlight w:val="none"/>
              </w:rPr>
            </w:pPr>
            <w:r>
              <w:rPr>
                <w:color w:val="auto"/>
                <w:highlight w:val="none"/>
              </w:rPr>
              <w:t>模块</w:t>
            </w:r>
          </w:p>
        </w:tc>
        <w:tc>
          <w:tcPr>
            <w:tcW w:w="1134" w:type="dxa"/>
            <w:tcBorders>
              <w:tl2br w:val="nil"/>
              <w:tr2bl w:val="nil"/>
            </w:tcBorders>
            <w:vAlign w:val="center"/>
          </w:tcPr>
          <w:p w14:paraId="692E0E95">
            <w:pPr>
              <w:pStyle w:val="111"/>
              <w:rPr>
                <w:color w:val="auto"/>
                <w:highlight w:val="none"/>
              </w:rPr>
            </w:pPr>
            <w:r>
              <w:rPr>
                <w:rFonts w:hint="eastAsia"/>
                <w:color w:val="auto"/>
                <w:highlight w:val="none"/>
              </w:rPr>
              <w:t>单价（元）</w:t>
            </w:r>
          </w:p>
        </w:tc>
        <w:tc>
          <w:tcPr>
            <w:tcW w:w="1276" w:type="dxa"/>
            <w:tcBorders>
              <w:tl2br w:val="nil"/>
              <w:tr2bl w:val="nil"/>
            </w:tcBorders>
            <w:vAlign w:val="center"/>
          </w:tcPr>
          <w:p w14:paraId="30BB57D4">
            <w:pPr>
              <w:pStyle w:val="111"/>
              <w:rPr>
                <w:color w:val="auto"/>
                <w:highlight w:val="none"/>
              </w:rPr>
            </w:pPr>
            <w:r>
              <w:rPr>
                <w:rFonts w:hint="eastAsia"/>
                <w:color w:val="auto"/>
                <w:highlight w:val="none"/>
              </w:rPr>
              <w:t>数量（套）</w:t>
            </w:r>
          </w:p>
        </w:tc>
        <w:tc>
          <w:tcPr>
            <w:tcW w:w="1276" w:type="dxa"/>
            <w:tcBorders>
              <w:tl2br w:val="nil"/>
              <w:tr2bl w:val="nil"/>
            </w:tcBorders>
            <w:vAlign w:val="center"/>
          </w:tcPr>
          <w:p w14:paraId="0A7FA2E7">
            <w:pPr>
              <w:pStyle w:val="111"/>
              <w:rPr>
                <w:color w:val="auto"/>
                <w:highlight w:val="none"/>
              </w:rPr>
            </w:pPr>
            <w:r>
              <w:rPr>
                <w:rFonts w:hint="eastAsia"/>
                <w:color w:val="auto"/>
                <w:highlight w:val="none"/>
              </w:rPr>
              <w:t>金额</w:t>
            </w:r>
            <w:r>
              <w:rPr>
                <w:color w:val="auto"/>
                <w:highlight w:val="none"/>
              </w:rPr>
              <w:t>小计</w:t>
            </w:r>
            <w:r>
              <w:rPr>
                <w:rFonts w:hint="eastAsia"/>
                <w:color w:val="auto"/>
                <w:highlight w:val="none"/>
              </w:rPr>
              <w:t>（元）</w:t>
            </w:r>
          </w:p>
        </w:tc>
      </w:tr>
      <w:tr w14:paraId="20F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6B4611D1">
            <w:pPr>
              <w:pStyle w:val="110"/>
              <w:rPr>
                <w:color w:val="auto"/>
                <w:highlight w:val="none"/>
              </w:rPr>
            </w:pPr>
          </w:p>
        </w:tc>
        <w:tc>
          <w:tcPr>
            <w:tcW w:w="1701" w:type="dxa"/>
            <w:tcBorders>
              <w:tl2br w:val="nil"/>
              <w:tr2bl w:val="nil"/>
            </w:tcBorders>
            <w:vAlign w:val="center"/>
          </w:tcPr>
          <w:p w14:paraId="0A706D43">
            <w:pPr>
              <w:pStyle w:val="110"/>
              <w:rPr>
                <w:color w:val="auto"/>
                <w:highlight w:val="none"/>
              </w:rPr>
            </w:pPr>
          </w:p>
        </w:tc>
        <w:tc>
          <w:tcPr>
            <w:tcW w:w="1134" w:type="dxa"/>
            <w:tcBorders>
              <w:tl2br w:val="nil"/>
              <w:tr2bl w:val="nil"/>
            </w:tcBorders>
            <w:vAlign w:val="center"/>
          </w:tcPr>
          <w:p w14:paraId="35B98E83">
            <w:pPr>
              <w:pStyle w:val="110"/>
              <w:rPr>
                <w:color w:val="auto"/>
                <w:highlight w:val="none"/>
              </w:rPr>
            </w:pPr>
          </w:p>
        </w:tc>
        <w:tc>
          <w:tcPr>
            <w:tcW w:w="1276" w:type="dxa"/>
            <w:tcBorders>
              <w:tl2br w:val="nil"/>
              <w:tr2bl w:val="nil"/>
            </w:tcBorders>
            <w:vAlign w:val="center"/>
          </w:tcPr>
          <w:p w14:paraId="718CBC56">
            <w:pPr>
              <w:pStyle w:val="110"/>
              <w:rPr>
                <w:color w:val="auto"/>
                <w:highlight w:val="none"/>
              </w:rPr>
            </w:pPr>
          </w:p>
        </w:tc>
        <w:tc>
          <w:tcPr>
            <w:tcW w:w="1276" w:type="dxa"/>
            <w:tcBorders>
              <w:tl2br w:val="nil"/>
              <w:tr2bl w:val="nil"/>
            </w:tcBorders>
            <w:vAlign w:val="center"/>
          </w:tcPr>
          <w:p w14:paraId="357ABFE6">
            <w:pPr>
              <w:pStyle w:val="110"/>
              <w:rPr>
                <w:color w:val="auto"/>
                <w:highlight w:val="none"/>
              </w:rPr>
            </w:pPr>
          </w:p>
        </w:tc>
      </w:tr>
      <w:tr w14:paraId="302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58BFAD43">
            <w:pPr>
              <w:pStyle w:val="110"/>
              <w:rPr>
                <w:color w:val="auto"/>
                <w:highlight w:val="none"/>
              </w:rPr>
            </w:pPr>
          </w:p>
        </w:tc>
        <w:tc>
          <w:tcPr>
            <w:tcW w:w="1701" w:type="dxa"/>
            <w:tcBorders>
              <w:tl2br w:val="nil"/>
              <w:tr2bl w:val="nil"/>
            </w:tcBorders>
            <w:vAlign w:val="center"/>
          </w:tcPr>
          <w:p w14:paraId="65D3422C">
            <w:pPr>
              <w:pStyle w:val="110"/>
              <w:rPr>
                <w:color w:val="auto"/>
                <w:highlight w:val="none"/>
              </w:rPr>
            </w:pPr>
          </w:p>
        </w:tc>
        <w:tc>
          <w:tcPr>
            <w:tcW w:w="1134" w:type="dxa"/>
            <w:tcBorders>
              <w:tl2br w:val="nil"/>
              <w:tr2bl w:val="nil"/>
            </w:tcBorders>
            <w:vAlign w:val="center"/>
          </w:tcPr>
          <w:p w14:paraId="5E746540">
            <w:pPr>
              <w:pStyle w:val="110"/>
              <w:rPr>
                <w:color w:val="auto"/>
                <w:highlight w:val="none"/>
              </w:rPr>
            </w:pPr>
          </w:p>
        </w:tc>
        <w:tc>
          <w:tcPr>
            <w:tcW w:w="1276" w:type="dxa"/>
            <w:tcBorders>
              <w:tl2br w:val="nil"/>
              <w:tr2bl w:val="nil"/>
            </w:tcBorders>
            <w:vAlign w:val="center"/>
          </w:tcPr>
          <w:p w14:paraId="1DECD830">
            <w:pPr>
              <w:pStyle w:val="110"/>
              <w:rPr>
                <w:color w:val="auto"/>
                <w:highlight w:val="none"/>
              </w:rPr>
            </w:pPr>
          </w:p>
        </w:tc>
        <w:tc>
          <w:tcPr>
            <w:tcW w:w="1276" w:type="dxa"/>
            <w:tcBorders>
              <w:tl2br w:val="nil"/>
              <w:tr2bl w:val="nil"/>
            </w:tcBorders>
            <w:vAlign w:val="center"/>
          </w:tcPr>
          <w:p w14:paraId="5B9AECC0">
            <w:pPr>
              <w:pStyle w:val="110"/>
              <w:rPr>
                <w:color w:val="auto"/>
                <w:highlight w:val="none"/>
              </w:rPr>
            </w:pPr>
          </w:p>
        </w:tc>
      </w:tr>
      <w:tr w14:paraId="4F0B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16C3D66A">
            <w:pPr>
              <w:pStyle w:val="110"/>
              <w:rPr>
                <w:color w:val="auto"/>
                <w:highlight w:val="none"/>
              </w:rPr>
            </w:pPr>
            <w:r>
              <w:rPr>
                <w:color w:val="auto"/>
                <w:highlight w:val="none"/>
              </w:rPr>
              <w:t>合计</w:t>
            </w:r>
            <w:r>
              <w:rPr>
                <w:rFonts w:hint="eastAsia"/>
                <w:color w:val="auto"/>
                <w:highlight w:val="none"/>
              </w:rPr>
              <w:t>（含税）</w:t>
            </w:r>
          </w:p>
        </w:tc>
        <w:tc>
          <w:tcPr>
            <w:tcW w:w="5387" w:type="dxa"/>
            <w:gridSpan w:val="4"/>
            <w:tcBorders>
              <w:tl2br w:val="nil"/>
              <w:tr2bl w:val="nil"/>
            </w:tcBorders>
            <w:vAlign w:val="center"/>
          </w:tcPr>
          <w:p w14:paraId="37E314AF">
            <w:pPr>
              <w:pStyle w:val="110"/>
              <w:rPr>
                <w:color w:val="auto"/>
                <w:highlight w:val="none"/>
              </w:rPr>
            </w:pPr>
            <w:r>
              <w:rPr>
                <w:rFonts w:hint="eastAsia"/>
                <w:color w:val="auto"/>
                <w:highlight w:val="none"/>
              </w:rPr>
              <w:t>大写（人民币）：元整</w:t>
            </w:r>
          </w:p>
        </w:tc>
      </w:tr>
    </w:tbl>
    <w:p w14:paraId="52BC4F5E">
      <w:pPr>
        <w:ind w:firstLine="420"/>
        <w:rPr>
          <w:color w:val="auto"/>
          <w:highlight w:val="none"/>
        </w:rPr>
      </w:pPr>
    </w:p>
    <w:p w14:paraId="369CC61B">
      <w:pPr>
        <w:ind w:firstLine="420"/>
        <w:rPr>
          <w:color w:val="auto"/>
          <w:highlight w:val="none"/>
        </w:rPr>
      </w:pPr>
      <w:r>
        <w:rPr>
          <w:rFonts w:hint="eastAsia"/>
          <w:color w:val="auto"/>
          <w:highlight w:val="none"/>
        </w:rPr>
        <w:t>13.2支付方式：</w:t>
      </w:r>
    </w:p>
    <w:p w14:paraId="5E6FB626">
      <w:pPr>
        <w:ind w:firstLine="420"/>
        <w:rPr>
          <w:color w:val="auto"/>
          <w:highlight w:val="none"/>
        </w:rPr>
      </w:pPr>
      <w:r>
        <w:rPr>
          <w:rFonts w:hint="eastAsia"/>
          <w:color w:val="auto"/>
          <w:highlight w:val="none"/>
        </w:rPr>
        <w:t>本合同款项采用分期付款：</w:t>
      </w:r>
    </w:p>
    <w:p w14:paraId="4EF0D299">
      <w:pPr>
        <w:ind w:firstLine="420"/>
        <w:rPr>
          <w:color w:val="auto"/>
          <w:highlight w:val="none"/>
        </w:rPr>
      </w:pPr>
      <w:r>
        <w:rPr>
          <w:rFonts w:hint="eastAsia"/>
          <w:color w:val="auto"/>
          <w:highlight w:val="none"/>
        </w:rPr>
        <w:t>13.2.1项目安装、调试并投入试运行后30个工作日内,乙方向甲方提供合法足额的增值税专用发票，甲方向乙方支付合同总额的60％，即元（大写：      元整 ）。</w:t>
      </w:r>
    </w:p>
    <w:p w14:paraId="15AB03E5">
      <w:pPr>
        <w:ind w:firstLine="420"/>
        <w:rPr>
          <w:color w:val="auto"/>
          <w:highlight w:val="none"/>
        </w:rPr>
      </w:pPr>
      <w:r>
        <w:rPr>
          <w:rFonts w:hint="eastAsia"/>
          <w:color w:val="auto"/>
          <w:highlight w:val="none"/>
        </w:rPr>
        <w:t>13.2.2项目正式验收合格后30个工作日内, 甲方依据附件五《服务水平协议（SLA）》对乙方服务质量作出评价，评价合格后，乙方向甲方提供合法足额的增值税专用发票，甲方向乙方支付合同总价的30％，即元（大写：          元整 ），否则按《服务水平协议（SLA）》进行相应金额扣除。</w:t>
      </w:r>
    </w:p>
    <w:p w14:paraId="6DB0CD7B">
      <w:pPr>
        <w:ind w:firstLine="420"/>
        <w:rPr>
          <w:color w:val="auto"/>
          <w:highlight w:val="none"/>
        </w:rPr>
      </w:pPr>
      <w:r>
        <w:rPr>
          <w:rFonts w:hint="eastAsia"/>
          <w:color w:val="auto"/>
          <w:highlight w:val="none"/>
        </w:rPr>
        <w:t>13.2.3本合同</w:t>
      </w:r>
      <w:r>
        <w:rPr>
          <w:color w:val="auto"/>
          <w:highlight w:val="none"/>
        </w:rPr>
        <w:t>第</w:t>
      </w:r>
      <w:r>
        <w:rPr>
          <w:rFonts w:hint="eastAsia"/>
          <w:color w:val="auto"/>
          <w:highlight w:val="none"/>
        </w:rPr>
        <w:t>6.1条</w:t>
      </w:r>
      <w:r>
        <w:rPr>
          <w:color w:val="auto"/>
          <w:highlight w:val="none"/>
        </w:rPr>
        <w:t>约定的</w:t>
      </w:r>
      <w:r>
        <w:rPr>
          <w:rFonts w:hint="eastAsia"/>
          <w:color w:val="auto"/>
          <w:highlight w:val="none"/>
        </w:rPr>
        <w:t>维护到期后30个工作日内，甲方依据附件五《服务水平协议（SLA）》对乙方服务质量作出评价，评价合格后，乙方向甲方提供合法足额的增值税专用发票，甲方向乙方支付合同总额的全部余款，即元（大写：      元整 ），否则按《服务水平协议（SLA）》进行相应金额扣除（13.2.2中已扣除部分，本条不重复扣减）。</w:t>
      </w:r>
    </w:p>
    <w:p w14:paraId="72647CDC">
      <w:pPr>
        <w:ind w:firstLine="420"/>
        <w:rPr>
          <w:color w:val="auto"/>
          <w:highlight w:val="none"/>
        </w:rPr>
      </w:pPr>
      <w:r>
        <w:rPr>
          <w:rFonts w:hint="eastAsia"/>
          <w:color w:val="auto"/>
          <w:highlight w:val="none"/>
        </w:rPr>
        <w:t>13.3发票要求：</w:t>
      </w:r>
    </w:p>
    <w:p w14:paraId="31F330F7">
      <w:pPr>
        <w:ind w:firstLine="420"/>
        <w:rPr>
          <w:color w:val="auto"/>
          <w:highlight w:val="none"/>
        </w:rPr>
      </w:pPr>
      <w:r>
        <w:rPr>
          <w:rFonts w:hint="eastAsia"/>
          <w:color w:val="auto"/>
          <w:highlight w:val="none"/>
        </w:rPr>
        <w:t>乙方须严格按照合同内容开具税率为</w:t>
      </w:r>
      <w:r>
        <w:rPr>
          <w:color w:val="auto"/>
          <w:highlight w:val="none"/>
        </w:rPr>
        <w:t>13%</w:t>
      </w:r>
      <w:r>
        <w:rPr>
          <w:rFonts w:hint="eastAsia"/>
          <w:color w:val="auto"/>
          <w:highlight w:val="none"/>
        </w:rPr>
        <w:t>的增值税专用发票（若遇国家税率调整另议），乙方在甲方每次付款前</w:t>
      </w:r>
      <w:r>
        <w:rPr>
          <w:color w:val="auto"/>
          <w:highlight w:val="none"/>
        </w:rPr>
        <w:t>30</w:t>
      </w:r>
      <w:r>
        <w:rPr>
          <w:rFonts w:hint="eastAsia"/>
          <w:color w:val="auto"/>
          <w:highlight w:val="none"/>
        </w:rPr>
        <w:t>个工作日需向甲方交付合法足额发票，否则甲方有权拒绝支付任何费用且不承担逾期付款违约责任。</w:t>
      </w:r>
    </w:p>
    <w:p w14:paraId="226095A3">
      <w:pPr>
        <w:ind w:firstLine="420"/>
        <w:rPr>
          <w:color w:val="auto"/>
          <w:highlight w:val="none"/>
        </w:rPr>
      </w:pPr>
    </w:p>
    <w:p w14:paraId="3A76F8A7">
      <w:pPr>
        <w:pStyle w:val="4"/>
        <w:rPr>
          <w:color w:val="auto"/>
          <w:highlight w:val="none"/>
        </w:rPr>
      </w:pPr>
      <w:bookmarkStart w:id="273" w:name="_Toc84948038"/>
      <w:r>
        <w:rPr>
          <w:rFonts w:hint="eastAsia"/>
          <w:color w:val="auto"/>
          <w:highlight w:val="none"/>
        </w:rPr>
        <w:t>第十四条 风险责任的承担</w:t>
      </w:r>
      <w:bookmarkEnd w:id="273"/>
    </w:p>
    <w:p w14:paraId="31F641C4">
      <w:pPr>
        <w:ind w:firstLine="420"/>
        <w:rPr>
          <w:color w:val="auto"/>
          <w:highlight w:val="none"/>
        </w:rPr>
      </w:pPr>
      <w:r>
        <w:rPr>
          <w:rFonts w:hint="eastAsia"/>
          <w:color w:val="auto"/>
          <w:highlight w:val="none"/>
        </w:rPr>
        <w:t>14.1</w:t>
      </w:r>
      <w:r>
        <w:rPr>
          <w:color w:val="auto"/>
          <w:highlight w:val="none"/>
        </w:rPr>
        <w:t xml:space="preserve"> </w:t>
      </w:r>
      <w:r>
        <w:rPr>
          <w:rFonts w:hint="eastAsia"/>
          <w:color w:val="auto"/>
          <w:highlight w:val="none"/>
        </w:rPr>
        <w:t>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BCDFB70">
      <w:pPr>
        <w:ind w:firstLine="420"/>
        <w:rPr>
          <w:color w:val="auto"/>
          <w:highlight w:val="none"/>
        </w:rPr>
      </w:pPr>
      <w:r>
        <w:rPr>
          <w:rFonts w:hint="eastAsia"/>
          <w:color w:val="auto"/>
          <w:highlight w:val="none"/>
        </w:rPr>
        <w:t>14.2</w:t>
      </w:r>
      <w:r>
        <w:rPr>
          <w:color w:val="auto"/>
          <w:highlight w:val="none"/>
        </w:rPr>
        <w:t xml:space="preserve"> </w:t>
      </w:r>
      <w:r>
        <w:rPr>
          <w:rFonts w:hint="eastAsia"/>
          <w:color w:val="auto"/>
          <w:highlight w:val="none"/>
        </w:rPr>
        <w:t>乙方发现可能导致实施项目失败或者部分失败的情况时，应当及时通知甲方并采取适当措施减少损失；乙方没有及时通知甲方并采取适当措施致使损失扩大的，应当就扩大的损失承担责任。</w:t>
      </w:r>
    </w:p>
    <w:p w14:paraId="5D1F40C4">
      <w:pPr>
        <w:ind w:firstLine="420"/>
        <w:rPr>
          <w:color w:val="auto"/>
          <w:highlight w:val="none"/>
        </w:rPr>
      </w:pPr>
      <w:r>
        <w:rPr>
          <w:rFonts w:hint="eastAsia"/>
          <w:color w:val="auto"/>
          <w:highlight w:val="none"/>
        </w:rPr>
        <w:t>14.3</w:t>
      </w:r>
      <w:r>
        <w:rPr>
          <w:color w:val="auto"/>
          <w:highlight w:val="none"/>
        </w:rPr>
        <w:t xml:space="preserve"> </w:t>
      </w:r>
      <w:r>
        <w:rPr>
          <w:rFonts w:hint="eastAsia"/>
          <w:color w:val="auto"/>
          <w:highlight w:val="none"/>
        </w:rPr>
        <w:t>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4178240">
      <w:pPr>
        <w:ind w:firstLine="420"/>
        <w:rPr>
          <w:color w:val="auto"/>
          <w:highlight w:val="none"/>
        </w:rPr>
      </w:pPr>
    </w:p>
    <w:p w14:paraId="76B9F189">
      <w:pPr>
        <w:pStyle w:val="4"/>
        <w:rPr>
          <w:color w:val="auto"/>
          <w:highlight w:val="none"/>
        </w:rPr>
      </w:pPr>
      <w:bookmarkStart w:id="274" w:name="_Toc84948039"/>
      <w:r>
        <w:rPr>
          <w:rFonts w:hint="eastAsia"/>
          <w:color w:val="auto"/>
          <w:highlight w:val="none"/>
        </w:rPr>
        <w:t>第十五条</w:t>
      </w:r>
      <w:bookmarkStart w:id="275" w:name="_Toc58337511"/>
      <w:r>
        <w:rPr>
          <w:rFonts w:hint="eastAsia"/>
          <w:color w:val="auto"/>
          <w:highlight w:val="none"/>
        </w:rPr>
        <w:t xml:space="preserve"> 违约与赔偿</w:t>
      </w:r>
      <w:bookmarkEnd w:id="274"/>
      <w:bookmarkEnd w:id="275"/>
    </w:p>
    <w:p w14:paraId="1AA87CBF">
      <w:pPr>
        <w:ind w:firstLine="420"/>
        <w:rPr>
          <w:color w:val="auto"/>
          <w:highlight w:val="none"/>
        </w:rPr>
      </w:pPr>
      <w:r>
        <w:rPr>
          <w:rFonts w:hint="eastAsia"/>
          <w:color w:val="auto"/>
          <w:highlight w:val="none"/>
        </w:rPr>
        <w:t>15.1因甲方原因未按本合同规定支付第一期款项</w:t>
      </w:r>
      <w:r>
        <w:rPr>
          <w:color w:val="auto"/>
          <w:highlight w:val="none"/>
        </w:rPr>
        <w:t>，且经乙方合理催告后，仍无正当理由并逾期支付达【</w:t>
      </w:r>
      <w:r>
        <w:rPr>
          <w:rFonts w:hint="eastAsia"/>
          <w:color w:val="auto"/>
          <w:highlight w:val="none"/>
        </w:rPr>
        <w:t>30</w:t>
      </w:r>
      <w:r>
        <w:rPr>
          <w:color w:val="auto"/>
          <w:highlight w:val="none"/>
        </w:rPr>
        <w:t>】</w:t>
      </w:r>
      <w:r>
        <w:rPr>
          <w:rFonts w:hint="eastAsia"/>
          <w:color w:val="auto"/>
          <w:highlight w:val="none"/>
        </w:rPr>
        <w:t>个工作</w:t>
      </w:r>
      <w:r>
        <w:rPr>
          <w:color w:val="auto"/>
          <w:highlight w:val="none"/>
        </w:rPr>
        <w:t>日以上的</w:t>
      </w:r>
      <w:r>
        <w:rPr>
          <w:rFonts w:hint="eastAsia"/>
          <w:color w:val="auto"/>
          <w:highlight w:val="none"/>
        </w:rPr>
        <w:t>，乙方有权解除合同。</w:t>
      </w:r>
    </w:p>
    <w:p w14:paraId="01F1A26C">
      <w:pPr>
        <w:ind w:firstLine="420"/>
        <w:rPr>
          <w:color w:val="auto"/>
          <w:highlight w:val="none"/>
        </w:rPr>
      </w:pPr>
      <w:r>
        <w:rPr>
          <w:rFonts w:hint="eastAsia"/>
          <w:color w:val="auto"/>
          <w:highlight w:val="none"/>
        </w:rPr>
        <w:t>15.2因甲方原因逾期支付第二期或第三期款项的，自逾期一个月后的第二天起，每逾期一天支付应付逾期付款金额的万分之五的违约金，违约金总额不超过应付款额的20%。</w:t>
      </w:r>
    </w:p>
    <w:p w14:paraId="4387450C">
      <w:pPr>
        <w:ind w:firstLine="420"/>
        <w:rPr>
          <w:color w:val="auto"/>
          <w:highlight w:val="none"/>
        </w:rPr>
      </w:pPr>
      <w:r>
        <w:rPr>
          <w:rFonts w:hint="eastAsia"/>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3D8BD3F2">
      <w:pPr>
        <w:ind w:firstLine="420"/>
        <w:rPr>
          <w:color w:val="auto"/>
          <w:highlight w:val="none"/>
        </w:rPr>
      </w:pPr>
      <w:r>
        <w:rPr>
          <w:rFonts w:hint="eastAsia"/>
          <w:color w:val="auto"/>
          <w:highlight w:val="none"/>
        </w:rPr>
        <w:t>15.4乙方应按本合同规定的研究开发进程完成开发项目。若因乙方自身原因未按时完成开发项目，则按照附件五《服务水平协议（SLA）》扣除延期违约金。</w:t>
      </w:r>
    </w:p>
    <w:p w14:paraId="1C370818">
      <w:pPr>
        <w:ind w:firstLine="420"/>
        <w:rPr>
          <w:color w:val="auto"/>
          <w:highlight w:val="none"/>
        </w:rPr>
      </w:pPr>
      <w:r>
        <w:rPr>
          <w:rFonts w:hint="eastAsia"/>
          <w:color w:val="auto"/>
          <w:highlight w:val="none"/>
        </w:rPr>
        <w:t>15.5乙方未能完成甲方委托的开发项目或开发成果不符合本合同约定的要求，乙方承担本合同总额20%的违约金，并返还甲方已支付的费用。</w:t>
      </w:r>
    </w:p>
    <w:p w14:paraId="4A765D28">
      <w:pPr>
        <w:ind w:firstLine="420"/>
        <w:rPr>
          <w:color w:val="auto"/>
          <w:highlight w:val="none"/>
        </w:rPr>
      </w:pPr>
      <w:r>
        <w:rPr>
          <w:rFonts w:hint="eastAsia"/>
          <w:color w:val="auto"/>
          <w:highlight w:val="none"/>
        </w:rPr>
        <w:t>15.6乙方将甲方支付的费用于履行合同以外的目的，甲方有权制止并要求其纠正。如因此造成本合同项目停滞、延误或失败的，乙方应当承担给甲方造成的损失赔偿责任。</w:t>
      </w:r>
    </w:p>
    <w:p w14:paraId="6315D494">
      <w:pPr>
        <w:ind w:firstLine="420"/>
        <w:rPr>
          <w:color w:val="auto"/>
          <w:highlight w:val="none"/>
        </w:rPr>
      </w:pPr>
      <w:r>
        <w:rPr>
          <w:rFonts w:hint="eastAsia"/>
          <w:color w:val="auto"/>
          <w:highlight w:val="none"/>
        </w:rPr>
        <w:t>15.7除本条、附件五《服务水平协议（SLA）》及</w:t>
      </w:r>
      <w:r>
        <w:rPr>
          <w:color w:val="auto"/>
          <w:highlight w:val="none"/>
        </w:rPr>
        <w:t>其他条款</w:t>
      </w:r>
      <w:r>
        <w:rPr>
          <w:rFonts w:hint="eastAsia"/>
          <w:color w:val="auto"/>
          <w:highlight w:val="none"/>
        </w:rPr>
        <w:t>另有约定外，乙方违反本合同任一条款的，应向甲方支付合同总额</w:t>
      </w:r>
      <w:r>
        <w:rPr>
          <w:color w:val="auto"/>
          <w:highlight w:val="none"/>
        </w:rPr>
        <w:t>5</w:t>
      </w:r>
      <w:r>
        <w:rPr>
          <w:rFonts w:hint="eastAsia"/>
          <w:color w:val="auto"/>
          <w:highlight w:val="none"/>
        </w:rPr>
        <w:t>%的违约金并赔偿甲方产生的损失。</w:t>
      </w:r>
    </w:p>
    <w:p w14:paraId="17F089F3">
      <w:pPr>
        <w:ind w:firstLine="420"/>
        <w:rPr>
          <w:color w:val="auto"/>
          <w:highlight w:val="none"/>
        </w:rPr>
      </w:pPr>
      <w:r>
        <w:rPr>
          <w:rFonts w:hint="eastAsia"/>
          <w:color w:val="auto"/>
          <w:highlight w:val="none"/>
        </w:rPr>
        <w:t>15.8本合同项下乙方应支付的违约金、赔偿金等，甲方均有权从应支付给乙方的款项中优先扣除，若有不足，乙方应另行筹措资金补足。</w:t>
      </w:r>
    </w:p>
    <w:p w14:paraId="6CD294A3">
      <w:pPr>
        <w:ind w:firstLine="420"/>
        <w:rPr>
          <w:color w:val="auto"/>
          <w:highlight w:val="none"/>
        </w:rPr>
      </w:pPr>
    </w:p>
    <w:p w14:paraId="2887BF40">
      <w:pPr>
        <w:pStyle w:val="4"/>
        <w:rPr>
          <w:color w:val="auto"/>
          <w:highlight w:val="none"/>
        </w:rPr>
      </w:pPr>
      <w:bookmarkStart w:id="276" w:name="_Toc84948040"/>
      <w:r>
        <w:rPr>
          <w:rFonts w:hint="eastAsia"/>
          <w:color w:val="auto"/>
          <w:highlight w:val="none"/>
        </w:rPr>
        <w:t>第十六条 合同的解除</w:t>
      </w:r>
      <w:bookmarkEnd w:id="276"/>
    </w:p>
    <w:p w14:paraId="32E086CF">
      <w:pPr>
        <w:ind w:firstLine="420"/>
        <w:rPr>
          <w:color w:val="auto"/>
          <w:highlight w:val="none"/>
        </w:rPr>
      </w:pPr>
      <w:r>
        <w:rPr>
          <w:rFonts w:hint="eastAsia"/>
          <w:color w:val="auto"/>
          <w:highlight w:val="none"/>
        </w:rPr>
        <w:t>16.1如果满足以下条件，任一方在通知对方后，都可以解除本合同。</w:t>
      </w:r>
    </w:p>
    <w:p w14:paraId="1172598D">
      <w:pPr>
        <w:ind w:firstLine="420"/>
        <w:rPr>
          <w:color w:val="auto"/>
          <w:highlight w:val="none"/>
        </w:rPr>
      </w:pPr>
      <w:r>
        <w:rPr>
          <w:rFonts w:hint="eastAsia"/>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E6B204E">
      <w:pPr>
        <w:ind w:firstLine="420"/>
        <w:rPr>
          <w:color w:val="auto"/>
          <w:highlight w:val="none"/>
        </w:rPr>
      </w:pPr>
      <w:r>
        <w:rPr>
          <w:rFonts w:hint="eastAsia"/>
          <w:color w:val="auto"/>
          <w:highlight w:val="none"/>
        </w:rPr>
        <w:t>（2）当一方按正常程序停止经营业务、破产、处于付款拖欠、延期偿付、公司重组或倒闭状况，或全部转让利润与债权人、书面承认无力偿还到期债务、委派清算人清算其业务或财产。</w:t>
      </w:r>
    </w:p>
    <w:p w14:paraId="1F1F9AE8">
      <w:pPr>
        <w:ind w:firstLine="420"/>
        <w:rPr>
          <w:color w:val="auto"/>
          <w:highlight w:val="none"/>
        </w:rPr>
      </w:pPr>
      <w:r>
        <w:rPr>
          <w:rFonts w:hint="eastAsia"/>
          <w:color w:val="auto"/>
          <w:highlight w:val="none"/>
        </w:rPr>
        <w:t>16.2除本合同约定的情形外，甲方若认为乙方无法胜任本合同项下工作的，有权随时通知乙方后解除本合同。甲方除据实与乙方结算费用外，不承担其他违约责任。</w:t>
      </w:r>
    </w:p>
    <w:p w14:paraId="0911BB78">
      <w:pPr>
        <w:ind w:firstLine="420"/>
        <w:rPr>
          <w:color w:val="auto"/>
          <w:highlight w:val="none"/>
        </w:rPr>
      </w:pPr>
      <w:r>
        <w:rPr>
          <w:rFonts w:hint="eastAsia"/>
          <w:color w:val="auto"/>
          <w:highlight w:val="none"/>
        </w:rPr>
        <w:t>16.3当本合同以任何原因解除</w:t>
      </w:r>
      <w:r>
        <w:rPr>
          <w:color w:val="auto"/>
          <w:highlight w:val="none"/>
        </w:rPr>
        <w:t>或</w:t>
      </w:r>
      <w:r>
        <w:rPr>
          <w:rFonts w:hint="eastAsia"/>
          <w:color w:val="auto"/>
          <w:highlight w:val="none"/>
        </w:rPr>
        <w:t>终止时，乙方应将本合同项下的过程文档、资料等全部交付给甲方，配合甲方完成知识转移，保证甲方能够继续开展工作；乙方应立即停止使用并删除</w:t>
      </w:r>
      <w:r>
        <w:rPr>
          <w:color w:val="auto"/>
          <w:highlight w:val="none"/>
        </w:rPr>
        <w:t>或</w:t>
      </w:r>
      <w:r>
        <w:rPr>
          <w:rFonts w:hint="eastAsia"/>
          <w:color w:val="auto"/>
          <w:highlight w:val="none"/>
        </w:rPr>
        <w:t>销毁包含甲方机密信息的所有物件，并证明该销毁情况；或者将这些物件归还给甲方。</w:t>
      </w:r>
    </w:p>
    <w:p w14:paraId="1A6D117A">
      <w:pPr>
        <w:ind w:firstLine="420"/>
        <w:rPr>
          <w:color w:val="auto"/>
          <w:highlight w:val="none"/>
        </w:rPr>
      </w:pPr>
    </w:p>
    <w:p w14:paraId="64EFA154">
      <w:pPr>
        <w:pStyle w:val="4"/>
        <w:rPr>
          <w:color w:val="auto"/>
          <w:highlight w:val="none"/>
        </w:rPr>
      </w:pPr>
      <w:bookmarkStart w:id="277" w:name="_Toc84948041"/>
      <w:r>
        <w:rPr>
          <w:rFonts w:hint="eastAsia"/>
          <w:color w:val="auto"/>
          <w:highlight w:val="none"/>
        </w:rPr>
        <w:t>第十七条 合同变更及转让</w:t>
      </w:r>
      <w:bookmarkEnd w:id="277"/>
    </w:p>
    <w:p w14:paraId="39C4E1A8">
      <w:pPr>
        <w:ind w:firstLine="420"/>
        <w:rPr>
          <w:color w:val="auto"/>
          <w:highlight w:val="none"/>
        </w:rPr>
      </w:pPr>
      <w:r>
        <w:rPr>
          <w:rFonts w:hint="eastAsia"/>
          <w:color w:val="auto"/>
          <w:highlight w:val="none"/>
        </w:rPr>
        <w:t>17.1对本合同及其附件的内容进行变更，必须经双方协商一致并签订补充协议，方能生效，本合同另有约定的除外。</w:t>
      </w:r>
    </w:p>
    <w:p w14:paraId="391BCF87">
      <w:pPr>
        <w:ind w:firstLine="420"/>
        <w:rPr>
          <w:color w:val="auto"/>
          <w:highlight w:val="none"/>
        </w:rPr>
      </w:pPr>
      <w:r>
        <w:rPr>
          <w:rFonts w:hint="eastAsia"/>
          <w:color w:val="auto"/>
          <w:highlight w:val="none"/>
        </w:rPr>
        <w:t>17.2本合同双方在未取得对方事先书面同意的前提下，均不得将各自本合同项下的任何权利或义务转让给第三方。</w:t>
      </w:r>
    </w:p>
    <w:p w14:paraId="66902659">
      <w:pPr>
        <w:ind w:firstLine="420"/>
        <w:rPr>
          <w:color w:val="auto"/>
          <w:highlight w:val="none"/>
        </w:rPr>
      </w:pPr>
    </w:p>
    <w:p w14:paraId="06D786A0">
      <w:pPr>
        <w:pStyle w:val="4"/>
        <w:rPr>
          <w:color w:val="auto"/>
          <w:highlight w:val="none"/>
        </w:rPr>
      </w:pPr>
      <w:bookmarkStart w:id="278" w:name="_Toc84948042"/>
      <w:r>
        <w:rPr>
          <w:rFonts w:hint="eastAsia"/>
          <w:color w:val="auto"/>
          <w:highlight w:val="none"/>
        </w:rPr>
        <w:t>第十八条 争议解决</w:t>
      </w:r>
      <w:bookmarkEnd w:id="278"/>
    </w:p>
    <w:p w14:paraId="24A05164">
      <w:pPr>
        <w:ind w:firstLine="420"/>
        <w:rPr>
          <w:color w:val="auto"/>
          <w:highlight w:val="none"/>
        </w:rPr>
      </w:pPr>
      <w:r>
        <w:rPr>
          <w:rFonts w:hint="eastAsia"/>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color w:val="auto"/>
          <w:highlight w:val="none"/>
        </w:rPr>
        <w:t>委员会按照该会届时有效的仲裁规则</w:t>
      </w:r>
      <w:r>
        <w:rPr>
          <w:rFonts w:hint="eastAsia"/>
          <w:color w:val="auto"/>
          <w:highlight w:val="none"/>
        </w:rPr>
        <w:t>申请</w:t>
      </w:r>
      <w:r>
        <w:rPr>
          <w:color w:val="auto"/>
          <w:highlight w:val="none"/>
        </w:rPr>
        <w:t>仲裁，仲裁裁决是终局性的，对双方均有约束力</w:t>
      </w:r>
      <w:r>
        <w:rPr>
          <w:rFonts w:hint="eastAsia"/>
          <w:color w:val="auto"/>
          <w:highlight w:val="none"/>
        </w:rPr>
        <w:t>。</w:t>
      </w:r>
    </w:p>
    <w:p w14:paraId="6C36420C">
      <w:pPr>
        <w:ind w:firstLine="420"/>
        <w:rPr>
          <w:color w:val="auto"/>
          <w:highlight w:val="none"/>
        </w:rPr>
      </w:pPr>
    </w:p>
    <w:p w14:paraId="32975FD2">
      <w:pPr>
        <w:pStyle w:val="4"/>
        <w:rPr>
          <w:color w:val="auto"/>
          <w:highlight w:val="none"/>
        </w:rPr>
      </w:pPr>
      <w:bookmarkStart w:id="279" w:name="_Toc84948043"/>
      <w:r>
        <w:rPr>
          <w:rFonts w:hint="eastAsia"/>
          <w:color w:val="auto"/>
          <w:highlight w:val="none"/>
        </w:rPr>
        <w:t>第十九条 通知与送达</w:t>
      </w:r>
      <w:bookmarkEnd w:id="279"/>
    </w:p>
    <w:p w14:paraId="6D32D8F2">
      <w:pPr>
        <w:ind w:firstLine="420"/>
        <w:rPr>
          <w:color w:val="auto"/>
          <w:highlight w:val="none"/>
        </w:rPr>
      </w:pPr>
      <w:r>
        <w:rPr>
          <w:rFonts w:hint="eastAsia"/>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5312D7C">
      <w:pPr>
        <w:ind w:firstLine="420"/>
        <w:rPr>
          <w:color w:val="auto"/>
          <w:highlight w:val="none"/>
        </w:rPr>
      </w:pPr>
      <w:r>
        <w:rPr>
          <w:rFonts w:hint="eastAsia"/>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5A8557F">
      <w:pPr>
        <w:ind w:firstLine="420"/>
        <w:rPr>
          <w:color w:val="auto"/>
          <w:highlight w:val="none"/>
        </w:rPr>
      </w:pPr>
    </w:p>
    <w:p w14:paraId="24A505E6">
      <w:pPr>
        <w:pStyle w:val="4"/>
        <w:rPr>
          <w:color w:val="auto"/>
          <w:highlight w:val="none"/>
        </w:rPr>
      </w:pPr>
      <w:bookmarkStart w:id="280" w:name="_Toc84948044"/>
      <w:r>
        <w:rPr>
          <w:rFonts w:hint="eastAsia"/>
          <w:color w:val="auto"/>
          <w:highlight w:val="none"/>
        </w:rPr>
        <w:t>第二十条 合同生效</w:t>
      </w:r>
      <w:bookmarkEnd w:id="280"/>
    </w:p>
    <w:p w14:paraId="59B03F79">
      <w:pPr>
        <w:ind w:firstLine="420"/>
        <w:rPr>
          <w:color w:val="auto"/>
          <w:highlight w:val="none"/>
        </w:rPr>
      </w:pPr>
      <w:r>
        <w:rPr>
          <w:rFonts w:hint="eastAsia"/>
          <w:color w:val="auto"/>
          <w:highlight w:val="none"/>
        </w:rPr>
        <w:t>本合同自下列条件全部满足之日起生效：</w:t>
      </w:r>
    </w:p>
    <w:p w14:paraId="52FCF0D2">
      <w:pPr>
        <w:ind w:firstLine="420"/>
        <w:rPr>
          <w:color w:val="auto"/>
          <w:highlight w:val="none"/>
        </w:rPr>
      </w:pPr>
      <w:r>
        <w:rPr>
          <w:rFonts w:hint="eastAsia"/>
          <w:color w:val="auto"/>
          <w:highlight w:val="none"/>
        </w:rPr>
        <w:t>双方对本合同及其全部附件内容达成一致并加盖公章。</w:t>
      </w:r>
    </w:p>
    <w:p w14:paraId="42D15077">
      <w:pPr>
        <w:ind w:firstLine="420"/>
        <w:rPr>
          <w:color w:val="auto"/>
          <w:highlight w:val="none"/>
        </w:rPr>
      </w:pPr>
    </w:p>
    <w:p w14:paraId="69D18AB6">
      <w:pPr>
        <w:pStyle w:val="4"/>
        <w:rPr>
          <w:color w:val="auto"/>
          <w:highlight w:val="none"/>
        </w:rPr>
      </w:pPr>
      <w:bookmarkStart w:id="281" w:name="_Toc84948045"/>
      <w:r>
        <w:rPr>
          <w:rFonts w:hint="eastAsia"/>
          <w:color w:val="auto"/>
          <w:highlight w:val="none"/>
        </w:rPr>
        <w:t>第二十一条 不可抗力</w:t>
      </w:r>
      <w:bookmarkEnd w:id="281"/>
    </w:p>
    <w:p w14:paraId="4FFA37F8">
      <w:pPr>
        <w:ind w:firstLine="420"/>
        <w:rPr>
          <w:color w:val="auto"/>
          <w:highlight w:val="none"/>
        </w:rPr>
      </w:pPr>
      <w:r>
        <w:rPr>
          <w:rFonts w:hint="eastAsia"/>
          <w:color w:val="auto"/>
          <w:highlight w:val="none"/>
        </w:rPr>
        <w:t>21.1不可抗力是指本合同生效后，发生不能预见并且对其发生和后果不能防止或避免的事件，如地震、台风、水灾、火灾、战争、传染病等，致使直接影响本合同的履行或不能按约定的条件履行。</w:t>
      </w:r>
    </w:p>
    <w:p w14:paraId="3D301E09">
      <w:pPr>
        <w:ind w:firstLine="420"/>
        <w:rPr>
          <w:color w:val="auto"/>
          <w:highlight w:val="none"/>
        </w:rPr>
      </w:pPr>
      <w:r>
        <w:rPr>
          <w:rFonts w:hint="eastAsia"/>
          <w:color w:val="auto"/>
          <w:highlight w:val="none"/>
        </w:rPr>
        <w:t>21.2发生不可抗力的一方应立即通知对方，并在十五天内提供不可抗力的详情及将有关证明文件送交对方。</w:t>
      </w:r>
    </w:p>
    <w:p w14:paraId="23AC2A6C">
      <w:pPr>
        <w:ind w:firstLine="420"/>
        <w:rPr>
          <w:color w:val="auto"/>
          <w:highlight w:val="none"/>
        </w:rPr>
      </w:pPr>
      <w:r>
        <w:rPr>
          <w:rFonts w:hint="eastAsia"/>
          <w:color w:val="auto"/>
          <w:highlight w:val="none"/>
        </w:rPr>
        <w:t>21.3发生不可抗力事件时，甲乙双方应协商以寻找一个合理的解决方法，并尽一切努力减轻不可抗力产生的后果。</w:t>
      </w:r>
    </w:p>
    <w:p w14:paraId="2562BC62">
      <w:pPr>
        <w:ind w:firstLine="420"/>
        <w:rPr>
          <w:color w:val="auto"/>
          <w:highlight w:val="none"/>
        </w:rPr>
      </w:pPr>
      <w:r>
        <w:rPr>
          <w:rFonts w:hint="eastAsia"/>
          <w:color w:val="auto"/>
          <w:highlight w:val="none"/>
        </w:rPr>
        <w:t>21.4如不可抗力事件持续三十天时，甲乙双方应友好协商解决本合同是否继续履行或终止的问题。</w:t>
      </w:r>
    </w:p>
    <w:p w14:paraId="6D129436">
      <w:pPr>
        <w:ind w:firstLine="420"/>
        <w:rPr>
          <w:color w:val="auto"/>
          <w:highlight w:val="none"/>
        </w:rPr>
      </w:pPr>
    </w:p>
    <w:p w14:paraId="241AB337">
      <w:pPr>
        <w:pStyle w:val="4"/>
        <w:rPr>
          <w:color w:val="auto"/>
          <w:highlight w:val="none"/>
        </w:rPr>
      </w:pPr>
      <w:bookmarkStart w:id="282" w:name="_Toc84948046"/>
      <w:r>
        <w:rPr>
          <w:rFonts w:hint="eastAsia"/>
          <w:color w:val="auto"/>
          <w:highlight w:val="none"/>
        </w:rPr>
        <w:t>第二十二条 反商业贿赂</w:t>
      </w:r>
      <w:bookmarkEnd w:id="282"/>
    </w:p>
    <w:p w14:paraId="765D53CF">
      <w:pPr>
        <w:ind w:firstLine="420"/>
        <w:rPr>
          <w:color w:val="auto"/>
          <w:highlight w:val="none"/>
        </w:rPr>
      </w:pPr>
      <w:r>
        <w:rPr>
          <w:rFonts w:hint="eastAsia"/>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0C9AF2B">
      <w:pPr>
        <w:ind w:firstLine="420"/>
        <w:rPr>
          <w:color w:val="auto"/>
          <w:highlight w:val="none"/>
        </w:rPr>
      </w:pPr>
    </w:p>
    <w:p w14:paraId="0FE0CD17">
      <w:pPr>
        <w:pStyle w:val="4"/>
        <w:rPr>
          <w:color w:val="auto"/>
          <w:highlight w:val="none"/>
        </w:rPr>
      </w:pPr>
      <w:bookmarkStart w:id="283" w:name="_Toc84948047"/>
      <w:r>
        <w:rPr>
          <w:rFonts w:hint="eastAsia"/>
          <w:color w:val="auto"/>
          <w:highlight w:val="none"/>
        </w:rPr>
        <w:t>第二十三条 附件</w:t>
      </w:r>
      <w:bookmarkEnd w:id="283"/>
    </w:p>
    <w:p w14:paraId="4AFD243B">
      <w:pPr>
        <w:ind w:firstLine="420"/>
        <w:rPr>
          <w:color w:val="auto"/>
          <w:highlight w:val="none"/>
        </w:rPr>
      </w:pPr>
      <w:r>
        <w:rPr>
          <w:rFonts w:hint="eastAsia"/>
          <w:color w:val="auto"/>
          <w:highlight w:val="none"/>
        </w:rPr>
        <w:t>本合同的附件与合同正本具有同等法律效力，主合同与附件如有冲突，以主合同为准。本合同附件如下：</w:t>
      </w:r>
    </w:p>
    <w:p w14:paraId="47C7A35D">
      <w:pPr>
        <w:ind w:firstLine="420"/>
        <w:rPr>
          <w:color w:val="auto"/>
          <w:highlight w:val="none"/>
        </w:rPr>
      </w:pPr>
      <w:r>
        <w:rPr>
          <w:rFonts w:hint="eastAsia"/>
          <w:color w:val="auto"/>
          <w:highlight w:val="none"/>
        </w:rPr>
        <w:t>附件一：工作（需求）说明书</w:t>
      </w:r>
    </w:p>
    <w:p w14:paraId="693E7C60">
      <w:pPr>
        <w:ind w:firstLine="420"/>
        <w:rPr>
          <w:color w:val="auto"/>
          <w:highlight w:val="none"/>
        </w:rPr>
      </w:pPr>
      <w:r>
        <w:rPr>
          <w:rFonts w:hint="eastAsia"/>
          <w:color w:val="auto"/>
          <w:highlight w:val="none"/>
        </w:rPr>
        <w:t>附件二：项目人员名单及人员应急退出机制</w:t>
      </w:r>
    </w:p>
    <w:p w14:paraId="7D308AE7">
      <w:pPr>
        <w:ind w:firstLine="420"/>
        <w:rPr>
          <w:color w:val="auto"/>
          <w:highlight w:val="none"/>
        </w:rPr>
      </w:pPr>
      <w:r>
        <w:rPr>
          <w:rFonts w:hint="eastAsia"/>
          <w:color w:val="auto"/>
          <w:highlight w:val="none"/>
        </w:rPr>
        <w:t>附件三：验收标准及流程</w:t>
      </w:r>
    </w:p>
    <w:p w14:paraId="30078BE2">
      <w:pPr>
        <w:ind w:firstLine="420"/>
        <w:rPr>
          <w:color w:val="auto"/>
          <w:highlight w:val="none"/>
        </w:rPr>
      </w:pPr>
      <w:r>
        <w:rPr>
          <w:rFonts w:hint="eastAsia"/>
          <w:color w:val="auto"/>
          <w:highlight w:val="none"/>
        </w:rPr>
        <w:t>附件四：维护服务条款</w:t>
      </w:r>
    </w:p>
    <w:p w14:paraId="2E0A0793">
      <w:pPr>
        <w:ind w:firstLine="420"/>
        <w:rPr>
          <w:color w:val="auto"/>
          <w:highlight w:val="none"/>
        </w:rPr>
      </w:pPr>
      <w:r>
        <w:rPr>
          <w:rFonts w:hint="eastAsia"/>
          <w:color w:val="auto"/>
          <w:highlight w:val="none"/>
        </w:rPr>
        <w:t>附件五：服务水平协议（SLA）</w:t>
      </w:r>
    </w:p>
    <w:p w14:paraId="71C0B8B5">
      <w:pPr>
        <w:ind w:firstLine="420"/>
        <w:rPr>
          <w:color w:val="auto"/>
          <w:highlight w:val="none"/>
        </w:rPr>
      </w:pPr>
      <w:r>
        <w:rPr>
          <w:rFonts w:hint="eastAsia"/>
          <w:color w:val="auto"/>
          <w:highlight w:val="none"/>
        </w:rPr>
        <w:t>附件六：服务连续性预案</w:t>
      </w:r>
    </w:p>
    <w:p w14:paraId="74A349E6">
      <w:pPr>
        <w:ind w:firstLine="420"/>
        <w:rPr>
          <w:color w:val="auto"/>
          <w:highlight w:val="none"/>
        </w:rPr>
      </w:pPr>
    </w:p>
    <w:p w14:paraId="325476BC">
      <w:pPr>
        <w:pStyle w:val="4"/>
        <w:rPr>
          <w:color w:val="auto"/>
          <w:highlight w:val="none"/>
        </w:rPr>
      </w:pPr>
      <w:bookmarkStart w:id="284" w:name="_Toc84948048"/>
      <w:r>
        <w:rPr>
          <w:rFonts w:hint="eastAsia"/>
          <w:color w:val="auto"/>
          <w:highlight w:val="none"/>
        </w:rPr>
        <w:t>第二十四条 其他</w:t>
      </w:r>
      <w:bookmarkEnd w:id="284"/>
    </w:p>
    <w:p w14:paraId="4E78439F">
      <w:pPr>
        <w:ind w:firstLine="420"/>
        <w:rPr>
          <w:color w:val="auto"/>
          <w:highlight w:val="none"/>
        </w:rPr>
      </w:pPr>
      <w:r>
        <w:rPr>
          <w:rFonts w:hint="eastAsia"/>
          <w:color w:val="auto"/>
          <w:highlight w:val="none"/>
        </w:rPr>
        <w:t>24.1除本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AF88692">
      <w:pPr>
        <w:ind w:firstLine="420"/>
        <w:rPr>
          <w:color w:val="auto"/>
          <w:highlight w:val="none"/>
        </w:rPr>
      </w:pPr>
      <w:r>
        <w:rPr>
          <w:rFonts w:hint="eastAsia"/>
          <w:color w:val="auto"/>
          <w:highlight w:val="none"/>
        </w:rPr>
        <w:t>24.2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1212EF1A">
      <w:pPr>
        <w:ind w:firstLine="420"/>
        <w:rPr>
          <w:color w:val="auto"/>
          <w:highlight w:val="none"/>
        </w:rPr>
      </w:pPr>
      <w:r>
        <w:rPr>
          <w:rFonts w:hint="eastAsia"/>
          <w:color w:val="auto"/>
          <w:highlight w:val="none"/>
        </w:rPr>
        <w:t>24.3本合同签订后，如需要就与合同执行有关的事项签订补充合同，应由双方加盖公章后，补充合同即生效。</w:t>
      </w:r>
      <w:r>
        <w:rPr>
          <w:color w:val="auto"/>
          <w:highlight w:val="none"/>
        </w:rPr>
        <w:t>本合同附件为本合同的组成部分，本</w:t>
      </w:r>
      <w:r>
        <w:rPr>
          <w:rFonts w:hint="eastAsia"/>
          <w:color w:val="auto"/>
          <w:highlight w:val="none"/>
        </w:rPr>
        <w:t>合同与附件如有冲突，以</w:t>
      </w:r>
      <w:r>
        <w:rPr>
          <w:color w:val="auto"/>
          <w:highlight w:val="none"/>
        </w:rPr>
        <w:t>本</w:t>
      </w:r>
      <w:r>
        <w:rPr>
          <w:rFonts w:hint="eastAsia"/>
          <w:color w:val="auto"/>
          <w:highlight w:val="none"/>
        </w:rPr>
        <w:t>合同为准。</w:t>
      </w:r>
    </w:p>
    <w:p w14:paraId="3A0AF1F7">
      <w:pPr>
        <w:ind w:firstLine="420"/>
        <w:rPr>
          <w:color w:val="auto"/>
          <w:highlight w:val="none"/>
        </w:rPr>
      </w:pPr>
      <w:r>
        <w:rPr>
          <w:rFonts w:hint="eastAsia"/>
          <w:color w:val="auto"/>
          <w:highlight w:val="none"/>
        </w:rPr>
        <w:t>24.4本合同以中文版本为准，除非本合同明确规定或双方另有约定，为履行本合同的所有文件及信函均以中文书写。</w:t>
      </w:r>
    </w:p>
    <w:p w14:paraId="50034A35">
      <w:pPr>
        <w:ind w:firstLine="420"/>
        <w:rPr>
          <w:color w:val="auto"/>
          <w:highlight w:val="none"/>
        </w:rPr>
      </w:pPr>
      <w:r>
        <w:rPr>
          <w:rFonts w:hint="eastAsia"/>
          <w:color w:val="auto"/>
          <w:highlight w:val="none"/>
        </w:rPr>
        <w:t>24.5本合同一式肆份，甲方执贰份，乙方执贰份，每份具有同等法律效力。</w:t>
      </w:r>
    </w:p>
    <w:p w14:paraId="30091953">
      <w:pPr>
        <w:ind w:firstLine="422"/>
        <w:rPr>
          <w:b/>
          <w:bCs/>
          <w:color w:val="auto"/>
          <w:highlight w:val="none"/>
        </w:rPr>
      </w:pPr>
      <w:r>
        <w:rPr>
          <w:rFonts w:hint="eastAsia"/>
          <w:b/>
          <w:bCs/>
          <w:color w:val="auto"/>
          <w:highlight w:val="none"/>
        </w:rPr>
        <w:t>（以下无正文）</w:t>
      </w:r>
    </w:p>
    <w:p w14:paraId="20A8DBF1">
      <w:pPr>
        <w:ind w:firstLine="420"/>
        <w:rPr>
          <w:color w:val="auto"/>
          <w:highlight w:val="none"/>
        </w:rPr>
      </w:pPr>
    </w:p>
    <w:p w14:paraId="0F6B9ADD">
      <w:pPr>
        <w:ind w:firstLine="420"/>
        <w:rPr>
          <w:color w:val="auto"/>
          <w:highlight w:val="none"/>
        </w:rPr>
      </w:pPr>
    </w:p>
    <w:p w14:paraId="4098C36A">
      <w:pPr>
        <w:ind w:firstLine="420"/>
        <w:rPr>
          <w:color w:val="auto"/>
          <w:highlight w:val="none"/>
        </w:rPr>
      </w:pPr>
    </w:p>
    <w:p w14:paraId="1D1CFA57">
      <w:pPr>
        <w:ind w:firstLine="420"/>
        <w:rPr>
          <w:color w:val="auto"/>
          <w:highlight w:val="none"/>
        </w:rPr>
      </w:pPr>
      <w:r>
        <w:rPr>
          <w:rFonts w:hint="eastAsia"/>
          <w:color w:val="auto"/>
          <w:highlight w:val="none"/>
        </w:rPr>
        <w:t>甲方：重庆三峡银行股份有限公司（公章）</w:t>
      </w:r>
    </w:p>
    <w:p w14:paraId="7684B02A">
      <w:pPr>
        <w:ind w:firstLine="420"/>
        <w:rPr>
          <w:color w:val="auto"/>
          <w:highlight w:val="none"/>
        </w:rPr>
      </w:pPr>
    </w:p>
    <w:p w14:paraId="0AAB587F">
      <w:pPr>
        <w:ind w:firstLine="420"/>
        <w:rPr>
          <w:color w:val="auto"/>
          <w:highlight w:val="none"/>
        </w:rPr>
      </w:pPr>
    </w:p>
    <w:p w14:paraId="0717D9E5">
      <w:pPr>
        <w:ind w:firstLine="420"/>
        <w:rPr>
          <w:color w:val="auto"/>
          <w:highlight w:val="none"/>
        </w:rPr>
      </w:pPr>
    </w:p>
    <w:p w14:paraId="56A7DC55">
      <w:pPr>
        <w:ind w:firstLine="420"/>
        <w:rPr>
          <w:color w:val="auto"/>
          <w:highlight w:val="none"/>
        </w:rPr>
      </w:pPr>
      <w:r>
        <w:rPr>
          <w:rFonts w:hint="eastAsia"/>
          <w:color w:val="auto"/>
          <w:highlight w:val="none"/>
        </w:rPr>
        <w:t>乙方：X</w:t>
      </w:r>
      <w:r>
        <w:rPr>
          <w:color w:val="auto"/>
          <w:highlight w:val="none"/>
        </w:rPr>
        <w:t>XXXXXXXXXXXXXXX</w:t>
      </w:r>
      <w:r>
        <w:rPr>
          <w:rFonts w:hint="eastAsia"/>
          <w:color w:val="auto"/>
          <w:highlight w:val="none"/>
        </w:rPr>
        <w:t>公司（公章）</w:t>
      </w:r>
    </w:p>
    <w:p w14:paraId="59F5C5AF">
      <w:pPr>
        <w:ind w:firstLine="420"/>
        <w:rPr>
          <w:color w:val="auto"/>
          <w:highlight w:val="none"/>
        </w:rPr>
      </w:pPr>
    </w:p>
    <w:p w14:paraId="0EE7EC34">
      <w:pPr>
        <w:ind w:firstLine="420"/>
        <w:jc w:val="right"/>
        <w:rPr>
          <w:color w:val="auto"/>
          <w:highlight w:val="none"/>
        </w:rPr>
      </w:pPr>
      <w:r>
        <w:rPr>
          <w:rFonts w:hint="eastAsia"/>
          <w:color w:val="auto"/>
          <w:highlight w:val="none"/>
        </w:rPr>
        <w:t>日期：  年  月  日</w:t>
      </w:r>
    </w:p>
    <w:p w14:paraId="6FC09565">
      <w:pPr>
        <w:ind w:firstLine="420"/>
        <w:rPr>
          <w:color w:val="auto"/>
          <w:highlight w:val="none"/>
        </w:rPr>
      </w:pPr>
    </w:p>
    <w:p w14:paraId="57191CBC">
      <w:pPr>
        <w:ind w:firstLine="420"/>
        <w:rPr>
          <w:color w:val="auto"/>
          <w:highlight w:val="none"/>
        </w:rPr>
      </w:pPr>
    </w:p>
    <w:p w14:paraId="3101CE73">
      <w:pPr>
        <w:ind w:firstLine="420"/>
        <w:rPr>
          <w:color w:val="auto"/>
          <w:highlight w:val="none"/>
        </w:rPr>
      </w:pPr>
      <w:r>
        <w:rPr>
          <w:color w:val="auto"/>
          <w:highlight w:val="none"/>
        </w:rPr>
        <w:br w:type="page"/>
      </w:r>
    </w:p>
    <w:p w14:paraId="441B923F">
      <w:pPr>
        <w:pStyle w:val="4"/>
        <w:rPr>
          <w:color w:val="auto"/>
          <w:highlight w:val="none"/>
        </w:rPr>
      </w:pPr>
      <w:bookmarkStart w:id="285" w:name="_Toc16916"/>
      <w:bookmarkStart w:id="286" w:name="_Toc63757481"/>
      <w:bookmarkStart w:id="287" w:name="_Toc84948049"/>
      <w:bookmarkStart w:id="288" w:name="_Toc11394"/>
      <w:r>
        <w:rPr>
          <w:color w:val="auto"/>
          <w:highlight w:val="none"/>
        </w:rPr>
        <w:t>附件一：工作（需求）说明书</w:t>
      </w:r>
      <w:bookmarkEnd w:id="285"/>
      <w:bookmarkEnd w:id="286"/>
      <w:bookmarkEnd w:id="287"/>
    </w:p>
    <w:p w14:paraId="2EF69528">
      <w:pPr>
        <w:ind w:firstLine="420"/>
        <w:rPr>
          <w:color w:val="auto"/>
          <w:highlight w:val="none"/>
        </w:rPr>
      </w:pPr>
      <w:r>
        <w:rPr>
          <w:color w:val="auto"/>
          <w:highlight w:val="none"/>
        </w:rPr>
        <w:t>1、需求概述</w:t>
      </w:r>
    </w:p>
    <w:p w14:paraId="2948AD1D">
      <w:pPr>
        <w:ind w:firstLine="420"/>
        <w:rPr>
          <w:color w:val="auto"/>
          <w:highlight w:val="none"/>
        </w:rPr>
      </w:pPr>
      <w:r>
        <w:rPr>
          <w:rFonts w:hint="eastAsia"/>
          <w:color w:val="auto"/>
          <w:highlight w:val="none"/>
        </w:rPr>
        <w:t>为进一步提升行内应用系统的安全性，拓宽用户账户的登录、支付等认证方式，增强用户身份安全性认证，并实现信创建设目标，拟新建身份认证系统。</w:t>
      </w:r>
      <w:r>
        <w:rPr>
          <w:color w:val="auto"/>
          <w:highlight w:val="none"/>
        </w:rPr>
        <w:t>该系统应提供灵活多样的生物认证模式，如指纹、3D人脸等，并根据用户手机支持的生物模块类型应用于登录、小额支付等场景。系统需提供基于FIDO协议的身份认证功能，遵循FIDO定义的客户端、服务器端标准接口，并将密码运算、密钥等设置在终端设备安全环境TEE中完成。</w:t>
      </w:r>
    </w:p>
    <w:p w14:paraId="763FCE49">
      <w:pPr>
        <w:ind w:firstLine="420"/>
        <w:rPr>
          <w:color w:val="auto"/>
          <w:highlight w:val="none"/>
        </w:rPr>
      </w:pPr>
      <w:r>
        <w:rPr>
          <w:color w:val="auto"/>
          <w:highlight w:val="none"/>
        </w:rPr>
        <w:t>2、功能模块</w:t>
      </w:r>
    </w:p>
    <w:tbl>
      <w:tblPr>
        <w:tblStyle w:val="88"/>
        <w:tblW w:w="836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fixed"/>
        <w:tblCellMar>
          <w:top w:w="0" w:type="dxa"/>
          <w:left w:w="10" w:type="dxa"/>
          <w:bottom w:w="0" w:type="dxa"/>
          <w:right w:w="10" w:type="dxa"/>
        </w:tblCellMar>
      </w:tblPr>
      <w:tblGrid>
        <w:gridCol w:w="1843"/>
        <w:gridCol w:w="6521"/>
      </w:tblGrid>
      <w:tr w14:paraId="349B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427" w:hRule="atLeast"/>
        </w:trPr>
        <w:tc>
          <w:tcPr>
            <w:tcW w:w="1843" w:type="dxa"/>
            <w:shd w:val="clear" w:color="auto" w:fill="FFFFFF"/>
            <w:tcMar>
              <w:top w:w="80" w:type="dxa"/>
              <w:left w:w="80" w:type="dxa"/>
              <w:bottom w:w="80" w:type="dxa"/>
              <w:right w:w="80" w:type="dxa"/>
            </w:tcMar>
            <w:vAlign w:val="center"/>
          </w:tcPr>
          <w:p w14:paraId="36CB075E">
            <w:pPr>
              <w:pStyle w:val="111"/>
              <w:rPr>
                <w:color w:val="auto"/>
                <w:highlight w:val="none"/>
              </w:rPr>
            </w:pPr>
            <w:r>
              <w:rPr>
                <w:rFonts w:hint="eastAsia"/>
                <w:color w:val="auto"/>
                <w:highlight w:val="none"/>
              </w:rPr>
              <w:t>功能分类</w:t>
            </w:r>
          </w:p>
        </w:tc>
        <w:tc>
          <w:tcPr>
            <w:tcW w:w="6521" w:type="dxa"/>
            <w:shd w:val="clear" w:color="auto" w:fill="FFFFFF"/>
            <w:tcMar>
              <w:top w:w="80" w:type="dxa"/>
              <w:left w:w="80" w:type="dxa"/>
              <w:bottom w:w="80" w:type="dxa"/>
              <w:right w:w="80" w:type="dxa"/>
            </w:tcMar>
            <w:vAlign w:val="center"/>
          </w:tcPr>
          <w:p w14:paraId="7E7E916D">
            <w:pPr>
              <w:pStyle w:val="111"/>
              <w:rPr>
                <w:color w:val="auto"/>
                <w:highlight w:val="none"/>
              </w:rPr>
            </w:pPr>
            <w:r>
              <w:rPr>
                <w:rFonts w:hint="eastAsia"/>
                <w:color w:val="auto"/>
                <w:highlight w:val="none"/>
              </w:rPr>
              <w:t>关键指标</w:t>
            </w:r>
          </w:p>
        </w:tc>
      </w:tr>
      <w:tr w14:paraId="0A45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trPr>
        <w:tc>
          <w:tcPr>
            <w:tcW w:w="1843" w:type="dxa"/>
            <w:vMerge w:val="restart"/>
            <w:shd w:val="clear" w:color="auto" w:fill="FFFFFF"/>
            <w:tcMar>
              <w:top w:w="80" w:type="dxa"/>
              <w:left w:w="80" w:type="dxa"/>
              <w:bottom w:w="80" w:type="dxa"/>
              <w:right w:w="80" w:type="dxa"/>
            </w:tcMar>
            <w:vAlign w:val="center"/>
          </w:tcPr>
          <w:p w14:paraId="422BFA8A">
            <w:pPr>
              <w:pStyle w:val="110"/>
              <w:rPr>
                <w:color w:val="auto"/>
                <w:highlight w:val="none"/>
              </w:rPr>
            </w:pPr>
            <w:r>
              <w:rPr>
                <w:rFonts w:hint="eastAsia"/>
                <w:color w:val="auto"/>
                <w:highlight w:val="none"/>
              </w:rPr>
              <w:t>基础功能</w:t>
            </w:r>
          </w:p>
        </w:tc>
        <w:tc>
          <w:tcPr>
            <w:tcW w:w="6521" w:type="dxa"/>
            <w:shd w:val="clear" w:color="auto" w:fill="FFFFFF"/>
            <w:tcMar>
              <w:top w:w="80" w:type="dxa"/>
              <w:left w:w="80" w:type="dxa"/>
              <w:bottom w:w="80" w:type="dxa"/>
              <w:right w:w="80" w:type="dxa"/>
            </w:tcMar>
            <w:vAlign w:val="center"/>
          </w:tcPr>
          <w:p w14:paraId="60F429EF">
            <w:pPr>
              <w:pStyle w:val="110"/>
              <w:rPr>
                <w:color w:val="auto"/>
                <w:highlight w:val="none"/>
              </w:rPr>
            </w:pPr>
            <w:r>
              <w:rPr>
                <w:rFonts w:hint="eastAsia"/>
                <w:color w:val="auto"/>
                <w:highlight w:val="none"/>
              </w:rPr>
              <w:t>指纹登录功能</w:t>
            </w:r>
          </w:p>
        </w:tc>
      </w:tr>
      <w:tr w14:paraId="7BE9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 w:hRule="atLeast"/>
        </w:trPr>
        <w:tc>
          <w:tcPr>
            <w:tcW w:w="1843" w:type="dxa"/>
            <w:vMerge w:val="continue"/>
            <w:shd w:val="clear" w:color="auto" w:fill="FFFFFF"/>
          </w:tcPr>
          <w:p w14:paraId="352052C0">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176DBB5A">
            <w:pPr>
              <w:pStyle w:val="110"/>
              <w:rPr>
                <w:color w:val="auto"/>
                <w:highlight w:val="none"/>
              </w:rPr>
            </w:pPr>
            <w:r>
              <w:rPr>
                <w:rFonts w:hint="eastAsia"/>
                <w:color w:val="auto"/>
                <w:highlight w:val="none"/>
              </w:rPr>
              <w:t>3D人脸登录功能</w:t>
            </w:r>
          </w:p>
        </w:tc>
      </w:tr>
      <w:tr w14:paraId="6C9F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1843" w:type="dxa"/>
            <w:vMerge w:val="continue"/>
            <w:shd w:val="clear" w:color="auto" w:fill="FFFFFF"/>
          </w:tcPr>
          <w:p w14:paraId="178D6DEB">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63A0CDB0">
            <w:pPr>
              <w:pStyle w:val="110"/>
              <w:rPr>
                <w:color w:val="auto"/>
                <w:highlight w:val="none"/>
              </w:rPr>
            </w:pPr>
            <w:r>
              <w:rPr>
                <w:rFonts w:hint="eastAsia"/>
                <w:color w:val="auto"/>
                <w:highlight w:val="none"/>
              </w:rPr>
              <w:t>生物特征校验管理</w:t>
            </w:r>
          </w:p>
        </w:tc>
      </w:tr>
      <w:tr w14:paraId="2803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6" w:hRule="atLeast"/>
        </w:trPr>
        <w:tc>
          <w:tcPr>
            <w:tcW w:w="1843" w:type="dxa"/>
            <w:vMerge w:val="continue"/>
            <w:shd w:val="clear" w:color="auto" w:fill="FFFFFF"/>
          </w:tcPr>
          <w:p w14:paraId="394D73EA">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18312303">
            <w:pPr>
              <w:pStyle w:val="110"/>
              <w:rPr>
                <w:color w:val="auto"/>
                <w:highlight w:val="none"/>
              </w:rPr>
            </w:pPr>
            <w:r>
              <w:rPr>
                <w:rFonts w:hint="eastAsia"/>
                <w:color w:val="auto"/>
                <w:highlight w:val="none"/>
              </w:rPr>
              <w:t>指纹认证支付功能</w:t>
            </w:r>
          </w:p>
        </w:tc>
      </w:tr>
      <w:tr w14:paraId="139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2" w:hRule="atLeast"/>
        </w:trPr>
        <w:tc>
          <w:tcPr>
            <w:tcW w:w="1843" w:type="dxa"/>
            <w:vMerge w:val="continue"/>
            <w:shd w:val="clear" w:color="auto" w:fill="FFFFFF"/>
          </w:tcPr>
          <w:p w14:paraId="12769A07">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4B32C21B">
            <w:pPr>
              <w:pStyle w:val="110"/>
              <w:rPr>
                <w:color w:val="auto"/>
                <w:highlight w:val="none"/>
              </w:rPr>
            </w:pPr>
            <w:r>
              <w:rPr>
                <w:rFonts w:hint="eastAsia"/>
                <w:color w:val="auto"/>
                <w:highlight w:val="none"/>
              </w:rPr>
              <w:t>3D人脸认证支付功能</w:t>
            </w:r>
          </w:p>
        </w:tc>
      </w:tr>
      <w:tr w14:paraId="71F6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 w:hRule="atLeast"/>
        </w:trPr>
        <w:tc>
          <w:tcPr>
            <w:tcW w:w="1843" w:type="dxa"/>
            <w:vMerge w:val="continue"/>
            <w:shd w:val="clear" w:color="auto" w:fill="FFFFFF"/>
          </w:tcPr>
          <w:p w14:paraId="7F86D280">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7EFFEBDB">
            <w:pPr>
              <w:pStyle w:val="110"/>
              <w:rPr>
                <w:color w:val="auto"/>
                <w:highlight w:val="none"/>
              </w:rPr>
            </w:pPr>
            <w:r>
              <w:rPr>
                <w:rFonts w:hint="eastAsia"/>
                <w:color w:val="auto"/>
                <w:highlight w:val="none"/>
              </w:rPr>
              <w:t>多渠道接入支持</w:t>
            </w:r>
          </w:p>
        </w:tc>
      </w:tr>
      <w:tr w14:paraId="5CE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1" w:hRule="atLeast"/>
        </w:trPr>
        <w:tc>
          <w:tcPr>
            <w:tcW w:w="1843" w:type="dxa"/>
            <w:vMerge w:val="continue"/>
            <w:shd w:val="clear" w:color="auto" w:fill="FFFFFF"/>
          </w:tcPr>
          <w:p w14:paraId="6E4B0C74">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186AD7A0">
            <w:pPr>
              <w:pStyle w:val="110"/>
              <w:rPr>
                <w:color w:val="auto"/>
                <w:highlight w:val="none"/>
              </w:rPr>
            </w:pPr>
            <w:r>
              <w:rPr>
                <w:rFonts w:hint="eastAsia"/>
                <w:color w:val="auto"/>
                <w:highlight w:val="none"/>
              </w:rPr>
              <w:t>环境检测功能</w:t>
            </w:r>
          </w:p>
        </w:tc>
      </w:tr>
      <w:tr w14:paraId="79D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2" w:hRule="atLeast"/>
        </w:trPr>
        <w:tc>
          <w:tcPr>
            <w:tcW w:w="1843" w:type="dxa"/>
            <w:vMerge w:val="restart"/>
            <w:shd w:val="clear" w:color="auto" w:fill="FFFFFF"/>
            <w:tcMar>
              <w:top w:w="80" w:type="dxa"/>
              <w:left w:w="80" w:type="dxa"/>
              <w:bottom w:w="80" w:type="dxa"/>
              <w:right w:w="80" w:type="dxa"/>
            </w:tcMar>
            <w:vAlign w:val="center"/>
          </w:tcPr>
          <w:p w14:paraId="5C9EF442">
            <w:pPr>
              <w:pStyle w:val="110"/>
              <w:rPr>
                <w:color w:val="auto"/>
                <w:highlight w:val="none"/>
              </w:rPr>
            </w:pPr>
            <w:r>
              <w:rPr>
                <w:rFonts w:hint="eastAsia"/>
                <w:color w:val="auto"/>
                <w:highlight w:val="none"/>
              </w:rPr>
              <w:t>管理功能</w:t>
            </w:r>
          </w:p>
        </w:tc>
        <w:tc>
          <w:tcPr>
            <w:tcW w:w="6521" w:type="dxa"/>
            <w:shd w:val="clear" w:color="auto" w:fill="FFFFFF"/>
            <w:tcMar>
              <w:top w:w="80" w:type="dxa"/>
              <w:left w:w="80" w:type="dxa"/>
              <w:bottom w:w="80" w:type="dxa"/>
              <w:right w:w="80" w:type="dxa"/>
            </w:tcMar>
            <w:vAlign w:val="center"/>
          </w:tcPr>
          <w:p w14:paraId="739D002E">
            <w:pPr>
              <w:pStyle w:val="110"/>
              <w:rPr>
                <w:color w:val="auto"/>
                <w:highlight w:val="none"/>
              </w:rPr>
            </w:pPr>
            <w:r>
              <w:rPr>
                <w:rFonts w:hint="eastAsia"/>
                <w:color w:val="auto"/>
                <w:highlight w:val="none"/>
              </w:rPr>
              <w:t>用户注册信息统计</w:t>
            </w:r>
          </w:p>
        </w:tc>
      </w:tr>
      <w:tr w14:paraId="31C5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1" w:hRule="atLeast"/>
        </w:trPr>
        <w:tc>
          <w:tcPr>
            <w:tcW w:w="1843" w:type="dxa"/>
            <w:vMerge w:val="continue"/>
            <w:shd w:val="clear" w:color="auto" w:fill="FFFFFF"/>
          </w:tcPr>
          <w:p w14:paraId="71909E67">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7792FF99">
            <w:pPr>
              <w:pStyle w:val="110"/>
              <w:rPr>
                <w:color w:val="auto"/>
                <w:highlight w:val="none"/>
              </w:rPr>
            </w:pPr>
            <w:r>
              <w:rPr>
                <w:rFonts w:hint="eastAsia"/>
                <w:color w:val="auto"/>
                <w:highlight w:val="none"/>
              </w:rPr>
              <w:t>用户认证统计</w:t>
            </w:r>
          </w:p>
        </w:tc>
      </w:tr>
      <w:tr w14:paraId="38D1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atLeast"/>
        </w:trPr>
        <w:tc>
          <w:tcPr>
            <w:tcW w:w="1843" w:type="dxa"/>
            <w:vMerge w:val="continue"/>
            <w:shd w:val="clear" w:color="auto" w:fill="FFFFFF"/>
            <w:tcMar>
              <w:top w:w="80" w:type="dxa"/>
              <w:left w:w="80" w:type="dxa"/>
              <w:bottom w:w="80" w:type="dxa"/>
              <w:right w:w="80" w:type="dxa"/>
            </w:tcMar>
            <w:vAlign w:val="center"/>
          </w:tcPr>
          <w:p w14:paraId="1CB36100">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386FA611">
            <w:pPr>
              <w:pStyle w:val="110"/>
              <w:rPr>
                <w:color w:val="auto"/>
                <w:highlight w:val="none"/>
              </w:rPr>
            </w:pPr>
            <w:r>
              <w:rPr>
                <w:rFonts w:hint="eastAsia"/>
                <w:color w:val="auto"/>
                <w:highlight w:val="none"/>
              </w:rPr>
              <w:t>日志管理</w:t>
            </w:r>
          </w:p>
        </w:tc>
      </w:tr>
      <w:tr w14:paraId="3AE1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atLeast"/>
        </w:trPr>
        <w:tc>
          <w:tcPr>
            <w:tcW w:w="1843" w:type="dxa"/>
            <w:vMerge w:val="continue"/>
            <w:shd w:val="clear" w:color="auto" w:fill="FFFFFF"/>
          </w:tcPr>
          <w:p w14:paraId="1A674730">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7C650F2D">
            <w:pPr>
              <w:pStyle w:val="110"/>
              <w:rPr>
                <w:color w:val="auto"/>
                <w:highlight w:val="none"/>
              </w:rPr>
            </w:pPr>
            <w:r>
              <w:rPr>
                <w:rFonts w:hint="eastAsia"/>
                <w:color w:val="auto"/>
                <w:highlight w:val="none"/>
              </w:rPr>
              <w:t>安全策略管理</w:t>
            </w:r>
          </w:p>
        </w:tc>
      </w:tr>
      <w:tr w14:paraId="0248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 w:hRule="atLeast"/>
        </w:trPr>
        <w:tc>
          <w:tcPr>
            <w:tcW w:w="1843" w:type="dxa"/>
            <w:vMerge w:val="continue"/>
            <w:shd w:val="clear" w:color="auto" w:fill="FFFFFF"/>
          </w:tcPr>
          <w:p w14:paraId="2FA06086">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7D47231F">
            <w:pPr>
              <w:pStyle w:val="110"/>
              <w:rPr>
                <w:color w:val="auto"/>
                <w:highlight w:val="none"/>
              </w:rPr>
            </w:pPr>
            <w:r>
              <w:rPr>
                <w:rFonts w:hint="eastAsia"/>
                <w:color w:val="auto"/>
                <w:highlight w:val="none"/>
              </w:rPr>
              <w:t>渠道配置管理</w:t>
            </w:r>
          </w:p>
        </w:tc>
      </w:tr>
      <w:tr w14:paraId="6A0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843" w:type="dxa"/>
            <w:vMerge w:val="continue"/>
            <w:shd w:val="clear" w:color="auto" w:fill="FFFFFF"/>
            <w:tcMar>
              <w:top w:w="80" w:type="dxa"/>
              <w:left w:w="80" w:type="dxa"/>
              <w:bottom w:w="80" w:type="dxa"/>
              <w:right w:w="80" w:type="dxa"/>
            </w:tcMar>
            <w:vAlign w:val="center"/>
          </w:tcPr>
          <w:p w14:paraId="76ED75AB">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3D055209">
            <w:pPr>
              <w:pStyle w:val="110"/>
              <w:rPr>
                <w:color w:val="auto"/>
                <w:highlight w:val="none"/>
              </w:rPr>
            </w:pPr>
            <w:r>
              <w:rPr>
                <w:rFonts w:hint="eastAsia"/>
                <w:color w:val="auto"/>
                <w:highlight w:val="none"/>
              </w:rPr>
              <w:t>系统管理</w:t>
            </w:r>
          </w:p>
        </w:tc>
      </w:tr>
      <w:tr w14:paraId="0206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843" w:type="dxa"/>
            <w:vMerge w:val="continue"/>
            <w:shd w:val="clear" w:color="auto" w:fill="FFFFFF"/>
          </w:tcPr>
          <w:p w14:paraId="3054EC9D">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02B4BADE">
            <w:pPr>
              <w:pStyle w:val="110"/>
              <w:rPr>
                <w:color w:val="auto"/>
                <w:highlight w:val="none"/>
              </w:rPr>
            </w:pPr>
            <w:r>
              <w:rPr>
                <w:rFonts w:hint="eastAsia"/>
                <w:color w:val="auto"/>
                <w:highlight w:val="none"/>
              </w:rPr>
              <w:t>配置管理</w:t>
            </w:r>
          </w:p>
        </w:tc>
      </w:tr>
      <w:tr w14:paraId="229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843" w:type="dxa"/>
            <w:vMerge w:val="restart"/>
            <w:shd w:val="clear" w:color="auto" w:fill="FFFFFF"/>
            <w:vAlign w:val="center"/>
          </w:tcPr>
          <w:p w14:paraId="3DCD54A7">
            <w:pPr>
              <w:pStyle w:val="110"/>
              <w:rPr>
                <w:color w:val="auto"/>
                <w:highlight w:val="none"/>
              </w:rPr>
            </w:pPr>
            <w:r>
              <w:rPr>
                <w:rFonts w:hint="eastAsia"/>
                <w:color w:val="auto"/>
                <w:highlight w:val="none"/>
              </w:rPr>
              <w:t>兼容性</w:t>
            </w:r>
          </w:p>
        </w:tc>
        <w:tc>
          <w:tcPr>
            <w:tcW w:w="6521" w:type="dxa"/>
            <w:shd w:val="clear" w:color="auto" w:fill="FFFFFF"/>
            <w:tcMar>
              <w:top w:w="80" w:type="dxa"/>
              <w:left w:w="80" w:type="dxa"/>
              <w:bottom w:w="80" w:type="dxa"/>
              <w:right w:w="80" w:type="dxa"/>
            </w:tcMar>
            <w:vAlign w:val="center"/>
          </w:tcPr>
          <w:p w14:paraId="4CEA8014">
            <w:pPr>
              <w:pStyle w:val="110"/>
              <w:rPr>
                <w:color w:val="auto"/>
                <w:highlight w:val="none"/>
              </w:rPr>
            </w:pPr>
            <w:r>
              <w:rPr>
                <w:rFonts w:hint="eastAsia"/>
                <w:color w:val="auto"/>
                <w:highlight w:val="none"/>
              </w:rPr>
              <w:t>支持主流手机品牌如华为、苹果、小米、荣耀、VIVO、OPPO等。</w:t>
            </w:r>
          </w:p>
        </w:tc>
      </w:tr>
      <w:tr w14:paraId="1C96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rPr>
        <w:tc>
          <w:tcPr>
            <w:tcW w:w="1843" w:type="dxa"/>
            <w:vMerge w:val="continue"/>
            <w:shd w:val="clear" w:color="auto" w:fill="FFFFFF"/>
          </w:tcPr>
          <w:p w14:paraId="785B0DCD">
            <w:pPr>
              <w:pStyle w:val="110"/>
              <w:rPr>
                <w:color w:val="auto"/>
                <w:highlight w:val="none"/>
              </w:rPr>
            </w:pPr>
          </w:p>
        </w:tc>
        <w:tc>
          <w:tcPr>
            <w:tcW w:w="6521" w:type="dxa"/>
            <w:shd w:val="clear" w:color="auto" w:fill="FFFFFF"/>
            <w:tcMar>
              <w:top w:w="80" w:type="dxa"/>
              <w:left w:w="80" w:type="dxa"/>
              <w:bottom w:w="80" w:type="dxa"/>
              <w:right w:w="80" w:type="dxa"/>
            </w:tcMar>
            <w:vAlign w:val="center"/>
          </w:tcPr>
          <w:p w14:paraId="3576FD12">
            <w:pPr>
              <w:pStyle w:val="110"/>
              <w:rPr>
                <w:color w:val="auto"/>
                <w:highlight w:val="none"/>
              </w:rPr>
            </w:pPr>
            <w:r>
              <w:rPr>
                <w:rFonts w:hint="eastAsia"/>
                <w:color w:val="auto"/>
                <w:highlight w:val="none"/>
              </w:rPr>
              <w:t>支持Android、IOS、鸿蒙等操作系统，保持对操作版本升级兼容。</w:t>
            </w:r>
          </w:p>
        </w:tc>
      </w:tr>
    </w:tbl>
    <w:p w14:paraId="37DD2C22">
      <w:pPr>
        <w:ind w:firstLine="420"/>
        <w:rPr>
          <w:color w:val="auto"/>
          <w:highlight w:val="none"/>
        </w:rPr>
      </w:pPr>
      <w:r>
        <w:rPr>
          <w:color w:val="auto"/>
          <w:highlight w:val="none"/>
        </w:rPr>
        <w:t>3、认证流程</w:t>
      </w:r>
    </w:p>
    <w:p w14:paraId="4B823463">
      <w:pPr>
        <w:ind w:firstLine="420"/>
        <w:rPr>
          <w:color w:val="auto"/>
          <w:highlight w:val="none"/>
        </w:rPr>
      </w:pPr>
      <w:r>
        <w:rPr>
          <w:color w:val="auto"/>
          <w:highlight w:val="none"/>
        </w:rPr>
        <w:t>3.1、开通指纹支付示意</w:t>
      </w:r>
    </w:p>
    <w:p w14:paraId="4A36B34C">
      <w:pPr>
        <w:ind w:firstLine="420"/>
        <w:rPr>
          <w:color w:val="auto"/>
          <w:highlight w:val="none"/>
        </w:rPr>
      </w:pPr>
      <w:r>
        <w:rPr>
          <w:color w:val="auto"/>
          <w:highlight w:val="none"/>
        </w:rPr>
        <w:drawing>
          <wp:anchor distT="0" distB="0" distL="85090" distR="85090" simplePos="0" relativeHeight="251661312" behindDoc="0" locked="0" layoutInCell="1" allowOverlap="1">
            <wp:simplePos x="0" y="0"/>
            <wp:positionH relativeFrom="column">
              <wp:posOffset>120015</wp:posOffset>
            </wp:positionH>
            <wp:positionV relativeFrom="paragraph">
              <wp:posOffset>60960</wp:posOffset>
            </wp:positionV>
            <wp:extent cx="5046345" cy="2713990"/>
            <wp:effectExtent l="0" t="0" r="0" b="0"/>
            <wp:wrapTopAndBottom/>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11"/>
                    <a:stretch>
                      <a:fillRect/>
                    </a:stretch>
                  </pic:blipFill>
                  <pic:spPr>
                    <a:xfrm>
                      <a:off x="0" y="0"/>
                      <a:ext cx="5046568" cy="2714119"/>
                    </a:xfrm>
                    <a:prstGeom prst="rect">
                      <a:avLst/>
                    </a:prstGeom>
                    <a:noFill/>
                    <a:ln w="9525" cap="flat" cmpd="sng">
                      <a:noFill/>
                      <a:prstDash val="solid"/>
                      <a:miter/>
                    </a:ln>
                  </pic:spPr>
                </pic:pic>
              </a:graphicData>
            </a:graphic>
          </wp:anchor>
        </w:drawing>
      </w:r>
      <w:r>
        <w:rPr>
          <w:rFonts w:hint="eastAsia"/>
          <w:color w:val="auto"/>
          <w:highlight w:val="none"/>
        </w:rPr>
        <w:t>用户体验层：1、用户点击指纹支付开关后，提示交易密码、短信等验证；2、用户输入指纹；3、完成开通</w:t>
      </w:r>
      <w:r>
        <w:rPr>
          <w:color w:val="auto"/>
          <w:highlight w:val="none"/>
        </w:rPr>
        <w:t>。</w:t>
      </w:r>
    </w:p>
    <w:p w14:paraId="31911027">
      <w:pPr>
        <w:ind w:firstLine="420"/>
        <w:rPr>
          <w:color w:val="auto"/>
          <w:highlight w:val="none"/>
        </w:rPr>
      </w:pPr>
      <w:r>
        <w:rPr>
          <w:rFonts w:hint="eastAsia"/>
          <w:color w:val="auto"/>
          <w:highlight w:val="none"/>
        </w:rPr>
        <w:t>TEE处理层：1、TEE环境预置了代表该设备身份的设备证书，表明该设备具备可信认证能力；2、当用户输入指纹进行注册时，采用加密算法生成该用户的公私钥对，私钥会保存在设备TEE环境中，公钥会上传至FIDO服务端；3、用户公钥上传前用户端设备证书会对其进行签名，部署在FIDO服务端的设备公钥根证书对其进行验签，以证明上传的用户公钥是在安全设备中生成的，不是伪造的。4、上传完成后注册流程结束</w:t>
      </w:r>
      <w:r>
        <w:rPr>
          <w:color w:val="auto"/>
          <w:highlight w:val="none"/>
        </w:rPr>
        <w:t>。</w:t>
      </w:r>
      <w:r>
        <w:rPr>
          <w:rFonts w:hint="eastAsia"/>
          <w:color w:val="auto"/>
          <w:highlight w:val="none"/>
        </w:rPr>
        <w:t>在该过程中系统只调用了设备的指纹模块/人脸模块，用于生成用户私钥，FIDO服务器未保存用户敏感信息，只有用户公钥及</w:t>
      </w:r>
      <w:r>
        <w:rPr>
          <w:color w:val="auto"/>
          <w:highlight w:val="none"/>
        </w:rPr>
        <w:t>与应用、设备等关键要素</w:t>
      </w:r>
      <w:r>
        <w:rPr>
          <w:rFonts w:hint="eastAsia"/>
          <w:color w:val="auto"/>
          <w:highlight w:val="none"/>
        </w:rPr>
        <w:t>信息。</w:t>
      </w:r>
    </w:p>
    <w:p w14:paraId="552D7738">
      <w:pPr>
        <w:ind w:firstLine="420"/>
        <w:rPr>
          <w:color w:val="auto"/>
          <w:highlight w:val="none"/>
        </w:rPr>
      </w:pPr>
      <w:r>
        <w:rPr>
          <w:color w:val="auto"/>
          <w:highlight w:val="none"/>
        </w:rPr>
        <w:t>3.2、进行指纹认证示意</w:t>
      </w:r>
    </w:p>
    <w:p w14:paraId="1CE338D0">
      <w:pPr>
        <w:ind w:firstLine="420"/>
        <w:rPr>
          <w:color w:val="auto"/>
          <w:highlight w:val="none"/>
        </w:rPr>
      </w:pPr>
      <w:r>
        <w:rPr>
          <w:rFonts w:hint="eastAsia"/>
          <w:color w:val="auto"/>
          <w:highlight w:val="none"/>
        </w:rPr>
        <w:drawing>
          <wp:anchor distT="0" distB="0" distL="85090" distR="85090" simplePos="0" relativeHeight="251662336" behindDoc="0" locked="0" layoutInCell="1" allowOverlap="1">
            <wp:simplePos x="0" y="0"/>
            <wp:positionH relativeFrom="column">
              <wp:posOffset>218440</wp:posOffset>
            </wp:positionH>
            <wp:positionV relativeFrom="paragraph">
              <wp:posOffset>92075</wp:posOffset>
            </wp:positionV>
            <wp:extent cx="4975225" cy="2665730"/>
            <wp:effectExtent l="0" t="0" r="0" b="0"/>
            <wp:wrapTopAndBottom/>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12"/>
                    <a:stretch>
                      <a:fillRect/>
                    </a:stretch>
                  </pic:blipFill>
                  <pic:spPr>
                    <a:xfrm>
                      <a:off x="0" y="0"/>
                      <a:ext cx="4975131" cy="2665465"/>
                    </a:xfrm>
                    <a:prstGeom prst="rect">
                      <a:avLst/>
                    </a:prstGeom>
                    <a:noFill/>
                    <a:ln w="9525" cap="flat" cmpd="sng">
                      <a:noFill/>
                      <a:prstDash val="solid"/>
                      <a:miter/>
                    </a:ln>
                  </pic:spPr>
                </pic:pic>
              </a:graphicData>
            </a:graphic>
          </wp:anchor>
        </w:drawing>
      </w:r>
      <w:r>
        <w:rPr>
          <w:rFonts w:hint="eastAsia"/>
          <w:color w:val="auto"/>
          <w:highlight w:val="none"/>
        </w:rPr>
        <w:t>用户体验层：1、用户发起支付；2、用户输入指纹验证；3、完成交易</w:t>
      </w:r>
    </w:p>
    <w:p w14:paraId="449F2C38">
      <w:pPr>
        <w:ind w:firstLine="420"/>
        <w:rPr>
          <w:color w:val="auto"/>
          <w:highlight w:val="none"/>
        </w:rPr>
      </w:pPr>
      <w:r>
        <w:rPr>
          <w:rFonts w:hint="eastAsia"/>
          <w:color w:val="auto"/>
          <w:highlight w:val="none"/>
        </w:rPr>
        <w:t>TEE处理层：1、指纹验证通过后，解锁保存在TEE环境中的用户私钥，完成设备对人的校验；2、用户私钥对请求内容进行签名，FIDO服务端使用保存的该用户公钥进行验签，完成服务器对设备的校验</w:t>
      </w:r>
      <w:r>
        <w:rPr>
          <w:color w:val="auto"/>
          <w:highlight w:val="none"/>
        </w:rPr>
        <w:t>。通过两步认证方式证明该笔交易的合法性。</w:t>
      </w:r>
    </w:p>
    <w:p w14:paraId="377A2DA4">
      <w:pPr>
        <w:ind w:firstLine="420"/>
        <w:rPr>
          <w:color w:val="auto"/>
          <w:highlight w:val="none"/>
        </w:rPr>
      </w:pPr>
    </w:p>
    <w:p w14:paraId="00244193">
      <w:pPr>
        <w:ind w:firstLine="420"/>
        <w:rPr>
          <w:color w:val="auto"/>
          <w:highlight w:val="none"/>
        </w:rPr>
      </w:pPr>
      <w:r>
        <w:rPr>
          <w:color w:val="auto"/>
          <w:highlight w:val="none"/>
        </w:rPr>
        <w:br w:type="page"/>
      </w:r>
    </w:p>
    <w:p w14:paraId="0480FCED">
      <w:pPr>
        <w:pStyle w:val="4"/>
        <w:rPr>
          <w:color w:val="auto"/>
          <w:highlight w:val="none"/>
        </w:rPr>
      </w:pPr>
      <w:r>
        <w:rPr>
          <w:color w:val="auto"/>
          <w:highlight w:val="none"/>
        </w:rPr>
        <w:t>附件二：项目人员名单及人员应急退出机制</w:t>
      </w:r>
      <w:bookmarkEnd w:id="288"/>
    </w:p>
    <w:p w14:paraId="71EC142A">
      <w:pPr>
        <w:ind w:firstLine="420"/>
        <w:rPr>
          <w:color w:val="auto"/>
          <w:highlight w:val="none"/>
        </w:rPr>
      </w:pPr>
    </w:p>
    <w:p w14:paraId="1EC63F6D">
      <w:pPr>
        <w:pStyle w:val="112"/>
        <w:rPr>
          <w:rFonts w:hint="default"/>
          <w:color w:val="auto"/>
          <w:highlight w:val="none"/>
        </w:rPr>
      </w:pPr>
      <w:r>
        <w:rPr>
          <w:color w:val="auto"/>
          <w:highlight w:val="none"/>
        </w:rPr>
        <w:t>一、项目人员名单</w:t>
      </w:r>
    </w:p>
    <w:p w14:paraId="6CA1C1DA">
      <w:pPr>
        <w:ind w:firstLine="420"/>
        <w:rPr>
          <w:color w:val="auto"/>
          <w:highlight w:val="none"/>
        </w:rPr>
      </w:pPr>
      <w:r>
        <w:rPr>
          <w:color w:val="auto"/>
          <w:highlight w:val="none"/>
        </w:rPr>
        <w:t>项目经理：</w:t>
      </w:r>
    </w:p>
    <w:p w14:paraId="49484EB5">
      <w:pPr>
        <w:ind w:firstLine="420"/>
        <w:rPr>
          <w:color w:val="auto"/>
          <w:highlight w:val="none"/>
        </w:rPr>
      </w:pPr>
      <w:r>
        <w:rPr>
          <w:color w:val="auto"/>
          <w:highlight w:val="none"/>
        </w:rPr>
        <w:t>技术骨干：</w:t>
      </w:r>
    </w:p>
    <w:p w14:paraId="085BB1A0">
      <w:pPr>
        <w:ind w:firstLine="420"/>
        <w:rPr>
          <w:color w:val="auto"/>
          <w:highlight w:val="none"/>
        </w:rPr>
      </w:pPr>
      <w:r>
        <w:rPr>
          <w:color w:val="auto"/>
          <w:highlight w:val="none"/>
        </w:rPr>
        <w:t>项目组成员：</w:t>
      </w:r>
    </w:p>
    <w:p w14:paraId="136D2191">
      <w:pPr>
        <w:ind w:firstLine="420"/>
        <w:rPr>
          <w:color w:val="auto"/>
          <w:highlight w:val="none"/>
        </w:rPr>
      </w:pPr>
    </w:p>
    <w:p w14:paraId="30978905">
      <w:pPr>
        <w:pStyle w:val="112"/>
        <w:rPr>
          <w:rFonts w:hint="default"/>
          <w:color w:val="auto"/>
          <w:highlight w:val="none"/>
        </w:rPr>
      </w:pPr>
      <w:r>
        <w:rPr>
          <w:color w:val="auto"/>
          <w:highlight w:val="none"/>
        </w:rPr>
        <w:t>二、人员应急退出机制</w:t>
      </w:r>
    </w:p>
    <w:p w14:paraId="32E6C0FD">
      <w:pPr>
        <w:ind w:firstLine="420"/>
        <w:rPr>
          <w:color w:val="auto"/>
          <w:highlight w:val="none"/>
        </w:rPr>
      </w:pPr>
      <w:r>
        <w:rPr>
          <w:color w:val="auto"/>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FC8ADAD">
      <w:pPr>
        <w:ind w:firstLine="420"/>
        <w:rPr>
          <w:color w:val="auto"/>
          <w:highlight w:val="none"/>
        </w:rPr>
      </w:pPr>
      <w:r>
        <w:rPr>
          <w:color w:val="auto"/>
          <w:highlight w:val="none"/>
        </w:rPr>
        <w:t>备用项目经理：</w:t>
      </w:r>
    </w:p>
    <w:p w14:paraId="70C38EE4">
      <w:pPr>
        <w:ind w:firstLine="420"/>
        <w:rPr>
          <w:color w:val="auto"/>
          <w:highlight w:val="none"/>
        </w:rPr>
      </w:pPr>
      <w:r>
        <w:rPr>
          <w:color w:val="auto"/>
          <w:highlight w:val="none"/>
        </w:rPr>
        <w:t>备用技术骨干：</w:t>
      </w:r>
    </w:p>
    <w:p w14:paraId="0B908EEF">
      <w:pPr>
        <w:ind w:firstLine="420"/>
        <w:rPr>
          <w:color w:val="auto"/>
          <w:highlight w:val="none"/>
        </w:rPr>
      </w:pPr>
    </w:p>
    <w:p w14:paraId="19E92477">
      <w:pPr>
        <w:ind w:firstLine="420"/>
        <w:rPr>
          <w:color w:val="auto"/>
          <w:highlight w:val="none"/>
        </w:rPr>
      </w:pPr>
    </w:p>
    <w:p w14:paraId="24563291">
      <w:pPr>
        <w:ind w:firstLine="420"/>
        <w:rPr>
          <w:color w:val="auto"/>
          <w:highlight w:val="none"/>
        </w:rPr>
      </w:pPr>
    </w:p>
    <w:p w14:paraId="089C8386">
      <w:pPr>
        <w:ind w:firstLine="420"/>
        <w:rPr>
          <w:color w:val="auto"/>
          <w:highlight w:val="none"/>
        </w:rPr>
      </w:pPr>
    </w:p>
    <w:p w14:paraId="0758D379">
      <w:pPr>
        <w:ind w:firstLine="420"/>
        <w:rPr>
          <w:color w:val="auto"/>
          <w:highlight w:val="none"/>
        </w:rPr>
      </w:pPr>
    </w:p>
    <w:p w14:paraId="2438AD6F">
      <w:pPr>
        <w:ind w:firstLine="420"/>
        <w:rPr>
          <w:color w:val="auto"/>
          <w:highlight w:val="none"/>
        </w:rPr>
      </w:pPr>
    </w:p>
    <w:p w14:paraId="3C35F610">
      <w:pPr>
        <w:ind w:firstLine="420"/>
        <w:rPr>
          <w:color w:val="auto"/>
          <w:highlight w:val="none"/>
        </w:rPr>
      </w:pPr>
      <w:r>
        <w:rPr>
          <w:color w:val="auto"/>
          <w:highlight w:val="none"/>
        </w:rPr>
        <w:br w:type="page"/>
      </w:r>
    </w:p>
    <w:p w14:paraId="0A59A096">
      <w:pPr>
        <w:pStyle w:val="4"/>
        <w:rPr>
          <w:color w:val="auto"/>
          <w:highlight w:val="none"/>
        </w:rPr>
      </w:pPr>
      <w:bookmarkStart w:id="289" w:name="_Toc19835"/>
      <w:bookmarkStart w:id="290" w:name="_Toc84948051"/>
      <w:bookmarkStart w:id="291" w:name="_Toc63757483"/>
      <w:r>
        <w:rPr>
          <w:color w:val="auto"/>
          <w:highlight w:val="none"/>
        </w:rPr>
        <w:t>附件三：验收标准及流程</w:t>
      </w:r>
      <w:bookmarkEnd w:id="289"/>
      <w:bookmarkEnd w:id="290"/>
      <w:bookmarkEnd w:id="291"/>
    </w:p>
    <w:p w14:paraId="1D0A0711">
      <w:pPr>
        <w:pStyle w:val="112"/>
        <w:rPr>
          <w:rFonts w:hint="default"/>
          <w:color w:val="auto"/>
          <w:highlight w:val="none"/>
        </w:rPr>
      </w:pPr>
      <w:r>
        <w:rPr>
          <w:color w:val="auto"/>
          <w:highlight w:val="none"/>
        </w:rPr>
        <w:t>一、验收标准</w:t>
      </w:r>
    </w:p>
    <w:p w14:paraId="4CE23441">
      <w:pPr>
        <w:ind w:firstLine="420"/>
        <w:rPr>
          <w:color w:val="auto"/>
          <w:highlight w:val="none"/>
        </w:rPr>
      </w:pPr>
      <w:r>
        <w:rPr>
          <w:color w:val="auto"/>
          <w:highlight w:val="none"/>
        </w:rPr>
        <w:t>1、验收系统须满足试运行期内项目产品运行稳定、无遗留问题。</w:t>
      </w:r>
    </w:p>
    <w:p w14:paraId="058C431C">
      <w:pPr>
        <w:ind w:firstLine="420"/>
        <w:rPr>
          <w:color w:val="auto"/>
          <w:highlight w:val="none"/>
        </w:rPr>
      </w:pPr>
      <w:r>
        <w:rPr>
          <w:color w:val="auto"/>
          <w:highlight w:val="none"/>
        </w:rPr>
        <w:t>2、项目知识及文档已全部完成转移。</w:t>
      </w:r>
    </w:p>
    <w:p w14:paraId="264EF072">
      <w:pPr>
        <w:ind w:firstLine="420"/>
        <w:rPr>
          <w:color w:val="auto"/>
          <w:highlight w:val="none"/>
        </w:rPr>
      </w:pPr>
      <w:r>
        <w:rPr>
          <w:color w:val="auto"/>
          <w:highlight w:val="none"/>
        </w:rPr>
        <w:t>3、验收交付物包括：</w:t>
      </w:r>
    </w:p>
    <w:p w14:paraId="416DB61E">
      <w:pPr>
        <w:ind w:firstLine="420"/>
        <w:rPr>
          <w:color w:val="auto"/>
          <w:highlight w:val="none"/>
        </w:rPr>
      </w:pPr>
      <w:r>
        <w:rPr>
          <w:rFonts w:hint="eastAsia"/>
          <w:color w:val="auto"/>
          <w:highlight w:val="none"/>
        </w:rPr>
        <w:t>《项目需求分析说明书》、《概要设计说明书》、《详细设计说明书》、《数据库设计说明书》、《系统安装部署手册》、《系统运行维护手册》、《用户操作手册》、《试运行报告》、《验收报告》</w:t>
      </w:r>
      <w:r>
        <w:rPr>
          <w:color w:val="auto"/>
          <w:highlight w:val="none"/>
        </w:rPr>
        <w:t>、</w:t>
      </w:r>
      <w:r>
        <w:rPr>
          <w:rFonts w:hint="eastAsia"/>
          <w:color w:val="auto"/>
          <w:highlight w:val="none"/>
        </w:rPr>
        <w:t>《软件兼容性</w:t>
      </w:r>
      <w:r>
        <w:rPr>
          <w:color w:val="auto"/>
          <w:highlight w:val="none"/>
        </w:rPr>
        <w:t>报告</w:t>
      </w:r>
      <w:r>
        <w:rPr>
          <w:rFonts w:hint="eastAsia"/>
          <w:color w:val="auto"/>
          <w:highlight w:val="none"/>
        </w:rPr>
        <w:t>》；《系统测试计划》、《系统测试报告》、《性能测试报告》、《安全测试报告》；</w:t>
      </w:r>
      <w:r>
        <w:rPr>
          <w:color w:val="auto"/>
          <w:highlight w:val="none"/>
        </w:rPr>
        <w:t>源代码；</w:t>
      </w:r>
    </w:p>
    <w:p w14:paraId="68AFFED1">
      <w:pPr>
        <w:pStyle w:val="112"/>
        <w:rPr>
          <w:rFonts w:hint="default"/>
          <w:color w:val="auto"/>
          <w:highlight w:val="none"/>
        </w:rPr>
      </w:pPr>
      <w:r>
        <w:rPr>
          <w:color w:val="auto"/>
          <w:highlight w:val="none"/>
        </w:rPr>
        <w:t>二、验收流程</w:t>
      </w:r>
    </w:p>
    <w:p w14:paraId="492D5FC9">
      <w:pPr>
        <w:ind w:firstLine="420"/>
        <w:rPr>
          <w:color w:val="auto"/>
          <w:highlight w:val="none"/>
        </w:rPr>
      </w:pPr>
      <w:r>
        <w:rPr>
          <w:color w:val="auto"/>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C961E2F">
      <w:pPr>
        <w:ind w:firstLine="420"/>
        <w:rPr>
          <w:color w:val="auto"/>
          <w:highlight w:val="none"/>
        </w:rPr>
      </w:pPr>
    </w:p>
    <w:p w14:paraId="14C5B3A1">
      <w:pPr>
        <w:ind w:firstLine="420"/>
        <w:rPr>
          <w:color w:val="auto"/>
          <w:highlight w:val="none"/>
        </w:rPr>
      </w:pPr>
    </w:p>
    <w:p w14:paraId="3E3DCA1D">
      <w:pPr>
        <w:ind w:firstLine="420"/>
        <w:rPr>
          <w:color w:val="auto"/>
          <w:highlight w:val="none"/>
        </w:rPr>
      </w:pPr>
    </w:p>
    <w:p w14:paraId="462E30CE">
      <w:pPr>
        <w:ind w:firstLine="420"/>
        <w:rPr>
          <w:color w:val="auto"/>
          <w:highlight w:val="none"/>
        </w:rPr>
      </w:pPr>
    </w:p>
    <w:p w14:paraId="168050AA">
      <w:pPr>
        <w:ind w:firstLine="420"/>
        <w:rPr>
          <w:color w:val="auto"/>
          <w:highlight w:val="none"/>
        </w:rPr>
      </w:pPr>
      <w:bookmarkStart w:id="292" w:name="_Toc84948052"/>
      <w:bookmarkStart w:id="293" w:name="_Toc63757484"/>
      <w:r>
        <w:rPr>
          <w:color w:val="auto"/>
          <w:highlight w:val="none"/>
        </w:rPr>
        <w:br w:type="page"/>
      </w:r>
    </w:p>
    <w:p w14:paraId="2A2DFC06">
      <w:pPr>
        <w:pStyle w:val="4"/>
        <w:rPr>
          <w:color w:val="auto"/>
          <w:highlight w:val="none"/>
        </w:rPr>
      </w:pPr>
      <w:bookmarkStart w:id="294" w:name="_Toc31759"/>
      <w:r>
        <w:rPr>
          <w:color w:val="auto"/>
          <w:highlight w:val="none"/>
        </w:rPr>
        <w:t>附件四：维护服务条款</w:t>
      </w:r>
      <w:bookmarkEnd w:id="292"/>
      <w:bookmarkEnd w:id="293"/>
      <w:bookmarkEnd w:id="294"/>
    </w:p>
    <w:p w14:paraId="3ADDCD57">
      <w:pPr>
        <w:ind w:firstLine="420"/>
        <w:rPr>
          <w:color w:val="auto"/>
          <w:highlight w:val="none"/>
        </w:rPr>
      </w:pPr>
      <w:r>
        <w:rPr>
          <w:color w:val="auto"/>
          <w:highlight w:val="none"/>
        </w:rPr>
        <w:t>乙方业务代表作为技术服务的第一联系人，项目经理作为该项目的技术服务第二联系人，随时接受客户的电话服务支持，并申请调配相关资源为客户提供及时服务。</w:t>
      </w:r>
    </w:p>
    <w:p w14:paraId="6E35C3F8">
      <w:pPr>
        <w:ind w:firstLine="420"/>
        <w:rPr>
          <w:color w:val="auto"/>
          <w:highlight w:val="none"/>
        </w:rPr>
      </w:pPr>
      <w:r>
        <w:rPr>
          <w:color w:val="auto"/>
          <w:highlight w:val="none"/>
        </w:rPr>
        <w:t>1)系统正式验收通过，上线后提供三个月免费人员现场驻场维护，正式验收合格次日至次年并延期至6月30日或12月31日中较近日期（即维保延期最长不超过半年）提供支持和服务。</w:t>
      </w:r>
    </w:p>
    <w:p w14:paraId="5E9D8AB1">
      <w:pPr>
        <w:ind w:firstLine="420"/>
        <w:rPr>
          <w:color w:val="auto"/>
          <w:highlight w:val="none"/>
        </w:rPr>
      </w:pPr>
      <w:r>
        <w:rPr>
          <w:color w:val="auto"/>
          <w:highlight w:val="none"/>
        </w:rPr>
        <w:t>2)维护期内，提供平台升级及优化服务。</w:t>
      </w:r>
    </w:p>
    <w:p w14:paraId="6B40E6AF">
      <w:pPr>
        <w:ind w:firstLine="420"/>
        <w:rPr>
          <w:color w:val="auto"/>
          <w:highlight w:val="none"/>
        </w:rPr>
      </w:pPr>
      <w:r>
        <w:rPr>
          <w:color w:val="auto"/>
          <w:highlight w:val="none"/>
        </w:rPr>
        <w:t>3)系统上线后，提供二次系统和产品的培训，时间为每次1天。在维护期内，也可以根据用户需求，随时到客户现场进行系统和产品的培训。</w:t>
      </w:r>
    </w:p>
    <w:p w14:paraId="70FBC6A7">
      <w:pPr>
        <w:ind w:firstLine="420"/>
        <w:rPr>
          <w:color w:val="auto"/>
          <w:highlight w:val="none"/>
        </w:rPr>
      </w:pPr>
      <w:r>
        <w:rPr>
          <w:color w:val="auto"/>
          <w:highlight w:val="none"/>
        </w:rPr>
        <w:t>4)维护期内，每季度派工程师现场巡检一次，并在巡检后提交巡检报告，针对巡检中发现的问题立即组织整改。</w:t>
      </w:r>
    </w:p>
    <w:p w14:paraId="48A12DA0">
      <w:pPr>
        <w:ind w:firstLine="420"/>
        <w:rPr>
          <w:color w:val="auto"/>
          <w:highlight w:val="none"/>
        </w:rPr>
      </w:pPr>
      <w:r>
        <w:rPr>
          <w:color w:val="auto"/>
          <w:highlight w:val="none"/>
        </w:rPr>
        <w:t>支持方式和手段</w:t>
      </w:r>
    </w:p>
    <w:p w14:paraId="5EEC31C5">
      <w:pPr>
        <w:ind w:firstLine="420"/>
        <w:rPr>
          <w:color w:val="auto"/>
          <w:highlight w:val="none"/>
        </w:rPr>
      </w:pPr>
      <w:r>
        <w:rPr>
          <w:color w:val="auto"/>
          <w:highlight w:val="none"/>
        </w:rPr>
        <w:t>1)热线电话</w:t>
      </w:r>
    </w:p>
    <w:p w14:paraId="76B938FD">
      <w:pPr>
        <w:ind w:firstLine="420"/>
        <w:rPr>
          <w:color w:val="auto"/>
          <w:highlight w:val="none"/>
        </w:rPr>
      </w:pPr>
      <w:r>
        <w:rPr>
          <w:color w:val="auto"/>
          <w:highlight w:val="none"/>
        </w:rPr>
        <w:t>针对具体业务过程中产生的各种技术咨询，开设专线，提供7*24小时的技术服务支持。</w:t>
      </w:r>
    </w:p>
    <w:p w14:paraId="6FD5EF96">
      <w:pPr>
        <w:ind w:firstLine="420"/>
        <w:rPr>
          <w:color w:val="auto"/>
          <w:highlight w:val="none"/>
        </w:rPr>
      </w:pPr>
      <w:r>
        <w:rPr>
          <w:color w:val="auto"/>
          <w:highlight w:val="none"/>
        </w:rPr>
        <w:t>2)E-mail</w:t>
      </w:r>
    </w:p>
    <w:p w14:paraId="4982B3D1">
      <w:pPr>
        <w:ind w:firstLine="420"/>
        <w:rPr>
          <w:color w:val="auto"/>
          <w:highlight w:val="none"/>
        </w:rPr>
      </w:pPr>
      <w:r>
        <w:rPr>
          <w:color w:val="auto"/>
          <w:highlight w:val="none"/>
        </w:rPr>
        <w:t>客户建议、意见及技术支持同样可以通过XXXXX公司（乙方）提供的服务支持电子信箱获得响应，我们将做出详细、全面的服务解答，在半天内给予E-mail回复。</w:t>
      </w:r>
    </w:p>
    <w:p w14:paraId="2078F9F7">
      <w:pPr>
        <w:ind w:firstLine="420"/>
        <w:rPr>
          <w:color w:val="auto"/>
          <w:highlight w:val="none"/>
        </w:rPr>
      </w:pPr>
      <w:r>
        <w:rPr>
          <w:color w:val="auto"/>
          <w:highlight w:val="none"/>
        </w:rPr>
        <w:t>3)远程登录</w:t>
      </w:r>
    </w:p>
    <w:p w14:paraId="0E5F859B">
      <w:pPr>
        <w:ind w:firstLine="420"/>
        <w:rPr>
          <w:color w:val="auto"/>
          <w:highlight w:val="none"/>
        </w:rPr>
      </w:pPr>
      <w:r>
        <w:rPr>
          <w:color w:val="auto"/>
          <w:highlight w:val="none"/>
        </w:rPr>
        <w:t>对客户所遇到技术问题可以在客户条件许可的情况下进行远程访问排除故障，以方便客户能够及时解决疑难杂症。</w:t>
      </w:r>
    </w:p>
    <w:p w14:paraId="51FAAA38">
      <w:pPr>
        <w:ind w:firstLine="420"/>
        <w:rPr>
          <w:color w:val="auto"/>
          <w:highlight w:val="none"/>
        </w:rPr>
      </w:pPr>
      <w:r>
        <w:rPr>
          <w:color w:val="auto"/>
          <w:highlight w:val="none"/>
        </w:rPr>
        <w:t>4)现场支持</w:t>
      </w:r>
    </w:p>
    <w:p w14:paraId="6E6DF911">
      <w:pPr>
        <w:ind w:firstLine="420"/>
        <w:rPr>
          <w:color w:val="auto"/>
          <w:highlight w:val="none"/>
        </w:rPr>
      </w:pPr>
      <w:r>
        <w:rPr>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564757E">
      <w:pPr>
        <w:ind w:firstLine="420"/>
        <w:rPr>
          <w:color w:val="auto"/>
          <w:highlight w:val="none"/>
        </w:rPr>
      </w:pPr>
      <w:r>
        <w:rPr>
          <w:color w:val="auto"/>
          <w:highlight w:val="none"/>
        </w:rPr>
        <w:t>5)运行日志定期检查</w:t>
      </w:r>
    </w:p>
    <w:p w14:paraId="0F78A3F9">
      <w:pPr>
        <w:ind w:firstLine="420"/>
        <w:rPr>
          <w:color w:val="auto"/>
          <w:highlight w:val="none"/>
        </w:rPr>
      </w:pPr>
      <w:r>
        <w:rPr>
          <w:color w:val="auto"/>
          <w:highlight w:val="none"/>
        </w:rPr>
        <w:t>最好的服务方式是提前发现问题，将问题解决于发生前，在乙方实施的系统中，提供了相关的运行日志，通过和客户的协商，通过客户定期提供的运行日志，可实现定期的日志检查，可以提前发现系统的运行问题，以起到防患于未然的效果。</w:t>
      </w:r>
    </w:p>
    <w:p w14:paraId="2EE06E1E">
      <w:pPr>
        <w:ind w:firstLine="420"/>
        <w:rPr>
          <w:color w:val="auto"/>
          <w:highlight w:val="none"/>
        </w:rPr>
      </w:pPr>
      <w:r>
        <w:rPr>
          <w:color w:val="auto"/>
          <w:highlight w:val="none"/>
        </w:rPr>
        <w:t>6)故障处理流程</w:t>
      </w:r>
    </w:p>
    <w:p w14:paraId="2B4F167A">
      <w:pPr>
        <w:ind w:firstLine="420"/>
        <w:rPr>
          <w:color w:val="auto"/>
          <w:highlight w:val="none"/>
        </w:rPr>
      </w:pPr>
      <w:r>
        <w:rPr>
          <w:color w:val="auto"/>
          <w:highlight w:val="none"/>
        </w:rPr>
        <w:t>通过现象定位错误原因，编写处理说明书（包含处理完成时间）。</w:t>
      </w:r>
    </w:p>
    <w:p w14:paraId="2CD72252">
      <w:pPr>
        <w:ind w:firstLine="420"/>
        <w:rPr>
          <w:color w:val="auto"/>
          <w:highlight w:val="none"/>
        </w:rPr>
      </w:pPr>
    </w:p>
    <w:p w14:paraId="3235EAAC">
      <w:pPr>
        <w:ind w:firstLine="420"/>
        <w:rPr>
          <w:color w:val="auto"/>
          <w:highlight w:val="none"/>
        </w:rPr>
        <w:sectPr>
          <w:footerReference r:id="rId5" w:type="default"/>
          <w:pgSz w:w="11906" w:h="16838"/>
          <w:pgMar w:top="1440" w:right="1800" w:bottom="1440" w:left="1800" w:header="851" w:footer="992" w:gutter="0"/>
          <w:pgNumType w:start="1"/>
          <w:cols w:space="720" w:num="1"/>
          <w:formProt w:val="0"/>
          <w:docGrid w:type="lines" w:linePitch="312" w:charSpace="0"/>
        </w:sectPr>
      </w:pPr>
    </w:p>
    <w:p w14:paraId="129BCAAF">
      <w:pPr>
        <w:pStyle w:val="4"/>
        <w:rPr>
          <w:color w:val="auto"/>
          <w:highlight w:val="none"/>
        </w:rPr>
      </w:pPr>
      <w:bookmarkStart w:id="295" w:name="_Toc84948053"/>
      <w:bookmarkStart w:id="296" w:name="_Toc63757485"/>
      <w:bookmarkStart w:id="297" w:name="_Toc11273"/>
      <w:r>
        <w:rPr>
          <w:color w:val="auto"/>
          <w:highlight w:val="none"/>
        </w:rPr>
        <w:t>附件五：服务水平协议（SLA）</w:t>
      </w:r>
      <w:bookmarkEnd w:id="295"/>
      <w:bookmarkEnd w:id="296"/>
      <w:bookmarkEnd w:id="297"/>
    </w:p>
    <w:p w14:paraId="612B496C">
      <w:pPr>
        <w:ind w:firstLine="422"/>
        <w:rPr>
          <w:rFonts w:cs="Times New Roman"/>
          <w:b/>
          <w:bCs/>
          <w:color w:val="auto"/>
          <w:kern w:val="32"/>
          <w:szCs w:val="24"/>
          <w:highlight w:val="none"/>
        </w:rPr>
      </w:pPr>
      <w:bookmarkStart w:id="298" w:name="_Toc254884639"/>
      <w:r>
        <w:rPr>
          <w:rFonts w:cs="Times New Roman"/>
          <w:b/>
          <w:bCs/>
          <w:color w:val="auto"/>
          <w:kern w:val="32"/>
          <w:szCs w:val="24"/>
          <w:highlight w:val="none"/>
        </w:rPr>
        <w:t>1. 目标</w:t>
      </w:r>
      <w:bookmarkEnd w:id="298"/>
    </w:p>
    <w:p w14:paraId="0F4336A7">
      <w:pPr>
        <w:ind w:firstLine="420"/>
        <w:rPr>
          <w:rFonts w:cs="Times New Roman"/>
          <w:color w:val="auto"/>
          <w:szCs w:val="24"/>
          <w:highlight w:val="none"/>
        </w:rPr>
      </w:pPr>
      <w:r>
        <w:rPr>
          <w:rFonts w:cs="Times New Roman"/>
          <w:color w:val="auto"/>
          <w:szCs w:val="24"/>
          <w:highlight w:val="none"/>
        </w:rPr>
        <w:t>本服务水平协议（SLA）的目标是为了清晰地定义由XXXXXXXXXXXX公司（乙方）在本项目中为重庆三峡银行（甲方）提供的服务水平，本SLA主要：</w:t>
      </w:r>
    </w:p>
    <w:p w14:paraId="75F2BA45">
      <w:pPr>
        <w:widowControl/>
        <w:numPr>
          <w:ilvl w:val="0"/>
          <w:numId w:val="11"/>
        </w:numPr>
        <w:ind w:firstLineChars="0"/>
        <w:rPr>
          <w:rFonts w:cs="Times New Roman"/>
          <w:color w:val="auto"/>
          <w:szCs w:val="24"/>
          <w:highlight w:val="none"/>
        </w:rPr>
      </w:pPr>
      <w:r>
        <w:rPr>
          <w:rFonts w:cs="Times New Roman"/>
          <w:color w:val="auto"/>
          <w:szCs w:val="24"/>
          <w:highlight w:val="none"/>
        </w:rPr>
        <w:t>明确甲方对外包乙方所提供服务水平的期望</w:t>
      </w:r>
    </w:p>
    <w:p w14:paraId="477F4AB6">
      <w:pPr>
        <w:widowControl/>
        <w:numPr>
          <w:ilvl w:val="0"/>
          <w:numId w:val="11"/>
        </w:numPr>
        <w:ind w:firstLineChars="0"/>
        <w:rPr>
          <w:rFonts w:cs="Times New Roman"/>
          <w:color w:val="auto"/>
          <w:szCs w:val="24"/>
          <w:highlight w:val="none"/>
        </w:rPr>
      </w:pPr>
      <w:r>
        <w:rPr>
          <w:rFonts w:cs="Times New Roman"/>
          <w:color w:val="auto"/>
          <w:szCs w:val="24"/>
          <w:highlight w:val="none"/>
        </w:rPr>
        <w:t>规范和加强甲方对乙方所提供服务水平的控制</w:t>
      </w:r>
    </w:p>
    <w:p w14:paraId="093A70BD">
      <w:pPr>
        <w:ind w:firstLine="420"/>
        <w:rPr>
          <w:rFonts w:cs="Times New Roman"/>
          <w:color w:val="auto"/>
          <w:szCs w:val="24"/>
          <w:highlight w:val="none"/>
        </w:rPr>
      </w:pPr>
      <w:r>
        <w:rPr>
          <w:rFonts w:cs="Times New Roman"/>
          <w:color w:val="auto"/>
          <w:szCs w:val="24"/>
          <w:highlight w:val="none"/>
        </w:rPr>
        <w:t>双方将针对本项目制定明确的职责分工表用来确定计划和管理服务水平协议的角色和职责。</w:t>
      </w:r>
    </w:p>
    <w:p w14:paraId="3B859367">
      <w:pPr>
        <w:ind w:firstLine="422"/>
        <w:rPr>
          <w:rFonts w:cs="Times New Roman"/>
          <w:b/>
          <w:bCs/>
          <w:color w:val="auto"/>
          <w:kern w:val="32"/>
          <w:szCs w:val="24"/>
          <w:highlight w:val="none"/>
        </w:rPr>
      </w:pPr>
      <w:bookmarkStart w:id="299" w:name="_Toc254884640"/>
      <w:r>
        <w:rPr>
          <w:rFonts w:cs="Times New Roman"/>
          <w:b/>
          <w:bCs/>
          <w:color w:val="auto"/>
          <w:kern w:val="32"/>
          <w:szCs w:val="24"/>
          <w:highlight w:val="none"/>
        </w:rPr>
        <w:t>2. 协议期限</w:t>
      </w:r>
      <w:bookmarkEnd w:id="299"/>
    </w:p>
    <w:p w14:paraId="34679FC2">
      <w:pPr>
        <w:ind w:firstLine="371" w:firstLineChars="177"/>
        <w:rPr>
          <w:rFonts w:cs="Times New Roman"/>
          <w:color w:val="auto"/>
          <w:szCs w:val="24"/>
          <w:highlight w:val="none"/>
        </w:rPr>
      </w:pPr>
      <w:r>
        <w:rPr>
          <w:rFonts w:cs="Times New Roman"/>
          <w:color w:val="auto"/>
          <w:szCs w:val="24"/>
          <w:highlight w:val="none"/>
        </w:rPr>
        <w:t>根据双方达成的一致要求，本协议的有效期从本项目实施之日起到合同正文</w:t>
      </w:r>
      <w:r>
        <w:rPr>
          <w:rFonts w:cs="Times New Roman"/>
          <w:color w:val="auto"/>
          <w:highlight w:val="none"/>
        </w:rPr>
        <w:t>6.1承诺的</w:t>
      </w:r>
      <w:r>
        <w:rPr>
          <w:rFonts w:cs="Times New Roman"/>
          <w:color w:val="auto"/>
          <w:szCs w:val="24"/>
          <w:highlight w:val="none"/>
        </w:rPr>
        <w:t>维护期结束。</w:t>
      </w:r>
    </w:p>
    <w:p w14:paraId="2327B01C">
      <w:pPr>
        <w:ind w:firstLine="422"/>
        <w:rPr>
          <w:rFonts w:cs="Times New Roman"/>
          <w:b/>
          <w:bCs/>
          <w:color w:val="auto"/>
          <w:kern w:val="32"/>
          <w:szCs w:val="24"/>
          <w:highlight w:val="none"/>
        </w:rPr>
      </w:pPr>
      <w:bookmarkStart w:id="300" w:name="_Toc254884641"/>
      <w:r>
        <w:rPr>
          <w:rFonts w:cs="Times New Roman"/>
          <w:b/>
          <w:bCs/>
          <w:color w:val="auto"/>
          <w:kern w:val="32"/>
          <w:szCs w:val="24"/>
          <w:highlight w:val="none"/>
        </w:rPr>
        <w:t>3. 双方职责</w:t>
      </w:r>
      <w:bookmarkEnd w:id="300"/>
    </w:p>
    <w:p w14:paraId="0B4E7CEA">
      <w:pPr>
        <w:ind w:firstLine="422"/>
        <w:rPr>
          <w:rFonts w:cs="Times New Roman"/>
          <w:b/>
          <w:bCs/>
          <w:color w:val="auto"/>
          <w:kern w:val="32"/>
          <w:szCs w:val="24"/>
          <w:highlight w:val="none"/>
        </w:rPr>
      </w:pPr>
      <w:bookmarkStart w:id="301" w:name="_Toc254884642"/>
      <w:r>
        <w:rPr>
          <w:rFonts w:cs="Times New Roman"/>
          <w:b/>
          <w:bCs/>
          <w:color w:val="auto"/>
          <w:kern w:val="32"/>
          <w:szCs w:val="24"/>
          <w:highlight w:val="none"/>
        </w:rPr>
        <w:t>3.1乙方</w:t>
      </w:r>
      <w:bookmarkEnd w:id="301"/>
    </w:p>
    <w:p w14:paraId="784E216B">
      <w:pPr>
        <w:ind w:firstLine="420"/>
        <w:rPr>
          <w:rFonts w:cs="Times New Roman"/>
          <w:color w:val="auto"/>
          <w:szCs w:val="24"/>
          <w:highlight w:val="none"/>
        </w:rPr>
      </w:pPr>
      <w:r>
        <w:rPr>
          <w:rFonts w:cs="Times New Roman"/>
          <w:color w:val="auto"/>
          <w:szCs w:val="24"/>
          <w:highlight w:val="none"/>
        </w:rPr>
        <w:t>除本协议描述的服务水平衡量和目标外，乙方还应：</w:t>
      </w:r>
    </w:p>
    <w:p w14:paraId="55551413">
      <w:pPr>
        <w:widowControl/>
        <w:numPr>
          <w:ilvl w:val="0"/>
          <w:numId w:val="11"/>
        </w:numPr>
        <w:ind w:firstLineChars="0"/>
        <w:rPr>
          <w:rFonts w:cs="Times New Roman"/>
          <w:color w:val="auto"/>
          <w:szCs w:val="24"/>
          <w:highlight w:val="none"/>
        </w:rPr>
      </w:pPr>
      <w:r>
        <w:rPr>
          <w:rFonts w:cs="Times New Roman"/>
          <w:color w:val="auto"/>
          <w:szCs w:val="24"/>
          <w:highlight w:val="none"/>
        </w:rPr>
        <w:t>尽快向甲方管理层汇报发现的问题；</w:t>
      </w:r>
    </w:p>
    <w:p w14:paraId="45F0C079">
      <w:pPr>
        <w:widowControl/>
        <w:numPr>
          <w:ilvl w:val="0"/>
          <w:numId w:val="11"/>
        </w:numPr>
        <w:ind w:firstLineChars="0"/>
        <w:rPr>
          <w:rFonts w:cs="Times New Roman"/>
          <w:color w:val="auto"/>
          <w:szCs w:val="24"/>
          <w:highlight w:val="none"/>
        </w:rPr>
      </w:pPr>
      <w:r>
        <w:rPr>
          <w:rFonts w:cs="Times New Roman"/>
          <w:color w:val="auto"/>
          <w:szCs w:val="24"/>
          <w:highlight w:val="none"/>
        </w:rPr>
        <w:t>任何可能影响SLA中规定服务的服务能力的事件，乙方应尽早向甲方提供预警信息，以及可能的影响和处置措施。事件包括：</w:t>
      </w:r>
    </w:p>
    <w:p w14:paraId="27176F23">
      <w:pPr>
        <w:widowControl/>
        <w:numPr>
          <w:ilvl w:val="0"/>
          <w:numId w:val="12"/>
        </w:numPr>
        <w:ind w:firstLineChars="0"/>
        <w:rPr>
          <w:rFonts w:cs="Times New Roman"/>
          <w:color w:val="auto"/>
          <w:szCs w:val="24"/>
          <w:highlight w:val="none"/>
        </w:rPr>
      </w:pPr>
      <w:r>
        <w:rPr>
          <w:rFonts w:cs="Times New Roman"/>
          <w:color w:val="auto"/>
          <w:szCs w:val="24"/>
          <w:highlight w:val="none"/>
        </w:rPr>
        <w:t>组织架构变更</w:t>
      </w:r>
    </w:p>
    <w:p w14:paraId="251CE39B">
      <w:pPr>
        <w:widowControl/>
        <w:numPr>
          <w:ilvl w:val="0"/>
          <w:numId w:val="12"/>
        </w:numPr>
        <w:ind w:firstLineChars="0"/>
        <w:rPr>
          <w:rFonts w:cs="Times New Roman"/>
          <w:color w:val="auto"/>
          <w:szCs w:val="24"/>
          <w:highlight w:val="none"/>
        </w:rPr>
      </w:pPr>
      <w:r>
        <w:rPr>
          <w:rFonts w:cs="Times New Roman"/>
          <w:color w:val="auto"/>
          <w:szCs w:val="24"/>
          <w:highlight w:val="none"/>
        </w:rPr>
        <w:t>技术变更</w:t>
      </w:r>
    </w:p>
    <w:p w14:paraId="099231E5">
      <w:pPr>
        <w:widowControl/>
        <w:numPr>
          <w:ilvl w:val="0"/>
          <w:numId w:val="12"/>
        </w:numPr>
        <w:ind w:firstLineChars="0"/>
        <w:rPr>
          <w:rFonts w:cs="Times New Roman"/>
          <w:color w:val="auto"/>
          <w:szCs w:val="24"/>
          <w:highlight w:val="none"/>
        </w:rPr>
      </w:pPr>
      <w:r>
        <w:rPr>
          <w:rFonts w:cs="Times New Roman"/>
          <w:color w:val="auto"/>
          <w:szCs w:val="24"/>
          <w:highlight w:val="none"/>
        </w:rPr>
        <w:t>职能变更</w:t>
      </w:r>
    </w:p>
    <w:p w14:paraId="3B341F68">
      <w:pPr>
        <w:widowControl/>
        <w:numPr>
          <w:ilvl w:val="0"/>
          <w:numId w:val="12"/>
        </w:numPr>
        <w:ind w:firstLineChars="0"/>
        <w:rPr>
          <w:rFonts w:cs="Times New Roman"/>
          <w:color w:val="auto"/>
          <w:szCs w:val="24"/>
          <w:highlight w:val="none"/>
        </w:rPr>
      </w:pPr>
      <w:r>
        <w:rPr>
          <w:rFonts w:cs="Times New Roman"/>
          <w:color w:val="auto"/>
          <w:szCs w:val="24"/>
          <w:highlight w:val="none"/>
        </w:rPr>
        <w:t>其他可能影响对甲方服务的突发事件</w:t>
      </w:r>
    </w:p>
    <w:p w14:paraId="7816BE62">
      <w:pPr>
        <w:widowControl/>
        <w:numPr>
          <w:ilvl w:val="0"/>
          <w:numId w:val="11"/>
        </w:numPr>
        <w:ind w:left="709" w:hanging="229" w:firstLineChars="0"/>
        <w:rPr>
          <w:rFonts w:cs="Times New Roman"/>
          <w:color w:val="auto"/>
          <w:szCs w:val="24"/>
          <w:highlight w:val="none"/>
        </w:rPr>
      </w:pPr>
      <w:r>
        <w:rPr>
          <w:rFonts w:cs="Times New Roman"/>
          <w:color w:val="auto"/>
          <w:szCs w:val="24"/>
          <w:highlight w:val="none"/>
        </w:rPr>
        <w:t>协助甲方及时解决生产事件。当问题产生时，应尽快采取适当的措施识别并修复问题。</w:t>
      </w:r>
    </w:p>
    <w:p w14:paraId="48111E97">
      <w:pPr>
        <w:ind w:firstLine="420"/>
        <w:rPr>
          <w:rFonts w:cs="Times New Roman"/>
          <w:color w:val="auto"/>
          <w:szCs w:val="24"/>
          <w:highlight w:val="none"/>
        </w:rPr>
      </w:pPr>
    </w:p>
    <w:p w14:paraId="67FE21D4">
      <w:pPr>
        <w:ind w:firstLine="422"/>
        <w:rPr>
          <w:rFonts w:cs="Times New Roman"/>
          <w:b/>
          <w:bCs/>
          <w:color w:val="auto"/>
          <w:kern w:val="32"/>
          <w:szCs w:val="24"/>
          <w:highlight w:val="none"/>
        </w:rPr>
      </w:pPr>
      <w:r>
        <w:rPr>
          <w:rFonts w:cs="Times New Roman"/>
          <w:b/>
          <w:bCs/>
          <w:color w:val="auto"/>
          <w:kern w:val="32"/>
          <w:szCs w:val="24"/>
          <w:highlight w:val="none"/>
        </w:rPr>
        <w:t>3.2甲方</w:t>
      </w:r>
    </w:p>
    <w:p w14:paraId="516509BE">
      <w:pPr>
        <w:widowControl/>
        <w:numPr>
          <w:ilvl w:val="0"/>
          <w:numId w:val="11"/>
        </w:numPr>
        <w:ind w:left="709" w:hanging="229" w:firstLineChars="0"/>
        <w:rPr>
          <w:rFonts w:cs="Times New Roman"/>
          <w:color w:val="auto"/>
          <w:szCs w:val="24"/>
          <w:highlight w:val="none"/>
        </w:rPr>
      </w:pPr>
      <w:r>
        <w:rPr>
          <w:rFonts w:cs="Times New Roman"/>
          <w:color w:val="auto"/>
          <w:szCs w:val="24"/>
          <w:highlight w:val="none"/>
        </w:rPr>
        <w:t>甲方将尽快将问题汇报给乙方管理层；</w:t>
      </w:r>
    </w:p>
    <w:p w14:paraId="540CDBC3">
      <w:pPr>
        <w:widowControl/>
        <w:numPr>
          <w:ilvl w:val="0"/>
          <w:numId w:val="11"/>
        </w:numPr>
        <w:ind w:left="709" w:hanging="229" w:firstLineChars="0"/>
        <w:rPr>
          <w:rFonts w:cs="Times New Roman"/>
          <w:color w:val="auto"/>
          <w:szCs w:val="24"/>
          <w:highlight w:val="none"/>
        </w:rPr>
      </w:pPr>
      <w:r>
        <w:rPr>
          <w:rFonts w:cs="Times New Roman"/>
          <w:color w:val="auto"/>
          <w:szCs w:val="24"/>
          <w:highlight w:val="none"/>
        </w:rPr>
        <w:t>提供任何可能影响乙方向甲方提供SLA中规定服务的服务能力的事件信息，包括：</w:t>
      </w:r>
    </w:p>
    <w:p w14:paraId="560AF41D">
      <w:pPr>
        <w:widowControl/>
        <w:numPr>
          <w:ilvl w:val="0"/>
          <w:numId w:val="12"/>
        </w:numPr>
        <w:ind w:firstLineChars="0"/>
        <w:rPr>
          <w:rFonts w:cs="Times New Roman"/>
          <w:color w:val="auto"/>
          <w:szCs w:val="24"/>
          <w:highlight w:val="none"/>
        </w:rPr>
      </w:pPr>
      <w:r>
        <w:rPr>
          <w:rFonts w:cs="Times New Roman"/>
          <w:color w:val="auto"/>
          <w:szCs w:val="24"/>
          <w:highlight w:val="none"/>
        </w:rPr>
        <w:t>组织架构变更</w:t>
      </w:r>
    </w:p>
    <w:p w14:paraId="55436953">
      <w:pPr>
        <w:widowControl/>
        <w:numPr>
          <w:ilvl w:val="0"/>
          <w:numId w:val="12"/>
        </w:numPr>
        <w:ind w:firstLineChars="0"/>
        <w:rPr>
          <w:rFonts w:cs="Times New Roman"/>
          <w:color w:val="auto"/>
          <w:szCs w:val="24"/>
          <w:highlight w:val="none"/>
        </w:rPr>
      </w:pPr>
      <w:r>
        <w:rPr>
          <w:rFonts w:cs="Times New Roman"/>
          <w:color w:val="auto"/>
          <w:szCs w:val="24"/>
          <w:highlight w:val="none"/>
        </w:rPr>
        <w:t>技术变更</w:t>
      </w:r>
    </w:p>
    <w:p w14:paraId="03CDDCB0">
      <w:pPr>
        <w:widowControl/>
        <w:numPr>
          <w:ilvl w:val="0"/>
          <w:numId w:val="12"/>
        </w:numPr>
        <w:ind w:firstLineChars="0"/>
        <w:rPr>
          <w:rFonts w:cs="Times New Roman"/>
          <w:color w:val="auto"/>
          <w:szCs w:val="24"/>
          <w:highlight w:val="none"/>
        </w:rPr>
      </w:pPr>
      <w:r>
        <w:rPr>
          <w:rFonts w:cs="Times New Roman"/>
          <w:color w:val="auto"/>
          <w:szCs w:val="24"/>
          <w:highlight w:val="none"/>
        </w:rPr>
        <w:t>职能变更</w:t>
      </w:r>
    </w:p>
    <w:p w14:paraId="5F47BA17">
      <w:pPr>
        <w:ind w:firstLine="422"/>
        <w:rPr>
          <w:rFonts w:cs="Times New Roman"/>
          <w:b/>
          <w:bCs/>
          <w:color w:val="auto"/>
          <w:kern w:val="32"/>
          <w:szCs w:val="24"/>
          <w:highlight w:val="none"/>
        </w:rPr>
      </w:pPr>
      <w:bookmarkStart w:id="302" w:name="_Toc254884644"/>
      <w:r>
        <w:rPr>
          <w:rFonts w:cs="Times New Roman"/>
          <w:b/>
          <w:bCs/>
          <w:color w:val="auto"/>
          <w:kern w:val="32"/>
          <w:szCs w:val="24"/>
          <w:highlight w:val="none"/>
        </w:rPr>
        <w:t>4. 服务内容</w:t>
      </w:r>
      <w:bookmarkEnd w:id="302"/>
    </w:p>
    <w:tbl>
      <w:tblPr>
        <w:tblStyle w:val="88"/>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19C1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4AAEBD1">
            <w:pPr>
              <w:ind w:firstLine="0" w:firstLineChars="0"/>
              <w:rPr>
                <w:rFonts w:cs="Times New Roman"/>
                <w:color w:val="auto"/>
                <w:szCs w:val="24"/>
                <w:highlight w:val="none"/>
              </w:rPr>
            </w:pPr>
            <w:bookmarkStart w:id="303" w:name="_Toc254884645"/>
            <w:r>
              <w:rPr>
                <w:rFonts w:cs="Times New Roman"/>
                <w:b/>
                <w:bCs/>
                <w:color w:val="auto"/>
                <w:kern w:val="32"/>
                <w:szCs w:val="24"/>
                <w:highlight w:val="none"/>
              </w:rPr>
              <w:t>4.1技术管理</w:t>
            </w:r>
          </w:p>
        </w:tc>
      </w:tr>
      <w:tr w14:paraId="6FAC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61803">
            <w:pPr>
              <w:ind w:firstLine="0" w:firstLineChars="0"/>
              <w:rPr>
                <w:rFonts w:cs="Times New Roman"/>
                <w:color w:val="auto"/>
                <w:szCs w:val="24"/>
                <w:highlight w:val="none"/>
              </w:rPr>
            </w:pPr>
            <w:r>
              <w:rPr>
                <w:rFonts w:cs="Times New Roman"/>
                <w:color w:val="auto"/>
                <w:szCs w:val="24"/>
                <w:highlight w:val="none"/>
              </w:rP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71531D">
            <w:pPr>
              <w:ind w:firstLine="0" w:firstLineChars="0"/>
              <w:rPr>
                <w:rFonts w:cs="Times New Roman"/>
                <w:color w:val="auto"/>
                <w:szCs w:val="24"/>
                <w:highlight w:val="none"/>
              </w:rPr>
            </w:pPr>
            <w:r>
              <w:rPr>
                <w:rFonts w:cs="Times New Roman"/>
                <w:color w:val="auto"/>
                <w:szCs w:val="24"/>
                <w:highlight w:val="none"/>
              </w:rP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4E5A5E">
            <w:pPr>
              <w:ind w:firstLine="0" w:firstLineChars="0"/>
              <w:rPr>
                <w:rFonts w:cs="Times New Roman"/>
                <w:color w:val="auto"/>
                <w:szCs w:val="24"/>
                <w:highlight w:val="none"/>
              </w:rPr>
            </w:pPr>
            <w:r>
              <w:rPr>
                <w:rFonts w:cs="Times New Roman"/>
                <w:color w:val="auto"/>
                <w:szCs w:val="24"/>
                <w:highlight w:val="none"/>
              </w:rPr>
              <w:t>管理目标、沟通和范围</w:t>
            </w:r>
          </w:p>
        </w:tc>
      </w:tr>
      <w:tr w14:paraId="5C2C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D846FB">
            <w:pPr>
              <w:ind w:firstLine="0" w:firstLineChars="0"/>
              <w:rPr>
                <w:rFonts w:cs="Times New Roman"/>
                <w:color w:val="auto"/>
                <w:szCs w:val="24"/>
                <w:highlight w:val="none"/>
              </w:rPr>
            </w:pPr>
            <w:r>
              <w:rPr>
                <w:rFonts w:cs="Times New Roman"/>
                <w:color w:val="auto"/>
                <w:szCs w:val="24"/>
                <w:highlight w:val="none"/>
              </w:rP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58E2A8">
            <w:pPr>
              <w:ind w:firstLine="0" w:firstLineChars="0"/>
              <w:rPr>
                <w:rFonts w:cs="Times New Roman"/>
                <w:color w:val="auto"/>
                <w:szCs w:val="24"/>
                <w:highlight w:val="none"/>
              </w:rPr>
            </w:pPr>
            <w:r>
              <w:rPr>
                <w:rFonts w:cs="Times New Roman"/>
                <w:color w:val="auto"/>
                <w:szCs w:val="24"/>
                <w:highlight w:val="none"/>
              </w:rP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4569CB">
            <w:pPr>
              <w:ind w:firstLine="0" w:firstLineChars="0"/>
              <w:rPr>
                <w:rFonts w:cs="Times New Roman"/>
                <w:color w:val="auto"/>
                <w:szCs w:val="24"/>
                <w:highlight w:val="none"/>
              </w:rPr>
            </w:pPr>
            <w:r>
              <w:rPr>
                <w:rFonts w:cs="Times New Roman"/>
                <w:color w:val="auto"/>
                <w:szCs w:val="24"/>
                <w:highlight w:val="none"/>
              </w:rPr>
              <w:t>在甲方所提供的技术环境内配置和部署系统接入所需的资源</w:t>
            </w:r>
          </w:p>
        </w:tc>
      </w:tr>
      <w:tr w14:paraId="5EC6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57E030">
            <w:pPr>
              <w:ind w:firstLine="0" w:firstLineChars="0"/>
              <w:rPr>
                <w:rFonts w:cs="Times New Roman"/>
                <w:color w:val="auto"/>
                <w:szCs w:val="24"/>
                <w:highlight w:val="none"/>
              </w:rPr>
            </w:pPr>
            <w:r>
              <w:rPr>
                <w:rFonts w:cs="Times New Roman"/>
                <w:color w:val="auto"/>
                <w:szCs w:val="24"/>
                <w:highlight w:val="none"/>
              </w:rP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6C38A9">
            <w:pPr>
              <w:ind w:firstLine="0" w:firstLineChars="0"/>
              <w:rPr>
                <w:rFonts w:cs="Times New Roman"/>
                <w:color w:val="auto"/>
                <w:szCs w:val="24"/>
                <w:highlight w:val="none"/>
              </w:rPr>
            </w:pPr>
            <w:r>
              <w:rPr>
                <w:rFonts w:cs="Times New Roman"/>
                <w:color w:val="auto"/>
                <w:szCs w:val="24"/>
                <w:highlight w:val="none"/>
              </w:rP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AF3005">
            <w:pPr>
              <w:ind w:firstLine="0" w:firstLineChars="0"/>
              <w:rPr>
                <w:rFonts w:cs="Times New Roman"/>
                <w:color w:val="auto"/>
                <w:szCs w:val="24"/>
                <w:highlight w:val="none"/>
              </w:rPr>
            </w:pPr>
            <w:r>
              <w:rPr>
                <w:rFonts w:cs="Times New Roman"/>
                <w:color w:val="auto"/>
                <w:szCs w:val="24"/>
                <w:highlight w:val="none"/>
              </w:rPr>
              <w:t>管理运行过程中的各个环节和环境（如测试、培训、维护等）</w:t>
            </w:r>
          </w:p>
        </w:tc>
      </w:tr>
      <w:tr w14:paraId="5DFD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F16FAFF">
            <w:pPr>
              <w:ind w:firstLine="0" w:firstLineChars="0"/>
              <w:rPr>
                <w:rFonts w:cs="Times New Roman"/>
                <w:b/>
                <w:color w:val="auto"/>
                <w:szCs w:val="24"/>
                <w:highlight w:val="none"/>
              </w:rPr>
            </w:pPr>
            <w:r>
              <w:rPr>
                <w:rFonts w:cs="Times New Roman"/>
                <w:b/>
                <w:color w:val="auto"/>
                <w:szCs w:val="24"/>
                <w:highlight w:val="none"/>
              </w:rPr>
              <w:t>4.2系统处理</w:t>
            </w:r>
          </w:p>
        </w:tc>
      </w:tr>
      <w:tr w14:paraId="4810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07C589">
            <w:pPr>
              <w:ind w:firstLine="0" w:firstLineChars="0"/>
              <w:rPr>
                <w:rFonts w:cs="Times New Roman"/>
                <w:color w:val="auto"/>
                <w:szCs w:val="24"/>
                <w:highlight w:val="none"/>
              </w:rPr>
            </w:pPr>
            <w:r>
              <w:rPr>
                <w:rFonts w:cs="Times New Roman"/>
                <w:color w:val="auto"/>
                <w:szCs w:val="24"/>
                <w:highlight w:val="none"/>
              </w:rP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390AE9">
            <w:pPr>
              <w:ind w:firstLine="0" w:firstLineChars="0"/>
              <w:rPr>
                <w:rFonts w:cs="Times New Roman"/>
                <w:color w:val="auto"/>
                <w:szCs w:val="24"/>
                <w:highlight w:val="none"/>
              </w:rPr>
            </w:pPr>
            <w:r>
              <w:rPr>
                <w:rFonts w:cs="Times New Roman"/>
                <w:color w:val="auto"/>
                <w:szCs w:val="24"/>
                <w:highlight w:val="none"/>
              </w:rP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1E4D09">
            <w:pPr>
              <w:ind w:firstLine="0" w:firstLineChars="0"/>
              <w:rPr>
                <w:rFonts w:cs="Times New Roman"/>
                <w:color w:val="auto"/>
                <w:szCs w:val="24"/>
                <w:highlight w:val="none"/>
              </w:rPr>
            </w:pPr>
            <w:r>
              <w:rPr>
                <w:rFonts w:cs="Times New Roman"/>
                <w:color w:val="auto"/>
                <w:szCs w:val="24"/>
                <w:highlight w:val="none"/>
              </w:rPr>
              <w:t>提供数据容量规划咨询，设计系统的备份策略，完成其有效性验证</w:t>
            </w:r>
          </w:p>
        </w:tc>
      </w:tr>
      <w:tr w14:paraId="0171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D991A3">
            <w:pPr>
              <w:ind w:firstLine="0" w:firstLineChars="0"/>
              <w:rPr>
                <w:rFonts w:cs="Times New Roman"/>
                <w:color w:val="auto"/>
                <w:szCs w:val="24"/>
                <w:highlight w:val="none"/>
              </w:rPr>
            </w:pPr>
            <w:r>
              <w:rPr>
                <w:rFonts w:cs="Times New Roman"/>
                <w:color w:val="auto"/>
                <w:szCs w:val="24"/>
                <w:highlight w:val="none"/>
              </w:rP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2D1ED6">
            <w:pPr>
              <w:ind w:firstLine="0" w:firstLineChars="0"/>
              <w:rPr>
                <w:rFonts w:cs="Times New Roman"/>
                <w:color w:val="auto"/>
                <w:szCs w:val="24"/>
                <w:highlight w:val="none"/>
              </w:rPr>
            </w:pPr>
            <w:r>
              <w:rPr>
                <w:rFonts w:cs="Times New Roman"/>
                <w:color w:val="auto"/>
                <w:szCs w:val="24"/>
                <w:highlight w:val="none"/>
              </w:rP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E988DF">
            <w:pPr>
              <w:ind w:firstLine="0" w:firstLineChars="0"/>
              <w:rPr>
                <w:rFonts w:cs="Times New Roman"/>
                <w:color w:val="auto"/>
                <w:szCs w:val="24"/>
                <w:highlight w:val="none"/>
              </w:rPr>
            </w:pPr>
            <w:r>
              <w:rPr>
                <w:rFonts w:cs="Times New Roman"/>
                <w:color w:val="auto"/>
                <w:szCs w:val="24"/>
                <w:highlight w:val="none"/>
              </w:rPr>
              <w:t>设计系统的恢复策略，完成其有效性验证</w:t>
            </w:r>
          </w:p>
        </w:tc>
      </w:tr>
      <w:tr w14:paraId="412A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51D8274">
            <w:pPr>
              <w:ind w:firstLine="0" w:firstLineChars="0"/>
              <w:rPr>
                <w:rFonts w:cs="Times New Roman"/>
                <w:b/>
                <w:color w:val="auto"/>
                <w:szCs w:val="24"/>
                <w:highlight w:val="none"/>
              </w:rPr>
            </w:pPr>
            <w:r>
              <w:rPr>
                <w:rFonts w:cs="Times New Roman"/>
                <w:b/>
                <w:color w:val="auto"/>
                <w:szCs w:val="24"/>
                <w:highlight w:val="none"/>
              </w:rPr>
              <w:t>4.3软件开发及测试</w:t>
            </w:r>
          </w:p>
        </w:tc>
      </w:tr>
      <w:tr w14:paraId="267D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C5D5FC">
            <w:pPr>
              <w:ind w:firstLine="0" w:firstLineChars="0"/>
              <w:rPr>
                <w:rFonts w:cs="Times New Roman"/>
                <w:color w:val="auto"/>
                <w:szCs w:val="24"/>
                <w:highlight w:val="none"/>
              </w:rPr>
            </w:pPr>
            <w:r>
              <w:rPr>
                <w:rFonts w:cs="Times New Roman"/>
                <w:color w:val="auto"/>
                <w:szCs w:val="24"/>
                <w:highlight w:val="none"/>
              </w:rP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ED261F">
            <w:pPr>
              <w:ind w:firstLine="0" w:firstLineChars="0"/>
              <w:rPr>
                <w:rFonts w:cs="Times New Roman"/>
                <w:color w:val="auto"/>
                <w:szCs w:val="24"/>
                <w:highlight w:val="none"/>
              </w:rPr>
            </w:pPr>
            <w:r>
              <w:rPr>
                <w:rFonts w:cs="Times New Roman"/>
                <w:color w:val="auto"/>
                <w:szCs w:val="24"/>
                <w:highlight w:val="none"/>
              </w:rP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619999">
            <w:pPr>
              <w:ind w:firstLine="0" w:firstLineChars="0"/>
              <w:rPr>
                <w:rFonts w:cs="Times New Roman"/>
                <w:color w:val="auto"/>
                <w:szCs w:val="24"/>
                <w:highlight w:val="none"/>
              </w:rPr>
            </w:pPr>
            <w:r>
              <w:rPr>
                <w:rFonts w:cs="Times New Roman"/>
                <w:color w:val="auto"/>
                <w:szCs w:val="24"/>
                <w:highlight w:val="none"/>
              </w:rPr>
              <w:t>负责管理和设计应用软件，配合进行软件过程开发管理</w:t>
            </w:r>
          </w:p>
        </w:tc>
      </w:tr>
      <w:tr w14:paraId="1D09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776F29">
            <w:pPr>
              <w:ind w:firstLine="0" w:firstLineChars="0"/>
              <w:rPr>
                <w:rFonts w:cs="Times New Roman"/>
                <w:color w:val="auto"/>
                <w:szCs w:val="24"/>
                <w:highlight w:val="none"/>
              </w:rPr>
            </w:pPr>
            <w:r>
              <w:rPr>
                <w:rFonts w:cs="Times New Roman"/>
                <w:color w:val="auto"/>
                <w:szCs w:val="24"/>
                <w:highlight w:val="none"/>
              </w:rP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82A738">
            <w:pPr>
              <w:ind w:firstLine="0" w:firstLineChars="0"/>
              <w:rPr>
                <w:rFonts w:cs="Times New Roman"/>
                <w:color w:val="auto"/>
                <w:szCs w:val="24"/>
                <w:highlight w:val="none"/>
              </w:rPr>
            </w:pPr>
            <w:r>
              <w:rPr>
                <w:rFonts w:cs="Times New Roman"/>
                <w:color w:val="auto"/>
                <w:szCs w:val="24"/>
                <w:highlight w:val="none"/>
              </w:rP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73A320">
            <w:pPr>
              <w:ind w:firstLine="0" w:firstLineChars="0"/>
              <w:rPr>
                <w:rFonts w:cs="Times New Roman"/>
                <w:color w:val="auto"/>
                <w:szCs w:val="24"/>
                <w:highlight w:val="none"/>
              </w:rPr>
            </w:pPr>
            <w:r>
              <w:rPr>
                <w:rFonts w:cs="Times New Roman"/>
                <w:color w:val="auto"/>
                <w:szCs w:val="24"/>
                <w:highlight w:val="none"/>
              </w:rPr>
              <w:t>设计和开发系统内部各模块的接口以及与外部系统进行数据交互的接口</w:t>
            </w:r>
          </w:p>
        </w:tc>
      </w:tr>
      <w:tr w14:paraId="42DE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05F68">
            <w:pPr>
              <w:ind w:firstLine="0" w:firstLineChars="0"/>
              <w:rPr>
                <w:rFonts w:cs="Times New Roman"/>
                <w:color w:val="auto"/>
                <w:szCs w:val="24"/>
                <w:highlight w:val="none"/>
              </w:rPr>
            </w:pPr>
            <w:r>
              <w:rPr>
                <w:rFonts w:cs="Times New Roman"/>
                <w:color w:val="auto"/>
                <w:szCs w:val="24"/>
                <w:highlight w:val="none"/>
              </w:rP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D24676">
            <w:pPr>
              <w:ind w:firstLine="0" w:firstLineChars="0"/>
              <w:rPr>
                <w:rFonts w:cs="Times New Roman"/>
                <w:color w:val="auto"/>
                <w:szCs w:val="24"/>
                <w:highlight w:val="none"/>
              </w:rPr>
            </w:pPr>
            <w:r>
              <w:rPr>
                <w:rFonts w:cs="Times New Roman"/>
                <w:color w:val="auto"/>
                <w:szCs w:val="24"/>
                <w:highlight w:val="none"/>
              </w:rP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033F7F">
            <w:pPr>
              <w:ind w:firstLine="0" w:firstLineChars="0"/>
              <w:rPr>
                <w:rFonts w:cs="Times New Roman"/>
                <w:color w:val="auto"/>
                <w:szCs w:val="24"/>
                <w:highlight w:val="none"/>
              </w:rPr>
            </w:pPr>
            <w:r>
              <w:rPr>
                <w:rFonts w:cs="Times New Roman"/>
                <w:color w:val="auto"/>
                <w:szCs w:val="24"/>
                <w:highlight w:val="none"/>
              </w:rPr>
              <w:t>编写代码并且完成开发自测与系统测试</w:t>
            </w:r>
          </w:p>
        </w:tc>
      </w:tr>
      <w:tr w14:paraId="630FF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02C360">
            <w:pPr>
              <w:ind w:firstLine="0" w:firstLineChars="0"/>
              <w:rPr>
                <w:rFonts w:cs="Times New Roman"/>
                <w:color w:val="auto"/>
                <w:szCs w:val="24"/>
                <w:highlight w:val="none"/>
              </w:rPr>
            </w:pPr>
            <w:r>
              <w:rPr>
                <w:rFonts w:cs="Times New Roman"/>
                <w:color w:val="auto"/>
                <w:szCs w:val="24"/>
                <w:highlight w:val="none"/>
              </w:rP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D36D15">
            <w:pPr>
              <w:ind w:firstLine="0" w:firstLineChars="0"/>
              <w:rPr>
                <w:rFonts w:cs="Times New Roman"/>
                <w:color w:val="auto"/>
                <w:szCs w:val="24"/>
                <w:highlight w:val="none"/>
              </w:rPr>
            </w:pPr>
            <w:r>
              <w:rPr>
                <w:rFonts w:cs="Times New Roman"/>
                <w:color w:val="auto"/>
                <w:szCs w:val="24"/>
                <w:highlight w:val="none"/>
              </w:rP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0574EF">
            <w:pPr>
              <w:ind w:firstLine="0" w:firstLineChars="0"/>
              <w:rPr>
                <w:rFonts w:cs="Times New Roman"/>
                <w:color w:val="auto"/>
                <w:szCs w:val="24"/>
                <w:highlight w:val="none"/>
              </w:rPr>
            </w:pPr>
            <w:r>
              <w:rPr>
                <w:rFonts w:cs="Times New Roman"/>
                <w:color w:val="auto"/>
                <w:szCs w:val="24"/>
                <w:highlight w:val="none"/>
              </w:rPr>
              <w:t>负责现场培训</w:t>
            </w:r>
          </w:p>
        </w:tc>
      </w:tr>
      <w:tr w14:paraId="72DD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030A1BE">
            <w:pPr>
              <w:ind w:firstLine="0" w:firstLineChars="0"/>
              <w:rPr>
                <w:rFonts w:cs="Times New Roman"/>
                <w:b/>
                <w:color w:val="auto"/>
                <w:szCs w:val="24"/>
                <w:highlight w:val="none"/>
              </w:rPr>
            </w:pPr>
            <w:r>
              <w:rPr>
                <w:rFonts w:cs="Times New Roman"/>
                <w:b/>
                <w:color w:val="auto"/>
                <w:szCs w:val="24"/>
                <w:highlight w:val="none"/>
              </w:rPr>
              <w:t>4.4 支持和维护</w:t>
            </w:r>
          </w:p>
        </w:tc>
      </w:tr>
      <w:tr w14:paraId="2D21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22599D">
            <w:pPr>
              <w:ind w:firstLine="0" w:firstLineChars="0"/>
              <w:rPr>
                <w:rFonts w:cs="Times New Roman"/>
                <w:color w:val="auto"/>
                <w:szCs w:val="24"/>
                <w:highlight w:val="none"/>
              </w:rPr>
            </w:pPr>
            <w:r>
              <w:rPr>
                <w:rFonts w:cs="Times New Roman"/>
                <w:color w:val="auto"/>
                <w:szCs w:val="24"/>
                <w:highlight w:val="none"/>
              </w:rP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277767">
            <w:pPr>
              <w:ind w:firstLine="0" w:firstLineChars="0"/>
              <w:rPr>
                <w:rFonts w:cs="Times New Roman"/>
                <w:color w:val="auto"/>
                <w:szCs w:val="24"/>
                <w:highlight w:val="none"/>
              </w:rPr>
            </w:pPr>
            <w:r>
              <w:rPr>
                <w:rFonts w:cs="Times New Roman"/>
                <w:color w:val="auto"/>
                <w:szCs w:val="24"/>
                <w:highlight w:val="none"/>
              </w:rP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1DCE81">
            <w:pPr>
              <w:ind w:firstLine="0" w:firstLineChars="0"/>
              <w:rPr>
                <w:rFonts w:cs="Times New Roman"/>
                <w:color w:val="auto"/>
                <w:szCs w:val="24"/>
                <w:highlight w:val="none"/>
              </w:rPr>
            </w:pPr>
            <w:r>
              <w:rPr>
                <w:rFonts w:cs="Times New Roman"/>
                <w:color w:val="auto"/>
                <w:szCs w:val="24"/>
                <w:highlight w:val="none"/>
              </w:rPr>
              <w:t>根据变更需求在甲方的技术环境内设计并且执行所有平台和应用软件变更程序</w:t>
            </w:r>
          </w:p>
        </w:tc>
      </w:tr>
      <w:tr w14:paraId="701A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B87C38">
            <w:pPr>
              <w:ind w:firstLine="0" w:firstLineChars="0"/>
              <w:rPr>
                <w:rFonts w:cs="Times New Roman"/>
                <w:color w:val="auto"/>
                <w:szCs w:val="24"/>
                <w:highlight w:val="none"/>
              </w:rPr>
            </w:pPr>
            <w:r>
              <w:rPr>
                <w:rFonts w:cs="Times New Roman"/>
                <w:color w:val="auto"/>
                <w:szCs w:val="24"/>
                <w:highlight w:val="none"/>
              </w:rP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0F2651">
            <w:pPr>
              <w:ind w:firstLine="0" w:firstLineChars="0"/>
              <w:rPr>
                <w:rFonts w:cs="Times New Roman"/>
                <w:color w:val="auto"/>
                <w:szCs w:val="24"/>
                <w:highlight w:val="none"/>
              </w:rPr>
            </w:pPr>
            <w:r>
              <w:rPr>
                <w:rFonts w:cs="Times New Roman"/>
                <w:color w:val="auto"/>
                <w:szCs w:val="24"/>
                <w:highlight w:val="none"/>
              </w:rP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664C0A">
            <w:pPr>
              <w:ind w:firstLine="0" w:firstLineChars="0"/>
              <w:rPr>
                <w:rFonts w:cs="Times New Roman"/>
                <w:color w:val="auto"/>
                <w:szCs w:val="24"/>
                <w:highlight w:val="none"/>
              </w:rPr>
            </w:pPr>
            <w:r>
              <w:rPr>
                <w:rFonts w:cs="Times New Roman"/>
                <w:color w:val="auto"/>
                <w:szCs w:val="24"/>
                <w:highlight w:val="none"/>
              </w:rPr>
              <w:t>提供对系统监控的支持，包括专有硬件设备（如有）、应用系统进程、日志、连接等</w:t>
            </w:r>
          </w:p>
        </w:tc>
      </w:tr>
      <w:tr w14:paraId="0B4C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87D54A">
            <w:pPr>
              <w:ind w:firstLine="0" w:firstLineChars="0"/>
              <w:rPr>
                <w:rFonts w:cs="Times New Roman"/>
                <w:color w:val="auto"/>
                <w:szCs w:val="24"/>
                <w:highlight w:val="none"/>
              </w:rPr>
            </w:pPr>
            <w:r>
              <w:rPr>
                <w:rFonts w:cs="Times New Roman"/>
                <w:color w:val="auto"/>
                <w:szCs w:val="24"/>
                <w:highlight w:val="none"/>
              </w:rP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3F0667">
            <w:pPr>
              <w:ind w:firstLine="0" w:firstLineChars="0"/>
              <w:rPr>
                <w:rFonts w:cs="Times New Roman"/>
                <w:color w:val="auto"/>
                <w:szCs w:val="24"/>
                <w:highlight w:val="none"/>
              </w:rPr>
            </w:pPr>
            <w:r>
              <w:rPr>
                <w:rFonts w:cs="Times New Roman"/>
                <w:color w:val="auto"/>
                <w:szCs w:val="24"/>
                <w:highlight w:val="none"/>
              </w:rP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C9B413">
            <w:pPr>
              <w:ind w:firstLine="0" w:firstLineChars="0"/>
              <w:rPr>
                <w:rFonts w:cs="Times New Roman"/>
                <w:color w:val="auto"/>
                <w:szCs w:val="24"/>
                <w:highlight w:val="none"/>
              </w:rPr>
            </w:pPr>
            <w:r>
              <w:rPr>
                <w:rFonts w:cs="Times New Roman"/>
                <w:color w:val="auto"/>
                <w:szCs w:val="24"/>
                <w:highlight w:val="none"/>
              </w:rPr>
              <w:t>制定测试环境发布方案，协助将具体的目标系统从测试环境移植到生产的上线方案</w:t>
            </w:r>
          </w:p>
        </w:tc>
      </w:tr>
      <w:tr w14:paraId="5448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C16705">
            <w:pPr>
              <w:ind w:firstLine="0" w:firstLineChars="0"/>
              <w:rPr>
                <w:rFonts w:cs="Times New Roman"/>
                <w:color w:val="auto"/>
                <w:szCs w:val="24"/>
                <w:highlight w:val="none"/>
              </w:rPr>
            </w:pPr>
            <w:r>
              <w:rPr>
                <w:rFonts w:cs="Times New Roman"/>
                <w:color w:val="auto"/>
                <w:szCs w:val="24"/>
                <w:highlight w:val="none"/>
              </w:rP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E5032E">
            <w:pPr>
              <w:ind w:firstLine="0" w:firstLineChars="0"/>
              <w:rPr>
                <w:rFonts w:cs="Times New Roman"/>
                <w:color w:val="auto"/>
                <w:szCs w:val="24"/>
                <w:highlight w:val="none"/>
              </w:rPr>
            </w:pPr>
            <w:r>
              <w:rPr>
                <w:rFonts w:cs="Times New Roman"/>
                <w:color w:val="auto"/>
                <w:szCs w:val="24"/>
                <w:highlight w:val="none"/>
              </w:rP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8BAA2C">
            <w:pPr>
              <w:ind w:firstLine="0" w:firstLineChars="0"/>
              <w:rPr>
                <w:rFonts w:cs="Times New Roman"/>
                <w:color w:val="auto"/>
                <w:szCs w:val="24"/>
                <w:highlight w:val="none"/>
              </w:rPr>
            </w:pPr>
            <w:r>
              <w:rPr>
                <w:rFonts w:cs="Times New Roman"/>
                <w:color w:val="auto"/>
                <w:szCs w:val="24"/>
                <w:highlight w:val="none"/>
              </w:rPr>
              <w:t>配合甲方完成上线前的漏洞扫描、渗透测试等安全评估工作，根据甲方要求完成发现漏洞的整改工作</w:t>
            </w:r>
          </w:p>
        </w:tc>
      </w:tr>
      <w:tr w14:paraId="0B3D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2F86E2A">
            <w:pPr>
              <w:ind w:firstLine="0" w:firstLineChars="0"/>
              <w:rPr>
                <w:rFonts w:cs="Times New Roman"/>
                <w:b/>
                <w:color w:val="auto"/>
                <w:szCs w:val="24"/>
                <w:highlight w:val="none"/>
              </w:rPr>
            </w:pPr>
            <w:r>
              <w:rPr>
                <w:rFonts w:cs="Times New Roman"/>
                <w:b/>
                <w:color w:val="auto"/>
                <w:szCs w:val="24"/>
                <w:highlight w:val="none"/>
              </w:rPr>
              <w:t>4.5 后续支持</w:t>
            </w:r>
          </w:p>
        </w:tc>
      </w:tr>
      <w:tr w14:paraId="31DC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45B366">
            <w:pPr>
              <w:ind w:firstLine="0" w:firstLineChars="0"/>
              <w:rPr>
                <w:rFonts w:cs="Times New Roman"/>
                <w:color w:val="auto"/>
                <w:szCs w:val="24"/>
                <w:highlight w:val="none"/>
              </w:rPr>
            </w:pPr>
            <w:r>
              <w:rPr>
                <w:rFonts w:cs="Times New Roman"/>
                <w:color w:val="auto"/>
                <w:szCs w:val="24"/>
                <w:highlight w:val="none"/>
              </w:rP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12A1CE">
            <w:pPr>
              <w:ind w:firstLine="0" w:firstLineChars="0"/>
              <w:rPr>
                <w:rFonts w:cs="Times New Roman"/>
                <w:color w:val="auto"/>
                <w:szCs w:val="24"/>
                <w:highlight w:val="none"/>
              </w:rPr>
            </w:pPr>
            <w:r>
              <w:rPr>
                <w:rFonts w:cs="Times New Roman"/>
                <w:color w:val="auto"/>
                <w:szCs w:val="24"/>
                <w:highlight w:val="none"/>
              </w:rP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3E9D71">
            <w:pPr>
              <w:ind w:firstLine="0" w:firstLineChars="0"/>
              <w:rPr>
                <w:rFonts w:cs="Times New Roman"/>
                <w:color w:val="auto"/>
                <w:szCs w:val="24"/>
                <w:highlight w:val="none"/>
              </w:rPr>
            </w:pPr>
            <w:r>
              <w:rPr>
                <w:rFonts w:cs="Times New Roman"/>
                <w:color w:val="auto"/>
                <w:szCs w:val="24"/>
                <w:highlight w:val="none"/>
              </w:rPr>
              <w:t>提供系统版本安装和升级支持，包括响应甲方对生产、测试、开发、培训环境的安装和升级要求；提供硬件更换服务</w:t>
            </w:r>
          </w:p>
        </w:tc>
      </w:tr>
      <w:tr w14:paraId="1EF0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68828C">
            <w:pPr>
              <w:ind w:firstLine="0" w:firstLineChars="0"/>
              <w:rPr>
                <w:rFonts w:cs="Times New Roman"/>
                <w:color w:val="auto"/>
                <w:szCs w:val="24"/>
                <w:highlight w:val="none"/>
              </w:rPr>
            </w:pPr>
            <w:r>
              <w:rPr>
                <w:rFonts w:cs="Times New Roman"/>
                <w:color w:val="auto"/>
                <w:szCs w:val="24"/>
                <w:highlight w:val="none"/>
              </w:rP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A8888">
            <w:pPr>
              <w:ind w:firstLine="0" w:firstLineChars="0"/>
              <w:rPr>
                <w:rFonts w:cs="Times New Roman"/>
                <w:color w:val="auto"/>
                <w:szCs w:val="24"/>
                <w:highlight w:val="none"/>
              </w:rPr>
            </w:pPr>
            <w:r>
              <w:rPr>
                <w:rFonts w:cs="Times New Roman"/>
                <w:color w:val="auto"/>
                <w:szCs w:val="24"/>
                <w:highlight w:val="none"/>
              </w:rP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09DA79">
            <w:pPr>
              <w:ind w:firstLine="0" w:firstLineChars="0"/>
              <w:rPr>
                <w:rFonts w:cs="Times New Roman"/>
                <w:color w:val="auto"/>
                <w:szCs w:val="24"/>
                <w:highlight w:val="none"/>
              </w:rPr>
            </w:pPr>
            <w:r>
              <w:rPr>
                <w:rFonts w:cs="Times New Roman"/>
                <w:color w:val="auto"/>
                <w:szCs w:val="24"/>
                <w:highlight w:val="none"/>
              </w:rPr>
              <w:t>针对系统运行过程中发现的安全漏洞，根据甲方要求完成整改工作</w:t>
            </w:r>
          </w:p>
        </w:tc>
      </w:tr>
      <w:tr w14:paraId="6EDA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4DDA0E">
            <w:pPr>
              <w:ind w:firstLine="0" w:firstLineChars="0"/>
              <w:rPr>
                <w:rFonts w:cs="Times New Roman"/>
                <w:color w:val="auto"/>
                <w:szCs w:val="24"/>
                <w:highlight w:val="none"/>
              </w:rPr>
            </w:pPr>
            <w:r>
              <w:rPr>
                <w:rFonts w:cs="Times New Roman"/>
                <w:color w:val="auto"/>
                <w:szCs w:val="24"/>
                <w:highlight w:val="none"/>
              </w:rP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4D07F9">
            <w:pPr>
              <w:ind w:firstLine="0" w:firstLineChars="0"/>
              <w:rPr>
                <w:rFonts w:cs="Times New Roman"/>
                <w:color w:val="auto"/>
                <w:szCs w:val="24"/>
                <w:highlight w:val="none"/>
              </w:rPr>
            </w:pPr>
            <w:r>
              <w:rPr>
                <w:rFonts w:cs="Times New Roman"/>
                <w:color w:val="auto"/>
                <w:szCs w:val="24"/>
                <w:highlight w:val="none"/>
              </w:rP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E83BFC">
            <w:pPr>
              <w:ind w:firstLine="0" w:firstLineChars="0"/>
              <w:rPr>
                <w:rFonts w:cs="Times New Roman"/>
                <w:color w:val="auto"/>
                <w:szCs w:val="24"/>
                <w:highlight w:val="none"/>
              </w:rPr>
            </w:pPr>
            <w:r>
              <w:rPr>
                <w:rFonts w:cs="Times New Roman"/>
                <w:color w:val="auto"/>
                <w:szCs w:val="24"/>
                <w:highlight w:val="none"/>
              </w:rPr>
              <w:t>提供7×24小时的技术支持服务</w:t>
            </w:r>
          </w:p>
        </w:tc>
      </w:tr>
      <w:tr w14:paraId="6B95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6A3FAA">
            <w:pPr>
              <w:ind w:firstLine="0" w:firstLineChars="0"/>
              <w:rPr>
                <w:rFonts w:cs="Times New Roman"/>
                <w:color w:val="auto"/>
                <w:szCs w:val="24"/>
                <w:highlight w:val="none"/>
              </w:rPr>
            </w:pPr>
            <w:r>
              <w:rPr>
                <w:rFonts w:cs="Times New Roman"/>
                <w:color w:val="auto"/>
                <w:szCs w:val="24"/>
                <w:highlight w:val="none"/>
              </w:rP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6EC9D7">
            <w:pPr>
              <w:ind w:firstLine="0" w:firstLineChars="0"/>
              <w:rPr>
                <w:rFonts w:cs="Times New Roman"/>
                <w:color w:val="auto"/>
                <w:szCs w:val="24"/>
                <w:highlight w:val="none"/>
              </w:rPr>
            </w:pPr>
            <w:r>
              <w:rPr>
                <w:rFonts w:cs="Times New Roman"/>
                <w:color w:val="auto"/>
                <w:szCs w:val="24"/>
                <w:highlight w:val="none"/>
              </w:rP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4B8C0F">
            <w:pPr>
              <w:ind w:firstLine="0" w:firstLineChars="0"/>
              <w:rPr>
                <w:rFonts w:cs="Times New Roman"/>
                <w:color w:val="auto"/>
                <w:szCs w:val="24"/>
                <w:highlight w:val="none"/>
              </w:rPr>
            </w:pPr>
            <w:r>
              <w:rPr>
                <w:rFonts w:cs="Times New Roman"/>
                <w:color w:val="auto"/>
                <w:szCs w:val="24"/>
                <w:highlight w:val="none"/>
              </w:rPr>
              <w:t>提供系统运行状况报告</w:t>
            </w:r>
          </w:p>
        </w:tc>
      </w:tr>
      <w:tr w14:paraId="3ECD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F36A30">
            <w:pPr>
              <w:ind w:firstLine="0" w:firstLineChars="0"/>
              <w:rPr>
                <w:rFonts w:cs="Times New Roman"/>
                <w:color w:val="auto"/>
                <w:szCs w:val="24"/>
                <w:highlight w:val="none"/>
              </w:rPr>
            </w:pPr>
            <w:r>
              <w:rPr>
                <w:rFonts w:cs="Times New Roman"/>
                <w:color w:val="auto"/>
                <w:szCs w:val="24"/>
                <w:highlight w:val="none"/>
              </w:rP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0BDA91">
            <w:pPr>
              <w:ind w:firstLine="0" w:firstLineChars="0"/>
              <w:rPr>
                <w:rFonts w:cs="Times New Roman"/>
                <w:color w:val="auto"/>
                <w:szCs w:val="24"/>
                <w:highlight w:val="none"/>
              </w:rPr>
            </w:pPr>
            <w:r>
              <w:rPr>
                <w:rFonts w:cs="Times New Roman"/>
                <w:color w:val="auto"/>
                <w:szCs w:val="24"/>
                <w:highlight w:val="none"/>
              </w:rP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AB9DE1">
            <w:pPr>
              <w:ind w:firstLine="0" w:firstLineChars="0"/>
              <w:rPr>
                <w:rFonts w:cs="Times New Roman"/>
                <w:color w:val="auto"/>
                <w:szCs w:val="24"/>
                <w:highlight w:val="none"/>
              </w:rPr>
            </w:pPr>
            <w:r>
              <w:rPr>
                <w:rFonts w:cs="Times New Roman"/>
                <w:color w:val="auto"/>
                <w:szCs w:val="24"/>
                <w:highlight w:val="none"/>
              </w:rPr>
              <w:t>提供重大问题现场解决，提供系统性能、容量、问题报告</w:t>
            </w:r>
          </w:p>
        </w:tc>
      </w:tr>
      <w:tr w14:paraId="63E3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178A94">
            <w:pPr>
              <w:ind w:firstLine="0" w:firstLineChars="0"/>
              <w:rPr>
                <w:rFonts w:cs="Times New Roman"/>
                <w:color w:val="auto"/>
                <w:szCs w:val="24"/>
                <w:highlight w:val="none"/>
              </w:rPr>
            </w:pPr>
            <w:r>
              <w:rPr>
                <w:rFonts w:cs="Times New Roman"/>
                <w:color w:val="auto"/>
                <w:szCs w:val="24"/>
                <w:highlight w:val="none"/>
              </w:rP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F5A2D9">
            <w:pPr>
              <w:ind w:firstLine="420"/>
              <w:rPr>
                <w:rFonts w:cs="Times New Roman"/>
                <w:color w:val="auto"/>
                <w:szCs w:val="24"/>
                <w:highlight w:val="none"/>
              </w:rPr>
            </w:pPr>
            <w:r>
              <w:rPr>
                <w:rFonts w:cs="Times New Roman"/>
                <w:color w:val="auto"/>
                <w:szCs w:val="24"/>
                <w:highlight w:val="none"/>
              </w:rP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20A587">
            <w:pPr>
              <w:ind w:firstLine="0" w:firstLineChars="0"/>
              <w:rPr>
                <w:rFonts w:cs="Times New Roman"/>
                <w:color w:val="auto"/>
                <w:szCs w:val="24"/>
                <w:highlight w:val="none"/>
              </w:rPr>
            </w:pPr>
            <w:r>
              <w:rPr>
                <w:rFonts w:cs="Times New Roman"/>
                <w:color w:val="auto"/>
                <w:szCs w:val="24"/>
                <w:highlight w:val="none"/>
              </w:rPr>
              <w:t>要求按服务水平和指标及时响应：</w:t>
            </w:r>
          </w:p>
          <w:p w14:paraId="6F75967C">
            <w:pPr>
              <w:ind w:firstLine="0" w:firstLineChars="0"/>
              <w:rPr>
                <w:rFonts w:cs="Times New Roman"/>
                <w:color w:val="auto"/>
                <w:szCs w:val="24"/>
                <w:highlight w:val="none"/>
              </w:rPr>
            </w:pPr>
            <w:r>
              <w:rPr>
                <w:rFonts w:cs="Times New Roman"/>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08EBB602">
            <w:pPr>
              <w:ind w:firstLine="0" w:firstLineChars="0"/>
              <w:rPr>
                <w:rFonts w:cs="Times New Roman"/>
                <w:color w:val="auto"/>
                <w:szCs w:val="24"/>
                <w:highlight w:val="none"/>
              </w:rPr>
            </w:pPr>
            <w:r>
              <w:rPr>
                <w:rFonts w:cs="Times New Roman"/>
                <w:color w:val="auto"/>
                <w:szCs w:val="24"/>
                <w:highlight w:val="none"/>
              </w:rPr>
              <w:t>二级响应：系统的运行性能严重下降，或性能明显下降，对业务运作产生明显影响。响应时间1小时内，必要时4小时到达，8小时内排除问题；</w:t>
            </w:r>
          </w:p>
          <w:p w14:paraId="10BED6E3">
            <w:pPr>
              <w:ind w:firstLine="420"/>
              <w:rPr>
                <w:rFonts w:cs="Times New Roman"/>
                <w:color w:val="auto"/>
                <w:szCs w:val="24"/>
                <w:highlight w:val="none"/>
              </w:rPr>
            </w:pPr>
            <w:r>
              <w:rPr>
                <w:rFonts w:cs="Times New Roman"/>
                <w:color w:val="auto"/>
                <w:szCs w:val="24"/>
                <w:highlight w:val="none"/>
              </w:rPr>
              <w:t>三级响应：系统的运作性能受损，但业务仍可正常运行，响应时间12小时内，必要时24小时到达，1周内排除问题；</w:t>
            </w:r>
          </w:p>
          <w:p w14:paraId="507AF198">
            <w:pPr>
              <w:ind w:firstLine="420"/>
              <w:rPr>
                <w:rFonts w:cs="Times New Roman"/>
                <w:color w:val="auto"/>
                <w:szCs w:val="24"/>
                <w:highlight w:val="none"/>
              </w:rPr>
            </w:pPr>
            <w:r>
              <w:rPr>
                <w:rFonts w:cs="Times New Roman"/>
                <w:color w:val="auto"/>
                <w:szCs w:val="24"/>
                <w:highlight w:val="none"/>
              </w:rPr>
              <w:t>四级响应：对系统安装或配置方面需要咨询或支援，很显然对业务运作几乎无影响，或根本没有影响。响应时间24小时内，必要时48小时到达，2周内排除问题。</w:t>
            </w:r>
          </w:p>
        </w:tc>
      </w:tr>
    </w:tbl>
    <w:p w14:paraId="4BA809D3">
      <w:pPr>
        <w:ind w:firstLine="0" w:firstLineChars="0"/>
        <w:rPr>
          <w:rFonts w:cs="Times New Roman"/>
          <w:b/>
          <w:bCs/>
          <w:color w:val="auto"/>
          <w:kern w:val="32"/>
          <w:szCs w:val="24"/>
          <w:highlight w:val="none"/>
        </w:rPr>
      </w:pPr>
    </w:p>
    <w:p w14:paraId="5D22509E">
      <w:pPr>
        <w:ind w:firstLine="422"/>
        <w:rPr>
          <w:rFonts w:cs="Times New Roman"/>
          <w:b/>
          <w:bCs/>
          <w:color w:val="auto"/>
          <w:kern w:val="32"/>
          <w:szCs w:val="24"/>
          <w:highlight w:val="none"/>
        </w:rPr>
      </w:pPr>
      <w:r>
        <w:rPr>
          <w:rFonts w:cs="Times New Roman"/>
          <w:b/>
          <w:bCs/>
          <w:color w:val="auto"/>
          <w:kern w:val="32"/>
          <w:szCs w:val="24"/>
          <w:highlight w:val="none"/>
        </w:rPr>
        <w:t>5. 问题管理流程</w:t>
      </w:r>
      <w:bookmarkEnd w:id="303"/>
    </w:p>
    <w:p w14:paraId="0C6F597C">
      <w:pPr>
        <w:ind w:firstLine="422"/>
        <w:rPr>
          <w:rFonts w:cs="Times New Roman"/>
          <w:b/>
          <w:bCs/>
          <w:color w:val="auto"/>
          <w:kern w:val="32"/>
          <w:szCs w:val="24"/>
          <w:highlight w:val="none"/>
        </w:rPr>
      </w:pPr>
      <w:bookmarkStart w:id="304" w:name="_Toc254884646"/>
      <w:r>
        <w:rPr>
          <w:rFonts w:cs="Times New Roman"/>
          <w:b/>
          <w:bCs/>
          <w:color w:val="auto"/>
          <w:kern w:val="32"/>
          <w:szCs w:val="24"/>
          <w:highlight w:val="none"/>
        </w:rPr>
        <w:t>5.1问题处理流程</w:t>
      </w:r>
      <w:bookmarkEnd w:id="304"/>
    </w:p>
    <w:p w14:paraId="596F9142">
      <w:pPr>
        <w:widowControl/>
        <w:numPr>
          <w:ilvl w:val="0"/>
          <w:numId w:val="13"/>
        </w:numPr>
        <w:ind w:left="0" w:firstLine="567" w:firstLineChars="270"/>
        <w:rPr>
          <w:rFonts w:cs="Times New Roman"/>
          <w:color w:val="auto"/>
          <w:szCs w:val="24"/>
          <w:highlight w:val="none"/>
        </w:rPr>
      </w:pPr>
      <w:r>
        <w:rPr>
          <w:rFonts w:cs="Times New Roman"/>
          <w:color w:val="auto"/>
          <w:szCs w:val="24"/>
          <w:highlight w:val="none"/>
        </w:rPr>
        <w:t>甲方或乙方均可以首先提出对问题解决方案有不同意见的看法；</w:t>
      </w:r>
    </w:p>
    <w:p w14:paraId="714436A1">
      <w:pPr>
        <w:widowControl/>
        <w:numPr>
          <w:ilvl w:val="0"/>
          <w:numId w:val="13"/>
        </w:numPr>
        <w:ind w:left="0" w:firstLine="567" w:firstLineChars="270"/>
        <w:rPr>
          <w:rFonts w:cs="Times New Roman"/>
          <w:color w:val="auto"/>
          <w:szCs w:val="24"/>
          <w:highlight w:val="none"/>
        </w:rPr>
      </w:pPr>
      <w:r>
        <w:rPr>
          <w:rFonts w:cs="Times New Roman"/>
          <w:color w:val="auto"/>
          <w:szCs w:val="24"/>
          <w:highlight w:val="none"/>
        </w:rPr>
        <w:t>甲方管理层和乙方管理层将决定问题是否需要提升到更高的管理层；</w:t>
      </w:r>
    </w:p>
    <w:p w14:paraId="071AB241">
      <w:pPr>
        <w:widowControl/>
        <w:numPr>
          <w:ilvl w:val="0"/>
          <w:numId w:val="13"/>
        </w:numPr>
        <w:ind w:left="0" w:firstLine="567" w:firstLineChars="270"/>
        <w:rPr>
          <w:rFonts w:cs="Times New Roman"/>
          <w:color w:val="auto"/>
          <w:szCs w:val="24"/>
          <w:highlight w:val="none"/>
        </w:rPr>
      </w:pPr>
      <w:r>
        <w:rPr>
          <w:rFonts w:cs="Times New Roman"/>
          <w:color w:val="auto"/>
          <w:szCs w:val="24"/>
          <w:highlight w:val="none"/>
        </w:rPr>
        <w:t>及时召开相关的会议讨论和解决问题，问题的相关文档应提前一天发送到与会者；</w:t>
      </w:r>
    </w:p>
    <w:p w14:paraId="5908363B">
      <w:pPr>
        <w:widowControl/>
        <w:numPr>
          <w:ilvl w:val="0"/>
          <w:numId w:val="13"/>
        </w:numPr>
        <w:ind w:left="0" w:firstLine="567" w:firstLineChars="270"/>
        <w:rPr>
          <w:rFonts w:cs="Times New Roman"/>
          <w:color w:val="auto"/>
          <w:szCs w:val="24"/>
          <w:highlight w:val="none"/>
        </w:rPr>
      </w:pPr>
      <w:r>
        <w:rPr>
          <w:rFonts w:cs="Times New Roman"/>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741E7790">
      <w:pPr>
        <w:widowControl/>
        <w:numPr>
          <w:ilvl w:val="0"/>
          <w:numId w:val="13"/>
        </w:numPr>
        <w:ind w:left="0" w:firstLine="567" w:firstLineChars="270"/>
        <w:rPr>
          <w:rFonts w:cs="Times New Roman"/>
          <w:color w:val="auto"/>
          <w:szCs w:val="24"/>
          <w:highlight w:val="none"/>
        </w:rPr>
      </w:pPr>
      <w:r>
        <w:rPr>
          <w:rFonts w:cs="Times New Roman"/>
          <w:color w:val="auto"/>
          <w:szCs w:val="24"/>
          <w:highlight w:val="none"/>
        </w:rPr>
        <w:t>如果问题最终仍没解决，甲方和乙方双方可以申请仲裁来达成最终的一致方案。</w:t>
      </w:r>
    </w:p>
    <w:p w14:paraId="0FB52552">
      <w:pPr>
        <w:ind w:firstLine="422"/>
        <w:rPr>
          <w:rFonts w:cs="Times New Roman"/>
          <w:b/>
          <w:bCs/>
          <w:color w:val="auto"/>
          <w:kern w:val="32"/>
          <w:szCs w:val="24"/>
          <w:highlight w:val="none"/>
        </w:rPr>
      </w:pPr>
      <w:bookmarkStart w:id="305" w:name="_Toc254884647"/>
      <w:r>
        <w:rPr>
          <w:rFonts w:cs="Times New Roman"/>
          <w:b/>
          <w:bCs/>
          <w:color w:val="auto"/>
          <w:kern w:val="32"/>
          <w:szCs w:val="24"/>
          <w:highlight w:val="none"/>
        </w:rPr>
        <w:t>5.2问题升级流程</w:t>
      </w:r>
      <w:bookmarkEnd w:id="305"/>
    </w:p>
    <w:p w14:paraId="4C792DEC">
      <w:pPr>
        <w:widowControl/>
        <w:numPr>
          <w:ilvl w:val="0"/>
          <w:numId w:val="14"/>
        </w:numPr>
        <w:ind w:firstLineChars="0"/>
        <w:rPr>
          <w:rFonts w:cs="Times New Roman"/>
          <w:color w:val="auto"/>
          <w:szCs w:val="24"/>
          <w:highlight w:val="none"/>
        </w:rPr>
      </w:pPr>
      <w:r>
        <w:rPr>
          <w:rFonts w:cs="Times New Roman"/>
          <w:color w:val="auto"/>
          <w:szCs w:val="24"/>
          <w:highlight w:val="none"/>
        </w:rPr>
        <w:t>甲方或者乙方都有可能首先提出该流程；</w:t>
      </w:r>
    </w:p>
    <w:p w14:paraId="565F3038">
      <w:pPr>
        <w:widowControl/>
        <w:numPr>
          <w:ilvl w:val="0"/>
          <w:numId w:val="14"/>
        </w:numPr>
        <w:ind w:firstLineChars="0"/>
        <w:rPr>
          <w:rFonts w:cs="Times New Roman"/>
          <w:color w:val="auto"/>
          <w:szCs w:val="24"/>
          <w:highlight w:val="none"/>
        </w:rPr>
      </w:pPr>
      <w:r>
        <w:rPr>
          <w:rFonts w:cs="Times New Roman"/>
          <w:color w:val="auto"/>
          <w:szCs w:val="24"/>
          <w:highlight w:val="none"/>
        </w:rPr>
        <w:t>首先提出的一方应及时通知对方问题升级流程已经启动；</w:t>
      </w:r>
    </w:p>
    <w:p w14:paraId="560EEDAA">
      <w:pPr>
        <w:widowControl/>
        <w:numPr>
          <w:ilvl w:val="0"/>
          <w:numId w:val="14"/>
        </w:numPr>
        <w:ind w:firstLineChars="0"/>
        <w:rPr>
          <w:rFonts w:cs="Times New Roman"/>
          <w:color w:val="auto"/>
          <w:szCs w:val="24"/>
          <w:highlight w:val="none"/>
        </w:rPr>
      </w:pPr>
      <w:r>
        <w:rPr>
          <w:rFonts w:cs="Times New Roman"/>
          <w:color w:val="auto"/>
          <w:szCs w:val="24"/>
          <w:highlight w:val="none"/>
        </w:rPr>
        <w:t>问题升级到的管理层应当事先定义在联络人表中；</w:t>
      </w:r>
    </w:p>
    <w:p w14:paraId="0B45113B">
      <w:pPr>
        <w:widowControl/>
        <w:numPr>
          <w:ilvl w:val="0"/>
          <w:numId w:val="14"/>
        </w:numPr>
        <w:ind w:firstLineChars="0"/>
        <w:rPr>
          <w:rFonts w:cs="Times New Roman"/>
          <w:color w:val="auto"/>
          <w:szCs w:val="24"/>
          <w:highlight w:val="none"/>
        </w:rPr>
      </w:pPr>
      <w:r>
        <w:rPr>
          <w:rFonts w:cs="Times New Roman"/>
          <w:color w:val="auto"/>
          <w:szCs w:val="24"/>
          <w:highlight w:val="none"/>
        </w:rPr>
        <w:t>问题升级的层次在甲方和乙方之间应当保持一致，直至解决该问题。</w:t>
      </w:r>
    </w:p>
    <w:p w14:paraId="42B00FA3">
      <w:pPr>
        <w:ind w:firstLine="422"/>
        <w:rPr>
          <w:rFonts w:cs="Times New Roman"/>
          <w:b/>
          <w:bCs/>
          <w:color w:val="auto"/>
          <w:kern w:val="32"/>
          <w:szCs w:val="24"/>
          <w:highlight w:val="none"/>
        </w:rPr>
      </w:pPr>
      <w:bookmarkStart w:id="306" w:name="_Toc254884648"/>
      <w:r>
        <w:rPr>
          <w:rFonts w:cs="Times New Roman"/>
          <w:b/>
          <w:bCs/>
          <w:color w:val="auto"/>
          <w:kern w:val="32"/>
          <w:szCs w:val="24"/>
          <w:highlight w:val="none"/>
        </w:rPr>
        <w:t>5.3联络表</w:t>
      </w:r>
      <w:bookmarkEnd w:id="306"/>
    </w:p>
    <w:tbl>
      <w:tblPr>
        <w:tblStyle w:val="88"/>
        <w:tblW w:w="8028" w:type="dxa"/>
        <w:tblInd w:w="675" w:type="dxa"/>
        <w:tblLayout w:type="fixed"/>
        <w:tblCellMar>
          <w:top w:w="0" w:type="dxa"/>
          <w:left w:w="108" w:type="dxa"/>
          <w:bottom w:w="0" w:type="dxa"/>
          <w:right w:w="108" w:type="dxa"/>
        </w:tblCellMar>
      </w:tblPr>
      <w:tblGrid>
        <w:gridCol w:w="2382"/>
        <w:gridCol w:w="2451"/>
        <w:gridCol w:w="3195"/>
      </w:tblGrid>
      <w:tr w14:paraId="041CB5F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4D631A50">
            <w:pPr>
              <w:ind w:firstLine="422"/>
              <w:jc w:val="center"/>
              <w:rPr>
                <w:rFonts w:cs="Times New Roman"/>
                <w:color w:val="auto"/>
                <w:szCs w:val="24"/>
                <w:highlight w:val="none"/>
              </w:rPr>
            </w:pPr>
            <w:r>
              <w:rPr>
                <w:rFonts w:cs="Times New Roman"/>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5898CA0">
            <w:pPr>
              <w:ind w:firstLine="422"/>
              <w:jc w:val="center"/>
              <w:rPr>
                <w:rFonts w:cs="Times New Roman"/>
                <w:b/>
                <w:color w:val="auto"/>
                <w:szCs w:val="24"/>
                <w:highlight w:val="none"/>
              </w:rPr>
            </w:pPr>
            <w:r>
              <w:rPr>
                <w:rFonts w:cs="Times New Roman"/>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0F5AA753">
            <w:pPr>
              <w:ind w:firstLine="422"/>
              <w:jc w:val="center"/>
              <w:rPr>
                <w:rFonts w:cs="Times New Roman"/>
                <w:b/>
                <w:color w:val="auto"/>
                <w:szCs w:val="24"/>
                <w:highlight w:val="none"/>
              </w:rPr>
            </w:pPr>
            <w:r>
              <w:rPr>
                <w:rFonts w:cs="Times New Roman"/>
                <w:b/>
                <w:color w:val="auto"/>
                <w:szCs w:val="24"/>
                <w:highlight w:val="none"/>
              </w:rPr>
              <w:t>电话</w:t>
            </w:r>
          </w:p>
        </w:tc>
      </w:tr>
      <w:tr w14:paraId="69F7A87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176871D4">
            <w:pPr>
              <w:ind w:firstLine="420"/>
              <w:jc w:val="center"/>
              <w:rPr>
                <w:rFonts w:cs="Times New Roman"/>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67DEA305">
            <w:pPr>
              <w:ind w:firstLine="420"/>
              <w:jc w:val="center"/>
              <w:rPr>
                <w:rFonts w:cs="Times New Roman"/>
                <w:color w:val="auto"/>
                <w:szCs w:val="24"/>
                <w:highlight w:val="none"/>
              </w:rPr>
            </w:pPr>
            <w:r>
              <w:rPr>
                <w:rFonts w:cs="Times New Roman"/>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424A26E7">
            <w:pPr>
              <w:ind w:firstLine="420"/>
              <w:jc w:val="center"/>
              <w:rPr>
                <w:rFonts w:cs="Times New Roman"/>
                <w:color w:val="auto"/>
                <w:szCs w:val="24"/>
                <w:highlight w:val="none"/>
              </w:rPr>
            </w:pPr>
          </w:p>
        </w:tc>
      </w:tr>
      <w:tr w14:paraId="574B17E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52A379B0">
            <w:pPr>
              <w:ind w:firstLine="420"/>
              <w:jc w:val="center"/>
              <w:rPr>
                <w:rFonts w:cs="Times New Roman"/>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27DE01E">
            <w:pPr>
              <w:ind w:firstLine="420"/>
              <w:jc w:val="center"/>
              <w:rPr>
                <w:rFonts w:cs="Times New Roman"/>
                <w:color w:val="auto"/>
                <w:szCs w:val="24"/>
                <w:highlight w:val="none"/>
              </w:rPr>
            </w:pPr>
            <w:r>
              <w:rPr>
                <w:rFonts w:cs="Times New Roman"/>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795E330C">
            <w:pPr>
              <w:ind w:firstLine="420"/>
              <w:jc w:val="center"/>
              <w:rPr>
                <w:rFonts w:cs="Times New Roman"/>
                <w:color w:val="auto"/>
                <w:szCs w:val="24"/>
                <w:highlight w:val="none"/>
              </w:rPr>
            </w:pPr>
          </w:p>
        </w:tc>
      </w:tr>
      <w:tr w14:paraId="16DCA49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7270674D">
            <w:pPr>
              <w:ind w:firstLine="420"/>
              <w:jc w:val="center"/>
              <w:rPr>
                <w:rFonts w:cs="Times New Roman"/>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73FA34BA">
            <w:pPr>
              <w:ind w:firstLine="420"/>
              <w:jc w:val="center"/>
              <w:rPr>
                <w:rFonts w:cs="Times New Roman"/>
                <w:color w:val="auto"/>
                <w:szCs w:val="24"/>
                <w:highlight w:val="none"/>
              </w:rPr>
            </w:pPr>
            <w:r>
              <w:rPr>
                <w:rFonts w:cs="Times New Roman"/>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4C51A47F">
            <w:pPr>
              <w:ind w:firstLine="420"/>
              <w:jc w:val="center"/>
              <w:rPr>
                <w:rFonts w:cs="Times New Roman"/>
                <w:color w:val="auto"/>
                <w:szCs w:val="24"/>
                <w:highlight w:val="none"/>
              </w:rPr>
            </w:pPr>
          </w:p>
        </w:tc>
      </w:tr>
      <w:tr w14:paraId="05E2654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5E8896B6">
            <w:pPr>
              <w:ind w:firstLine="420"/>
              <w:jc w:val="center"/>
              <w:rPr>
                <w:rFonts w:cs="Times New Roman"/>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8908AFA">
            <w:pPr>
              <w:ind w:firstLine="420"/>
              <w:jc w:val="center"/>
              <w:rPr>
                <w:rFonts w:cs="Times New Roman"/>
                <w:color w:val="auto"/>
                <w:szCs w:val="24"/>
                <w:highlight w:val="none"/>
              </w:rPr>
            </w:pPr>
            <w:r>
              <w:rPr>
                <w:rFonts w:cs="Times New Roman"/>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217F6157">
            <w:pPr>
              <w:ind w:firstLine="420"/>
              <w:jc w:val="center"/>
              <w:rPr>
                <w:rFonts w:cs="Times New Roman"/>
                <w:color w:val="auto"/>
                <w:szCs w:val="24"/>
                <w:highlight w:val="none"/>
              </w:rPr>
            </w:pPr>
          </w:p>
        </w:tc>
      </w:tr>
    </w:tbl>
    <w:p w14:paraId="23C154CE">
      <w:pPr>
        <w:ind w:firstLine="422"/>
        <w:rPr>
          <w:rFonts w:cs="Times New Roman"/>
          <w:b/>
          <w:bCs/>
          <w:color w:val="auto"/>
          <w:kern w:val="32"/>
          <w:szCs w:val="24"/>
          <w:highlight w:val="none"/>
        </w:rPr>
      </w:pPr>
      <w:bookmarkStart w:id="307" w:name="_Toc254884649"/>
      <w:r>
        <w:rPr>
          <w:rFonts w:cs="Times New Roman"/>
          <w:b/>
          <w:bCs/>
          <w:color w:val="auto"/>
          <w:kern w:val="32"/>
          <w:szCs w:val="24"/>
          <w:highlight w:val="none"/>
        </w:rPr>
        <w:t>6. 汇报内容及流程</w:t>
      </w:r>
      <w:bookmarkEnd w:id="307"/>
    </w:p>
    <w:p w14:paraId="2C7F3FB9">
      <w:pPr>
        <w:ind w:firstLine="420"/>
        <w:rPr>
          <w:rFonts w:cs="Times New Roman"/>
          <w:color w:val="auto"/>
          <w:szCs w:val="24"/>
          <w:highlight w:val="none"/>
        </w:rPr>
      </w:pPr>
      <w:r>
        <w:rPr>
          <w:rFonts w:cs="Times New Roman"/>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112FFCF8">
      <w:pPr>
        <w:ind w:firstLine="422"/>
        <w:rPr>
          <w:rFonts w:cs="Times New Roman"/>
          <w:b/>
          <w:bCs/>
          <w:color w:val="auto"/>
          <w:kern w:val="32"/>
          <w:szCs w:val="24"/>
          <w:highlight w:val="none"/>
        </w:rPr>
      </w:pPr>
      <w:bookmarkStart w:id="308" w:name="_Toc254884650"/>
      <w:r>
        <w:rPr>
          <w:rFonts w:cs="Times New Roman"/>
          <w:b/>
          <w:bCs/>
          <w:color w:val="auto"/>
          <w:kern w:val="32"/>
          <w:szCs w:val="24"/>
          <w:highlight w:val="none"/>
        </w:rPr>
        <w:t>7. 服务水平和指标</w:t>
      </w:r>
      <w:bookmarkEnd w:id="308"/>
    </w:p>
    <w:p w14:paraId="4109E31C">
      <w:pPr>
        <w:widowControl/>
        <w:numPr>
          <w:ilvl w:val="0"/>
          <w:numId w:val="15"/>
        </w:numPr>
        <w:ind w:left="0" w:hanging="2" w:firstLineChars="0"/>
        <w:rPr>
          <w:rFonts w:cs="Times New Roman"/>
          <w:color w:val="auto"/>
          <w:szCs w:val="24"/>
          <w:highlight w:val="none"/>
        </w:rPr>
      </w:pPr>
      <w:r>
        <w:rPr>
          <w:rFonts w:cs="Times New Roman"/>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88"/>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06"/>
        <w:gridCol w:w="1896"/>
        <w:gridCol w:w="1701"/>
        <w:gridCol w:w="709"/>
      </w:tblGrid>
      <w:tr w14:paraId="18FF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E17AB">
            <w:pPr>
              <w:widowControl/>
              <w:ind w:firstLine="0" w:firstLineChars="0"/>
              <w:rPr>
                <w:rFonts w:cs="Times New Roman"/>
                <w:b/>
                <w:color w:val="auto"/>
                <w:szCs w:val="21"/>
                <w:highlight w:val="none"/>
              </w:rPr>
            </w:pPr>
            <w:r>
              <w:rPr>
                <w:rFonts w:cs="Times New Roman"/>
                <w:b/>
                <w:color w:val="auto"/>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C48F1">
            <w:pPr>
              <w:widowControl/>
              <w:ind w:firstLine="0" w:firstLineChars="0"/>
              <w:rPr>
                <w:rFonts w:cs="Times New Roman"/>
                <w:b/>
                <w:color w:val="auto"/>
                <w:szCs w:val="21"/>
                <w:highlight w:val="none"/>
              </w:rPr>
            </w:pPr>
            <w:r>
              <w:rPr>
                <w:rFonts w:cs="Times New Roman"/>
                <w:b/>
                <w:color w:val="auto"/>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2A35B">
            <w:pPr>
              <w:widowControl/>
              <w:ind w:firstLine="0" w:firstLineChars="0"/>
              <w:rPr>
                <w:rFonts w:cs="Times New Roman"/>
                <w:b/>
                <w:color w:val="auto"/>
                <w:szCs w:val="21"/>
                <w:highlight w:val="none"/>
              </w:rPr>
            </w:pPr>
            <w:r>
              <w:rPr>
                <w:rFonts w:cs="Times New Roman"/>
                <w:b/>
                <w:color w:val="auto"/>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0BCAB">
            <w:pPr>
              <w:widowControl/>
              <w:ind w:firstLine="0" w:firstLineChars="0"/>
              <w:rPr>
                <w:rFonts w:cs="Times New Roman"/>
                <w:b/>
                <w:color w:val="auto"/>
                <w:szCs w:val="21"/>
                <w:highlight w:val="none"/>
              </w:rPr>
            </w:pPr>
            <w:r>
              <w:rPr>
                <w:rFonts w:cs="Times New Roman"/>
                <w:b/>
                <w:color w:val="auto"/>
                <w:szCs w:val="21"/>
                <w:highlight w:val="none"/>
              </w:rPr>
              <w:t>服务标准</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7FACD">
            <w:pPr>
              <w:widowControl/>
              <w:ind w:firstLine="0" w:firstLineChars="0"/>
              <w:rPr>
                <w:rFonts w:cs="Times New Roman"/>
                <w:b/>
                <w:color w:val="auto"/>
                <w:szCs w:val="21"/>
                <w:highlight w:val="none"/>
              </w:rPr>
            </w:pPr>
            <w:r>
              <w:rPr>
                <w:rFonts w:cs="Times New Roman"/>
                <w:b/>
                <w:color w:val="auto"/>
                <w:szCs w:val="21"/>
                <w:highlight w:val="none"/>
              </w:rPr>
              <w:t>指标计算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9F6C5">
            <w:pPr>
              <w:widowControl/>
              <w:ind w:firstLine="0" w:firstLineChars="0"/>
              <w:rPr>
                <w:rFonts w:cs="Times New Roman"/>
                <w:b/>
                <w:bCs/>
                <w:color w:val="auto"/>
                <w:szCs w:val="21"/>
                <w:highlight w:val="none"/>
              </w:rPr>
            </w:pPr>
            <w:r>
              <w:rPr>
                <w:rFonts w:cs="Times New Roman"/>
                <w:b/>
                <w:bCs/>
                <w:color w:val="auto"/>
                <w:szCs w:val="21"/>
                <w:highlight w:val="none"/>
              </w:rPr>
              <w:t>服务水平要求</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DD0C3">
            <w:pPr>
              <w:widowControl/>
              <w:ind w:firstLine="0" w:firstLineChars="0"/>
              <w:rPr>
                <w:rFonts w:cs="Times New Roman"/>
                <w:b/>
                <w:color w:val="auto"/>
                <w:szCs w:val="21"/>
                <w:highlight w:val="none"/>
              </w:rPr>
            </w:pPr>
            <w:r>
              <w:rPr>
                <w:rFonts w:cs="Times New Roman"/>
                <w:b/>
                <w:color w:val="auto"/>
                <w:szCs w:val="21"/>
                <w:highlight w:val="none"/>
              </w:rPr>
              <w:t>违约金标准</w:t>
            </w:r>
          </w:p>
        </w:tc>
        <w:tc>
          <w:tcPr>
            <w:tcW w:w="709" w:type="dxa"/>
            <w:tcBorders>
              <w:top w:val="single" w:color="auto" w:sz="4" w:space="0"/>
              <w:left w:val="single" w:color="auto" w:sz="4" w:space="0"/>
              <w:bottom w:val="single" w:color="auto" w:sz="4" w:space="0"/>
              <w:right w:val="single" w:color="auto" w:sz="4" w:space="0"/>
            </w:tcBorders>
            <w:noWrap/>
            <w:vAlign w:val="center"/>
          </w:tcPr>
          <w:p w14:paraId="599C4C7B">
            <w:pPr>
              <w:widowControl/>
              <w:ind w:firstLine="0" w:firstLineChars="0"/>
              <w:rPr>
                <w:rFonts w:cs="Times New Roman"/>
                <w:b/>
                <w:color w:val="auto"/>
                <w:szCs w:val="21"/>
                <w:highlight w:val="none"/>
              </w:rPr>
            </w:pPr>
            <w:r>
              <w:rPr>
                <w:rFonts w:cs="Times New Roman"/>
                <w:b/>
                <w:color w:val="auto"/>
                <w:szCs w:val="21"/>
                <w:highlight w:val="none"/>
              </w:rPr>
              <w:t>是否满足</w:t>
            </w:r>
          </w:p>
        </w:tc>
      </w:tr>
      <w:tr w14:paraId="72B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BDEC6">
            <w:pPr>
              <w:widowControl/>
              <w:ind w:firstLine="0" w:firstLineChars="0"/>
              <w:rPr>
                <w:rFonts w:cs="Times New Roman"/>
                <w:color w:val="auto"/>
                <w:szCs w:val="24"/>
                <w:highlight w:val="none"/>
              </w:rPr>
            </w:pPr>
            <w:r>
              <w:rPr>
                <w:rFonts w:cs="Times New Roman"/>
                <w:color w:val="auto"/>
                <w:szCs w:val="24"/>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DF68B">
            <w:pPr>
              <w:widowControl/>
              <w:ind w:firstLine="0" w:firstLineChars="0"/>
              <w:rPr>
                <w:rFonts w:cs="Times New Roman"/>
                <w:color w:val="auto"/>
                <w:szCs w:val="24"/>
                <w:highlight w:val="none"/>
              </w:rPr>
            </w:pPr>
            <w:r>
              <w:rPr>
                <w:rFonts w:cs="Times New Roman"/>
                <w:color w:val="auto"/>
                <w:szCs w:val="24"/>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EAC1D">
            <w:pPr>
              <w:widowControl/>
              <w:ind w:firstLine="0" w:firstLineChars="0"/>
              <w:rPr>
                <w:rFonts w:cs="Times New Roman"/>
                <w:color w:val="auto"/>
                <w:szCs w:val="24"/>
                <w:highlight w:val="none"/>
              </w:rPr>
            </w:pPr>
            <w:r>
              <w:rPr>
                <w:rFonts w:cs="Times New Roman"/>
                <w:color w:val="auto"/>
                <w:szCs w:val="24"/>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5B4E3">
            <w:pPr>
              <w:widowControl/>
              <w:ind w:firstLine="0" w:firstLineChars="0"/>
              <w:rPr>
                <w:rFonts w:cs="Times New Roman"/>
                <w:color w:val="auto"/>
                <w:szCs w:val="24"/>
                <w:highlight w:val="none"/>
              </w:rPr>
            </w:pPr>
            <w:r>
              <w:rPr>
                <w:rFonts w:cs="Times New Roman"/>
                <w:color w:val="auto"/>
                <w:szCs w:val="24"/>
                <w:highlight w:val="none"/>
              </w:rPr>
              <w:t>乙方在收到甲方任务后2个工作日内，向甲方反馈确认任务的实施方案、计划和工作量等</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DC504">
            <w:pPr>
              <w:widowControl/>
              <w:ind w:firstLine="0" w:firstLineChars="0"/>
              <w:rPr>
                <w:rFonts w:cs="Times New Roman"/>
                <w:color w:val="auto"/>
                <w:szCs w:val="24"/>
                <w:highlight w:val="none"/>
              </w:rPr>
            </w:pPr>
            <w:r>
              <w:rPr>
                <w:rFonts w:cs="Times New Roman"/>
                <w:color w:val="auto"/>
                <w:szCs w:val="24"/>
                <w:highlight w:val="none"/>
              </w:rPr>
              <w:t>甲方应当明确任务提出时间，乙方应当向甲方发出一个确认任务响应信息</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31600">
            <w:pPr>
              <w:widowControl/>
              <w:ind w:firstLine="0" w:firstLineChars="0"/>
              <w:rPr>
                <w:rFonts w:cs="Times New Roman"/>
                <w:color w:val="auto"/>
                <w:szCs w:val="24"/>
                <w:highlight w:val="none"/>
              </w:rPr>
            </w:pPr>
            <w:r>
              <w:rPr>
                <w:rFonts w:cs="Times New Roman"/>
                <w:color w:val="auto"/>
                <w:szCs w:val="24"/>
                <w:highlight w:val="none"/>
              </w:rPr>
              <w:t>乙方不得违反承诺响应时间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87EB">
            <w:pPr>
              <w:widowControl/>
              <w:ind w:firstLine="0" w:firstLineChars="0"/>
              <w:rPr>
                <w:rFonts w:cs="Times New Roman"/>
                <w:color w:val="auto"/>
                <w:szCs w:val="24"/>
                <w:highlight w:val="none"/>
              </w:rPr>
            </w:pPr>
            <w:r>
              <w:rPr>
                <w:rFonts w:cs="Times New Roman"/>
                <w:color w:val="auto"/>
                <w:szCs w:val="24"/>
                <w:highlight w:val="none"/>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14:paraId="08DA3CD8">
            <w:pPr>
              <w:widowControl/>
              <w:ind w:firstLine="420"/>
              <w:rPr>
                <w:rFonts w:cs="Times New Roman"/>
                <w:color w:val="auto"/>
                <w:szCs w:val="24"/>
                <w:highlight w:val="none"/>
              </w:rPr>
            </w:pPr>
          </w:p>
        </w:tc>
      </w:tr>
      <w:tr w14:paraId="36A7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323B6">
            <w:pPr>
              <w:widowControl/>
              <w:ind w:firstLine="0" w:firstLineChars="0"/>
              <w:rPr>
                <w:rFonts w:cs="Times New Roman"/>
                <w:color w:val="auto"/>
                <w:szCs w:val="24"/>
                <w:highlight w:val="none"/>
              </w:rPr>
            </w:pPr>
            <w:r>
              <w:rPr>
                <w:rFonts w:cs="Times New Roman"/>
                <w:color w:val="auto"/>
                <w:szCs w:val="24"/>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AD7C0">
            <w:pPr>
              <w:widowControl/>
              <w:ind w:firstLine="0" w:firstLineChars="0"/>
              <w:rPr>
                <w:rFonts w:cs="Times New Roman"/>
                <w:color w:val="auto"/>
                <w:szCs w:val="24"/>
                <w:highlight w:val="none"/>
              </w:rPr>
            </w:pPr>
            <w:r>
              <w:rPr>
                <w:rFonts w:cs="Times New Roman"/>
                <w:color w:val="auto"/>
                <w:szCs w:val="24"/>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B2761">
            <w:pPr>
              <w:widowControl/>
              <w:ind w:firstLine="0" w:firstLineChars="0"/>
              <w:rPr>
                <w:rFonts w:cs="Times New Roman"/>
                <w:color w:val="auto"/>
                <w:szCs w:val="24"/>
                <w:highlight w:val="none"/>
              </w:rPr>
            </w:pPr>
            <w:r>
              <w:rPr>
                <w:rFonts w:cs="Times New Roman"/>
                <w:color w:val="auto"/>
                <w:szCs w:val="24"/>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FED8F">
            <w:pPr>
              <w:widowControl/>
              <w:ind w:firstLine="0" w:firstLineChars="0"/>
              <w:rPr>
                <w:rFonts w:cs="Times New Roman"/>
                <w:color w:val="auto"/>
                <w:szCs w:val="24"/>
                <w:highlight w:val="none"/>
              </w:rPr>
            </w:pPr>
            <w:r>
              <w:rPr>
                <w:rFonts w:cs="Times New Roman"/>
                <w:color w:val="auto"/>
                <w:szCs w:val="24"/>
                <w:highlight w:val="none"/>
              </w:rPr>
              <w:t>乙方原因导致的项目进度偏差</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98CAD">
            <w:pPr>
              <w:widowControl/>
              <w:ind w:firstLine="0" w:firstLineChars="0"/>
              <w:rPr>
                <w:rFonts w:cs="Times New Roman"/>
                <w:color w:val="auto"/>
                <w:szCs w:val="24"/>
                <w:highlight w:val="none"/>
              </w:rPr>
            </w:pPr>
            <w:r>
              <w:rPr>
                <w:rFonts w:cs="Times New Roman"/>
                <w:color w:val="auto"/>
                <w:szCs w:val="24"/>
                <w:highlight w:val="none"/>
              </w:rPr>
              <w:t>按项目计划为基准计算进度偏差天数（进度偏差率≤20%）</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139BC">
            <w:pPr>
              <w:widowControl/>
              <w:ind w:firstLine="0" w:firstLineChars="0"/>
              <w:rPr>
                <w:rFonts w:cs="Times New Roman"/>
                <w:color w:val="auto"/>
                <w:szCs w:val="24"/>
                <w:highlight w:val="none"/>
              </w:rPr>
            </w:pPr>
            <w:r>
              <w:rPr>
                <w:rFonts w:cs="Times New Roman"/>
                <w:color w:val="auto"/>
                <w:szCs w:val="24"/>
                <w:highlight w:val="none"/>
              </w:rPr>
              <w:t>进度偏差率=进度偏差天数/项目计划中进度天数（进度偏差率≤20%）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AC7C7">
            <w:pPr>
              <w:widowControl/>
              <w:ind w:firstLine="0" w:firstLineChars="0"/>
              <w:rPr>
                <w:rFonts w:cs="Times New Roman"/>
                <w:color w:val="auto"/>
                <w:szCs w:val="24"/>
                <w:highlight w:val="none"/>
              </w:rPr>
            </w:pPr>
            <w:r>
              <w:rPr>
                <w:rFonts w:cs="Times New Roman"/>
                <w:color w:val="auto"/>
                <w:szCs w:val="24"/>
                <w:highlight w:val="none"/>
              </w:rPr>
              <w:t>20%＜进度偏差率≤30%，每偏差一天按合同总金额的0.1%计违约金，进度偏差率＞30%并且延期3个月以上，违约金为合同总金额的10%</w:t>
            </w:r>
          </w:p>
        </w:tc>
        <w:tc>
          <w:tcPr>
            <w:tcW w:w="709" w:type="dxa"/>
            <w:tcBorders>
              <w:top w:val="single" w:color="auto" w:sz="4" w:space="0"/>
              <w:left w:val="single" w:color="auto" w:sz="4" w:space="0"/>
              <w:bottom w:val="single" w:color="auto" w:sz="4" w:space="0"/>
              <w:right w:val="single" w:color="auto" w:sz="4" w:space="0"/>
            </w:tcBorders>
            <w:noWrap/>
          </w:tcPr>
          <w:p w14:paraId="64F358ED">
            <w:pPr>
              <w:widowControl/>
              <w:ind w:firstLine="420"/>
              <w:rPr>
                <w:rFonts w:cs="Times New Roman"/>
                <w:color w:val="auto"/>
                <w:szCs w:val="24"/>
                <w:highlight w:val="none"/>
              </w:rPr>
            </w:pPr>
          </w:p>
        </w:tc>
      </w:tr>
      <w:tr w14:paraId="083C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4BEEE">
            <w:pPr>
              <w:widowControl/>
              <w:ind w:firstLine="0" w:firstLineChars="0"/>
              <w:rPr>
                <w:rFonts w:cs="Times New Roman"/>
                <w:color w:val="auto"/>
                <w:szCs w:val="24"/>
                <w:highlight w:val="none"/>
              </w:rPr>
            </w:pPr>
            <w:r>
              <w:rPr>
                <w:rFonts w:cs="Times New Roman"/>
                <w:color w:val="auto"/>
                <w:szCs w:val="24"/>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4BF02">
            <w:pPr>
              <w:widowControl/>
              <w:ind w:firstLine="0" w:firstLineChars="0"/>
              <w:rPr>
                <w:rFonts w:cs="Times New Roman"/>
                <w:color w:val="auto"/>
                <w:szCs w:val="24"/>
                <w:highlight w:val="none"/>
              </w:rPr>
            </w:pPr>
            <w:r>
              <w:rPr>
                <w:rFonts w:cs="Times New Roman"/>
                <w:color w:val="auto"/>
                <w:szCs w:val="24"/>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42187">
            <w:pPr>
              <w:widowControl/>
              <w:snapToGrid w:val="0"/>
              <w:spacing w:line="320" w:lineRule="exact"/>
              <w:ind w:firstLine="0" w:firstLineChars="0"/>
              <w:rPr>
                <w:rFonts w:cs="Times New Roman"/>
                <w:color w:val="auto"/>
                <w:highlight w:val="none"/>
              </w:rPr>
            </w:pPr>
            <w:r>
              <w:rPr>
                <w:rFonts w:cs="Times New Roman"/>
                <w:color w:val="auto"/>
                <w:szCs w:val="24"/>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39063">
            <w:pPr>
              <w:widowControl/>
              <w:ind w:firstLine="0" w:firstLineChars="0"/>
              <w:rPr>
                <w:rFonts w:cs="Times New Roman"/>
                <w:color w:val="auto"/>
                <w:szCs w:val="24"/>
                <w:highlight w:val="none"/>
              </w:rPr>
            </w:pPr>
            <w:r>
              <w:rPr>
                <w:rFonts w:cs="Times New Roman"/>
                <w:color w:val="auto"/>
                <w:szCs w:val="24"/>
                <w:highlight w:val="none"/>
              </w:rPr>
              <w:t>乙方应当在双方确认的时间内完成任务</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F3AEE">
            <w:pPr>
              <w:widowControl/>
              <w:ind w:firstLine="0" w:firstLineChars="0"/>
              <w:rPr>
                <w:rFonts w:cs="Times New Roman"/>
                <w:color w:val="auto"/>
                <w:szCs w:val="24"/>
                <w:highlight w:val="none"/>
              </w:rPr>
            </w:pPr>
            <w:r>
              <w:rPr>
                <w:rFonts w:cs="Times New Roman"/>
                <w:color w:val="auto"/>
                <w:szCs w:val="24"/>
                <w:highlight w:val="none"/>
              </w:rPr>
              <w:t>甲方标识出每一项任务完成的具体时间，对比乙方给出的任务完成计划时间</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40107">
            <w:pPr>
              <w:widowControl/>
              <w:ind w:firstLine="0" w:firstLineChars="0"/>
              <w:rPr>
                <w:rFonts w:cs="Times New Roman"/>
                <w:color w:val="auto"/>
                <w:szCs w:val="24"/>
                <w:highlight w:val="none"/>
              </w:rPr>
            </w:pPr>
            <w:r>
              <w:rPr>
                <w:rFonts w:cs="Times New Roman"/>
                <w:color w:val="auto"/>
                <w:szCs w:val="24"/>
                <w:highlight w:val="none"/>
              </w:rPr>
              <w:t>1.需求分析说明、概要设计、详细设计100%完成；</w:t>
            </w:r>
          </w:p>
          <w:p w14:paraId="2EE5F205">
            <w:pPr>
              <w:widowControl/>
              <w:ind w:firstLine="0" w:firstLineChars="0"/>
              <w:rPr>
                <w:rFonts w:cs="Times New Roman"/>
                <w:color w:val="auto"/>
                <w:szCs w:val="24"/>
                <w:highlight w:val="none"/>
              </w:rPr>
            </w:pPr>
            <w:r>
              <w:rPr>
                <w:rFonts w:cs="Times New Roman"/>
                <w:color w:val="auto"/>
                <w:szCs w:val="24"/>
                <w:highlight w:val="none"/>
              </w:rPr>
              <w:t>2.软件编码100%完成；3.测试案例需求覆盖率100%，且测试案例执行率100%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B45F">
            <w:pPr>
              <w:widowControl/>
              <w:ind w:firstLine="0" w:firstLineChars="0"/>
              <w:rPr>
                <w:rFonts w:cs="Times New Roman"/>
                <w:color w:val="auto"/>
                <w:szCs w:val="24"/>
                <w:highlight w:val="none"/>
              </w:rPr>
            </w:pPr>
            <w:r>
              <w:rPr>
                <w:rFonts w:cs="Times New Roman"/>
                <w:color w:val="auto"/>
                <w:szCs w:val="24"/>
                <w:highlight w:val="none"/>
              </w:rPr>
              <w:t>以上三个指标之一低于90%甲方有权终止合同，追回支付款项，要求赔偿损失</w:t>
            </w:r>
          </w:p>
        </w:tc>
        <w:tc>
          <w:tcPr>
            <w:tcW w:w="709" w:type="dxa"/>
            <w:tcBorders>
              <w:top w:val="single" w:color="auto" w:sz="4" w:space="0"/>
              <w:left w:val="single" w:color="auto" w:sz="4" w:space="0"/>
              <w:bottom w:val="single" w:color="auto" w:sz="4" w:space="0"/>
              <w:right w:val="single" w:color="auto" w:sz="4" w:space="0"/>
            </w:tcBorders>
            <w:noWrap/>
          </w:tcPr>
          <w:p w14:paraId="370869DB">
            <w:pPr>
              <w:widowControl/>
              <w:ind w:firstLine="420"/>
              <w:rPr>
                <w:rFonts w:cs="Times New Roman"/>
                <w:color w:val="auto"/>
                <w:szCs w:val="24"/>
                <w:highlight w:val="none"/>
              </w:rPr>
            </w:pPr>
          </w:p>
        </w:tc>
      </w:tr>
      <w:tr w14:paraId="2843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EA65A">
            <w:pPr>
              <w:widowControl/>
              <w:ind w:firstLine="0" w:firstLineChars="0"/>
              <w:rPr>
                <w:rFonts w:cs="Times New Roman"/>
                <w:color w:val="auto"/>
                <w:szCs w:val="24"/>
                <w:highlight w:val="none"/>
              </w:rPr>
            </w:pPr>
            <w:r>
              <w:rPr>
                <w:rFonts w:cs="Times New Roman"/>
                <w:color w:val="auto"/>
                <w:szCs w:val="24"/>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321BA">
            <w:pPr>
              <w:widowControl/>
              <w:ind w:firstLine="0" w:firstLineChars="0"/>
              <w:rPr>
                <w:rFonts w:cs="Times New Roman"/>
                <w:color w:val="auto"/>
                <w:szCs w:val="24"/>
                <w:highlight w:val="none"/>
              </w:rPr>
            </w:pPr>
            <w:r>
              <w:rPr>
                <w:rFonts w:cs="Times New Roman"/>
                <w:color w:val="auto"/>
                <w:szCs w:val="24"/>
                <w:highlight w:val="none"/>
              </w:rPr>
              <w:t>上线后重大质量缺陷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2CD41">
            <w:pPr>
              <w:widowControl/>
              <w:ind w:firstLine="0" w:firstLineChars="0"/>
              <w:rPr>
                <w:rFonts w:cs="Times New Roman"/>
                <w:color w:val="auto"/>
                <w:szCs w:val="24"/>
                <w:highlight w:val="none"/>
              </w:rPr>
            </w:pPr>
            <w:r>
              <w:rPr>
                <w:rFonts w:cs="Times New Roman"/>
                <w:color w:val="auto"/>
                <w:szCs w:val="24"/>
                <w:highlight w:val="none"/>
              </w:rPr>
              <w:t>衡量乙方在系统上线运行后的稳定性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F7FB2">
            <w:pPr>
              <w:widowControl/>
              <w:ind w:firstLine="0" w:firstLineChars="0"/>
              <w:rPr>
                <w:rFonts w:cs="Times New Roman"/>
                <w:color w:val="auto"/>
                <w:szCs w:val="24"/>
                <w:highlight w:val="none"/>
              </w:rPr>
            </w:pPr>
            <w:r>
              <w:rPr>
                <w:rFonts w:cs="Times New Roman"/>
                <w:color w:val="auto"/>
                <w:szCs w:val="24"/>
                <w:highlight w:val="none"/>
              </w:rPr>
              <w:t>系统上线后不能发生较大运营中断事件和重大质量缺陷</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2979">
            <w:pPr>
              <w:widowControl/>
              <w:ind w:firstLine="0" w:firstLineChars="0"/>
              <w:rPr>
                <w:rFonts w:cs="Times New Roman"/>
                <w:color w:val="auto"/>
                <w:szCs w:val="24"/>
                <w:highlight w:val="none"/>
              </w:rPr>
            </w:pPr>
            <w:r>
              <w:rPr>
                <w:rFonts w:cs="Times New Roman"/>
                <w:color w:val="auto"/>
                <w:szCs w:val="24"/>
                <w:highlight w:val="none"/>
              </w:rPr>
              <w:t>甲方根据系统生产缺陷程度和数量判定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AA275">
            <w:pPr>
              <w:ind w:firstLine="0" w:firstLineChars="0"/>
              <w:rPr>
                <w:rFonts w:cs="Times New Roman"/>
                <w:color w:val="auto"/>
                <w:szCs w:val="24"/>
                <w:highlight w:val="none"/>
              </w:rPr>
            </w:pPr>
            <w:r>
              <w:rPr>
                <w:rFonts w:cs="Times New Roman"/>
                <w:color w:val="auto"/>
                <w:szCs w:val="24"/>
                <w:highlight w:val="none"/>
              </w:rPr>
              <w:t>1、应用软件未出现III级(含)以上的运营中断事件；</w:t>
            </w:r>
          </w:p>
          <w:p w14:paraId="059481EF">
            <w:pPr>
              <w:ind w:firstLine="0" w:firstLineChars="0"/>
              <w:rPr>
                <w:rFonts w:cs="Times New Roman"/>
                <w:color w:val="auto"/>
                <w:szCs w:val="24"/>
                <w:highlight w:val="none"/>
              </w:rPr>
            </w:pPr>
            <w:r>
              <w:rPr>
                <w:rFonts w:cs="Times New Roman"/>
                <w:color w:val="auto"/>
                <w:szCs w:val="24"/>
                <w:highlight w:val="none"/>
              </w:rPr>
              <w:t>2、应用软件未出现严重缺陷和致命缺陷；</w:t>
            </w:r>
          </w:p>
          <w:p w14:paraId="20BA6837">
            <w:pPr>
              <w:widowControl/>
              <w:ind w:firstLine="0" w:firstLineChars="0"/>
              <w:rPr>
                <w:rFonts w:cs="Times New Roman"/>
                <w:color w:val="auto"/>
                <w:szCs w:val="24"/>
                <w:highlight w:val="none"/>
              </w:rPr>
            </w:pPr>
            <w:r>
              <w:rPr>
                <w:rFonts w:cs="Times New Roman"/>
                <w:color w:val="auto"/>
                <w:szCs w:val="24"/>
                <w:highlight w:val="none"/>
              </w:rPr>
              <w:t xml:space="preserve">3、一般和微小缺陷逃逸率≤4.5%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402D7">
            <w:pPr>
              <w:ind w:firstLine="0" w:firstLineChars="0"/>
              <w:rPr>
                <w:rFonts w:cs="Times New Roman"/>
                <w:color w:val="auto"/>
                <w:szCs w:val="24"/>
                <w:highlight w:val="none"/>
              </w:rPr>
            </w:pPr>
            <w:r>
              <w:rPr>
                <w:rFonts w:cs="Times New Roman"/>
                <w:color w:val="auto"/>
                <w:szCs w:val="24"/>
                <w:highlight w:val="none"/>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cBorders>
            <w:noWrap/>
          </w:tcPr>
          <w:p w14:paraId="734769A2">
            <w:pPr>
              <w:ind w:firstLine="420"/>
              <w:rPr>
                <w:rFonts w:cs="Times New Roman"/>
                <w:color w:val="auto"/>
                <w:szCs w:val="24"/>
                <w:highlight w:val="none"/>
              </w:rPr>
            </w:pPr>
          </w:p>
        </w:tc>
      </w:tr>
      <w:tr w14:paraId="1B7B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4DB84">
            <w:pPr>
              <w:widowControl/>
              <w:ind w:firstLine="0" w:firstLineChars="0"/>
              <w:rPr>
                <w:rFonts w:cs="Times New Roman"/>
                <w:color w:val="auto"/>
                <w:szCs w:val="24"/>
                <w:highlight w:val="none"/>
              </w:rPr>
            </w:pPr>
            <w:r>
              <w:rPr>
                <w:rFonts w:cs="Times New Roman"/>
                <w:color w:val="auto"/>
                <w:szCs w:val="24"/>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ECB21">
            <w:pPr>
              <w:widowControl/>
              <w:ind w:firstLine="0" w:firstLineChars="0"/>
              <w:rPr>
                <w:rFonts w:cs="Times New Roman"/>
                <w:color w:val="auto"/>
                <w:szCs w:val="24"/>
                <w:highlight w:val="none"/>
              </w:rPr>
            </w:pPr>
            <w:r>
              <w:rPr>
                <w:rFonts w:cs="Times New Roman"/>
                <w:color w:val="auto"/>
                <w:szCs w:val="24"/>
                <w:highlight w:val="none"/>
              </w:rPr>
              <w:t>上线后重大问题处理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32554">
            <w:pPr>
              <w:widowControl/>
              <w:ind w:firstLine="0" w:firstLineChars="0"/>
              <w:rPr>
                <w:rFonts w:cs="Times New Roman"/>
                <w:color w:val="auto"/>
                <w:szCs w:val="24"/>
                <w:highlight w:val="none"/>
              </w:rPr>
            </w:pPr>
            <w:r>
              <w:rPr>
                <w:rFonts w:cs="Times New Roman"/>
                <w:color w:val="auto"/>
                <w:szCs w:val="24"/>
                <w:highlight w:val="none"/>
              </w:rPr>
              <w:t>衡量乙方在系统上线运行后及时处理重大问题的能力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EFD8D">
            <w:pPr>
              <w:widowControl/>
              <w:ind w:firstLine="0" w:firstLineChars="0"/>
              <w:rPr>
                <w:rFonts w:cs="Times New Roman"/>
                <w:color w:val="auto"/>
                <w:szCs w:val="24"/>
                <w:highlight w:val="none"/>
              </w:rPr>
            </w:pPr>
            <w:r>
              <w:rPr>
                <w:rFonts w:cs="Times New Roman"/>
                <w:color w:val="auto"/>
                <w:szCs w:val="24"/>
                <w:highlight w:val="none"/>
              </w:rPr>
              <w:t>上线后遗留问题或生产缺陷解决的及时性</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E7D41">
            <w:pPr>
              <w:widowControl/>
              <w:ind w:firstLine="0" w:firstLineChars="0"/>
              <w:rPr>
                <w:rFonts w:cs="Times New Roman"/>
                <w:color w:val="auto"/>
                <w:szCs w:val="24"/>
                <w:highlight w:val="none"/>
              </w:rPr>
            </w:pPr>
            <w:r>
              <w:rPr>
                <w:rFonts w:cs="Times New Roman"/>
                <w:color w:val="auto"/>
                <w:szCs w:val="24"/>
                <w:highlight w:val="none"/>
              </w:rPr>
              <w:t>甲方根据系统上线运行后的重大问题处理情况判定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903CF">
            <w:pPr>
              <w:widowControl/>
              <w:ind w:firstLine="0" w:firstLineChars="0"/>
              <w:rPr>
                <w:rFonts w:cs="Times New Roman"/>
                <w:color w:val="auto"/>
                <w:szCs w:val="24"/>
                <w:highlight w:val="none"/>
              </w:rPr>
            </w:pPr>
            <w:r>
              <w:rPr>
                <w:rFonts w:cs="Times New Roman"/>
                <w:color w:val="auto"/>
                <w:szCs w:val="24"/>
                <w:highlight w:val="none"/>
              </w:rPr>
              <w:t>生产缺陷解决及时率=100%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5DC64">
            <w:pPr>
              <w:widowControl/>
              <w:ind w:firstLine="0" w:firstLineChars="0"/>
              <w:rPr>
                <w:rFonts w:cs="Times New Roman"/>
                <w:color w:val="auto"/>
                <w:szCs w:val="24"/>
                <w:highlight w:val="none"/>
              </w:rPr>
            </w:pPr>
            <w:r>
              <w:rPr>
                <w:rFonts w:cs="Times New Roman"/>
                <w:color w:val="auto"/>
                <w:szCs w:val="24"/>
                <w:highlight w:val="none"/>
              </w:rPr>
              <w:t>重大生产缺陷、问题不能得到及时解决，每次按合同总金额的5%计违约金</w:t>
            </w:r>
          </w:p>
        </w:tc>
        <w:tc>
          <w:tcPr>
            <w:tcW w:w="709" w:type="dxa"/>
            <w:tcBorders>
              <w:top w:val="single" w:color="auto" w:sz="4" w:space="0"/>
              <w:left w:val="single" w:color="auto" w:sz="4" w:space="0"/>
              <w:bottom w:val="single" w:color="auto" w:sz="4" w:space="0"/>
              <w:right w:val="single" w:color="auto" w:sz="4" w:space="0"/>
            </w:tcBorders>
            <w:noWrap/>
          </w:tcPr>
          <w:p w14:paraId="33ABF195">
            <w:pPr>
              <w:widowControl/>
              <w:ind w:firstLine="420"/>
              <w:rPr>
                <w:rFonts w:cs="Times New Roman"/>
                <w:color w:val="auto"/>
                <w:szCs w:val="24"/>
                <w:highlight w:val="none"/>
              </w:rPr>
            </w:pPr>
          </w:p>
        </w:tc>
      </w:tr>
      <w:tr w14:paraId="7383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3101">
            <w:pPr>
              <w:widowControl/>
              <w:snapToGrid w:val="0"/>
              <w:spacing w:line="320" w:lineRule="exact"/>
              <w:ind w:firstLine="0" w:firstLineChars="0"/>
              <w:rPr>
                <w:rFonts w:cs="Times New Roman"/>
                <w:color w:val="auto"/>
                <w:highlight w:val="none"/>
              </w:rPr>
            </w:pPr>
            <w:r>
              <w:rPr>
                <w:rFonts w:cs="Times New Roman"/>
                <w:color w:val="auto"/>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D1D50">
            <w:pPr>
              <w:widowControl/>
              <w:ind w:firstLine="0" w:firstLineChars="0"/>
              <w:rPr>
                <w:rFonts w:cs="Times New Roman"/>
                <w:color w:val="auto"/>
                <w:szCs w:val="24"/>
                <w:highlight w:val="none"/>
              </w:rPr>
            </w:pPr>
            <w:r>
              <w:rPr>
                <w:rFonts w:cs="Times New Roman"/>
                <w:color w:val="auto"/>
                <w:szCs w:val="24"/>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95BB7">
            <w:pPr>
              <w:widowControl/>
              <w:ind w:firstLine="0" w:firstLineChars="0"/>
              <w:rPr>
                <w:rFonts w:cs="Times New Roman"/>
                <w:color w:val="auto"/>
                <w:szCs w:val="24"/>
                <w:highlight w:val="none"/>
              </w:rPr>
            </w:pPr>
            <w:r>
              <w:rPr>
                <w:rFonts w:cs="Times New Roman"/>
                <w:color w:val="auto"/>
                <w:szCs w:val="24"/>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26E70">
            <w:pPr>
              <w:widowControl/>
              <w:ind w:firstLine="0" w:firstLineChars="0"/>
              <w:rPr>
                <w:rFonts w:cs="Times New Roman"/>
                <w:color w:val="auto"/>
                <w:szCs w:val="24"/>
                <w:highlight w:val="none"/>
              </w:rPr>
            </w:pPr>
            <w:r>
              <w:rPr>
                <w:rFonts w:cs="Times New Roman"/>
                <w:color w:val="auto"/>
                <w:szCs w:val="24"/>
                <w:highlight w:val="none"/>
              </w:rPr>
              <w:t>投入人员情况符合投标文件或合同要求，乙方项目组人员变动比例不得高于30%</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EF4E1">
            <w:pPr>
              <w:widowControl/>
              <w:ind w:firstLine="0" w:firstLineChars="0"/>
              <w:rPr>
                <w:rFonts w:cs="Times New Roman"/>
                <w:color w:val="auto"/>
                <w:szCs w:val="24"/>
                <w:highlight w:val="none"/>
              </w:rPr>
            </w:pPr>
            <w:r>
              <w:rPr>
                <w:rFonts w:cs="Times New Roman"/>
                <w:color w:val="auto"/>
                <w:szCs w:val="24"/>
                <w:highlight w:val="none"/>
              </w:rPr>
              <w:t>甲方按合同要求判定乙方人员投入及变动情况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EB042">
            <w:pPr>
              <w:widowControl/>
              <w:ind w:firstLine="0" w:firstLineChars="0"/>
              <w:rPr>
                <w:rFonts w:cs="Times New Roman"/>
                <w:color w:val="auto"/>
                <w:szCs w:val="24"/>
                <w:highlight w:val="none"/>
              </w:rPr>
            </w:pPr>
            <w:r>
              <w:rPr>
                <w:rFonts w:cs="Times New Roman"/>
                <w:color w:val="auto"/>
                <w:szCs w:val="24"/>
                <w:highlight w:val="none"/>
              </w:rPr>
              <w:t>人员数量差异=承诺人数-实际人数</w:t>
            </w:r>
          </w:p>
          <w:p w14:paraId="246C80B5">
            <w:pPr>
              <w:widowControl/>
              <w:ind w:firstLine="0" w:firstLineChars="0"/>
              <w:rPr>
                <w:rFonts w:cs="Times New Roman"/>
                <w:color w:val="auto"/>
                <w:szCs w:val="24"/>
                <w:highlight w:val="none"/>
              </w:rPr>
            </w:pPr>
            <w:r>
              <w:rPr>
                <w:rFonts w:cs="Times New Roman"/>
                <w:color w:val="auto"/>
                <w:szCs w:val="24"/>
                <w:highlight w:val="none"/>
              </w:rPr>
              <w:t>人员变动率=人员变动人数/原项目组人员总人数</w:t>
            </w:r>
          </w:p>
          <w:p w14:paraId="446F4393">
            <w:pPr>
              <w:widowControl/>
              <w:ind w:firstLine="0" w:firstLineChars="0"/>
              <w:rPr>
                <w:rFonts w:cs="Times New Roman"/>
                <w:color w:val="auto"/>
                <w:szCs w:val="24"/>
                <w:highlight w:val="none"/>
              </w:rPr>
            </w:pPr>
            <w:r>
              <w:rPr>
                <w:rFonts w:cs="Times New Roman"/>
                <w:color w:val="auto"/>
                <w:szCs w:val="24"/>
                <w:highlight w:val="none"/>
              </w:rPr>
              <w:t>（人员数量差异≤2；技术骨干及项目经理不得变动；技术人员变动率≤30%）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EE802">
            <w:pPr>
              <w:widowControl/>
              <w:ind w:firstLine="0" w:firstLineChars="0"/>
              <w:rPr>
                <w:rFonts w:cs="Times New Roman"/>
                <w:color w:val="auto"/>
                <w:szCs w:val="24"/>
                <w:highlight w:val="none"/>
              </w:rPr>
            </w:pPr>
            <w:r>
              <w:rPr>
                <w:rFonts w:cs="Times New Roman"/>
                <w:color w:val="auto"/>
                <w:szCs w:val="24"/>
                <w:highlight w:val="none"/>
              </w:rPr>
              <w:t>技术骨干及项目经理变动扣除技术骨干人月单价（至少不低于3万元），技术人员变动超过30%，扣除合同总金额10%</w:t>
            </w:r>
          </w:p>
        </w:tc>
        <w:tc>
          <w:tcPr>
            <w:tcW w:w="709" w:type="dxa"/>
            <w:tcBorders>
              <w:top w:val="single" w:color="auto" w:sz="4" w:space="0"/>
              <w:left w:val="single" w:color="auto" w:sz="4" w:space="0"/>
              <w:bottom w:val="single" w:color="auto" w:sz="4" w:space="0"/>
              <w:right w:val="single" w:color="auto" w:sz="4" w:space="0"/>
            </w:tcBorders>
            <w:noWrap/>
          </w:tcPr>
          <w:p w14:paraId="09B11D26">
            <w:pPr>
              <w:widowControl/>
              <w:ind w:firstLine="420"/>
              <w:rPr>
                <w:rFonts w:cs="Times New Roman"/>
                <w:color w:val="auto"/>
                <w:szCs w:val="24"/>
                <w:highlight w:val="none"/>
              </w:rPr>
            </w:pPr>
          </w:p>
        </w:tc>
      </w:tr>
      <w:tr w14:paraId="7917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12E64">
            <w:pPr>
              <w:widowControl/>
              <w:ind w:firstLine="0" w:firstLineChars="0"/>
              <w:rPr>
                <w:rFonts w:cs="Times New Roman"/>
                <w:color w:val="auto"/>
                <w:szCs w:val="24"/>
                <w:highlight w:val="none"/>
              </w:rPr>
            </w:pPr>
            <w:r>
              <w:rPr>
                <w:rFonts w:cs="Times New Roman"/>
                <w:color w:val="auto"/>
                <w:szCs w:val="24"/>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BD72D">
            <w:pPr>
              <w:widowControl/>
              <w:ind w:firstLine="0" w:firstLineChars="0"/>
              <w:rPr>
                <w:rFonts w:cs="Times New Roman"/>
                <w:color w:val="auto"/>
                <w:szCs w:val="24"/>
                <w:highlight w:val="none"/>
              </w:rPr>
            </w:pPr>
            <w:r>
              <w:rPr>
                <w:rFonts w:cs="Times New Roman"/>
                <w:color w:val="auto"/>
                <w:szCs w:val="24"/>
                <w:highlight w:val="none"/>
              </w:rPr>
              <w:t>测试人员配置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F9741">
            <w:pPr>
              <w:widowControl/>
              <w:ind w:firstLine="0" w:firstLineChars="0"/>
              <w:rPr>
                <w:rFonts w:cs="Times New Roman"/>
                <w:color w:val="auto"/>
                <w:szCs w:val="24"/>
                <w:highlight w:val="none"/>
              </w:rPr>
            </w:pPr>
            <w:r>
              <w:rPr>
                <w:rFonts w:cs="Times New Roman"/>
                <w:color w:val="auto"/>
                <w:szCs w:val="24"/>
                <w:highlight w:val="none"/>
              </w:rPr>
              <w:t>衡量乙方投入系统测试人员的符合度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1F687">
            <w:pPr>
              <w:widowControl/>
              <w:ind w:firstLine="0" w:firstLineChars="0"/>
              <w:rPr>
                <w:rFonts w:cs="Times New Roman"/>
                <w:color w:val="auto"/>
                <w:szCs w:val="24"/>
                <w:highlight w:val="none"/>
              </w:rPr>
            </w:pPr>
            <w:r>
              <w:rPr>
                <w:rFonts w:cs="Times New Roman"/>
                <w:color w:val="auto"/>
                <w:szCs w:val="24"/>
                <w:highlight w:val="none"/>
              </w:rPr>
              <w:t>投入系统测试人员情况符合投标文件或合同要求</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CA237">
            <w:pPr>
              <w:widowControl/>
              <w:ind w:firstLine="0" w:firstLineChars="0"/>
              <w:rPr>
                <w:rFonts w:cs="Times New Roman"/>
                <w:color w:val="auto"/>
                <w:szCs w:val="24"/>
                <w:highlight w:val="none"/>
              </w:rPr>
            </w:pPr>
            <w:r>
              <w:rPr>
                <w:rFonts w:cs="Times New Roman"/>
                <w:color w:val="auto"/>
                <w:szCs w:val="24"/>
                <w:highlight w:val="none"/>
              </w:rPr>
              <w:t>甲方按照合同或标书要求判定乙方测试人员投入情况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10980">
            <w:pPr>
              <w:widowControl/>
              <w:ind w:firstLine="0" w:firstLineChars="0"/>
              <w:rPr>
                <w:rFonts w:cs="Times New Roman"/>
                <w:color w:val="auto"/>
                <w:szCs w:val="24"/>
                <w:highlight w:val="none"/>
              </w:rPr>
            </w:pPr>
            <w:r>
              <w:rPr>
                <w:rFonts w:cs="Times New Roman"/>
                <w:color w:val="auto"/>
                <w:szCs w:val="24"/>
                <w:highlight w:val="none"/>
              </w:rPr>
              <w:t>人员重合率=测试人员/开发人员（人员重合率=0）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47B86">
            <w:pPr>
              <w:widowControl/>
              <w:ind w:firstLine="420"/>
              <w:rPr>
                <w:rFonts w:cs="Times New Roman"/>
                <w:color w:val="auto"/>
                <w:szCs w:val="24"/>
                <w:highlight w:val="none"/>
              </w:rPr>
            </w:pPr>
          </w:p>
        </w:tc>
        <w:tc>
          <w:tcPr>
            <w:tcW w:w="709" w:type="dxa"/>
            <w:tcBorders>
              <w:top w:val="single" w:color="auto" w:sz="4" w:space="0"/>
              <w:left w:val="single" w:color="auto" w:sz="4" w:space="0"/>
              <w:bottom w:val="single" w:color="auto" w:sz="4" w:space="0"/>
              <w:right w:val="single" w:color="auto" w:sz="4" w:space="0"/>
            </w:tcBorders>
            <w:noWrap/>
          </w:tcPr>
          <w:p w14:paraId="0AA22263">
            <w:pPr>
              <w:widowControl/>
              <w:ind w:firstLine="420"/>
              <w:rPr>
                <w:rFonts w:cs="Times New Roman"/>
                <w:color w:val="auto"/>
                <w:szCs w:val="24"/>
                <w:highlight w:val="none"/>
              </w:rPr>
            </w:pPr>
          </w:p>
        </w:tc>
      </w:tr>
      <w:tr w14:paraId="09F1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CA665">
            <w:pPr>
              <w:widowControl/>
              <w:ind w:firstLine="0" w:firstLineChars="0"/>
              <w:rPr>
                <w:rFonts w:cs="Times New Roman"/>
                <w:color w:val="auto"/>
                <w:szCs w:val="24"/>
                <w:highlight w:val="none"/>
              </w:rPr>
            </w:pPr>
            <w:r>
              <w:rPr>
                <w:rFonts w:cs="Times New Roman"/>
                <w:color w:val="auto"/>
                <w:szCs w:val="24"/>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E682A">
            <w:pPr>
              <w:widowControl/>
              <w:ind w:firstLine="0" w:firstLineChars="0"/>
              <w:rPr>
                <w:rFonts w:cs="Times New Roman"/>
                <w:color w:val="auto"/>
                <w:szCs w:val="24"/>
                <w:highlight w:val="none"/>
              </w:rPr>
            </w:pPr>
            <w:r>
              <w:rPr>
                <w:rFonts w:cs="Times New Roman"/>
                <w:color w:val="auto"/>
                <w:szCs w:val="24"/>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E1506">
            <w:pPr>
              <w:widowControl/>
              <w:ind w:firstLine="0" w:firstLineChars="0"/>
              <w:rPr>
                <w:rFonts w:cs="Times New Roman"/>
                <w:color w:val="auto"/>
                <w:szCs w:val="24"/>
                <w:highlight w:val="none"/>
              </w:rPr>
            </w:pPr>
            <w:r>
              <w:rPr>
                <w:rFonts w:cs="Times New Roman"/>
                <w:color w:val="auto"/>
                <w:szCs w:val="24"/>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1699">
            <w:pPr>
              <w:widowControl/>
              <w:ind w:firstLine="0" w:firstLineChars="0"/>
              <w:rPr>
                <w:rFonts w:cs="Times New Roman"/>
                <w:color w:val="auto"/>
                <w:szCs w:val="24"/>
                <w:highlight w:val="none"/>
              </w:rPr>
            </w:pPr>
            <w:r>
              <w:rPr>
                <w:rFonts w:cs="Times New Roman"/>
                <w:color w:val="auto"/>
                <w:szCs w:val="24"/>
                <w:highlight w:val="none"/>
              </w:rPr>
              <w:t>未经甲方同意，乙方人员辞职和离职或无计划的调离项目组</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BF66">
            <w:pPr>
              <w:widowControl/>
              <w:ind w:firstLine="0" w:firstLineChars="0"/>
              <w:rPr>
                <w:rFonts w:cs="Times New Roman"/>
                <w:color w:val="auto"/>
                <w:szCs w:val="24"/>
                <w:highlight w:val="none"/>
              </w:rPr>
            </w:pPr>
            <w:r>
              <w:rPr>
                <w:rFonts w:cs="Times New Roman"/>
                <w:color w:val="auto"/>
                <w:szCs w:val="24"/>
                <w:highlight w:val="none"/>
              </w:rPr>
              <w:t>甲方根据乙方人员退出的具体时间和原因测算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23C25">
            <w:pPr>
              <w:widowControl/>
              <w:ind w:firstLine="0" w:firstLineChars="0"/>
              <w:rPr>
                <w:rFonts w:cs="Times New Roman"/>
                <w:color w:val="auto"/>
                <w:szCs w:val="24"/>
                <w:highlight w:val="none"/>
              </w:rPr>
            </w:pPr>
            <w:r>
              <w:rPr>
                <w:rFonts w:cs="Times New Roman"/>
                <w:color w:val="auto"/>
                <w:szCs w:val="24"/>
                <w:highlight w:val="none"/>
              </w:rPr>
              <w:t>人员异常退出次数=0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43FCF">
            <w:pPr>
              <w:widowControl/>
              <w:ind w:firstLine="0" w:firstLineChars="0"/>
              <w:rPr>
                <w:rFonts w:cs="Times New Roman"/>
                <w:color w:val="auto"/>
                <w:szCs w:val="24"/>
                <w:highlight w:val="none"/>
              </w:rPr>
            </w:pPr>
            <w:r>
              <w:rPr>
                <w:rFonts w:cs="Times New Roman"/>
                <w:color w:val="auto"/>
                <w:szCs w:val="24"/>
                <w:highlight w:val="none"/>
              </w:rPr>
              <w:t>每次人员异常退出扣除乙方金额人民币1000元</w:t>
            </w:r>
          </w:p>
        </w:tc>
        <w:tc>
          <w:tcPr>
            <w:tcW w:w="709" w:type="dxa"/>
            <w:tcBorders>
              <w:top w:val="single" w:color="auto" w:sz="4" w:space="0"/>
              <w:left w:val="single" w:color="auto" w:sz="4" w:space="0"/>
              <w:bottom w:val="single" w:color="auto" w:sz="4" w:space="0"/>
              <w:right w:val="single" w:color="auto" w:sz="4" w:space="0"/>
            </w:tcBorders>
            <w:noWrap/>
          </w:tcPr>
          <w:p w14:paraId="4D343422">
            <w:pPr>
              <w:widowControl/>
              <w:ind w:firstLine="420"/>
              <w:rPr>
                <w:rFonts w:cs="Times New Roman"/>
                <w:color w:val="auto"/>
                <w:szCs w:val="24"/>
                <w:highlight w:val="none"/>
              </w:rPr>
            </w:pPr>
          </w:p>
        </w:tc>
      </w:tr>
      <w:tr w14:paraId="2F4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7BF96">
            <w:pPr>
              <w:widowControl/>
              <w:ind w:firstLine="0" w:firstLineChars="0"/>
              <w:rPr>
                <w:rFonts w:cs="Times New Roman"/>
                <w:color w:val="auto"/>
                <w:szCs w:val="24"/>
                <w:highlight w:val="none"/>
              </w:rPr>
            </w:pPr>
            <w:r>
              <w:rPr>
                <w:rFonts w:cs="Times New Roman"/>
                <w:color w:val="auto"/>
                <w:szCs w:val="24"/>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A7314">
            <w:pPr>
              <w:widowControl/>
              <w:ind w:firstLine="0" w:firstLineChars="0"/>
              <w:rPr>
                <w:rFonts w:cs="Times New Roman"/>
                <w:color w:val="auto"/>
                <w:szCs w:val="24"/>
                <w:highlight w:val="none"/>
              </w:rPr>
            </w:pPr>
            <w:r>
              <w:rPr>
                <w:rFonts w:cs="Times New Roman"/>
                <w:color w:val="auto"/>
                <w:szCs w:val="24"/>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931FF">
            <w:pPr>
              <w:widowControl/>
              <w:ind w:firstLine="0" w:firstLineChars="0"/>
              <w:rPr>
                <w:rFonts w:cs="Times New Roman"/>
                <w:color w:val="auto"/>
                <w:szCs w:val="24"/>
                <w:highlight w:val="none"/>
              </w:rPr>
            </w:pPr>
            <w:r>
              <w:rPr>
                <w:rFonts w:cs="Times New Roman"/>
                <w:color w:val="auto"/>
                <w:szCs w:val="24"/>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2C3C2">
            <w:pPr>
              <w:widowControl/>
              <w:ind w:firstLine="0" w:firstLineChars="0"/>
              <w:rPr>
                <w:rFonts w:cs="Times New Roman"/>
                <w:color w:val="auto"/>
                <w:szCs w:val="24"/>
                <w:highlight w:val="none"/>
              </w:rPr>
            </w:pPr>
            <w:r>
              <w:rPr>
                <w:rFonts w:cs="Times New Roman"/>
                <w:color w:val="auto"/>
                <w:szCs w:val="24"/>
                <w:highlight w:val="none"/>
              </w:rPr>
              <w:t>乙方人员不得违反甲方的各项规章制度和操作规范</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530F6">
            <w:pPr>
              <w:widowControl/>
              <w:ind w:firstLine="420"/>
              <w:rPr>
                <w:rFonts w:cs="Times New Roman"/>
                <w:color w:val="auto"/>
                <w:szCs w:val="24"/>
                <w:highlight w:val="none"/>
              </w:rPr>
            </w:pPr>
            <w:r>
              <w:rPr>
                <w:rFonts w:cs="Times New Roman"/>
                <w:color w:val="auto"/>
                <w:szCs w:val="24"/>
                <w:highlight w:val="none"/>
              </w:rPr>
              <w:t>甲方根据自身检查及其他管理部门的检查结果为依据统计乙方人员违规次数。</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8DE67">
            <w:pPr>
              <w:widowControl/>
              <w:ind w:firstLine="0" w:firstLineChars="0"/>
              <w:rPr>
                <w:rFonts w:cs="Times New Roman"/>
                <w:color w:val="auto"/>
                <w:szCs w:val="24"/>
                <w:highlight w:val="none"/>
              </w:rPr>
            </w:pPr>
            <w:r>
              <w:rPr>
                <w:rFonts w:cs="Times New Roman"/>
                <w:color w:val="auto"/>
                <w:szCs w:val="24"/>
                <w:highlight w:val="none"/>
              </w:rPr>
              <w:t>人员违规次数=0次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D6B79">
            <w:pPr>
              <w:widowControl/>
              <w:ind w:firstLine="0" w:firstLineChars="0"/>
              <w:rPr>
                <w:rFonts w:cs="Times New Roman"/>
                <w:color w:val="auto"/>
                <w:szCs w:val="24"/>
                <w:highlight w:val="none"/>
              </w:rPr>
            </w:pPr>
            <w:r>
              <w:rPr>
                <w:rFonts w:cs="Times New Roman"/>
                <w:color w:val="auto"/>
                <w:szCs w:val="24"/>
                <w:highlight w:val="none"/>
              </w:rPr>
              <w:t>乙方人员违反甲方规章制度或操作规范，每次扣除乙方金额人民币500元</w:t>
            </w:r>
          </w:p>
        </w:tc>
        <w:tc>
          <w:tcPr>
            <w:tcW w:w="709" w:type="dxa"/>
            <w:tcBorders>
              <w:top w:val="single" w:color="auto" w:sz="4" w:space="0"/>
              <w:left w:val="single" w:color="auto" w:sz="4" w:space="0"/>
              <w:bottom w:val="single" w:color="auto" w:sz="4" w:space="0"/>
              <w:right w:val="single" w:color="auto" w:sz="4" w:space="0"/>
            </w:tcBorders>
            <w:noWrap/>
          </w:tcPr>
          <w:p w14:paraId="5575B4C0">
            <w:pPr>
              <w:widowControl/>
              <w:ind w:firstLine="420"/>
              <w:rPr>
                <w:rFonts w:cs="Times New Roman"/>
                <w:color w:val="auto"/>
                <w:szCs w:val="24"/>
                <w:highlight w:val="none"/>
              </w:rPr>
            </w:pPr>
          </w:p>
        </w:tc>
      </w:tr>
      <w:tr w14:paraId="4553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ED8F8">
            <w:pPr>
              <w:widowControl/>
              <w:ind w:firstLine="0" w:firstLineChars="0"/>
              <w:rPr>
                <w:rFonts w:cs="Times New Roman"/>
                <w:color w:val="auto"/>
                <w:szCs w:val="24"/>
                <w:highlight w:val="none"/>
              </w:rPr>
            </w:pPr>
            <w:r>
              <w:rPr>
                <w:rFonts w:cs="Times New Roman"/>
                <w:color w:val="auto"/>
                <w:szCs w:val="24"/>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20BA5">
            <w:pPr>
              <w:widowControl/>
              <w:ind w:firstLine="0" w:firstLineChars="0"/>
              <w:rPr>
                <w:rFonts w:cs="Times New Roman"/>
                <w:color w:val="auto"/>
                <w:szCs w:val="24"/>
                <w:highlight w:val="none"/>
              </w:rPr>
            </w:pPr>
            <w:r>
              <w:rPr>
                <w:rFonts w:cs="Times New Roman"/>
                <w:color w:val="auto"/>
                <w:szCs w:val="24"/>
                <w:highlight w:val="none"/>
              </w:rPr>
              <w:t>安全管理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B137D">
            <w:pPr>
              <w:widowControl/>
              <w:ind w:firstLine="0" w:firstLineChars="0"/>
              <w:rPr>
                <w:rFonts w:cs="Times New Roman"/>
                <w:color w:val="auto"/>
                <w:szCs w:val="24"/>
                <w:highlight w:val="none"/>
              </w:rPr>
            </w:pPr>
            <w:r>
              <w:rPr>
                <w:rFonts w:cs="Times New Roman"/>
                <w:color w:val="auto"/>
                <w:szCs w:val="24"/>
                <w:highlight w:val="none"/>
              </w:rPr>
              <w:t>衡量乙方网络和信息安全服务的管理能力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53543">
            <w:pPr>
              <w:widowControl/>
              <w:ind w:firstLine="0" w:firstLineChars="0"/>
              <w:rPr>
                <w:rFonts w:cs="Times New Roman"/>
                <w:color w:val="auto"/>
                <w:szCs w:val="24"/>
                <w:highlight w:val="none"/>
              </w:rPr>
            </w:pPr>
            <w:r>
              <w:rPr>
                <w:rFonts w:cs="Times New Roman"/>
                <w:color w:val="auto"/>
                <w:szCs w:val="24"/>
                <w:highlight w:val="none"/>
              </w:rPr>
              <w:t>针对发现的安全漏洞及安全缺陷（包括源代码、第三方SDK或第三方小程序、第三方软件产品及开源组件等），须按甲方要求完成整改。</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56969">
            <w:pPr>
              <w:widowControl/>
              <w:ind w:firstLine="0" w:firstLineChars="0"/>
              <w:rPr>
                <w:rFonts w:cs="Times New Roman"/>
                <w:color w:val="auto"/>
                <w:szCs w:val="24"/>
                <w:highlight w:val="none"/>
              </w:rPr>
            </w:pPr>
            <w:r>
              <w:rPr>
                <w:rFonts w:cs="Times New Roman"/>
                <w:color w:val="auto"/>
                <w:szCs w:val="24"/>
                <w:highlight w:val="none"/>
              </w:rPr>
              <w:t>甲方根据整改情况统计整改及时性及整改通过率。</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A20D2">
            <w:pPr>
              <w:widowControl/>
              <w:ind w:firstLine="0" w:firstLineChars="0"/>
              <w:rPr>
                <w:rFonts w:cs="Times New Roman"/>
                <w:color w:val="auto"/>
                <w:szCs w:val="24"/>
                <w:highlight w:val="none"/>
              </w:rPr>
            </w:pPr>
            <w:r>
              <w:rPr>
                <w:rFonts w:cs="Times New Roman"/>
                <w:color w:val="auto"/>
                <w:szCs w:val="24"/>
                <w:highlight w:val="none"/>
              </w:rPr>
              <w:t>互联网或电子银行类系统：</w:t>
            </w:r>
          </w:p>
          <w:p w14:paraId="6E6DE4AF">
            <w:pPr>
              <w:widowControl/>
              <w:ind w:firstLine="0" w:firstLineChars="0"/>
              <w:rPr>
                <w:rFonts w:cs="Times New Roman"/>
                <w:color w:val="auto"/>
                <w:szCs w:val="24"/>
                <w:highlight w:val="none"/>
              </w:rPr>
            </w:pPr>
            <w:r>
              <w:rPr>
                <w:rFonts w:cs="Times New Roman"/>
                <w:color w:val="auto"/>
                <w:szCs w:val="24"/>
                <w:highlight w:val="none"/>
              </w:rPr>
              <w:t>1.安全漏洞及安全缺陷整改及时率=100%</w:t>
            </w:r>
          </w:p>
          <w:p w14:paraId="0FC5D4D2">
            <w:pPr>
              <w:ind w:firstLine="0" w:firstLineChars="0"/>
              <w:rPr>
                <w:rFonts w:cs="Times New Roman"/>
                <w:color w:val="auto"/>
                <w:szCs w:val="24"/>
                <w:highlight w:val="none"/>
              </w:rPr>
            </w:pPr>
            <w:r>
              <w:rPr>
                <w:rFonts w:cs="Times New Roman"/>
                <w:color w:val="auto"/>
                <w:szCs w:val="24"/>
                <w:highlight w:val="none"/>
              </w:rPr>
              <w:t>2.安全漏洞及安全缺陷整改通过率=100%</w:t>
            </w:r>
          </w:p>
          <w:p w14:paraId="245303E4">
            <w:pPr>
              <w:widowControl/>
              <w:ind w:firstLine="0" w:firstLineChars="0"/>
              <w:rPr>
                <w:rFonts w:cs="Times New Roman"/>
                <w:color w:val="auto"/>
                <w:szCs w:val="24"/>
                <w:highlight w:val="none"/>
              </w:rPr>
            </w:pPr>
            <w:r>
              <w:rPr>
                <w:rFonts w:cs="Times New Roman"/>
                <w:color w:val="auto"/>
                <w:szCs w:val="24"/>
                <w:highlight w:val="none"/>
              </w:rPr>
              <w:t>非互联网或电子银行类系统：</w:t>
            </w:r>
          </w:p>
          <w:p w14:paraId="5249ED6F">
            <w:pPr>
              <w:widowControl/>
              <w:ind w:firstLine="0" w:firstLineChars="0"/>
              <w:rPr>
                <w:rFonts w:cs="Times New Roman"/>
                <w:color w:val="auto"/>
                <w:szCs w:val="24"/>
                <w:highlight w:val="none"/>
              </w:rPr>
            </w:pPr>
            <w:r>
              <w:rPr>
                <w:rFonts w:cs="Times New Roman"/>
                <w:color w:val="auto"/>
                <w:szCs w:val="24"/>
                <w:highlight w:val="none"/>
              </w:rPr>
              <w:t>1.中高危安全漏洞及安全缺陷整改及时率=100%</w:t>
            </w:r>
          </w:p>
          <w:p w14:paraId="415D424D">
            <w:pPr>
              <w:ind w:firstLine="0" w:firstLineChars="0"/>
              <w:rPr>
                <w:rFonts w:cs="Times New Roman"/>
                <w:color w:val="auto"/>
                <w:szCs w:val="24"/>
                <w:highlight w:val="none"/>
              </w:rPr>
            </w:pPr>
            <w:r>
              <w:rPr>
                <w:rFonts w:cs="Times New Roman"/>
                <w:color w:val="auto"/>
                <w:szCs w:val="24"/>
                <w:highlight w:val="none"/>
              </w:rPr>
              <w:t>2.中高危安全漏洞及安全缺陷整改通过率=100%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90E31">
            <w:pPr>
              <w:widowControl/>
              <w:ind w:firstLine="0" w:firstLineChars="0"/>
              <w:rPr>
                <w:rFonts w:cs="Times New Roman"/>
                <w:color w:val="auto"/>
                <w:szCs w:val="24"/>
                <w:highlight w:val="none"/>
              </w:rPr>
            </w:pPr>
            <w:r>
              <w:rPr>
                <w:rFonts w:cs="Times New Roman"/>
                <w:color w:val="auto"/>
                <w:szCs w:val="24"/>
                <w:highlight w:val="none"/>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cBorders>
            <w:noWrap/>
          </w:tcPr>
          <w:p w14:paraId="5F227B95">
            <w:pPr>
              <w:widowControl/>
              <w:ind w:firstLine="420"/>
              <w:rPr>
                <w:rFonts w:cs="Times New Roman"/>
                <w:color w:val="auto"/>
                <w:szCs w:val="24"/>
                <w:highlight w:val="none"/>
              </w:rPr>
            </w:pPr>
          </w:p>
        </w:tc>
      </w:tr>
      <w:tr w14:paraId="0282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0A0A4">
            <w:pPr>
              <w:widowControl/>
              <w:ind w:firstLine="0" w:firstLineChars="0"/>
              <w:rPr>
                <w:rFonts w:cs="Times New Roman"/>
                <w:color w:val="auto"/>
                <w:szCs w:val="24"/>
                <w:highlight w:val="none"/>
              </w:rPr>
            </w:pPr>
            <w:r>
              <w:rPr>
                <w:rFonts w:cs="Times New Roman"/>
                <w:color w:val="auto"/>
                <w:szCs w:val="24"/>
                <w:highlight w:val="none"/>
              </w:rPr>
              <w:t>11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95F4E">
            <w:pPr>
              <w:widowControl/>
              <w:ind w:firstLine="0" w:firstLineChars="0"/>
              <w:rPr>
                <w:rFonts w:cs="Times New Roman"/>
                <w:color w:val="auto"/>
                <w:szCs w:val="24"/>
                <w:highlight w:val="none"/>
              </w:rPr>
            </w:pPr>
            <w:r>
              <w:rPr>
                <w:rFonts w:cs="Times New Roman"/>
                <w:color w:val="auto"/>
                <w:szCs w:val="24"/>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6734">
            <w:pPr>
              <w:widowControl/>
              <w:ind w:firstLine="0" w:firstLineChars="0"/>
              <w:rPr>
                <w:rFonts w:cs="Times New Roman"/>
                <w:color w:val="auto"/>
                <w:szCs w:val="24"/>
                <w:highlight w:val="none"/>
              </w:rPr>
            </w:pPr>
            <w:r>
              <w:rPr>
                <w:rFonts w:cs="Times New Roman"/>
                <w:color w:val="auto"/>
                <w:szCs w:val="24"/>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339D0">
            <w:pPr>
              <w:widowControl/>
              <w:ind w:firstLine="0" w:firstLineChars="0"/>
              <w:rPr>
                <w:rFonts w:cs="Times New Roman"/>
                <w:color w:val="auto"/>
                <w:szCs w:val="24"/>
                <w:highlight w:val="none"/>
              </w:rPr>
            </w:pPr>
            <w:r>
              <w:rPr>
                <w:rFonts w:cs="Times New Roman"/>
                <w:color w:val="auto"/>
                <w:szCs w:val="24"/>
                <w:highlight w:val="none"/>
              </w:rPr>
              <w:t>不得因乙方原因（含乙方合作的第三方）导致甲方发生网络安全事件</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768D5">
            <w:pPr>
              <w:widowControl/>
              <w:ind w:firstLine="0" w:firstLineChars="0"/>
              <w:rPr>
                <w:rFonts w:cs="Times New Roman"/>
                <w:color w:val="auto"/>
                <w:szCs w:val="24"/>
                <w:highlight w:val="none"/>
              </w:rPr>
            </w:pPr>
            <w:r>
              <w:rPr>
                <w:rFonts w:cs="Times New Roman"/>
                <w:color w:val="auto"/>
                <w:szCs w:val="24"/>
                <w:highlight w:val="none"/>
              </w:rPr>
              <w:t>甲方根据监管和要求及事件危害程度判定。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B0C0F">
            <w:pPr>
              <w:widowControl/>
              <w:ind w:firstLine="0" w:firstLineChars="0"/>
              <w:rPr>
                <w:rFonts w:cs="Times New Roman"/>
                <w:color w:val="auto"/>
                <w:szCs w:val="24"/>
                <w:highlight w:val="none"/>
              </w:rPr>
            </w:pPr>
            <w:r>
              <w:rPr>
                <w:rFonts w:cs="Times New Roman"/>
                <w:color w:val="auto"/>
                <w:szCs w:val="24"/>
                <w:highlight w:val="none"/>
              </w:rPr>
              <w:t>网络安全事件=0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EDF10">
            <w:pPr>
              <w:widowControl/>
              <w:ind w:firstLine="0" w:firstLineChars="0"/>
              <w:rPr>
                <w:rFonts w:cs="Times New Roman"/>
                <w:color w:val="auto"/>
                <w:szCs w:val="24"/>
                <w:highlight w:val="none"/>
              </w:rPr>
            </w:pPr>
            <w:r>
              <w:rPr>
                <w:rFonts w:cs="Times New Roman"/>
                <w:color w:val="auto"/>
                <w:szCs w:val="24"/>
                <w:highlight w:val="none"/>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65896BA9">
            <w:pPr>
              <w:widowControl/>
              <w:ind w:firstLine="420"/>
              <w:rPr>
                <w:rFonts w:cs="Times New Roman"/>
                <w:color w:val="auto"/>
                <w:szCs w:val="24"/>
                <w:highlight w:val="none"/>
              </w:rPr>
            </w:pPr>
          </w:p>
        </w:tc>
      </w:tr>
      <w:tr w14:paraId="520D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65499">
            <w:pPr>
              <w:widowControl/>
              <w:ind w:firstLine="0" w:firstLineChars="0"/>
              <w:rPr>
                <w:rFonts w:cs="Times New Roman"/>
                <w:color w:val="auto"/>
                <w:szCs w:val="24"/>
                <w:highlight w:val="none"/>
              </w:rPr>
            </w:pPr>
            <w:r>
              <w:rPr>
                <w:rFonts w:cs="Times New Roman"/>
                <w:color w:val="auto"/>
                <w:szCs w:val="24"/>
                <w:highlight w:val="none"/>
              </w:rPr>
              <w:t>12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CEEF3">
            <w:pPr>
              <w:widowControl/>
              <w:ind w:firstLine="0" w:firstLineChars="0"/>
              <w:rPr>
                <w:rFonts w:cs="Times New Roman"/>
                <w:color w:val="auto"/>
                <w:szCs w:val="24"/>
                <w:highlight w:val="none"/>
              </w:rPr>
            </w:pPr>
            <w:r>
              <w:rPr>
                <w:rFonts w:cs="Times New Roman"/>
                <w:color w:val="auto"/>
                <w:szCs w:val="24"/>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30006">
            <w:pPr>
              <w:widowControl/>
              <w:ind w:firstLine="0" w:firstLineChars="0"/>
              <w:rPr>
                <w:rFonts w:cs="Times New Roman"/>
                <w:color w:val="auto"/>
                <w:szCs w:val="24"/>
                <w:highlight w:val="none"/>
              </w:rPr>
            </w:pPr>
            <w:r>
              <w:rPr>
                <w:rFonts w:cs="Times New Roman"/>
                <w:color w:val="auto"/>
                <w:szCs w:val="24"/>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48526">
            <w:pPr>
              <w:widowControl/>
              <w:ind w:firstLine="0" w:firstLineChars="0"/>
              <w:rPr>
                <w:rFonts w:cs="Times New Roman"/>
                <w:color w:val="auto"/>
                <w:szCs w:val="24"/>
                <w:highlight w:val="none"/>
              </w:rPr>
            </w:pPr>
            <w:r>
              <w:rPr>
                <w:rFonts w:cs="Times New Roman"/>
                <w:color w:val="auto"/>
                <w:szCs w:val="24"/>
                <w:highlight w:val="none"/>
              </w:rPr>
              <w:t>乙方不得出现危害甲方生产运行安全、数据安全等并造成后果的外包安全事件。</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CBDD">
            <w:pPr>
              <w:widowControl/>
              <w:ind w:firstLine="0" w:firstLineChars="0"/>
              <w:rPr>
                <w:rFonts w:cs="Times New Roman"/>
                <w:color w:val="auto"/>
                <w:szCs w:val="24"/>
                <w:highlight w:val="none"/>
              </w:rPr>
            </w:pPr>
            <w:r>
              <w:rPr>
                <w:rFonts w:cs="Times New Roman"/>
                <w:color w:val="auto"/>
                <w:szCs w:val="24"/>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03099">
            <w:pPr>
              <w:widowControl/>
              <w:ind w:firstLine="0" w:firstLineChars="0"/>
              <w:rPr>
                <w:rFonts w:cs="Times New Roman"/>
                <w:color w:val="auto"/>
                <w:szCs w:val="24"/>
                <w:highlight w:val="none"/>
              </w:rPr>
            </w:pPr>
            <w:r>
              <w:rPr>
                <w:rFonts w:cs="Times New Roman"/>
                <w:color w:val="auto"/>
                <w:szCs w:val="24"/>
                <w:highlight w:val="none"/>
              </w:rPr>
              <w:t>外包安全事件=0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20CF6">
            <w:pPr>
              <w:widowControl/>
              <w:ind w:firstLine="0" w:firstLineChars="0"/>
              <w:rPr>
                <w:rFonts w:cs="Times New Roman"/>
                <w:color w:val="auto"/>
                <w:szCs w:val="24"/>
                <w:highlight w:val="none"/>
              </w:rPr>
            </w:pPr>
            <w:r>
              <w:rPr>
                <w:rFonts w:cs="Times New Roman"/>
                <w:color w:val="auto"/>
                <w:szCs w:val="24"/>
                <w:highlight w:val="none"/>
              </w:rPr>
              <w:t>每次事件扣罚乙方金额不低于人民币1000元，并要求乙方赔偿实际损失。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1580288D">
            <w:pPr>
              <w:widowControl/>
              <w:ind w:firstLine="420"/>
              <w:rPr>
                <w:rFonts w:cs="Times New Roman"/>
                <w:color w:val="auto"/>
                <w:szCs w:val="24"/>
                <w:highlight w:val="none"/>
              </w:rPr>
            </w:pPr>
          </w:p>
        </w:tc>
      </w:tr>
      <w:tr w14:paraId="18F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C4BC">
            <w:pPr>
              <w:widowControl/>
              <w:ind w:firstLine="0" w:firstLineChars="0"/>
              <w:rPr>
                <w:rFonts w:cs="Times New Roman"/>
                <w:color w:val="auto"/>
                <w:szCs w:val="24"/>
                <w:highlight w:val="none"/>
              </w:rPr>
            </w:pPr>
            <w:r>
              <w:rPr>
                <w:rFonts w:cs="Times New Roman"/>
                <w:color w:val="auto"/>
                <w:szCs w:val="24"/>
                <w:highlight w:val="none"/>
              </w:rPr>
              <w:t>13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2616A">
            <w:pPr>
              <w:widowControl/>
              <w:ind w:firstLine="0" w:firstLineChars="0"/>
              <w:rPr>
                <w:rFonts w:cs="Times New Roman"/>
                <w:color w:val="auto"/>
                <w:szCs w:val="24"/>
                <w:highlight w:val="none"/>
              </w:rPr>
            </w:pPr>
            <w:r>
              <w:rPr>
                <w:rFonts w:cs="Times New Roman"/>
                <w:color w:val="auto"/>
                <w:szCs w:val="24"/>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5A92C">
            <w:pPr>
              <w:widowControl/>
              <w:ind w:firstLine="0" w:firstLineChars="0"/>
              <w:rPr>
                <w:rFonts w:cs="Times New Roman"/>
                <w:color w:val="auto"/>
                <w:szCs w:val="24"/>
                <w:highlight w:val="none"/>
              </w:rPr>
            </w:pPr>
            <w:r>
              <w:rPr>
                <w:rFonts w:cs="Times New Roman"/>
                <w:color w:val="auto"/>
                <w:szCs w:val="24"/>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3B2E5">
            <w:pPr>
              <w:widowControl/>
              <w:ind w:firstLine="0" w:firstLineChars="0"/>
              <w:rPr>
                <w:rFonts w:cs="Times New Roman"/>
                <w:color w:val="auto"/>
                <w:szCs w:val="24"/>
                <w:highlight w:val="none"/>
              </w:rPr>
            </w:pPr>
            <w:r>
              <w:rPr>
                <w:rFonts w:cs="Times New Roman"/>
                <w:color w:val="auto"/>
                <w:szCs w:val="24"/>
                <w:highlight w:val="none"/>
              </w:rPr>
              <w:t>交付文档数量及质量满足甲方要求</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CA98">
            <w:pPr>
              <w:widowControl/>
              <w:ind w:firstLine="0" w:firstLineChars="0"/>
              <w:rPr>
                <w:rFonts w:cs="Times New Roman"/>
                <w:color w:val="auto"/>
                <w:szCs w:val="24"/>
                <w:highlight w:val="none"/>
              </w:rPr>
            </w:pPr>
            <w:r>
              <w:rPr>
                <w:rFonts w:cs="Times New Roman"/>
                <w:color w:val="auto"/>
                <w:szCs w:val="24"/>
                <w:highlight w:val="none"/>
              </w:rPr>
              <w:t>甲方根据乙方实际交付的文档数量及文档质量计算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5C374">
            <w:pPr>
              <w:widowControl/>
              <w:ind w:firstLine="0" w:firstLineChars="0"/>
              <w:rPr>
                <w:rFonts w:cs="Times New Roman"/>
                <w:color w:val="auto"/>
                <w:szCs w:val="24"/>
                <w:highlight w:val="none"/>
              </w:rPr>
            </w:pPr>
            <w:r>
              <w:rPr>
                <w:rFonts w:cs="Times New Roman"/>
                <w:color w:val="auto"/>
                <w:szCs w:val="24"/>
                <w:highlight w:val="none"/>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654E">
            <w:pPr>
              <w:widowControl/>
              <w:ind w:firstLine="0" w:firstLineChars="0"/>
              <w:rPr>
                <w:rFonts w:cs="Times New Roman"/>
                <w:color w:val="auto"/>
                <w:szCs w:val="24"/>
                <w:highlight w:val="none"/>
              </w:rPr>
            </w:pPr>
            <w:r>
              <w:rPr>
                <w:rFonts w:cs="Times New Roman"/>
                <w:color w:val="auto"/>
                <w:szCs w:val="24"/>
                <w:highlight w:val="none"/>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vAlign w:val="center"/>
          </w:tcPr>
          <w:p w14:paraId="7222776E">
            <w:pPr>
              <w:widowControl/>
              <w:ind w:firstLine="420"/>
              <w:rPr>
                <w:rFonts w:cs="Times New Roman"/>
                <w:color w:val="auto"/>
                <w:szCs w:val="24"/>
                <w:highlight w:val="none"/>
              </w:rPr>
            </w:pPr>
          </w:p>
        </w:tc>
      </w:tr>
      <w:tr w14:paraId="5C96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6200">
            <w:pPr>
              <w:widowControl/>
              <w:ind w:firstLine="0" w:firstLineChars="0"/>
              <w:rPr>
                <w:rFonts w:cs="Times New Roman"/>
                <w:color w:val="auto"/>
                <w:szCs w:val="24"/>
                <w:highlight w:val="none"/>
              </w:rPr>
            </w:pPr>
            <w:r>
              <w:rPr>
                <w:rFonts w:cs="Times New Roman"/>
                <w:color w:val="auto"/>
                <w:szCs w:val="24"/>
                <w:highlight w:val="none"/>
              </w:rPr>
              <w:t>14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8050">
            <w:pPr>
              <w:widowControl/>
              <w:ind w:firstLine="0" w:firstLineChars="0"/>
              <w:rPr>
                <w:rFonts w:cs="Times New Roman"/>
                <w:color w:val="auto"/>
                <w:szCs w:val="24"/>
                <w:highlight w:val="none"/>
              </w:rPr>
            </w:pPr>
            <w:r>
              <w:rPr>
                <w:rFonts w:cs="Times New Roman"/>
                <w:color w:val="auto"/>
                <w:szCs w:val="24"/>
                <w:highlight w:val="none"/>
              </w:rPr>
              <w:t>服务满意度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2ABCE">
            <w:pPr>
              <w:widowControl/>
              <w:ind w:firstLine="0" w:firstLineChars="0"/>
              <w:rPr>
                <w:rFonts w:cs="Times New Roman"/>
                <w:color w:val="auto"/>
                <w:szCs w:val="24"/>
                <w:highlight w:val="none"/>
              </w:rPr>
            </w:pPr>
            <w:r>
              <w:rPr>
                <w:rFonts w:cs="Times New Roman"/>
                <w:color w:val="auto"/>
                <w:szCs w:val="24"/>
                <w:highlight w:val="none"/>
              </w:rPr>
              <w:t>衡量甲方内部人员对乙方所提供服务的满意情况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4610A">
            <w:pPr>
              <w:widowControl/>
              <w:ind w:firstLine="0" w:firstLineChars="0"/>
              <w:rPr>
                <w:rFonts w:cs="Times New Roman"/>
                <w:color w:val="auto"/>
                <w:szCs w:val="24"/>
                <w:highlight w:val="none"/>
              </w:rPr>
            </w:pPr>
            <w:r>
              <w:rPr>
                <w:rFonts w:cs="Times New Roman"/>
                <w:color w:val="auto"/>
                <w:szCs w:val="24"/>
                <w:highlight w:val="none"/>
              </w:rPr>
              <w:t>服务满意度指标</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FED5">
            <w:pPr>
              <w:widowControl/>
              <w:ind w:firstLine="0" w:firstLineChars="0"/>
              <w:rPr>
                <w:rFonts w:cs="Times New Roman"/>
                <w:color w:val="auto"/>
                <w:szCs w:val="24"/>
                <w:highlight w:val="none"/>
              </w:rPr>
            </w:pPr>
            <w:r>
              <w:rPr>
                <w:rFonts w:cs="Times New Roman"/>
                <w:color w:val="auto"/>
                <w:szCs w:val="24"/>
                <w:highlight w:val="none"/>
              </w:rPr>
              <w:t>服务满意度评级判定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D25B1">
            <w:pPr>
              <w:widowControl/>
              <w:ind w:firstLine="0" w:firstLineChars="0"/>
              <w:rPr>
                <w:rFonts w:cs="Times New Roman"/>
                <w:color w:val="auto"/>
                <w:szCs w:val="24"/>
                <w:highlight w:val="none"/>
              </w:rPr>
            </w:pPr>
            <w:r>
              <w:rPr>
                <w:rFonts w:cs="Times New Roman"/>
                <w:color w:val="auto"/>
                <w:szCs w:val="24"/>
                <w:highlight w:val="none"/>
              </w:rPr>
              <w:t>客户满意度级别为：1级（非常不满意）；2级（不满意）；3级（一般满意）；4级（满意）；5级（非常满意）（服务满意不低于3级）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19C04">
            <w:pPr>
              <w:widowControl/>
              <w:ind w:firstLine="420"/>
              <w:rPr>
                <w:rFonts w:cs="Times New Roman"/>
                <w:color w:val="auto"/>
                <w:szCs w:val="24"/>
                <w:highlight w:val="none"/>
              </w:rPr>
            </w:pPr>
            <w:r>
              <w:rPr>
                <w:rFonts w:cs="Times New Roman"/>
                <w:color w:val="auto"/>
                <w:szCs w:val="24"/>
                <w:highlight w:val="none"/>
              </w:rPr>
              <w:t>　</w:t>
            </w:r>
          </w:p>
        </w:tc>
        <w:tc>
          <w:tcPr>
            <w:tcW w:w="709" w:type="dxa"/>
            <w:tcBorders>
              <w:top w:val="single" w:color="auto" w:sz="4" w:space="0"/>
              <w:left w:val="single" w:color="auto" w:sz="4" w:space="0"/>
              <w:bottom w:val="single" w:color="auto" w:sz="4" w:space="0"/>
              <w:right w:val="single" w:color="auto" w:sz="4" w:space="0"/>
            </w:tcBorders>
            <w:noWrap/>
          </w:tcPr>
          <w:p w14:paraId="22833C7D">
            <w:pPr>
              <w:widowControl/>
              <w:ind w:firstLine="420"/>
              <w:rPr>
                <w:rFonts w:cs="Times New Roman"/>
                <w:color w:val="auto"/>
                <w:szCs w:val="24"/>
                <w:highlight w:val="none"/>
              </w:rPr>
            </w:pPr>
          </w:p>
        </w:tc>
      </w:tr>
      <w:tr w14:paraId="41F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99F64">
            <w:pPr>
              <w:widowControl/>
              <w:ind w:firstLine="0" w:firstLineChars="0"/>
              <w:rPr>
                <w:rFonts w:cs="Times New Roman"/>
                <w:color w:val="auto"/>
                <w:szCs w:val="24"/>
                <w:highlight w:val="none"/>
              </w:rPr>
            </w:pPr>
            <w:r>
              <w:rPr>
                <w:rFonts w:cs="Times New Roman"/>
                <w:color w:val="auto"/>
                <w:szCs w:val="24"/>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1597A">
            <w:pPr>
              <w:widowControl/>
              <w:ind w:firstLine="0" w:firstLineChars="0"/>
              <w:rPr>
                <w:rFonts w:cs="Times New Roman"/>
                <w:color w:val="auto"/>
                <w:szCs w:val="24"/>
                <w:highlight w:val="none"/>
              </w:rPr>
            </w:pPr>
            <w:r>
              <w:rPr>
                <w:rFonts w:cs="Times New Roman"/>
                <w:color w:val="auto"/>
                <w:szCs w:val="24"/>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327F9">
            <w:pPr>
              <w:widowControl/>
              <w:ind w:firstLine="0" w:firstLineChars="0"/>
              <w:rPr>
                <w:rFonts w:cs="Times New Roman"/>
                <w:color w:val="auto"/>
                <w:szCs w:val="24"/>
                <w:highlight w:val="none"/>
              </w:rPr>
            </w:pPr>
            <w:r>
              <w:rPr>
                <w:rFonts w:cs="Times New Roman"/>
                <w:color w:val="auto"/>
                <w:szCs w:val="24"/>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50F5A">
            <w:pPr>
              <w:widowControl/>
              <w:ind w:firstLine="0" w:firstLineChars="0"/>
              <w:rPr>
                <w:rFonts w:cs="Times New Roman"/>
                <w:color w:val="auto"/>
                <w:szCs w:val="24"/>
                <w:highlight w:val="none"/>
              </w:rPr>
            </w:pPr>
            <w:r>
              <w:rPr>
                <w:rFonts w:cs="Times New Roman"/>
                <w:color w:val="auto"/>
                <w:szCs w:val="24"/>
                <w:highlight w:val="none"/>
              </w:rPr>
              <w:t>衡量乙方达到要求的SLA占全部SLA的百分比。</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831BF">
            <w:pPr>
              <w:widowControl/>
              <w:ind w:firstLine="0" w:firstLineChars="0"/>
              <w:rPr>
                <w:rFonts w:cs="Times New Roman"/>
                <w:color w:val="auto"/>
                <w:szCs w:val="24"/>
                <w:highlight w:val="none"/>
              </w:rPr>
            </w:pPr>
            <w:r>
              <w:rPr>
                <w:rFonts w:cs="Times New Roman"/>
                <w:color w:val="auto"/>
                <w:szCs w:val="24"/>
                <w:highlight w:val="none"/>
              </w:rPr>
              <w:t>为了这个度量报告，需要持续汇报SOW中所有SLA情况。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D3F20">
            <w:pPr>
              <w:widowControl/>
              <w:ind w:firstLine="0" w:firstLineChars="0"/>
              <w:rPr>
                <w:rFonts w:cs="Times New Roman"/>
                <w:color w:val="auto"/>
                <w:szCs w:val="24"/>
                <w:highlight w:val="none"/>
              </w:rPr>
            </w:pPr>
            <w:r>
              <w:rPr>
                <w:rFonts w:cs="Times New Roman"/>
                <w:color w:val="auto"/>
                <w:szCs w:val="24"/>
                <w:highlight w:val="none"/>
              </w:rPr>
              <w:t>SLA满足率＝（满足SLA的个数/总体SLA的个数）×100%（SLA满足率≥70%）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F574C">
            <w:pPr>
              <w:widowControl/>
              <w:ind w:firstLine="0" w:firstLineChars="0"/>
              <w:rPr>
                <w:rFonts w:cs="Times New Roman"/>
                <w:color w:val="auto"/>
                <w:szCs w:val="24"/>
                <w:highlight w:val="none"/>
              </w:rPr>
            </w:pPr>
            <w:r>
              <w:rPr>
                <w:rFonts w:cs="Times New Roman"/>
                <w:color w:val="auto"/>
                <w:szCs w:val="24"/>
                <w:highlight w:val="none"/>
              </w:rPr>
              <w:t>SLA满足率每低于标准5%，扣除合同总金额的1%</w:t>
            </w:r>
          </w:p>
        </w:tc>
        <w:tc>
          <w:tcPr>
            <w:tcW w:w="709" w:type="dxa"/>
            <w:tcBorders>
              <w:top w:val="single" w:color="auto" w:sz="4" w:space="0"/>
              <w:left w:val="single" w:color="auto" w:sz="4" w:space="0"/>
              <w:bottom w:val="single" w:color="auto" w:sz="4" w:space="0"/>
              <w:right w:val="single" w:color="auto" w:sz="4" w:space="0"/>
            </w:tcBorders>
            <w:noWrap/>
          </w:tcPr>
          <w:p w14:paraId="04CAF34C">
            <w:pPr>
              <w:widowControl/>
              <w:ind w:firstLine="420"/>
              <w:rPr>
                <w:rFonts w:cs="Times New Roman"/>
                <w:color w:val="auto"/>
                <w:szCs w:val="24"/>
                <w:highlight w:val="none"/>
              </w:rPr>
            </w:pPr>
          </w:p>
        </w:tc>
      </w:tr>
      <w:tr w14:paraId="5BB9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92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D5664E0">
            <w:pPr>
              <w:widowControl/>
              <w:ind w:firstLine="420"/>
              <w:rPr>
                <w:rFonts w:cs="Times New Roman"/>
                <w:color w:val="auto"/>
                <w:szCs w:val="24"/>
                <w:highlight w:val="none"/>
              </w:rPr>
            </w:pPr>
            <w:r>
              <w:rPr>
                <w:rFonts w:cs="Times New Roman"/>
                <w:color w:val="auto"/>
                <w:szCs w:val="24"/>
                <w:highlight w:val="none"/>
              </w:rPr>
              <w:t>综合评价：</w:t>
            </w:r>
          </w:p>
          <w:p w14:paraId="1BE572EE">
            <w:pPr>
              <w:widowControl/>
              <w:ind w:firstLine="420"/>
              <w:rPr>
                <w:rFonts w:cs="Times New Roman"/>
                <w:color w:val="auto"/>
                <w:szCs w:val="24"/>
                <w:highlight w:val="none"/>
              </w:rPr>
            </w:pPr>
          </w:p>
          <w:p w14:paraId="2DF6E72A">
            <w:pPr>
              <w:widowControl/>
              <w:ind w:firstLine="420"/>
              <w:rPr>
                <w:rFonts w:cs="Times New Roman"/>
                <w:color w:val="auto"/>
                <w:szCs w:val="24"/>
                <w:highlight w:val="none"/>
              </w:rPr>
            </w:pPr>
          </w:p>
          <w:p w14:paraId="3B3899A2">
            <w:pPr>
              <w:widowControl/>
              <w:ind w:firstLine="420"/>
              <w:rPr>
                <w:rFonts w:cs="Times New Roman"/>
                <w:color w:val="auto"/>
                <w:szCs w:val="24"/>
                <w:highlight w:val="none"/>
              </w:rPr>
            </w:pPr>
            <w:r>
              <w:rPr>
                <w:rFonts w:cs="Times New Roman"/>
                <w:color w:val="auto"/>
                <w:szCs w:val="24"/>
                <w:highlight w:val="none"/>
              </w:rPr>
              <w:t>评价人：</w:t>
            </w:r>
          </w:p>
        </w:tc>
      </w:tr>
    </w:tbl>
    <w:p w14:paraId="724CB1D9">
      <w:pPr>
        <w:ind w:firstLine="480"/>
        <w:rPr>
          <w:rStyle w:val="103"/>
          <w:rFonts w:ascii="Times New Roman" w:hAnsi="Times New Roman" w:cs="Times New Roman"/>
          <w:color w:val="auto"/>
          <w:kern w:val="0"/>
          <w:highlight w:val="none"/>
        </w:rPr>
      </w:pPr>
    </w:p>
    <w:p w14:paraId="48E09450">
      <w:pPr>
        <w:ind w:firstLine="480"/>
        <w:rPr>
          <w:rStyle w:val="103"/>
          <w:rFonts w:ascii="Times New Roman" w:hAnsi="Times New Roman" w:cs="Times New Roman"/>
          <w:color w:val="auto"/>
          <w:kern w:val="0"/>
          <w:highlight w:val="none"/>
        </w:rPr>
      </w:pPr>
      <w:r>
        <w:rPr>
          <w:rStyle w:val="103"/>
          <w:rFonts w:ascii="Times New Roman" w:hAnsi="Times New Roman" w:cs="Times New Roman"/>
          <w:color w:val="auto"/>
          <w:kern w:val="0"/>
          <w:highlight w:val="none"/>
        </w:rPr>
        <w:br w:type="page"/>
      </w:r>
    </w:p>
    <w:p w14:paraId="0F40E0E3">
      <w:pPr>
        <w:pStyle w:val="4"/>
        <w:rPr>
          <w:color w:val="auto"/>
          <w:highlight w:val="none"/>
        </w:rPr>
      </w:pPr>
      <w:bookmarkStart w:id="309" w:name="_Toc22636"/>
      <w:r>
        <w:rPr>
          <w:color w:val="auto"/>
          <w:highlight w:val="none"/>
        </w:rPr>
        <w:t>附件六：服务连续性预案</w:t>
      </w:r>
      <w:bookmarkEnd w:id="309"/>
    </w:p>
    <w:p w14:paraId="1D9A7782">
      <w:pPr>
        <w:ind w:firstLine="422"/>
        <w:rPr>
          <w:rFonts w:cs="Times New Roman"/>
          <w:b/>
          <w:color w:val="auto"/>
          <w:szCs w:val="24"/>
          <w:highlight w:val="none"/>
        </w:rPr>
      </w:pPr>
      <w:r>
        <w:rPr>
          <w:rFonts w:cs="Times New Roman"/>
          <w:b/>
          <w:color w:val="auto"/>
          <w:szCs w:val="24"/>
          <w:highlight w:val="none"/>
        </w:rPr>
        <w:t>一、目的</w:t>
      </w:r>
    </w:p>
    <w:p w14:paraId="4BF5CCB7">
      <w:pPr>
        <w:ind w:firstLine="420"/>
        <w:rPr>
          <w:color w:val="auto"/>
          <w:highlight w:val="none"/>
        </w:rPr>
      </w:pPr>
      <w:r>
        <w:rPr>
          <w:color w:val="auto"/>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14E8D5EE">
      <w:pPr>
        <w:ind w:firstLine="422"/>
        <w:rPr>
          <w:rFonts w:cs="Times New Roman"/>
          <w:b/>
          <w:color w:val="auto"/>
          <w:szCs w:val="24"/>
          <w:highlight w:val="none"/>
        </w:rPr>
      </w:pPr>
      <w:r>
        <w:rPr>
          <w:rFonts w:cs="Times New Roman"/>
          <w:b/>
          <w:color w:val="auto"/>
          <w:szCs w:val="24"/>
          <w:highlight w:val="none"/>
        </w:rPr>
        <w:t>二、应急组织架构及职责</w:t>
      </w:r>
    </w:p>
    <w:p w14:paraId="0A9343DB">
      <w:pPr>
        <w:ind w:firstLine="422"/>
        <w:rPr>
          <w:rFonts w:cs="Times New Roman"/>
          <w:b/>
          <w:color w:val="auto"/>
          <w:szCs w:val="24"/>
          <w:highlight w:val="none"/>
        </w:rPr>
      </w:pPr>
      <w:r>
        <w:rPr>
          <w:rFonts w:cs="Times New Roman"/>
          <w:b/>
          <w:color w:val="auto"/>
          <w:szCs w:val="24"/>
          <w:highlight w:val="none"/>
        </w:rPr>
        <w:t>（一）决策层</w:t>
      </w:r>
    </w:p>
    <w:tbl>
      <w:tblPr>
        <w:tblStyle w:val="8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09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3C9B090C">
            <w:pPr>
              <w:ind w:firstLine="489" w:firstLineChars="233"/>
              <w:rPr>
                <w:rFonts w:cs="Times New Roman"/>
                <w:color w:val="auto"/>
                <w:szCs w:val="24"/>
                <w:highlight w:val="none"/>
              </w:rPr>
            </w:pPr>
            <w:r>
              <w:rPr>
                <w:rFonts w:cs="Times New Roman"/>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2BDA9210">
            <w:pPr>
              <w:ind w:firstLine="420"/>
              <w:jc w:val="center"/>
              <w:rPr>
                <w:rFonts w:cs="Times New Roman"/>
                <w:color w:val="auto"/>
                <w:szCs w:val="24"/>
                <w:highlight w:val="none"/>
              </w:rPr>
            </w:pPr>
            <w:r>
              <w:rPr>
                <w:rFonts w:cs="Times New Roman"/>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68E9CCF8">
            <w:pPr>
              <w:ind w:firstLine="420"/>
              <w:jc w:val="center"/>
              <w:rPr>
                <w:rFonts w:cs="Times New Roman"/>
                <w:color w:val="auto"/>
                <w:szCs w:val="24"/>
                <w:highlight w:val="none"/>
              </w:rPr>
            </w:pPr>
            <w:r>
              <w:rPr>
                <w:rFonts w:cs="Times New Roman"/>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277E1C25">
            <w:pPr>
              <w:ind w:firstLine="420"/>
              <w:jc w:val="center"/>
              <w:rPr>
                <w:rFonts w:cs="Times New Roman"/>
                <w:color w:val="auto"/>
                <w:szCs w:val="24"/>
                <w:highlight w:val="none"/>
              </w:rPr>
            </w:pPr>
            <w:r>
              <w:rPr>
                <w:rFonts w:cs="Times New Roman"/>
                <w:color w:val="auto"/>
                <w:szCs w:val="24"/>
                <w:highlight w:val="none"/>
              </w:rPr>
              <w:t>职责</w:t>
            </w:r>
          </w:p>
        </w:tc>
      </w:tr>
      <w:tr w14:paraId="7D75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29253409">
            <w:pPr>
              <w:widowControl/>
              <w:ind w:firstLine="420"/>
              <w:jc w:val="center"/>
              <w:rPr>
                <w:rFonts w:cs="Times New Roman"/>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041B1BD2">
            <w:pPr>
              <w:widowControl/>
              <w:ind w:firstLine="420"/>
              <w:jc w:val="center"/>
              <w:rPr>
                <w:rFonts w:cs="Times New Roman"/>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24D2E438">
            <w:pPr>
              <w:widowControl/>
              <w:ind w:firstLine="420"/>
              <w:jc w:val="center"/>
              <w:rPr>
                <w:rFonts w:cs="Times New Roman"/>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67B3E27B">
            <w:pPr>
              <w:widowControl/>
              <w:ind w:firstLine="420"/>
              <w:jc w:val="center"/>
              <w:rPr>
                <w:rFonts w:cs="Times New Roman"/>
                <w:color w:val="auto"/>
                <w:szCs w:val="24"/>
                <w:highlight w:val="none"/>
              </w:rPr>
            </w:pPr>
          </w:p>
        </w:tc>
      </w:tr>
      <w:tr w14:paraId="7B2A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A2A9535">
            <w:pPr>
              <w:widowControl/>
              <w:ind w:firstLine="420"/>
              <w:jc w:val="center"/>
              <w:rPr>
                <w:rFonts w:cs="Times New Roman"/>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350AAAC4">
            <w:pPr>
              <w:widowControl/>
              <w:ind w:firstLine="420"/>
              <w:jc w:val="center"/>
              <w:rPr>
                <w:rFonts w:cs="Times New Roman"/>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62757776">
            <w:pPr>
              <w:widowControl/>
              <w:ind w:firstLine="420"/>
              <w:jc w:val="center"/>
              <w:rPr>
                <w:rFonts w:cs="Times New Roman"/>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302DFE56">
            <w:pPr>
              <w:widowControl/>
              <w:ind w:firstLine="420"/>
              <w:jc w:val="center"/>
              <w:rPr>
                <w:rFonts w:cs="Times New Roman"/>
                <w:color w:val="auto"/>
                <w:szCs w:val="24"/>
                <w:highlight w:val="none"/>
              </w:rPr>
            </w:pPr>
          </w:p>
        </w:tc>
      </w:tr>
      <w:tr w14:paraId="272F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EDAFDBA">
            <w:pPr>
              <w:widowControl/>
              <w:ind w:firstLine="420"/>
              <w:jc w:val="center"/>
              <w:rPr>
                <w:rFonts w:cs="Times New Roman"/>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52067A8A">
            <w:pPr>
              <w:widowControl/>
              <w:ind w:firstLine="420"/>
              <w:jc w:val="center"/>
              <w:rPr>
                <w:rFonts w:cs="Times New Roman"/>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6E3893E4">
            <w:pPr>
              <w:widowControl/>
              <w:ind w:firstLine="420"/>
              <w:jc w:val="center"/>
              <w:rPr>
                <w:rFonts w:cs="Times New Roman"/>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6F773977">
            <w:pPr>
              <w:widowControl/>
              <w:ind w:firstLine="420"/>
              <w:jc w:val="center"/>
              <w:rPr>
                <w:rFonts w:cs="Times New Roman"/>
                <w:color w:val="auto"/>
                <w:szCs w:val="24"/>
                <w:highlight w:val="none"/>
              </w:rPr>
            </w:pPr>
          </w:p>
        </w:tc>
      </w:tr>
    </w:tbl>
    <w:p w14:paraId="4E1BFCC7">
      <w:pPr>
        <w:ind w:firstLine="422"/>
        <w:rPr>
          <w:rFonts w:cs="Times New Roman"/>
          <w:b/>
          <w:color w:val="auto"/>
          <w:szCs w:val="24"/>
          <w:highlight w:val="none"/>
        </w:rPr>
      </w:pPr>
      <w:r>
        <w:rPr>
          <w:rFonts w:cs="Times New Roman"/>
          <w:b/>
          <w:color w:val="auto"/>
          <w:szCs w:val="24"/>
          <w:highlight w:val="none"/>
        </w:rPr>
        <w:t>（二）危机处理层</w:t>
      </w:r>
    </w:p>
    <w:tbl>
      <w:tblPr>
        <w:tblStyle w:val="8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431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302580B4">
            <w:pPr>
              <w:ind w:firstLine="489" w:firstLineChars="233"/>
              <w:rPr>
                <w:rFonts w:cs="Times New Roman"/>
                <w:color w:val="auto"/>
                <w:szCs w:val="24"/>
                <w:highlight w:val="none"/>
              </w:rPr>
            </w:pPr>
            <w:r>
              <w:rPr>
                <w:rFonts w:cs="Times New Roman"/>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629203B2">
            <w:pPr>
              <w:ind w:firstLine="420"/>
              <w:jc w:val="center"/>
              <w:rPr>
                <w:rFonts w:cs="Times New Roman"/>
                <w:color w:val="auto"/>
                <w:szCs w:val="24"/>
                <w:highlight w:val="none"/>
              </w:rPr>
            </w:pPr>
            <w:r>
              <w:rPr>
                <w:rFonts w:cs="Times New Roman"/>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3F717A3C">
            <w:pPr>
              <w:ind w:firstLine="420"/>
              <w:jc w:val="center"/>
              <w:rPr>
                <w:rFonts w:cs="Times New Roman"/>
                <w:color w:val="auto"/>
                <w:szCs w:val="24"/>
                <w:highlight w:val="none"/>
              </w:rPr>
            </w:pPr>
            <w:r>
              <w:rPr>
                <w:rFonts w:cs="Times New Roman"/>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39CC77C1">
            <w:pPr>
              <w:ind w:firstLine="420"/>
              <w:jc w:val="center"/>
              <w:rPr>
                <w:rFonts w:cs="Times New Roman"/>
                <w:color w:val="auto"/>
                <w:szCs w:val="24"/>
                <w:highlight w:val="none"/>
              </w:rPr>
            </w:pPr>
            <w:r>
              <w:rPr>
                <w:rFonts w:cs="Times New Roman"/>
                <w:color w:val="auto"/>
                <w:szCs w:val="24"/>
                <w:highlight w:val="none"/>
              </w:rPr>
              <w:t>职责</w:t>
            </w:r>
          </w:p>
        </w:tc>
      </w:tr>
      <w:tr w14:paraId="5A3C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6041DC67">
            <w:pPr>
              <w:widowControl/>
              <w:ind w:firstLine="420"/>
              <w:jc w:val="center"/>
              <w:rPr>
                <w:rFonts w:cs="Times New Roman"/>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5C37CFA4">
            <w:pPr>
              <w:widowControl/>
              <w:ind w:firstLine="420"/>
              <w:jc w:val="center"/>
              <w:rPr>
                <w:rFonts w:cs="Times New Roman"/>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459C1BEE">
            <w:pPr>
              <w:widowControl/>
              <w:ind w:firstLine="420"/>
              <w:jc w:val="center"/>
              <w:rPr>
                <w:rFonts w:cs="Times New Roman"/>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1C3D538D">
            <w:pPr>
              <w:widowControl/>
              <w:ind w:firstLine="420"/>
              <w:jc w:val="center"/>
              <w:rPr>
                <w:rFonts w:cs="Times New Roman"/>
                <w:color w:val="auto"/>
                <w:szCs w:val="24"/>
                <w:highlight w:val="none"/>
              </w:rPr>
            </w:pPr>
          </w:p>
        </w:tc>
      </w:tr>
      <w:tr w14:paraId="1560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734D3CBD">
            <w:pPr>
              <w:widowControl/>
              <w:ind w:firstLine="420"/>
              <w:jc w:val="center"/>
              <w:rPr>
                <w:rFonts w:cs="Times New Roman"/>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1700415F">
            <w:pPr>
              <w:widowControl/>
              <w:ind w:firstLine="420"/>
              <w:jc w:val="center"/>
              <w:rPr>
                <w:rFonts w:cs="Times New Roman"/>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6B046CE2">
            <w:pPr>
              <w:widowControl/>
              <w:ind w:firstLine="420"/>
              <w:jc w:val="center"/>
              <w:rPr>
                <w:rFonts w:cs="Times New Roman"/>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4538ACCF">
            <w:pPr>
              <w:widowControl/>
              <w:ind w:firstLine="420"/>
              <w:jc w:val="center"/>
              <w:rPr>
                <w:rFonts w:cs="Times New Roman"/>
                <w:color w:val="auto"/>
                <w:szCs w:val="24"/>
                <w:highlight w:val="none"/>
              </w:rPr>
            </w:pPr>
          </w:p>
        </w:tc>
      </w:tr>
    </w:tbl>
    <w:p w14:paraId="05BBF8BC">
      <w:pPr>
        <w:ind w:firstLine="422"/>
        <w:rPr>
          <w:rFonts w:cs="Times New Roman"/>
          <w:b/>
          <w:color w:val="auto"/>
          <w:szCs w:val="24"/>
          <w:highlight w:val="none"/>
        </w:rPr>
      </w:pPr>
      <w:r>
        <w:rPr>
          <w:rFonts w:cs="Times New Roman"/>
          <w:b/>
          <w:color w:val="auto"/>
          <w:szCs w:val="24"/>
          <w:highlight w:val="none"/>
        </w:rPr>
        <w:t>（三）具体业务层</w:t>
      </w:r>
    </w:p>
    <w:tbl>
      <w:tblPr>
        <w:tblStyle w:val="8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CB3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5C733343">
            <w:pPr>
              <w:ind w:firstLine="489" w:firstLineChars="233"/>
              <w:rPr>
                <w:rFonts w:cs="Times New Roman"/>
                <w:color w:val="auto"/>
                <w:szCs w:val="24"/>
                <w:highlight w:val="none"/>
              </w:rPr>
            </w:pPr>
            <w:r>
              <w:rPr>
                <w:rFonts w:cs="Times New Roman"/>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4DAF01D2">
            <w:pPr>
              <w:ind w:firstLine="420"/>
              <w:jc w:val="center"/>
              <w:rPr>
                <w:rFonts w:cs="Times New Roman"/>
                <w:color w:val="auto"/>
                <w:szCs w:val="24"/>
                <w:highlight w:val="none"/>
              </w:rPr>
            </w:pPr>
            <w:r>
              <w:rPr>
                <w:rFonts w:cs="Times New Roman"/>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53B0BBEB">
            <w:pPr>
              <w:ind w:firstLine="420"/>
              <w:jc w:val="center"/>
              <w:rPr>
                <w:rFonts w:cs="Times New Roman"/>
                <w:color w:val="auto"/>
                <w:szCs w:val="24"/>
                <w:highlight w:val="none"/>
              </w:rPr>
            </w:pPr>
            <w:r>
              <w:rPr>
                <w:rFonts w:cs="Times New Roman"/>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1D660E8A">
            <w:pPr>
              <w:ind w:firstLine="420"/>
              <w:jc w:val="center"/>
              <w:rPr>
                <w:rFonts w:cs="Times New Roman"/>
                <w:color w:val="auto"/>
                <w:szCs w:val="24"/>
                <w:highlight w:val="none"/>
              </w:rPr>
            </w:pPr>
            <w:r>
              <w:rPr>
                <w:rFonts w:cs="Times New Roman"/>
                <w:color w:val="auto"/>
                <w:szCs w:val="24"/>
                <w:highlight w:val="none"/>
              </w:rPr>
              <w:t>职责</w:t>
            </w:r>
          </w:p>
        </w:tc>
      </w:tr>
      <w:tr w14:paraId="0B89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3911FA7D">
            <w:pPr>
              <w:widowControl/>
              <w:ind w:firstLine="420"/>
              <w:jc w:val="center"/>
              <w:rPr>
                <w:rFonts w:cs="Times New Roman"/>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3B1B3A21">
            <w:pPr>
              <w:widowControl/>
              <w:ind w:firstLine="420"/>
              <w:jc w:val="center"/>
              <w:rPr>
                <w:rFonts w:cs="Times New Roman"/>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3262ADD5">
            <w:pPr>
              <w:widowControl/>
              <w:ind w:firstLine="420"/>
              <w:rPr>
                <w:rFonts w:cs="Times New Roman"/>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27E6F703">
            <w:pPr>
              <w:widowControl/>
              <w:ind w:firstLine="420"/>
              <w:jc w:val="center"/>
              <w:rPr>
                <w:rFonts w:cs="Times New Roman"/>
                <w:color w:val="auto"/>
                <w:szCs w:val="24"/>
                <w:highlight w:val="none"/>
              </w:rPr>
            </w:pPr>
          </w:p>
        </w:tc>
      </w:tr>
      <w:tr w14:paraId="2FAA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2B411FE1">
            <w:pPr>
              <w:widowControl/>
              <w:ind w:firstLine="420"/>
              <w:jc w:val="center"/>
              <w:rPr>
                <w:rFonts w:cs="Times New Roman"/>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5D8F3783">
            <w:pPr>
              <w:widowControl/>
              <w:ind w:firstLine="420"/>
              <w:jc w:val="center"/>
              <w:rPr>
                <w:rFonts w:cs="Times New Roman"/>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781D7896">
            <w:pPr>
              <w:widowControl/>
              <w:ind w:firstLine="420"/>
              <w:rPr>
                <w:rFonts w:cs="Times New Roman"/>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59A30385">
            <w:pPr>
              <w:widowControl/>
              <w:ind w:firstLine="420"/>
              <w:jc w:val="center"/>
              <w:rPr>
                <w:rFonts w:cs="Times New Roman"/>
                <w:color w:val="auto"/>
                <w:szCs w:val="24"/>
                <w:highlight w:val="none"/>
              </w:rPr>
            </w:pPr>
          </w:p>
        </w:tc>
      </w:tr>
    </w:tbl>
    <w:p w14:paraId="24F9CC89">
      <w:pPr>
        <w:ind w:firstLine="422"/>
        <w:rPr>
          <w:rFonts w:cs="Times New Roman"/>
          <w:b/>
          <w:color w:val="auto"/>
          <w:szCs w:val="24"/>
          <w:highlight w:val="none"/>
        </w:rPr>
      </w:pPr>
      <w:r>
        <w:rPr>
          <w:rFonts w:cs="Times New Roman"/>
          <w:b/>
          <w:color w:val="auto"/>
          <w:szCs w:val="24"/>
          <w:highlight w:val="none"/>
        </w:rPr>
        <w:t>（四）应急领导小组职责</w:t>
      </w:r>
    </w:p>
    <w:p w14:paraId="7D8AA985">
      <w:pPr>
        <w:ind w:firstLine="420"/>
        <w:rPr>
          <w:color w:val="auto"/>
          <w:highlight w:val="none"/>
        </w:rPr>
      </w:pPr>
      <w:r>
        <w:rPr>
          <w:color w:val="auto"/>
          <w:highlight w:val="none"/>
        </w:rPr>
        <w:t>1.启动应急预案</w:t>
      </w:r>
    </w:p>
    <w:p w14:paraId="4A4D3EE0">
      <w:pPr>
        <w:ind w:firstLine="420"/>
        <w:rPr>
          <w:color w:val="auto"/>
          <w:highlight w:val="none"/>
        </w:rPr>
      </w:pPr>
      <w:r>
        <w:rPr>
          <w:color w:val="auto"/>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752ED450">
      <w:pPr>
        <w:ind w:firstLine="420"/>
        <w:rPr>
          <w:color w:val="auto"/>
          <w:highlight w:val="none"/>
        </w:rPr>
      </w:pPr>
      <w:r>
        <w:rPr>
          <w:color w:val="auto"/>
          <w:highlight w:val="none"/>
        </w:rPr>
        <w:t>2.应急事件处理</w:t>
      </w:r>
    </w:p>
    <w:p w14:paraId="54ABE1D5">
      <w:pPr>
        <w:ind w:firstLine="420"/>
        <w:rPr>
          <w:color w:val="auto"/>
          <w:highlight w:val="none"/>
        </w:rPr>
      </w:pPr>
      <w:r>
        <w:rPr>
          <w:color w:val="auto"/>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40FA6D4">
      <w:pPr>
        <w:ind w:firstLine="420"/>
        <w:rPr>
          <w:color w:val="auto"/>
          <w:highlight w:val="none"/>
        </w:rPr>
      </w:pPr>
      <w:r>
        <w:rPr>
          <w:color w:val="auto"/>
          <w:highlight w:val="none"/>
        </w:rPr>
        <w:t>3.业务持续性计划及应急预案优化</w:t>
      </w:r>
    </w:p>
    <w:p w14:paraId="02D681DF">
      <w:pPr>
        <w:ind w:firstLine="420"/>
        <w:rPr>
          <w:color w:val="auto"/>
          <w:highlight w:val="none"/>
        </w:rPr>
      </w:pPr>
      <w:r>
        <w:rPr>
          <w:color w:val="auto"/>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57005B2">
      <w:pPr>
        <w:ind w:firstLine="422"/>
        <w:rPr>
          <w:rFonts w:cs="Times New Roman"/>
          <w:b/>
          <w:color w:val="auto"/>
          <w:szCs w:val="24"/>
          <w:highlight w:val="none"/>
        </w:rPr>
      </w:pPr>
      <w:r>
        <w:rPr>
          <w:rFonts w:cs="Times New Roman"/>
          <w:b/>
          <w:color w:val="auto"/>
          <w:szCs w:val="24"/>
          <w:highlight w:val="none"/>
        </w:rPr>
        <w:t>三、应急场景</w:t>
      </w:r>
    </w:p>
    <w:p w14:paraId="5BDF83B1">
      <w:pPr>
        <w:ind w:firstLine="422"/>
        <w:rPr>
          <w:rFonts w:cs="Times New Roman"/>
          <w:b/>
          <w:color w:val="auto"/>
          <w:szCs w:val="24"/>
          <w:highlight w:val="none"/>
        </w:rPr>
      </w:pPr>
      <w:r>
        <w:rPr>
          <w:rFonts w:cs="Times New Roman"/>
          <w:b/>
          <w:color w:val="auto"/>
          <w:szCs w:val="24"/>
          <w:highlight w:val="none"/>
        </w:rPr>
        <w:t>（一）单个核心成员或某个角色无法提供正常服务</w:t>
      </w:r>
    </w:p>
    <w:p w14:paraId="7C685552">
      <w:pPr>
        <w:ind w:firstLine="420"/>
        <w:rPr>
          <w:color w:val="auto"/>
          <w:highlight w:val="none"/>
        </w:rPr>
      </w:pPr>
      <w:r>
        <w:rPr>
          <w:color w:val="auto"/>
          <w:highlight w:val="none"/>
        </w:rPr>
        <w:t>1.影响程度：外包服务部分中断</w:t>
      </w:r>
    </w:p>
    <w:p w14:paraId="1AC63450">
      <w:pPr>
        <w:ind w:firstLine="420"/>
        <w:rPr>
          <w:color w:val="auto"/>
          <w:highlight w:val="none"/>
        </w:rPr>
      </w:pPr>
      <w:r>
        <w:rPr>
          <w:color w:val="auto"/>
          <w:highlight w:val="none"/>
        </w:rPr>
        <w:t>2.规避措施：</w:t>
      </w:r>
    </w:p>
    <w:p w14:paraId="4CBF5042">
      <w:pPr>
        <w:ind w:firstLine="420"/>
        <w:rPr>
          <w:color w:val="auto"/>
          <w:highlight w:val="none"/>
        </w:rPr>
      </w:pPr>
      <w:r>
        <w:rPr>
          <w:color w:val="auto"/>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4E03AA18">
      <w:pPr>
        <w:ind w:firstLine="420"/>
        <w:rPr>
          <w:color w:val="auto"/>
          <w:highlight w:val="none"/>
        </w:rPr>
      </w:pPr>
      <w:r>
        <w:rPr>
          <w:color w:val="auto"/>
          <w:highlight w:val="none"/>
        </w:rPr>
        <w:t>2）乙方服务团队在合同有效期内，建立人才储备机制和培训机制，同时由A角和B角对项目进行支持工作。因乙方原因造成甲方损失的，乙方按照SLA进行赔偿。</w:t>
      </w:r>
    </w:p>
    <w:p w14:paraId="0DFA218E">
      <w:pPr>
        <w:ind w:firstLine="422"/>
        <w:rPr>
          <w:rFonts w:cs="Times New Roman"/>
          <w:b/>
          <w:color w:val="auto"/>
          <w:szCs w:val="24"/>
          <w:highlight w:val="none"/>
        </w:rPr>
      </w:pPr>
      <w:r>
        <w:rPr>
          <w:rFonts w:cs="Times New Roman"/>
          <w:b/>
          <w:color w:val="auto"/>
          <w:szCs w:val="24"/>
          <w:highlight w:val="none"/>
        </w:rPr>
        <w:t>（二）乙方服务团队无法提供正常服务，但乙方仍具备履约能力</w:t>
      </w:r>
    </w:p>
    <w:p w14:paraId="37FEB650">
      <w:pPr>
        <w:ind w:firstLine="420"/>
        <w:rPr>
          <w:color w:val="auto"/>
          <w:highlight w:val="none"/>
        </w:rPr>
      </w:pPr>
      <w:r>
        <w:rPr>
          <w:color w:val="auto"/>
          <w:highlight w:val="none"/>
        </w:rPr>
        <w:t>1.影响程度：外包服务完全中断</w:t>
      </w:r>
    </w:p>
    <w:p w14:paraId="37448628">
      <w:pPr>
        <w:ind w:firstLine="420"/>
        <w:rPr>
          <w:color w:val="auto"/>
          <w:highlight w:val="none"/>
        </w:rPr>
      </w:pPr>
      <w:r>
        <w:rPr>
          <w:color w:val="auto"/>
          <w:highlight w:val="none"/>
        </w:rPr>
        <w:t>2.规避措施：</w:t>
      </w:r>
    </w:p>
    <w:p w14:paraId="6B2DA880">
      <w:pPr>
        <w:ind w:firstLine="420"/>
        <w:rPr>
          <w:color w:val="auto"/>
          <w:highlight w:val="none"/>
        </w:rPr>
      </w:pPr>
      <w:r>
        <w:rPr>
          <w:color w:val="auto"/>
          <w:highlight w:val="none"/>
        </w:rPr>
        <w:t>1）乙方服务团队需按时按照甲方流程及制度规范提交项目各类文档；</w:t>
      </w:r>
    </w:p>
    <w:p w14:paraId="4287075D">
      <w:pPr>
        <w:ind w:firstLine="420"/>
        <w:rPr>
          <w:color w:val="auto"/>
          <w:highlight w:val="none"/>
        </w:rPr>
      </w:pPr>
      <w:r>
        <w:rPr>
          <w:color w:val="auto"/>
          <w:highlight w:val="none"/>
        </w:rPr>
        <w:t>2）乙方服务团队需制定合理的培训计划和培训内容，加强知识转移；</w:t>
      </w:r>
    </w:p>
    <w:p w14:paraId="00C81F73">
      <w:pPr>
        <w:ind w:firstLine="420"/>
        <w:rPr>
          <w:color w:val="auto"/>
          <w:highlight w:val="none"/>
        </w:rPr>
      </w:pPr>
      <w:r>
        <w:rPr>
          <w:color w:val="auto"/>
          <w:highlight w:val="none"/>
        </w:rPr>
        <w:t>3）如遇类似事件乙方提前10个工作日书面通知甲方项目经理；</w:t>
      </w:r>
    </w:p>
    <w:p w14:paraId="00F04E05">
      <w:pPr>
        <w:ind w:firstLine="420"/>
        <w:rPr>
          <w:color w:val="auto"/>
          <w:highlight w:val="none"/>
        </w:rPr>
      </w:pPr>
      <w:r>
        <w:rPr>
          <w:color w:val="auto"/>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58963A83">
      <w:pPr>
        <w:ind w:firstLine="422"/>
        <w:rPr>
          <w:rFonts w:cs="Times New Roman"/>
          <w:b/>
          <w:color w:val="auto"/>
          <w:szCs w:val="24"/>
          <w:highlight w:val="none"/>
        </w:rPr>
      </w:pPr>
      <w:r>
        <w:rPr>
          <w:rFonts w:cs="Times New Roman"/>
          <w:b/>
          <w:color w:val="auto"/>
          <w:szCs w:val="24"/>
          <w:highlight w:val="none"/>
        </w:rPr>
        <w:t>（三）乙方服务团队无法提供正常服务且乙方不具备恢复服务能力或意愿</w:t>
      </w:r>
    </w:p>
    <w:p w14:paraId="25A5B650">
      <w:pPr>
        <w:ind w:firstLine="420"/>
        <w:rPr>
          <w:color w:val="auto"/>
          <w:highlight w:val="none"/>
        </w:rPr>
      </w:pPr>
      <w:r>
        <w:rPr>
          <w:color w:val="auto"/>
          <w:highlight w:val="none"/>
        </w:rPr>
        <w:t>1.影响程度：外包服务完全中断</w:t>
      </w:r>
    </w:p>
    <w:p w14:paraId="67B90940">
      <w:pPr>
        <w:ind w:firstLine="420"/>
        <w:rPr>
          <w:color w:val="auto"/>
          <w:highlight w:val="none"/>
        </w:rPr>
      </w:pPr>
      <w:r>
        <w:rPr>
          <w:color w:val="auto"/>
          <w:highlight w:val="none"/>
        </w:rPr>
        <w:t>2.规避措施：</w:t>
      </w:r>
    </w:p>
    <w:p w14:paraId="494E81B9">
      <w:pPr>
        <w:ind w:firstLine="420"/>
        <w:rPr>
          <w:color w:val="auto"/>
          <w:highlight w:val="none"/>
        </w:rPr>
      </w:pPr>
      <w:r>
        <w:rPr>
          <w:color w:val="auto"/>
          <w:highlight w:val="none"/>
        </w:rPr>
        <w:t>1）如遇类似事件乙方提前15个工作日书面通知甲方项目经理；</w:t>
      </w:r>
    </w:p>
    <w:p w14:paraId="141DEF56">
      <w:pPr>
        <w:ind w:firstLine="420"/>
        <w:rPr>
          <w:color w:val="auto"/>
          <w:highlight w:val="none"/>
        </w:rPr>
      </w:pPr>
      <w:r>
        <w:rPr>
          <w:color w:val="auto"/>
          <w:highlight w:val="none"/>
        </w:rPr>
        <w:t>2）乙方保证提前沟通协调人力资源，于10个工作日内提交所有阶段性项目文档，并完成甲方认可的所有工作交接和知识转移，包括不限于对替代供应商进行培训；</w:t>
      </w:r>
    </w:p>
    <w:p w14:paraId="32C08C86">
      <w:pPr>
        <w:ind w:firstLine="420"/>
        <w:rPr>
          <w:color w:val="auto"/>
          <w:highlight w:val="none"/>
        </w:rPr>
      </w:pPr>
      <w:r>
        <w:rPr>
          <w:color w:val="auto"/>
          <w:highlight w:val="none"/>
        </w:rPr>
        <w:t>3）允许推荐项目成员到与甲方合作良好的其他供应商任职或由甲方直接聘用。因乙方原因造成甲方损失的，乙方在双方协商后做出赔偿。</w:t>
      </w:r>
    </w:p>
    <w:p w14:paraId="2D0ECA0E">
      <w:pPr>
        <w:ind w:firstLine="422"/>
        <w:rPr>
          <w:rFonts w:cs="Times New Roman"/>
          <w:b/>
          <w:color w:val="auto"/>
          <w:szCs w:val="24"/>
          <w:highlight w:val="none"/>
        </w:rPr>
      </w:pPr>
      <w:r>
        <w:rPr>
          <w:rFonts w:cs="Times New Roman"/>
          <w:b/>
          <w:color w:val="auto"/>
          <w:szCs w:val="24"/>
          <w:highlight w:val="none"/>
        </w:rPr>
        <w:t>（四）乙方因资质变更、被收购、兼并或破产等原因致使其无法继续提供服务</w:t>
      </w:r>
    </w:p>
    <w:p w14:paraId="198074DA">
      <w:pPr>
        <w:ind w:firstLine="420"/>
        <w:rPr>
          <w:color w:val="auto"/>
          <w:highlight w:val="none"/>
        </w:rPr>
      </w:pPr>
      <w:r>
        <w:rPr>
          <w:color w:val="auto"/>
          <w:highlight w:val="none"/>
        </w:rPr>
        <w:t>1.影响程度：外包服务完全中断</w:t>
      </w:r>
    </w:p>
    <w:p w14:paraId="3CCEF125">
      <w:pPr>
        <w:ind w:firstLine="420"/>
        <w:rPr>
          <w:color w:val="auto"/>
          <w:highlight w:val="none"/>
        </w:rPr>
      </w:pPr>
      <w:r>
        <w:rPr>
          <w:color w:val="auto"/>
          <w:highlight w:val="none"/>
        </w:rPr>
        <w:t>2.规避措施：</w:t>
      </w:r>
    </w:p>
    <w:p w14:paraId="4F25DC4F">
      <w:pPr>
        <w:ind w:firstLine="420"/>
        <w:rPr>
          <w:color w:val="auto"/>
          <w:highlight w:val="none"/>
        </w:rPr>
      </w:pPr>
      <w:r>
        <w:rPr>
          <w:color w:val="auto"/>
          <w:highlight w:val="none"/>
        </w:rPr>
        <w:t>1）如遇类似事件乙方提前20个工作日通知甲方项目经理；</w:t>
      </w:r>
    </w:p>
    <w:p w14:paraId="1D1A1341">
      <w:pPr>
        <w:ind w:firstLine="420"/>
        <w:rPr>
          <w:color w:val="auto"/>
          <w:highlight w:val="none"/>
        </w:rPr>
      </w:pPr>
      <w:r>
        <w:rPr>
          <w:color w:val="auto"/>
          <w:highlight w:val="none"/>
        </w:rPr>
        <w:t>2）根据开发合同约定提前与甲方进行沟通协商，做好代码、文档、服务等交接工作，减少对甲方的影响；</w:t>
      </w:r>
    </w:p>
    <w:p w14:paraId="7AF1E282">
      <w:pPr>
        <w:ind w:firstLine="420"/>
        <w:rPr>
          <w:color w:val="auto"/>
          <w:highlight w:val="none"/>
        </w:rPr>
      </w:pPr>
      <w:r>
        <w:rPr>
          <w:color w:val="auto"/>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504A0C27">
      <w:pPr>
        <w:ind w:firstLine="420"/>
        <w:rPr>
          <w:color w:val="auto"/>
          <w:highlight w:val="none"/>
        </w:rPr>
      </w:pPr>
      <w:r>
        <w:rPr>
          <w:color w:val="auto"/>
          <w:highlight w:val="none"/>
        </w:rPr>
        <w:t>4）允许推荐项目成员到与甲方合作良好的其他供应商任职或由甲方直接聘用。</w:t>
      </w:r>
    </w:p>
    <w:p w14:paraId="16F77C2E">
      <w:pPr>
        <w:ind w:firstLine="422"/>
        <w:rPr>
          <w:rFonts w:cs="Times New Roman"/>
          <w:b/>
          <w:color w:val="auto"/>
          <w:szCs w:val="24"/>
          <w:highlight w:val="none"/>
        </w:rPr>
      </w:pPr>
      <w:r>
        <w:rPr>
          <w:rFonts w:cs="Times New Roman"/>
          <w:b/>
          <w:color w:val="auto"/>
          <w:szCs w:val="24"/>
          <w:highlight w:val="none"/>
        </w:rPr>
        <w:t>（五）乙方因不可抗力导致其主动退出（国家相关法律法规调整、遭受大规模自然灾害等）</w:t>
      </w:r>
    </w:p>
    <w:p w14:paraId="0E7CC72A">
      <w:pPr>
        <w:ind w:firstLine="420"/>
        <w:rPr>
          <w:color w:val="auto"/>
          <w:highlight w:val="none"/>
        </w:rPr>
      </w:pPr>
      <w:r>
        <w:rPr>
          <w:color w:val="auto"/>
          <w:highlight w:val="none"/>
        </w:rPr>
        <w:t>1.影响程度：外包服务完全中断</w:t>
      </w:r>
    </w:p>
    <w:p w14:paraId="3A1EBC4E">
      <w:pPr>
        <w:ind w:firstLine="420"/>
        <w:rPr>
          <w:color w:val="auto"/>
          <w:highlight w:val="none"/>
        </w:rPr>
      </w:pPr>
      <w:r>
        <w:rPr>
          <w:color w:val="auto"/>
          <w:highlight w:val="none"/>
        </w:rPr>
        <w:t>2.规避措施：</w:t>
      </w:r>
    </w:p>
    <w:p w14:paraId="5428AC7C">
      <w:pPr>
        <w:ind w:firstLine="420"/>
        <w:rPr>
          <w:color w:val="auto"/>
          <w:highlight w:val="none"/>
        </w:rPr>
      </w:pPr>
      <w:r>
        <w:rPr>
          <w:color w:val="auto"/>
          <w:highlight w:val="none"/>
        </w:rPr>
        <w:t>1）如遇类似事件乙方应立即通知甲方项目经理。</w:t>
      </w:r>
    </w:p>
    <w:p w14:paraId="11A84492">
      <w:pPr>
        <w:ind w:firstLine="420"/>
        <w:rPr>
          <w:color w:val="auto"/>
          <w:highlight w:val="none"/>
        </w:rPr>
      </w:pPr>
      <w:r>
        <w:rPr>
          <w:color w:val="auto"/>
          <w:highlight w:val="none"/>
        </w:rPr>
        <w:t>2）乙方与甲方及时进行协商，得出一致性解决方案，于15个工作日内提交所有阶段性项目文档，并完成甲方认可的所有工作交接和知识转移，降低突发事件的影响；</w:t>
      </w:r>
    </w:p>
    <w:p w14:paraId="609B9A56">
      <w:pPr>
        <w:ind w:firstLine="420"/>
        <w:rPr>
          <w:color w:val="auto"/>
          <w:highlight w:val="none"/>
        </w:rPr>
      </w:pPr>
      <w:r>
        <w:rPr>
          <w:color w:val="auto"/>
          <w:highlight w:val="none"/>
        </w:rPr>
        <w:t>3）允许推荐项目成员到与甲方合作良好的其他供应商任职或由甲方直接聘用。因乙方原因造成甲方损失的，乙方在双方协商后做出赔偿。</w:t>
      </w:r>
    </w:p>
    <w:p w14:paraId="56DA6731">
      <w:pPr>
        <w:ind w:firstLine="422"/>
        <w:rPr>
          <w:rFonts w:cs="Times New Roman"/>
          <w:color w:val="auto"/>
          <w:szCs w:val="24"/>
          <w:highlight w:val="none"/>
        </w:rPr>
      </w:pPr>
      <w:r>
        <w:rPr>
          <w:rFonts w:cs="Times New Roman"/>
          <w:b/>
          <w:color w:val="auto"/>
          <w:szCs w:val="24"/>
          <w:highlight w:val="none"/>
        </w:rPr>
        <w:t>四、应急处理阶段</w:t>
      </w:r>
    </w:p>
    <w:p w14:paraId="07868B7A">
      <w:pPr>
        <w:ind w:firstLine="422"/>
        <w:rPr>
          <w:rFonts w:cs="Times New Roman"/>
          <w:b/>
          <w:color w:val="auto"/>
          <w:szCs w:val="24"/>
          <w:highlight w:val="none"/>
        </w:rPr>
      </w:pPr>
      <w:r>
        <w:rPr>
          <w:rFonts w:cs="Times New Roman"/>
          <w:b/>
          <w:color w:val="auto"/>
          <w:szCs w:val="24"/>
          <w:highlight w:val="none"/>
        </w:rPr>
        <w:t>（一）项目实施过程中应急服务</w:t>
      </w:r>
    </w:p>
    <w:p w14:paraId="726FB500">
      <w:pPr>
        <w:ind w:firstLine="420"/>
        <w:rPr>
          <w:color w:val="auto"/>
          <w:highlight w:val="none"/>
        </w:rPr>
      </w:pPr>
      <w:r>
        <w:rPr>
          <w:color w:val="auto"/>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2617041">
      <w:pPr>
        <w:ind w:firstLine="420"/>
        <w:rPr>
          <w:color w:val="auto"/>
          <w:highlight w:val="none"/>
        </w:rPr>
      </w:pPr>
      <w:r>
        <w:rPr>
          <w:color w:val="auto"/>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1F3BBD17">
      <w:pPr>
        <w:ind w:firstLine="422"/>
        <w:rPr>
          <w:rFonts w:cs="Times New Roman"/>
          <w:b/>
          <w:color w:val="auto"/>
          <w:szCs w:val="24"/>
          <w:highlight w:val="none"/>
        </w:rPr>
      </w:pPr>
      <w:r>
        <w:rPr>
          <w:rFonts w:cs="Times New Roman"/>
          <w:b/>
          <w:color w:val="auto"/>
          <w:szCs w:val="24"/>
          <w:highlight w:val="none"/>
        </w:rPr>
        <w:t>（二）系统上线后应急服务</w:t>
      </w:r>
    </w:p>
    <w:p w14:paraId="772DBBA3">
      <w:pPr>
        <w:ind w:firstLine="420"/>
        <w:rPr>
          <w:color w:val="auto"/>
          <w:highlight w:val="none"/>
        </w:rPr>
      </w:pPr>
      <w:r>
        <w:rPr>
          <w:color w:val="auto"/>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56E7A6C">
      <w:pPr>
        <w:ind w:firstLine="420"/>
        <w:rPr>
          <w:color w:val="auto"/>
          <w:highlight w:val="none"/>
        </w:rPr>
      </w:pPr>
      <w:r>
        <w:rPr>
          <w:color w:val="auto"/>
          <w:highlight w:val="none"/>
        </w:rPr>
        <w:t>姓名:        手机号码：邮箱：</w:t>
      </w:r>
    </w:p>
    <w:p w14:paraId="7CA0860C">
      <w:pPr>
        <w:ind w:firstLine="420"/>
        <w:rPr>
          <w:color w:val="auto"/>
          <w:highlight w:val="none"/>
        </w:rPr>
      </w:pPr>
      <w:r>
        <w:rPr>
          <w:color w:val="auto"/>
          <w:highlight w:val="none"/>
        </w:rPr>
        <w:t>姓名:        手机号码：邮箱：</w:t>
      </w:r>
    </w:p>
    <w:p w14:paraId="025FD394">
      <w:pPr>
        <w:ind w:firstLine="420"/>
        <w:rPr>
          <w:color w:val="auto"/>
          <w:highlight w:val="none"/>
        </w:rPr>
      </w:pPr>
    </w:p>
    <w:p w14:paraId="07D40C82">
      <w:pPr>
        <w:ind w:firstLine="420"/>
        <w:rPr>
          <w:color w:val="auto"/>
          <w:highlight w:val="none"/>
        </w:rPr>
      </w:pPr>
    </w:p>
    <w:p w14:paraId="7E1FB836">
      <w:pPr>
        <w:ind w:firstLine="420"/>
        <w:rPr>
          <w:color w:val="auto"/>
          <w:highlight w:val="none"/>
        </w:rPr>
      </w:pPr>
    </w:p>
    <w:p w14:paraId="5AF9AB42">
      <w:pPr>
        <w:ind w:firstLine="420"/>
        <w:rPr>
          <w:color w:val="auto"/>
          <w:highlight w:val="none"/>
        </w:rPr>
      </w:pPr>
      <w:r>
        <w:rPr>
          <w:color w:val="auto"/>
          <w:highlight w:val="none"/>
        </w:rPr>
        <w:br w:type="page"/>
      </w:r>
    </w:p>
    <w:p w14:paraId="47BAAA3A">
      <w:pPr>
        <w:pStyle w:val="3"/>
        <w:rPr>
          <w:color w:val="auto"/>
          <w:highlight w:val="none"/>
        </w:rPr>
      </w:pPr>
      <w:bookmarkStart w:id="310" w:name="_Toc27571"/>
      <w:r>
        <w:rPr>
          <w:rFonts w:hint="eastAsia"/>
          <w:color w:val="auto"/>
          <w:highlight w:val="none"/>
        </w:rPr>
        <w:t>第六章 参选文件</w:t>
      </w:r>
      <w:bookmarkEnd w:id="80"/>
      <w:bookmarkEnd w:id="81"/>
      <w:bookmarkStart w:id="311" w:name="_Toc303066035"/>
      <w:r>
        <w:rPr>
          <w:rFonts w:hint="eastAsia"/>
          <w:color w:val="auto"/>
          <w:highlight w:val="none"/>
        </w:rPr>
        <w:t>格式</w:t>
      </w:r>
      <w:bookmarkEnd w:id="310"/>
    </w:p>
    <w:bookmarkEnd w:id="311"/>
    <w:p w14:paraId="14372447">
      <w:pPr>
        <w:tabs>
          <w:tab w:val="left" w:pos="6516"/>
        </w:tabs>
        <w:adjustRightInd w:val="0"/>
        <w:snapToGrid w:val="0"/>
        <w:ind w:firstLine="0" w:firstLineChars="0"/>
        <w:jc w:val="center"/>
        <w:rPr>
          <w:b/>
          <w:color w:val="auto"/>
          <w:kern w:val="0"/>
          <w:highlight w:val="none"/>
          <w:u w:val="single"/>
        </w:rPr>
      </w:pPr>
    </w:p>
    <w:p w14:paraId="116A289A">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7DB90B2">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身份认证系统项目</w:t>
      </w:r>
    </w:p>
    <w:p w14:paraId="7E1F302F">
      <w:pPr>
        <w:tabs>
          <w:tab w:val="left" w:pos="3600"/>
          <w:tab w:val="left" w:pos="4480"/>
          <w:tab w:val="left" w:pos="5360"/>
        </w:tabs>
        <w:adjustRightInd w:val="0"/>
        <w:snapToGrid w:val="0"/>
        <w:ind w:firstLine="0" w:firstLineChars="0"/>
        <w:jc w:val="center"/>
        <w:rPr>
          <w:color w:val="auto"/>
          <w:kern w:val="0"/>
          <w:sz w:val="44"/>
          <w:highlight w:val="none"/>
        </w:rPr>
      </w:pPr>
    </w:p>
    <w:p w14:paraId="5FFBD1C1">
      <w:pPr>
        <w:tabs>
          <w:tab w:val="left" w:pos="3600"/>
          <w:tab w:val="left" w:pos="4480"/>
          <w:tab w:val="left" w:pos="5360"/>
        </w:tabs>
        <w:adjustRightInd w:val="0"/>
        <w:snapToGrid w:val="0"/>
        <w:ind w:firstLine="0" w:firstLineChars="0"/>
        <w:jc w:val="center"/>
        <w:rPr>
          <w:b/>
          <w:color w:val="auto"/>
          <w:kern w:val="0"/>
          <w:sz w:val="84"/>
          <w:highlight w:val="none"/>
        </w:rPr>
      </w:pPr>
      <w:r>
        <w:rPr>
          <w:rFonts w:hint="eastAsia"/>
          <w:b/>
          <w:color w:val="auto"/>
          <w:kern w:val="0"/>
          <w:sz w:val="84"/>
          <w:highlight w:val="none"/>
        </w:rPr>
        <w:t>参  选  文  件</w:t>
      </w:r>
    </w:p>
    <w:p w14:paraId="4ADDE0FA">
      <w:pPr>
        <w:adjustRightInd w:val="0"/>
        <w:snapToGrid w:val="0"/>
        <w:ind w:firstLine="0" w:firstLineChars="0"/>
        <w:jc w:val="center"/>
        <w:rPr>
          <w:color w:val="auto"/>
          <w:kern w:val="0"/>
          <w:sz w:val="16"/>
          <w:highlight w:val="none"/>
        </w:rPr>
      </w:pPr>
    </w:p>
    <w:p w14:paraId="2B36109B">
      <w:pPr>
        <w:adjustRightInd w:val="0"/>
        <w:snapToGrid w:val="0"/>
        <w:ind w:firstLine="0" w:firstLineChars="0"/>
        <w:jc w:val="center"/>
        <w:rPr>
          <w:b/>
          <w:color w:val="auto"/>
          <w:kern w:val="0"/>
          <w:sz w:val="20"/>
          <w:highlight w:val="none"/>
        </w:rPr>
      </w:pPr>
    </w:p>
    <w:p w14:paraId="531A9137">
      <w:pPr>
        <w:adjustRightInd w:val="0"/>
        <w:snapToGrid w:val="0"/>
        <w:ind w:firstLine="0" w:firstLineChars="0"/>
        <w:jc w:val="center"/>
        <w:rPr>
          <w:b/>
          <w:color w:val="auto"/>
          <w:kern w:val="0"/>
          <w:sz w:val="20"/>
          <w:highlight w:val="none"/>
        </w:rPr>
      </w:pPr>
    </w:p>
    <w:p w14:paraId="08AEC852">
      <w:pPr>
        <w:adjustRightInd w:val="0"/>
        <w:snapToGrid w:val="0"/>
        <w:ind w:firstLine="0" w:firstLineChars="0"/>
        <w:jc w:val="center"/>
        <w:rPr>
          <w:b/>
          <w:color w:val="auto"/>
          <w:kern w:val="0"/>
          <w:sz w:val="20"/>
          <w:highlight w:val="none"/>
        </w:rPr>
      </w:pPr>
    </w:p>
    <w:p w14:paraId="62759A54">
      <w:pPr>
        <w:adjustRightInd w:val="0"/>
        <w:snapToGrid w:val="0"/>
        <w:ind w:firstLine="0" w:firstLineChars="0"/>
        <w:jc w:val="center"/>
        <w:rPr>
          <w:b/>
          <w:color w:val="auto"/>
          <w:kern w:val="0"/>
          <w:sz w:val="20"/>
          <w:highlight w:val="none"/>
        </w:rPr>
      </w:pPr>
    </w:p>
    <w:p w14:paraId="6D23E599">
      <w:pPr>
        <w:adjustRightInd w:val="0"/>
        <w:snapToGrid w:val="0"/>
        <w:ind w:firstLine="0" w:firstLineChars="0"/>
        <w:jc w:val="center"/>
        <w:rPr>
          <w:b/>
          <w:color w:val="auto"/>
          <w:kern w:val="0"/>
          <w:sz w:val="20"/>
          <w:highlight w:val="none"/>
        </w:rPr>
      </w:pPr>
    </w:p>
    <w:p w14:paraId="2B45D155">
      <w:pPr>
        <w:adjustRightInd w:val="0"/>
        <w:snapToGrid w:val="0"/>
        <w:ind w:firstLine="0" w:firstLineChars="0"/>
        <w:jc w:val="center"/>
        <w:rPr>
          <w:b/>
          <w:color w:val="auto"/>
          <w:kern w:val="0"/>
          <w:sz w:val="20"/>
          <w:highlight w:val="none"/>
        </w:rPr>
      </w:pPr>
    </w:p>
    <w:p w14:paraId="5C250CE4">
      <w:pPr>
        <w:adjustRightInd w:val="0"/>
        <w:snapToGrid w:val="0"/>
        <w:ind w:firstLine="0" w:firstLineChars="0"/>
        <w:jc w:val="center"/>
        <w:rPr>
          <w:b/>
          <w:color w:val="auto"/>
          <w:kern w:val="0"/>
          <w:sz w:val="20"/>
          <w:highlight w:val="none"/>
        </w:rPr>
      </w:pPr>
    </w:p>
    <w:p w14:paraId="0DFD2963">
      <w:pPr>
        <w:adjustRightInd w:val="0"/>
        <w:snapToGrid w:val="0"/>
        <w:ind w:firstLine="0" w:firstLineChars="0"/>
        <w:jc w:val="center"/>
        <w:rPr>
          <w:b/>
          <w:color w:val="auto"/>
          <w:kern w:val="0"/>
          <w:sz w:val="20"/>
          <w:highlight w:val="none"/>
        </w:rPr>
      </w:pPr>
    </w:p>
    <w:p w14:paraId="0F854619">
      <w:pPr>
        <w:adjustRightInd w:val="0"/>
        <w:snapToGrid w:val="0"/>
        <w:ind w:firstLine="0" w:firstLineChars="0"/>
        <w:jc w:val="center"/>
        <w:rPr>
          <w:b/>
          <w:color w:val="auto"/>
          <w:kern w:val="0"/>
          <w:sz w:val="20"/>
          <w:highlight w:val="none"/>
        </w:rPr>
      </w:pPr>
    </w:p>
    <w:p w14:paraId="6E4548C8">
      <w:pPr>
        <w:ind w:firstLine="0" w:firstLineChars="0"/>
        <w:jc w:val="center"/>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0D6CFA2A">
      <w:pPr>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/分支机构负责人/委托代理人：</w:t>
      </w:r>
      <w:r>
        <w:rPr>
          <w:rFonts w:hint="eastAsia"/>
          <w:color w:val="auto"/>
          <w:highlight w:val="none"/>
          <w:u w:val="single"/>
        </w:rPr>
        <w:t xml:space="preserve">              </w:t>
      </w:r>
      <w:r>
        <w:rPr>
          <w:rFonts w:hint="eastAsia"/>
          <w:color w:val="auto"/>
          <w:highlight w:val="none"/>
        </w:rPr>
        <w:t>（签字或盖章）</w:t>
      </w:r>
    </w:p>
    <w:p w14:paraId="2E572F11">
      <w:pPr>
        <w:tabs>
          <w:tab w:val="left" w:pos="3280"/>
          <w:tab w:val="left" w:pos="4680"/>
          <w:tab w:val="left" w:pos="6080"/>
        </w:tabs>
        <w:adjustRightInd w:val="0"/>
        <w:snapToGrid w:val="0"/>
        <w:ind w:firstLine="0" w:firstLineChars="0"/>
        <w:jc w:val="center"/>
        <w:rPr>
          <w:b/>
          <w:color w:val="auto"/>
          <w:kern w:val="0"/>
          <w:highlight w:val="none"/>
        </w:rPr>
      </w:pPr>
      <w:r>
        <w:rPr>
          <w:rFonts w:hint="eastAsia"/>
          <w:color w:val="auto"/>
          <w:highlight w:val="none"/>
        </w:rPr>
        <w:t>年     月     日</w:t>
      </w:r>
    </w:p>
    <w:p w14:paraId="451A8472">
      <w:pPr>
        <w:tabs>
          <w:tab w:val="left" w:pos="3280"/>
          <w:tab w:val="left" w:pos="4680"/>
          <w:tab w:val="left" w:pos="6080"/>
        </w:tabs>
        <w:adjustRightInd w:val="0"/>
        <w:snapToGrid w:val="0"/>
        <w:ind w:firstLine="0" w:firstLineChars="0"/>
        <w:jc w:val="center"/>
        <w:rPr>
          <w:b/>
          <w:color w:val="auto"/>
          <w:kern w:val="0"/>
          <w:highlight w:val="none"/>
        </w:rPr>
      </w:pPr>
    </w:p>
    <w:p w14:paraId="60964DCB">
      <w:pPr>
        <w:tabs>
          <w:tab w:val="left" w:pos="6300"/>
        </w:tabs>
        <w:snapToGrid w:val="0"/>
        <w:ind w:firstLine="0" w:firstLineChars="0"/>
        <w:jc w:val="center"/>
        <w:rPr>
          <w:snapToGrid w:val="0"/>
          <w:color w:val="auto"/>
          <w:kern w:val="0"/>
          <w:szCs w:val="28"/>
          <w:highlight w:val="none"/>
        </w:rPr>
      </w:pPr>
    </w:p>
    <w:p w14:paraId="47FDDF24">
      <w:pPr>
        <w:tabs>
          <w:tab w:val="left" w:pos="6300"/>
        </w:tabs>
        <w:snapToGrid w:val="0"/>
        <w:ind w:firstLine="0" w:firstLineChars="0"/>
        <w:jc w:val="center"/>
        <w:rPr>
          <w:snapToGrid w:val="0"/>
          <w:color w:val="auto"/>
          <w:kern w:val="0"/>
          <w:szCs w:val="28"/>
          <w:highlight w:val="none"/>
        </w:rPr>
      </w:pPr>
    </w:p>
    <w:p w14:paraId="4B5DA9C6">
      <w:pPr>
        <w:tabs>
          <w:tab w:val="left" w:pos="6300"/>
        </w:tabs>
        <w:snapToGrid w:val="0"/>
        <w:ind w:firstLine="0" w:firstLineChars="0"/>
        <w:jc w:val="center"/>
        <w:rPr>
          <w:snapToGrid w:val="0"/>
          <w:color w:val="auto"/>
          <w:kern w:val="0"/>
          <w:szCs w:val="28"/>
          <w:highlight w:val="none"/>
        </w:rPr>
        <w:sectPr>
          <w:footerReference r:id="rId6" w:type="default"/>
          <w:pgSz w:w="11906" w:h="16838"/>
          <w:pgMar w:top="1440" w:right="1800" w:bottom="1440" w:left="1800" w:header="851" w:footer="992" w:gutter="0"/>
          <w:cols w:space="720" w:num="1"/>
          <w:docGrid w:type="lines" w:linePitch="312" w:charSpace="0"/>
        </w:sectPr>
      </w:pPr>
    </w:p>
    <w:p w14:paraId="0C20A5A5">
      <w:pPr>
        <w:tabs>
          <w:tab w:val="left" w:pos="6300"/>
        </w:tabs>
        <w:snapToGrid w:val="0"/>
        <w:ind w:firstLine="0" w:firstLineChars="0"/>
        <w:jc w:val="center"/>
        <w:outlineLvl w:val="1"/>
        <w:rPr>
          <w:b/>
          <w:snapToGrid w:val="0"/>
          <w:color w:val="auto"/>
          <w:kern w:val="0"/>
          <w:sz w:val="36"/>
          <w:szCs w:val="28"/>
          <w:highlight w:val="none"/>
        </w:rPr>
      </w:pPr>
      <w:r>
        <w:rPr>
          <w:rFonts w:hint="eastAsia"/>
          <w:b/>
          <w:snapToGrid w:val="0"/>
          <w:color w:val="auto"/>
          <w:kern w:val="0"/>
          <w:sz w:val="36"/>
          <w:szCs w:val="28"/>
          <w:highlight w:val="none"/>
        </w:rPr>
        <w:t>目  录</w:t>
      </w:r>
    </w:p>
    <w:p w14:paraId="579DF30A">
      <w:pPr>
        <w:ind w:firstLine="420"/>
        <w:jc w:val="left"/>
        <w:rPr>
          <w:color w:val="auto"/>
          <w:highlight w:val="none"/>
        </w:rPr>
      </w:pPr>
      <w:r>
        <w:rPr>
          <w:rFonts w:hint="eastAsia"/>
          <w:color w:val="auto"/>
          <w:highlight w:val="none"/>
        </w:rPr>
        <w:t>一、参选函</w:t>
      </w:r>
    </w:p>
    <w:p w14:paraId="12CBDE0D">
      <w:pPr>
        <w:ind w:firstLine="420"/>
        <w:rPr>
          <w:color w:val="auto"/>
          <w:highlight w:val="none"/>
        </w:rPr>
      </w:pPr>
      <w:r>
        <w:rPr>
          <w:rFonts w:hint="eastAsia"/>
          <w:color w:val="auto"/>
          <w:highlight w:val="none"/>
        </w:rPr>
        <w:t>二、</w:t>
      </w:r>
      <w:r>
        <w:rPr>
          <w:color w:val="auto"/>
          <w:highlight w:val="none"/>
        </w:rPr>
        <w:t>报价一览</w:t>
      </w:r>
      <w:r>
        <w:rPr>
          <w:rFonts w:hint="eastAsia"/>
          <w:color w:val="auto"/>
          <w:highlight w:val="none"/>
        </w:rPr>
        <w:t>表</w:t>
      </w:r>
    </w:p>
    <w:p w14:paraId="51D29C0D">
      <w:pPr>
        <w:ind w:firstLine="420"/>
        <w:rPr>
          <w:color w:val="auto"/>
          <w:highlight w:val="none"/>
        </w:rPr>
      </w:pPr>
      <w:r>
        <w:rPr>
          <w:rFonts w:hint="eastAsia"/>
          <w:color w:val="auto"/>
          <w:highlight w:val="none"/>
        </w:rPr>
        <w:t>三、资格性文件</w:t>
      </w:r>
    </w:p>
    <w:p w14:paraId="6225DC9E">
      <w:pPr>
        <w:ind w:firstLine="420"/>
        <w:rPr>
          <w:color w:val="auto"/>
          <w:highlight w:val="none"/>
        </w:rPr>
      </w:pPr>
      <w:r>
        <w:rPr>
          <w:color w:val="auto"/>
          <w:highlight w:val="none"/>
        </w:rPr>
        <w:t>（一）参选人基本情况介绍，资质证明等</w:t>
      </w:r>
    </w:p>
    <w:p w14:paraId="268D9DAB">
      <w:pPr>
        <w:ind w:firstLine="420"/>
        <w:rPr>
          <w:color w:val="auto"/>
          <w:highlight w:val="none"/>
        </w:rPr>
      </w:pPr>
      <w:r>
        <w:rPr>
          <w:color w:val="auto"/>
          <w:highlight w:val="none"/>
        </w:rPr>
        <w:t>（二）法定代表人</w:t>
      </w:r>
      <w:r>
        <w:rPr>
          <w:rFonts w:hint="eastAsia"/>
          <w:snapToGrid w:val="0"/>
          <w:color w:val="auto"/>
          <w:kern w:val="0"/>
          <w:highlight w:val="none"/>
        </w:rPr>
        <w:t>/</w:t>
      </w:r>
      <w:r>
        <w:rPr>
          <w:rFonts w:hint="eastAsia"/>
          <w:color w:val="auto"/>
          <w:highlight w:val="none"/>
        </w:rPr>
        <w:t>分支机构负责人</w:t>
      </w:r>
      <w:r>
        <w:rPr>
          <w:color w:val="auto"/>
          <w:highlight w:val="none"/>
        </w:rPr>
        <w:t>身份证明及授权委托书</w:t>
      </w:r>
    </w:p>
    <w:p w14:paraId="2DA8A260">
      <w:pPr>
        <w:ind w:firstLine="420"/>
        <w:rPr>
          <w:color w:val="auto"/>
          <w:highlight w:val="none"/>
        </w:rPr>
      </w:pPr>
      <w:r>
        <w:rPr>
          <w:rFonts w:hint="eastAsia"/>
          <w:color w:val="auto"/>
          <w:highlight w:val="none"/>
        </w:rPr>
        <w:t>（三）书面声明</w:t>
      </w:r>
    </w:p>
    <w:p w14:paraId="29A9EE70">
      <w:pPr>
        <w:ind w:firstLine="42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02B4DE21">
      <w:pPr>
        <w:ind w:firstLine="420"/>
        <w:rPr>
          <w:color w:val="auto"/>
          <w:highlight w:val="none"/>
        </w:rPr>
      </w:pPr>
      <w:r>
        <w:rPr>
          <w:rFonts w:hint="eastAsia"/>
          <w:color w:val="auto"/>
          <w:highlight w:val="none"/>
        </w:rPr>
        <w:t>（五）FIDO认证材料</w:t>
      </w:r>
    </w:p>
    <w:p w14:paraId="32735A2A">
      <w:pPr>
        <w:ind w:firstLine="420"/>
        <w:rPr>
          <w:color w:val="auto"/>
          <w:highlight w:val="none"/>
        </w:rPr>
      </w:pPr>
      <w:r>
        <w:rPr>
          <w:rFonts w:hint="eastAsia"/>
          <w:color w:val="auto"/>
          <w:highlight w:val="none"/>
          <w:lang w:val="zh-CN"/>
        </w:rPr>
        <w:t>（</w:t>
      </w:r>
      <w:r>
        <w:rPr>
          <w:rFonts w:hint="eastAsia"/>
          <w:color w:val="auto"/>
          <w:highlight w:val="none"/>
        </w:rPr>
        <w:t>六</w:t>
      </w:r>
      <w:r>
        <w:rPr>
          <w:rFonts w:hint="eastAsia"/>
          <w:color w:val="auto"/>
          <w:highlight w:val="none"/>
          <w:lang w:val="zh-CN"/>
        </w:rPr>
        <w:t>）项目案例</w:t>
      </w:r>
      <w:r>
        <w:rPr>
          <w:rFonts w:hint="eastAsia"/>
          <w:color w:val="auto"/>
          <w:highlight w:val="none"/>
        </w:rPr>
        <w:t>和业绩证明文件复印件</w:t>
      </w:r>
    </w:p>
    <w:p w14:paraId="348DEC2F">
      <w:pPr>
        <w:ind w:firstLine="420"/>
        <w:rPr>
          <w:color w:val="auto"/>
          <w:highlight w:val="none"/>
        </w:rPr>
      </w:pPr>
      <w:r>
        <w:rPr>
          <w:color w:val="auto"/>
          <w:highlight w:val="none"/>
        </w:rPr>
        <w:t>（</w:t>
      </w:r>
      <w:r>
        <w:rPr>
          <w:rFonts w:hint="eastAsia"/>
          <w:color w:val="auto"/>
          <w:highlight w:val="none"/>
        </w:rPr>
        <w:t>七</w:t>
      </w:r>
      <w:r>
        <w:rPr>
          <w:color w:val="auto"/>
          <w:highlight w:val="none"/>
        </w:rPr>
        <w:t>）</w:t>
      </w:r>
      <w:r>
        <w:rPr>
          <w:rFonts w:hint="eastAsia"/>
          <w:color w:val="auto"/>
          <w:highlight w:val="none"/>
        </w:rPr>
        <w:t>售后服务质保承诺函</w:t>
      </w:r>
    </w:p>
    <w:p w14:paraId="0EC0B3BC">
      <w:pPr>
        <w:ind w:firstLine="420"/>
        <w:rPr>
          <w:color w:val="auto"/>
          <w:highlight w:val="none"/>
        </w:rPr>
      </w:pPr>
      <w:r>
        <w:rPr>
          <w:rFonts w:hint="eastAsia"/>
          <w:color w:val="auto"/>
          <w:highlight w:val="none"/>
        </w:rPr>
        <w:t>（八）原厂授权证明文件（如有）</w:t>
      </w:r>
    </w:p>
    <w:p w14:paraId="01DA7925">
      <w:pPr>
        <w:ind w:firstLine="420"/>
        <w:rPr>
          <w:color w:val="auto"/>
          <w:highlight w:val="none"/>
        </w:rPr>
      </w:pPr>
      <w:r>
        <w:rPr>
          <w:rFonts w:hint="eastAsia"/>
          <w:color w:val="auto"/>
          <w:highlight w:val="none"/>
        </w:rPr>
        <w:t>（九）</w:t>
      </w:r>
      <w:r>
        <w:rPr>
          <w:color w:val="auto"/>
          <w:highlight w:val="none"/>
        </w:rPr>
        <w:t>第三方软件产品的原厂商授权书或确认函</w:t>
      </w:r>
    </w:p>
    <w:p w14:paraId="7200D401">
      <w:pPr>
        <w:ind w:firstLine="420"/>
        <w:rPr>
          <w:color w:val="auto"/>
          <w:highlight w:val="none"/>
        </w:rPr>
      </w:pPr>
      <w:r>
        <w:rPr>
          <w:color w:val="auto"/>
          <w:highlight w:val="none"/>
        </w:rPr>
        <w:t>（</w:t>
      </w:r>
      <w:r>
        <w:rPr>
          <w:rFonts w:hint="eastAsia"/>
          <w:color w:val="auto"/>
          <w:highlight w:val="none"/>
        </w:rPr>
        <w:t>十</w:t>
      </w:r>
      <w:r>
        <w:rPr>
          <w:color w:val="auto"/>
          <w:highlight w:val="none"/>
        </w:rPr>
        <w:t>）其他（如有）</w:t>
      </w:r>
    </w:p>
    <w:p w14:paraId="748E3674">
      <w:pPr>
        <w:ind w:firstLine="420"/>
        <w:rPr>
          <w:color w:val="auto"/>
          <w:highlight w:val="none"/>
        </w:rPr>
      </w:pPr>
      <w:r>
        <w:rPr>
          <w:rFonts w:hint="eastAsia"/>
          <w:color w:val="auto"/>
          <w:highlight w:val="none"/>
        </w:rPr>
        <w:t>四、响应</w:t>
      </w:r>
      <w:r>
        <w:rPr>
          <w:color w:val="auto"/>
          <w:highlight w:val="none"/>
        </w:rPr>
        <w:t>性文件</w:t>
      </w:r>
    </w:p>
    <w:p w14:paraId="043F97D1">
      <w:pPr>
        <w:ind w:firstLine="420"/>
        <w:rPr>
          <w:rFonts w:cs="Times New Roman"/>
          <w:color w:val="auto"/>
          <w:highlight w:val="none"/>
        </w:rPr>
      </w:pPr>
      <w:r>
        <w:rPr>
          <w:rFonts w:cs="Times New Roman"/>
          <w:color w:val="auto"/>
          <w:highlight w:val="none"/>
        </w:rPr>
        <w:t>（一）响应承诺函</w:t>
      </w:r>
    </w:p>
    <w:p w14:paraId="09300A98">
      <w:pPr>
        <w:ind w:firstLine="420"/>
        <w:rPr>
          <w:rFonts w:cs="Times New Roman"/>
          <w:color w:val="auto"/>
          <w:highlight w:val="none"/>
        </w:rPr>
      </w:pPr>
      <w:r>
        <w:rPr>
          <w:rFonts w:hint="eastAsia" w:cs="Times New Roman"/>
          <w:color w:val="auto"/>
          <w:highlight w:val="none"/>
        </w:rPr>
        <w:t>（二）</w:t>
      </w:r>
      <w:r>
        <w:rPr>
          <w:rFonts w:hint="eastAsia"/>
          <w:color w:val="auto"/>
          <w:highlight w:val="none"/>
        </w:rPr>
        <w:t>参选保证金</w:t>
      </w:r>
    </w:p>
    <w:p w14:paraId="39EBA0B9">
      <w:pPr>
        <w:ind w:firstLine="420"/>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三</w:t>
      </w:r>
      <w:r>
        <w:rPr>
          <w:rFonts w:cs="Times New Roman"/>
          <w:color w:val="auto"/>
          <w:highlight w:val="none"/>
        </w:rPr>
        <w:t>）近三个月公司为项目组成员缴纳社保的证明材料</w:t>
      </w:r>
    </w:p>
    <w:p w14:paraId="46422338">
      <w:pPr>
        <w:ind w:firstLine="420"/>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四</w:t>
      </w:r>
      <w:r>
        <w:rPr>
          <w:rFonts w:cs="Times New Roman"/>
          <w:color w:val="auto"/>
          <w:highlight w:val="none"/>
        </w:rPr>
        <w:t>）项目组成员简历信息</w:t>
      </w:r>
    </w:p>
    <w:p w14:paraId="3B005F83">
      <w:pPr>
        <w:ind w:firstLine="420"/>
        <w:rPr>
          <w:color w:val="auto"/>
          <w:highlight w:val="none"/>
        </w:rPr>
      </w:pPr>
      <w:r>
        <w:rPr>
          <w:rFonts w:hint="eastAsia" w:cs="Times New Roman"/>
          <w:color w:val="auto"/>
          <w:highlight w:val="none"/>
        </w:rPr>
        <w:t>（</w:t>
      </w:r>
      <w:r>
        <w:rPr>
          <w:rFonts w:hint="eastAsia" w:cs="Times New Roman"/>
          <w:color w:val="auto"/>
          <w:highlight w:val="none"/>
          <w:lang w:val="en-US" w:eastAsia="zh-CN"/>
        </w:rPr>
        <w:t>五</w:t>
      </w:r>
      <w:r>
        <w:rPr>
          <w:rFonts w:hint="eastAsia" w:cs="Times New Roman"/>
          <w:color w:val="auto"/>
          <w:highlight w:val="none"/>
        </w:rPr>
        <w:t>）</w:t>
      </w:r>
      <w:r>
        <w:rPr>
          <w:rFonts w:hint="eastAsia"/>
          <w:color w:val="auto"/>
          <w:highlight w:val="none"/>
        </w:rPr>
        <w:t>售后服务和培训方案</w:t>
      </w:r>
    </w:p>
    <w:p w14:paraId="2B743348">
      <w:pPr>
        <w:ind w:firstLine="42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）服务连续性预案</w:t>
      </w:r>
    </w:p>
    <w:p w14:paraId="422C2F87">
      <w:pPr>
        <w:ind w:firstLine="42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）项目实施方案</w:t>
      </w:r>
    </w:p>
    <w:p w14:paraId="3473DE59">
      <w:pPr>
        <w:ind w:firstLine="420"/>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八</w:t>
      </w:r>
      <w:r>
        <w:rPr>
          <w:rFonts w:cs="Times New Roman"/>
          <w:color w:val="auto"/>
          <w:highlight w:val="none"/>
        </w:rPr>
        <w:t>）</w:t>
      </w:r>
      <w:r>
        <w:rPr>
          <w:rFonts w:hint="eastAsia"/>
          <w:color w:val="auto"/>
          <w:highlight w:val="none"/>
        </w:rPr>
        <w:t>其他（如有）</w:t>
      </w:r>
    </w:p>
    <w:p w14:paraId="55979E4D">
      <w:pPr>
        <w:ind w:firstLine="420"/>
        <w:rPr>
          <w:color w:val="auto"/>
          <w:highlight w:val="none"/>
        </w:rPr>
      </w:pPr>
      <w:r>
        <w:rPr>
          <w:rFonts w:hint="eastAsia"/>
          <w:color w:val="auto"/>
          <w:highlight w:val="none"/>
        </w:rPr>
        <w:t>五、服务水平协议（SLA）</w:t>
      </w:r>
    </w:p>
    <w:p w14:paraId="77C04496">
      <w:pPr>
        <w:ind w:firstLine="420"/>
        <w:rPr>
          <w:color w:val="auto"/>
          <w:highlight w:val="none"/>
        </w:rPr>
      </w:pPr>
      <w:r>
        <w:rPr>
          <w:rFonts w:hint="eastAsia"/>
          <w:color w:val="auto"/>
          <w:highlight w:val="none"/>
        </w:rPr>
        <w:t>六、商务技术文件（如有）</w:t>
      </w:r>
    </w:p>
    <w:p w14:paraId="260C2EA7">
      <w:pPr>
        <w:ind w:firstLine="420"/>
        <w:rPr>
          <w:color w:val="auto"/>
          <w:highlight w:val="none"/>
        </w:rPr>
      </w:pPr>
      <w:r>
        <w:rPr>
          <w:rFonts w:hint="eastAsia"/>
          <w:color w:val="auto"/>
          <w:highlight w:val="none"/>
        </w:rPr>
        <w:t>七、其他（如有）</w:t>
      </w:r>
    </w:p>
    <w:p w14:paraId="4D0B8D72">
      <w:pPr>
        <w:ind w:firstLine="420"/>
        <w:rPr>
          <w:rFonts w:cs="宋体"/>
          <w:color w:val="auto"/>
          <w:highlight w:val="none"/>
        </w:rPr>
      </w:pPr>
    </w:p>
    <w:p w14:paraId="5F77647D">
      <w:pPr>
        <w:ind w:firstLine="420"/>
        <w:rPr>
          <w:rFonts w:cs="宋体"/>
          <w:color w:val="auto"/>
          <w:highlight w:val="none"/>
        </w:rPr>
      </w:pPr>
    </w:p>
    <w:p w14:paraId="60C9E7C0">
      <w:pPr>
        <w:ind w:firstLine="420"/>
        <w:rPr>
          <w:rFonts w:cs="宋体"/>
          <w:color w:val="auto"/>
          <w:highlight w:val="none"/>
        </w:rPr>
      </w:pPr>
      <w:r>
        <w:rPr>
          <w:rFonts w:cs="宋体"/>
          <w:color w:val="auto"/>
          <w:highlight w:val="none"/>
        </w:rPr>
        <w:br w:type="page"/>
      </w:r>
    </w:p>
    <w:p w14:paraId="2AC228A6">
      <w:pPr>
        <w:ind w:firstLine="0" w:firstLineChars="0"/>
        <w:jc w:val="center"/>
        <w:outlineLvl w:val="1"/>
        <w:rPr>
          <w:rStyle w:val="94"/>
          <w:color w:val="auto"/>
          <w:highlight w:val="none"/>
        </w:rPr>
      </w:pPr>
      <w:bookmarkStart w:id="312" w:name="_Toc20251"/>
      <w:bookmarkStart w:id="313" w:name="_Toc21257"/>
      <w:r>
        <w:rPr>
          <w:rStyle w:val="94"/>
          <w:rFonts w:hint="eastAsia"/>
          <w:color w:val="auto"/>
          <w:highlight w:val="none"/>
        </w:rPr>
        <w:t>一、参选函</w:t>
      </w:r>
    </w:p>
    <w:p w14:paraId="17571489">
      <w:pPr>
        <w:tabs>
          <w:tab w:val="left" w:pos="6300"/>
        </w:tabs>
        <w:snapToGrid w:val="0"/>
        <w:ind w:right="-29" w:rightChars="-14" w:firstLine="420"/>
        <w:rPr>
          <w:snapToGrid w:val="0"/>
          <w:color w:val="auto"/>
          <w:kern w:val="0"/>
          <w:szCs w:val="24"/>
          <w:highlight w:val="none"/>
          <w:u w:val="single"/>
        </w:rPr>
      </w:pPr>
    </w:p>
    <w:p w14:paraId="6DD7C515">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u w:val="single"/>
        </w:rPr>
        <w:t>重庆三峡银行股份有限公司</w:t>
      </w:r>
      <w:r>
        <w:rPr>
          <w:rFonts w:hint="eastAsia"/>
          <w:snapToGrid w:val="0"/>
          <w:color w:val="auto"/>
          <w:kern w:val="0"/>
          <w:szCs w:val="24"/>
          <w:highlight w:val="none"/>
        </w:rPr>
        <w:t>：</w:t>
      </w:r>
    </w:p>
    <w:p w14:paraId="3E359557">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我方收到___________________比选文件，经详细研究，决定参加该比选项目的</w:t>
      </w:r>
      <w:r>
        <w:rPr>
          <w:rFonts w:hint="eastAsia" w:cs="Cambria"/>
          <w:snapToGrid w:val="0"/>
          <w:color w:val="auto"/>
          <w:kern w:val="0"/>
          <w:szCs w:val="24"/>
          <w:highlight w:val="none"/>
        </w:rPr>
        <w:t>参选</w:t>
      </w:r>
      <w:r>
        <w:rPr>
          <w:rFonts w:hint="eastAsia"/>
          <w:snapToGrid w:val="0"/>
          <w:color w:val="auto"/>
          <w:kern w:val="0"/>
          <w:szCs w:val="24"/>
          <w:highlight w:val="none"/>
        </w:rPr>
        <w:t>。</w:t>
      </w:r>
    </w:p>
    <w:p w14:paraId="141A068E">
      <w:pPr>
        <w:tabs>
          <w:tab w:val="left" w:pos="6300"/>
        </w:tabs>
        <w:snapToGrid w:val="0"/>
        <w:ind w:right="-29" w:rightChars="-14" w:firstLine="573" w:firstLineChars="0"/>
        <w:rPr>
          <w:snapToGrid w:val="0"/>
          <w:color w:val="auto"/>
          <w:kern w:val="0"/>
          <w:szCs w:val="24"/>
          <w:highlight w:val="none"/>
          <w:u w:val="single"/>
        </w:rPr>
      </w:pPr>
      <w:r>
        <w:rPr>
          <w:rFonts w:hint="eastAsia"/>
          <w:snapToGrid w:val="0"/>
          <w:color w:val="auto"/>
          <w:kern w:val="0"/>
          <w:szCs w:val="24"/>
          <w:highlight w:val="none"/>
        </w:rPr>
        <w:t>1、愿意按照比选文件中的一切要求，以</w:t>
      </w:r>
      <w:r>
        <w:rPr>
          <w:rFonts w:hint="eastAsia" w:cs="Cambria"/>
          <w:snapToGrid w:val="0"/>
          <w:color w:val="auto"/>
          <w:kern w:val="0"/>
          <w:szCs w:val="24"/>
          <w:highlight w:val="none"/>
        </w:rPr>
        <w:t>参选</w:t>
      </w:r>
      <w:r>
        <w:rPr>
          <w:rFonts w:hint="eastAsia"/>
          <w:snapToGrid w:val="0"/>
          <w:color w:val="auto"/>
          <w:kern w:val="0"/>
          <w:szCs w:val="24"/>
          <w:highlight w:val="none"/>
        </w:rPr>
        <w:t>总价（含税）承担和完成本项目</w:t>
      </w:r>
      <w:r>
        <w:rPr>
          <w:snapToGrid w:val="0"/>
          <w:color w:val="auto"/>
          <w:kern w:val="0"/>
          <w:szCs w:val="24"/>
          <w:highlight w:val="none"/>
        </w:rPr>
        <w:t>。</w:t>
      </w:r>
      <w:r>
        <w:rPr>
          <w:rFonts w:hint="eastAsia"/>
          <w:snapToGrid w:val="0"/>
          <w:color w:val="auto"/>
          <w:kern w:val="0"/>
          <w:szCs w:val="24"/>
          <w:highlight w:val="none"/>
        </w:rPr>
        <w:t>免费维保期</w:t>
      </w:r>
      <w:r>
        <w:rPr>
          <w:snapToGrid w:val="0"/>
          <w:color w:val="auto"/>
          <w:kern w:val="0"/>
          <w:szCs w:val="24"/>
          <w:highlight w:val="none"/>
        </w:rPr>
        <w:t>：</w:t>
      </w:r>
      <w:r>
        <w:rPr>
          <w:rFonts w:hint="eastAsia"/>
          <w:snapToGrid w:val="0"/>
          <w:color w:val="auto"/>
          <w:kern w:val="0"/>
          <w:szCs w:val="24"/>
          <w:highlight w:val="none"/>
          <w:u w:val="single"/>
        </w:rPr>
        <w:t xml:space="preserve">        </w:t>
      </w:r>
      <w:r>
        <w:rPr>
          <w:snapToGrid w:val="0"/>
          <w:color w:val="auto"/>
          <w:kern w:val="0"/>
          <w:szCs w:val="24"/>
          <w:highlight w:val="none"/>
          <w:u w:val="single"/>
        </w:rPr>
        <w:t>；</w:t>
      </w:r>
      <w:r>
        <w:rPr>
          <w:rFonts w:hint="eastAsia"/>
          <w:snapToGrid w:val="0"/>
          <w:color w:val="auto"/>
          <w:kern w:val="0"/>
          <w:szCs w:val="24"/>
          <w:highlight w:val="none"/>
        </w:rPr>
        <w:t>免费维保期后的维保费率：</w:t>
      </w:r>
      <w:r>
        <w:rPr>
          <w:snapToGrid w:val="0"/>
          <w:color w:val="auto"/>
          <w:kern w:val="0"/>
          <w:szCs w:val="24"/>
          <w:highlight w:val="none"/>
          <w:u w:val="single"/>
        </w:rPr>
        <w:t xml:space="preserve">        。</w:t>
      </w:r>
    </w:p>
    <w:p w14:paraId="1A6C2EC7">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2、我方现提交的</w:t>
      </w:r>
      <w:r>
        <w:rPr>
          <w:rFonts w:hint="eastAsia" w:cs="Cambria"/>
          <w:snapToGrid w:val="0"/>
          <w:color w:val="auto"/>
          <w:kern w:val="0"/>
          <w:szCs w:val="24"/>
          <w:highlight w:val="none"/>
        </w:rPr>
        <w:t>参选</w:t>
      </w:r>
      <w:r>
        <w:rPr>
          <w:rFonts w:hint="eastAsia"/>
          <w:snapToGrid w:val="0"/>
          <w:color w:val="auto"/>
          <w:kern w:val="0"/>
          <w:szCs w:val="24"/>
          <w:highlight w:val="none"/>
        </w:rPr>
        <w:t>文件为：</w:t>
      </w:r>
      <w:r>
        <w:rPr>
          <w:rFonts w:hint="eastAsia" w:cs="Cambria"/>
          <w:snapToGrid w:val="0"/>
          <w:color w:val="auto"/>
          <w:kern w:val="0"/>
          <w:szCs w:val="24"/>
          <w:highlight w:val="none"/>
        </w:rPr>
        <w:t>参选</w:t>
      </w:r>
      <w:r>
        <w:rPr>
          <w:rFonts w:hint="eastAsia"/>
          <w:snapToGrid w:val="0"/>
          <w:color w:val="auto"/>
          <w:kern w:val="0"/>
          <w:szCs w:val="24"/>
          <w:highlight w:val="none"/>
        </w:rPr>
        <w:t>文件正本一份，副本一份，电子文件一份。</w:t>
      </w:r>
    </w:p>
    <w:p w14:paraId="7BBF3F39">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3、如果我方</w:t>
      </w:r>
      <w:r>
        <w:rPr>
          <w:rFonts w:hint="eastAsia" w:cs="Cambria"/>
          <w:snapToGrid w:val="0"/>
          <w:color w:val="auto"/>
          <w:kern w:val="0"/>
          <w:szCs w:val="24"/>
          <w:highlight w:val="none"/>
        </w:rPr>
        <w:t>参选</w:t>
      </w:r>
      <w:r>
        <w:rPr>
          <w:rFonts w:hint="eastAsia"/>
          <w:snapToGrid w:val="0"/>
          <w:color w:val="auto"/>
          <w:kern w:val="0"/>
          <w:szCs w:val="24"/>
          <w:highlight w:val="none"/>
        </w:rPr>
        <w:t>文件被接受，我方将履行比选文件中规定的各项要求，按相关法律法规和合同约定条款承担我方的责任。</w:t>
      </w:r>
    </w:p>
    <w:p w14:paraId="7D5119BC">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4、我方愿意提供比选文件中要求的所有资料，并对其真实性负责。</w:t>
      </w:r>
    </w:p>
    <w:p w14:paraId="0E78EEC1">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5、我方理解最低价格不是中选的唯一条件。</w:t>
      </w:r>
    </w:p>
    <w:p w14:paraId="22CAF1A0">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6、</w:t>
      </w:r>
      <w:r>
        <w:rPr>
          <w:rFonts w:hint="eastAsia" w:cs="Cambria"/>
          <w:snapToGrid w:val="0"/>
          <w:color w:val="auto"/>
          <w:kern w:val="0"/>
          <w:szCs w:val="24"/>
          <w:highlight w:val="none"/>
        </w:rPr>
        <w:t>参选</w:t>
      </w:r>
      <w:r>
        <w:rPr>
          <w:rFonts w:hint="eastAsia"/>
          <w:snapToGrid w:val="0"/>
          <w:color w:val="auto"/>
          <w:kern w:val="0"/>
          <w:szCs w:val="24"/>
          <w:highlight w:val="none"/>
        </w:rPr>
        <w:t>有效期为</w:t>
      </w:r>
      <w:r>
        <w:rPr>
          <w:rFonts w:hint="eastAsia" w:cs="Cambria"/>
          <w:snapToGrid w:val="0"/>
          <w:color w:val="auto"/>
          <w:kern w:val="0"/>
          <w:szCs w:val="24"/>
          <w:highlight w:val="none"/>
        </w:rPr>
        <w:t>参选</w:t>
      </w:r>
      <w:r>
        <w:rPr>
          <w:rFonts w:hint="eastAsia"/>
          <w:snapToGrid w:val="0"/>
          <w:color w:val="auto"/>
          <w:kern w:val="0"/>
          <w:szCs w:val="24"/>
          <w:highlight w:val="none"/>
        </w:rPr>
        <w:t>截止日期后90天内。</w:t>
      </w:r>
    </w:p>
    <w:p w14:paraId="60CDD4DF">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7、若我方中选，我方开具税率为6%及13%的增值税专用发票。</w:t>
      </w:r>
    </w:p>
    <w:p w14:paraId="2D2B8979">
      <w:pPr>
        <w:tabs>
          <w:tab w:val="left" w:pos="6300"/>
        </w:tabs>
        <w:snapToGrid w:val="0"/>
        <w:ind w:right="-29" w:rightChars="-14" w:firstLine="420"/>
        <w:rPr>
          <w:snapToGrid w:val="0"/>
          <w:color w:val="auto"/>
          <w:kern w:val="0"/>
          <w:szCs w:val="24"/>
          <w:highlight w:val="none"/>
        </w:rPr>
      </w:pPr>
    </w:p>
    <w:p w14:paraId="5C0745AB">
      <w:pPr>
        <w:tabs>
          <w:tab w:val="left" w:pos="6300"/>
        </w:tabs>
        <w:snapToGrid w:val="0"/>
        <w:ind w:right="-29" w:rightChars="-14" w:firstLine="420"/>
        <w:rPr>
          <w:snapToGrid w:val="0"/>
          <w:color w:val="auto"/>
          <w:kern w:val="0"/>
          <w:szCs w:val="24"/>
          <w:highlight w:val="none"/>
        </w:rPr>
      </w:pPr>
      <w:r>
        <w:rPr>
          <w:rFonts w:hint="eastAsia" w:cs="Cambria"/>
          <w:snapToGrid w:val="0"/>
          <w:color w:val="auto"/>
          <w:kern w:val="0"/>
          <w:szCs w:val="24"/>
          <w:highlight w:val="none"/>
        </w:rPr>
        <w:t>参选</w:t>
      </w:r>
      <w:r>
        <w:rPr>
          <w:rFonts w:hint="eastAsia"/>
          <w:snapToGrid w:val="0"/>
          <w:color w:val="auto"/>
          <w:kern w:val="0"/>
          <w:szCs w:val="24"/>
          <w:highlight w:val="none"/>
        </w:rPr>
        <w:t>人（公章）：</w:t>
      </w:r>
    </w:p>
    <w:p w14:paraId="56FA59FD">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地址：  </w:t>
      </w:r>
    </w:p>
    <w:p w14:paraId="3DB16C9C">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电话：                           传真：</w:t>
      </w:r>
    </w:p>
    <w:p w14:paraId="0164F2C1">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网址：                         </w:t>
      </w:r>
    </w:p>
    <w:p w14:paraId="26FA7642">
      <w:pPr>
        <w:tabs>
          <w:tab w:val="left" w:pos="6300"/>
        </w:tabs>
        <w:snapToGrid w:val="0"/>
        <w:ind w:right="-29" w:rightChars="-14" w:firstLine="5722" w:firstLineChars="2725"/>
        <w:rPr>
          <w:snapToGrid w:val="0"/>
          <w:color w:val="auto"/>
          <w:kern w:val="0"/>
          <w:szCs w:val="24"/>
          <w:highlight w:val="none"/>
        </w:rPr>
      </w:pPr>
    </w:p>
    <w:p w14:paraId="16B788FC">
      <w:pPr>
        <w:tabs>
          <w:tab w:val="left" w:pos="6300"/>
        </w:tabs>
        <w:snapToGrid w:val="0"/>
        <w:ind w:right="-29" w:rightChars="-14" w:firstLine="4725" w:firstLineChars="2250"/>
        <w:rPr>
          <w:snapToGrid w:val="0"/>
          <w:color w:val="auto"/>
          <w:kern w:val="0"/>
          <w:szCs w:val="24"/>
          <w:highlight w:val="none"/>
        </w:rPr>
      </w:pPr>
      <w:r>
        <w:rPr>
          <w:rFonts w:hint="eastAsia"/>
          <w:snapToGrid w:val="0"/>
          <w:color w:val="auto"/>
          <w:kern w:val="0"/>
          <w:szCs w:val="24"/>
          <w:highlight w:val="none"/>
        </w:rPr>
        <w:t>年     月     日</w:t>
      </w:r>
    </w:p>
    <w:p w14:paraId="03491B16">
      <w:pPr>
        <w:widowControl/>
        <w:ind w:firstLine="420"/>
        <w:jc w:val="left"/>
        <w:rPr>
          <w:snapToGrid w:val="0"/>
          <w:color w:val="auto"/>
          <w:kern w:val="0"/>
          <w:szCs w:val="24"/>
          <w:highlight w:val="none"/>
        </w:rPr>
      </w:pPr>
    </w:p>
    <w:p w14:paraId="3FB1F9D3">
      <w:pPr>
        <w:tabs>
          <w:tab w:val="left" w:pos="6300"/>
        </w:tabs>
        <w:snapToGrid w:val="0"/>
        <w:ind w:firstLine="420"/>
        <w:rPr>
          <w:snapToGrid w:val="0"/>
          <w:color w:val="auto"/>
          <w:kern w:val="0"/>
          <w:szCs w:val="24"/>
          <w:highlight w:val="none"/>
        </w:rPr>
      </w:pPr>
    </w:p>
    <w:p w14:paraId="518974C6">
      <w:pPr>
        <w:widowControl/>
        <w:ind w:firstLine="420"/>
        <w:jc w:val="left"/>
        <w:rPr>
          <w:snapToGrid w:val="0"/>
          <w:color w:val="auto"/>
          <w:kern w:val="0"/>
          <w:szCs w:val="24"/>
          <w:highlight w:val="none"/>
        </w:rPr>
      </w:pPr>
    </w:p>
    <w:p w14:paraId="0EE0C851">
      <w:pPr>
        <w:widowControl/>
        <w:ind w:firstLine="420"/>
        <w:jc w:val="left"/>
        <w:rPr>
          <w:snapToGrid w:val="0"/>
          <w:color w:val="auto"/>
          <w:kern w:val="0"/>
          <w:szCs w:val="24"/>
          <w:highlight w:val="none"/>
        </w:rPr>
      </w:pPr>
    </w:p>
    <w:p w14:paraId="6909F0C5">
      <w:pPr>
        <w:widowControl/>
        <w:ind w:firstLine="420"/>
        <w:jc w:val="left"/>
        <w:rPr>
          <w:snapToGrid w:val="0"/>
          <w:color w:val="auto"/>
          <w:kern w:val="0"/>
          <w:szCs w:val="24"/>
          <w:highlight w:val="none"/>
        </w:rPr>
      </w:pPr>
    </w:p>
    <w:p w14:paraId="5705E7F8">
      <w:pPr>
        <w:widowControl/>
        <w:ind w:firstLine="420"/>
        <w:jc w:val="left"/>
        <w:rPr>
          <w:snapToGrid w:val="0"/>
          <w:color w:val="auto"/>
          <w:kern w:val="0"/>
          <w:szCs w:val="24"/>
          <w:highlight w:val="none"/>
        </w:rPr>
      </w:pPr>
    </w:p>
    <w:p w14:paraId="2882B1C6">
      <w:pPr>
        <w:snapToGrid w:val="0"/>
        <w:ind w:firstLine="420"/>
        <w:rPr>
          <w:snapToGrid w:val="0"/>
          <w:color w:val="auto"/>
          <w:kern w:val="0"/>
          <w:szCs w:val="24"/>
          <w:highlight w:val="none"/>
        </w:rPr>
      </w:pPr>
      <w:r>
        <w:rPr>
          <w:rFonts w:hint="eastAsia"/>
          <w:color w:val="auto"/>
          <w:kern w:val="0"/>
          <w:highlight w:val="none"/>
        </w:rPr>
        <w:br w:type="page"/>
      </w:r>
    </w:p>
    <w:bookmarkEnd w:id="312"/>
    <w:bookmarkEnd w:id="313"/>
    <w:p w14:paraId="0E958AD6">
      <w:pPr>
        <w:pStyle w:val="92"/>
        <w:rPr>
          <w:rFonts w:hint="default"/>
          <w:color w:val="auto"/>
          <w:highlight w:val="none"/>
        </w:rPr>
      </w:pPr>
      <w:r>
        <w:rPr>
          <w:color w:val="auto"/>
          <w:szCs w:val="28"/>
          <w:highlight w:val="none"/>
        </w:rPr>
        <w:t>二、报价一览表</w:t>
      </w:r>
    </w:p>
    <w:p w14:paraId="6AD2EAC8">
      <w:pPr>
        <w:tabs>
          <w:tab w:val="left" w:pos="6300"/>
        </w:tabs>
        <w:snapToGrid w:val="0"/>
        <w:ind w:firstLine="723"/>
        <w:jc w:val="center"/>
        <w:rPr>
          <w:rFonts w:cs="Times New Roman"/>
          <w:b/>
          <w:snapToGrid w:val="0"/>
          <w:color w:val="auto"/>
          <w:kern w:val="0"/>
          <w:sz w:val="36"/>
          <w:szCs w:val="28"/>
          <w:highlight w:val="none"/>
        </w:rPr>
      </w:pPr>
    </w:p>
    <w:tbl>
      <w:tblPr>
        <w:tblStyle w:val="88"/>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528F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3D0846D">
            <w:pPr>
              <w:ind w:firstLine="0" w:firstLineChars="0"/>
              <w:jc w:val="center"/>
              <w:rPr>
                <w:rFonts w:cs="Times New Roman"/>
                <w:snapToGrid w:val="0"/>
                <w:color w:val="auto"/>
                <w:kern w:val="0"/>
                <w:szCs w:val="24"/>
                <w:highlight w:val="none"/>
              </w:rPr>
            </w:pPr>
            <w:r>
              <w:rPr>
                <w:rFonts w:cs="Times New Roman"/>
                <w:snapToGrid w:val="0"/>
                <w:color w:val="auto"/>
                <w:kern w:val="0"/>
                <w:szCs w:val="24"/>
                <w:highlight w:val="none"/>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69323114">
            <w:pPr>
              <w:ind w:firstLine="420"/>
              <w:jc w:val="center"/>
              <w:rPr>
                <w:rFonts w:cs="Times New Roman"/>
                <w:color w:val="auto"/>
                <w:szCs w:val="24"/>
                <w:highlight w:val="none"/>
              </w:rPr>
            </w:pPr>
          </w:p>
        </w:tc>
      </w:tr>
      <w:tr w14:paraId="0C60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9881D0D">
            <w:pPr>
              <w:ind w:firstLine="0" w:firstLineChars="0"/>
              <w:jc w:val="center"/>
              <w:rPr>
                <w:rFonts w:cs="Times New Roman"/>
                <w:snapToGrid w:val="0"/>
                <w:color w:val="auto"/>
                <w:kern w:val="0"/>
                <w:szCs w:val="24"/>
                <w:highlight w:val="none"/>
              </w:rPr>
            </w:pPr>
            <w:r>
              <w:rPr>
                <w:rFonts w:cs="Times New Roman"/>
                <w:snapToGrid w:val="0"/>
                <w:color w:val="auto"/>
                <w:kern w:val="0"/>
                <w:szCs w:val="24"/>
                <w:highlight w:val="none"/>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4BFCA65">
            <w:pPr>
              <w:ind w:firstLine="420"/>
              <w:jc w:val="center"/>
              <w:rPr>
                <w:rFonts w:cs="Times New Roman"/>
                <w:snapToGrid w:val="0"/>
                <w:color w:val="auto"/>
                <w:szCs w:val="24"/>
                <w:highlight w:val="none"/>
              </w:rPr>
            </w:pPr>
          </w:p>
        </w:tc>
      </w:tr>
      <w:tr w14:paraId="5B56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C32D78D">
            <w:pPr>
              <w:ind w:firstLine="0" w:firstLineChars="0"/>
              <w:jc w:val="center"/>
              <w:rPr>
                <w:rFonts w:cs="Times New Roman"/>
                <w:snapToGrid w:val="0"/>
                <w:color w:val="auto"/>
                <w:kern w:val="0"/>
                <w:szCs w:val="24"/>
                <w:highlight w:val="none"/>
              </w:rPr>
            </w:pPr>
            <w:r>
              <w:rPr>
                <w:rFonts w:cs="Times New Roman"/>
                <w:snapToGrid w:val="0"/>
                <w:color w:val="auto"/>
                <w:szCs w:val="24"/>
                <w:highlight w:val="none"/>
              </w:rPr>
              <w:t>参选</w:t>
            </w:r>
            <w:r>
              <w:rPr>
                <w:rFonts w:cs="Times New Roman"/>
                <w:color w:val="auto"/>
                <w:szCs w:val="24"/>
                <w:highlight w:val="none"/>
              </w:rP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DAA2154">
            <w:pPr>
              <w:ind w:firstLine="420"/>
              <w:rPr>
                <w:rFonts w:cs="Times New Roman"/>
                <w:snapToGrid w:val="0"/>
                <w:color w:val="auto"/>
                <w:kern w:val="0"/>
                <w:szCs w:val="24"/>
                <w:highlight w:val="none"/>
              </w:rPr>
            </w:pPr>
            <w:r>
              <w:rPr>
                <w:rFonts w:cs="Times New Roman"/>
                <w:snapToGrid w:val="0"/>
                <w:color w:val="auto"/>
                <w:kern w:val="0"/>
                <w:szCs w:val="24"/>
                <w:highlight w:val="none"/>
              </w:rPr>
              <w:t>小写</w:t>
            </w:r>
            <w:r>
              <w:rPr>
                <w:rFonts w:hint="eastAsia" w:cs="Times New Roman"/>
                <w:snapToGrid w:val="0"/>
                <w:color w:val="auto"/>
                <w:kern w:val="0"/>
                <w:szCs w:val="24"/>
                <w:highlight w:val="none"/>
              </w:rPr>
              <w:t>（</w:t>
            </w:r>
            <w:r>
              <w:rPr>
                <w:rFonts w:cs="Times New Roman"/>
                <w:snapToGrid w:val="0"/>
                <w:color w:val="auto"/>
                <w:kern w:val="0"/>
                <w:szCs w:val="24"/>
                <w:highlight w:val="none"/>
              </w:rPr>
              <w:t>人民币</w:t>
            </w:r>
            <w:r>
              <w:rPr>
                <w:rFonts w:hint="eastAsia" w:cs="Times New Roman"/>
                <w:snapToGrid w:val="0"/>
                <w:color w:val="auto"/>
                <w:kern w:val="0"/>
                <w:szCs w:val="24"/>
                <w:highlight w:val="none"/>
              </w:rPr>
              <w:t>）</w:t>
            </w:r>
            <w:r>
              <w:rPr>
                <w:rFonts w:cs="Times New Roman"/>
                <w:snapToGrid w:val="0"/>
                <w:color w:val="auto"/>
                <w:kern w:val="0"/>
                <w:szCs w:val="24"/>
                <w:highlight w:val="none"/>
              </w:rPr>
              <w:t>：</w:t>
            </w:r>
            <w:r>
              <w:rPr>
                <w:rFonts w:hint="eastAsia" w:cs="Times New Roman"/>
                <w:snapToGrid w:val="0"/>
                <w:color w:val="auto"/>
                <w:kern w:val="0"/>
                <w:szCs w:val="24"/>
                <w:highlight w:val="none"/>
              </w:rPr>
              <w:t xml:space="preserve">            </w:t>
            </w:r>
          </w:p>
          <w:p w14:paraId="6F6CFBAC">
            <w:pPr>
              <w:ind w:firstLine="420"/>
              <w:rPr>
                <w:rFonts w:cs="Times New Roman"/>
                <w:snapToGrid w:val="0"/>
                <w:color w:val="auto"/>
                <w:szCs w:val="24"/>
                <w:highlight w:val="none"/>
              </w:rPr>
            </w:pPr>
            <w:r>
              <w:rPr>
                <w:rFonts w:cs="Times New Roman"/>
                <w:snapToGrid w:val="0"/>
                <w:color w:val="auto"/>
                <w:kern w:val="0"/>
                <w:szCs w:val="24"/>
                <w:highlight w:val="none"/>
              </w:rPr>
              <w:t>大写</w:t>
            </w:r>
            <w:r>
              <w:rPr>
                <w:rFonts w:hint="eastAsia" w:cs="Times New Roman"/>
                <w:snapToGrid w:val="0"/>
                <w:color w:val="auto"/>
                <w:kern w:val="0"/>
                <w:szCs w:val="24"/>
                <w:highlight w:val="none"/>
              </w:rPr>
              <w:t>（</w:t>
            </w:r>
            <w:r>
              <w:rPr>
                <w:rFonts w:cs="Times New Roman"/>
                <w:snapToGrid w:val="0"/>
                <w:color w:val="auto"/>
                <w:kern w:val="0"/>
                <w:szCs w:val="24"/>
                <w:highlight w:val="none"/>
              </w:rPr>
              <w:t>人民币</w:t>
            </w:r>
            <w:r>
              <w:rPr>
                <w:rFonts w:hint="eastAsia" w:cs="Times New Roman"/>
                <w:snapToGrid w:val="0"/>
                <w:color w:val="auto"/>
                <w:kern w:val="0"/>
                <w:szCs w:val="24"/>
                <w:highlight w:val="none"/>
              </w:rPr>
              <w:t>）</w:t>
            </w:r>
            <w:r>
              <w:rPr>
                <w:rFonts w:cs="Times New Roman"/>
                <w:snapToGrid w:val="0"/>
                <w:color w:val="auto"/>
                <w:kern w:val="0"/>
                <w:szCs w:val="24"/>
                <w:highlight w:val="none"/>
              </w:rPr>
              <w:t>：</w:t>
            </w:r>
            <w:r>
              <w:rPr>
                <w:rFonts w:hint="eastAsia" w:cs="Times New Roman"/>
                <w:snapToGrid w:val="0"/>
                <w:color w:val="auto"/>
                <w:kern w:val="0"/>
                <w:szCs w:val="24"/>
                <w:highlight w:val="none"/>
              </w:rPr>
              <w:t xml:space="preserve">            </w:t>
            </w:r>
          </w:p>
        </w:tc>
      </w:tr>
      <w:tr w14:paraId="0806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4BD4666">
            <w:pPr>
              <w:ind w:firstLine="0" w:firstLineChars="0"/>
              <w:jc w:val="center"/>
              <w:rPr>
                <w:rFonts w:cs="Times New Roman"/>
                <w:snapToGrid w:val="0"/>
                <w:color w:val="auto"/>
                <w:szCs w:val="24"/>
                <w:highlight w:val="none"/>
              </w:rPr>
            </w:pPr>
            <w:r>
              <w:rPr>
                <w:rFonts w:cs="Times New Roman"/>
                <w:snapToGrid w:val="0"/>
                <w:color w:val="auto"/>
                <w:szCs w:val="24"/>
                <w:highlight w:val="none"/>
              </w:rPr>
              <w:t>参选</w:t>
            </w:r>
            <w:r>
              <w:rPr>
                <w:rFonts w:cs="Times New Roman"/>
                <w:color w:val="auto"/>
                <w:szCs w:val="24"/>
                <w:highlight w:val="none"/>
              </w:rPr>
              <w:t>总价（</w:t>
            </w:r>
            <w:r>
              <w:rPr>
                <w:rFonts w:hint="eastAsia" w:cs="Times New Roman"/>
                <w:color w:val="auto"/>
                <w:szCs w:val="24"/>
                <w:highlight w:val="none"/>
              </w:rPr>
              <w:t>不</w:t>
            </w:r>
            <w:r>
              <w:rPr>
                <w:rFonts w:cs="Times New Roman"/>
                <w:color w:val="auto"/>
                <w:szCs w:val="24"/>
                <w:highlight w:val="none"/>
              </w:rP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554A00CF">
            <w:pPr>
              <w:ind w:firstLine="420"/>
              <w:rPr>
                <w:rFonts w:cs="Times New Roman"/>
                <w:snapToGrid w:val="0"/>
                <w:color w:val="auto"/>
                <w:kern w:val="0"/>
                <w:szCs w:val="24"/>
                <w:highlight w:val="none"/>
              </w:rPr>
            </w:pPr>
            <w:r>
              <w:rPr>
                <w:rFonts w:cs="Times New Roman"/>
                <w:snapToGrid w:val="0"/>
                <w:color w:val="auto"/>
                <w:kern w:val="0"/>
                <w:szCs w:val="24"/>
                <w:highlight w:val="none"/>
              </w:rPr>
              <w:t>小写</w:t>
            </w:r>
            <w:r>
              <w:rPr>
                <w:rFonts w:hint="eastAsia" w:cs="Times New Roman"/>
                <w:snapToGrid w:val="0"/>
                <w:color w:val="auto"/>
                <w:kern w:val="0"/>
                <w:szCs w:val="24"/>
                <w:highlight w:val="none"/>
              </w:rPr>
              <w:t>（</w:t>
            </w:r>
            <w:r>
              <w:rPr>
                <w:rFonts w:cs="Times New Roman"/>
                <w:snapToGrid w:val="0"/>
                <w:color w:val="auto"/>
                <w:kern w:val="0"/>
                <w:szCs w:val="24"/>
                <w:highlight w:val="none"/>
              </w:rPr>
              <w:t>人民币</w:t>
            </w:r>
            <w:r>
              <w:rPr>
                <w:rFonts w:hint="eastAsia" w:cs="Times New Roman"/>
                <w:snapToGrid w:val="0"/>
                <w:color w:val="auto"/>
                <w:kern w:val="0"/>
                <w:szCs w:val="24"/>
                <w:highlight w:val="none"/>
              </w:rPr>
              <w:t>）</w:t>
            </w:r>
            <w:r>
              <w:rPr>
                <w:rFonts w:cs="Times New Roman"/>
                <w:snapToGrid w:val="0"/>
                <w:color w:val="auto"/>
                <w:kern w:val="0"/>
                <w:szCs w:val="24"/>
                <w:highlight w:val="none"/>
              </w:rPr>
              <w:t>：</w:t>
            </w:r>
            <w:r>
              <w:rPr>
                <w:rFonts w:hint="eastAsia" w:cs="Times New Roman"/>
                <w:snapToGrid w:val="0"/>
                <w:color w:val="auto"/>
                <w:kern w:val="0"/>
                <w:szCs w:val="24"/>
                <w:highlight w:val="none"/>
              </w:rPr>
              <w:t xml:space="preserve">            </w:t>
            </w:r>
          </w:p>
          <w:p w14:paraId="0253AE82">
            <w:pPr>
              <w:ind w:firstLine="420"/>
              <w:rPr>
                <w:rFonts w:cs="Times New Roman"/>
                <w:snapToGrid w:val="0"/>
                <w:color w:val="auto"/>
                <w:kern w:val="0"/>
                <w:szCs w:val="24"/>
                <w:highlight w:val="none"/>
              </w:rPr>
            </w:pPr>
            <w:r>
              <w:rPr>
                <w:rFonts w:cs="Times New Roman"/>
                <w:snapToGrid w:val="0"/>
                <w:color w:val="auto"/>
                <w:kern w:val="0"/>
                <w:szCs w:val="24"/>
                <w:highlight w:val="none"/>
              </w:rPr>
              <w:t>大写</w:t>
            </w:r>
            <w:r>
              <w:rPr>
                <w:rFonts w:hint="eastAsia" w:cs="Times New Roman"/>
                <w:snapToGrid w:val="0"/>
                <w:color w:val="auto"/>
                <w:kern w:val="0"/>
                <w:szCs w:val="24"/>
                <w:highlight w:val="none"/>
              </w:rPr>
              <w:t>（</w:t>
            </w:r>
            <w:r>
              <w:rPr>
                <w:rFonts w:cs="Times New Roman"/>
                <w:snapToGrid w:val="0"/>
                <w:color w:val="auto"/>
                <w:kern w:val="0"/>
                <w:szCs w:val="24"/>
                <w:highlight w:val="none"/>
              </w:rPr>
              <w:t>人民币</w:t>
            </w:r>
            <w:r>
              <w:rPr>
                <w:rFonts w:hint="eastAsia" w:cs="Times New Roman"/>
                <w:snapToGrid w:val="0"/>
                <w:color w:val="auto"/>
                <w:kern w:val="0"/>
                <w:szCs w:val="24"/>
                <w:highlight w:val="none"/>
              </w:rPr>
              <w:t>）</w:t>
            </w:r>
            <w:r>
              <w:rPr>
                <w:rFonts w:cs="Times New Roman"/>
                <w:snapToGrid w:val="0"/>
                <w:color w:val="auto"/>
                <w:kern w:val="0"/>
                <w:szCs w:val="24"/>
                <w:highlight w:val="none"/>
              </w:rPr>
              <w:t>：</w:t>
            </w:r>
            <w:r>
              <w:rPr>
                <w:rFonts w:hint="eastAsia" w:cs="Times New Roman"/>
                <w:snapToGrid w:val="0"/>
                <w:color w:val="auto"/>
                <w:kern w:val="0"/>
                <w:szCs w:val="24"/>
                <w:highlight w:val="none"/>
              </w:rPr>
              <w:t xml:space="preserve">            </w:t>
            </w:r>
          </w:p>
        </w:tc>
      </w:tr>
      <w:tr w14:paraId="51BA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852125C">
            <w:pPr>
              <w:ind w:firstLine="0" w:firstLineChars="0"/>
              <w:jc w:val="center"/>
              <w:rPr>
                <w:rFonts w:cs="Times New Roman"/>
                <w:color w:val="auto"/>
                <w:szCs w:val="24"/>
                <w:highlight w:val="none"/>
              </w:rPr>
            </w:pPr>
            <w:r>
              <w:rPr>
                <w:rFonts w:cs="Times New Roman"/>
                <w:color w:val="auto"/>
                <w:szCs w:val="24"/>
                <w:highlight w:val="none"/>
              </w:rPr>
              <w:t>产品报价</w:t>
            </w:r>
            <w:r>
              <w:rPr>
                <w:rFonts w:hint="eastAsia" w:cs="Times New Roman"/>
                <w:color w:val="auto"/>
                <w:szCs w:val="24"/>
                <w:highlight w:val="none"/>
              </w:rPr>
              <w:t>小写</w:t>
            </w:r>
          </w:p>
          <w:p w14:paraId="154C32FB">
            <w:pPr>
              <w:ind w:firstLine="0" w:firstLineChars="0"/>
              <w:jc w:val="center"/>
              <w:rPr>
                <w:rFonts w:cs="Times New Roman"/>
                <w:color w:val="auto"/>
                <w:szCs w:val="24"/>
                <w:highlight w:val="none"/>
              </w:rPr>
            </w:pPr>
            <w:r>
              <w:rPr>
                <w:rFonts w:hint="eastAsia" w:cs="Times New Roman"/>
                <w:color w:val="auto"/>
                <w:szCs w:val="24"/>
                <w:highlight w:val="none"/>
              </w:rPr>
              <w:t>（</w:t>
            </w:r>
            <w:r>
              <w:rPr>
                <w:rFonts w:cs="Times New Roman"/>
                <w:color w:val="auto"/>
                <w:szCs w:val="24"/>
                <w:highlight w:val="none"/>
              </w:rPr>
              <w:t>税率</w:t>
            </w:r>
            <w:r>
              <w:rPr>
                <w:rFonts w:hint="eastAsia" w:cs="Times New Roman"/>
                <w:color w:val="auto"/>
                <w:szCs w:val="24"/>
                <w:highlight w:val="none"/>
              </w:rPr>
              <w:t>：</w:t>
            </w:r>
            <w:r>
              <w:rPr>
                <w:rFonts w:cs="Times New Roman"/>
                <w:color w:val="auto"/>
                <w:szCs w:val="24"/>
                <w:highlight w:val="none"/>
              </w:rPr>
              <w:t>13%</w:t>
            </w:r>
            <w:r>
              <w:rPr>
                <w:rFonts w:hint="eastAsia"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14F2CF1F">
            <w:pPr>
              <w:ind w:firstLine="420"/>
              <w:rPr>
                <w:rFonts w:cs="Times New Roman"/>
                <w:color w:val="auto"/>
                <w:szCs w:val="24"/>
                <w:highlight w:val="none"/>
              </w:rPr>
            </w:pPr>
            <w:r>
              <w:rPr>
                <w:rFonts w:hint="eastAsia"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34A8DE81">
            <w:pPr>
              <w:ind w:firstLine="420"/>
              <w:rPr>
                <w:rFonts w:cs="Times New Roman"/>
                <w:color w:val="auto"/>
                <w:szCs w:val="24"/>
                <w:highlight w:val="none"/>
              </w:rPr>
            </w:pPr>
            <w:r>
              <w:rPr>
                <w:rFonts w:hint="eastAsia" w:cs="Times New Roman"/>
                <w:color w:val="auto"/>
                <w:szCs w:val="24"/>
                <w:highlight w:val="none"/>
              </w:rPr>
              <w:t>不含税价：</w:t>
            </w:r>
          </w:p>
        </w:tc>
      </w:tr>
      <w:tr w14:paraId="1E2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6BBAEFF9">
            <w:pPr>
              <w:ind w:firstLine="0" w:firstLineChars="0"/>
              <w:jc w:val="center"/>
              <w:rPr>
                <w:rFonts w:cs="Times New Roman"/>
                <w:color w:val="auto"/>
                <w:szCs w:val="24"/>
                <w:highlight w:val="none"/>
              </w:rPr>
            </w:pPr>
            <w:r>
              <w:rPr>
                <w:rFonts w:cs="Times New Roman"/>
                <w:color w:val="auto"/>
                <w:szCs w:val="24"/>
                <w:highlight w:val="none"/>
              </w:rPr>
              <w:t>定制开发报价</w:t>
            </w:r>
            <w:r>
              <w:rPr>
                <w:rFonts w:hint="eastAsia" w:cs="Times New Roman"/>
                <w:color w:val="auto"/>
                <w:szCs w:val="24"/>
                <w:highlight w:val="none"/>
              </w:rPr>
              <w:t>小写</w:t>
            </w:r>
          </w:p>
          <w:p w14:paraId="16322C64">
            <w:pPr>
              <w:ind w:firstLine="0" w:firstLineChars="0"/>
              <w:jc w:val="center"/>
              <w:rPr>
                <w:rFonts w:cs="Times New Roman"/>
                <w:color w:val="auto"/>
                <w:szCs w:val="24"/>
                <w:highlight w:val="none"/>
              </w:rPr>
            </w:pPr>
            <w:r>
              <w:rPr>
                <w:rFonts w:hint="eastAsia" w:cs="Times New Roman"/>
                <w:color w:val="auto"/>
                <w:szCs w:val="24"/>
                <w:highlight w:val="none"/>
              </w:rPr>
              <w:t>（</w:t>
            </w:r>
            <w:r>
              <w:rPr>
                <w:rFonts w:cs="Times New Roman"/>
                <w:color w:val="auto"/>
                <w:szCs w:val="24"/>
                <w:highlight w:val="none"/>
              </w:rPr>
              <w:t>税率：6%</w:t>
            </w:r>
            <w:r>
              <w:rPr>
                <w:rFonts w:hint="eastAsia"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0454F51">
            <w:pPr>
              <w:ind w:firstLine="420"/>
              <w:rPr>
                <w:rFonts w:cs="Times New Roman"/>
                <w:color w:val="auto"/>
                <w:szCs w:val="24"/>
                <w:highlight w:val="none"/>
              </w:rPr>
            </w:pPr>
            <w:r>
              <w:rPr>
                <w:rFonts w:hint="eastAsia"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1AF9FB4C">
            <w:pPr>
              <w:ind w:firstLine="420"/>
              <w:rPr>
                <w:rFonts w:cs="Times New Roman"/>
                <w:color w:val="auto"/>
                <w:szCs w:val="24"/>
                <w:highlight w:val="none"/>
              </w:rPr>
            </w:pPr>
            <w:r>
              <w:rPr>
                <w:rFonts w:hint="eastAsia" w:cs="Times New Roman"/>
                <w:color w:val="auto"/>
                <w:szCs w:val="24"/>
                <w:highlight w:val="none"/>
              </w:rPr>
              <w:t>不含税价：</w:t>
            </w:r>
          </w:p>
        </w:tc>
      </w:tr>
      <w:tr w14:paraId="58D8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1193C15">
            <w:pPr>
              <w:ind w:firstLine="0" w:firstLineChars="0"/>
              <w:jc w:val="center"/>
              <w:rPr>
                <w:rFonts w:cs="Times New Roman"/>
                <w:snapToGrid w:val="0"/>
                <w:color w:val="auto"/>
                <w:kern w:val="0"/>
                <w:szCs w:val="24"/>
                <w:highlight w:val="none"/>
              </w:rPr>
            </w:pPr>
            <w:r>
              <w:rPr>
                <w:rFonts w:cs="Times New Roman"/>
                <w:snapToGrid w:val="0"/>
                <w:color w:val="auto"/>
                <w:kern w:val="0"/>
                <w:szCs w:val="24"/>
                <w:highlight w:val="none"/>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07A3702E">
            <w:pPr>
              <w:ind w:firstLine="420"/>
              <w:jc w:val="center"/>
              <w:rPr>
                <w:rFonts w:cs="Times New Roman"/>
                <w:color w:val="auto"/>
                <w:szCs w:val="24"/>
                <w:highlight w:val="none"/>
              </w:rPr>
            </w:pPr>
          </w:p>
        </w:tc>
      </w:tr>
      <w:tr w14:paraId="46F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042F1B1">
            <w:pPr>
              <w:ind w:firstLine="0" w:firstLineChars="0"/>
              <w:jc w:val="center"/>
              <w:rPr>
                <w:rFonts w:cs="Times New Roman"/>
                <w:snapToGrid w:val="0"/>
                <w:color w:val="auto"/>
                <w:kern w:val="0"/>
                <w:szCs w:val="24"/>
                <w:highlight w:val="none"/>
              </w:rPr>
            </w:pPr>
            <w:r>
              <w:rPr>
                <w:rFonts w:cs="Times New Roman"/>
                <w:snapToGrid w:val="0"/>
                <w:color w:val="auto"/>
                <w:kern w:val="0"/>
                <w:szCs w:val="24"/>
                <w:highlight w:val="none"/>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4089033">
            <w:pPr>
              <w:ind w:firstLine="420"/>
              <w:jc w:val="center"/>
              <w:rPr>
                <w:rFonts w:cs="Times New Roman"/>
                <w:color w:val="auto"/>
                <w:szCs w:val="24"/>
                <w:highlight w:val="none"/>
              </w:rPr>
            </w:pPr>
          </w:p>
        </w:tc>
      </w:tr>
      <w:tr w14:paraId="636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33CAA27">
            <w:pPr>
              <w:ind w:firstLine="0" w:firstLineChars="0"/>
              <w:jc w:val="center"/>
              <w:rPr>
                <w:rFonts w:cs="Times New Roman"/>
                <w:snapToGrid w:val="0"/>
                <w:color w:val="auto"/>
                <w:kern w:val="0"/>
                <w:szCs w:val="24"/>
                <w:highlight w:val="none"/>
              </w:rPr>
            </w:pPr>
            <w:r>
              <w:rPr>
                <w:rFonts w:cs="Times New Roman"/>
                <w:snapToGrid w:val="0"/>
                <w:color w:val="auto"/>
                <w:kern w:val="0"/>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42C1AD3B">
            <w:pPr>
              <w:ind w:firstLine="420"/>
              <w:jc w:val="center"/>
              <w:rPr>
                <w:rFonts w:cs="Times New Roman"/>
                <w:color w:val="auto"/>
                <w:szCs w:val="24"/>
                <w:highlight w:val="none"/>
              </w:rPr>
            </w:pPr>
            <w:r>
              <w:rPr>
                <w:rFonts w:cs="Times New Roman"/>
                <w:color w:val="auto"/>
                <w:szCs w:val="24"/>
                <w:highlight w:val="none"/>
              </w:rPr>
              <w:t>增值税专用发票</w:t>
            </w:r>
          </w:p>
        </w:tc>
      </w:tr>
      <w:tr w14:paraId="5DE0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1C9509D5">
            <w:pPr>
              <w:ind w:firstLine="420"/>
              <w:rPr>
                <w:rFonts w:cs="Times New Roman"/>
                <w:snapToGrid w:val="0"/>
                <w:color w:val="auto"/>
                <w:szCs w:val="24"/>
                <w:highlight w:val="none"/>
              </w:rPr>
            </w:pPr>
            <w:r>
              <w:rPr>
                <w:rFonts w:cs="Times New Roman"/>
                <w:snapToGrid w:val="0"/>
                <w:color w:val="auto"/>
                <w:szCs w:val="24"/>
                <w:highlight w:val="none"/>
              </w:rPr>
              <w:t>备注：</w:t>
            </w:r>
          </w:p>
          <w:p w14:paraId="7311370B">
            <w:pPr>
              <w:ind w:firstLine="420"/>
              <w:rPr>
                <w:rFonts w:cs="Times New Roman"/>
                <w:snapToGrid w:val="0"/>
                <w:color w:val="auto"/>
                <w:szCs w:val="24"/>
                <w:highlight w:val="none"/>
              </w:rPr>
            </w:pPr>
          </w:p>
        </w:tc>
      </w:tr>
    </w:tbl>
    <w:p w14:paraId="3E6E846D">
      <w:pPr>
        <w:ind w:right="-29" w:rightChars="-14" w:firstLine="0" w:firstLineChars="0"/>
        <w:rPr>
          <w:rFonts w:cs="Times New Roman"/>
          <w:color w:val="auto"/>
          <w:szCs w:val="28"/>
          <w:highlight w:val="none"/>
        </w:rPr>
      </w:pPr>
      <w:bookmarkStart w:id="314" w:name="_Hlk59456849"/>
      <w:r>
        <w:rPr>
          <w:rFonts w:cs="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314"/>
    <w:p w14:paraId="45C616CA">
      <w:pPr>
        <w:ind w:right="-29" w:rightChars="-14" w:firstLine="420"/>
        <w:rPr>
          <w:rFonts w:cs="Times New Roman"/>
          <w:color w:val="auto"/>
          <w:szCs w:val="28"/>
          <w:highlight w:val="none"/>
        </w:rPr>
      </w:pPr>
    </w:p>
    <w:p w14:paraId="3D0B0524">
      <w:pPr>
        <w:ind w:right="-29" w:rightChars="-14" w:firstLine="420"/>
        <w:rPr>
          <w:rFonts w:cs="Times New Roman"/>
          <w:snapToGrid w:val="0"/>
          <w:color w:val="auto"/>
          <w:kern w:val="0"/>
          <w:szCs w:val="24"/>
          <w:highlight w:val="none"/>
        </w:rPr>
      </w:pPr>
      <w:r>
        <w:rPr>
          <w:rFonts w:cs="Times New Roman"/>
          <w:snapToGrid w:val="0"/>
          <w:color w:val="auto"/>
          <w:kern w:val="0"/>
          <w:szCs w:val="24"/>
          <w:highlight w:val="none"/>
        </w:rPr>
        <w:t>参选人：                                    法人授权代表：</w:t>
      </w:r>
    </w:p>
    <w:p w14:paraId="3BCECF48">
      <w:pPr>
        <w:ind w:right="-29" w:rightChars="-14" w:firstLine="420"/>
        <w:rPr>
          <w:rFonts w:cs="Times New Roman"/>
          <w:snapToGrid w:val="0"/>
          <w:color w:val="auto"/>
          <w:kern w:val="0"/>
          <w:szCs w:val="24"/>
          <w:highlight w:val="none"/>
        </w:rPr>
      </w:pPr>
      <w:r>
        <w:rPr>
          <w:rFonts w:cs="Times New Roman"/>
          <w:snapToGrid w:val="0"/>
          <w:color w:val="auto"/>
          <w:kern w:val="0"/>
          <w:szCs w:val="24"/>
          <w:highlight w:val="none"/>
        </w:rPr>
        <w:t>（公章）                                    （签</w:t>
      </w:r>
      <w:r>
        <w:rPr>
          <w:rFonts w:hint="eastAsia" w:cs="Times New Roman"/>
          <w:snapToGrid w:val="0"/>
          <w:color w:val="auto"/>
          <w:kern w:val="0"/>
          <w:szCs w:val="24"/>
          <w:highlight w:val="none"/>
        </w:rPr>
        <w:t>字或盖</w:t>
      </w:r>
      <w:r>
        <w:rPr>
          <w:rFonts w:cs="Times New Roman"/>
          <w:snapToGrid w:val="0"/>
          <w:color w:val="auto"/>
          <w:kern w:val="0"/>
          <w:szCs w:val="24"/>
          <w:highlight w:val="none"/>
        </w:rPr>
        <w:t>章）</w:t>
      </w:r>
    </w:p>
    <w:p w14:paraId="02FC6BCD">
      <w:pPr>
        <w:ind w:right="-29" w:rightChars="-14" w:firstLine="420"/>
        <w:jc w:val="center"/>
        <w:rPr>
          <w:rFonts w:cs="Times New Roman"/>
          <w:snapToGrid w:val="0"/>
          <w:color w:val="auto"/>
          <w:kern w:val="0"/>
          <w:szCs w:val="24"/>
          <w:highlight w:val="none"/>
        </w:rPr>
      </w:pPr>
      <w:r>
        <w:rPr>
          <w:rFonts w:cs="Times New Roman"/>
          <w:snapToGrid w:val="0"/>
          <w:color w:val="auto"/>
          <w:kern w:val="0"/>
          <w:szCs w:val="24"/>
          <w:highlight w:val="none"/>
        </w:rPr>
        <w:t xml:space="preserve">                                       年  月   日</w:t>
      </w:r>
    </w:p>
    <w:p w14:paraId="3BEC89A0">
      <w:pPr>
        <w:snapToGrid w:val="0"/>
        <w:ind w:firstLine="0" w:firstLineChars="0"/>
        <w:rPr>
          <w:rFonts w:cs="Times New Roman"/>
          <w:snapToGrid w:val="0"/>
          <w:color w:val="auto"/>
          <w:kern w:val="0"/>
          <w:szCs w:val="24"/>
          <w:highlight w:val="none"/>
        </w:rPr>
      </w:pPr>
      <w:r>
        <w:rPr>
          <w:rFonts w:cs="Times New Roman"/>
          <w:snapToGrid w:val="0"/>
          <w:color w:val="auto"/>
          <w:kern w:val="0"/>
          <w:szCs w:val="24"/>
          <w:highlight w:val="none"/>
        </w:rPr>
        <w:t>有关说明：</w:t>
      </w:r>
    </w:p>
    <w:p w14:paraId="638EA12B">
      <w:pPr>
        <w:snapToGrid w:val="0"/>
        <w:ind w:firstLine="420"/>
        <w:rPr>
          <w:rFonts w:cs="Times New Roman"/>
          <w:snapToGrid w:val="0"/>
          <w:color w:val="auto"/>
          <w:kern w:val="0"/>
          <w:szCs w:val="24"/>
          <w:highlight w:val="none"/>
        </w:rPr>
      </w:pPr>
      <w:r>
        <w:rPr>
          <w:rFonts w:cs="Times New Roman"/>
          <w:snapToGrid w:val="0"/>
          <w:color w:val="auto"/>
          <w:kern w:val="0"/>
          <w:szCs w:val="24"/>
          <w:highlight w:val="none"/>
        </w:rPr>
        <w:t>报价一览表在开标大会上当众宣读，务必填写清楚，准确无误。表格可扩展。本次报价包含上述维护期，比选人不再另行支付该维护期内维护费用。</w:t>
      </w:r>
    </w:p>
    <w:p w14:paraId="4E5E53DE">
      <w:pPr>
        <w:ind w:firstLine="0" w:firstLineChars="0"/>
        <w:jc w:val="center"/>
        <w:rPr>
          <w:color w:val="auto"/>
          <w:highlight w:val="none"/>
        </w:rPr>
      </w:pPr>
    </w:p>
    <w:p w14:paraId="727E6906">
      <w:pPr>
        <w:ind w:firstLine="422"/>
        <w:rPr>
          <w:rStyle w:val="93"/>
          <w:b/>
          <w:color w:val="auto"/>
          <w:highlight w:val="none"/>
        </w:rPr>
      </w:pPr>
      <w:r>
        <w:rPr>
          <w:rStyle w:val="93"/>
          <w:rFonts w:hint="eastAsia"/>
          <w:b/>
          <w:color w:val="auto"/>
          <w:highlight w:val="none"/>
        </w:rPr>
        <w:br w:type="page"/>
      </w:r>
    </w:p>
    <w:p w14:paraId="6FDFA682">
      <w:pPr>
        <w:pStyle w:val="92"/>
        <w:rPr>
          <w:rFonts w:hint="default"/>
          <w:color w:val="auto"/>
          <w:highlight w:val="none"/>
        </w:rPr>
      </w:pPr>
      <w:r>
        <w:rPr>
          <w:color w:val="auto"/>
          <w:highlight w:val="none"/>
        </w:rPr>
        <w:t>三、资格性文件</w:t>
      </w:r>
    </w:p>
    <w:p w14:paraId="5F6807F9">
      <w:pPr>
        <w:pStyle w:val="96"/>
        <w:rPr>
          <w:color w:val="auto"/>
          <w:highlight w:val="none"/>
        </w:rPr>
      </w:pPr>
      <w:r>
        <w:rPr>
          <w:color w:val="auto"/>
          <w:highlight w:val="none"/>
        </w:rPr>
        <w:t>（一）参选人基本情况介绍，资质证明等</w:t>
      </w:r>
    </w:p>
    <w:tbl>
      <w:tblPr>
        <w:tblStyle w:val="8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357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228D3587">
            <w:pPr>
              <w:pStyle w:val="110"/>
              <w:rPr>
                <w:color w:val="auto"/>
                <w:highlight w:val="none"/>
              </w:rPr>
            </w:pPr>
            <w:r>
              <w:rPr>
                <w:rFonts w:hint="eastAsia"/>
                <w:color w:val="auto"/>
                <w:highlight w:val="none"/>
              </w:rPr>
              <w:t>参选人名称</w:t>
            </w:r>
          </w:p>
        </w:tc>
        <w:tc>
          <w:tcPr>
            <w:tcW w:w="7114" w:type="dxa"/>
            <w:gridSpan w:val="8"/>
          </w:tcPr>
          <w:p w14:paraId="1D602FD1">
            <w:pPr>
              <w:pStyle w:val="110"/>
              <w:rPr>
                <w:color w:val="auto"/>
                <w:highlight w:val="none"/>
              </w:rPr>
            </w:pPr>
          </w:p>
        </w:tc>
      </w:tr>
      <w:tr w14:paraId="717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8745F8">
            <w:pPr>
              <w:pStyle w:val="110"/>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32C6FE88">
            <w:pPr>
              <w:pStyle w:val="110"/>
              <w:rPr>
                <w:color w:val="auto"/>
                <w:highlight w:val="none"/>
              </w:rPr>
            </w:pPr>
          </w:p>
        </w:tc>
        <w:tc>
          <w:tcPr>
            <w:tcW w:w="1325" w:type="dxa"/>
            <w:tcBorders>
              <w:top w:val="single" w:color="auto" w:sz="4" w:space="0"/>
              <w:left w:val="single" w:color="auto" w:sz="4" w:space="0"/>
              <w:right w:val="single" w:color="auto" w:sz="4" w:space="0"/>
            </w:tcBorders>
            <w:vAlign w:val="center"/>
          </w:tcPr>
          <w:p w14:paraId="034B365F">
            <w:pPr>
              <w:pStyle w:val="110"/>
              <w:rPr>
                <w:color w:val="auto"/>
                <w:highlight w:val="none"/>
              </w:rPr>
            </w:pPr>
            <w:r>
              <w:rPr>
                <w:rFonts w:hint="eastAsia"/>
                <w:color w:val="auto"/>
                <w:highlight w:val="none"/>
              </w:rPr>
              <w:t>邮政编码</w:t>
            </w:r>
          </w:p>
        </w:tc>
        <w:tc>
          <w:tcPr>
            <w:tcW w:w="1657" w:type="dxa"/>
            <w:gridSpan w:val="3"/>
          </w:tcPr>
          <w:p w14:paraId="4BF73FBD">
            <w:pPr>
              <w:pStyle w:val="110"/>
              <w:rPr>
                <w:color w:val="auto"/>
                <w:highlight w:val="none"/>
              </w:rPr>
            </w:pPr>
          </w:p>
        </w:tc>
      </w:tr>
      <w:tr w14:paraId="0F01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F5DE62B">
            <w:pPr>
              <w:pStyle w:val="110"/>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1CA39D19">
            <w:pPr>
              <w:pStyle w:val="110"/>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2D213FC4">
            <w:pPr>
              <w:pStyle w:val="110"/>
              <w:rPr>
                <w:color w:val="auto"/>
                <w:highlight w:val="none"/>
              </w:rPr>
            </w:pPr>
          </w:p>
        </w:tc>
        <w:tc>
          <w:tcPr>
            <w:tcW w:w="1325" w:type="dxa"/>
            <w:tcBorders>
              <w:top w:val="single" w:color="auto" w:sz="4" w:space="0"/>
              <w:left w:val="single" w:color="auto" w:sz="4" w:space="0"/>
              <w:right w:val="single" w:color="auto" w:sz="4" w:space="0"/>
            </w:tcBorders>
            <w:vAlign w:val="center"/>
          </w:tcPr>
          <w:p w14:paraId="1415F00C">
            <w:pPr>
              <w:pStyle w:val="110"/>
              <w:rPr>
                <w:color w:val="auto"/>
                <w:highlight w:val="none"/>
              </w:rPr>
            </w:pPr>
            <w:r>
              <w:rPr>
                <w:rFonts w:hint="eastAsia"/>
                <w:color w:val="auto"/>
                <w:highlight w:val="none"/>
              </w:rPr>
              <w:t>电话</w:t>
            </w:r>
          </w:p>
        </w:tc>
        <w:tc>
          <w:tcPr>
            <w:tcW w:w="1657" w:type="dxa"/>
            <w:gridSpan w:val="3"/>
          </w:tcPr>
          <w:p w14:paraId="7B5FC648">
            <w:pPr>
              <w:pStyle w:val="110"/>
              <w:rPr>
                <w:color w:val="auto"/>
                <w:highlight w:val="none"/>
              </w:rPr>
            </w:pPr>
          </w:p>
        </w:tc>
      </w:tr>
      <w:tr w14:paraId="68AB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D27C6C1">
            <w:pPr>
              <w:pStyle w:val="110"/>
              <w:rPr>
                <w:color w:val="auto"/>
                <w:highlight w:val="none"/>
              </w:rPr>
            </w:pPr>
          </w:p>
        </w:tc>
        <w:tc>
          <w:tcPr>
            <w:tcW w:w="1077" w:type="dxa"/>
            <w:tcBorders>
              <w:top w:val="single" w:color="auto" w:sz="4" w:space="0"/>
              <w:left w:val="single" w:color="auto" w:sz="4" w:space="0"/>
              <w:right w:val="single" w:color="auto" w:sz="4" w:space="0"/>
            </w:tcBorders>
            <w:vAlign w:val="center"/>
          </w:tcPr>
          <w:p w14:paraId="4243B58C">
            <w:pPr>
              <w:pStyle w:val="110"/>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3D1A9404">
            <w:pPr>
              <w:pStyle w:val="110"/>
              <w:rPr>
                <w:color w:val="auto"/>
                <w:highlight w:val="none"/>
              </w:rPr>
            </w:pPr>
          </w:p>
        </w:tc>
        <w:tc>
          <w:tcPr>
            <w:tcW w:w="1325" w:type="dxa"/>
            <w:tcBorders>
              <w:top w:val="single" w:color="auto" w:sz="4" w:space="0"/>
              <w:left w:val="single" w:color="auto" w:sz="4" w:space="0"/>
              <w:right w:val="single" w:color="auto" w:sz="4" w:space="0"/>
            </w:tcBorders>
            <w:vAlign w:val="center"/>
          </w:tcPr>
          <w:p w14:paraId="141349F7">
            <w:pPr>
              <w:pStyle w:val="110"/>
              <w:rPr>
                <w:color w:val="auto"/>
                <w:highlight w:val="none"/>
              </w:rPr>
            </w:pPr>
            <w:r>
              <w:rPr>
                <w:rFonts w:hint="eastAsia"/>
                <w:color w:val="auto"/>
                <w:highlight w:val="none"/>
              </w:rPr>
              <w:t>网址</w:t>
            </w:r>
          </w:p>
        </w:tc>
        <w:tc>
          <w:tcPr>
            <w:tcW w:w="1657" w:type="dxa"/>
            <w:gridSpan w:val="3"/>
          </w:tcPr>
          <w:p w14:paraId="371250DE">
            <w:pPr>
              <w:pStyle w:val="110"/>
              <w:rPr>
                <w:color w:val="auto"/>
                <w:highlight w:val="none"/>
              </w:rPr>
            </w:pPr>
          </w:p>
        </w:tc>
      </w:tr>
      <w:tr w14:paraId="76AF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19166CB">
            <w:pPr>
              <w:pStyle w:val="110"/>
              <w:rPr>
                <w:color w:val="auto"/>
                <w:highlight w:val="none"/>
              </w:rPr>
            </w:pPr>
            <w:r>
              <w:rPr>
                <w:rFonts w:hint="eastAsia"/>
                <w:color w:val="auto"/>
                <w:highlight w:val="none"/>
              </w:rPr>
              <w:t>组织结构</w:t>
            </w:r>
          </w:p>
        </w:tc>
        <w:tc>
          <w:tcPr>
            <w:tcW w:w="7114" w:type="dxa"/>
            <w:gridSpan w:val="8"/>
            <w:vAlign w:val="center"/>
          </w:tcPr>
          <w:p w14:paraId="684DE3C9">
            <w:pPr>
              <w:pStyle w:val="110"/>
              <w:rPr>
                <w:color w:val="auto"/>
                <w:highlight w:val="none"/>
              </w:rPr>
            </w:pPr>
          </w:p>
        </w:tc>
      </w:tr>
      <w:tr w14:paraId="6FD3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D35D843">
            <w:pPr>
              <w:pStyle w:val="110"/>
              <w:rPr>
                <w:color w:val="auto"/>
                <w:highlight w:val="none"/>
              </w:rPr>
            </w:pPr>
            <w:r>
              <w:rPr>
                <w:rFonts w:hint="eastAsia"/>
                <w:color w:val="auto"/>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7E968BB2">
            <w:pPr>
              <w:pStyle w:val="110"/>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51D69C13">
            <w:pPr>
              <w:pStyle w:val="110"/>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417E9C82">
            <w:pPr>
              <w:pStyle w:val="110"/>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78BA034">
            <w:pPr>
              <w:pStyle w:val="110"/>
              <w:rPr>
                <w:color w:val="auto"/>
                <w:highlight w:val="none"/>
              </w:rPr>
            </w:pPr>
          </w:p>
        </w:tc>
        <w:tc>
          <w:tcPr>
            <w:tcW w:w="723" w:type="dxa"/>
            <w:tcBorders>
              <w:top w:val="single" w:color="auto" w:sz="4" w:space="0"/>
              <w:left w:val="single" w:color="auto" w:sz="4" w:space="0"/>
              <w:right w:val="single" w:color="auto" w:sz="4" w:space="0"/>
            </w:tcBorders>
            <w:vAlign w:val="center"/>
          </w:tcPr>
          <w:p w14:paraId="0370C2D8">
            <w:pPr>
              <w:pStyle w:val="110"/>
              <w:rPr>
                <w:color w:val="auto"/>
                <w:highlight w:val="none"/>
              </w:rPr>
            </w:pPr>
            <w:r>
              <w:rPr>
                <w:rFonts w:hint="eastAsia"/>
                <w:color w:val="auto"/>
                <w:highlight w:val="none"/>
              </w:rPr>
              <w:t>电话</w:t>
            </w:r>
          </w:p>
        </w:tc>
        <w:tc>
          <w:tcPr>
            <w:tcW w:w="758" w:type="dxa"/>
          </w:tcPr>
          <w:p w14:paraId="0794C9F9">
            <w:pPr>
              <w:pStyle w:val="110"/>
              <w:rPr>
                <w:color w:val="auto"/>
                <w:highlight w:val="none"/>
              </w:rPr>
            </w:pPr>
          </w:p>
        </w:tc>
      </w:tr>
      <w:tr w14:paraId="52DF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40ECB96">
            <w:pPr>
              <w:pStyle w:val="110"/>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38B8B790">
            <w:pPr>
              <w:pStyle w:val="110"/>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5FB0FFF3">
            <w:pPr>
              <w:pStyle w:val="110"/>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10912537">
            <w:pPr>
              <w:pStyle w:val="110"/>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6AD8E89">
            <w:pPr>
              <w:pStyle w:val="110"/>
              <w:rPr>
                <w:color w:val="auto"/>
                <w:highlight w:val="none"/>
              </w:rPr>
            </w:pPr>
          </w:p>
        </w:tc>
        <w:tc>
          <w:tcPr>
            <w:tcW w:w="723" w:type="dxa"/>
            <w:tcBorders>
              <w:top w:val="single" w:color="auto" w:sz="4" w:space="0"/>
              <w:left w:val="single" w:color="auto" w:sz="4" w:space="0"/>
              <w:right w:val="single" w:color="auto" w:sz="4" w:space="0"/>
            </w:tcBorders>
            <w:vAlign w:val="center"/>
          </w:tcPr>
          <w:p w14:paraId="3AB3F8FE">
            <w:pPr>
              <w:pStyle w:val="110"/>
              <w:rPr>
                <w:color w:val="auto"/>
                <w:highlight w:val="none"/>
              </w:rPr>
            </w:pPr>
            <w:r>
              <w:rPr>
                <w:rFonts w:hint="eastAsia"/>
                <w:color w:val="auto"/>
                <w:highlight w:val="none"/>
              </w:rPr>
              <w:t>电话</w:t>
            </w:r>
          </w:p>
        </w:tc>
        <w:tc>
          <w:tcPr>
            <w:tcW w:w="758" w:type="dxa"/>
          </w:tcPr>
          <w:p w14:paraId="5AABE089">
            <w:pPr>
              <w:pStyle w:val="110"/>
              <w:rPr>
                <w:color w:val="auto"/>
                <w:highlight w:val="none"/>
              </w:rPr>
            </w:pPr>
          </w:p>
        </w:tc>
      </w:tr>
      <w:tr w14:paraId="4013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7FB99157">
            <w:pPr>
              <w:pStyle w:val="110"/>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5A949485">
            <w:pPr>
              <w:pStyle w:val="110"/>
              <w:rPr>
                <w:color w:val="auto"/>
                <w:highlight w:val="none"/>
              </w:rPr>
            </w:pPr>
          </w:p>
        </w:tc>
        <w:tc>
          <w:tcPr>
            <w:tcW w:w="4234" w:type="dxa"/>
            <w:gridSpan w:val="6"/>
          </w:tcPr>
          <w:p w14:paraId="2BBBA991">
            <w:pPr>
              <w:pStyle w:val="110"/>
              <w:rPr>
                <w:color w:val="auto"/>
                <w:highlight w:val="none"/>
              </w:rPr>
            </w:pPr>
            <w:r>
              <w:rPr>
                <w:rFonts w:hint="eastAsia"/>
                <w:color w:val="auto"/>
                <w:highlight w:val="none"/>
              </w:rPr>
              <w:t>员工总人数：</w:t>
            </w:r>
          </w:p>
        </w:tc>
      </w:tr>
      <w:tr w14:paraId="118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3B2BC52">
            <w:pPr>
              <w:pStyle w:val="110"/>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4AFFDF13">
            <w:pPr>
              <w:pStyle w:val="110"/>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5580C099">
            <w:pPr>
              <w:pStyle w:val="110"/>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6B4EBFFD">
            <w:pPr>
              <w:pStyle w:val="110"/>
              <w:rPr>
                <w:color w:val="auto"/>
                <w:highlight w:val="none"/>
              </w:rPr>
            </w:pPr>
            <w:r>
              <w:rPr>
                <w:rFonts w:hint="eastAsia"/>
                <w:color w:val="auto"/>
                <w:highlight w:val="none"/>
              </w:rPr>
              <w:t>项目经理</w:t>
            </w:r>
          </w:p>
        </w:tc>
        <w:tc>
          <w:tcPr>
            <w:tcW w:w="1481" w:type="dxa"/>
            <w:gridSpan w:val="2"/>
          </w:tcPr>
          <w:p w14:paraId="5AC78D8C">
            <w:pPr>
              <w:pStyle w:val="110"/>
              <w:rPr>
                <w:color w:val="auto"/>
                <w:highlight w:val="none"/>
              </w:rPr>
            </w:pPr>
          </w:p>
        </w:tc>
      </w:tr>
      <w:tr w14:paraId="21F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72D713">
            <w:pPr>
              <w:pStyle w:val="110"/>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08A09B47">
            <w:pPr>
              <w:pStyle w:val="110"/>
              <w:rPr>
                <w:color w:val="auto"/>
                <w:highlight w:val="none"/>
              </w:rPr>
            </w:pPr>
          </w:p>
        </w:tc>
        <w:tc>
          <w:tcPr>
            <w:tcW w:w="714" w:type="dxa"/>
            <w:vMerge w:val="continue"/>
            <w:tcBorders>
              <w:top w:val="single" w:color="auto" w:sz="4" w:space="0"/>
              <w:left w:val="single" w:color="auto" w:sz="4" w:space="0"/>
              <w:right w:val="single" w:color="auto" w:sz="4" w:space="0"/>
            </w:tcBorders>
          </w:tcPr>
          <w:p w14:paraId="7C4F8E99">
            <w:pPr>
              <w:pStyle w:val="11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94191C9">
            <w:pPr>
              <w:pStyle w:val="110"/>
              <w:rPr>
                <w:color w:val="auto"/>
                <w:highlight w:val="none"/>
              </w:rPr>
            </w:pPr>
            <w:r>
              <w:rPr>
                <w:rFonts w:hint="eastAsia"/>
                <w:color w:val="auto"/>
                <w:highlight w:val="none"/>
              </w:rPr>
              <w:t>高级职称人员</w:t>
            </w:r>
          </w:p>
        </w:tc>
        <w:tc>
          <w:tcPr>
            <w:tcW w:w="1481" w:type="dxa"/>
            <w:gridSpan w:val="2"/>
          </w:tcPr>
          <w:p w14:paraId="3D4DC206">
            <w:pPr>
              <w:pStyle w:val="110"/>
              <w:rPr>
                <w:color w:val="auto"/>
                <w:highlight w:val="none"/>
              </w:rPr>
            </w:pPr>
          </w:p>
        </w:tc>
      </w:tr>
      <w:tr w14:paraId="216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8C616DD">
            <w:pPr>
              <w:pStyle w:val="110"/>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03888250">
            <w:pPr>
              <w:pStyle w:val="110"/>
              <w:rPr>
                <w:color w:val="auto"/>
                <w:highlight w:val="none"/>
              </w:rPr>
            </w:pPr>
          </w:p>
        </w:tc>
        <w:tc>
          <w:tcPr>
            <w:tcW w:w="714" w:type="dxa"/>
            <w:vMerge w:val="continue"/>
            <w:tcBorders>
              <w:top w:val="single" w:color="auto" w:sz="4" w:space="0"/>
              <w:left w:val="single" w:color="auto" w:sz="4" w:space="0"/>
              <w:right w:val="single" w:color="auto" w:sz="4" w:space="0"/>
            </w:tcBorders>
          </w:tcPr>
          <w:p w14:paraId="1AD5BAB0">
            <w:pPr>
              <w:pStyle w:val="11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FACCD80">
            <w:pPr>
              <w:pStyle w:val="110"/>
              <w:rPr>
                <w:color w:val="auto"/>
                <w:highlight w:val="none"/>
              </w:rPr>
            </w:pPr>
            <w:r>
              <w:rPr>
                <w:rFonts w:hint="eastAsia"/>
                <w:color w:val="auto"/>
                <w:highlight w:val="none"/>
              </w:rPr>
              <w:t>中级职称人员</w:t>
            </w:r>
          </w:p>
        </w:tc>
        <w:tc>
          <w:tcPr>
            <w:tcW w:w="1481" w:type="dxa"/>
            <w:gridSpan w:val="2"/>
          </w:tcPr>
          <w:p w14:paraId="3AD0F7AF">
            <w:pPr>
              <w:pStyle w:val="110"/>
              <w:rPr>
                <w:color w:val="auto"/>
                <w:highlight w:val="none"/>
              </w:rPr>
            </w:pPr>
          </w:p>
        </w:tc>
      </w:tr>
      <w:tr w14:paraId="74D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BDF0451">
            <w:pPr>
              <w:pStyle w:val="110"/>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48C0A780">
            <w:pPr>
              <w:pStyle w:val="110"/>
              <w:rPr>
                <w:color w:val="auto"/>
                <w:highlight w:val="none"/>
              </w:rPr>
            </w:pPr>
          </w:p>
        </w:tc>
        <w:tc>
          <w:tcPr>
            <w:tcW w:w="714" w:type="dxa"/>
            <w:vMerge w:val="continue"/>
            <w:tcBorders>
              <w:top w:val="single" w:color="auto" w:sz="4" w:space="0"/>
              <w:left w:val="single" w:color="auto" w:sz="4" w:space="0"/>
              <w:right w:val="single" w:color="auto" w:sz="4" w:space="0"/>
            </w:tcBorders>
          </w:tcPr>
          <w:p w14:paraId="0AFFE8EF">
            <w:pPr>
              <w:pStyle w:val="11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61C851F">
            <w:pPr>
              <w:pStyle w:val="110"/>
              <w:rPr>
                <w:color w:val="auto"/>
                <w:highlight w:val="none"/>
              </w:rPr>
            </w:pPr>
            <w:r>
              <w:rPr>
                <w:rFonts w:hint="eastAsia"/>
                <w:color w:val="auto"/>
                <w:highlight w:val="none"/>
              </w:rPr>
              <w:t>初级职称人员</w:t>
            </w:r>
          </w:p>
        </w:tc>
        <w:tc>
          <w:tcPr>
            <w:tcW w:w="1481" w:type="dxa"/>
            <w:gridSpan w:val="2"/>
          </w:tcPr>
          <w:p w14:paraId="4C63189A">
            <w:pPr>
              <w:pStyle w:val="110"/>
              <w:rPr>
                <w:color w:val="auto"/>
                <w:highlight w:val="none"/>
              </w:rPr>
            </w:pPr>
          </w:p>
        </w:tc>
      </w:tr>
      <w:tr w14:paraId="6D51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Align w:val="center"/>
          </w:tcPr>
          <w:p w14:paraId="7E50BD49">
            <w:pPr>
              <w:pStyle w:val="110"/>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351AA0FF">
            <w:pPr>
              <w:pStyle w:val="110"/>
              <w:rPr>
                <w:color w:val="auto"/>
                <w:highlight w:val="none"/>
              </w:rPr>
            </w:pPr>
          </w:p>
        </w:tc>
        <w:tc>
          <w:tcPr>
            <w:tcW w:w="714" w:type="dxa"/>
            <w:vMerge w:val="continue"/>
            <w:tcBorders>
              <w:top w:val="single" w:color="auto" w:sz="4" w:space="0"/>
              <w:left w:val="single" w:color="auto" w:sz="4" w:space="0"/>
              <w:right w:val="single" w:color="auto" w:sz="4" w:space="0"/>
            </w:tcBorders>
          </w:tcPr>
          <w:p w14:paraId="782A6B5E">
            <w:pPr>
              <w:pStyle w:val="11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E4E3E9B">
            <w:pPr>
              <w:pStyle w:val="110"/>
              <w:rPr>
                <w:color w:val="auto"/>
                <w:highlight w:val="none"/>
              </w:rPr>
            </w:pPr>
            <w:r>
              <w:rPr>
                <w:rFonts w:hint="eastAsia"/>
                <w:color w:val="auto"/>
                <w:highlight w:val="none"/>
              </w:rPr>
              <w:t>技工</w:t>
            </w:r>
          </w:p>
        </w:tc>
        <w:tc>
          <w:tcPr>
            <w:tcW w:w="1481" w:type="dxa"/>
            <w:gridSpan w:val="2"/>
          </w:tcPr>
          <w:p w14:paraId="69399CD5">
            <w:pPr>
              <w:pStyle w:val="110"/>
              <w:rPr>
                <w:color w:val="auto"/>
                <w:highlight w:val="none"/>
              </w:rPr>
            </w:pPr>
          </w:p>
        </w:tc>
      </w:tr>
      <w:tr w14:paraId="630C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14:paraId="47EB760A">
            <w:pPr>
              <w:pStyle w:val="110"/>
              <w:rPr>
                <w:color w:val="auto"/>
                <w:highlight w:val="none"/>
              </w:rPr>
            </w:pPr>
            <w:r>
              <w:rPr>
                <w:rFonts w:hint="eastAsia"/>
                <w:color w:val="auto"/>
                <w:highlight w:val="none"/>
              </w:rPr>
              <w:t>经营范围</w:t>
            </w:r>
          </w:p>
        </w:tc>
        <w:tc>
          <w:tcPr>
            <w:tcW w:w="7114" w:type="dxa"/>
            <w:gridSpan w:val="8"/>
          </w:tcPr>
          <w:p w14:paraId="2F2D82EB">
            <w:pPr>
              <w:pStyle w:val="110"/>
              <w:rPr>
                <w:color w:val="auto"/>
                <w:highlight w:val="none"/>
              </w:rPr>
            </w:pPr>
          </w:p>
        </w:tc>
      </w:tr>
      <w:tr w14:paraId="2B85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7950397">
            <w:pPr>
              <w:pStyle w:val="110"/>
              <w:rPr>
                <w:color w:val="auto"/>
                <w:highlight w:val="none"/>
              </w:rPr>
            </w:pPr>
            <w:r>
              <w:rPr>
                <w:rFonts w:hint="eastAsia"/>
                <w:color w:val="auto"/>
                <w:highlight w:val="none"/>
              </w:rPr>
              <w:t>备注</w:t>
            </w:r>
          </w:p>
        </w:tc>
        <w:tc>
          <w:tcPr>
            <w:tcW w:w="7114" w:type="dxa"/>
            <w:gridSpan w:val="8"/>
          </w:tcPr>
          <w:p w14:paraId="4BC4B1BD">
            <w:pPr>
              <w:pStyle w:val="110"/>
              <w:rPr>
                <w:color w:val="auto"/>
                <w:highlight w:val="none"/>
              </w:rPr>
            </w:pPr>
          </w:p>
        </w:tc>
      </w:tr>
    </w:tbl>
    <w:p w14:paraId="20198672">
      <w:pPr>
        <w:widowControl/>
        <w:ind w:firstLine="400"/>
        <w:jc w:val="left"/>
        <w:rPr>
          <w:color w:val="auto"/>
          <w:sz w:val="20"/>
          <w:szCs w:val="21"/>
          <w:highlight w:val="none"/>
        </w:rPr>
      </w:pPr>
      <w:r>
        <w:rPr>
          <w:rFonts w:hint="eastAsia"/>
          <w:color w:val="auto"/>
          <w:sz w:val="20"/>
          <w:szCs w:val="21"/>
          <w:highlight w:val="none"/>
        </w:rPr>
        <w:t>注：附营业执照（副本）、总公司授权委托书、资质证明复印件等。</w:t>
      </w:r>
    </w:p>
    <w:p w14:paraId="50964FB3">
      <w:pPr>
        <w:widowControl/>
        <w:ind w:firstLine="400"/>
        <w:jc w:val="left"/>
        <w:rPr>
          <w:color w:val="auto"/>
          <w:sz w:val="20"/>
          <w:szCs w:val="21"/>
          <w:highlight w:val="none"/>
        </w:rPr>
      </w:pPr>
    </w:p>
    <w:p w14:paraId="5945023E">
      <w:pPr>
        <w:widowControl/>
        <w:ind w:firstLine="400"/>
        <w:jc w:val="left"/>
        <w:rPr>
          <w:color w:val="auto"/>
          <w:sz w:val="20"/>
          <w:szCs w:val="21"/>
          <w:highlight w:val="none"/>
        </w:rPr>
        <w:sectPr>
          <w:footerReference r:id="rId7" w:type="default"/>
          <w:pgSz w:w="11906" w:h="16838"/>
          <w:pgMar w:top="1440" w:right="1800" w:bottom="1440" w:left="1800" w:header="851" w:footer="992" w:gutter="0"/>
          <w:cols w:space="720" w:num="1"/>
          <w:docGrid w:type="lines" w:linePitch="312" w:charSpace="0"/>
        </w:sectPr>
      </w:pPr>
    </w:p>
    <w:p w14:paraId="52A78F0F">
      <w:pPr>
        <w:pStyle w:val="96"/>
        <w:rPr>
          <w:color w:val="auto"/>
          <w:highlight w:val="none"/>
        </w:rPr>
      </w:pPr>
      <w:bookmarkStart w:id="315" w:name="_Toc478054435"/>
      <w:bookmarkStart w:id="316" w:name="_Toc472780356"/>
      <w:bookmarkStart w:id="317" w:name="_Toc378234584"/>
      <w:bookmarkStart w:id="318" w:name="_Toc478053903"/>
      <w:bookmarkStart w:id="319" w:name="_Toc378234770"/>
      <w:r>
        <w:rPr>
          <w:color w:val="auto"/>
          <w:highlight w:val="none"/>
        </w:rPr>
        <w:t>（二）法定代表人</w:t>
      </w:r>
      <w:r>
        <w:rPr>
          <w:rFonts w:hint="eastAsia"/>
          <w:snapToGrid w:val="0"/>
          <w:color w:val="auto"/>
          <w:kern w:val="0"/>
          <w:highlight w:val="none"/>
        </w:rPr>
        <w:t>/</w:t>
      </w:r>
      <w:r>
        <w:rPr>
          <w:rFonts w:hint="eastAsia"/>
          <w:color w:val="auto"/>
          <w:highlight w:val="none"/>
        </w:rPr>
        <w:t>分支机构负责人</w:t>
      </w:r>
      <w:r>
        <w:rPr>
          <w:color w:val="auto"/>
          <w:highlight w:val="none"/>
        </w:rPr>
        <w:t>身份证明及授权委托书</w:t>
      </w:r>
      <w:bookmarkEnd w:id="315"/>
      <w:bookmarkEnd w:id="316"/>
      <w:bookmarkEnd w:id="317"/>
      <w:bookmarkEnd w:id="318"/>
      <w:bookmarkEnd w:id="319"/>
    </w:p>
    <w:p w14:paraId="65422DC5">
      <w:pPr>
        <w:pStyle w:val="97"/>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52F4A254">
      <w:pPr>
        <w:tabs>
          <w:tab w:val="left" w:pos="6300"/>
        </w:tabs>
        <w:snapToGrid w:val="0"/>
        <w:ind w:firstLine="420"/>
        <w:rPr>
          <w:snapToGrid w:val="0"/>
          <w:color w:val="auto"/>
          <w:kern w:val="0"/>
          <w:highlight w:val="none"/>
        </w:rPr>
      </w:pPr>
    </w:p>
    <w:p w14:paraId="7EE78F90">
      <w:pPr>
        <w:tabs>
          <w:tab w:val="left" w:pos="6300"/>
        </w:tabs>
        <w:snapToGrid w:val="0"/>
        <w:ind w:firstLine="42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0F97FE5B">
      <w:pPr>
        <w:tabs>
          <w:tab w:val="left" w:pos="6300"/>
        </w:tabs>
        <w:snapToGrid w:val="0"/>
        <w:ind w:firstLine="420"/>
        <w:rPr>
          <w:snapToGrid w:val="0"/>
          <w:color w:val="auto"/>
          <w:kern w:val="0"/>
          <w:highlight w:val="none"/>
        </w:rPr>
      </w:pPr>
    </w:p>
    <w:p w14:paraId="2BBDD39B">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3F7D2507">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w:t>
      </w:r>
      <w:r>
        <w:rPr>
          <w:rFonts w:hint="eastAsia"/>
          <w:color w:val="auto"/>
          <w:highlight w:val="none"/>
        </w:rPr>
        <w:t>/分支机构负责人</w:t>
      </w:r>
      <w:r>
        <w:rPr>
          <w:rFonts w:hint="eastAsia"/>
          <w:snapToGrid w:val="0"/>
          <w:color w:val="auto"/>
          <w:kern w:val="0"/>
          <w:highlight w:val="none"/>
        </w:rPr>
        <w:t>姓名）在</w:t>
      </w:r>
      <w:r>
        <w:rPr>
          <w:rFonts w:hint="eastAsia"/>
          <w:snapToGrid w:val="0"/>
          <w:color w:val="auto"/>
          <w:kern w:val="0"/>
          <w:highlight w:val="none"/>
          <w:u w:val="single"/>
        </w:rPr>
        <w:t xml:space="preserve">        </w:t>
      </w:r>
      <w:r>
        <w:rPr>
          <w:rFonts w:hint="eastAsia"/>
          <w:snapToGrid w:val="0"/>
          <w:color w:val="auto"/>
          <w:kern w:val="0"/>
          <w:highlight w:val="none"/>
        </w:rPr>
        <w:t>（参选人名称）任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（职务名称）职务，是（参</w:t>
      </w:r>
      <w:r>
        <w:rPr>
          <w:rFonts w:hint="eastAsia" w:cs="Cambria"/>
          <w:snapToGrid w:val="0"/>
          <w:color w:val="auto"/>
          <w:kern w:val="0"/>
          <w:szCs w:val="24"/>
          <w:highlight w:val="none"/>
        </w:rPr>
        <w:t>选</w:t>
      </w:r>
      <w:r>
        <w:rPr>
          <w:rFonts w:hint="eastAsia"/>
          <w:snapToGrid w:val="0"/>
          <w:color w:val="auto"/>
          <w:kern w:val="0"/>
          <w:highlight w:val="none"/>
        </w:rPr>
        <w:t>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r>
        <w:rPr>
          <w:rFonts w:hint="eastAsia"/>
          <w:color w:val="auto"/>
          <w:highlight w:val="none"/>
        </w:rPr>
        <w:t>分支机构负责人</w:t>
      </w:r>
      <w:r>
        <w:rPr>
          <w:rFonts w:hint="eastAsia"/>
          <w:snapToGrid w:val="0"/>
          <w:color w:val="auto"/>
          <w:kern w:val="0"/>
          <w:highlight w:val="none"/>
        </w:rPr>
        <w:t>。</w:t>
      </w:r>
    </w:p>
    <w:p w14:paraId="41AD0CE6">
      <w:pPr>
        <w:tabs>
          <w:tab w:val="left" w:pos="6300"/>
        </w:tabs>
        <w:snapToGrid w:val="0"/>
        <w:ind w:firstLine="420"/>
        <w:rPr>
          <w:snapToGrid w:val="0"/>
          <w:color w:val="auto"/>
          <w:kern w:val="0"/>
          <w:highlight w:val="none"/>
        </w:rPr>
      </w:pPr>
    </w:p>
    <w:p w14:paraId="3D35CB3E">
      <w:pPr>
        <w:tabs>
          <w:tab w:val="left" w:pos="6300"/>
        </w:tabs>
        <w:snapToGrid w:val="0"/>
        <w:ind w:firstLine="420"/>
        <w:rPr>
          <w:snapToGrid w:val="0"/>
          <w:color w:val="auto"/>
          <w:kern w:val="0"/>
          <w:highlight w:val="none"/>
        </w:rPr>
      </w:pPr>
      <w:r>
        <w:rPr>
          <w:rFonts w:hint="eastAsia"/>
          <w:snapToGrid w:val="0"/>
          <w:color w:val="auto"/>
          <w:kern w:val="0"/>
          <w:highlight w:val="none"/>
        </w:rPr>
        <w:t>特此证明。</w:t>
      </w:r>
    </w:p>
    <w:p w14:paraId="503E0FF6">
      <w:pPr>
        <w:tabs>
          <w:tab w:val="left" w:pos="6300"/>
        </w:tabs>
        <w:snapToGrid w:val="0"/>
        <w:ind w:firstLine="420"/>
        <w:rPr>
          <w:snapToGrid w:val="0"/>
          <w:color w:val="auto"/>
          <w:kern w:val="0"/>
          <w:highlight w:val="none"/>
        </w:rPr>
      </w:pPr>
    </w:p>
    <w:p w14:paraId="7875AFB2">
      <w:pPr>
        <w:tabs>
          <w:tab w:val="left" w:pos="6300"/>
        </w:tabs>
        <w:snapToGrid w:val="0"/>
        <w:ind w:firstLine="420"/>
        <w:rPr>
          <w:snapToGrid w:val="0"/>
          <w:color w:val="auto"/>
          <w:kern w:val="0"/>
          <w:highlight w:val="none"/>
        </w:rPr>
      </w:pPr>
    </w:p>
    <w:p w14:paraId="76ABA51C">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参选人：</w:t>
      </w:r>
    </w:p>
    <w:p w14:paraId="4C72FE9D">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C4BDB51">
      <w:pPr>
        <w:tabs>
          <w:tab w:val="left" w:pos="6300"/>
        </w:tabs>
        <w:snapToGrid w:val="0"/>
        <w:ind w:firstLine="420"/>
        <w:rPr>
          <w:snapToGrid w:val="0"/>
          <w:color w:val="auto"/>
          <w:kern w:val="0"/>
          <w:highlight w:val="none"/>
        </w:rPr>
      </w:pPr>
    </w:p>
    <w:p w14:paraId="0937C583">
      <w:pPr>
        <w:tabs>
          <w:tab w:val="left" w:pos="6300"/>
        </w:tabs>
        <w:snapToGrid w:val="0"/>
        <w:ind w:firstLine="420"/>
        <w:rPr>
          <w:snapToGrid w:val="0"/>
          <w:color w:val="auto"/>
          <w:kern w:val="0"/>
          <w:highlight w:val="none"/>
        </w:rPr>
      </w:pPr>
      <w:r>
        <w:rPr>
          <w:rFonts w:hint="eastAsia"/>
          <w:snapToGrid w:val="0"/>
          <w:color w:val="auto"/>
          <w:kern w:val="0"/>
          <w:highlight w:val="none"/>
        </w:rPr>
        <w:t xml:space="preserve">                                             年   月   日</w:t>
      </w:r>
    </w:p>
    <w:p w14:paraId="078CB004">
      <w:pPr>
        <w:tabs>
          <w:tab w:val="left" w:pos="6300"/>
        </w:tabs>
        <w:snapToGrid w:val="0"/>
        <w:ind w:firstLine="420"/>
        <w:rPr>
          <w:snapToGrid w:val="0"/>
          <w:color w:val="auto"/>
          <w:kern w:val="0"/>
          <w:highlight w:val="none"/>
        </w:rPr>
      </w:pPr>
    </w:p>
    <w:p w14:paraId="7331EFD8">
      <w:pPr>
        <w:tabs>
          <w:tab w:val="left" w:pos="6300"/>
        </w:tabs>
        <w:snapToGrid w:val="0"/>
        <w:ind w:firstLine="420"/>
        <w:rPr>
          <w:snapToGrid w:val="0"/>
          <w:color w:val="auto"/>
          <w:kern w:val="0"/>
          <w:highlight w:val="none"/>
        </w:rPr>
      </w:pPr>
      <w:r>
        <w:rPr>
          <w:rFonts w:hint="eastAsia"/>
          <w:snapToGrid w:val="0"/>
          <w:color w:val="auto"/>
          <w:kern w:val="0"/>
          <w:highlight w:val="none"/>
        </w:rPr>
        <w:t>（附：法定代表人</w:t>
      </w:r>
      <w:r>
        <w:rPr>
          <w:rFonts w:hint="eastAsia"/>
          <w:color w:val="auto"/>
          <w:highlight w:val="none"/>
        </w:rPr>
        <w:t>/分支机构负责人</w:t>
      </w:r>
      <w:r>
        <w:rPr>
          <w:rFonts w:hint="eastAsia"/>
          <w:snapToGrid w:val="0"/>
          <w:color w:val="auto"/>
          <w:kern w:val="0"/>
          <w:highlight w:val="none"/>
        </w:rPr>
        <w:t>身份证正反面复印件）</w:t>
      </w:r>
    </w:p>
    <w:p w14:paraId="64014D65">
      <w:pPr>
        <w:tabs>
          <w:tab w:val="left" w:pos="6300"/>
        </w:tabs>
        <w:snapToGrid w:val="0"/>
        <w:ind w:firstLine="420"/>
        <w:rPr>
          <w:snapToGrid w:val="0"/>
          <w:color w:val="auto"/>
          <w:kern w:val="0"/>
          <w:highlight w:val="none"/>
        </w:rPr>
      </w:pPr>
    </w:p>
    <w:p w14:paraId="0C553E58">
      <w:pPr>
        <w:tabs>
          <w:tab w:val="left" w:pos="6300"/>
        </w:tabs>
        <w:snapToGrid w:val="0"/>
        <w:ind w:firstLine="420"/>
        <w:rPr>
          <w:snapToGrid w:val="0"/>
          <w:color w:val="auto"/>
          <w:kern w:val="0"/>
          <w:highlight w:val="none"/>
        </w:rPr>
      </w:pPr>
    </w:p>
    <w:p w14:paraId="3869BE51">
      <w:pPr>
        <w:tabs>
          <w:tab w:val="left" w:pos="6300"/>
        </w:tabs>
        <w:snapToGrid w:val="0"/>
        <w:ind w:firstLine="420"/>
        <w:rPr>
          <w:snapToGrid w:val="0"/>
          <w:color w:val="auto"/>
          <w:kern w:val="0"/>
          <w:highlight w:val="none"/>
        </w:rPr>
      </w:pPr>
    </w:p>
    <w:p w14:paraId="0FE87D62">
      <w:pPr>
        <w:ind w:firstLine="420"/>
        <w:jc w:val="center"/>
        <w:rPr>
          <w:rStyle w:val="98"/>
          <w:rFonts w:hint="default" w:ascii="Times New Roman" w:hAnsi="Times New Roman"/>
          <w:color w:val="auto"/>
          <w:highlight w:val="none"/>
        </w:rPr>
      </w:pPr>
      <w:r>
        <w:rPr>
          <w:rFonts w:hint="eastAsia"/>
          <w:snapToGrid w:val="0"/>
          <w:color w:val="auto"/>
          <w:kern w:val="0"/>
          <w:highlight w:val="none"/>
        </w:rPr>
        <w:br w:type="column"/>
      </w:r>
      <w:r>
        <w:rPr>
          <w:rStyle w:val="98"/>
          <w:rFonts w:hint="default" w:ascii="Times New Roman" w:hAnsi="Times New Roman"/>
          <w:color w:val="auto"/>
          <w:highlight w:val="none"/>
        </w:rPr>
        <w:t>法定代表人</w:t>
      </w:r>
      <w:r>
        <w:rPr>
          <w:rFonts w:hint="eastAsia"/>
          <w:b/>
          <w:bCs/>
          <w:snapToGrid w:val="0"/>
          <w:color w:val="auto"/>
          <w:highlight w:val="none"/>
        </w:rPr>
        <w:t>（分支机构负责人）</w:t>
      </w:r>
      <w:r>
        <w:rPr>
          <w:rStyle w:val="98"/>
          <w:rFonts w:hint="default" w:ascii="Times New Roman" w:hAnsi="Times New Roman"/>
          <w:color w:val="auto"/>
          <w:highlight w:val="none"/>
        </w:rPr>
        <w:t>授权委托书</w:t>
      </w:r>
    </w:p>
    <w:p w14:paraId="32A04EC5">
      <w:pPr>
        <w:tabs>
          <w:tab w:val="left" w:pos="6300"/>
        </w:tabs>
        <w:snapToGrid w:val="0"/>
        <w:ind w:firstLine="420"/>
        <w:rPr>
          <w:snapToGrid w:val="0"/>
          <w:color w:val="auto"/>
          <w:kern w:val="0"/>
          <w:highlight w:val="none"/>
        </w:rPr>
      </w:pPr>
    </w:p>
    <w:p w14:paraId="1D184D17">
      <w:pPr>
        <w:tabs>
          <w:tab w:val="left" w:pos="6300"/>
        </w:tabs>
        <w:snapToGrid w:val="0"/>
        <w:ind w:firstLine="42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714D417F">
      <w:pPr>
        <w:tabs>
          <w:tab w:val="left" w:pos="6300"/>
        </w:tabs>
        <w:snapToGrid w:val="0"/>
        <w:ind w:firstLine="420"/>
        <w:rPr>
          <w:snapToGrid w:val="0"/>
          <w:color w:val="auto"/>
          <w:kern w:val="0"/>
          <w:highlight w:val="none"/>
        </w:rPr>
      </w:pPr>
    </w:p>
    <w:p w14:paraId="1B7132C6">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99811A6">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w:t>
      </w:r>
      <w:r>
        <w:rPr>
          <w:rFonts w:hint="eastAsia"/>
          <w:color w:val="auto"/>
          <w:highlight w:val="none"/>
        </w:rPr>
        <w:t>/分支机构负责人</w:t>
      </w:r>
      <w:r>
        <w:rPr>
          <w:rFonts w:hint="eastAsia"/>
          <w:snapToGrid w:val="0"/>
          <w:color w:val="auto"/>
          <w:kern w:val="0"/>
          <w:highlight w:val="none"/>
        </w:rPr>
        <w:t>名称）是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人名称）的法定代表人</w:t>
      </w:r>
      <w:r>
        <w:rPr>
          <w:rFonts w:hint="eastAsia"/>
          <w:color w:val="auto"/>
          <w:highlight w:val="none"/>
        </w:rPr>
        <w:t>（分支机构负责人）</w:t>
      </w:r>
      <w:r>
        <w:rPr>
          <w:rFonts w:hint="eastAsia"/>
          <w:snapToGrid w:val="0"/>
          <w:color w:val="auto"/>
          <w:kern w:val="0"/>
          <w:highlight w:val="none"/>
        </w:rPr>
        <w:t>，特授权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参选</w:t>
      </w:r>
      <w:r>
        <w:rPr>
          <w:rFonts w:hint="eastAsia"/>
          <w:snapToGrid w:val="0"/>
          <w:color w:val="auto"/>
          <w:kern w:val="0"/>
          <w:highlight w:val="none"/>
        </w:rPr>
        <w:t>、谈判、签约等具体工作，并签署全部有关文件、协议及合同。</w:t>
      </w:r>
    </w:p>
    <w:p w14:paraId="603DC807">
      <w:pPr>
        <w:tabs>
          <w:tab w:val="left" w:pos="6300"/>
        </w:tabs>
        <w:snapToGrid w:val="0"/>
        <w:ind w:firstLine="420"/>
        <w:rPr>
          <w:snapToGrid w:val="0"/>
          <w:color w:val="auto"/>
          <w:kern w:val="0"/>
          <w:highlight w:val="none"/>
        </w:rPr>
      </w:pPr>
      <w:r>
        <w:rPr>
          <w:rFonts w:hint="eastAsia"/>
          <w:snapToGrid w:val="0"/>
          <w:color w:val="auto"/>
          <w:kern w:val="0"/>
          <w:highlight w:val="none"/>
        </w:rPr>
        <w:t>我单位对委托代理人的签字负全部责任。</w:t>
      </w:r>
    </w:p>
    <w:p w14:paraId="4C06873F">
      <w:pPr>
        <w:tabs>
          <w:tab w:val="left" w:pos="6300"/>
        </w:tabs>
        <w:snapToGrid w:val="0"/>
        <w:ind w:firstLine="420"/>
        <w:rPr>
          <w:snapToGrid w:val="0"/>
          <w:color w:val="auto"/>
          <w:kern w:val="0"/>
          <w:highlight w:val="none"/>
        </w:rPr>
      </w:pPr>
      <w:r>
        <w:rPr>
          <w:rFonts w:hint="eastAsia"/>
          <w:snapToGrid w:val="0"/>
          <w:color w:val="auto"/>
          <w:kern w:val="0"/>
          <w:highlight w:val="none"/>
        </w:rPr>
        <w:t>在撤消授权的书面通知以前，本授权书一直有效。委托代理人在授权书有效期内签署的所有文件不因授权的撤消而失效。</w:t>
      </w:r>
    </w:p>
    <w:p w14:paraId="7F366C42">
      <w:pPr>
        <w:tabs>
          <w:tab w:val="left" w:pos="6300"/>
        </w:tabs>
        <w:snapToGrid w:val="0"/>
        <w:ind w:firstLine="420"/>
        <w:rPr>
          <w:snapToGrid w:val="0"/>
          <w:color w:val="auto"/>
          <w:kern w:val="0"/>
          <w:highlight w:val="non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7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3C2500D">
            <w:pPr>
              <w:pStyle w:val="110"/>
              <w:rPr>
                <w:color w:val="auto"/>
                <w:highlight w:val="none"/>
              </w:rPr>
            </w:pPr>
            <w:r>
              <w:rPr>
                <w:rFonts w:hint="eastAsia"/>
                <w:color w:val="auto"/>
                <w:highlight w:val="none"/>
              </w:rPr>
              <w:t>委托代理人</w:t>
            </w:r>
          </w:p>
        </w:tc>
        <w:tc>
          <w:tcPr>
            <w:tcW w:w="4261" w:type="dxa"/>
            <w:tcBorders>
              <w:top w:val="nil"/>
              <w:left w:val="nil"/>
              <w:bottom w:val="nil"/>
              <w:right w:val="nil"/>
            </w:tcBorders>
          </w:tcPr>
          <w:p w14:paraId="06F16FE6">
            <w:pPr>
              <w:pStyle w:val="110"/>
              <w:rPr>
                <w:color w:val="auto"/>
                <w:highlight w:val="none"/>
              </w:rPr>
            </w:pPr>
            <w:r>
              <w:rPr>
                <w:rFonts w:hint="eastAsia"/>
                <w:color w:val="auto"/>
                <w:highlight w:val="none"/>
              </w:rPr>
              <w:t>参选人法定代表人/分支机构负责人名称：</w:t>
            </w:r>
          </w:p>
        </w:tc>
      </w:tr>
      <w:tr w14:paraId="760A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8695589">
            <w:pPr>
              <w:pStyle w:val="110"/>
              <w:rPr>
                <w:color w:val="auto"/>
                <w:highlight w:val="none"/>
              </w:rPr>
            </w:pPr>
            <w:r>
              <w:rPr>
                <w:rFonts w:hint="eastAsia"/>
                <w:color w:val="auto"/>
                <w:highlight w:val="none"/>
              </w:rPr>
              <w:t>（签字或盖章）</w:t>
            </w:r>
          </w:p>
        </w:tc>
        <w:tc>
          <w:tcPr>
            <w:tcW w:w="4261" w:type="dxa"/>
            <w:tcBorders>
              <w:top w:val="nil"/>
              <w:left w:val="nil"/>
              <w:bottom w:val="nil"/>
              <w:right w:val="nil"/>
            </w:tcBorders>
          </w:tcPr>
          <w:p w14:paraId="08E54D8B">
            <w:pPr>
              <w:pStyle w:val="110"/>
              <w:rPr>
                <w:color w:val="auto"/>
                <w:highlight w:val="none"/>
              </w:rPr>
            </w:pPr>
            <w:r>
              <w:rPr>
                <w:rFonts w:hint="eastAsia"/>
                <w:color w:val="auto"/>
                <w:highlight w:val="none"/>
              </w:rPr>
              <w:t>（签字或盖章）</w:t>
            </w:r>
          </w:p>
        </w:tc>
      </w:tr>
    </w:tbl>
    <w:p w14:paraId="1EA7CF71">
      <w:pPr>
        <w:tabs>
          <w:tab w:val="left" w:pos="6300"/>
        </w:tabs>
        <w:snapToGrid w:val="0"/>
        <w:ind w:firstLine="420"/>
        <w:rPr>
          <w:snapToGrid w:val="0"/>
          <w:color w:val="auto"/>
          <w:kern w:val="0"/>
          <w:highlight w:val="none"/>
        </w:rPr>
      </w:pPr>
    </w:p>
    <w:p w14:paraId="4EEAA4E6">
      <w:pPr>
        <w:tabs>
          <w:tab w:val="left" w:pos="6300"/>
        </w:tabs>
        <w:snapToGrid w:val="0"/>
        <w:ind w:firstLine="420"/>
        <w:rPr>
          <w:snapToGrid w:val="0"/>
          <w:color w:val="auto"/>
          <w:kern w:val="0"/>
          <w:szCs w:val="28"/>
          <w:highlight w:val="none"/>
        </w:rPr>
      </w:pPr>
    </w:p>
    <w:p w14:paraId="3F044D07">
      <w:pPr>
        <w:tabs>
          <w:tab w:val="left" w:pos="6300"/>
        </w:tabs>
        <w:snapToGrid w:val="0"/>
        <w:ind w:firstLine="420"/>
        <w:rPr>
          <w:snapToGrid w:val="0"/>
          <w:color w:val="auto"/>
          <w:kern w:val="0"/>
          <w:highlight w:val="none"/>
        </w:rPr>
      </w:pPr>
    </w:p>
    <w:p w14:paraId="1E42799B">
      <w:pPr>
        <w:tabs>
          <w:tab w:val="left" w:pos="6300"/>
        </w:tabs>
        <w:snapToGrid w:val="0"/>
        <w:ind w:firstLine="420"/>
        <w:rPr>
          <w:snapToGrid w:val="0"/>
          <w:color w:val="auto"/>
          <w:kern w:val="0"/>
          <w:highlight w:val="none"/>
        </w:rPr>
      </w:pPr>
      <w:r>
        <w:rPr>
          <w:rFonts w:hint="eastAsia"/>
          <w:snapToGrid w:val="0"/>
          <w:color w:val="auto"/>
          <w:kern w:val="0"/>
          <w:highlight w:val="none"/>
        </w:rPr>
        <w:t>（附：委托代理人身份证正反面复印件）</w:t>
      </w:r>
    </w:p>
    <w:p w14:paraId="2FBB9D0C">
      <w:pPr>
        <w:tabs>
          <w:tab w:val="left" w:pos="6300"/>
        </w:tabs>
        <w:snapToGrid w:val="0"/>
        <w:ind w:firstLine="420"/>
        <w:rPr>
          <w:snapToGrid w:val="0"/>
          <w:color w:val="auto"/>
          <w:kern w:val="0"/>
          <w:highlight w:val="none"/>
        </w:rPr>
      </w:pPr>
    </w:p>
    <w:p w14:paraId="6F6E742D">
      <w:pPr>
        <w:tabs>
          <w:tab w:val="left" w:pos="6300"/>
        </w:tabs>
        <w:snapToGrid w:val="0"/>
        <w:ind w:firstLine="420"/>
        <w:rPr>
          <w:snapToGrid w:val="0"/>
          <w:color w:val="auto"/>
          <w:kern w:val="0"/>
          <w:highlight w:val="none"/>
        </w:rPr>
      </w:pPr>
    </w:p>
    <w:p w14:paraId="1DB9551E">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7A77AAB6">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年   月   日</w:t>
      </w:r>
    </w:p>
    <w:p w14:paraId="0053480D">
      <w:pPr>
        <w:tabs>
          <w:tab w:val="left" w:pos="6300"/>
        </w:tabs>
        <w:snapToGrid w:val="0"/>
        <w:ind w:firstLine="420"/>
        <w:rPr>
          <w:snapToGrid w:val="0"/>
          <w:color w:val="auto"/>
          <w:kern w:val="0"/>
          <w:highlight w:val="none"/>
        </w:rPr>
      </w:pPr>
    </w:p>
    <w:p w14:paraId="3367A1AD">
      <w:pPr>
        <w:tabs>
          <w:tab w:val="left" w:pos="6300"/>
        </w:tabs>
        <w:snapToGrid w:val="0"/>
        <w:ind w:firstLine="420"/>
        <w:rPr>
          <w:snapToGrid w:val="0"/>
          <w:color w:val="auto"/>
          <w:kern w:val="0"/>
          <w:highlight w:val="none"/>
        </w:rPr>
      </w:pPr>
      <w:r>
        <w:rPr>
          <w:rFonts w:hint="eastAsia"/>
          <w:snapToGrid w:val="0"/>
          <w:color w:val="auto"/>
          <w:kern w:val="0"/>
          <w:highlight w:val="none"/>
        </w:rPr>
        <w:t>注：若为法定代表人（分支机构负责人）办理并签署参选文件的，不提供此文件。</w:t>
      </w:r>
    </w:p>
    <w:p w14:paraId="688205E1">
      <w:pPr>
        <w:tabs>
          <w:tab w:val="left" w:pos="6300"/>
        </w:tabs>
        <w:snapToGrid w:val="0"/>
        <w:ind w:firstLine="420"/>
        <w:rPr>
          <w:snapToGrid w:val="0"/>
          <w:color w:val="auto"/>
          <w:kern w:val="0"/>
          <w:highlight w:val="none"/>
        </w:rPr>
      </w:pPr>
    </w:p>
    <w:p w14:paraId="20AE40ED">
      <w:pPr>
        <w:ind w:firstLine="420"/>
        <w:rPr>
          <w:color w:val="auto"/>
          <w:highlight w:val="none"/>
        </w:rPr>
      </w:pPr>
    </w:p>
    <w:p w14:paraId="599AF326">
      <w:pPr>
        <w:ind w:firstLine="420"/>
        <w:rPr>
          <w:color w:val="auto"/>
          <w:highlight w:val="none"/>
        </w:rPr>
        <w:sectPr>
          <w:pgSz w:w="11906" w:h="16838"/>
          <w:pgMar w:top="1440" w:right="1800" w:bottom="1440" w:left="1800" w:header="851" w:footer="992" w:gutter="0"/>
          <w:cols w:space="720" w:num="1"/>
          <w:docGrid w:type="lines" w:linePitch="312" w:charSpace="0"/>
        </w:sectPr>
      </w:pPr>
    </w:p>
    <w:p w14:paraId="392EED74">
      <w:pPr>
        <w:pStyle w:val="96"/>
        <w:rPr>
          <w:color w:val="auto"/>
          <w:highlight w:val="none"/>
        </w:rPr>
      </w:pPr>
      <w:r>
        <w:rPr>
          <w:rFonts w:hint="eastAsia"/>
          <w:color w:val="auto"/>
          <w:highlight w:val="none"/>
        </w:rPr>
        <w:t>（三）书面声明</w:t>
      </w:r>
    </w:p>
    <w:p w14:paraId="0BEF60FF">
      <w:pPr>
        <w:tabs>
          <w:tab w:val="left" w:pos="6300"/>
        </w:tabs>
        <w:snapToGrid w:val="0"/>
        <w:ind w:firstLine="420"/>
        <w:rPr>
          <w:color w:val="auto"/>
          <w:highlight w:val="none"/>
        </w:rPr>
      </w:pPr>
    </w:p>
    <w:p w14:paraId="1F740057">
      <w:pPr>
        <w:tabs>
          <w:tab w:val="left" w:pos="6300"/>
        </w:tabs>
        <w:snapToGrid w:val="0"/>
        <w:ind w:firstLine="420"/>
        <w:rPr>
          <w:color w:val="auto"/>
          <w:highlight w:val="none"/>
        </w:rPr>
      </w:pPr>
      <w:r>
        <w:rPr>
          <w:rFonts w:hint="eastAsia"/>
          <w:color w:val="auto"/>
          <w:szCs w:val="28"/>
          <w:highlight w:val="none"/>
        </w:rPr>
        <w:t>项目名称</w:t>
      </w:r>
      <w:r>
        <w:rPr>
          <w:rFonts w:hint="eastAsia"/>
          <w:color w:val="auto"/>
          <w:highlight w:val="none"/>
        </w:rPr>
        <w:t>：</w:t>
      </w:r>
      <w:r>
        <w:rPr>
          <w:rFonts w:hint="eastAsia"/>
          <w:snapToGrid w:val="0"/>
          <w:color w:val="auto"/>
          <w:kern w:val="0"/>
          <w:szCs w:val="24"/>
          <w:highlight w:val="none"/>
          <w:u w:val="single"/>
        </w:rPr>
        <w:t>__________________</w:t>
      </w:r>
    </w:p>
    <w:p w14:paraId="4C1171DA">
      <w:pPr>
        <w:tabs>
          <w:tab w:val="left" w:pos="6300"/>
        </w:tabs>
        <w:snapToGrid w:val="0"/>
        <w:ind w:firstLine="420"/>
        <w:rPr>
          <w:color w:val="auto"/>
          <w:highlight w:val="none"/>
        </w:rPr>
      </w:pPr>
    </w:p>
    <w:p w14:paraId="3AB032E6">
      <w:pPr>
        <w:tabs>
          <w:tab w:val="left" w:pos="6300"/>
        </w:tabs>
        <w:snapToGrid w:val="0"/>
        <w:ind w:firstLine="420"/>
        <w:rPr>
          <w:color w:val="auto"/>
          <w:highlight w:val="none"/>
        </w:rPr>
      </w:pPr>
      <w:r>
        <w:rPr>
          <w:rFonts w:hint="eastAsia"/>
          <w:color w:val="auto"/>
          <w:highlight w:val="none"/>
        </w:rPr>
        <w:t>致：</w:t>
      </w:r>
      <w:r>
        <w:rPr>
          <w:rFonts w:hint="eastAsia"/>
          <w:snapToGrid w:val="0"/>
          <w:color w:val="auto"/>
          <w:kern w:val="0"/>
          <w:highlight w:val="none"/>
          <w:u w:val="single"/>
        </w:rPr>
        <w:t>重庆三峡银行股份有限公司</w:t>
      </w:r>
      <w:r>
        <w:rPr>
          <w:rFonts w:hint="eastAsia"/>
          <w:color w:val="auto"/>
          <w:highlight w:val="none"/>
        </w:rPr>
        <w:t>：</w:t>
      </w:r>
    </w:p>
    <w:p w14:paraId="55624B47">
      <w:pPr>
        <w:tabs>
          <w:tab w:val="left" w:pos="6300"/>
        </w:tabs>
        <w:snapToGrid w:val="0"/>
        <w:ind w:firstLine="420"/>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人名称）郑重声明，我公司具有良好的商业信誉和健全的财务会计制度，</w:t>
      </w:r>
      <w:r>
        <w:rPr>
          <w:rFonts w:cs="Times New Roman"/>
          <w:color w:val="auto"/>
          <w:highlight w:val="none"/>
        </w:rPr>
        <w:t>近3年财务状况稳定</w:t>
      </w:r>
      <w:r>
        <w:rPr>
          <w:rFonts w:hint="eastAsia" w:cs="Times New Roman"/>
          <w:color w:val="auto"/>
          <w:highlight w:val="none"/>
        </w:rPr>
        <w:t>，</w:t>
      </w:r>
      <w:r>
        <w:rPr>
          <w:rFonts w:hint="eastAsia"/>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color w:val="auto"/>
          <w:kern w:val="0"/>
          <w:szCs w:val="24"/>
          <w:highlight w:val="none"/>
        </w:rPr>
        <w:t>参选</w:t>
      </w:r>
      <w:r>
        <w:rPr>
          <w:rFonts w:hint="eastAsia"/>
          <w:color w:val="auto"/>
          <w:highlight w:val="none"/>
        </w:rPr>
        <w:t>人资格条件；</w:t>
      </w:r>
      <w:r>
        <w:rPr>
          <w:rFonts w:hint="eastAsia" w:cs="Cambria"/>
          <w:color w:val="auto"/>
          <w:szCs w:val="24"/>
          <w:highlight w:val="none"/>
        </w:rPr>
        <w:t>我公司本次如若中选，中选后不会对项目进行转包</w:t>
      </w:r>
      <w:r>
        <w:rPr>
          <w:rFonts w:hint="eastAsia"/>
          <w:color w:val="auto"/>
          <w:highlight w:val="none"/>
        </w:rPr>
        <w:t>。我方对以上声明负全部法律责任。</w:t>
      </w:r>
    </w:p>
    <w:p w14:paraId="64C129E7">
      <w:pPr>
        <w:tabs>
          <w:tab w:val="left" w:pos="6300"/>
        </w:tabs>
        <w:snapToGrid w:val="0"/>
        <w:ind w:firstLine="420"/>
        <w:rPr>
          <w:color w:val="auto"/>
          <w:highlight w:val="none"/>
        </w:rPr>
      </w:pPr>
      <w:r>
        <w:rPr>
          <w:rFonts w:hint="eastAsia"/>
          <w:color w:val="auto"/>
          <w:highlight w:val="none"/>
        </w:rPr>
        <w:t>特此声明。</w:t>
      </w:r>
    </w:p>
    <w:p w14:paraId="3622D9AB">
      <w:pPr>
        <w:tabs>
          <w:tab w:val="left" w:pos="6300"/>
        </w:tabs>
        <w:snapToGrid w:val="0"/>
        <w:ind w:firstLine="420"/>
        <w:rPr>
          <w:color w:val="auto"/>
          <w:highlight w:val="none"/>
        </w:rPr>
      </w:pPr>
    </w:p>
    <w:p w14:paraId="0FEC5903">
      <w:pPr>
        <w:tabs>
          <w:tab w:val="left" w:pos="6300"/>
        </w:tabs>
        <w:snapToGrid w:val="0"/>
        <w:ind w:firstLine="420"/>
        <w:rPr>
          <w:color w:val="auto"/>
          <w:highlight w:val="none"/>
        </w:rPr>
      </w:pPr>
    </w:p>
    <w:p w14:paraId="04C72DB7">
      <w:pPr>
        <w:tabs>
          <w:tab w:val="left" w:pos="6300"/>
        </w:tabs>
        <w:snapToGrid w:val="0"/>
        <w:ind w:firstLine="420"/>
        <w:rPr>
          <w:color w:val="auto"/>
          <w:highlight w:val="none"/>
        </w:rPr>
      </w:pPr>
    </w:p>
    <w:p w14:paraId="52DC7C1B">
      <w:pPr>
        <w:tabs>
          <w:tab w:val="left" w:pos="6300"/>
        </w:tabs>
        <w:snapToGrid w:val="0"/>
        <w:ind w:right="424" w:firstLine="420"/>
        <w:jc w:val="right"/>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人公章）</w:t>
      </w:r>
    </w:p>
    <w:p w14:paraId="3D68B5C6">
      <w:pPr>
        <w:tabs>
          <w:tab w:val="left" w:pos="6300"/>
        </w:tabs>
        <w:snapToGrid w:val="0"/>
        <w:ind w:right="480" w:firstLine="420"/>
        <w:jc w:val="right"/>
        <w:rPr>
          <w:color w:val="auto"/>
          <w:highlight w:val="none"/>
        </w:rPr>
      </w:pPr>
      <w:r>
        <w:rPr>
          <w:rFonts w:hint="eastAsia"/>
          <w:color w:val="auto"/>
          <w:highlight w:val="none"/>
        </w:rPr>
        <w:t>年   月   日</w:t>
      </w:r>
    </w:p>
    <w:p w14:paraId="79252AD9">
      <w:pPr>
        <w:ind w:firstLine="420"/>
        <w:jc w:val="left"/>
        <w:rPr>
          <w:rFonts w:cs="等线 Light"/>
          <w:snapToGrid w:val="0"/>
          <w:color w:val="auto"/>
          <w:kern w:val="0"/>
          <w:szCs w:val="24"/>
          <w:highlight w:val="none"/>
        </w:rPr>
      </w:pPr>
    </w:p>
    <w:p w14:paraId="4220B468">
      <w:pPr>
        <w:ind w:firstLine="420"/>
        <w:jc w:val="left"/>
        <w:rPr>
          <w:rFonts w:cs="等线 Light"/>
          <w:snapToGrid w:val="0"/>
          <w:color w:val="auto"/>
          <w:kern w:val="0"/>
          <w:szCs w:val="24"/>
          <w:highlight w:val="none"/>
        </w:rPr>
      </w:pPr>
    </w:p>
    <w:p w14:paraId="3F952767">
      <w:pPr>
        <w:ind w:firstLine="420"/>
        <w:jc w:val="left"/>
        <w:rPr>
          <w:rFonts w:cs="等线 Light"/>
          <w:snapToGrid w:val="0"/>
          <w:color w:val="auto"/>
          <w:kern w:val="0"/>
          <w:szCs w:val="24"/>
          <w:highlight w:val="none"/>
        </w:rPr>
      </w:pPr>
    </w:p>
    <w:p w14:paraId="2A69F34A">
      <w:pPr>
        <w:ind w:firstLine="420"/>
        <w:jc w:val="left"/>
        <w:rPr>
          <w:rFonts w:cs="等线 Light"/>
          <w:snapToGrid w:val="0"/>
          <w:color w:val="auto"/>
          <w:kern w:val="0"/>
          <w:szCs w:val="24"/>
          <w:highlight w:val="none"/>
        </w:rPr>
      </w:pPr>
    </w:p>
    <w:p w14:paraId="60DE9F46">
      <w:pPr>
        <w:ind w:firstLine="420"/>
        <w:jc w:val="left"/>
        <w:rPr>
          <w:rFonts w:cs="等线 Light"/>
          <w:snapToGrid w:val="0"/>
          <w:color w:val="auto"/>
          <w:kern w:val="0"/>
          <w:szCs w:val="24"/>
          <w:highlight w:val="none"/>
        </w:rPr>
      </w:pPr>
    </w:p>
    <w:p w14:paraId="67982145">
      <w:pPr>
        <w:ind w:firstLine="420"/>
        <w:jc w:val="left"/>
        <w:rPr>
          <w:rFonts w:cs="等线 Light"/>
          <w:snapToGrid w:val="0"/>
          <w:color w:val="auto"/>
          <w:kern w:val="0"/>
          <w:szCs w:val="24"/>
          <w:highlight w:val="none"/>
        </w:rPr>
      </w:pPr>
    </w:p>
    <w:p w14:paraId="7C3F88AA">
      <w:pPr>
        <w:ind w:firstLine="420"/>
        <w:jc w:val="left"/>
        <w:rPr>
          <w:rFonts w:cs="等线 Light"/>
          <w:snapToGrid w:val="0"/>
          <w:color w:val="auto"/>
          <w:kern w:val="0"/>
          <w:szCs w:val="24"/>
          <w:highlight w:val="none"/>
        </w:rPr>
      </w:pPr>
    </w:p>
    <w:p w14:paraId="0A495CBE">
      <w:pPr>
        <w:ind w:firstLine="420"/>
        <w:rPr>
          <w:b/>
          <w:bCs/>
          <w:color w:val="auto"/>
          <w:highlight w:val="none"/>
        </w:rPr>
      </w:pPr>
      <w:r>
        <w:rPr>
          <w:rFonts w:hint="eastAsia"/>
          <w:color w:val="auto"/>
          <w:kern w:val="0"/>
          <w:highlight w:val="none"/>
        </w:rPr>
        <w:br w:type="page"/>
      </w:r>
    </w:p>
    <w:p w14:paraId="53E43403">
      <w:pPr>
        <w:pStyle w:val="9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18231BD1">
      <w:pPr>
        <w:ind w:firstLine="420"/>
        <w:jc w:val="center"/>
        <w:rPr>
          <w:color w:val="auto"/>
          <w:highlight w:val="none"/>
        </w:rPr>
      </w:pPr>
      <w:r>
        <w:rPr>
          <w:color w:val="auto"/>
          <w:highlight w:val="none"/>
        </w:rPr>
        <w:t>（法人及法定代表人中国执行信息公开网截图）</w:t>
      </w:r>
    </w:p>
    <w:p w14:paraId="268486C1">
      <w:pPr>
        <w:ind w:firstLine="420"/>
        <w:rPr>
          <w:color w:val="auto"/>
          <w:highlight w:val="none"/>
        </w:rPr>
      </w:pPr>
      <w:r>
        <w:rPr>
          <w:rFonts w:hint="eastAsia"/>
          <w:color w:val="auto"/>
          <w:highlight w:val="none"/>
        </w:rPr>
        <w:t>1.法人</w:t>
      </w:r>
      <w:r>
        <w:rPr>
          <w:color w:val="auto"/>
          <w:highlight w:val="none"/>
        </w:rPr>
        <w:t>中国执行信息公开网截图</w:t>
      </w:r>
    </w:p>
    <w:p w14:paraId="332425F9">
      <w:pPr>
        <w:ind w:firstLine="420"/>
        <w:rPr>
          <w:color w:val="auto"/>
          <w:highlight w:val="none"/>
        </w:rPr>
      </w:pPr>
      <w:r>
        <w:rPr>
          <w:rFonts w:hint="eastAsia"/>
          <w:color w:val="auto"/>
          <w:highlight w:val="none"/>
        </w:rPr>
        <w:t>2.法定代表人</w:t>
      </w:r>
      <w:r>
        <w:rPr>
          <w:color w:val="auto"/>
          <w:highlight w:val="none"/>
        </w:rPr>
        <w:t>中国执行信息公开网截图</w:t>
      </w:r>
    </w:p>
    <w:p w14:paraId="78B10745">
      <w:pPr>
        <w:ind w:firstLine="420"/>
        <w:rPr>
          <w:color w:val="auto"/>
          <w:highlight w:val="none"/>
        </w:rPr>
      </w:pPr>
    </w:p>
    <w:p w14:paraId="7A659073">
      <w:pPr>
        <w:ind w:firstLine="420"/>
        <w:rPr>
          <w:color w:val="auto"/>
          <w:highlight w:val="none"/>
        </w:rPr>
      </w:pPr>
    </w:p>
    <w:p w14:paraId="2C9CCCE2">
      <w:pPr>
        <w:ind w:firstLine="420"/>
        <w:rPr>
          <w:color w:val="auto"/>
          <w:highlight w:val="none"/>
        </w:rPr>
      </w:pPr>
    </w:p>
    <w:p w14:paraId="14ECE1BC">
      <w:pPr>
        <w:ind w:firstLine="420"/>
        <w:rPr>
          <w:color w:val="auto"/>
          <w:highlight w:val="none"/>
        </w:rPr>
      </w:pPr>
    </w:p>
    <w:p w14:paraId="431BDB65">
      <w:pPr>
        <w:ind w:firstLine="420"/>
        <w:rPr>
          <w:color w:val="auto"/>
          <w:highlight w:val="none"/>
        </w:rPr>
      </w:pPr>
      <w:r>
        <w:rPr>
          <w:rFonts w:hint="eastAsia"/>
          <w:color w:val="auto"/>
          <w:highlight w:val="none"/>
        </w:rPr>
        <w:br w:type="page"/>
      </w:r>
    </w:p>
    <w:p w14:paraId="7C4BA7EB">
      <w:pPr>
        <w:pStyle w:val="96"/>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rFonts w:hint="eastAsia" w:cs="Times New Roman"/>
          <w:color w:val="auto"/>
          <w:highlight w:val="none"/>
        </w:rPr>
        <w:t>FIDO认证材料</w:t>
      </w:r>
    </w:p>
    <w:p w14:paraId="5963184B">
      <w:pPr>
        <w:ind w:firstLine="420"/>
        <w:jc w:val="center"/>
        <w:rPr>
          <w:color w:val="auto"/>
          <w:highlight w:val="none"/>
          <w:lang w:val="zh-CN"/>
        </w:rPr>
      </w:pPr>
    </w:p>
    <w:p w14:paraId="33F48174">
      <w:pPr>
        <w:ind w:firstLine="420"/>
        <w:jc w:val="center"/>
        <w:rPr>
          <w:color w:val="auto"/>
          <w:highlight w:val="none"/>
          <w:lang w:val="zh-CN"/>
        </w:rPr>
      </w:pPr>
    </w:p>
    <w:p w14:paraId="5CB143A6">
      <w:pPr>
        <w:ind w:firstLine="420"/>
        <w:rPr>
          <w:color w:val="auto"/>
          <w:highlight w:val="none"/>
          <w:lang w:val="zh-CN"/>
        </w:rPr>
      </w:pPr>
    </w:p>
    <w:p w14:paraId="0E4E8D77">
      <w:pPr>
        <w:ind w:firstLine="420"/>
        <w:rPr>
          <w:color w:val="auto"/>
          <w:highlight w:val="none"/>
          <w:lang w:val="zh-CN"/>
        </w:rPr>
        <w:sectPr>
          <w:footerReference r:id="rId8" w:type="default"/>
          <w:pgSz w:w="11906" w:h="16838"/>
          <w:pgMar w:top="1440" w:right="1800" w:bottom="1440" w:left="1800" w:header="851" w:footer="992" w:gutter="0"/>
          <w:cols w:space="720" w:num="1"/>
          <w:docGrid w:type="lines" w:linePitch="312" w:charSpace="0"/>
        </w:sectPr>
      </w:pPr>
    </w:p>
    <w:p w14:paraId="751EBCCB">
      <w:pPr>
        <w:pStyle w:val="96"/>
        <w:rPr>
          <w:color w:val="auto"/>
          <w:highlight w:val="none"/>
        </w:rPr>
      </w:pPr>
      <w:r>
        <w:rPr>
          <w:rFonts w:hint="eastAsia"/>
          <w:color w:val="auto"/>
          <w:highlight w:val="none"/>
          <w:lang w:val="zh-CN"/>
        </w:rPr>
        <w:t>（</w:t>
      </w:r>
      <w:r>
        <w:rPr>
          <w:rFonts w:hint="eastAsia"/>
          <w:color w:val="auto"/>
          <w:highlight w:val="none"/>
        </w:rPr>
        <w:t>六</w:t>
      </w:r>
      <w:r>
        <w:rPr>
          <w:rFonts w:hint="eastAsia"/>
          <w:color w:val="auto"/>
          <w:highlight w:val="none"/>
          <w:lang w:val="zh-CN"/>
        </w:rPr>
        <w:t>）项目案例</w:t>
      </w:r>
      <w:r>
        <w:rPr>
          <w:rFonts w:hint="eastAsia"/>
          <w:color w:val="auto"/>
          <w:highlight w:val="none"/>
        </w:rPr>
        <w:t>和业绩证明文件复印件</w:t>
      </w:r>
    </w:p>
    <w:p w14:paraId="58FFC968">
      <w:pPr>
        <w:ind w:firstLine="420"/>
        <w:rPr>
          <w:rFonts w:cs="Times New Roman"/>
          <w:color w:val="auto"/>
          <w:highlight w:val="none"/>
        </w:rPr>
      </w:pPr>
      <w:r>
        <w:rPr>
          <w:rFonts w:hint="eastAsia" w:cs="Times New Roman"/>
          <w:color w:val="auto"/>
          <w:highlight w:val="none"/>
        </w:rPr>
        <w:t>（</w:t>
      </w:r>
      <w:r>
        <w:rPr>
          <w:rFonts w:hint="eastAsia"/>
          <w:color w:val="auto"/>
          <w:highlight w:val="none"/>
        </w:rPr>
        <w:t>提供资格业绩。</w:t>
      </w:r>
      <w:r>
        <w:rPr>
          <w:rFonts w:cs="Times New Roman"/>
          <w:color w:val="auto"/>
          <w:highlight w:val="none"/>
        </w:rPr>
        <w:t>此处为第一章第2条参选人资格条件所用案例及资质文件</w:t>
      </w:r>
      <w:r>
        <w:rPr>
          <w:rFonts w:hint="eastAsia" w:cs="Times New Roman"/>
          <w:color w:val="auto"/>
          <w:highlight w:val="none"/>
        </w:rPr>
        <w:t>）</w:t>
      </w:r>
    </w:p>
    <w:p w14:paraId="607DCA69">
      <w:pPr>
        <w:ind w:firstLine="420"/>
        <w:jc w:val="center"/>
        <w:rPr>
          <w:color w:val="auto"/>
          <w:highlight w:val="none"/>
          <w:lang w:val="zh-CN"/>
        </w:rPr>
      </w:pPr>
    </w:p>
    <w:p w14:paraId="2BEA667C">
      <w:pPr>
        <w:ind w:firstLine="420"/>
        <w:rPr>
          <w:color w:val="auto"/>
          <w:highlight w:val="none"/>
          <w:lang w:val="zh-CN"/>
        </w:rPr>
      </w:pPr>
    </w:p>
    <w:p w14:paraId="2A1F8207">
      <w:pPr>
        <w:ind w:firstLine="420"/>
        <w:rPr>
          <w:color w:val="auto"/>
          <w:highlight w:val="none"/>
          <w:lang w:val="zh-CN"/>
        </w:rPr>
        <w:sectPr>
          <w:footerReference r:id="rId9" w:type="default"/>
          <w:pgSz w:w="11906" w:h="16838"/>
          <w:pgMar w:top="1440" w:right="1800" w:bottom="1440" w:left="1800" w:header="851" w:footer="992" w:gutter="0"/>
          <w:cols w:space="720" w:num="1"/>
          <w:docGrid w:type="lines" w:linePitch="312" w:charSpace="0"/>
        </w:sectPr>
      </w:pPr>
    </w:p>
    <w:p w14:paraId="374CD255">
      <w:pPr>
        <w:pStyle w:val="96"/>
        <w:rPr>
          <w:color w:val="auto"/>
          <w:highlight w:val="none"/>
          <w:lang w:val="zh-CN"/>
        </w:rPr>
      </w:pPr>
      <w:r>
        <w:rPr>
          <w:rFonts w:hint="eastAsia"/>
          <w:color w:val="auto"/>
          <w:highlight w:val="none"/>
        </w:rPr>
        <w:t>（七）售后服务质保承诺函</w:t>
      </w:r>
    </w:p>
    <w:p w14:paraId="79DB7CF9">
      <w:pPr>
        <w:ind w:firstLine="420"/>
        <w:rPr>
          <w:color w:val="auto"/>
          <w:highlight w:val="none"/>
          <w:lang w:val="zh-CN"/>
        </w:rPr>
      </w:pPr>
    </w:p>
    <w:p w14:paraId="7E6FBBB4">
      <w:pPr>
        <w:ind w:firstLine="420"/>
        <w:rPr>
          <w:color w:val="auto"/>
          <w:highlight w:val="none"/>
          <w:lang w:val="zh-CN"/>
        </w:rPr>
      </w:pPr>
    </w:p>
    <w:p w14:paraId="17CA7E91">
      <w:pPr>
        <w:ind w:firstLine="420"/>
        <w:rPr>
          <w:color w:val="auto"/>
          <w:highlight w:val="none"/>
          <w:lang w:val="zh-CN"/>
        </w:rPr>
      </w:pPr>
    </w:p>
    <w:p w14:paraId="564194D3">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60B4A674">
      <w:pPr>
        <w:pStyle w:val="96"/>
        <w:rPr>
          <w:color w:val="auto"/>
          <w:highlight w:val="none"/>
        </w:rPr>
      </w:pPr>
      <w:r>
        <w:rPr>
          <w:rFonts w:hint="eastAsia"/>
          <w:color w:val="auto"/>
          <w:highlight w:val="none"/>
        </w:rPr>
        <w:t>（八）原厂授权证明文件（如有）</w:t>
      </w:r>
    </w:p>
    <w:p w14:paraId="73169684">
      <w:pPr>
        <w:ind w:firstLine="420"/>
        <w:rPr>
          <w:color w:val="auto"/>
          <w:highlight w:val="none"/>
        </w:rPr>
      </w:pPr>
    </w:p>
    <w:p w14:paraId="599F3602">
      <w:pPr>
        <w:ind w:firstLine="420"/>
        <w:rPr>
          <w:color w:val="auto"/>
          <w:highlight w:val="none"/>
        </w:rPr>
        <w:sectPr>
          <w:pgSz w:w="11906" w:h="16838"/>
          <w:pgMar w:top="1440" w:right="1800" w:bottom="1440" w:left="1800" w:header="851" w:footer="992" w:gutter="0"/>
          <w:cols w:space="720" w:num="1"/>
          <w:docGrid w:type="lines" w:linePitch="312" w:charSpace="0"/>
        </w:sectPr>
      </w:pPr>
    </w:p>
    <w:p w14:paraId="6209632A">
      <w:pPr>
        <w:pStyle w:val="96"/>
        <w:rPr>
          <w:color w:val="auto"/>
          <w:highlight w:val="none"/>
        </w:rPr>
      </w:pPr>
      <w:r>
        <w:rPr>
          <w:rFonts w:hint="eastAsia"/>
          <w:color w:val="auto"/>
          <w:highlight w:val="none"/>
        </w:rPr>
        <w:t>（九）</w:t>
      </w:r>
      <w:r>
        <w:rPr>
          <w:color w:val="auto"/>
          <w:highlight w:val="none"/>
        </w:rPr>
        <w:t>第三方软件产品的原厂商授权书或确认函</w:t>
      </w:r>
    </w:p>
    <w:p w14:paraId="4E174B21">
      <w:pPr>
        <w:ind w:firstLine="0" w:firstLineChars="0"/>
        <w:jc w:val="center"/>
        <w:rPr>
          <w:color w:val="auto"/>
          <w:highlight w:val="none"/>
        </w:rPr>
      </w:pPr>
      <w:r>
        <w:rPr>
          <w:rFonts w:hint="eastAsia"/>
          <w:color w:val="auto"/>
          <w:highlight w:val="none"/>
        </w:rPr>
        <w:t>（如果未使用第三方软件产品，需提供未使用确认函并加盖</w:t>
      </w:r>
      <w:r>
        <w:rPr>
          <w:color w:val="auto"/>
          <w:highlight w:val="none"/>
        </w:rPr>
        <w:t>公章</w:t>
      </w:r>
      <w:r>
        <w:rPr>
          <w:rFonts w:hint="eastAsia"/>
          <w:color w:val="auto"/>
          <w:highlight w:val="none"/>
        </w:rPr>
        <w:t>）</w:t>
      </w:r>
    </w:p>
    <w:p w14:paraId="5D8E4119">
      <w:pPr>
        <w:ind w:firstLine="420"/>
        <w:rPr>
          <w:color w:val="auto"/>
          <w:highlight w:val="none"/>
        </w:rPr>
      </w:pPr>
    </w:p>
    <w:p w14:paraId="11571EEE">
      <w:pPr>
        <w:ind w:firstLine="420"/>
        <w:rPr>
          <w:color w:val="auto"/>
          <w:highlight w:val="none"/>
        </w:rPr>
        <w:sectPr>
          <w:pgSz w:w="11906" w:h="16838"/>
          <w:pgMar w:top="1440" w:right="1800" w:bottom="1440" w:left="1800" w:header="851" w:footer="992" w:gutter="0"/>
          <w:cols w:space="720" w:num="1"/>
          <w:docGrid w:type="lines" w:linePitch="312" w:charSpace="0"/>
        </w:sectPr>
      </w:pPr>
    </w:p>
    <w:p w14:paraId="4583BF86">
      <w:pPr>
        <w:pStyle w:val="96"/>
        <w:rPr>
          <w:color w:val="auto"/>
          <w:highlight w:val="none"/>
        </w:rPr>
        <w:sectPr>
          <w:pgSz w:w="11906" w:h="16838"/>
          <w:pgMar w:top="1440" w:right="1800" w:bottom="1440" w:left="1800" w:header="851" w:footer="992" w:gutter="0"/>
          <w:cols w:space="720" w:num="1"/>
          <w:docGrid w:type="lines" w:linePitch="312" w:charSpace="0"/>
        </w:sectPr>
      </w:pPr>
      <w:r>
        <w:rPr>
          <w:rFonts w:hint="eastAsia"/>
          <w:color w:val="auto"/>
          <w:highlight w:val="none"/>
        </w:rPr>
        <w:t>（十）</w:t>
      </w:r>
      <w:r>
        <w:rPr>
          <w:color w:val="auto"/>
          <w:highlight w:val="none"/>
        </w:rPr>
        <w:t>其他</w:t>
      </w:r>
      <w:r>
        <w:rPr>
          <w:rFonts w:hint="eastAsia"/>
          <w:color w:val="auto"/>
          <w:highlight w:val="none"/>
        </w:rPr>
        <w:t>（如有</w:t>
      </w:r>
      <w:r>
        <w:rPr>
          <w:color w:val="auto"/>
          <w:highlight w:val="none"/>
        </w:rPr>
        <w:t>）</w:t>
      </w:r>
    </w:p>
    <w:p w14:paraId="76A9193A">
      <w:pPr>
        <w:ind w:firstLine="0" w:firstLineChars="0"/>
        <w:rPr>
          <w:color w:val="auto"/>
          <w:highlight w:val="none"/>
          <w:lang w:val="zh-CN"/>
        </w:rPr>
      </w:pPr>
    </w:p>
    <w:p w14:paraId="6C96755F">
      <w:pPr>
        <w:pStyle w:val="92"/>
        <w:rPr>
          <w:rFonts w:hint="default"/>
          <w:color w:val="auto"/>
          <w:highlight w:val="none"/>
        </w:rPr>
      </w:pPr>
      <w:r>
        <w:rPr>
          <w:color w:val="auto"/>
          <w:highlight w:val="none"/>
        </w:rPr>
        <w:t>四、响应性文件</w:t>
      </w:r>
    </w:p>
    <w:p w14:paraId="69C39A4E">
      <w:pPr>
        <w:pStyle w:val="96"/>
        <w:rPr>
          <w:rFonts w:cs="Times New Roman"/>
          <w:color w:val="auto"/>
          <w:highlight w:val="none"/>
        </w:rPr>
      </w:pPr>
      <w:r>
        <w:rPr>
          <w:rFonts w:cs="Times New Roman"/>
          <w:color w:val="auto"/>
          <w:highlight w:val="none"/>
        </w:rPr>
        <w:t>（一）响应承诺函</w:t>
      </w:r>
    </w:p>
    <w:p w14:paraId="38593BFA">
      <w:pPr>
        <w:ind w:firstLine="420"/>
        <w:rPr>
          <w:color w:val="auto"/>
          <w:highlight w:val="none"/>
        </w:rPr>
      </w:pPr>
      <w:r>
        <w:rPr>
          <w:rFonts w:hint="eastAsia" w:ascii="宋体"/>
          <w:color w:val="auto"/>
          <w:szCs w:val="28"/>
          <w:highlight w:val="none"/>
        </w:rPr>
        <w:t>项目名称</w:t>
      </w:r>
      <w:r>
        <w:rPr>
          <w:rFonts w:hint="eastAsia" w:ascii="宋体"/>
          <w:color w:val="auto"/>
          <w:highlight w:val="none"/>
        </w:rPr>
        <w:t>：</w:t>
      </w:r>
    </w:p>
    <w:p w14:paraId="467CC580">
      <w:pPr>
        <w:ind w:firstLine="420"/>
        <w:rPr>
          <w:color w:val="auto"/>
          <w:highlight w:val="none"/>
        </w:rPr>
      </w:pPr>
    </w:p>
    <w:p w14:paraId="2A9DA9C0">
      <w:pPr>
        <w:spacing w:line="480" w:lineRule="exact"/>
        <w:ind w:firstLine="0" w:firstLineChars="0"/>
        <w:rPr>
          <w:color w:val="auto"/>
          <w:highlight w:val="none"/>
        </w:rPr>
      </w:pPr>
      <w:r>
        <w:rPr>
          <w:rFonts w:hint="eastAsia"/>
          <w:color w:val="auto"/>
          <w:highlight w:val="none"/>
        </w:rPr>
        <w:t>致：重庆三峡银行股份有限公司：</w:t>
      </w:r>
    </w:p>
    <w:p w14:paraId="1CDEDFD3">
      <w:pPr>
        <w:ind w:firstLine="420"/>
        <w:rPr>
          <w:color w:val="auto"/>
          <w:highlight w:val="none"/>
        </w:rPr>
      </w:pPr>
    </w:p>
    <w:p w14:paraId="7F805147">
      <w:pPr>
        <w:ind w:firstLine="420"/>
        <w:rPr>
          <w:color w:val="auto"/>
          <w:highlight w:val="none"/>
        </w:rPr>
      </w:pPr>
      <w:r>
        <w:rPr>
          <w:rFonts w:hint="eastAsia"/>
          <w:color w:val="auto"/>
          <w:highlight w:val="none"/>
        </w:rPr>
        <w:t>我公司郑重承诺，完全满足第三章“项目要求”所有内容。</w:t>
      </w:r>
    </w:p>
    <w:p w14:paraId="5ADD7790">
      <w:pPr>
        <w:ind w:firstLine="420"/>
        <w:rPr>
          <w:rFonts w:cs="Times New Roman"/>
          <w:color w:val="auto"/>
          <w:highlight w:val="none"/>
        </w:rPr>
      </w:pPr>
      <w:r>
        <w:rPr>
          <w:rFonts w:hint="eastAsia"/>
          <w:color w:val="auto"/>
          <w:highlight w:val="none"/>
        </w:rPr>
        <w:t>我公司中选后，</w:t>
      </w:r>
      <w:r>
        <w:rPr>
          <w:rFonts w:cs="Times New Roman"/>
          <w:color w:val="auto"/>
          <w:highlight w:val="none"/>
        </w:rPr>
        <w:t>未征得比选人书面同意的情况下不得更换项目成员</w:t>
      </w:r>
      <w:r>
        <w:rPr>
          <w:rFonts w:hint="eastAsia" w:cs="Times New Roman"/>
          <w:color w:val="auto"/>
          <w:highlight w:val="none"/>
        </w:rPr>
        <w:t>。</w:t>
      </w:r>
    </w:p>
    <w:p w14:paraId="7056DB32">
      <w:pPr>
        <w:ind w:firstLine="420"/>
        <w:rPr>
          <w:color w:val="auto"/>
          <w:highlight w:val="none"/>
        </w:rPr>
      </w:pPr>
      <w:r>
        <w:rPr>
          <w:rFonts w:hint="eastAsia"/>
          <w:color w:val="auto"/>
          <w:highlight w:val="none"/>
        </w:rPr>
        <w:t>我公司中选后，将根据</w:t>
      </w:r>
      <w:r>
        <w:rPr>
          <w:rFonts w:hint="eastAsia" w:cs="Times New Roman"/>
          <w:color w:val="auto"/>
          <w:highlight w:val="none"/>
        </w:rPr>
        <w:t>提我公司提供的</w:t>
      </w:r>
      <w:r>
        <w:rPr>
          <w:rFonts w:cs="Times New Roman"/>
          <w:color w:val="auto"/>
          <w:highlight w:val="none"/>
        </w:rPr>
        <w:t>售后服务和培训方案</w:t>
      </w:r>
      <w:r>
        <w:rPr>
          <w:rFonts w:hint="eastAsia" w:cs="Times New Roman"/>
          <w:color w:val="auto"/>
          <w:highlight w:val="none"/>
        </w:rPr>
        <w:t>进行售后服务和培训。</w:t>
      </w:r>
    </w:p>
    <w:p w14:paraId="7A0E6FF5">
      <w:pPr>
        <w:ind w:firstLine="420"/>
        <w:rPr>
          <w:color w:val="auto"/>
          <w:highlight w:val="none"/>
        </w:rPr>
      </w:pPr>
    </w:p>
    <w:p w14:paraId="3967EBF8">
      <w:pPr>
        <w:spacing w:line="480" w:lineRule="exact"/>
        <w:ind w:firstLine="0" w:firstLineChars="0"/>
        <w:rPr>
          <w:color w:val="auto"/>
          <w:highlight w:val="none"/>
        </w:rPr>
      </w:pPr>
      <w:r>
        <w:rPr>
          <w:rFonts w:hint="eastAsia"/>
          <w:color w:val="auto"/>
          <w:highlight w:val="none"/>
        </w:rPr>
        <w:t>特此承诺。</w:t>
      </w:r>
    </w:p>
    <w:p w14:paraId="6BD664CB">
      <w:pPr>
        <w:tabs>
          <w:tab w:val="left" w:pos="6300"/>
        </w:tabs>
        <w:snapToGrid w:val="0"/>
        <w:spacing w:line="480" w:lineRule="exact"/>
        <w:ind w:firstLine="420"/>
        <w:rPr>
          <w:rFonts w:ascii="宋体"/>
          <w:color w:val="auto"/>
          <w:highlight w:val="none"/>
        </w:rPr>
      </w:pPr>
    </w:p>
    <w:p w14:paraId="63A30594">
      <w:pPr>
        <w:tabs>
          <w:tab w:val="left" w:pos="6300"/>
        </w:tabs>
        <w:snapToGrid w:val="0"/>
        <w:spacing w:line="480" w:lineRule="exact"/>
        <w:ind w:firstLine="420"/>
        <w:rPr>
          <w:rFonts w:ascii="宋体"/>
          <w:color w:val="auto"/>
          <w:highlight w:val="none"/>
        </w:rPr>
      </w:pPr>
    </w:p>
    <w:p w14:paraId="39DC55B6">
      <w:pPr>
        <w:tabs>
          <w:tab w:val="left" w:pos="6300"/>
        </w:tabs>
        <w:snapToGrid w:val="0"/>
        <w:spacing w:line="480" w:lineRule="exact"/>
        <w:ind w:right="424" w:firstLine="420"/>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14B071AB">
      <w:pPr>
        <w:tabs>
          <w:tab w:val="left" w:pos="6300"/>
        </w:tabs>
        <w:snapToGrid w:val="0"/>
        <w:spacing w:line="480" w:lineRule="exact"/>
        <w:ind w:right="480" w:firstLine="420"/>
        <w:jc w:val="right"/>
        <w:rPr>
          <w:rFonts w:ascii="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color w:val="auto"/>
          <w:highlight w:val="none"/>
        </w:rPr>
        <w:t>年   月   日</w:t>
      </w:r>
    </w:p>
    <w:p w14:paraId="1B435D0D">
      <w:pPr>
        <w:autoSpaceDE/>
        <w:autoSpaceDN/>
        <w:ind w:firstLine="0" w:firstLineChars="0"/>
        <w:jc w:val="center"/>
        <w:outlineLvl w:val="2"/>
        <w:rPr>
          <w:rFonts w:cs="Times New Roman"/>
          <w:color w:val="auto"/>
          <w:highlight w:val="none"/>
        </w:rPr>
      </w:pPr>
      <w:r>
        <w:rPr>
          <w:rFonts w:cs="Times New Roman"/>
          <w:color w:val="auto"/>
          <w:highlight w:val="none"/>
        </w:rPr>
        <w:t>（二）</w:t>
      </w:r>
      <w:r>
        <w:rPr>
          <w:rFonts w:hint="eastAsia" w:cs="Times New Roman"/>
          <w:color w:val="auto"/>
          <w:highlight w:val="none"/>
        </w:rPr>
        <w:t>参选保证金</w:t>
      </w:r>
    </w:p>
    <w:p w14:paraId="4456E0B3">
      <w:pPr>
        <w:ind w:firstLine="420"/>
        <w:rPr>
          <w:color w:val="auto"/>
          <w:highlight w:val="none"/>
        </w:rPr>
      </w:pPr>
    </w:p>
    <w:p w14:paraId="5977A334">
      <w:pPr>
        <w:ind w:firstLine="420"/>
        <w:rPr>
          <w:color w:val="auto"/>
          <w:highlight w:val="none"/>
        </w:rPr>
      </w:pPr>
    </w:p>
    <w:p w14:paraId="5F976DE3">
      <w:pPr>
        <w:ind w:firstLine="420"/>
        <w:rPr>
          <w:color w:val="auto"/>
          <w:highlight w:val="none"/>
        </w:rPr>
      </w:pPr>
    </w:p>
    <w:p w14:paraId="54FDF0ED">
      <w:pPr>
        <w:ind w:firstLine="420"/>
        <w:rPr>
          <w:color w:val="auto"/>
          <w:highlight w:val="none"/>
        </w:rPr>
      </w:pPr>
    </w:p>
    <w:p w14:paraId="15D6E020">
      <w:pPr>
        <w:ind w:firstLine="420"/>
        <w:rPr>
          <w:color w:val="auto"/>
          <w:highlight w:val="none"/>
        </w:rPr>
      </w:pPr>
    </w:p>
    <w:p w14:paraId="5053548C">
      <w:pPr>
        <w:ind w:firstLine="420"/>
        <w:rPr>
          <w:color w:val="auto"/>
          <w:highlight w:val="none"/>
        </w:rPr>
      </w:pPr>
    </w:p>
    <w:p w14:paraId="28537AAD">
      <w:pPr>
        <w:ind w:firstLine="420"/>
        <w:rPr>
          <w:color w:val="auto"/>
          <w:highlight w:val="none"/>
        </w:rPr>
      </w:pPr>
    </w:p>
    <w:p w14:paraId="4D71DA58">
      <w:pPr>
        <w:ind w:firstLine="420"/>
        <w:rPr>
          <w:color w:val="auto"/>
          <w:highlight w:val="none"/>
        </w:rPr>
      </w:pPr>
    </w:p>
    <w:p w14:paraId="2B794B7F">
      <w:pPr>
        <w:ind w:firstLine="420"/>
        <w:rPr>
          <w:color w:val="auto"/>
          <w:highlight w:val="none"/>
        </w:rPr>
      </w:pPr>
    </w:p>
    <w:p w14:paraId="2BB06D43">
      <w:pPr>
        <w:ind w:firstLine="420"/>
        <w:rPr>
          <w:color w:val="auto"/>
          <w:highlight w:val="none"/>
        </w:rPr>
      </w:pPr>
    </w:p>
    <w:p w14:paraId="39083B7E">
      <w:pPr>
        <w:ind w:firstLine="420"/>
        <w:rPr>
          <w:color w:val="auto"/>
          <w:highlight w:val="none"/>
        </w:rPr>
      </w:pPr>
    </w:p>
    <w:p w14:paraId="0D01E249">
      <w:pPr>
        <w:ind w:firstLine="420"/>
        <w:rPr>
          <w:color w:val="auto"/>
          <w:highlight w:val="none"/>
        </w:rPr>
      </w:pPr>
    </w:p>
    <w:p w14:paraId="1CE0ECD6">
      <w:pPr>
        <w:ind w:firstLine="420"/>
        <w:rPr>
          <w:color w:val="auto"/>
          <w:highlight w:val="none"/>
        </w:rPr>
      </w:pPr>
    </w:p>
    <w:p w14:paraId="7D10D588">
      <w:pPr>
        <w:ind w:firstLine="420"/>
        <w:rPr>
          <w:color w:val="auto"/>
          <w:highlight w:val="none"/>
        </w:rPr>
      </w:pPr>
    </w:p>
    <w:p w14:paraId="31ECF5C3">
      <w:pPr>
        <w:ind w:firstLine="420"/>
        <w:rPr>
          <w:color w:val="auto"/>
          <w:highlight w:val="none"/>
        </w:rPr>
      </w:pPr>
    </w:p>
    <w:p w14:paraId="3123343A">
      <w:pPr>
        <w:ind w:firstLine="420"/>
        <w:rPr>
          <w:color w:val="auto"/>
          <w:highlight w:val="none"/>
        </w:rPr>
      </w:pPr>
    </w:p>
    <w:p w14:paraId="77980364">
      <w:pPr>
        <w:ind w:firstLine="420"/>
        <w:rPr>
          <w:color w:val="auto"/>
          <w:highlight w:val="none"/>
        </w:rPr>
      </w:pPr>
    </w:p>
    <w:p w14:paraId="0F9E8584">
      <w:pPr>
        <w:ind w:firstLine="420"/>
        <w:rPr>
          <w:color w:val="auto"/>
          <w:highlight w:val="none"/>
        </w:rPr>
      </w:pPr>
    </w:p>
    <w:p w14:paraId="48CBA731">
      <w:pPr>
        <w:ind w:firstLine="420"/>
        <w:jc w:val="left"/>
        <w:rPr>
          <w:color w:val="auto"/>
          <w:highlight w:val="none"/>
        </w:rPr>
      </w:pPr>
      <w:r>
        <w:rPr>
          <w:color w:val="auto"/>
          <w:highlight w:val="none"/>
        </w:rPr>
        <mc:AlternateContent>
          <mc:Choice Requires="wps">
            <w:drawing>
              <wp:anchor distT="0" distB="0" distL="113665" distR="113665" simplePos="0" relativeHeight="251662336" behindDoc="0" locked="0" layoutInCell="1" allowOverlap="1">
                <wp:simplePos x="0" y="0"/>
                <wp:positionH relativeFrom="column">
                  <wp:posOffset>-27940</wp:posOffset>
                </wp:positionH>
                <wp:positionV relativeFrom="paragraph">
                  <wp:posOffset>235585</wp:posOffset>
                </wp:positionV>
                <wp:extent cx="2828925" cy="0"/>
                <wp:effectExtent l="0" t="4445" r="0" b="5080"/>
                <wp:wrapNone/>
                <wp:docPr id="3"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直接连接符 2" o:spid="_x0000_s1026" o:spt="20" style="position:absolute;left:0pt;margin-left:-2.2pt;margin-top:18.55pt;height:0pt;width:222.75pt;z-index:251662336;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I4fTdUAAAAIAQAADwAAAAAAAAABACAA&#10;AAAiAAAAZHJzL2Rvd25yZXYueG1sUEsBAhQAFAAAAAgAh07iQBH3LB3XAQAAmQMAAA4AAAAAAAAA&#10;AQAgAAAAJAEAAGRycy9lMm9Eb2MueG1sUEsFBgAAAAAGAAYAWQEAAG0FAAAAAA==&#10;">
                <v:fill on="f" focussize="0,0"/>
                <v:stroke weight="0.25pt" color="#000000" joinstyle="miter"/>
                <v:imagedata o:title=""/>
                <o:lock v:ext="edit" aspectratio="f"/>
              </v:line>
            </w:pict>
          </mc:Fallback>
        </mc:AlternateContent>
      </w:r>
    </w:p>
    <w:p w14:paraId="21813A1D">
      <w:pPr>
        <w:ind w:firstLine="420"/>
        <w:rPr>
          <w:color w:val="auto"/>
          <w:highlight w:val="none"/>
        </w:rPr>
      </w:pPr>
      <w:r>
        <w:rPr>
          <w:rFonts w:hint="eastAsia"/>
          <w:color w:val="auto"/>
          <w:highlight w:val="none"/>
        </w:rPr>
        <w:t>注：附参选保证金交款凭据复印件</w:t>
      </w:r>
    </w:p>
    <w:p w14:paraId="7525EA48">
      <w:pPr>
        <w:autoSpaceDE/>
        <w:autoSpaceDN/>
        <w:ind w:firstLine="0" w:firstLineChars="0"/>
        <w:jc w:val="left"/>
        <w:rPr>
          <w:color w:val="auto"/>
          <w:highlight w:val="none"/>
        </w:rPr>
      </w:pPr>
    </w:p>
    <w:p w14:paraId="5FE30968">
      <w:pPr>
        <w:autoSpaceDE/>
        <w:autoSpaceDN/>
        <w:ind w:firstLine="360"/>
        <w:rPr>
          <w:color w:val="auto"/>
          <w:sz w:val="18"/>
          <w:szCs w:val="18"/>
          <w:highlight w:val="none"/>
        </w:rPr>
      </w:pPr>
    </w:p>
    <w:p w14:paraId="4B76A41C">
      <w:pPr>
        <w:ind w:firstLine="420"/>
        <w:rPr>
          <w:rFonts w:cs="等线 Light"/>
          <w:snapToGrid w:val="0"/>
          <w:color w:val="auto"/>
          <w:kern w:val="0"/>
          <w:szCs w:val="24"/>
          <w:highlight w:val="none"/>
        </w:rPr>
        <w:sectPr>
          <w:pgSz w:w="11906" w:h="16838"/>
          <w:pgMar w:top="1440" w:right="1800" w:bottom="1440" w:left="1800" w:header="851" w:footer="992" w:gutter="0"/>
          <w:cols w:space="720" w:num="1"/>
          <w:docGrid w:type="lines" w:linePitch="312" w:charSpace="0"/>
        </w:sectPr>
      </w:pPr>
    </w:p>
    <w:p w14:paraId="2BAF4AAC">
      <w:pPr>
        <w:autoSpaceDE/>
        <w:autoSpaceDN/>
        <w:ind w:firstLine="0" w:firstLineChars="0"/>
        <w:jc w:val="center"/>
        <w:outlineLvl w:val="2"/>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三</w:t>
      </w:r>
      <w:r>
        <w:rPr>
          <w:rFonts w:cs="Times New Roman"/>
          <w:color w:val="auto"/>
          <w:highlight w:val="none"/>
        </w:rPr>
        <w:t>）近三个月公司为项目组成员缴纳社保的证明材料</w:t>
      </w:r>
    </w:p>
    <w:p w14:paraId="0E9AE14E">
      <w:pPr>
        <w:autoSpaceDE/>
        <w:autoSpaceDN/>
        <w:ind w:firstLine="360"/>
        <w:rPr>
          <w:color w:val="auto"/>
          <w:sz w:val="18"/>
          <w:szCs w:val="18"/>
          <w:highlight w:val="none"/>
        </w:rPr>
      </w:pPr>
    </w:p>
    <w:p w14:paraId="0F0D5913">
      <w:pPr>
        <w:ind w:firstLine="420"/>
        <w:rPr>
          <w:rFonts w:cs="等线 Light"/>
          <w:snapToGrid w:val="0"/>
          <w:color w:val="auto"/>
          <w:kern w:val="0"/>
          <w:szCs w:val="24"/>
          <w:highlight w:val="none"/>
        </w:rPr>
        <w:sectPr>
          <w:pgSz w:w="11906" w:h="16838"/>
          <w:pgMar w:top="1440" w:right="1800" w:bottom="1440" w:left="1800" w:header="851" w:footer="992" w:gutter="0"/>
          <w:cols w:space="720" w:num="1"/>
          <w:docGrid w:type="lines" w:linePitch="312" w:charSpace="0"/>
        </w:sectPr>
      </w:pPr>
    </w:p>
    <w:p w14:paraId="6D6AA058">
      <w:pPr>
        <w:autoSpaceDE/>
        <w:autoSpaceDN/>
        <w:ind w:firstLine="0" w:firstLineChars="0"/>
        <w:jc w:val="center"/>
        <w:outlineLvl w:val="2"/>
        <w:rPr>
          <w:rFonts w:cs="Times New Roman"/>
          <w:snapToGrid w:val="0"/>
          <w:color w:val="auto"/>
          <w:kern w:val="0"/>
          <w:highlight w:val="none"/>
        </w:rPr>
      </w:pPr>
      <w:r>
        <w:rPr>
          <w:rFonts w:cs="Times New Roman"/>
          <w:color w:val="auto"/>
          <w:highlight w:val="none"/>
        </w:rPr>
        <w:t>（</w:t>
      </w:r>
      <w:r>
        <w:rPr>
          <w:rFonts w:hint="eastAsia" w:cs="Times New Roman"/>
          <w:color w:val="auto"/>
          <w:highlight w:val="none"/>
          <w:lang w:val="en-US" w:eastAsia="zh-CN"/>
        </w:rPr>
        <w:t>四</w:t>
      </w:r>
      <w:r>
        <w:rPr>
          <w:rFonts w:cs="Times New Roman"/>
          <w:color w:val="auto"/>
          <w:highlight w:val="none"/>
        </w:rPr>
        <w:t>）</w:t>
      </w:r>
      <w:r>
        <w:rPr>
          <w:rFonts w:cs="Times New Roman"/>
          <w:snapToGrid w:val="0"/>
          <w:color w:val="auto"/>
          <w:kern w:val="0"/>
          <w:highlight w:val="none"/>
        </w:rPr>
        <w:t>项目组成员简历信息</w:t>
      </w:r>
    </w:p>
    <w:p w14:paraId="1EE678C2">
      <w:pPr>
        <w:ind w:firstLine="0" w:firstLineChars="0"/>
        <w:jc w:val="center"/>
        <w:rPr>
          <w:rFonts w:cs="Times New Roman"/>
          <w:b/>
          <w:color w:val="auto"/>
          <w:sz w:val="32"/>
          <w:szCs w:val="32"/>
          <w:highlight w:val="none"/>
        </w:rPr>
      </w:pPr>
      <w:r>
        <w:rPr>
          <w:rFonts w:cs="Times New Roman"/>
          <w:b/>
          <w:color w:val="auto"/>
          <w:sz w:val="32"/>
          <w:szCs w:val="32"/>
          <w:highlight w:val="none"/>
        </w:rPr>
        <w:t>参选人项目组成员简历表（模板）</w:t>
      </w:r>
    </w:p>
    <w:p w14:paraId="2E374DA1">
      <w:pPr>
        <w:ind w:firstLine="0" w:firstLineChars="0"/>
        <w:rPr>
          <w:rFonts w:cs="Times New Roman"/>
          <w:b/>
          <w:color w:val="auto"/>
          <w:highlight w:val="none"/>
        </w:rPr>
      </w:pPr>
      <w:r>
        <w:rPr>
          <w:rFonts w:cs="Times New Roman"/>
          <w:b/>
          <w:color w:val="auto"/>
          <w:highlight w:val="none"/>
        </w:rPr>
        <w:t>单位名称（盖章）：                                填表日期：年 月 日</w:t>
      </w:r>
    </w:p>
    <w:tbl>
      <w:tblPr>
        <w:tblStyle w:val="88"/>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6B4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2B8144FA">
            <w:pPr>
              <w:spacing w:line="300" w:lineRule="auto"/>
              <w:ind w:firstLine="422"/>
              <w:jc w:val="center"/>
              <w:rPr>
                <w:rFonts w:eastAsia="仿宋_GB2312" w:cs="Times New Roman"/>
                <w:b/>
                <w:color w:val="auto"/>
                <w:highlight w:val="none"/>
              </w:rPr>
            </w:pPr>
            <w:r>
              <w:rPr>
                <w:rFonts w:eastAsia="仿宋_GB2312" w:cs="Times New Roman"/>
                <w:b/>
                <w:color w:val="auto"/>
                <w:highlight w:val="none"/>
              </w:rPr>
              <w:t>基本信息</w:t>
            </w:r>
          </w:p>
        </w:tc>
      </w:tr>
      <w:tr w14:paraId="2C7F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A0685EF">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5DFA403">
            <w:pPr>
              <w:adjustRightInd w:val="0"/>
              <w:snapToGrid w:val="0"/>
              <w:spacing w:line="400" w:lineRule="exact"/>
              <w:ind w:firstLine="0" w:firstLineChars="0"/>
              <w:rPr>
                <w:rFonts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EFF105D">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C6C94E">
            <w:pPr>
              <w:adjustRightInd w:val="0"/>
              <w:snapToGrid w:val="0"/>
              <w:spacing w:line="400" w:lineRule="exact"/>
              <w:ind w:firstLine="0" w:firstLineChars="0"/>
              <w:rPr>
                <w:rFonts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2F1952C">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ED86278">
            <w:pPr>
              <w:adjustRightInd w:val="0"/>
              <w:snapToGrid w:val="0"/>
              <w:spacing w:line="400" w:lineRule="exact"/>
              <w:ind w:firstLine="0" w:firstLineChars="0"/>
              <w:rPr>
                <w:rFonts w:eastAsia="仿宋_GB2312" w:cs="Times New Roman"/>
                <w:color w:val="auto"/>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3A31228">
            <w:pPr>
              <w:adjustRightInd w:val="0"/>
              <w:snapToGrid w:val="0"/>
              <w:spacing w:line="400" w:lineRule="exact"/>
              <w:ind w:firstLine="0" w:firstLineChars="0"/>
              <w:jc w:val="center"/>
              <w:rPr>
                <w:rFonts w:eastAsia="仿宋_GB2312" w:cs="Times New Roman"/>
                <w:color w:val="auto"/>
                <w:highlight w:val="none"/>
              </w:rPr>
            </w:pPr>
            <w:r>
              <w:rPr>
                <w:rFonts w:eastAsia="仿宋_GB2312" w:cs="Times New Roman"/>
                <w:color w:val="auto"/>
                <w:highlight w:val="none"/>
              </w:rPr>
              <w:t>贴</w:t>
            </w:r>
          </w:p>
          <w:p w14:paraId="5E619229">
            <w:pPr>
              <w:adjustRightInd w:val="0"/>
              <w:snapToGrid w:val="0"/>
              <w:spacing w:line="400" w:lineRule="exact"/>
              <w:ind w:firstLine="0" w:firstLineChars="0"/>
              <w:jc w:val="center"/>
              <w:rPr>
                <w:rFonts w:eastAsia="仿宋_GB2312" w:cs="Times New Roman"/>
                <w:color w:val="auto"/>
                <w:highlight w:val="none"/>
              </w:rPr>
            </w:pPr>
            <w:r>
              <w:rPr>
                <w:rFonts w:eastAsia="仿宋_GB2312" w:cs="Times New Roman"/>
                <w:color w:val="auto"/>
                <w:highlight w:val="none"/>
              </w:rPr>
              <w:t>照</w:t>
            </w:r>
          </w:p>
          <w:p w14:paraId="72A1AFC0">
            <w:pPr>
              <w:adjustRightInd w:val="0"/>
              <w:snapToGrid w:val="0"/>
              <w:spacing w:line="400" w:lineRule="exact"/>
              <w:ind w:firstLine="0" w:firstLineChars="0"/>
              <w:jc w:val="center"/>
              <w:rPr>
                <w:rFonts w:eastAsia="仿宋_GB2312" w:cs="Times New Roman"/>
                <w:color w:val="auto"/>
                <w:highlight w:val="none"/>
              </w:rPr>
            </w:pPr>
            <w:r>
              <w:rPr>
                <w:rFonts w:eastAsia="仿宋_GB2312" w:cs="Times New Roman"/>
                <w:color w:val="auto"/>
                <w:highlight w:val="none"/>
              </w:rPr>
              <w:t>片</w:t>
            </w:r>
          </w:p>
          <w:p w14:paraId="36E0F5E6">
            <w:pPr>
              <w:adjustRightInd w:val="0"/>
              <w:snapToGrid w:val="0"/>
              <w:spacing w:line="400" w:lineRule="exact"/>
              <w:ind w:firstLine="0" w:firstLineChars="0"/>
              <w:jc w:val="center"/>
              <w:rPr>
                <w:rFonts w:eastAsia="仿宋_GB2312" w:cs="Times New Roman"/>
                <w:color w:val="auto"/>
                <w:highlight w:val="none"/>
              </w:rPr>
            </w:pPr>
            <w:r>
              <w:rPr>
                <w:rFonts w:eastAsia="仿宋_GB2312" w:cs="Times New Roman"/>
                <w:color w:val="auto"/>
                <w:highlight w:val="none"/>
              </w:rPr>
              <w:t>处</w:t>
            </w:r>
          </w:p>
          <w:p w14:paraId="3F2A60D1">
            <w:pPr>
              <w:adjustRightInd w:val="0"/>
              <w:snapToGrid w:val="0"/>
              <w:spacing w:line="400" w:lineRule="exact"/>
              <w:ind w:firstLine="0" w:firstLineChars="0"/>
              <w:rPr>
                <w:rFonts w:eastAsia="仿宋_GB2312" w:cs="Times New Roman"/>
                <w:color w:val="auto"/>
                <w:highlight w:val="none"/>
              </w:rPr>
            </w:pPr>
          </w:p>
        </w:tc>
      </w:tr>
      <w:tr w14:paraId="523B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7832D5A">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8646CCE">
            <w:pPr>
              <w:adjustRightInd w:val="0"/>
              <w:snapToGrid w:val="0"/>
              <w:spacing w:line="400" w:lineRule="exact"/>
              <w:ind w:firstLine="0" w:firstLineChars="0"/>
              <w:rPr>
                <w:rFonts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387C1EC">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5DEAC6">
            <w:pPr>
              <w:adjustRightInd w:val="0"/>
              <w:snapToGrid w:val="0"/>
              <w:spacing w:line="400" w:lineRule="exact"/>
              <w:ind w:firstLine="0" w:firstLineChars="0"/>
              <w:rPr>
                <w:rFonts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06849A5">
            <w:pPr>
              <w:adjustRightInd w:val="0"/>
              <w:snapToGrid w:val="0"/>
              <w:spacing w:line="40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71661E">
            <w:pPr>
              <w:adjustRightInd w:val="0"/>
              <w:snapToGrid w:val="0"/>
              <w:spacing w:line="400" w:lineRule="exact"/>
              <w:ind w:firstLine="0" w:firstLineChars="0"/>
              <w:rPr>
                <w:rFonts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0A8258F6">
            <w:pPr>
              <w:ind w:firstLine="420"/>
              <w:rPr>
                <w:color w:val="auto"/>
                <w:highlight w:val="none"/>
              </w:rPr>
            </w:pPr>
          </w:p>
        </w:tc>
      </w:tr>
      <w:tr w14:paraId="6A5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9E8521B">
            <w:pPr>
              <w:adjustRightInd w:val="0"/>
              <w:snapToGrid w:val="0"/>
              <w:spacing w:line="280" w:lineRule="exact"/>
              <w:ind w:right="-107" w:rightChars="-51" w:firstLine="0" w:firstLineChars="0"/>
              <w:rPr>
                <w:rFonts w:eastAsia="仿宋_GB2312" w:cs="Times New Roman"/>
                <w:b/>
                <w:color w:val="auto"/>
                <w:highlight w:val="none"/>
              </w:rPr>
            </w:pPr>
            <w:r>
              <w:rPr>
                <w:rFonts w:eastAsia="仿宋_GB2312" w:cs="Times New Roman"/>
                <w:b/>
                <w:color w:val="auto"/>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786A32D">
            <w:pPr>
              <w:adjustRightInd w:val="0"/>
              <w:snapToGrid w:val="0"/>
              <w:spacing w:line="280" w:lineRule="exact"/>
              <w:ind w:firstLine="0" w:firstLineChars="0"/>
              <w:rPr>
                <w:rFonts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07ED5D">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同类项目</w:t>
            </w:r>
          </w:p>
          <w:p w14:paraId="0D29493D">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ADA744">
            <w:pPr>
              <w:adjustRightInd w:val="0"/>
              <w:snapToGrid w:val="0"/>
              <w:spacing w:line="280" w:lineRule="exact"/>
              <w:ind w:firstLine="0" w:firstLineChars="0"/>
              <w:rPr>
                <w:rFonts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8A5BD64">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拟任本</w:t>
            </w:r>
          </w:p>
          <w:p w14:paraId="676A09A9">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A206BED">
            <w:pPr>
              <w:adjustRightInd w:val="0"/>
              <w:snapToGrid w:val="0"/>
              <w:spacing w:line="280" w:lineRule="exact"/>
              <w:ind w:firstLine="0" w:firstLineChars="0"/>
              <w:rPr>
                <w:rFonts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E1C2BFF">
            <w:pPr>
              <w:ind w:firstLine="420"/>
              <w:rPr>
                <w:color w:val="auto"/>
                <w:highlight w:val="none"/>
              </w:rPr>
            </w:pPr>
          </w:p>
        </w:tc>
      </w:tr>
      <w:tr w14:paraId="0E38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51C4A1">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学历</w:t>
            </w:r>
          </w:p>
          <w:p w14:paraId="675B4D5F">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358A063">
            <w:pPr>
              <w:adjustRightInd w:val="0"/>
              <w:snapToGrid w:val="0"/>
              <w:spacing w:line="280" w:lineRule="exact"/>
              <w:ind w:right="-107" w:rightChars="-51" w:firstLine="0" w:firstLineChars="0"/>
              <w:rPr>
                <w:rFonts w:eastAsia="仿宋_GB2312" w:cs="Times New Roman"/>
                <w:b/>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200ED2">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毕业院校</w:t>
            </w:r>
          </w:p>
          <w:p w14:paraId="4B7E78B6">
            <w:pPr>
              <w:adjustRightInd w:val="0"/>
              <w:snapToGrid w:val="0"/>
              <w:spacing w:line="280" w:lineRule="exact"/>
              <w:ind w:left="-12" w:leftChars="-51" w:right="-107" w:rightChars="-51" w:hanging="95" w:hangingChars="45"/>
              <w:jc w:val="center"/>
              <w:rPr>
                <w:rFonts w:eastAsia="仿宋_GB2312" w:cs="Times New Roman"/>
                <w:b/>
                <w:color w:val="auto"/>
                <w:highlight w:val="none"/>
              </w:rPr>
            </w:pPr>
            <w:r>
              <w:rPr>
                <w:rFonts w:eastAsia="仿宋_GB2312" w:cs="Times New Roman"/>
                <w:b/>
                <w:color w:val="auto"/>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480E6FA3">
            <w:pPr>
              <w:adjustRightInd w:val="0"/>
              <w:snapToGrid w:val="0"/>
              <w:spacing w:line="280" w:lineRule="exact"/>
              <w:ind w:right="-107" w:rightChars="-51" w:firstLine="0" w:firstLineChars="0"/>
              <w:rPr>
                <w:rFonts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0FAFB50">
            <w:pPr>
              <w:ind w:firstLine="420"/>
              <w:rPr>
                <w:color w:val="auto"/>
                <w:highlight w:val="none"/>
              </w:rPr>
            </w:pPr>
          </w:p>
        </w:tc>
      </w:tr>
      <w:tr w14:paraId="5A3A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C54BAB1">
            <w:pPr>
              <w:adjustRightInd w:val="0"/>
              <w:snapToGrid w:val="0"/>
              <w:spacing w:line="280" w:lineRule="exact"/>
              <w:ind w:firstLine="0" w:firstLineChars="0"/>
              <w:jc w:val="center"/>
              <w:rPr>
                <w:rFonts w:eastAsia="仿宋_GB2312" w:cs="Times New Roman"/>
                <w:b/>
                <w:color w:val="auto"/>
                <w:highlight w:val="none"/>
              </w:rPr>
            </w:pPr>
            <w:r>
              <w:rPr>
                <w:rFonts w:eastAsia="仿宋_GB2312" w:cs="Times New Roman"/>
                <w:b/>
                <w:color w:val="auto"/>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A649B34">
            <w:pPr>
              <w:adjustRightInd w:val="0"/>
              <w:snapToGrid w:val="0"/>
              <w:spacing w:line="280" w:lineRule="exact"/>
              <w:ind w:firstLine="0" w:firstLineChars="0"/>
              <w:rPr>
                <w:rFonts w:eastAsia="仿宋_GB2312" w:cs="Times New Roman"/>
                <w:b/>
                <w:color w:val="auto"/>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B8609B">
            <w:pPr>
              <w:adjustRightInd w:val="0"/>
              <w:snapToGrid w:val="0"/>
              <w:spacing w:line="280" w:lineRule="exact"/>
              <w:ind w:firstLine="0" w:firstLineChars="0"/>
              <w:rPr>
                <w:rFonts w:eastAsia="仿宋_GB2312" w:cs="Times New Roman"/>
                <w:b/>
                <w:color w:val="auto"/>
                <w:highlight w:val="none"/>
              </w:rPr>
            </w:pPr>
            <w:r>
              <w:rPr>
                <w:rFonts w:eastAsia="仿宋_GB2312" w:cs="Times New Roman"/>
                <w:b/>
                <w:color w:val="auto"/>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3B28B24F">
            <w:pPr>
              <w:adjustRightInd w:val="0"/>
              <w:snapToGrid w:val="0"/>
              <w:spacing w:line="280" w:lineRule="exact"/>
              <w:ind w:firstLine="422"/>
              <w:jc w:val="center"/>
              <w:rPr>
                <w:rFonts w:eastAsia="仿宋_GB2312" w:cs="Times New Roman"/>
                <w:b/>
                <w:color w:val="auto"/>
                <w:highlight w:val="none"/>
              </w:rPr>
            </w:pPr>
          </w:p>
        </w:tc>
      </w:tr>
      <w:tr w14:paraId="300B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8F98654">
            <w:pPr>
              <w:adjustRightInd w:val="0"/>
              <w:snapToGrid w:val="0"/>
              <w:spacing w:line="280" w:lineRule="exact"/>
              <w:ind w:firstLine="0" w:firstLineChars="0"/>
              <w:jc w:val="center"/>
              <w:rPr>
                <w:rFonts w:eastAsia="仿宋_GB2312" w:cs="Times New Roman"/>
                <w:b/>
                <w:color w:val="auto"/>
                <w:highlight w:val="none"/>
              </w:rPr>
            </w:pPr>
            <w:r>
              <w:rPr>
                <w:rFonts w:eastAsia="仿宋_GB2312" w:cs="Times New Roman"/>
                <w:b/>
                <w:color w:val="auto"/>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830A8AA">
            <w:pPr>
              <w:adjustRightInd w:val="0"/>
              <w:snapToGrid w:val="0"/>
              <w:spacing w:line="280" w:lineRule="exact"/>
              <w:ind w:firstLine="0" w:firstLineChars="0"/>
              <w:rPr>
                <w:rFonts w:eastAsia="仿宋_GB2312" w:cs="Times New Roman"/>
                <w:b/>
                <w:color w:val="auto"/>
                <w:highlight w:val="none"/>
              </w:rPr>
            </w:pPr>
          </w:p>
        </w:tc>
      </w:tr>
      <w:tr w14:paraId="14D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30FD5503">
            <w:pPr>
              <w:spacing w:line="300" w:lineRule="auto"/>
              <w:ind w:firstLine="422"/>
              <w:jc w:val="center"/>
              <w:rPr>
                <w:rFonts w:eastAsia="仿宋_GB2312" w:cs="Times New Roman"/>
                <w:b/>
                <w:color w:val="auto"/>
                <w:highlight w:val="none"/>
              </w:rPr>
            </w:pPr>
            <w:r>
              <w:rPr>
                <w:rFonts w:eastAsia="仿宋_GB2312" w:cs="Times New Roman"/>
                <w:b/>
                <w:color w:val="auto"/>
                <w:highlight w:val="none"/>
              </w:rPr>
              <w:t>工作及项目经历信息</w:t>
            </w:r>
          </w:p>
        </w:tc>
      </w:tr>
      <w:tr w14:paraId="2FF6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9F992C7">
            <w:pPr>
              <w:spacing w:line="300" w:lineRule="auto"/>
              <w:ind w:firstLine="0" w:firstLineChars="0"/>
              <w:jc w:val="center"/>
              <w:rPr>
                <w:rFonts w:eastAsia="仿宋_GB2312" w:cs="Times New Roman"/>
                <w:b/>
                <w:color w:val="auto"/>
                <w:highlight w:val="none"/>
              </w:rPr>
            </w:pPr>
            <w:r>
              <w:rPr>
                <w:rFonts w:eastAsia="仿宋_GB2312" w:cs="Times New Roman"/>
                <w:b/>
                <w:color w:val="auto"/>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82FF3D6">
            <w:pPr>
              <w:spacing w:line="300" w:lineRule="auto"/>
              <w:ind w:firstLine="0" w:firstLineChars="0"/>
              <w:jc w:val="center"/>
              <w:rPr>
                <w:rFonts w:eastAsia="仿宋_GB2312" w:cs="Times New Roman"/>
                <w:color w:val="auto"/>
                <w:highlight w:val="none"/>
              </w:rPr>
            </w:pPr>
            <w:r>
              <w:rPr>
                <w:rFonts w:eastAsia="仿宋_GB2312" w:cs="Times New Roman"/>
                <w:color w:val="auto"/>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446EAE5">
            <w:pPr>
              <w:spacing w:line="300" w:lineRule="auto"/>
              <w:ind w:firstLine="0" w:firstLineChars="0"/>
              <w:jc w:val="center"/>
              <w:rPr>
                <w:rFonts w:eastAsia="仿宋_GB2312" w:cs="Times New Roman"/>
                <w:color w:val="auto"/>
                <w:highlight w:val="none"/>
              </w:rPr>
            </w:pPr>
            <w:r>
              <w:rPr>
                <w:rFonts w:eastAsia="仿宋_GB2312" w:cs="Times New Roman"/>
                <w:color w:val="auto"/>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A08F9D">
            <w:pPr>
              <w:spacing w:line="300" w:lineRule="auto"/>
              <w:ind w:firstLine="0" w:firstLineChars="0"/>
              <w:jc w:val="center"/>
              <w:rPr>
                <w:rFonts w:eastAsia="仿宋_GB2312" w:cs="Times New Roman"/>
                <w:color w:val="auto"/>
                <w:highlight w:val="none"/>
              </w:rPr>
            </w:pPr>
            <w:r>
              <w:rPr>
                <w:rFonts w:eastAsia="仿宋_GB2312" w:cs="Times New Roman"/>
                <w:color w:val="auto"/>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75D7615C">
            <w:pPr>
              <w:spacing w:line="300" w:lineRule="auto"/>
              <w:ind w:firstLine="0" w:firstLineChars="0"/>
              <w:jc w:val="center"/>
              <w:rPr>
                <w:rFonts w:eastAsia="仿宋_GB2312" w:cs="Times New Roman"/>
                <w:color w:val="auto"/>
                <w:highlight w:val="none"/>
              </w:rPr>
            </w:pPr>
            <w:r>
              <w:rPr>
                <w:rFonts w:eastAsia="仿宋_GB2312" w:cs="Times New Roman"/>
                <w:color w:val="auto"/>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9CA0759">
            <w:pPr>
              <w:spacing w:line="300" w:lineRule="auto"/>
              <w:ind w:firstLine="0" w:firstLineChars="0"/>
              <w:jc w:val="center"/>
              <w:rPr>
                <w:rFonts w:eastAsia="仿宋_GB2312" w:cs="Times New Roman"/>
                <w:color w:val="auto"/>
                <w:highlight w:val="none"/>
              </w:rPr>
            </w:pPr>
            <w:r>
              <w:rPr>
                <w:rFonts w:eastAsia="仿宋_GB2312" w:cs="Times New Roman"/>
                <w:color w:val="auto"/>
                <w:highlight w:val="none"/>
              </w:rPr>
              <w:t>联系方式</w:t>
            </w:r>
          </w:p>
        </w:tc>
      </w:tr>
      <w:tr w14:paraId="0972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7546D9F">
            <w:pPr>
              <w:ind w:firstLine="420"/>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D08026F">
            <w:pPr>
              <w:spacing w:line="300" w:lineRule="auto"/>
              <w:ind w:firstLine="0" w:firstLineChars="0"/>
              <w:rPr>
                <w:rFonts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5CDEE82">
            <w:pPr>
              <w:spacing w:line="300" w:lineRule="auto"/>
              <w:ind w:firstLine="0" w:firstLineChars="0"/>
              <w:rPr>
                <w:rFonts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817A76">
            <w:pPr>
              <w:spacing w:line="300" w:lineRule="auto"/>
              <w:ind w:firstLine="0" w:firstLineChars="0"/>
              <w:rPr>
                <w:rFonts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408D483A">
            <w:pPr>
              <w:spacing w:line="300" w:lineRule="auto"/>
              <w:ind w:firstLine="0" w:firstLineChars="0"/>
              <w:rPr>
                <w:rFonts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EF566AD">
            <w:pPr>
              <w:spacing w:line="300" w:lineRule="auto"/>
              <w:ind w:firstLine="0" w:firstLineChars="0"/>
              <w:rPr>
                <w:rFonts w:eastAsia="仿宋_GB2312" w:cs="Times New Roman"/>
                <w:color w:val="auto"/>
                <w:highlight w:val="none"/>
              </w:rPr>
            </w:pPr>
          </w:p>
        </w:tc>
      </w:tr>
      <w:tr w14:paraId="0B4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FF2C30">
            <w:pPr>
              <w:ind w:firstLine="420"/>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7A9DFAD0">
            <w:pPr>
              <w:spacing w:line="300" w:lineRule="auto"/>
              <w:ind w:firstLine="0" w:firstLineChars="0"/>
              <w:rPr>
                <w:rFonts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244CDD0">
            <w:pPr>
              <w:spacing w:line="300" w:lineRule="auto"/>
              <w:ind w:firstLine="0" w:firstLineChars="0"/>
              <w:rPr>
                <w:rFonts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6D66A3F7">
            <w:pPr>
              <w:spacing w:line="300" w:lineRule="auto"/>
              <w:ind w:firstLine="0" w:firstLineChars="0"/>
              <w:rPr>
                <w:rFonts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6D397E54">
            <w:pPr>
              <w:spacing w:line="300" w:lineRule="auto"/>
              <w:ind w:firstLine="0" w:firstLineChars="0"/>
              <w:rPr>
                <w:rFonts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75FC3C98">
            <w:pPr>
              <w:spacing w:line="300" w:lineRule="auto"/>
              <w:ind w:firstLine="0" w:firstLineChars="0"/>
              <w:rPr>
                <w:rFonts w:eastAsia="仿宋_GB2312" w:cs="Times New Roman"/>
                <w:color w:val="auto"/>
                <w:highlight w:val="none"/>
              </w:rPr>
            </w:pPr>
          </w:p>
        </w:tc>
      </w:tr>
      <w:tr w14:paraId="781F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F2545EB">
            <w:pPr>
              <w:ind w:firstLine="420"/>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3CE16756">
            <w:pPr>
              <w:spacing w:line="300" w:lineRule="auto"/>
              <w:ind w:firstLine="0" w:firstLineChars="0"/>
              <w:rPr>
                <w:rFonts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061F5B06">
            <w:pPr>
              <w:spacing w:line="300" w:lineRule="auto"/>
              <w:ind w:firstLine="0" w:firstLineChars="0"/>
              <w:rPr>
                <w:rFonts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668C19BF">
            <w:pPr>
              <w:spacing w:line="300" w:lineRule="auto"/>
              <w:ind w:firstLine="0" w:firstLineChars="0"/>
              <w:rPr>
                <w:rFonts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4D622E27">
            <w:pPr>
              <w:spacing w:line="300" w:lineRule="auto"/>
              <w:ind w:firstLine="0" w:firstLineChars="0"/>
              <w:rPr>
                <w:rFonts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636B4345">
            <w:pPr>
              <w:spacing w:line="300" w:lineRule="auto"/>
              <w:ind w:firstLine="0" w:firstLineChars="0"/>
              <w:rPr>
                <w:rFonts w:eastAsia="仿宋_GB2312" w:cs="Times New Roman"/>
                <w:color w:val="auto"/>
                <w:highlight w:val="none"/>
              </w:rPr>
            </w:pPr>
          </w:p>
        </w:tc>
      </w:tr>
      <w:tr w14:paraId="6E2F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50965D1">
            <w:pPr>
              <w:adjustRightInd w:val="0"/>
              <w:snapToGrid w:val="0"/>
              <w:spacing w:line="400" w:lineRule="exact"/>
              <w:ind w:firstLine="0" w:firstLineChars="0"/>
              <w:jc w:val="center"/>
              <w:rPr>
                <w:rFonts w:eastAsia="仿宋_GB2312" w:cs="Times New Roman"/>
                <w:b/>
                <w:color w:val="auto"/>
                <w:highlight w:val="none"/>
              </w:rPr>
            </w:pPr>
            <w:r>
              <w:rPr>
                <w:rFonts w:eastAsia="仿宋_GB2312" w:cs="Times New Roman"/>
                <w:b/>
                <w:color w:val="auto"/>
                <w:highlight w:val="none"/>
              </w:rPr>
              <w:t>参与同类项目经历</w:t>
            </w:r>
          </w:p>
          <w:p w14:paraId="7511FAE7">
            <w:pPr>
              <w:adjustRightInd w:val="0"/>
              <w:snapToGrid w:val="0"/>
              <w:spacing w:line="400" w:lineRule="exact"/>
              <w:ind w:firstLine="0" w:firstLineChars="0"/>
              <w:jc w:val="center"/>
              <w:rPr>
                <w:rFonts w:eastAsia="仿宋_GB2312" w:cs="Times New Roman"/>
                <w:i/>
                <w:color w:val="auto"/>
                <w:szCs w:val="21"/>
                <w:highlight w:val="none"/>
              </w:rPr>
            </w:pPr>
            <w:r>
              <w:rPr>
                <w:rFonts w:eastAsia="仿宋_GB2312" w:cs="Times New Roman"/>
                <w:i/>
                <w:color w:val="auto"/>
                <w:szCs w:val="21"/>
                <w:highlight w:val="none"/>
              </w:rPr>
              <w:t>(详细</w:t>
            </w:r>
          </w:p>
          <w:p w14:paraId="17BF93AE">
            <w:pPr>
              <w:adjustRightInd w:val="0"/>
              <w:snapToGrid w:val="0"/>
              <w:spacing w:line="400" w:lineRule="exact"/>
              <w:ind w:firstLine="0" w:firstLineChars="0"/>
              <w:jc w:val="center"/>
              <w:rPr>
                <w:rFonts w:eastAsia="仿宋_GB2312" w:cs="Times New Roman"/>
                <w:color w:val="auto"/>
                <w:szCs w:val="21"/>
                <w:highlight w:val="none"/>
              </w:rPr>
            </w:pPr>
            <w:r>
              <w:rPr>
                <w:rFonts w:eastAsia="仿宋_GB2312" w:cs="Times New Roman"/>
                <w:i/>
                <w:color w:val="auto"/>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5D4020">
            <w:pPr>
              <w:ind w:firstLine="0" w:firstLineChars="0"/>
              <w:rPr>
                <w:rFonts w:eastAsia="仿宋_GB2312" w:cs="Times New Roman"/>
                <w:b/>
                <w:bCs/>
                <w:color w:val="auto"/>
                <w:highlight w:val="none"/>
              </w:rPr>
            </w:pPr>
            <w:r>
              <w:rPr>
                <w:rFonts w:eastAsia="仿宋_GB2312" w:cs="Times New Roman"/>
                <w:b/>
                <w:bCs/>
                <w:color w:val="auto"/>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CE695F3">
            <w:pPr>
              <w:ind w:firstLine="420"/>
              <w:jc w:val="center"/>
              <w:rPr>
                <w:rFonts w:eastAsia="仿宋_GB2312" w:cs="Times New Roman"/>
                <w:color w:val="auto"/>
                <w:highlight w:val="none"/>
              </w:rPr>
            </w:pPr>
            <w:r>
              <w:rPr>
                <w:rFonts w:eastAsia="仿宋_GB2312" w:cs="Times New Roman"/>
                <w:color w:val="auto"/>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A7E7BD">
            <w:pPr>
              <w:ind w:firstLine="0" w:firstLineChars="0"/>
              <w:rPr>
                <w:rFonts w:eastAsia="仿宋_GB2312" w:cs="Times New Roman"/>
                <w:color w:val="auto"/>
                <w:highlight w:val="none"/>
              </w:rPr>
            </w:pPr>
            <w:r>
              <w:rPr>
                <w:rFonts w:eastAsia="仿宋_GB2312" w:cs="Times New Roman"/>
                <w:b/>
                <w:bCs/>
                <w:color w:val="auto"/>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06E8D12">
            <w:pPr>
              <w:ind w:firstLine="420"/>
              <w:jc w:val="center"/>
              <w:rPr>
                <w:rFonts w:eastAsia="仿宋_GB2312" w:cs="Times New Roman"/>
                <w:color w:val="auto"/>
                <w:highlight w:val="none"/>
              </w:rPr>
            </w:pPr>
            <w:r>
              <w:rPr>
                <w:rFonts w:eastAsia="仿宋_GB2312" w:cs="Times New Roman"/>
                <w:color w:val="auto"/>
                <w:highlight w:val="none"/>
              </w:rPr>
              <w:t>（个）</w:t>
            </w:r>
          </w:p>
        </w:tc>
      </w:tr>
      <w:tr w14:paraId="1658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C79B223">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9E96C6F">
            <w:pPr>
              <w:ind w:firstLine="0" w:firstLineChars="0"/>
              <w:jc w:val="center"/>
              <w:rPr>
                <w:rFonts w:eastAsia="仿宋_GB2312" w:cs="Times New Roman"/>
                <w:color w:val="auto"/>
                <w:highlight w:val="none"/>
              </w:rPr>
            </w:pPr>
            <w:r>
              <w:rPr>
                <w:rFonts w:eastAsia="仿宋_GB2312" w:cs="Times New Roman"/>
                <w:color w:val="auto"/>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700627D">
            <w:pPr>
              <w:ind w:firstLine="0" w:firstLineChars="0"/>
              <w:jc w:val="center"/>
              <w:rPr>
                <w:rFonts w:eastAsia="仿宋_GB2312" w:cs="Times New Roman"/>
                <w:color w:val="auto"/>
                <w:highlight w:val="none"/>
              </w:rPr>
            </w:pPr>
            <w:r>
              <w:rPr>
                <w:rFonts w:eastAsia="仿宋_GB2312" w:cs="Times New Roman"/>
                <w:color w:val="auto"/>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95A5AC6">
            <w:pPr>
              <w:ind w:firstLine="0" w:firstLineChars="0"/>
              <w:jc w:val="center"/>
              <w:rPr>
                <w:rFonts w:eastAsia="仿宋_GB2312" w:cs="Times New Roman"/>
                <w:color w:val="auto"/>
                <w:highlight w:val="none"/>
              </w:rPr>
            </w:pPr>
            <w:r>
              <w:rPr>
                <w:rFonts w:eastAsia="仿宋_GB2312" w:cs="Times New Roman"/>
                <w:color w:val="auto"/>
                <w:highlight w:val="none"/>
              </w:rPr>
              <w:t>承担</w:t>
            </w:r>
          </w:p>
          <w:p w14:paraId="1D6CE339">
            <w:pPr>
              <w:ind w:firstLine="0" w:firstLineChars="0"/>
              <w:jc w:val="center"/>
              <w:rPr>
                <w:rFonts w:eastAsia="仿宋_GB2312" w:cs="Times New Roman"/>
                <w:color w:val="auto"/>
                <w:highlight w:val="none"/>
              </w:rPr>
            </w:pPr>
            <w:r>
              <w:rPr>
                <w:rFonts w:eastAsia="仿宋_GB2312" w:cs="Times New Roman"/>
                <w:color w:val="auto"/>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7C4C7FE">
            <w:pPr>
              <w:ind w:firstLine="0" w:firstLineChars="0"/>
              <w:jc w:val="center"/>
              <w:rPr>
                <w:rFonts w:eastAsia="仿宋_GB2312" w:cs="Times New Roman"/>
                <w:color w:val="auto"/>
                <w:highlight w:val="none"/>
              </w:rPr>
            </w:pPr>
            <w:r>
              <w:rPr>
                <w:rFonts w:eastAsia="仿宋_GB2312" w:cs="Times New Roman"/>
                <w:color w:val="auto"/>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5109CF2">
            <w:pPr>
              <w:ind w:firstLine="0" w:firstLineChars="0"/>
              <w:jc w:val="center"/>
              <w:rPr>
                <w:rFonts w:eastAsia="仿宋_GB2312" w:cs="Times New Roman"/>
                <w:color w:val="auto"/>
                <w:highlight w:val="none"/>
              </w:rPr>
            </w:pPr>
            <w:r>
              <w:rPr>
                <w:rFonts w:eastAsia="仿宋_GB2312" w:cs="Times New Roman"/>
                <w:color w:val="auto"/>
                <w:highlight w:val="none"/>
              </w:rPr>
              <w:t>项目单位证明人及联系电话</w:t>
            </w:r>
          </w:p>
        </w:tc>
      </w:tr>
      <w:tr w14:paraId="7F01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78192F3">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8E186DA">
            <w:pPr>
              <w:ind w:firstLine="0" w:firstLineChars="0"/>
              <w:rPr>
                <w:rFonts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D9B431">
            <w:pPr>
              <w:ind w:firstLine="0" w:firstLineChars="0"/>
              <w:rPr>
                <w:rFonts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E6149DB">
            <w:pPr>
              <w:ind w:firstLine="0" w:firstLineChars="0"/>
              <w:rPr>
                <w:rFonts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759DF8E">
            <w:pPr>
              <w:ind w:firstLine="0" w:firstLineChars="0"/>
              <w:rPr>
                <w:rFonts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4282D9D">
            <w:pPr>
              <w:ind w:firstLine="0" w:firstLineChars="0"/>
              <w:rPr>
                <w:rFonts w:cs="Times New Roman"/>
                <w:color w:val="auto"/>
                <w:highlight w:val="none"/>
              </w:rPr>
            </w:pPr>
          </w:p>
        </w:tc>
      </w:tr>
      <w:tr w14:paraId="3249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8615603">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96C0BD">
            <w:pPr>
              <w:ind w:firstLine="0" w:firstLineChars="0"/>
              <w:rPr>
                <w:rFonts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A2FF00">
            <w:pPr>
              <w:ind w:firstLine="0" w:firstLineChars="0"/>
              <w:rPr>
                <w:rFonts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9854CC6">
            <w:pPr>
              <w:ind w:firstLine="0" w:firstLineChars="0"/>
              <w:rPr>
                <w:rFonts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D90530E">
            <w:pPr>
              <w:ind w:firstLine="0" w:firstLineChars="0"/>
              <w:rPr>
                <w:rFonts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569780E">
            <w:pPr>
              <w:ind w:firstLine="0" w:firstLineChars="0"/>
              <w:rPr>
                <w:rFonts w:cs="Times New Roman"/>
                <w:color w:val="auto"/>
                <w:highlight w:val="none"/>
              </w:rPr>
            </w:pPr>
          </w:p>
        </w:tc>
      </w:tr>
      <w:tr w14:paraId="0523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FE7968">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0E4A576">
            <w:pPr>
              <w:ind w:firstLine="0" w:firstLineChars="0"/>
              <w:rPr>
                <w:rFonts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3AF2135">
            <w:pPr>
              <w:ind w:firstLine="0" w:firstLineChars="0"/>
              <w:rPr>
                <w:rFonts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871A86A">
            <w:pPr>
              <w:ind w:firstLine="0" w:firstLineChars="0"/>
              <w:rPr>
                <w:rFonts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B1835EA">
            <w:pPr>
              <w:ind w:firstLine="0" w:firstLineChars="0"/>
              <w:rPr>
                <w:rFonts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6D18A00">
            <w:pPr>
              <w:ind w:firstLine="0" w:firstLineChars="0"/>
              <w:rPr>
                <w:rFonts w:cs="Times New Roman"/>
                <w:color w:val="auto"/>
                <w:highlight w:val="none"/>
              </w:rPr>
            </w:pPr>
          </w:p>
        </w:tc>
      </w:tr>
      <w:tr w14:paraId="7B53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EF784B8">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17129B0">
            <w:pPr>
              <w:ind w:firstLine="0" w:firstLineChars="0"/>
              <w:rPr>
                <w:rFonts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63E209F">
            <w:pPr>
              <w:ind w:firstLine="0" w:firstLineChars="0"/>
              <w:rPr>
                <w:rFonts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E727043">
            <w:pPr>
              <w:ind w:firstLine="0" w:firstLineChars="0"/>
              <w:rPr>
                <w:rFonts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5818AD8">
            <w:pPr>
              <w:ind w:firstLine="0" w:firstLineChars="0"/>
              <w:rPr>
                <w:rFonts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B3B3F2">
            <w:pPr>
              <w:ind w:firstLine="0" w:firstLineChars="0"/>
              <w:rPr>
                <w:rFonts w:cs="Times New Roman"/>
                <w:color w:val="auto"/>
                <w:highlight w:val="none"/>
              </w:rPr>
            </w:pPr>
          </w:p>
        </w:tc>
      </w:tr>
      <w:tr w14:paraId="5E6F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4D29697">
            <w:pPr>
              <w:ind w:firstLine="420"/>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78D2440">
            <w:pPr>
              <w:ind w:firstLine="0" w:firstLineChars="0"/>
              <w:rPr>
                <w:rFonts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C64CC5A">
            <w:pPr>
              <w:ind w:firstLine="0" w:firstLineChars="0"/>
              <w:rPr>
                <w:rFonts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4F3A87D">
            <w:pPr>
              <w:ind w:firstLine="0" w:firstLineChars="0"/>
              <w:rPr>
                <w:rFonts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F303D5E">
            <w:pPr>
              <w:ind w:firstLine="0" w:firstLineChars="0"/>
              <w:rPr>
                <w:rFonts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1501612">
            <w:pPr>
              <w:ind w:firstLine="0" w:firstLineChars="0"/>
              <w:rPr>
                <w:rFonts w:cs="Times New Roman"/>
                <w:color w:val="auto"/>
                <w:highlight w:val="none"/>
              </w:rPr>
            </w:pPr>
          </w:p>
        </w:tc>
      </w:tr>
    </w:tbl>
    <w:p w14:paraId="60590C1D">
      <w:pPr>
        <w:ind w:firstLine="0" w:firstLineChars="0"/>
        <w:rPr>
          <w:rFonts w:cs="Times New Roman"/>
          <w:color w:val="auto"/>
          <w:highlight w:val="none"/>
        </w:rPr>
      </w:pPr>
      <w:r>
        <w:rPr>
          <w:rFonts w:cs="Times New Roman"/>
          <w:color w:val="auto"/>
          <w:highlight w:val="none"/>
        </w:rPr>
        <w:t>注：以上模板仅供参考，可以根据实际情况进行调整。</w:t>
      </w:r>
    </w:p>
    <w:p w14:paraId="63068F72">
      <w:pPr>
        <w:ind w:firstLine="420"/>
        <w:rPr>
          <w:rFonts w:cs="Times New Roman"/>
          <w:color w:val="auto"/>
          <w:highlight w:val="none"/>
        </w:rPr>
      </w:pPr>
      <w:r>
        <w:rPr>
          <w:rFonts w:cs="Times New Roman"/>
          <w:color w:val="auto"/>
          <w:highlight w:val="none"/>
        </w:rPr>
        <w:br w:type="page"/>
      </w:r>
    </w:p>
    <w:p w14:paraId="75C6CD69">
      <w:pPr>
        <w:pStyle w:val="96"/>
        <w:rPr>
          <w:color w:val="auto"/>
          <w:highlight w:val="none"/>
        </w:rPr>
      </w:pPr>
      <w:r>
        <w:rPr>
          <w:color w:val="auto"/>
          <w:highlight w:val="none"/>
        </w:rPr>
        <w:t>（</w:t>
      </w:r>
      <w:r>
        <w:rPr>
          <w:rFonts w:hint="eastAsia"/>
          <w:color w:val="auto"/>
          <w:highlight w:val="none"/>
          <w:lang w:val="en-US" w:eastAsia="zh-CN"/>
        </w:rPr>
        <w:t>五</w:t>
      </w:r>
      <w:r>
        <w:rPr>
          <w:color w:val="auto"/>
          <w:highlight w:val="none"/>
        </w:rPr>
        <w:t>）售后服务和培训方案</w:t>
      </w:r>
    </w:p>
    <w:p w14:paraId="51BA7646">
      <w:pPr>
        <w:ind w:firstLine="420"/>
        <w:rPr>
          <w:rFonts w:cs="等线 Light"/>
          <w:color w:val="auto"/>
          <w:szCs w:val="21"/>
          <w:highlight w:val="none"/>
        </w:rPr>
      </w:pPr>
    </w:p>
    <w:p w14:paraId="79E61FEE">
      <w:pPr>
        <w:ind w:firstLine="420"/>
        <w:rPr>
          <w:rFonts w:cs="等线 Light"/>
          <w:color w:val="auto"/>
          <w:szCs w:val="21"/>
          <w:highlight w:val="none"/>
        </w:rPr>
      </w:pPr>
    </w:p>
    <w:p w14:paraId="412C5A95">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4D7DF02F">
      <w:pPr>
        <w:pStyle w:val="96"/>
        <w:rPr>
          <w:color w:val="auto"/>
          <w:highlight w:val="none"/>
        </w:rPr>
      </w:pPr>
      <w:r>
        <w:rPr>
          <w:color w:val="auto"/>
          <w:highlight w:val="none"/>
        </w:rPr>
        <w:t>（</w:t>
      </w:r>
      <w:r>
        <w:rPr>
          <w:rFonts w:hint="eastAsia"/>
          <w:color w:val="auto"/>
          <w:highlight w:val="none"/>
          <w:lang w:val="en-US" w:eastAsia="zh-CN"/>
        </w:rPr>
        <w:t>六</w:t>
      </w:r>
      <w:r>
        <w:rPr>
          <w:color w:val="auto"/>
          <w:highlight w:val="none"/>
        </w:rPr>
        <w:t>）服务连续性预案</w:t>
      </w:r>
    </w:p>
    <w:p w14:paraId="4AE27260">
      <w:pPr>
        <w:ind w:firstLine="0" w:firstLineChars="0"/>
        <w:jc w:val="center"/>
        <w:rPr>
          <w:color w:val="auto"/>
          <w:highlight w:val="none"/>
        </w:rPr>
      </w:pPr>
      <w:r>
        <w:rPr>
          <w:rFonts w:hint="eastAsia"/>
          <w:color w:val="auto"/>
          <w:highlight w:val="none"/>
        </w:rPr>
        <w:t>（应考虑供应链风险产生的影响）</w:t>
      </w:r>
    </w:p>
    <w:p w14:paraId="5489BB44">
      <w:pPr>
        <w:ind w:firstLine="420"/>
        <w:rPr>
          <w:rFonts w:cs="等线 Light"/>
          <w:color w:val="auto"/>
          <w:szCs w:val="21"/>
          <w:highlight w:val="none"/>
        </w:rPr>
      </w:pPr>
    </w:p>
    <w:p w14:paraId="3056E69A">
      <w:pPr>
        <w:ind w:firstLine="420"/>
        <w:rPr>
          <w:rFonts w:cs="等线 Light"/>
          <w:color w:val="auto"/>
          <w:szCs w:val="21"/>
          <w:highlight w:val="none"/>
        </w:rPr>
      </w:pPr>
    </w:p>
    <w:p w14:paraId="26622989">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68C8E6BE">
      <w:pPr>
        <w:pStyle w:val="96"/>
        <w:rPr>
          <w:color w:val="auto"/>
          <w:highlight w:val="none"/>
        </w:rPr>
      </w:pPr>
      <w:r>
        <w:rPr>
          <w:color w:val="auto"/>
          <w:highlight w:val="none"/>
        </w:rPr>
        <w:t>（</w:t>
      </w:r>
      <w:r>
        <w:rPr>
          <w:rFonts w:hint="eastAsia"/>
          <w:color w:val="auto"/>
          <w:highlight w:val="none"/>
          <w:lang w:val="en-US" w:eastAsia="zh-CN"/>
        </w:rPr>
        <w:t>七</w:t>
      </w:r>
      <w:r>
        <w:rPr>
          <w:color w:val="auto"/>
          <w:highlight w:val="none"/>
        </w:rPr>
        <w:t>）项目实施方案</w:t>
      </w:r>
    </w:p>
    <w:p w14:paraId="461942A9">
      <w:pPr>
        <w:tabs>
          <w:tab w:val="left" w:pos="6300"/>
        </w:tabs>
        <w:snapToGrid w:val="0"/>
        <w:ind w:firstLine="420"/>
        <w:jc w:val="center"/>
        <w:rPr>
          <w:snapToGrid w:val="0"/>
          <w:color w:val="auto"/>
          <w:kern w:val="0"/>
          <w:szCs w:val="24"/>
          <w:highlight w:val="none"/>
        </w:rPr>
      </w:pPr>
      <w:r>
        <w:rPr>
          <w:rFonts w:hint="eastAsia"/>
          <w:snapToGrid w:val="0"/>
          <w:color w:val="auto"/>
          <w:kern w:val="0"/>
          <w:szCs w:val="24"/>
          <w:highlight w:val="none"/>
        </w:rPr>
        <w:t>（实施方案包括履行合同的时间计划、提交资料、人员安排等）</w:t>
      </w:r>
    </w:p>
    <w:p w14:paraId="38C137BC">
      <w:pPr>
        <w:ind w:firstLine="420"/>
        <w:rPr>
          <w:rFonts w:cs="等线 Light"/>
          <w:color w:val="auto"/>
          <w:szCs w:val="21"/>
          <w:highlight w:val="none"/>
        </w:rPr>
      </w:pPr>
    </w:p>
    <w:p w14:paraId="686A0429">
      <w:pPr>
        <w:ind w:firstLine="420"/>
        <w:rPr>
          <w:rFonts w:cs="等线 Light"/>
          <w:color w:val="auto"/>
          <w:szCs w:val="21"/>
          <w:highlight w:val="none"/>
        </w:rPr>
      </w:pPr>
    </w:p>
    <w:p w14:paraId="25E18177">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234A4677">
      <w:pPr>
        <w:pStyle w:val="96"/>
        <w:rPr>
          <w:color w:val="auto"/>
          <w:highlight w:val="none"/>
        </w:rPr>
      </w:pPr>
      <w:r>
        <w:rPr>
          <w:color w:val="auto"/>
          <w:highlight w:val="none"/>
        </w:rPr>
        <w:t>（</w:t>
      </w:r>
      <w:r>
        <w:rPr>
          <w:rFonts w:hint="eastAsia"/>
          <w:color w:val="auto"/>
          <w:highlight w:val="none"/>
          <w:lang w:val="en-US" w:eastAsia="zh-CN"/>
        </w:rPr>
        <w:t>八</w:t>
      </w:r>
      <w:r>
        <w:rPr>
          <w:color w:val="auto"/>
          <w:highlight w:val="none"/>
        </w:rPr>
        <w:t>）</w:t>
      </w:r>
      <w:r>
        <w:rPr>
          <w:rFonts w:hint="eastAsia"/>
          <w:color w:val="auto"/>
          <w:highlight w:val="none"/>
        </w:rPr>
        <w:t>其他（如有）</w:t>
      </w:r>
    </w:p>
    <w:p w14:paraId="5144861B">
      <w:pPr>
        <w:ind w:firstLine="420"/>
        <w:rPr>
          <w:rFonts w:cs="等线 Light"/>
          <w:color w:val="auto"/>
          <w:szCs w:val="21"/>
          <w:highlight w:val="none"/>
        </w:rPr>
      </w:pPr>
    </w:p>
    <w:p w14:paraId="403B9399">
      <w:pPr>
        <w:ind w:firstLine="420"/>
        <w:rPr>
          <w:rFonts w:cs="等线 Light"/>
          <w:color w:val="auto"/>
          <w:szCs w:val="21"/>
          <w:highlight w:val="none"/>
        </w:rPr>
      </w:pPr>
    </w:p>
    <w:p w14:paraId="5022B9BD">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03E93F31">
      <w:pPr>
        <w:pStyle w:val="92"/>
        <w:rPr>
          <w:rFonts w:hint="default"/>
          <w:color w:val="auto"/>
          <w:highlight w:val="none"/>
        </w:rPr>
      </w:pPr>
      <w:r>
        <w:rPr>
          <w:color w:val="auto"/>
          <w:highlight w:val="none"/>
        </w:rPr>
        <w:t>五、服务水平协议（SLA）</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00"/>
        <w:gridCol w:w="1375"/>
        <w:gridCol w:w="2339"/>
        <w:gridCol w:w="3558"/>
        <w:gridCol w:w="2682"/>
        <w:gridCol w:w="2702"/>
      </w:tblGrid>
      <w:tr w14:paraId="3333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5DD76">
            <w:pPr>
              <w:pStyle w:val="111"/>
              <w:rPr>
                <w:color w:val="auto"/>
                <w:highlight w:val="none"/>
              </w:rPr>
            </w:pPr>
            <w:r>
              <w:rPr>
                <w:color w:val="auto"/>
                <w:highlight w:val="none"/>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14AA4">
            <w:pPr>
              <w:pStyle w:val="111"/>
              <w:rPr>
                <w:color w:val="auto"/>
                <w:highlight w:val="none"/>
              </w:rPr>
            </w:pPr>
            <w:r>
              <w:rPr>
                <w:color w:val="auto"/>
                <w:highlight w:val="none"/>
              </w:rPr>
              <w:t>服务内容</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FA344">
            <w:pPr>
              <w:pStyle w:val="111"/>
              <w:rPr>
                <w:color w:val="auto"/>
                <w:highlight w:val="none"/>
              </w:rPr>
            </w:pPr>
            <w:r>
              <w:rPr>
                <w:color w:val="auto"/>
                <w:highlight w:val="none"/>
              </w:rPr>
              <w:t>服务定义</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92E9B">
            <w:pPr>
              <w:pStyle w:val="111"/>
              <w:rPr>
                <w:color w:val="auto"/>
                <w:highlight w:val="none"/>
              </w:rPr>
            </w:pPr>
            <w:r>
              <w:rPr>
                <w:color w:val="auto"/>
                <w:highlight w:val="none"/>
              </w:rPr>
              <w:t>服务标准</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F690E">
            <w:pPr>
              <w:pStyle w:val="111"/>
              <w:rPr>
                <w:color w:val="auto"/>
                <w:highlight w:val="none"/>
              </w:rPr>
            </w:pPr>
            <w:r>
              <w:rPr>
                <w:color w:val="auto"/>
                <w:highlight w:val="none"/>
              </w:rPr>
              <w:t>指标计算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57373">
            <w:pPr>
              <w:pStyle w:val="111"/>
              <w:rPr>
                <w:color w:val="auto"/>
                <w:highlight w:val="none"/>
              </w:rPr>
            </w:pPr>
            <w:r>
              <w:rPr>
                <w:color w:val="auto"/>
                <w:highlight w:val="none"/>
              </w:rPr>
              <w:t>服务水平要求</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8A5A0">
            <w:pPr>
              <w:pStyle w:val="111"/>
              <w:rPr>
                <w:color w:val="auto"/>
                <w:highlight w:val="none"/>
              </w:rPr>
            </w:pPr>
            <w:r>
              <w:rPr>
                <w:color w:val="auto"/>
                <w:highlight w:val="none"/>
              </w:rPr>
              <w:t>违约金标准</w:t>
            </w:r>
          </w:p>
        </w:tc>
      </w:tr>
      <w:tr w14:paraId="7534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5ADEF">
            <w:pPr>
              <w:pStyle w:val="110"/>
              <w:rPr>
                <w:color w:val="auto"/>
                <w:highlight w:val="none"/>
              </w:rPr>
            </w:pPr>
            <w:r>
              <w:rPr>
                <w:color w:val="auto"/>
                <w:highlight w:val="none"/>
              </w:rPr>
              <w:t>1</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4E19A">
            <w:pPr>
              <w:pStyle w:val="110"/>
              <w:rPr>
                <w:color w:val="auto"/>
                <w:highlight w:val="none"/>
              </w:rPr>
            </w:pPr>
            <w:r>
              <w:rPr>
                <w:color w:val="auto"/>
                <w:highlight w:val="none"/>
              </w:rPr>
              <w:t>任务响应</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EB166">
            <w:pPr>
              <w:pStyle w:val="110"/>
              <w:rPr>
                <w:color w:val="auto"/>
                <w:highlight w:val="none"/>
              </w:rPr>
            </w:pPr>
            <w:r>
              <w:rPr>
                <w:color w:val="auto"/>
                <w:highlight w:val="none"/>
              </w:rPr>
              <w:t>衡量乙方在需求与问题响应方面的能力</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4576F">
            <w:pPr>
              <w:pStyle w:val="110"/>
              <w:rPr>
                <w:color w:val="auto"/>
                <w:highlight w:val="none"/>
              </w:rPr>
            </w:pPr>
            <w:r>
              <w:rPr>
                <w:color w:val="auto"/>
                <w:highlight w:val="none"/>
              </w:rPr>
              <w:t>乙方在收到甲方任务后2个工作日内，向甲方反馈确认任务的实施方案、计划和工作量等</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FAAE3">
            <w:pPr>
              <w:pStyle w:val="110"/>
              <w:rPr>
                <w:color w:val="auto"/>
                <w:highlight w:val="none"/>
              </w:rPr>
            </w:pPr>
            <w:r>
              <w:rPr>
                <w:color w:val="auto"/>
                <w:highlight w:val="none"/>
              </w:rPr>
              <w:t>甲方应当明确任务提出时间，乙方应当向甲方发出一个确认任务响应信息</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4ABD4">
            <w:pPr>
              <w:pStyle w:val="110"/>
              <w:rPr>
                <w:color w:val="auto"/>
                <w:highlight w:val="none"/>
              </w:rPr>
            </w:pPr>
            <w:r>
              <w:rPr>
                <w:color w:val="auto"/>
                <w:highlight w:val="none"/>
              </w:rPr>
              <w:t>乙方不得违反承诺响应时间</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D46DB">
            <w:pPr>
              <w:pStyle w:val="110"/>
              <w:rPr>
                <w:color w:val="auto"/>
                <w:highlight w:val="none"/>
              </w:rPr>
            </w:pPr>
            <w:r>
              <w:rPr>
                <w:color w:val="auto"/>
                <w:highlight w:val="none"/>
              </w:rPr>
              <w:t>如违反承诺的响应时间要求，每次扣除1000元违约金</w:t>
            </w:r>
          </w:p>
        </w:tc>
      </w:tr>
      <w:tr w14:paraId="5BB7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61294">
            <w:pPr>
              <w:pStyle w:val="110"/>
              <w:rPr>
                <w:color w:val="auto"/>
                <w:highlight w:val="none"/>
              </w:rPr>
            </w:pPr>
            <w:r>
              <w:rPr>
                <w:color w:val="auto"/>
                <w:highlight w:val="none"/>
              </w:rPr>
              <w:t>2</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783B6">
            <w:pPr>
              <w:pStyle w:val="110"/>
              <w:rPr>
                <w:color w:val="auto"/>
                <w:highlight w:val="none"/>
              </w:rPr>
            </w:pPr>
            <w:r>
              <w:rPr>
                <w:color w:val="auto"/>
                <w:highlight w:val="none"/>
              </w:rPr>
              <w:t>项目延期</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3CD35">
            <w:pPr>
              <w:pStyle w:val="110"/>
              <w:rPr>
                <w:color w:val="auto"/>
                <w:highlight w:val="none"/>
              </w:rPr>
            </w:pPr>
            <w:r>
              <w:rPr>
                <w:color w:val="auto"/>
                <w:highlight w:val="none"/>
              </w:rPr>
              <w:t>衡量乙方对项目整体实施进度的控制能力</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FEA5C">
            <w:pPr>
              <w:pStyle w:val="110"/>
              <w:rPr>
                <w:color w:val="auto"/>
                <w:highlight w:val="none"/>
              </w:rPr>
            </w:pPr>
            <w:r>
              <w:rPr>
                <w:color w:val="auto"/>
                <w:highlight w:val="none"/>
              </w:rPr>
              <w:t>乙方原因导致的项目进度偏差</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43FF3">
            <w:pPr>
              <w:pStyle w:val="110"/>
              <w:rPr>
                <w:color w:val="auto"/>
                <w:highlight w:val="none"/>
              </w:rPr>
            </w:pPr>
            <w:r>
              <w:rPr>
                <w:color w:val="auto"/>
                <w:highlight w:val="none"/>
              </w:rPr>
              <w:t>按项目计划为基准计算进度偏差天数（进度偏差率≤20%）</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B83EC">
            <w:pPr>
              <w:pStyle w:val="110"/>
              <w:rPr>
                <w:color w:val="auto"/>
                <w:highlight w:val="none"/>
              </w:rPr>
            </w:pPr>
            <w:r>
              <w:rPr>
                <w:color w:val="auto"/>
                <w:highlight w:val="none"/>
              </w:rPr>
              <w:t>进度偏差率=进度偏差天数/项目计划中进度天数（进度偏差率≤20%）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3A562">
            <w:pPr>
              <w:pStyle w:val="110"/>
              <w:rPr>
                <w:color w:val="auto"/>
                <w:highlight w:val="none"/>
              </w:rPr>
            </w:pPr>
            <w:r>
              <w:rPr>
                <w:color w:val="auto"/>
                <w:highlight w:val="none"/>
              </w:rPr>
              <w:t>20%＜进度偏差率≤30%，每偏差一天按合同总金额的0.1%计违约金，进度偏差率＞30%并且延期3个月以上，违约金为合同总金额的10%</w:t>
            </w:r>
          </w:p>
        </w:tc>
      </w:tr>
      <w:tr w14:paraId="03E8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9AE81">
            <w:pPr>
              <w:pStyle w:val="110"/>
              <w:rPr>
                <w:color w:val="auto"/>
                <w:highlight w:val="none"/>
              </w:rPr>
            </w:pPr>
            <w:r>
              <w:rPr>
                <w:color w:val="auto"/>
                <w:highlight w:val="none"/>
              </w:rPr>
              <w:t>3</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89007">
            <w:pPr>
              <w:pStyle w:val="110"/>
              <w:rPr>
                <w:color w:val="auto"/>
                <w:highlight w:val="none"/>
              </w:rPr>
            </w:pPr>
            <w:r>
              <w:rPr>
                <w:color w:val="auto"/>
                <w:highlight w:val="none"/>
              </w:rPr>
              <w:t>任务完成情况</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52A6A">
            <w:pPr>
              <w:pStyle w:val="110"/>
              <w:rPr>
                <w:color w:val="auto"/>
                <w:highlight w:val="none"/>
              </w:rPr>
            </w:pPr>
            <w:r>
              <w:rPr>
                <w:color w:val="auto"/>
                <w:highlight w:val="none"/>
              </w:rPr>
              <w:t>衡量乙方按计划完成任务的能力</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FE479">
            <w:pPr>
              <w:pStyle w:val="110"/>
              <w:rPr>
                <w:color w:val="auto"/>
                <w:highlight w:val="none"/>
              </w:rPr>
            </w:pPr>
            <w:r>
              <w:rPr>
                <w:color w:val="auto"/>
                <w:highlight w:val="none"/>
              </w:rPr>
              <w:t>乙方应当在双方确认的时间内完成任务</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2D56D">
            <w:pPr>
              <w:pStyle w:val="110"/>
              <w:rPr>
                <w:color w:val="auto"/>
                <w:highlight w:val="none"/>
              </w:rPr>
            </w:pPr>
          </w:p>
          <w:p w14:paraId="469CFD2F">
            <w:pPr>
              <w:pStyle w:val="110"/>
              <w:rPr>
                <w:color w:val="auto"/>
                <w:highlight w:val="none"/>
              </w:rPr>
            </w:pPr>
            <w:r>
              <w:rPr>
                <w:color w:val="auto"/>
                <w:highlight w:val="none"/>
              </w:rPr>
              <w:t>甲方标识出每一项任务完成的具体时间，对比乙方给出的任务完成计划时间</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E1B10">
            <w:pPr>
              <w:pStyle w:val="110"/>
              <w:rPr>
                <w:color w:val="auto"/>
                <w:highlight w:val="none"/>
              </w:rPr>
            </w:pPr>
            <w:r>
              <w:rPr>
                <w:color w:val="auto"/>
                <w:highlight w:val="none"/>
              </w:rPr>
              <w:t>1.需求分析说明、概要设计、详细设计100%完成；</w:t>
            </w:r>
          </w:p>
          <w:p w14:paraId="09E853C4">
            <w:pPr>
              <w:pStyle w:val="110"/>
              <w:rPr>
                <w:color w:val="auto"/>
                <w:highlight w:val="none"/>
              </w:rPr>
            </w:pPr>
            <w:r>
              <w:rPr>
                <w:color w:val="auto"/>
                <w:highlight w:val="none"/>
              </w:rPr>
              <w:t>2.软件编码100%完成；</w:t>
            </w:r>
          </w:p>
          <w:p w14:paraId="4CE1CFFC">
            <w:pPr>
              <w:pStyle w:val="110"/>
              <w:rPr>
                <w:color w:val="auto"/>
                <w:highlight w:val="none"/>
              </w:rPr>
            </w:pPr>
            <w:r>
              <w:rPr>
                <w:color w:val="auto"/>
                <w:highlight w:val="none"/>
              </w:rPr>
              <w:t>3.测试案例需求覆盖率100%，且测试案例执行率100%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D5673">
            <w:pPr>
              <w:pStyle w:val="110"/>
              <w:rPr>
                <w:color w:val="auto"/>
                <w:highlight w:val="none"/>
              </w:rPr>
            </w:pPr>
            <w:r>
              <w:rPr>
                <w:color w:val="auto"/>
                <w:highlight w:val="none"/>
              </w:rPr>
              <w:t>以上三个指标之一低于90%甲方有权终止合同，追回支付款项，要求赔偿损失</w:t>
            </w:r>
          </w:p>
        </w:tc>
      </w:tr>
      <w:tr w14:paraId="4250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9F608">
            <w:pPr>
              <w:pStyle w:val="110"/>
              <w:rPr>
                <w:color w:val="auto"/>
                <w:highlight w:val="none"/>
              </w:rPr>
            </w:pPr>
            <w:r>
              <w:rPr>
                <w:color w:val="auto"/>
                <w:highlight w:val="none"/>
              </w:rPr>
              <w:t>4</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948EA">
            <w:pPr>
              <w:pStyle w:val="110"/>
              <w:rPr>
                <w:color w:val="auto"/>
                <w:highlight w:val="none"/>
              </w:rPr>
            </w:pPr>
            <w:r>
              <w:rPr>
                <w:color w:val="auto"/>
                <w:highlight w:val="none"/>
              </w:rPr>
              <w:t>上线后重大质量缺陷</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7A092">
            <w:pPr>
              <w:pStyle w:val="110"/>
              <w:rPr>
                <w:color w:val="auto"/>
                <w:highlight w:val="none"/>
              </w:rPr>
            </w:pPr>
            <w:r>
              <w:rPr>
                <w:color w:val="auto"/>
                <w:highlight w:val="none"/>
              </w:rPr>
              <w:t>衡量乙方在系统上线运行后的稳定性</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A5785">
            <w:pPr>
              <w:pStyle w:val="110"/>
              <w:rPr>
                <w:color w:val="auto"/>
                <w:highlight w:val="none"/>
              </w:rPr>
            </w:pPr>
            <w:r>
              <w:rPr>
                <w:color w:val="auto"/>
                <w:highlight w:val="none"/>
              </w:rPr>
              <w:t>系统上线后不能发生较大运营中断事件和重大质量缺陷</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7E15C">
            <w:pPr>
              <w:pStyle w:val="110"/>
              <w:rPr>
                <w:color w:val="auto"/>
                <w:highlight w:val="none"/>
              </w:rPr>
            </w:pPr>
            <w:r>
              <w:rPr>
                <w:color w:val="auto"/>
                <w:highlight w:val="none"/>
              </w:rPr>
              <w:t>甲方根据系统生产缺陷程度和数量判定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38B31">
            <w:pPr>
              <w:pStyle w:val="110"/>
              <w:rPr>
                <w:color w:val="auto"/>
                <w:highlight w:val="none"/>
              </w:rPr>
            </w:pPr>
            <w:r>
              <w:rPr>
                <w:color w:val="auto"/>
                <w:highlight w:val="none"/>
              </w:rPr>
              <w:t>1、应用软件未出现III级(含)以上的运营中断事件；</w:t>
            </w:r>
          </w:p>
          <w:p w14:paraId="3C825F12">
            <w:pPr>
              <w:pStyle w:val="110"/>
              <w:rPr>
                <w:color w:val="auto"/>
                <w:highlight w:val="none"/>
              </w:rPr>
            </w:pPr>
            <w:r>
              <w:rPr>
                <w:color w:val="auto"/>
                <w:highlight w:val="none"/>
              </w:rPr>
              <w:t>2、应用软件未出现严重缺陷和致命缺陷；</w:t>
            </w:r>
          </w:p>
          <w:p w14:paraId="1A228A49">
            <w:pPr>
              <w:pStyle w:val="110"/>
              <w:rPr>
                <w:color w:val="auto"/>
                <w:highlight w:val="none"/>
              </w:rPr>
            </w:pPr>
            <w:r>
              <w:rPr>
                <w:color w:val="auto"/>
                <w:highlight w:val="none"/>
              </w:rPr>
              <w:t xml:space="preserve">3、一般和微小缺陷逃逸率≤4.5% </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B8830">
            <w:pPr>
              <w:pStyle w:val="110"/>
              <w:rPr>
                <w:color w:val="auto"/>
                <w:highlight w:val="none"/>
              </w:rPr>
            </w:pPr>
            <w:r>
              <w:rPr>
                <w:color w:val="auto"/>
                <w:highlight w:val="none"/>
              </w:rPr>
              <w:t>不满足该项任一标准扣除2万元违约金并要求乙方赔偿损失</w:t>
            </w:r>
          </w:p>
        </w:tc>
      </w:tr>
      <w:tr w14:paraId="6BC1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9B660">
            <w:pPr>
              <w:pStyle w:val="110"/>
              <w:rPr>
                <w:color w:val="auto"/>
                <w:highlight w:val="none"/>
              </w:rPr>
            </w:pPr>
            <w:r>
              <w:rPr>
                <w:color w:val="auto"/>
                <w:highlight w:val="none"/>
              </w:rPr>
              <w:t>5</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D7843">
            <w:pPr>
              <w:pStyle w:val="110"/>
              <w:rPr>
                <w:color w:val="auto"/>
                <w:highlight w:val="none"/>
              </w:rPr>
            </w:pPr>
            <w:r>
              <w:rPr>
                <w:color w:val="auto"/>
                <w:highlight w:val="none"/>
              </w:rPr>
              <w:t>上线后重大问题处理</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AC923">
            <w:pPr>
              <w:pStyle w:val="110"/>
              <w:rPr>
                <w:color w:val="auto"/>
                <w:highlight w:val="none"/>
              </w:rPr>
            </w:pPr>
            <w:r>
              <w:rPr>
                <w:color w:val="auto"/>
                <w:highlight w:val="none"/>
              </w:rPr>
              <w:t>衡量乙方在系统上线运行后及时处理重大问题的能力</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025C1">
            <w:pPr>
              <w:pStyle w:val="110"/>
              <w:rPr>
                <w:color w:val="auto"/>
                <w:highlight w:val="none"/>
              </w:rPr>
            </w:pPr>
            <w:r>
              <w:rPr>
                <w:color w:val="auto"/>
                <w:highlight w:val="none"/>
              </w:rPr>
              <w:t>上线后遗留问题或生产缺陷解决的及时性</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E5096">
            <w:pPr>
              <w:pStyle w:val="110"/>
              <w:rPr>
                <w:color w:val="auto"/>
                <w:highlight w:val="none"/>
              </w:rPr>
            </w:pPr>
            <w:r>
              <w:rPr>
                <w:color w:val="auto"/>
                <w:highlight w:val="none"/>
              </w:rPr>
              <w:t>甲方根据系统上线运行后的重大问题处理情况判定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2A98C">
            <w:pPr>
              <w:pStyle w:val="110"/>
              <w:rPr>
                <w:color w:val="auto"/>
                <w:highlight w:val="none"/>
              </w:rPr>
            </w:pPr>
            <w:r>
              <w:rPr>
                <w:color w:val="auto"/>
                <w:highlight w:val="none"/>
              </w:rPr>
              <w:t>生产缺陷解决及时率=100%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66248">
            <w:pPr>
              <w:pStyle w:val="110"/>
              <w:rPr>
                <w:color w:val="auto"/>
                <w:highlight w:val="none"/>
              </w:rPr>
            </w:pPr>
            <w:r>
              <w:rPr>
                <w:color w:val="auto"/>
                <w:highlight w:val="none"/>
              </w:rPr>
              <w:t>重大生产缺陷、问题不能得到及时解决，每次按合同总金额的5%计违约金</w:t>
            </w:r>
          </w:p>
        </w:tc>
      </w:tr>
      <w:tr w14:paraId="38F5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AB7C27">
            <w:pPr>
              <w:pStyle w:val="110"/>
              <w:rPr>
                <w:color w:val="auto"/>
                <w:highlight w:val="none"/>
              </w:rPr>
            </w:pPr>
            <w:r>
              <w:rPr>
                <w:color w:val="auto"/>
                <w:highlight w:val="none"/>
              </w:rPr>
              <w:t>6</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C13B3">
            <w:pPr>
              <w:pStyle w:val="110"/>
              <w:rPr>
                <w:color w:val="auto"/>
                <w:highlight w:val="none"/>
              </w:rPr>
            </w:pPr>
            <w:r>
              <w:rPr>
                <w:color w:val="auto"/>
                <w:highlight w:val="none"/>
              </w:rPr>
              <w:t>人力资源投入及人员稳定性</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AFFC4">
            <w:pPr>
              <w:pStyle w:val="110"/>
              <w:rPr>
                <w:color w:val="auto"/>
                <w:highlight w:val="none"/>
              </w:rPr>
            </w:pPr>
            <w:r>
              <w:rPr>
                <w:color w:val="auto"/>
                <w:highlight w:val="none"/>
              </w:rPr>
              <w:t>衡量乙方人员服务的符合度及人员稳定性</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DC8EC">
            <w:pPr>
              <w:pStyle w:val="110"/>
              <w:rPr>
                <w:color w:val="auto"/>
                <w:highlight w:val="none"/>
              </w:rPr>
            </w:pPr>
            <w:r>
              <w:rPr>
                <w:color w:val="auto"/>
                <w:highlight w:val="none"/>
              </w:rPr>
              <w:t>投入人员情况符合投标文件或合同要求，乙方项目组人员变动比例不得高于30%</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BEAB5">
            <w:pPr>
              <w:pStyle w:val="110"/>
              <w:rPr>
                <w:color w:val="auto"/>
                <w:highlight w:val="none"/>
              </w:rPr>
            </w:pPr>
            <w:r>
              <w:rPr>
                <w:color w:val="auto"/>
                <w:highlight w:val="none"/>
              </w:rPr>
              <w:t>甲方按合同要求判定乙方人员投入及变动情况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2FECC">
            <w:pPr>
              <w:pStyle w:val="110"/>
              <w:rPr>
                <w:color w:val="auto"/>
                <w:highlight w:val="none"/>
              </w:rPr>
            </w:pPr>
            <w:r>
              <w:rPr>
                <w:color w:val="auto"/>
                <w:highlight w:val="none"/>
              </w:rPr>
              <w:t>人员数量差异=承诺人数-实际人数</w:t>
            </w:r>
          </w:p>
          <w:p w14:paraId="65C3D401">
            <w:pPr>
              <w:pStyle w:val="110"/>
              <w:rPr>
                <w:color w:val="auto"/>
                <w:highlight w:val="none"/>
              </w:rPr>
            </w:pPr>
            <w:r>
              <w:rPr>
                <w:color w:val="auto"/>
                <w:highlight w:val="none"/>
              </w:rPr>
              <w:t>人员变动率=人员变动人数/原项目组人员总人数</w:t>
            </w:r>
          </w:p>
          <w:p w14:paraId="780BA07E">
            <w:pPr>
              <w:pStyle w:val="110"/>
              <w:rPr>
                <w:color w:val="auto"/>
                <w:highlight w:val="none"/>
              </w:rPr>
            </w:pPr>
            <w:r>
              <w:rPr>
                <w:color w:val="auto"/>
                <w:highlight w:val="none"/>
              </w:rPr>
              <w:t>（人员数量差异≤2；技术骨干及项目经理不得变动；技术人员变动率≤30%）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5A383">
            <w:pPr>
              <w:pStyle w:val="110"/>
              <w:rPr>
                <w:color w:val="auto"/>
                <w:highlight w:val="none"/>
              </w:rPr>
            </w:pPr>
            <w:r>
              <w:rPr>
                <w:color w:val="auto"/>
                <w:highlight w:val="none"/>
              </w:rPr>
              <w:t>技术骨干及项目经理变动扣除技术骨干人月单价（至少不低于3万元），技术人员变动超过30%，扣除合同总金额10%</w:t>
            </w:r>
          </w:p>
        </w:tc>
      </w:tr>
      <w:tr w14:paraId="445A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F593D">
            <w:pPr>
              <w:pStyle w:val="110"/>
              <w:rPr>
                <w:color w:val="auto"/>
                <w:highlight w:val="none"/>
              </w:rPr>
            </w:pPr>
            <w:r>
              <w:rPr>
                <w:color w:val="auto"/>
                <w:highlight w:val="none"/>
              </w:rPr>
              <w:t>7</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D974B">
            <w:pPr>
              <w:pStyle w:val="110"/>
              <w:rPr>
                <w:color w:val="auto"/>
                <w:highlight w:val="none"/>
              </w:rPr>
            </w:pPr>
            <w:r>
              <w:rPr>
                <w:color w:val="auto"/>
                <w:highlight w:val="none"/>
              </w:rPr>
              <w:t>测试人员配置</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44611">
            <w:pPr>
              <w:pStyle w:val="110"/>
              <w:rPr>
                <w:color w:val="auto"/>
                <w:highlight w:val="none"/>
              </w:rPr>
            </w:pPr>
            <w:r>
              <w:rPr>
                <w:color w:val="auto"/>
                <w:highlight w:val="none"/>
              </w:rPr>
              <w:t>衡量乙方投入系统测试人员的符合度</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DABDD">
            <w:pPr>
              <w:pStyle w:val="110"/>
              <w:rPr>
                <w:color w:val="auto"/>
                <w:highlight w:val="none"/>
              </w:rPr>
            </w:pPr>
            <w:r>
              <w:rPr>
                <w:color w:val="auto"/>
                <w:highlight w:val="none"/>
              </w:rPr>
              <w:t>投入系统测试人员情况符合投标文件或合同要求</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2CDAD">
            <w:pPr>
              <w:pStyle w:val="110"/>
              <w:rPr>
                <w:color w:val="auto"/>
                <w:highlight w:val="none"/>
              </w:rPr>
            </w:pPr>
            <w:r>
              <w:rPr>
                <w:color w:val="auto"/>
                <w:highlight w:val="none"/>
              </w:rPr>
              <w:t>甲方按照合同或标书要求判定乙方测试人员投入情况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B65EC">
            <w:pPr>
              <w:pStyle w:val="110"/>
              <w:rPr>
                <w:color w:val="auto"/>
                <w:highlight w:val="none"/>
              </w:rPr>
            </w:pPr>
            <w:r>
              <w:rPr>
                <w:color w:val="auto"/>
                <w:highlight w:val="none"/>
              </w:rPr>
              <w:t>人员重合率=测试人员/开发人员（人员重合率=0）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75C62">
            <w:pPr>
              <w:pStyle w:val="110"/>
              <w:rPr>
                <w:color w:val="auto"/>
                <w:highlight w:val="none"/>
              </w:rPr>
            </w:pPr>
          </w:p>
        </w:tc>
      </w:tr>
      <w:tr w14:paraId="074C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21D46">
            <w:pPr>
              <w:pStyle w:val="110"/>
              <w:rPr>
                <w:color w:val="auto"/>
                <w:highlight w:val="none"/>
              </w:rPr>
            </w:pPr>
            <w:r>
              <w:rPr>
                <w:color w:val="auto"/>
                <w:highlight w:val="none"/>
              </w:rPr>
              <w:t>8</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E38E5">
            <w:pPr>
              <w:pStyle w:val="110"/>
              <w:rPr>
                <w:color w:val="auto"/>
                <w:highlight w:val="none"/>
              </w:rPr>
            </w:pPr>
            <w:r>
              <w:rPr>
                <w:color w:val="auto"/>
                <w:highlight w:val="none"/>
              </w:rPr>
              <w:t>人员异常退出</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CDA54">
            <w:pPr>
              <w:pStyle w:val="110"/>
              <w:rPr>
                <w:color w:val="auto"/>
                <w:highlight w:val="none"/>
              </w:rPr>
            </w:pPr>
            <w:r>
              <w:rPr>
                <w:color w:val="auto"/>
                <w:highlight w:val="none"/>
              </w:rPr>
              <w:t>衡量乙方人员是否提供持续服务</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F924E">
            <w:pPr>
              <w:pStyle w:val="110"/>
              <w:rPr>
                <w:color w:val="auto"/>
                <w:highlight w:val="none"/>
              </w:rPr>
            </w:pPr>
            <w:r>
              <w:rPr>
                <w:color w:val="auto"/>
                <w:highlight w:val="none"/>
              </w:rPr>
              <w:t>未经甲方同意，乙方人员辞职和离职或无计划的调离项目组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4EA30">
            <w:pPr>
              <w:pStyle w:val="110"/>
              <w:rPr>
                <w:color w:val="auto"/>
                <w:highlight w:val="none"/>
              </w:rPr>
            </w:pPr>
            <w:r>
              <w:rPr>
                <w:color w:val="auto"/>
                <w:highlight w:val="none"/>
              </w:rPr>
              <w:t>甲方根据乙方人员退出的具体时间和原因测算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D8448">
            <w:pPr>
              <w:pStyle w:val="110"/>
              <w:rPr>
                <w:color w:val="auto"/>
                <w:highlight w:val="none"/>
              </w:rPr>
            </w:pPr>
            <w:r>
              <w:rPr>
                <w:color w:val="auto"/>
                <w:highlight w:val="none"/>
              </w:rPr>
              <w:t>人员异常退出次数=0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0F229">
            <w:pPr>
              <w:pStyle w:val="110"/>
              <w:rPr>
                <w:color w:val="auto"/>
                <w:highlight w:val="none"/>
              </w:rPr>
            </w:pPr>
            <w:r>
              <w:rPr>
                <w:color w:val="auto"/>
                <w:highlight w:val="none"/>
              </w:rPr>
              <w:t>每次人员异常退出扣除乙方金额人民币1000元</w:t>
            </w:r>
          </w:p>
        </w:tc>
      </w:tr>
      <w:tr w14:paraId="037D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5326A">
            <w:pPr>
              <w:pStyle w:val="110"/>
              <w:rPr>
                <w:color w:val="auto"/>
                <w:highlight w:val="none"/>
              </w:rPr>
            </w:pPr>
            <w:r>
              <w:rPr>
                <w:color w:val="auto"/>
                <w:highlight w:val="none"/>
              </w:rPr>
              <w:t>9</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CC5B0">
            <w:pPr>
              <w:pStyle w:val="110"/>
              <w:rPr>
                <w:color w:val="auto"/>
                <w:highlight w:val="none"/>
              </w:rPr>
            </w:pPr>
            <w:r>
              <w:rPr>
                <w:color w:val="auto"/>
                <w:highlight w:val="none"/>
              </w:rPr>
              <w:t>人员纪律性</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10C8F">
            <w:pPr>
              <w:pStyle w:val="110"/>
              <w:rPr>
                <w:color w:val="auto"/>
                <w:highlight w:val="none"/>
              </w:rPr>
            </w:pPr>
            <w:r>
              <w:rPr>
                <w:color w:val="auto"/>
                <w:highlight w:val="none"/>
              </w:rPr>
              <w:t>衡量乙方人员是否遵守甲方的日常规章和操作规范</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EC208">
            <w:pPr>
              <w:pStyle w:val="110"/>
              <w:rPr>
                <w:color w:val="auto"/>
                <w:highlight w:val="none"/>
              </w:rPr>
            </w:pPr>
            <w:r>
              <w:rPr>
                <w:color w:val="auto"/>
                <w:highlight w:val="none"/>
              </w:rPr>
              <w:t>乙方人员不得违反甲方的各项规章制度和操作规范</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16A05">
            <w:pPr>
              <w:pStyle w:val="110"/>
              <w:rPr>
                <w:color w:val="auto"/>
                <w:highlight w:val="none"/>
              </w:rPr>
            </w:pPr>
            <w:r>
              <w:rPr>
                <w:color w:val="auto"/>
                <w:highlight w:val="none"/>
              </w:rPr>
              <w:t>甲方根据自身检查及其他管理部门的检查结果为依据统计乙方人员违规次数。</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215F3">
            <w:pPr>
              <w:pStyle w:val="110"/>
              <w:rPr>
                <w:color w:val="auto"/>
                <w:highlight w:val="none"/>
              </w:rPr>
            </w:pPr>
            <w:r>
              <w:rPr>
                <w:color w:val="auto"/>
                <w:highlight w:val="none"/>
              </w:rPr>
              <w:t>人员违规次数=0次</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C1AF5">
            <w:pPr>
              <w:pStyle w:val="110"/>
              <w:rPr>
                <w:color w:val="auto"/>
                <w:highlight w:val="none"/>
              </w:rPr>
            </w:pPr>
            <w:r>
              <w:rPr>
                <w:color w:val="auto"/>
                <w:highlight w:val="none"/>
              </w:rPr>
              <w:t>乙方人员违反甲方规章制度或操作规范，每次扣除乙方金额人民币500元</w:t>
            </w:r>
          </w:p>
        </w:tc>
      </w:tr>
      <w:tr w14:paraId="739E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BE4F4">
            <w:pPr>
              <w:pStyle w:val="110"/>
              <w:rPr>
                <w:color w:val="auto"/>
                <w:highlight w:val="none"/>
              </w:rPr>
            </w:pPr>
            <w:r>
              <w:rPr>
                <w:color w:val="auto"/>
                <w:highlight w:val="none"/>
              </w:rPr>
              <w:t>10</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3A368">
            <w:pPr>
              <w:pStyle w:val="110"/>
              <w:rPr>
                <w:color w:val="auto"/>
                <w:highlight w:val="none"/>
              </w:rPr>
            </w:pPr>
            <w:r>
              <w:rPr>
                <w:color w:val="auto"/>
                <w:highlight w:val="none"/>
              </w:rPr>
              <w:t>安全管理</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A4BCC">
            <w:pPr>
              <w:pStyle w:val="110"/>
              <w:rPr>
                <w:color w:val="auto"/>
                <w:highlight w:val="none"/>
              </w:rPr>
            </w:pPr>
            <w:r>
              <w:rPr>
                <w:color w:val="auto"/>
                <w:highlight w:val="none"/>
              </w:rPr>
              <w:t>衡量乙方网络和信息安全服务的管理能力</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F9024">
            <w:pPr>
              <w:pStyle w:val="110"/>
              <w:rPr>
                <w:color w:val="auto"/>
                <w:highlight w:val="none"/>
              </w:rPr>
            </w:pPr>
            <w:r>
              <w:rPr>
                <w:color w:val="auto"/>
                <w:highlight w:val="none"/>
              </w:rPr>
              <w:t>针对发现的安全漏洞及安全缺陷（包括源代码、第三方SDK或第三方小程序、第三方软件产品及开源组件等），须按甲方要求完成整改。</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A9C95">
            <w:pPr>
              <w:pStyle w:val="110"/>
              <w:rPr>
                <w:color w:val="auto"/>
                <w:highlight w:val="none"/>
              </w:rPr>
            </w:pPr>
            <w:r>
              <w:rPr>
                <w:color w:val="auto"/>
                <w:highlight w:val="none"/>
              </w:rPr>
              <w:t>甲方根据整改情况统计整改及时性及整改通过率。</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5D805">
            <w:pPr>
              <w:pStyle w:val="110"/>
              <w:rPr>
                <w:color w:val="auto"/>
                <w:highlight w:val="none"/>
              </w:rPr>
            </w:pPr>
            <w:r>
              <w:rPr>
                <w:color w:val="auto"/>
                <w:highlight w:val="none"/>
              </w:rPr>
              <w:t>互联网或电子银行类系统：</w:t>
            </w:r>
          </w:p>
          <w:p w14:paraId="295916A8">
            <w:pPr>
              <w:pStyle w:val="110"/>
              <w:rPr>
                <w:color w:val="auto"/>
                <w:highlight w:val="none"/>
              </w:rPr>
            </w:pPr>
            <w:r>
              <w:rPr>
                <w:color w:val="auto"/>
                <w:highlight w:val="none"/>
              </w:rPr>
              <w:t>1.安全漏洞及安全缺陷整改及时率=100%</w:t>
            </w:r>
          </w:p>
          <w:p w14:paraId="59D354A2">
            <w:pPr>
              <w:pStyle w:val="110"/>
              <w:rPr>
                <w:color w:val="auto"/>
                <w:highlight w:val="none"/>
              </w:rPr>
            </w:pPr>
            <w:r>
              <w:rPr>
                <w:color w:val="auto"/>
                <w:highlight w:val="none"/>
              </w:rPr>
              <w:t>2.安全漏洞及安全缺陷整改通过率=100%</w:t>
            </w:r>
          </w:p>
          <w:p w14:paraId="6DD91625">
            <w:pPr>
              <w:pStyle w:val="110"/>
              <w:rPr>
                <w:color w:val="auto"/>
                <w:highlight w:val="none"/>
              </w:rPr>
            </w:pPr>
            <w:r>
              <w:rPr>
                <w:color w:val="auto"/>
                <w:highlight w:val="none"/>
              </w:rPr>
              <w:t>非互联网或电子银行类系统：</w:t>
            </w:r>
          </w:p>
          <w:p w14:paraId="5A4FD856">
            <w:pPr>
              <w:pStyle w:val="110"/>
              <w:rPr>
                <w:color w:val="auto"/>
                <w:highlight w:val="none"/>
              </w:rPr>
            </w:pPr>
            <w:r>
              <w:rPr>
                <w:color w:val="auto"/>
                <w:highlight w:val="none"/>
              </w:rPr>
              <w:t>1.中高危安全漏洞及安全缺陷整改及时率=100%</w:t>
            </w:r>
          </w:p>
          <w:p w14:paraId="4001C225">
            <w:pPr>
              <w:pStyle w:val="110"/>
              <w:rPr>
                <w:color w:val="auto"/>
                <w:highlight w:val="none"/>
              </w:rPr>
            </w:pPr>
            <w:r>
              <w:rPr>
                <w:color w:val="auto"/>
                <w:highlight w:val="none"/>
              </w:rPr>
              <w:t>2.中高危安全漏洞及安全缺陷整改通过率=100%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03785">
            <w:pPr>
              <w:pStyle w:val="110"/>
              <w:rPr>
                <w:color w:val="auto"/>
                <w:highlight w:val="none"/>
              </w:rPr>
            </w:pPr>
            <w:r>
              <w:rPr>
                <w:color w:val="auto"/>
                <w:highlight w:val="none"/>
              </w:rPr>
              <w:t>不满足该项任一标准扣除2万元违约金并要求乙方赔偿损失</w:t>
            </w:r>
          </w:p>
        </w:tc>
      </w:tr>
      <w:tr w14:paraId="4D37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2A608">
            <w:pPr>
              <w:pStyle w:val="110"/>
              <w:rPr>
                <w:color w:val="auto"/>
                <w:highlight w:val="none"/>
              </w:rPr>
            </w:pPr>
            <w:r>
              <w:rPr>
                <w:color w:val="auto"/>
                <w:highlight w:val="none"/>
              </w:rPr>
              <w:t>11</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F78F9">
            <w:pPr>
              <w:pStyle w:val="110"/>
              <w:rPr>
                <w:color w:val="auto"/>
                <w:highlight w:val="none"/>
              </w:rPr>
            </w:pPr>
            <w:r>
              <w:rPr>
                <w:color w:val="auto"/>
                <w:highlight w:val="none"/>
              </w:rPr>
              <w:t>网络安全事件</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67F18">
            <w:pPr>
              <w:pStyle w:val="110"/>
              <w:rPr>
                <w:color w:val="auto"/>
                <w:highlight w:val="none"/>
              </w:rPr>
            </w:pPr>
            <w:r>
              <w:rPr>
                <w:color w:val="auto"/>
                <w:highlight w:val="none"/>
              </w:rPr>
              <w:t>控制网络安全风险</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BA709">
            <w:pPr>
              <w:pStyle w:val="110"/>
              <w:rPr>
                <w:color w:val="auto"/>
                <w:highlight w:val="none"/>
              </w:rPr>
            </w:pPr>
            <w:r>
              <w:rPr>
                <w:color w:val="auto"/>
                <w:highlight w:val="none"/>
              </w:rPr>
              <w:t>不得因乙方原因（含乙方合作的第三方）导致甲方发生网络安全事件</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C542D">
            <w:pPr>
              <w:pStyle w:val="110"/>
              <w:rPr>
                <w:color w:val="auto"/>
                <w:highlight w:val="none"/>
              </w:rPr>
            </w:pPr>
            <w:r>
              <w:rPr>
                <w:color w:val="auto"/>
                <w:highlight w:val="none"/>
              </w:rPr>
              <w:t>甲方根据监管和要求及事件危害程度判定。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D43A3">
            <w:pPr>
              <w:pStyle w:val="110"/>
              <w:rPr>
                <w:color w:val="auto"/>
                <w:highlight w:val="none"/>
              </w:rPr>
            </w:pPr>
            <w:r>
              <w:rPr>
                <w:color w:val="auto"/>
                <w:highlight w:val="none"/>
              </w:rPr>
              <w:t>网络安全事件=0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987D9">
            <w:pPr>
              <w:pStyle w:val="110"/>
              <w:rPr>
                <w:color w:val="auto"/>
                <w:highlight w:val="none"/>
              </w:rPr>
            </w:pPr>
            <w:r>
              <w:rPr>
                <w:color w:val="auto"/>
                <w:highlight w:val="none"/>
              </w:rPr>
              <w:t>每发生一次网络安全事件扣除乙方合同金额不低于3%,并要求乙方赔偿实际损失。</w:t>
            </w:r>
          </w:p>
        </w:tc>
      </w:tr>
      <w:tr w14:paraId="4E76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7955B">
            <w:pPr>
              <w:pStyle w:val="110"/>
              <w:rPr>
                <w:color w:val="auto"/>
                <w:highlight w:val="none"/>
              </w:rPr>
            </w:pPr>
            <w:r>
              <w:rPr>
                <w:color w:val="auto"/>
                <w:highlight w:val="none"/>
              </w:rPr>
              <w:t>12</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1C0AA">
            <w:pPr>
              <w:pStyle w:val="110"/>
              <w:rPr>
                <w:color w:val="auto"/>
                <w:highlight w:val="none"/>
              </w:rPr>
            </w:pPr>
            <w:r>
              <w:rPr>
                <w:color w:val="auto"/>
                <w:highlight w:val="none"/>
              </w:rPr>
              <w:t>外包安全事件</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B0F86">
            <w:pPr>
              <w:pStyle w:val="110"/>
              <w:rPr>
                <w:color w:val="auto"/>
                <w:highlight w:val="none"/>
              </w:rPr>
            </w:pPr>
            <w:r>
              <w:rPr>
                <w:color w:val="auto"/>
                <w:highlight w:val="none"/>
              </w:rPr>
              <w:t>控制外包操作风险</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6C18F">
            <w:pPr>
              <w:pStyle w:val="110"/>
              <w:rPr>
                <w:color w:val="auto"/>
                <w:highlight w:val="none"/>
              </w:rPr>
            </w:pPr>
            <w:r>
              <w:rPr>
                <w:color w:val="auto"/>
                <w:highlight w:val="none"/>
              </w:rPr>
              <w:t>乙方不得出现危害甲方生产运行安全、数据安全等并造成后果的外包安全事件。</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1703F">
            <w:pPr>
              <w:pStyle w:val="110"/>
              <w:rPr>
                <w:color w:val="auto"/>
                <w:highlight w:val="none"/>
              </w:rPr>
            </w:pPr>
            <w:r>
              <w:rPr>
                <w:color w:val="auto"/>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7384E">
            <w:pPr>
              <w:pStyle w:val="110"/>
              <w:rPr>
                <w:color w:val="auto"/>
                <w:highlight w:val="none"/>
              </w:rPr>
            </w:pPr>
            <w:r>
              <w:rPr>
                <w:color w:val="auto"/>
                <w:highlight w:val="none"/>
              </w:rPr>
              <w:t>外包安全事件=0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2E04F">
            <w:pPr>
              <w:pStyle w:val="110"/>
              <w:rPr>
                <w:color w:val="auto"/>
                <w:highlight w:val="none"/>
              </w:rPr>
            </w:pPr>
            <w:r>
              <w:rPr>
                <w:color w:val="auto"/>
                <w:highlight w:val="none"/>
              </w:rPr>
              <w:t>每次事件扣罚乙方金额不低于人民币1000元，并要求乙方赔偿实际损失。</w:t>
            </w:r>
          </w:p>
        </w:tc>
      </w:tr>
      <w:tr w14:paraId="2FC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6EF62">
            <w:pPr>
              <w:pStyle w:val="110"/>
              <w:rPr>
                <w:color w:val="auto"/>
                <w:highlight w:val="none"/>
              </w:rPr>
            </w:pPr>
            <w:r>
              <w:rPr>
                <w:color w:val="auto"/>
                <w:highlight w:val="none"/>
              </w:rPr>
              <w:t>13</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76041">
            <w:pPr>
              <w:pStyle w:val="110"/>
              <w:rPr>
                <w:color w:val="auto"/>
                <w:highlight w:val="none"/>
              </w:rPr>
            </w:pPr>
            <w:r>
              <w:rPr>
                <w:color w:val="auto"/>
                <w:highlight w:val="none"/>
              </w:rPr>
              <w:t>交付文档数量及质量</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E68AF">
            <w:pPr>
              <w:pStyle w:val="110"/>
              <w:rPr>
                <w:color w:val="auto"/>
                <w:highlight w:val="none"/>
              </w:rPr>
            </w:pPr>
            <w:r>
              <w:rPr>
                <w:color w:val="auto"/>
                <w:highlight w:val="none"/>
              </w:rPr>
              <w:t>衡量甲方内部人员对乙方所提供文档的满意情况</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1F2F7">
            <w:pPr>
              <w:pStyle w:val="110"/>
              <w:rPr>
                <w:color w:val="auto"/>
                <w:highlight w:val="none"/>
              </w:rPr>
            </w:pPr>
            <w:r>
              <w:rPr>
                <w:color w:val="auto"/>
                <w:highlight w:val="none"/>
              </w:rPr>
              <w:t>交付文档数量及质量满足甲方要求</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53906">
            <w:pPr>
              <w:pStyle w:val="110"/>
              <w:rPr>
                <w:color w:val="auto"/>
                <w:highlight w:val="none"/>
              </w:rPr>
            </w:pPr>
            <w:r>
              <w:rPr>
                <w:color w:val="auto"/>
                <w:highlight w:val="none"/>
              </w:rPr>
              <w:t>甲方根据乙方实际交付的文档数量及文档质量计算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9B274">
            <w:pPr>
              <w:pStyle w:val="110"/>
              <w:rPr>
                <w:color w:val="auto"/>
                <w:highlight w:val="none"/>
              </w:rPr>
            </w:pPr>
            <w:r>
              <w:rPr>
                <w:color w:val="auto"/>
                <w:highlight w:val="none"/>
              </w:rPr>
              <w:t>文档实际交付数量不少于甲方要求数量（文档实际交付数量是指文档交付甲方后甲方确认文档质量并实际接收的文档数量）</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8BB68">
            <w:pPr>
              <w:pStyle w:val="110"/>
              <w:rPr>
                <w:color w:val="auto"/>
                <w:highlight w:val="none"/>
              </w:rPr>
            </w:pPr>
            <w:r>
              <w:rPr>
                <w:color w:val="auto"/>
                <w:highlight w:val="none"/>
              </w:rPr>
              <w:t>文档每缺少一个扣除合同金额2000元；每有一个文档质量不合格扣除合同金额2000元</w:t>
            </w:r>
          </w:p>
        </w:tc>
      </w:tr>
      <w:tr w14:paraId="155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87F39">
            <w:pPr>
              <w:pStyle w:val="110"/>
              <w:rPr>
                <w:color w:val="auto"/>
                <w:highlight w:val="none"/>
              </w:rPr>
            </w:pPr>
            <w:r>
              <w:rPr>
                <w:color w:val="auto"/>
                <w:highlight w:val="none"/>
              </w:rPr>
              <w:t>14</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E3D05">
            <w:pPr>
              <w:pStyle w:val="110"/>
              <w:rPr>
                <w:color w:val="auto"/>
                <w:highlight w:val="none"/>
              </w:rPr>
            </w:pPr>
            <w:r>
              <w:rPr>
                <w:color w:val="auto"/>
                <w:highlight w:val="none"/>
              </w:rPr>
              <w:t>服务满意度</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14F9F">
            <w:pPr>
              <w:pStyle w:val="110"/>
              <w:rPr>
                <w:color w:val="auto"/>
                <w:highlight w:val="none"/>
              </w:rPr>
            </w:pPr>
            <w:r>
              <w:rPr>
                <w:color w:val="auto"/>
                <w:highlight w:val="none"/>
              </w:rPr>
              <w:t>衡量甲方内部人员对乙方所提供服务的满意情况</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7E3C5">
            <w:pPr>
              <w:pStyle w:val="110"/>
              <w:rPr>
                <w:color w:val="auto"/>
                <w:highlight w:val="none"/>
              </w:rPr>
            </w:pPr>
            <w:r>
              <w:rPr>
                <w:color w:val="auto"/>
                <w:highlight w:val="none"/>
              </w:rPr>
              <w:t>服务满意度指标</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2B148">
            <w:pPr>
              <w:pStyle w:val="110"/>
              <w:rPr>
                <w:color w:val="auto"/>
                <w:highlight w:val="none"/>
              </w:rPr>
            </w:pPr>
            <w:r>
              <w:rPr>
                <w:color w:val="auto"/>
                <w:highlight w:val="none"/>
              </w:rPr>
              <w:t>服务满意度评级判定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866B5">
            <w:pPr>
              <w:pStyle w:val="110"/>
              <w:rPr>
                <w:color w:val="auto"/>
                <w:highlight w:val="none"/>
              </w:rPr>
            </w:pPr>
            <w:r>
              <w:rPr>
                <w:color w:val="auto"/>
                <w:highlight w:val="none"/>
              </w:rPr>
              <w:t>客户满意度级别为：1级（非常不满意）；2级（不满意）；3级（一般满意）；4级（满意）；5级（非常满意）（服务满意不低于3级）</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8B448">
            <w:pPr>
              <w:pStyle w:val="110"/>
              <w:rPr>
                <w:color w:val="auto"/>
                <w:highlight w:val="none"/>
              </w:rPr>
            </w:pPr>
            <w:r>
              <w:rPr>
                <w:color w:val="auto"/>
                <w:highlight w:val="none"/>
              </w:rPr>
              <w:t>　</w:t>
            </w:r>
          </w:p>
        </w:tc>
      </w:tr>
      <w:tr w14:paraId="3FC9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2541A">
            <w:pPr>
              <w:pStyle w:val="110"/>
              <w:rPr>
                <w:color w:val="auto"/>
                <w:highlight w:val="none"/>
              </w:rPr>
            </w:pPr>
            <w:r>
              <w:rPr>
                <w:color w:val="auto"/>
                <w:highlight w:val="none"/>
              </w:rPr>
              <w:t>合计</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5B1E2">
            <w:pPr>
              <w:pStyle w:val="110"/>
              <w:rPr>
                <w:color w:val="auto"/>
                <w:highlight w:val="none"/>
              </w:rPr>
            </w:pPr>
            <w:r>
              <w:rPr>
                <w:color w:val="auto"/>
                <w:highlight w:val="none"/>
              </w:rPr>
              <w:t>SLA满足率</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2C849">
            <w:pPr>
              <w:pStyle w:val="110"/>
              <w:rPr>
                <w:color w:val="auto"/>
                <w:highlight w:val="none"/>
              </w:rPr>
            </w:pPr>
            <w:r>
              <w:rPr>
                <w:color w:val="auto"/>
                <w:highlight w:val="none"/>
              </w:rPr>
              <w:t>此数据是衡量满足要求的SLA个数与整体SLA个数的百分之整体的比率</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47D65">
            <w:pPr>
              <w:pStyle w:val="110"/>
              <w:rPr>
                <w:color w:val="auto"/>
                <w:highlight w:val="none"/>
              </w:rPr>
            </w:pPr>
            <w:r>
              <w:rPr>
                <w:color w:val="auto"/>
                <w:highlight w:val="none"/>
              </w:rPr>
              <w:t>衡量乙方达到要求的SLA占全部SLA的百分比。</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BF90B">
            <w:pPr>
              <w:pStyle w:val="110"/>
              <w:rPr>
                <w:color w:val="auto"/>
                <w:highlight w:val="none"/>
              </w:rPr>
            </w:pPr>
            <w:r>
              <w:rPr>
                <w:color w:val="auto"/>
                <w:highlight w:val="none"/>
              </w:rPr>
              <w:t>为了这个度量报告，需要持续汇报SOW中所有SLA情况。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5936B">
            <w:pPr>
              <w:pStyle w:val="110"/>
              <w:rPr>
                <w:color w:val="auto"/>
                <w:highlight w:val="none"/>
              </w:rPr>
            </w:pPr>
            <w:r>
              <w:rPr>
                <w:color w:val="auto"/>
                <w:highlight w:val="none"/>
              </w:rPr>
              <w:t>SLA满足率＝（满足SLA的个数/总体SLA的个数）×100%（SLA满足率≥70%）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69A78">
            <w:pPr>
              <w:pStyle w:val="110"/>
              <w:rPr>
                <w:color w:val="auto"/>
                <w:highlight w:val="none"/>
              </w:rPr>
            </w:pPr>
            <w:r>
              <w:rPr>
                <w:color w:val="auto"/>
                <w:highlight w:val="none"/>
              </w:rPr>
              <w:t>SLA满足率每低于标准5%，扣除合同总金额的1%</w:t>
            </w:r>
          </w:p>
        </w:tc>
      </w:tr>
    </w:tbl>
    <w:p w14:paraId="0104D4AF">
      <w:pPr>
        <w:ind w:firstLine="420"/>
        <w:rPr>
          <w:color w:val="auto"/>
          <w:highlight w:val="none"/>
        </w:rPr>
      </w:pPr>
    </w:p>
    <w:p w14:paraId="0B6FC7BB">
      <w:pPr>
        <w:ind w:firstLine="420"/>
        <w:rPr>
          <w:color w:val="auto"/>
          <w:highlight w:val="none"/>
        </w:rPr>
      </w:pPr>
    </w:p>
    <w:p w14:paraId="1A83B085">
      <w:pPr>
        <w:ind w:firstLine="420"/>
        <w:rPr>
          <w:color w:val="auto"/>
          <w:highlight w:val="none"/>
        </w:rPr>
        <w:sectPr>
          <w:pgSz w:w="16838" w:h="11906" w:orient="landscape"/>
          <w:pgMar w:top="1800" w:right="1440" w:bottom="1800" w:left="1440" w:header="851" w:footer="992" w:gutter="0"/>
          <w:cols w:space="720" w:num="1"/>
          <w:docGrid w:type="lines" w:linePitch="312" w:charSpace="0"/>
        </w:sectPr>
      </w:pPr>
    </w:p>
    <w:p w14:paraId="39887A5C">
      <w:pPr>
        <w:pStyle w:val="92"/>
        <w:rPr>
          <w:rFonts w:hint="default"/>
          <w:color w:val="auto"/>
          <w:highlight w:val="none"/>
        </w:rPr>
      </w:pPr>
      <w:r>
        <w:rPr>
          <w:color w:val="auto"/>
          <w:highlight w:val="none"/>
        </w:rPr>
        <w:t>六、商务技术文件（如有）</w:t>
      </w:r>
    </w:p>
    <w:p w14:paraId="55032FEE">
      <w:pPr>
        <w:ind w:firstLine="420"/>
        <w:rPr>
          <w:color w:val="auto"/>
          <w:highlight w:val="none"/>
        </w:rPr>
      </w:pPr>
      <w:r>
        <w:rPr>
          <w:rFonts w:hint="eastAsia"/>
          <w:color w:val="auto"/>
          <w:highlight w:val="none"/>
        </w:rPr>
        <w:t>（根据第四章内容提供相关材料。如有除资格业绩的其他业绩、案例，可放于此处）</w:t>
      </w:r>
    </w:p>
    <w:p w14:paraId="76FDB33B">
      <w:pPr>
        <w:ind w:firstLine="420"/>
        <w:rPr>
          <w:color w:val="auto"/>
          <w:highlight w:val="none"/>
        </w:rPr>
      </w:pPr>
    </w:p>
    <w:p w14:paraId="63D7A579">
      <w:pPr>
        <w:ind w:firstLine="420"/>
        <w:rPr>
          <w:color w:val="auto"/>
          <w:highlight w:val="none"/>
        </w:rPr>
        <w:sectPr>
          <w:pgSz w:w="11906" w:h="16838"/>
          <w:pgMar w:top="1440" w:right="1800" w:bottom="1440" w:left="1800" w:header="851" w:footer="992" w:gutter="0"/>
          <w:cols w:space="425" w:num="1"/>
          <w:docGrid w:type="lines" w:linePitch="312" w:charSpace="0"/>
        </w:sectPr>
      </w:pPr>
    </w:p>
    <w:p w14:paraId="753F0E2A">
      <w:pPr>
        <w:pStyle w:val="92"/>
        <w:rPr>
          <w:rFonts w:hint="default"/>
          <w:color w:val="auto"/>
          <w:highlight w:val="none"/>
        </w:rPr>
      </w:pPr>
      <w:r>
        <w:rPr>
          <w:color w:val="auto"/>
          <w:highlight w:val="none"/>
        </w:rPr>
        <w:t>七、其他（如有）</w:t>
      </w:r>
    </w:p>
    <w:p w14:paraId="1BFECEC9">
      <w:pPr>
        <w:ind w:firstLine="420"/>
        <w:rPr>
          <w:color w:val="auto"/>
          <w:highlight w:val="none"/>
        </w:rPr>
      </w:pPr>
    </w:p>
    <w:p w14:paraId="1902332D">
      <w:pPr>
        <w:ind w:firstLine="420"/>
        <w:rPr>
          <w:color w:val="auto"/>
          <w:highlight w:val="none"/>
        </w:rPr>
      </w:pPr>
    </w:p>
    <w:p w14:paraId="4DCEF0CE">
      <w:pPr>
        <w:ind w:firstLine="420"/>
        <w:rPr>
          <w:color w:val="auto"/>
          <w:highlight w:val="none"/>
        </w:rPr>
      </w:pPr>
    </w:p>
    <w:p w14:paraId="4F2DD6E4">
      <w:pPr>
        <w:ind w:firstLine="42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6CC5">
    <w:pPr>
      <w:pStyle w:val="55"/>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1019D">
                          <w:pPr>
                            <w:pStyle w:val="5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11019D">
                    <w:pPr>
                      <w:pStyle w:val="5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9FC3">
    <w:pPr>
      <w:pStyle w:val="55"/>
      <w:ind w:firstLine="36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00990" cy="381000"/>
              <wp:effectExtent l="0" t="0" r="0" b="0"/>
              <wp:wrapNone/>
              <wp:docPr id="7" name="文本框 1"/>
              <wp:cNvGraphicFramePr/>
              <a:graphic xmlns:a="http://schemas.openxmlformats.org/drawingml/2006/main">
                <a:graphicData uri="http://schemas.microsoft.com/office/word/2010/wordprocessingShape">
                  <wps:wsp>
                    <wps:cNvSpPr/>
                    <wps:spPr>
                      <a:xfrm>
                        <a:off x="0" y="0"/>
                        <a:ext cx="301295" cy="381000"/>
                      </a:xfrm>
                      <a:prstGeom prst="rect">
                        <a:avLst/>
                      </a:prstGeom>
                      <a:noFill/>
                      <a:ln w="6350" cap="flat" cmpd="sng">
                        <a:noFill/>
                        <a:prstDash val="solid"/>
                        <a:round/>
                      </a:ln>
                    </wps:spPr>
                    <wps:txbx>
                      <w:txbxContent>
                        <w:p w14:paraId="5A795572">
                          <w:pPr>
                            <w:pStyle w:val="55"/>
                            <w:ind w:firstLine="360"/>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3.7pt;mso-position-horizontal:center;mso-position-horizontal-relative:margin;mso-wrap-style:none;z-index:251659264;mso-width-relative:page;mso-height-relative:page;" filled="f" stroked="f" coordsize="21600,21600" o:gfxdata="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AWzN1wAAAAMBAAAPAAAAAAAAAAEAIAAAACIAAABkcnMvZG93bnJl&#10;di54bWxQSwECFAAUAAAACACHTuJAI7ckp/4BAADoAwAADgAAAAAAAAABACAAAAAmAQAAZHJzL2Uy&#10;b0RvYy54bWxQSwUGAAAAAAYABgBZAQAAlgUAAAAA&#10;">
              <v:fill on="f" focussize="0,0"/>
              <v:stroke on="f" weight="0.5pt" joinstyle="round"/>
              <v:imagedata o:title=""/>
              <o:lock v:ext="edit" aspectratio="f"/>
              <v:textbox inset="0mm,0mm,0mm,0mm" style="mso-fit-shape-to-text:t;">
                <w:txbxContent>
                  <w:p w14:paraId="5A795572">
                    <w:pPr>
                      <w:pStyle w:val="55"/>
                      <w:ind w:firstLine="360"/>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3F67">
    <w:pPr>
      <w:tabs>
        <w:tab w:val="center" w:pos="4153"/>
        <w:tab w:val="right" w:pos="8306"/>
      </w:tabs>
      <w:ind w:firstLine="4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A7C43">
                          <w:pPr>
                            <w:pStyle w:val="55"/>
                            <w:ind w:firstLine="36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26A7C43">
                    <w:pPr>
                      <w:pStyle w:val="55"/>
                      <w:ind w:firstLine="36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74D">
    <w:pPr>
      <w:pStyle w:val="55"/>
      <w:ind w:firstLine="360"/>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374015" cy="381000"/>
              <wp:effectExtent l="0" t="0" r="0" b="0"/>
              <wp:wrapNone/>
              <wp:docPr id="2" name="文本框 1"/>
              <wp:cNvGraphicFramePr/>
              <a:graphic xmlns:a="http://schemas.openxmlformats.org/drawingml/2006/main">
                <a:graphicData uri="http://schemas.microsoft.com/office/word/2010/wordprocessingShape">
                  <wps:wsp>
                    <wps:cNvSpPr/>
                    <wps:spPr>
                      <a:xfrm>
                        <a:off x="0" y="0"/>
                        <a:ext cx="373989" cy="381000"/>
                      </a:xfrm>
                      <a:prstGeom prst="rect">
                        <a:avLst/>
                      </a:prstGeom>
                      <a:noFill/>
                      <a:ln w="6350" cap="flat" cmpd="sng">
                        <a:noFill/>
                        <a:prstDash val="solid"/>
                        <a:round/>
                      </a:ln>
                    </wps:spPr>
                    <wps:txbx>
                      <w:txbxContent>
                        <w:p w14:paraId="6E2A96FC">
                          <w:pPr>
                            <w:pStyle w:val="55"/>
                            <w:ind w:firstLine="360"/>
                          </w:pPr>
                          <w:r>
                            <w:fldChar w:fldCharType="begin"/>
                          </w:r>
                          <w:r>
                            <w:instrText xml:space="preserve"> PAGE  \* MERGEFORMAT </w:instrText>
                          </w:r>
                          <w:r>
                            <w:fldChar w:fldCharType="separate"/>
                          </w:r>
                          <w:r>
                            <w:t>30</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61312;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1lgmrXAAAAAwEAAA8AAAAAAAAAAQAgAAAAIgAAAGRycy9kb3ducmV2&#10;LnhtbFBLAQIUABQAAAAIAIdO4kDtpJC6/QEAAOgDAAAOAAAAAAAAAAEAIAAAACYBAABkcnMvZTJv&#10;RG9jLnhtbFBLBQYAAAAABgAGAFkBAACVBQAAAAA=&#10;">
              <v:fill on="f" focussize="0,0"/>
              <v:stroke on="f" weight="0.5pt" joinstyle="round"/>
              <v:imagedata o:title=""/>
              <o:lock v:ext="edit" aspectratio="f"/>
              <v:textbox inset="0mm,0mm,0mm,0mm" style="mso-fit-shape-to-text:t;">
                <w:txbxContent>
                  <w:p w14:paraId="6E2A96FC">
                    <w:pPr>
                      <w:pStyle w:val="55"/>
                      <w:ind w:firstLine="360"/>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D7C1">
    <w:pPr>
      <w:pStyle w:val="55"/>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3548A">
                          <w:pPr>
                            <w:pStyle w:val="55"/>
                            <w:ind w:firstLine="36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EB3548A">
                    <w:pPr>
                      <w:pStyle w:val="55"/>
                      <w:ind w:firstLine="360"/>
                    </w:pPr>
                    <w:r>
                      <w:fldChar w:fldCharType="begin"/>
                    </w:r>
                    <w:r>
                      <w:instrText xml:space="preserve"> PAGE  \* MERGEFORMAT </w:instrText>
                    </w:r>
                    <w:r>
                      <w:fldChar w:fldCharType="separate"/>
                    </w:r>
                    <w:r>
                      <w:t>81</w:t>
                    </w:r>
                    <w:r>
                      <w:fldChar w:fldCharType="end"/>
                    </w:r>
                  </w:p>
                </w:txbxContent>
              </v:textbox>
            </v:shape>
          </w:pict>
        </mc:Fallback>
      </mc:AlternateContent>
    </w: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-9680575</wp:posOffset>
              </wp:positionV>
              <wp:extent cx="374015" cy="381000"/>
              <wp:effectExtent l="0" t="0" r="0" b="0"/>
              <wp:wrapNone/>
              <wp:docPr id="10" name="文本框 1"/>
              <wp:cNvGraphicFramePr/>
              <a:graphic xmlns:a="http://schemas.openxmlformats.org/drawingml/2006/main">
                <a:graphicData uri="http://schemas.microsoft.com/office/word/2010/wordprocessingShape">
                  <wps:wsp>
                    <wps:cNvSpPr/>
                    <wps:spPr>
                      <a:xfrm>
                        <a:off x="0" y="0"/>
                        <a:ext cx="373989" cy="381000"/>
                      </a:xfrm>
                      <a:prstGeom prst="rect">
                        <a:avLst/>
                      </a:prstGeom>
                      <a:noFill/>
                      <a:ln w="6350" cap="flat" cmpd="sng">
                        <a:noFill/>
                        <a:prstDash val="solid"/>
                        <a:round/>
                      </a:ln>
                    </wps:spPr>
                    <wps:txbx>
                      <w:txbxContent>
                        <w:p w14:paraId="072961E6">
                          <w:pPr>
                            <w:pStyle w:val="55"/>
                            <w:ind w:firstLine="360"/>
                          </w:pPr>
                        </w:p>
                      </w:txbxContent>
                    </wps:txbx>
                    <wps:bodyPr vert="horz" wrap="none" lIns="0" tIns="0" rIns="0" bIns="0" anchor="t" anchorCtr="0">
                      <a:spAutoFit/>
                    </wps:bodyPr>
                  </wps:wsp>
                </a:graphicData>
              </a:graphic>
            </wp:anchor>
          </w:drawing>
        </mc:Choice>
        <mc:Fallback>
          <w:pict>
            <v:rect id="文本框 1" o:spid="_x0000_s1026" o:spt="1" style="position:absolute;left:0pt;margin-top:-762.25pt;height:30pt;width:29.45pt;mso-position-horizontal:center;mso-position-horizontal-relative:margin;mso-wrap-style:none;z-index:251660288;mso-width-relative:page;mso-height-relative:page;" filled="f" stroked="f" coordsize="21600,21600" o:gfxdata="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nzIL3QAAAAsBAAAPAAAAAAAAAAEAIAAAACIAAABkcnMv&#10;ZG93bnJldi54bWxQSwECFAAUAAAACACHTuJAxSFKEf4BAADpAwAADgAAAAAAAAABACAAAAAsAQAA&#10;ZHJzL2Uyb0RvYy54bWxQSwUGAAAAAAYABgBZAQAAnAUAAAAA&#10;">
              <v:fill on="f" focussize="0,0"/>
              <v:stroke on="f" weight="0.5pt" joinstyle="round"/>
              <v:imagedata o:title=""/>
              <o:lock v:ext="edit" aspectratio="f"/>
              <v:textbox inset="0mm,0mm,0mm,0mm" style="mso-fit-shape-to-text:t;">
                <w:txbxContent>
                  <w:p w14:paraId="072961E6">
                    <w:pPr>
                      <w:pStyle w:val="55"/>
                      <w:ind w:firstLine="360"/>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10B5F"/>
    <w:multiLevelType w:val="singleLevel"/>
    <w:tmpl w:val="97C10B5F"/>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
    <w:nsid w:val="BD29720A"/>
    <w:multiLevelType w:val="singleLevel"/>
    <w:tmpl w:val="BD29720A"/>
    <w:lvl w:ilvl="0" w:tentative="0">
      <w:start w:val="1"/>
      <w:numFmt w:val="decimal"/>
      <w:pStyle w:val="47"/>
      <w:lvlText w:val="%1."/>
      <w:lvlJc w:val="left"/>
      <w:pPr>
        <w:tabs>
          <w:tab w:val="left" w:pos="1620"/>
        </w:tabs>
        <w:ind w:left="1620" w:hanging="360"/>
      </w:pPr>
    </w:lvl>
  </w:abstractNum>
  <w:abstractNum w:abstractNumId="2">
    <w:nsid w:val="C2D2A643"/>
    <w:multiLevelType w:val="singleLevel"/>
    <w:tmpl w:val="C2D2A643"/>
    <w:lvl w:ilvl="0" w:tentative="0">
      <w:start w:val="1"/>
      <w:numFmt w:val="decimal"/>
      <w:pStyle w:val="20"/>
      <w:lvlText w:val="%1."/>
      <w:lvlJc w:val="left"/>
      <w:pPr>
        <w:tabs>
          <w:tab w:val="left" w:pos="360"/>
        </w:tabs>
        <w:ind w:left="360" w:hanging="360"/>
      </w:pPr>
    </w:lvl>
  </w:abstractNum>
  <w:abstractNum w:abstractNumId="3">
    <w:nsid w:val="E211C84C"/>
    <w:multiLevelType w:val="singleLevel"/>
    <w:tmpl w:val="E211C84C"/>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4">
    <w:nsid w:val="EAF937C8"/>
    <w:multiLevelType w:val="singleLevel"/>
    <w:tmpl w:val="EAF937C8"/>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5">
    <w:nsid w:val="EEC3EA4B"/>
    <w:multiLevelType w:val="singleLevel"/>
    <w:tmpl w:val="EEC3EA4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6">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7">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18DCBECD"/>
    <w:multiLevelType w:val="singleLevel"/>
    <w:tmpl w:val="18DCBECD"/>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9">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10">
    <w:nsid w:val="3791A7E4"/>
    <w:multiLevelType w:val="singleLevel"/>
    <w:tmpl w:val="3791A7E4"/>
    <w:lvl w:ilvl="0" w:tentative="0">
      <w:start w:val="1"/>
      <w:numFmt w:val="decimal"/>
      <w:pStyle w:val="36"/>
      <w:lvlText w:val="%1."/>
      <w:lvlJc w:val="left"/>
      <w:pPr>
        <w:tabs>
          <w:tab w:val="left" w:pos="1200"/>
        </w:tabs>
        <w:ind w:left="1200" w:hanging="360"/>
      </w:pPr>
    </w:lvl>
  </w:abstractNum>
  <w:abstractNum w:abstractNumId="11">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2">
    <w:nsid w:val="450F60C3"/>
    <w:multiLevelType w:val="singleLevel"/>
    <w:tmpl w:val="450F60C3"/>
    <w:lvl w:ilvl="0" w:tentative="0">
      <w:start w:val="1"/>
      <w:numFmt w:val="decimal"/>
      <w:pStyle w:val="14"/>
      <w:lvlText w:val="%1."/>
      <w:lvlJc w:val="left"/>
      <w:pPr>
        <w:tabs>
          <w:tab w:val="left" w:pos="780"/>
        </w:tabs>
        <w:ind w:left="780" w:hanging="360"/>
      </w:pPr>
    </w:lvl>
  </w:abstractNum>
  <w:abstractNum w:abstractNumId="13">
    <w:nsid w:val="60CF05B2"/>
    <w:multiLevelType w:val="singleLevel"/>
    <w:tmpl w:val="60CF05B2"/>
    <w:lvl w:ilvl="0" w:tentative="0">
      <w:start w:val="1"/>
      <w:numFmt w:val="decimal"/>
      <w:pStyle w:val="65"/>
      <w:lvlText w:val="%1."/>
      <w:lvlJc w:val="left"/>
      <w:pPr>
        <w:tabs>
          <w:tab w:val="left" w:pos="2040"/>
        </w:tabs>
        <w:ind w:left="2040" w:hanging="360"/>
      </w:pPr>
    </w:lvl>
  </w:abstractNum>
  <w:abstractNum w:abstractNumId="14">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12"/>
  </w:num>
  <w:num w:numId="2">
    <w:abstractNumId w:val="8"/>
  </w:num>
  <w:num w:numId="3">
    <w:abstractNumId w:val="2"/>
  </w:num>
  <w:num w:numId="4">
    <w:abstractNumId w:val="0"/>
  </w:num>
  <w:num w:numId="5">
    <w:abstractNumId w:val="4"/>
  </w:num>
  <w:num w:numId="6">
    <w:abstractNumId w:val="10"/>
  </w:num>
  <w:num w:numId="7">
    <w:abstractNumId w:val="3"/>
  </w:num>
  <w:num w:numId="8">
    <w:abstractNumId w:val="5"/>
  </w:num>
  <w:num w:numId="9">
    <w:abstractNumId w:val="1"/>
  </w:num>
  <w:num w:numId="10">
    <w:abstractNumId w:val="13"/>
  </w:num>
  <w:num w:numId="11">
    <w:abstractNumId w:val="7"/>
  </w:num>
  <w:num w:numId="12">
    <w:abstractNumId w:val="11"/>
  </w:num>
  <w:num w:numId="13">
    <w:abstractNumId w:val="9"/>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8F4DD1"/>
    <w:rsid w:val="002F4B14"/>
    <w:rsid w:val="003A3467"/>
    <w:rsid w:val="00517640"/>
    <w:rsid w:val="00817CB3"/>
    <w:rsid w:val="008D0103"/>
    <w:rsid w:val="008F4DD1"/>
    <w:rsid w:val="00B74B4A"/>
    <w:rsid w:val="00C92ADA"/>
    <w:rsid w:val="0CEB6824"/>
    <w:rsid w:val="15B21735"/>
    <w:rsid w:val="1ABD7B6C"/>
    <w:rsid w:val="1B5543FC"/>
    <w:rsid w:val="40730CFD"/>
    <w:rsid w:val="57963AB8"/>
    <w:rsid w:val="62B65D0C"/>
    <w:rsid w:val="6518184D"/>
    <w:rsid w:val="689E331A"/>
    <w:rsid w:val="6C825CF6"/>
    <w:rsid w:val="7ACA4603"/>
    <w:rsid w:val="7D48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10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106"/>
    <w:autoRedefine/>
    <w:unhideWhenUsed/>
    <w:qFormat/>
    <w:uiPriority w:val="9"/>
    <w:pPr>
      <w:spacing w:line="600" w:lineRule="exact"/>
      <w:ind w:firstLine="0" w:firstLineChars="0"/>
      <w:outlineLvl w:val="1"/>
    </w:pPr>
    <w:rPr>
      <w:rFonts w:cstheme="majorBidi"/>
      <w:b/>
      <w:bCs/>
      <w:snapToGrid w:val="0"/>
      <w:szCs w:val="24"/>
    </w:rPr>
  </w:style>
  <w:style w:type="paragraph" w:styleId="5">
    <w:name w:val="heading 3"/>
    <w:basedOn w:val="1"/>
    <w:next w:val="1"/>
    <w:link w:val="107"/>
    <w:autoRedefine/>
    <w:unhideWhenUsed/>
    <w:qFormat/>
    <w:uiPriority w:val="9"/>
    <w:pPr>
      <w:outlineLvl w:val="2"/>
    </w:pPr>
    <w:rPr>
      <w:b/>
      <w:bCs/>
      <w:szCs w:val="32"/>
    </w:rPr>
  </w:style>
  <w:style w:type="paragraph" w:styleId="6">
    <w:name w:val="heading 4"/>
    <w:basedOn w:val="1"/>
    <w:next w:val="1"/>
    <w:link w:val="104"/>
    <w:autoRedefine/>
    <w:qFormat/>
    <w:uiPriority w:val="0"/>
    <w:pPr>
      <w:outlineLvl w:val="3"/>
    </w:pPr>
    <w:rPr>
      <w:rFonts w:cs="Times New Roman"/>
      <w:bCs/>
      <w:szCs w:val="28"/>
    </w:rPr>
  </w:style>
  <w:style w:type="paragraph" w:styleId="7">
    <w:name w:val="heading 5"/>
    <w:basedOn w:val="1"/>
    <w:next w:val="1"/>
    <w:link w:val="108"/>
    <w:autoRedefine/>
    <w:unhideWhenUsed/>
    <w:qFormat/>
    <w:uiPriority w:val="0"/>
    <w:pPr>
      <w:ind w:firstLine="0" w:firstLineChars="0"/>
      <w:jc w:val="center"/>
      <w:outlineLvl w:val="4"/>
    </w:pPr>
    <w:rPr>
      <w:b/>
      <w:sz w:val="28"/>
    </w:rPr>
  </w:style>
  <w:style w:type="paragraph" w:styleId="8">
    <w:name w:val="heading 6"/>
    <w:basedOn w:val="1"/>
    <w:next w:val="1"/>
    <w:autoRedefine/>
    <w:unhideWhenUsed/>
    <w:qFormat/>
    <w:uiPriority w:val="0"/>
    <w:pPr>
      <w:keepNext/>
      <w:keepLines/>
      <w:spacing w:before="240" w:after="64" w:line="317" w:lineRule="auto"/>
      <w:outlineLvl w:val="5"/>
    </w:pPr>
    <w:rPr>
      <w:rFonts w:eastAsia="黑体"/>
      <w:b/>
    </w:rPr>
  </w:style>
  <w:style w:type="paragraph" w:styleId="9">
    <w:name w:val="heading 7"/>
    <w:basedOn w:val="1"/>
    <w:next w:val="1"/>
    <w:semiHidden/>
    <w:unhideWhenUsed/>
    <w:qFormat/>
    <w:uiPriority w:val="0"/>
    <w:pPr>
      <w:keepNext/>
      <w:keepLines/>
      <w:spacing w:before="240" w:after="64" w:line="317" w:lineRule="auto"/>
      <w:outlineLvl w:val="6"/>
    </w:pPr>
    <w:rPr>
      <w:b/>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Lucida Sans"/>
      <w:kern w:val="2"/>
      <w:sz w:val="24"/>
      <w:lang w:val="en-US" w:eastAsia="zh-CN"/>
    </w:rPr>
  </w:style>
  <w:style w:type="paragraph" w:styleId="12">
    <w:name w:val="List 3"/>
    <w:basedOn w:val="1"/>
    <w:uiPriority w:val="0"/>
    <w:pPr>
      <w:ind w:left="100" w:leftChars="400" w:hanging="200" w:hangingChars="200"/>
    </w:pPr>
  </w:style>
  <w:style w:type="paragraph" w:styleId="13">
    <w:name w:val="toc 7"/>
    <w:basedOn w:val="1"/>
    <w:next w:val="1"/>
    <w:uiPriority w:val="0"/>
    <w:pPr>
      <w:ind w:left="2520" w:leftChars="1200"/>
    </w:pPr>
  </w:style>
  <w:style w:type="paragraph" w:styleId="14">
    <w:name w:val="List Number 2"/>
    <w:basedOn w:val="1"/>
    <w:uiPriority w:val="0"/>
    <w:pPr>
      <w:numPr>
        <w:ilvl w:val="0"/>
        <w:numId w:val="1"/>
      </w:numPr>
    </w:pPr>
  </w:style>
  <w:style w:type="paragraph" w:styleId="15">
    <w:name w:val="table of authorities"/>
    <w:basedOn w:val="1"/>
    <w:next w:val="1"/>
    <w:uiPriority w:val="0"/>
    <w:pPr>
      <w:ind w:left="420" w:leftChars="200"/>
    </w:pPr>
  </w:style>
  <w:style w:type="paragraph" w:styleId="16">
    <w:name w:val="Note Heading"/>
    <w:basedOn w:val="1"/>
    <w:next w:val="1"/>
    <w:uiPriority w:val="0"/>
    <w:pPr>
      <w:jc w:val="center"/>
    </w:pPr>
  </w:style>
  <w:style w:type="paragraph" w:styleId="17">
    <w:name w:val="List Bullet 4"/>
    <w:basedOn w:val="1"/>
    <w:uiPriority w:val="0"/>
    <w:pPr>
      <w:numPr>
        <w:ilvl w:val="0"/>
        <w:numId w:val="2"/>
      </w:numPr>
    </w:pPr>
  </w:style>
  <w:style w:type="paragraph" w:styleId="18">
    <w:name w:val="index 8"/>
    <w:basedOn w:val="1"/>
    <w:next w:val="1"/>
    <w:uiPriority w:val="0"/>
    <w:pPr>
      <w:ind w:left="1400" w:leftChars="1400"/>
    </w:pPr>
  </w:style>
  <w:style w:type="paragraph" w:styleId="19">
    <w:name w:val="E-mail Signature"/>
    <w:basedOn w:val="1"/>
    <w:uiPriority w:val="0"/>
  </w:style>
  <w:style w:type="paragraph" w:styleId="20">
    <w:name w:val="List Number"/>
    <w:basedOn w:val="1"/>
    <w:uiPriority w:val="0"/>
    <w:pPr>
      <w:numPr>
        <w:ilvl w:val="0"/>
        <w:numId w:val="3"/>
      </w:numPr>
    </w:pPr>
  </w:style>
  <w:style w:type="paragraph" w:styleId="21">
    <w:name w:val="Normal Indent"/>
    <w:basedOn w:val="1"/>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uiPriority w:val="0"/>
    <w:pPr>
      <w:ind w:left="800" w:leftChars="800"/>
    </w:pPr>
  </w:style>
  <w:style w:type="paragraph" w:styleId="24">
    <w:name w:val="List Bullet"/>
    <w:basedOn w:val="1"/>
    <w:uiPriority w:val="0"/>
    <w:pPr>
      <w:numPr>
        <w:ilvl w:val="0"/>
        <w:numId w:val="4"/>
      </w:numPr>
    </w:pPr>
  </w:style>
  <w:style w:type="paragraph" w:styleId="25">
    <w:name w:val="envelope address"/>
    <w:basedOn w:val="1"/>
    <w:uiPriority w:val="0"/>
    <w:pPr>
      <w:snapToGrid w:val="0"/>
      <w:ind w:left="100" w:leftChars="1400"/>
    </w:pPr>
    <w:rPr>
      <w:rFonts w:ascii="Arial" w:hAnsi="Arial"/>
      <w:sz w:val="24"/>
    </w:rPr>
  </w:style>
  <w:style w:type="paragraph" w:styleId="26">
    <w:name w:val="Document Map"/>
    <w:basedOn w:val="1"/>
    <w:uiPriority w:val="0"/>
    <w:pPr>
      <w:shd w:val="clear" w:color="auto" w:fill="000080"/>
    </w:pPr>
  </w:style>
  <w:style w:type="paragraph" w:styleId="27">
    <w:name w:val="toa heading"/>
    <w:basedOn w:val="1"/>
    <w:next w:val="1"/>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uiPriority w:val="0"/>
    <w:pPr>
      <w:ind w:left="1000" w:leftChars="1000"/>
    </w:pPr>
  </w:style>
  <w:style w:type="paragraph" w:styleId="30">
    <w:name w:val="Salutation"/>
    <w:basedOn w:val="1"/>
    <w:next w:val="1"/>
    <w:uiPriority w:val="0"/>
  </w:style>
  <w:style w:type="paragraph" w:styleId="31">
    <w:name w:val="Body Text 3"/>
    <w:basedOn w:val="1"/>
    <w:uiPriority w:val="0"/>
    <w:pPr>
      <w:spacing w:after="120" w:afterLines="0" w:afterAutospacing="0"/>
    </w:pPr>
    <w:rPr>
      <w:sz w:val="16"/>
    </w:rPr>
  </w:style>
  <w:style w:type="paragraph" w:styleId="32">
    <w:name w:val="Closing"/>
    <w:basedOn w:val="1"/>
    <w:uiPriority w:val="0"/>
    <w:pPr>
      <w:ind w:left="100" w:leftChars="2100"/>
    </w:pPr>
  </w:style>
  <w:style w:type="paragraph" w:styleId="33">
    <w:name w:val="List Bullet 3"/>
    <w:basedOn w:val="1"/>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uiPriority w:val="0"/>
    <w:pPr>
      <w:numPr>
        <w:ilvl w:val="0"/>
        <w:numId w:val="6"/>
      </w:numPr>
    </w:pPr>
  </w:style>
  <w:style w:type="paragraph" w:styleId="37">
    <w:name w:val="List 2"/>
    <w:basedOn w:val="1"/>
    <w:uiPriority w:val="0"/>
    <w:pPr>
      <w:ind w:left="100" w:leftChars="200" w:hanging="200" w:hangingChars="200"/>
    </w:pPr>
  </w:style>
  <w:style w:type="paragraph" w:styleId="38">
    <w:name w:val="List Continue"/>
    <w:basedOn w:val="1"/>
    <w:uiPriority w:val="0"/>
    <w:pPr>
      <w:spacing w:after="120" w:afterLines="0" w:afterAutospacing="0"/>
      <w:ind w:left="420" w:leftChars="200"/>
    </w:pPr>
  </w:style>
  <w:style w:type="paragraph" w:styleId="39">
    <w:name w:val="Block Text"/>
    <w:basedOn w:val="1"/>
    <w:uiPriority w:val="0"/>
    <w:pPr>
      <w:spacing w:after="120" w:afterLines="0" w:afterAutospacing="0"/>
      <w:ind w:left="1440" w:leftChars="700" w:rightChars="700"/>
    </w:pPr>
  </w:style>
  <w:style w:type="paragraph" w:styleId="40">
    <w:name w:val="List Bullet 2"/>
    <w:basedOn w:val="1"/>
    <w:uiPriority w:val="0"/>
    <w:pPr>
      <w:numPr>
        <w:ilvl w:val="0"/>
        <w:numId w:val="7"/>
      </w:numPr>
    </w:pPr>
  </w:style>
  <w:style w:type="paragraph" w:styleId="41">
    <w:name w:val="HTML Address"/>
    <w:basedOn w:val="1"/>
    <w:uiPriority w:val="0"/>
    <w:rPr>
      <w:i/>
    </w:rPr>
  </w:style>
  <w:style w:type="paragraph" w:styleId="42">
    <w:name w:val="index 4"/>
    <w:basedOn w:val="1"/>
    <w:next w:val="1"/>
    <w:uiPriority w:val="0"/>
    <w:pPr>
      <w:ind w:left="600" w:leftChars="600"/>
    </w:pPr>
  </w:style>
  <w:style w:type="paragraph" w:styleId="43">
    <w:name w:val="toc 5"/>
    <w:basedOn w:val="1"/>
    <w:next w:val="1"/>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uiPriority w:val="0"/>
    <w:pPr>
      <w:numPr>
        <w:ilvl w:val="0"/>
        <w:numId w:val="8"/>
      </w:numPr>
    </w:pPr>
  </w:style>
  <w:style w:type="paragraph" w:styleId="47">
    <w:name w:val="List Number 4"/>
    <w:basedOn w:val="1"/>
    <w:uiPriority w:val="0"/>
    <w:pPr>
      <w:numPr>
        <w:ilvl w:val="0"/>
        <w:numId w:val="9"/>
      </w:numPr>
    </w:pPr>
  </w:style>
  <w:style w:type="paragraph" w:styleId="48">
    <w:name w:val="toc 8"/>
    <w:basedOn w:val="1"/>
    <w:next w:val="1"/>
    <w:uiPriority w:val="0"/>
    <w:pPr>
      <w:ind w:left="2940" w:leftChars="1400"/>
    </w:pPr>
  </w:style>
  <w:style w:type="paragraph" w:styleId="49">
    <w:name w:val="index 3"/>
    <w:basedOn w:val="1"/>
    <w:next w:val="1"/>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420" w:leftChars="200"/>
    </w:pPr>
  </w:style>
  <w:style w:type="paragraph" w:styleId="52">
    <w:name w:val="endnote text"/>
    <w:basedOn w:val="1"/>
    <w:uiPriority w:val="0"/>
    <w:pPr>
      <w:snapToGrid w:val="0"/>
      <w:jc w:val="left"/>
    </w:pPr>
  </w:style>
  <w:style w:type="paragraph" w:styleId="53">
    <w:name w:val="List Continue 5"/>
    <w:basedOn w:val="1"/>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8">
    <w:name w:val="Signature"/>
    <w:basedOn w:val="1"/>
    <w:uiPriority w:val="0"/>
    <w:pPr>
      <w:ind w:left="100" w:leftChars="2100"/>
    </w:pPr>
  </w:style>
  <w:style w:type="paragraph" w:styleId="59">
    <w:name w:val="toc 1"/>
    <w:basedOn w:val="1"/>
    <w:next w:val="1"/>
    <w:qFormat/>
    <w:uiPriority w:val="0"/>
  </w:style>
  <w:style w:type="paragraph" w:styleId="60">
    <w:name w:val="List Continue 4"/>
    <w:basedOn w:val="1"/>
    <w:uiPriority w:val="0"/>
    <w:pPr>
      <w:spacing w:after="120" w:afterLines="0" w:afterAutospacing="0"/>
      <w:ind w:left="1680" w:leftChars="800"/>
    </w:pPr>
  </w:style>
  <w:style w:type="paragraph" w:styleId="61">
    <w:name w:val="toc 4"/>
    <w:basedOn w:val="1"/>
    <w:next w:val="1"/>
    <w:uiPriority w:val="0"/>
    <w:pPr>
      <w:ind w:left="1260" w:leftChars="600"/>
    </w:pPr>
  </w:style>
  <w:style w:type="paragraph" w:styleId="62">
    <w:name w:val="index heading"/>
    <w:basedOn w:val="1"/>
    <w:next w:val="63"/>
    <w:uiPriority w:val="0"/>
    <w:rPr>
      <w:rFonts w:ascii="Arial" w:hAnsi="Arial"/>
      <w:b/>
    </w:rPr>
  </w:style>
  <w:style w:type="paragraph" w:styleId="63">
    <w:name w:val="index 1"/>
    <w:basedOn w:val="1"/>
    <w:next w:val="1"/>
    <w:uiPriority w:val="0"/>
  </w:style>
  <w:style w:type="paragraph" w:styleId="64">
    <w:name w:val="Subtitle"/>
    <w:basedOn w:val="1"/>
    <w:autoRedefine/>
    <w:qFormat/>
    <w:uiPriority w:val="0"/>
    <w:pPr>
      <w:spacing w:before="240" w:after="60" w:line="312" w:lineRule="auto"/>
      <w:jc w:val="center"/>
      <w:outlineLvl w:val="1"/>
    </w:pPr>
    <w:rPr>
      <w:rFonts w:ascii="Arial" w:hAnsi="Arial"/>
      <w:b/>
      <w:kern w:val="28"/>
      <w:sz w:val="32"/>
    </w:rPr>
  </w:style>
  <w:style w:type="paragraph" w:styleId="65">
    <w:name w:val="List Number 5"/>
    <w:basedOn w:val="1"/>
    <w:uiPriority w:val="0"/>
    <w:pPr>
      <w:numPr>
        <w:ilvl w:val="0"/>
        <w:numId w:val="10"/>
      </w:numPr>
    </w:pPr>
  </w:style>
  <w:style w:type="paragraph" w:styleId="66">
    <w:name w:val="List"/>
    <w:basedOn w:val="1"/>
    <w:uiPriority w:val="0"/>
    <w:pPr>
      <w:ind w:left="200" w:hanging="200" w:hangingChars="200"/>
    </w:pPr>
  </w:style>
  <w:style w:type="paragraph" w:styleId="67">
    <w:name w:val="footnote text"/>
    <w:basedOn w:val="1"/>
    <w:uiPriority w:val="0"/>
    <w:pPr>
      <w:snapToGrid w:val="0"/>
      <w:jc w:val="left"/>
    </w:pPr>
    <w:rPr>
      <w:sz w:val="18"/>
    </w:rPr>
  </w:style>
  <w:style w:type="paragraph" w:styleId="68">
    <w:name w:val="toc 6"/>
    <w:basedOn w:val="1"/>
    <w:next w:val="1"/>
    <w:uiPriority w:val="0"/>
    <w:pPr>
      <w:ind w:left="2100" w:leftChars="1000"/>
    </w:pPr>
  </w:style>
  <w:style w:type="paragraph" w:styleId="69">
    <w:name w:val="List 5"/>
    <w:basedOn w:val="1"/>
    <w:uiPriority w:val="0"/>
    <w:pPr>
      <w:ind w:left="100" w:leftChars="800" w:hanging="200" w:hangingChars="200"/>
    </w:pPr>
  </w:style>
  <w:style w:type="paragraph" w:styleId="70">
    <w:name w:val="Body Text Indent 3"/>
    <w:basedOn w:val="1"/>
    <w:uiPriority w:val="0"/>
    <w:pPr>
      <w:spacing w:after="120" w:afterLines="0" w:afterAutospacing="0"/>
      <w:ind w:left="420" w:leftChars="200"/>
    </w:pPr>
    <w:rPr>
      <w:sz w:val="16"/>
    </w:rPr>
  </w:style>
  <w:style w:type="paragraph" w:styleId="71">
    <w:name w:val="index 7"/>
    <w:basedOn w:val="1"/>
    <w:next w:val="1"/>
    <w:uiPriority w:val="0"/>
    <w:pPr>
      <w:ind w:left="1200" w:leftChars="1200"/>
    </w:pPr>
  </w:style>
  <w:style w:type="paragraph" w:styleId="72">
    <w:name w:val="index 9"/>
    <w:basedOn w:val="1"/>
    <w:next w:val="1"/>
    <w:uiPriority w:val="0"/>
    <w:pPr>
      <w:ind w:left="1600" w:leftChars="1600"/>
    </w:pPr>
  </w:style>
  <w:style w:type="paragraph" w:styleId="73">
    <w:name w:val="table of figures"/>
    <w:basedOn w:val="1"/>
    <w:next w:val="1"/>
    <w:uiPriority w:val="0"/>
    <w:pPr>
      <w:ind w:leftChars="200" w:hanging="200" w:hangingChars="200"/>
    </w:pPr>
  </w:style>
  <w:style w:type="paragraph" w:styleId="74">
    <w:name w:val="toc 2"/>
    <w:basedOn w:val="1"/>
    <w:next w:val="1"/>
    <w:uiPriority w:val="0"/>
    <w:pPr>
      <w:ind w:left="420" w:leftChars="200"/>
    </w:pPr>
  </w:style>
  <w:style w:type="paragraph" w:styleId="75">
    <w:name w:val="toc 9"/>
    <w:basedOn w:val="1"/>
    <w:next w:val="1"/>
    <w:uiPriority w:val="0"/>
    <w:pPr>
      <w:ind w:left="3360" w:leftChars="1600"/>
    </w:pPr>
  </w:style>
  <w:style w:type="paragraph" w:styleId="76">
    <w:name w:val="Body Text 2"/>
    <w:basedOn w:val="1"/>
    <w:uiPriority w:val="0"/>
    <w:pPr>
      <w:spacing w:after="120" w:afterLines="0" w:afterAutospacing="0" w:line="480" w:lineRule="auto"/>
    </w:pPr>
  </w:style>
  <w:style w:type="paragraph" w:styleId="77">
    <w:name w:val="List 4"/>
    <w:basedOn w:val="1"/>
    <w:uiPriority w:val="0"/>
    <w:pPr>
      <w:ind w:left="100" w:leftChars="600" w:hanging="200" w:hangingChars="200"/>
    </w:pPr>
  </w:style>
  <w:style w:type="paragraph" w:styleId="78">
    <w:name w:val="List Continue 2"/>
    <w:basedOn w:val="1"/>
    <w:uiPriority w:val="0"/>
    <w:pPr>
      <w:spacing w:after="120" w:afterLines="0" w:afterAutospacing="0"/>
      <w:ind w:left="840" w:leftChars="400"/>
    </w:pPr>
  </w:style>
  <w:style w:type="paragraph" w:styleId="79">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uiPriority w:val="0"/>
    <w:rPr>
      <w:rFonts w:ascii="Courier New" w:hAnsi="Courier New"/>
      <w:sz w:val="20"/>
    </w:rPr>
  </w:style>
  <w:style w:type="paragraph" w:styleId="81">
    <w:name w:val="Normal (Web)"/>
    <w:basedOn w:val="1"/>
    <w:uiPriority w:val="0"/>
    <w:rPr>
      <w:sz w:val="24"/>
    </w:rPr>
  </w:style>
  <w:style w:type="paragraph" w:styleId="82">
    <w:name w:val="List Continue 3"/>
    <w:basedOn w:val="1"/>
    <w:uiPriority w:val="0"/>
    <w:pPr>
      <w:spacing w:after="120" w:afterLines="0" w:afterAutospacing="0"/>
      <w:ind w:left="1260" w:leftChars="600"/>
    </w:pPr>
  </w:style>
  <w:style w:type="paragraph" w:styleId="83">
    <w:name w:val="index 2"/>
    <w:basedOn w:val="1"/>
    <w:next w:val="1"/>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uiPriority w:val="0"/>
    <w:pPr>
      <w:ind w:firstLine="420" w:firstLineChars="100"/>
    </w:pPr>
  </w:style>
  <w:style w:type="paragraph" w:styleId="87">
    <w:name w:val="Body Text First Indent 2"/>
    <w:basedOn w:val="35"/>
    <w:uiPriority w:val="0"/>
    <w:pPr>
      <w:ind w:firstLine="420" w:firstLineChars="200"/>
    </w:pPr>
  </w:style>
  <w:style w:type="character" w:styleId="90">
    <w:name w:val="Strong"/>
    <w:basedOn w:val="89"/>
    <w:qFormat/>
    <w:uiPriority w:val="0"/>
    <w:rPr>
      <w:b/>
    </w:rPr>
  </w:style>
  <w:style w:type="character" w:styleId="91">
    <w:name w:val="annotation reference"/>
    <w:basedOn w:val="89"/>
    <w:qFormat/>
    <w:uiPriority w:val="0"/>
    <w:rPr>
      <w:sz w:val="21"/>
    </w:rPr>
  </w:style>
  <w:style w:type="paragraph" w:customStyle="1" w:styleId="92">
    <w:name w:val="参选文件格式1"/>
    <w:basedOn w:val="1"/>
    <w:next w:val="1"/>
    <w:link w:val="95"/>
    <w:autoRedefine/>
    <w:qFormat/>
    <w:uiPriority w:val="0"/>
    <w:pPr>
      <w:ind w:firstLine="0" w:firstLineChars="0"/>
      <w:jc w:val="center"/>
      <w:outlineLvl w:val="1"/>
    </w:pPr>
    <w:rPr>
      <w:rFonts w:hint="eastAsia"/>
      <w:b/>
      <w:sz w:val="28"/>
    </w:rPr>
  </w:style>
  <w:style w:type="character" w:customStyle="1" w:styleId="93">
    <w:name w:val="heading 4 Char"/>
    <w:autoRedefine/>
    <w:qFormat/>
    <w:uiPriority w:val="0"/>
    <w:rPr>
      <w:rFonts w:cs="Times New Roman"/>
      <w:bCs/>
      <w:szCs w:val="28"/>
    </w:rPr>
  </w:style>
  <w:style w:type="character" w:customStyle="1" w:styleId="94">
    <w:name w:val="heading 5 Char"/>
    <w:autoRedefine/>
    <w:qFormat/>
    <w:uiPriority w:val="0"/>
    <w:rPr>
      <w:rFonts w:ascii="Times New Roman" w:hAnsi="Times New Roman" w:eastAsia="宋体"/>
      <w:b/>
      <w:sz w:val="28"/>
    </w:rPr>
  </w:style>
  <w:style w:type="character" w:customStyle="1" w:styleId="95">
    <w:name w:val="参选文件格式1 Char"/>
    <w:link w:val="92"/>
    <w:autoRedefine/>
    <w:qFormat/>
    <w:uiPriority w:val="0"/>
    <w:rPr>
      <w:rFonts w:hint="eastAsia" w:eastAsia="宋体"/>
      <w:b/>
      <w:sz w:val="28"/>
    </w:rPr>
  </w:style>
  <w:style w:type="paragraph" w:customStyle="1" w:styleId="96">
    <w:name w:val="参选文件格式2"/>
    <w:basedOn w:val="1"/>
    <w:next w:val="1"/>
    <w:link w:val="109"/>
    <w:autoRedefine/>
    <w:qFormat/>
    <w:uiPriority w:val="0"/>
    <w:pPr>
      <w:ind w:firstLine="0" w:firstLineChars="0"/>
      <w:jc w:val="center"/>
      <w:outlineLvl w:val="2"/>
    </w:pPr>
    <w:rPr>
      <w:bCs/>
      <w:szCs w:val="32"/>
    </w:rPr>
  </w:style>
  <w:style w:type="paragraph" w:customStyle="1" w:styleId="97">
    <w:name w:val="参选文件格式3"/>
    <w:basedOn w:val="1"/>
    <w:link w:val="9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98">
    <w:name w:val="参选文件格式3 Char"/>
    <w:link w:val="97"/>
    <w:autoRedefine/>
    <w:qFormat/>
    <w:uiPriority w:val="0"/>
    <w:rPr>
      <w:rFonts w:hint="eastAsia" w:ascii="宋体" w:hAnsi="宋体" w:eastAsia="宋体"/>
      <w:b/>
      <w:snapToGrid w:val="0"/>
      <w:kern w:val="0"/>
      <w:u w:val="none"/>
    </w:rPr>
  </w:style>
  <w:style w:type="character" w:customStyle="1" w:styleId="99">
    <w:name w:val="font11"/>
    <w:basedOn w:val="89"/>
    <w:autoRedefine/>
    <w:qFormat/>
    <w:uiPriority w:val="0"/>
    <w:rPr>
      <w:rFonts w:ascii="宋体" w:hAnsi="宋体" w:eastAsia="宋体" w:cs="宋体"/>
      <w:b/>
      <w:bCs/>
      <w:color w:val="000000"/>
      <w:sz w:val="21"/>
      <w:szCs w:val="21"/>
      <w:u w:val="none"/>
    </w:rPr>
  </w:style>
  <w:style w:type="character" w:customStyle="1" w:styleId="100">
    <w:name w:val="font21"/>
    <w:basedOn w:val="89"/>
    <w:autoRedefine/>
    <w:qFormat/>
    <w:uiPriority w:val="0"/>
    <w:rPr>
      <w:rFonts w:ascii="宋体" w:hAnsi="宋体" w:eastAsia="宋体" w:cs="宋体"/>
      <w:color w:val="000000"/>
      <w:sz w:val="21"/>
      <w:szCs w:val="21"/>
      <w:u w:val="none"/>
    </w:rPr>
  </w:style>
  <w:style w:type="character" w:customStyle="1" w:styleId="101">
    <w:name w:val="font31"/>
    <w:basedOn w:val="89"/>
    <w:autoRedefine/>
    <w:qFormat/>
    <w:uiPriority w:val="0"/>
    <w:rPr>
      <w:rFonts w:ascii="宋体" w:hAnsi="宋体" w:eastAsia="宋体" w:cs="宋体"/>
      <w:color w:val="FF0000"/>
      <w:sz w:val="21"/>
      <w:szCs w:val="21"/>
      <w:u w:val="none"/>
    </w:rPr>
  </w:style>
  <w:style w:type="paragraph" w:styleId="102">
    <w:name w:val="List Paragraph"/>
    <w:basedOn w:val="1"/>
    <w:qFormat/>
    <w:uiPriority w:val="0"/>
  </w:style>
  <w:style w:type="character" w:customStyle="1" w:styleId="103">
    <w:name w:val="font_text_1"/>
    <w:qFormat/>
    <w:uiPriority w:val="0"/>
    <w:rPr>
      <w:rFonts w:ascii="Cambria Math" w:hAnsi="Cambria Math" w:eastAsia="宋体" w:cs="Cambria Math"/>
      <w:kern w:val="2"/>
      <w:sz w:val="24"/>
      <w:szCs w:val="20"/>
      <w:lang w:val="en-US" w:eastAsia="zh-CN" w:bidi="ar-SA"/>
    </w:rPr>
  </w:style>
  <w:style w:type="character" w:customStyle="1" w:styleId="104">
    <w:name w:val="标题 4 字符"/>
    <w:link w:val="6"/>
    <w:autoRedefine/>
    <w:qFormat/>
    <w:uiPriority w:val="0"/>
    <w:rPr>
      <w:rFonts w:cs="Times New Roman"/>
      <w:bCs/>
      <w:szCs w:val="28"/>
    </w:rPr>
  </w:style>
  <w:style w:type="character" w:customStyle="1" w:styleId="105">
    <w:name w:val="标题 1 字符"/>
    <w:basedOn w:val="89"/>
    <w:link w:val="3"/>
    <w:autoRedefine/>
    <w:qFormat/>
    <w:uiPriority w:val="0"/>
    <w:rPr>
      <w:rFonts w:ascii="Times New Roman" w:hAnsi="Times New Roman" w:eastAsia="宋体" w:cs="等线 Light"/>
      <w:b/>
      <w:snapToGrid w:val="0"/>
      <w:kern w:val="0"/>
      <w:sz w:val="44"/>
      <w:szCs w:val="44"/>
    </w:rPr>
  </w:style>
  <w:style w:type="character" w:customStyle="1" w:styleId="106">
    <w:name w:val="标题 2 字符"/>
    <w:basedOn w:val="89"/>
    <w:link w:val="4"/>
    <w:autoRedefine/>
    <w:qFormat/>
    <w:uiPriority w:val="9"/>
    <w:rPr>
      <w:rFonts w:ascii="Times New Roman" w:hAnsi="Times New Roman" w:eastAsia="宋体" w:cstheme="majorBidi"/>
      <w:b/>
      <w:bCs/>
      <w:snapToGrid w:val="0"/>
      <w:szCs w:val="24"/>
    </w:rPr>
  </w:style>
  <w:style w:type="character" w:customStyle="1" w:styleId="107">
    <w:name w:val="标题 3 字符"/>
    <w:basedOn w:val="89"/>
    <w:link w:val="5"/>
    <w:autoRedefine/>
    <w:qFormat/>
    <w:uiPriority w:val="9"/>
    <w:rPr>
      <w:b/>
      <w:bCs/>
      <w:szCs w:val="32"/>
    </w:rPr>
  </w:style>
  <w:style w:type="character" w:customStyle="1" w:styleId="108">
    <w:name w:val="标题 5 字符"/>
    <w:link w:val="7"/>
    <w:autoRedefine/>
    <w:qFormat/>
    <w:uiPriority w:val="0"/>
    <w:rPr>
      <w:rFonts w:ascii="Times New Roman" w:hAnsi="Times New Roman" w:eastAsia="宋体"/>
      <w:b/>
      <w:sz w:val="28"/>
    </w:rPr>
  </w:style>
  <w:style w:type="character" w:customStyle="1" w:styleId="109">
    <w:name w:val="参选文件格式2 Char"/>
    <w:link w:val="96"/>
    <w:autoRedefine/>
    <w:qFormat/>
    <w:uiPriority w:val="0"/>
    <w:rPr>
      <w:rFonts w:eastAsia="宋体"/>
      <w:bCs/>
      <w:szCs w:val="32"/>
    </w:rPr>
  </w:style>
  <w:style w:type="paragraph" w:customStyle="1" w:styleId="110">
    <w:name w:val="表格"/>
    <w:basedOn w:val="1"/>
    <w:qFormat/>
    <w:uiPriority w:val="0"/>
    <w:pPr>
      <w:spacing w:line="240" w:lineRule="auto"/>
      <w:ind w:firstLine="0" w:firstLineChars="0"/>
    </w:pPr>
    <w:rPr>
      <w:bCs/>
      <w:szCs w:val="18"/>
    </w:rPr>
  </w:style>
  <w:style w:type="paragraph" w:customStyle="1" w:styleId="111">
    <w:name w:val="表格（标题）"/>
    <w:basedOn w:val="1"/>
    <w:qFormat/>
    <w:uiPriority w:val="0"/>
    <w:pPr>
      <w:ind w:firstLine="0" w:firstLineChars="0"/>
      <w:jc w:val="center"/>
    </w:pPr>
    <w:rPr>
      <w:b/>
      <w:bCs/>
      <w:szCs w:val="18"/>
    </w:rPr>
  </w:style>
  <w:style w:type="paragraph" w:customStyle="1" w:styleId="112">
    <w:name w:val="标题2（无级别）"/>
    <w:basedOn w:val="1"/>
    <w:next w:val="1"/>
    <w:link w:val="115"/>
    <w:qFormat/>
    <w:uiPriority w:val="0"/>
    <w:pPr>
      <w:ind w:firstLine="0" w:firstLineChars="0"/>
    </w:pPr>
    <w:rPr>
      <w:rFonts w:hint="eastAsia" w:cstheme="majorBidi"/>
      <w:b/>
      <w:bCs/>
      <w:snapToGrid w:val="0"/>
      <w:szCs w:val="24"/>
    </w:rPr>
  </w:style>
  <w:style w:type="paragraph" w:customStyle="1" w:styleId="113">
    <w:name w:val="标题3（无级别）"/>
    <w:basedOn w:val="1"/>
    <w:next w:val="1"/>
    <w:qFormat/>
    <w:uiPriority w:val="0"/>
    <w:rPr>
      <w:rFonts w:hint="eastAsia"/>
      <w:b/>
      <w:bCs/>
      <w:szCs w:val="32"/>
    </w:rPr>
  </w:style>
  <w:style w:type="paragraph" w:customStyle="1" w:styleId="114">
    <w:name w:val="封面（项目名称）"/>
    <w:basedOn w:val="1"/>
    <w:qFormat/>
    <w:uiPriority w:val="0"/>
    <w:pPr>
      <w:ind w:firstLine="0" w:firstLineChars="0"/>
      <w:jc w:val="center"/>
    </w:pPr>
    <w:rPr>
      <w:rFonts w:cs="Times New Roman"/>
      <w:b/>
      <w:snapToGrid w:val="0"/>
      <w:kern w:val="0"/>
      <w:sz w:val="48"/>
      <w:szCs w:val="84"/>
    </w:rPr>
  </w:style>
  <w:style w:type="character" w:customStyle="1" w:styleId="115">
    <w:name w:val="标题2（无级别） Char"/>
    <w:link w:val="112"/>
    <w:qFormat/>
    <w:uiPriority w:val="0"/>
    <w:rPr>
      <w:rFonts w:hint="eastAsia" w:ascii="Times New Roman" w:hAnsi="Times New Roman" w:eastAsia="宋体" w:cstheme="majorBidi"/>
      <w:b/>
      <w:bCs/>
      <w:snapToGrid w:val="0"/>
      <w:szCs w:val="24"/>
    </w:rPr>
  </w:style>
  <w:style w:type="paragraph" w:customStyle="1" w:styleId="116">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4CE7F-FF9F-4998-B69F-7B621995557B}">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45455</Words>
  <Characters>48369</Characters>
  <Lines>383</Lines>
  <Paragraphs>107</Paragraphs>
  <TotalTime>1</TotalTime>
  <ScaleCrop>false</ScaleCrop>
  <LinksUpToDate>false</LinksUpToDate>
  <CharactersWithSpaces>49267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2024-08-20T08:16:00Z</cp:lastPrinted>
  <dcterms:modified xsi:type="dcterms:W3CDTF">2024-09-23T01:35:30Z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85F79BD6A4C14C498E2BF3E1AEB353CF_13</vt:lpwstr>
  </property>
</Properties>
</file>