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556CC7">
      <w:pPr>
        <w:tabs>
          <w:tab w:val="center" w:pos="4201"/>
          <w:tab w:val="right" w:leader="dot" w:pos="9298"/>
        </w:tabs>
        <w:spacing w:line="360" w:lineRule="auto"/>
        <w:ind w:firstLine="0" w:firstLineChars="0"/>
        <w:rPr>
          <w:rFonts w:hint="default" w:ascii="Times New Roman" w:hAnsi="Times New Roman" w:cs="Times New Roman"/>
          <w:color w:val="auto"/>
          <w:highlight w:val="none"/>
        </w:rPr>
      </w:pPr>
    </w:p>
    <w:p w14:paraId="73F3797D">
      <w:pPr>
        <w:spacing w:line="360" w:lineRule="auto"/>
        <w:ind w:firstLine="0" w:firstLineChars="0"/>
        <w:rPr>
          <w:rFonts w:hint="default" w:ascii="Times New Roman" w:hAnsi="Times New Roman" w:cs="Times New Roman"/>
          <w:b/>
          <w:snapToGrid w:val="0"/>
          <w:color w:val="auto"/>
          <w:kern w:val="0"/>
          <w:sz w:val="52"/>
          <w:szCs w:val="84"/>
          <w:highlight w:val="none"/>
        </w:rPr>
      </w:pPr>
    </w:p>
    <w:p w14:paraId="3A512AF8">
      <w:pPr>
        <w:spacing w:line="360" w:lineRule="auto"/>
        <w:ind w:firstLine="0" w:firstLineChars="0"/>
        <w:jc w:val="center"/>
        <w:rPr>
          <w:rFonts w:hint="default" w:ascii="Times New Roman" w:hAnsi="Times New Roman" w:cs="Times New Roman"/>
          <w:b/>
          <w:snapToGrid w:val="0"/>
          <w:color w:val="auto"/>
          <w:kern w:val="0"/>
          <w:sz w:val="48"/>
          <w:szCs w:val="84"/>
          <w:highlight w:val="none"/>
        </w:rPr>
      </w:pPr>
      <w:r>
        <w:rPr>
          <w:rFonts w:hint="default" w:ascii="Times New Roman" w:hAnsi="Times New Roman" w:cs="Times New Roman"/>
          <w:b/>
          <w:snapToGrid w:val="0"/>
          <w:color w:val="auto"/>
          <w:kern w:val="0"/>
          <w:sz w:val="48"/>
          <w:szCs w:val="84"/>
          <w:highlight w:val="none"/>
        </w:rPr>
        <w:t>重庆三峡银行</w:t>
      </w:r>
    </w:p>
    <w:p w14:paraId="7919254A">
      <w:pPr>
        <w:spacing w:line="360" w:lineRule="auto"/>
        <w:ind w:firstLine="0" w:firstLineChars="0"/>
        <w:jc w:val="center"/>
        <w:rPr>
          <w:rFonts w:hint="default" w:ascii="Times New Roman" w:hAnsi="Times New Roman" w:cs="Times New Roman"/>
          <w:b/>
          <w:snapToGrid w:val="0"/>
          <w:color w:val="auto"/>
          <w:kern w:val="0"/>
          <w:sz w:val="48"/>
          <w:szCs w:val="84"/>
          <w:highlight w:val="none"/>
          <w:u w:val="none"/>
        </w:rPr>
      </w:pPr>
      <w:r>
        <w:rPr>
          <w:rFonts w:hint="default" w:ascii="Times New Roman" w:hAnsi="Times New Roman" w:cs="Times New Roman"/>
          <w:b/>
          <w:snapToGrid w:val="0"/>
          <w:color w:val="auto"/>
          <w:kern w:val="0"/>
          <w:sz w:val="48"/>
          <w:szCs w:val="84"/>
          <w:highlight w:val="none"/>
          <w:u w:val="none"/>
          <w:lang w:eastAsia="zh-CN"/>
        </w:rPr>
        <w:t>新一代数据中台项目（一期）</w:t>
      </w:r>
    </w:p>
    <w:p w14:paraId="55E79C37">
      <w:pPr>
        <w:spacing w:line="360" w:lineRule="auto"/>
        <w:ind w:firstLine="0" w:firstLineChars="0"/>
        <w:jc w:val="left"/>
        <w:rPr>
          <w:rFonts w:hint="default" w:ascii="Times New Roman" w:hAnsi="Times New Roman" w:cs="Times New Roman"/>
          <w:snapToGrid w:val="0"/>
          <w:color w:val="auto"/>
          <w:kern w:val="0"/>
          <w:sz w:val="18"/>
          <w:highlight w:val="none"/>
        </w:rPr>
      </w:pPr>
    </w:p>
    <w:p w14:paraId="0290C633">
      <w:pPr>
        <w:spacing w:line="360" w:lineRule="auto"/>
        <w:ind w:firstLine="0" w:firstLineChars="0"/>
        <w:jc w:val="left"/>
        <w:rPr>
          <w:rFonts w:hint="default" w:ascii="Times New Roman" w:hAnsi="Times New Roman" w:cs="Times New Roman"/>
          <w:snapToGrid w:val="0"/>
          <w:color w:val="auto"/>
          <w:kern w:val="0"/>
          <w:sz w:val="20"/>
          <w:highlight w:val="none"/>
        </w:rPr>
      </w:pPr>
      <w:bookmarkStart w:id="324" w:name="_GoBack"/>
      <w:bookmarkEnd w:id="324"/>
    </w:p>
    <w:p w14:paraId="523158AC">
      <w:pPr>
        <w:spacing w:line="360" w:lineRule="auto"/>
        <w:ind w:firstLine="0" w:firstLineChars="0"/>
        <w:jc w:val="left"/>
        <w:rPr>
          <w:rFonts w:hint="default" w:ascii="Times New Roman" w:hAnsi="Times New Roman" w:cs="Times New Roman"/>
          <w:snapToGrid w:val="0"/>
          <w:color w:val="auto"/>
          <w:kern w:val="0"/>
          <w:sz w:val="20"/>
          <w:highlight w:val="none"/>
        </w:rPr>
      </w:pPr>
    </w:p>
    <w:p w14:paraId="5953E997">
      <w:pPr>
        <w:spacing w:line="360" w:lineRule="auto"/>
        <w:ind w:firstLine="0" w:firstLineChars="0"/>
        <w:jc w:val="left"/>
        <w:rPr>
          <w:rFonts w:hint="default" w:ascii="Times New Roman" w:hAnsi="Times New Roman" w:cs="Times New Roman"/>
          <w:snapToGrid w:val="0"/>
          <w:color w:val="auto"/>
          <w:kern w:val="0"/>
          <w:sz w:val="20"/>
          <w:highlight w:val="none"/>
        </w:rPr>
      </w:pPr>
    </w:p>
    <w:p w14:paraId="678B468B">
      <w:pPr>
        <w:spacing w:line="360" w:lineRule="auto"/>
        <w:ind w:firstLine="0" w:firstLineChars="0"/>
        <w:jc w:val="left"/>
        <w:rPr>
          <w:rFonts w:hint="default" w:ascii="Times New Roman" w:hAnsi="Times New Roman" w:cs="Times New Roman"/>
          <w:snapToGrid w:val="0"/>
          <w:color w:val="auto"/>
          <w:kern w:val="0"/>
          <w:sz w:val="20"/>
          <w:highlight w:val="none"/>
        </w:rPr>
      </w:pPr>
    </w:p>
    <w:p w14:paraId="0F8A00A7">
      <w:pPr>
        <w:spacing w:line="360" w:lineRule="auto"/>
        <w:ind w:firstLine="0" w:firstLineChars="0"/>
        <w:jc w:val="left"/>
        <w:rPr>
          <w:rFonts w:hint="default" w:ascii="Times New Roman" w:hAnsi="Times New Roman" w:cs="Times New Roman"/>
          <w:snapToGrid w:val="0"/>
          <w:color w:val="auto"/>
          <w:kern w:val="0"/>
          <w:sz w:val="20"/>
          <w:highlight w:val="none"/>
        </w:rPr>
      </w:pPr>
    </w:p>
    <w:p w14:paraId="72F9ECF5">
      <w:pPr>
        <w:spacing w:line="360" w:lineRule="auto"/>
        <w:ind w:firstLine="0" w:firstLineChars="0"/>
        <w:jc w:val="left"/>
        <w:rPr>
          <w:rFonts w:hint="default" w:ascii="Times New Roman" w:hAnsi="Times New Roman" w:cs="Times New Roman"/>
          <w:snapToGrid w:val="0"/>
          <w:color w:val="auto"/>
          <w:kern w:val="0"/>
          <w:sz w:val="20"/>
          <w:highlight w:val="none"/>
        </w:rPr>
      </w:pPr>
    </w:p>
    <w:p w14:paraId="1D6E8A7A">
      <w:pPr>
        <w:spacing w:line="360" w:lineRule="auto"/>
        <w:ind w:firstLine="0" w:firstLineChars="0"/>
        <w:jc w:val="center"/>
        <w:rPr>
          <w:rFonts w:hint="default" w:ascii="Times New Roman" w:hAnsi="Times New Roman" w:cs="Times New Roman"/>
          <w:b/>
          <w:snapToGrid w:val="0"/>
          <w:color w:val="auto"/>
          <w:kern w:val="0"/>
          <w:sz w:val="84"/>
          <w:szCs w:val="84"/>
          <w:highlight w:val="none"/>
        </w:rPr>
      </w:pPr>
      <w:r>
        <w:rPr>
          <w:rFonts w:hint="default" w:ascii="Times New Roman" w:hAnsi="Times New Roman" w:cs="Times New Roman"/>
          <w:b/>
          <w:snapToGrid w:val="0"/>
          <w:color w:val="auto"/>
          <w:kern w:val="0"/>
          <w:sz w:val="96"/>
          <w:szCs w:val="96"/>
          <w:highlight w:val="none"/>
        </w:rPr>
        <w:t>比选文件</w:t>
      </w:r>
    </w:p>
    <w:p w14:paraId="6427C7C9">
      <w:pPr>
        <w:spacing w:line="360" w:lineRule="auto"/>
        <w:ind w:firstLine="0" w:firstLineChars="0"/>
        <w:jc w:val="center"/>
        <w:rPr>
          <w:rFonts w:hint="default" w:ascii="Times New Roman" w:hAnsi="Times New Roman" w:cs="Times New Roman"/>
          <w:b/>
          <w:snapToGrid w:val="0"/>
          <w:color w:val="auto"/>
          <w:kern w:val="0"/>
          <w:szCs w:val="28"/>
          <w:highlight w:val="none"/>
        </w:rPr>
      </w:pPr>
    </w:p>
    <w:p w14:paraId="4ECBD55D">
      <w:pPr>
        <w:spacing w:line="360" w:lineRule="auto"/>
        <w:ind w:firstLine="0" w:firstLineChars="0"/>
        <w:jc w:val="center"/>
        <w:rPr>
          <w:rFonts w:hint="default" w:ascii="Times New Roman" w:hAnsi="Times New Roman" w:cs="Times New Roman"/>
          <w:b/>
          <w:snapToGrid w:val="0"/>
          <w:color w:val="auto"/>
          <w:kern w:val="0"/>
          <w:szCs w:val="28"/>
          <w:highlight w:val="none"/>
        </w:rPr>
      </w:pPr>
    </w:p>
    <w:p w14:paraId="3139FEA0">
      <w:pPr>
        <w:spacing w:line="360" w:lineRule="auto"/>
        <w:ind w:firstLine="0" w:firstLineChars="0"/>
        <w:jc w:val="center"/>
        <w:rPr>
          <w:rFonts w:hint="default" w:ascii="Times New Roman" w:hAnsi="Times New Roman" w:cs="Times New Roman"/>
          <w:b/>
          <w:snapToGrid w:val="0"/>
          <w:color w:val="auto"/>
          <w:kern w:val="0"/>
          <w:szCs w:val="28"/>
          <w:highlight w:val="none"/>
        </w:rPr>
      </w:pPr>
    </w:p>
    <w:p w14:paraId="1B9AE810">
      <w:pPr>
        <w:ind w:firstLine="0" w:firstLineChars="0"/>
        <w:rPr>
          <w:rFonts w:hint="default" w:ascii="Times New Roman" w:hAnsi="Times New Roman" w:cs="Times New Roman"/>
          <w:color w:val="auto"/>
          <w:highlight w:val="none"/>
        </w:rPr>
      </w:pPr>
    </w:p>
    <w:p w14:paraId="05765648">
      <w:pPr>
        <w:pStyle w:val="12"/>
        <w:rPr>
          <w:rFonts w:hint="default" w:ascii="Times New Roman" w:hAnsi="Times New Roman" w:cs="Times New Roman"/>
          <w:color w:val="auto"/>
          <w:highlight w:val="none"/>
        </w:rPr>
      </w:pPr>
    </w:p>
    <w:p w14:paraId="5BD6FE91">
      <w:pPr>
        <w:rPr>
          <w:rFonts w:hint="default" w:ascii="Times New Roman" w:hAnsi="Times New Roman" w:cs="Times New Roman"/>
          <w:color w:val="auto"/>
          <w:highlight w:val="none"/>
        </w:rPr>
      </w:pPr>
    </w:p>
    <w:p w14:paraId="038748AE">
      <w:pPr>
        <w:rPr>
          <w:rFonts w:hint="default" w:ascii="Times New Roman" w:hAnsi="Times New Roman" w:cs="Times New Roman"/>
          <w:color w:val="auto"/>
          <w:highlight w:val="none"/>
        </w:rPr>
      </w:pPr>
    </w:p>
    <w:tbl>
      <w:tblPr>
        <w:tblStyle w:val="2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3D8B1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41D4528A">
            <w:pPr>
              <w:spacing w:line="360" w:lineRule="auto"/>
              <w:ind w:firstLine="0" w:firstLineChars="0"/>
              <w:jc w:val="distribute"/>
              <w:rPr>
                <w:rFonts w:hint="default" w:ascii="Times New Roman" w:hAnsi="Times New Roman" w:cs="Times New Roman"/>
                <w:b/>
                <w:snapToGrid w:val="0"/>
                <w:color w:val="auto"/>
                <w:kern w:val="0"/>
                <w:sz w:val="30"/>
                <w:szCs w:val="30"/>
                <w:highlight w:val="none"/>
              </w:rPr>
            </w:pPr>
            <w:r>
              <w:rPr>
                <w:rFonts w:hint="default" w:ascii="Times New Roman" w:hAnsi="Times New Roman" w:cs="Times New Roman"/>
                <w:b/>
                <w:snapToGrid w:val="0"/>
                <w:color w:val="auto"/>
                <w:kern w:val="0"/>
                <w:sz w:val="30"/>
                <w:szCs w:val="30"/>
                <w:highlight w:val="none"/>
              </w:rPr>
              <w:t>比选人</w:t>
            </w:r>
          </w:p>
        </w:tc>
        <w:tc>
          <w:tcPr>
            <w:tcW w:w="4744" w:type="dxa"/>
            <w:tcBorders>
              <w:tl2br w:val="nil"/>
              <w:tr2bl w:val="nil"/>
            </w:tcBorders>
            <w:vAlign w:val="center"/>
          </w:tcPr>
          <w:p w14:paraId="5F7F0F15">
            <w:pPr>
              <w:spacing w:line="360" w:lineRule="auto"/>
              <w:ind w:firstLine="0" w:firstLineChars="0"/>
              <w:jc w:val="center"/>
              <w:rPr>
                <w:rFonts w:hint="default" w:ascii="Times New Roman" w:hAnsi="Times New Roman" w:cs="Times New Roman"/>
                <w:b/>
                <w:snapToGrid w:val="0"/>
                <w:color w:val="auto"/>
                <w:kern w:val="0"/>
                <w:sz w:val="30"/>
                <w:szCs w:val="30"/>
                <w:highlight w:val="none"/>
              </w:rPr>
            </w:pPr>
            <w:r>
              <w:rPr>
                <w:rFonts w:hint="default" w:ascii="Times New Roman" w:hAnsi="Times New Roman" w:cs="Times New Roman"/>
                <w:b/>
                <w:snapToGrid w:val="0"/>
                <w:color w:val="auto"/>
                <w:kern w:val="0"/>
                <w:sz w:val="30"/>
                <w:szCs w:val="30"/>
                <w:highlight w:val="none"/>
              </w:rPr>
              <w:t>重庆三峡银行股份有限公司</w:t>
            </w:r>
          </w:p>
        </w:tc>
        <w:tc>
          <w:tcPr>
            <w:tcW w:w="2020" w:type="dxa"/>
            <w:vMerge w:val="restart"/>
            <w:tcBorders>
              <w:tl2br w:val="nil"/>
              <w:tr2bl w:val="nil"/>
            </w:tcBorders>
            <w:vAlign w:val="center"/>
          </w:tcPr>
          <w:p w14:paraId="74A8951D">
            <w:pPr>
              <w:spacing w:line="360" w:lineRule="auto"/>
              <w:ind w:firstLine="0" w:firstLineChars="0"/>
              <w:jc w:val="center"/>
              <w:rPr>
                <w:rFonts w:hint="default" w:ascii="Times New Roman" w:hAnsi="Times New Roman" w:cs="Times New Roman"/>
                <w:b/>
                <w:snapToGrid w:val="0"/>
                <w:color w:val="auto"/>
                <w:kern w:val="0"/>
                <w:sz w:val="30"/>
                <w:szCs w:val="30"/>
                <w:highlight w:val="none"/>
              </w:rPr>
            </w:pPr>
            <w:r>
              <w:rPr>
                <w:rFonts w:hint="default" w:ascii="Times New Roman" w:hAnsi="Times New Roman" w:cs="Times New Roman"/>
                <w:bCs/>
                <w:snapToGrid w:val="0"/>
                <w:color w:val="auto"/>
                <w:kern w:val="0"/>
                <w:szCs w:val="24"/>
                <w:highlight w:val="none"/>
              </w:rPr>
              <w:t>（盖单位</w:t>
            </w:r>
            <w:r>
              <w:rPr>
                <w:rFonts w:hint="eastAsia" w:ascii="Times New Roman" w:hAnsi="Times New Roman" w:cs="Times New Roman"/>
                <w:bCs/>
                <w:snapToGrid w:val="0"/>
                <w:color w:val="auto"/>
                <w:kern w:val="0"/>
                <w:szCs w:val="24"/>
                <w:highlight w:val="none"/>
                <w:lang w:val="en-US" w:eastAsia="zh-CN"/>
              </w:rPr>
              <w:t>公</w:t>
            </w:r>
            <w:r>
              <w:rPr>
                <w:rFonts w:hint="default" w:ascii="Times New Roman" w:hAnsi="Times New Roman" w:cs="Times New Roman"/>
                <w:bCs/>
                <w:snapToGrid w:val="0"/>
                <w:color w:val="auto"/>
                <w:kern w:val="0"/>
                <w:szCs w:val="24"/>
                <w:highlight w:val="none"/>
              </w:rPr>
              <w:t>章）</w:t>
            </w:r>
          </w:p>
        </w:tc>
      </w:tr>
      <w:tr w14:paraId="32271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64A23E3E">
            <w:pPr>
              <w:spacing w:line="360" w:lineRule="auto"/>
              <w:ind w:firstLine="0" w:firstLineChars="0"/>
              <w:jc w:val="distribute"/>
              <w:rPr>
                <w:rFonts w:hint="default" w:ascii="Times New Roman" w:hAnsi="Times New Roman" w:cs="Times New Roman"/>
                <w:b/>
                <w:snapToGrid w:val="0"/>
                <w:color w:val="auto"/>
                <w:kern w:val="0"/>
                <w:sz w:val="30"/>
                <w:szCs w:val="30"/>
                <w:highlight w:val="none"/>
              </w:rPr>
            </w:pPr>
            <w:r>
              <w:rPr>
                <w:rFonts w:hint="default" w:ascii="Times New Roman" w:hAnsi="Times New Roman" w:cs="Times New Roman"/>
                <w:b/>
                <w:snapToGrid w:val="0"/>
                <w:color w:val="auto"/>
                <w:kern w:val="0"/>
                <w:sz w:val="30"/>
                <w:szCs w:val="30"/>
                <w:highlight w:val="none"/>
              </w:rPr>
              <w:t>发布时间</w:t>
            </w:r>
          </w:p>
        </w:tc>
        <w:tc>
          <w:tcPr>
            <w:tcW w:w="4744" w:type="dxa"/>
            <w:tcBorders>
              <w:tl2br w:val="nil"/>
              <w:tr2bl w:val="nil"/>
            </w:tcBorders>
            <w:vAlign w:val="center"/>
          </w:tcPr>
          <w:p w14:paraId="2E184F27">
            <w:pPr>
              <w:spacing w:line="360" w:lineRule="auto"/>
              <w:ind w:firstLine="0" w:firstLineChars="0"/>
              <w:jc w:val="center"/>
              <w:rPr>
                <w:rFonts w:hint="default" w:ascii="Times New Roman" w:hAnsi="Times New Roman" w:cs="Times New Roman"/>
                <w:b/>
                <w:snapToGrid w:val="0"/>
                <w:color w:val="auto"/>
                <w:kern w:val="0"/>
                <w:sz w:val="30"/>
                <w:szCs w:val="30"/>
                <w:highlight w:val="none"/>
              </w:rPr>
            </w:pPr>
            <w:r>
              <w:rPr>
                <w:rFonts w:hint="eastAsia" w:ascii="Times New Roman" w:hAnsi="Times New Roman" w:cs="Times New Roman"/>
                <w:b/>
                <w:snapToGrid w:val="0"/>
                <w:color w:val="auto"/>
                <w:kern w:val="0"/>
                <w:sz w:val="30"/>
                <w:szCs w:val="30"/>
                <w:highlight w:val="none"/>
                <w:lang w:val="en-US" w:eastAsia="zh-CN"/>
              </w:rPr>
              <w:t xml:space="preserve">2024 </w:t>
            </w:r>
            <w:r>
              <w:rPr>
                <w:rFonts w:hint="default" w:ascii="Times New Roman" w:hAnsi="Times New Roman" w:cs="Times New Roman"/>
                <w:b/>
                <w:snapToGrid w:val="0"/>
                <w:color w:val="auto"/>
                <w:kern w:val="0"/>
                <w:sz w:val="30"/>
                <w:szCs w:val="30"/>
                <w:highlight w:val="none"/>
              </w:rPr>
              <w:t>年</w:t>
            </w:r>
            <w:r>
              <w:rPr>
                <w:rFonts w:hint="eastAsia" w:ascii="Times New Roman" w:hAnsi="Times New Roman" w:cs="Times New Roman"/>
                <w:b/>
                <w:snapToGrid w:val="0"/>
                <w:color w:val="auto"/>
                <w:kern w:val="0"/>
                <w:sz w:val="30"/>
                <w:szCs w:val="30"/>
                <w:highlight w:val="none"/>
                <w:lang w:val="en-US" w:eastAsia="zh-CN"/>
              </w:rPr>
              <w:t xml:space="preserve"> 10 </w:t>
            </w:r>
            <w:r>
              <w:rPr>
                <w:rFonts w:hint="default" w:ascii="Times New Roman" w:hAnsi="Times New Roman" w:cs="Times New Roman"/>
                <w:b/>
                <w:snapToGrid w:val="0"/>
                <w:color w:val="auto"/>
                <w:kern w:val="0"/>
                <w:sz w:val="30"/>
                <w:szCs w:val="30"/>
                <w:highlight w:val="none"/>
              </w:rPr>
              <w:t>月</w:t>
            </w:r>
          </w:p>
        </w:tc>
        <w:tc>
          <w:tcPr>
            <w:tcW w:w="2020" w:type="dxa"/>
            <w:vMerge w:val="continue"/>
            <w:tcBorders>
              <w:tl2br w:val="nil"/>
              <w:tr2bl w:val="nil"/>
            </w:tcBorders>
            <w:vAlign w:val="center"/>
          </w:tcPr>
          <w:p w14:paraId="6D46DE13">
            <w:pPr>
              <w:rPr>
                <w:rFonts w:hint="default" w:ascii="Times New Roman" w:hAnsi="Times New Roman" w:cs="Times New Roman"/>
                <w:color w:val="auto"/>
                <w:highlight w:val="none"/>
              </w:rPr>
            </w:pPr>
          </w:p>
        </w:tc>
      </w:tr>
    </w:tbl>
    <w:p w14:paraId="2DF3787A">
      <w:pPr>
        <w:rPr>
          <w:rFonts w:hint="default" w:ascii="Times New Roman" w:hAnsi="Times New Roman" w:cs="Times New Roman"/>
          <w:color w:val="auto"/>
          <w:highlight w:val="none"/>
        </w:rPr>
      </w:pPr>
    </w:p>
    <w:p w14:paraId="14BCA9CE">
      <w:pPr>
        <w:rPr>
          <w:rFonts w:hint="default" w:ascii="Times New Roman" w:hAnsi="Times New Roman" w:cs="Times New Roman"/>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46513128">
      <w:pPr>
        <w:snapToGrid w:val="0"/>
        <w:spacing w:line="360" w:lineRule="auto"/>
        <w:ind w:firstLine="0" w:firstLineChars="0"/>
        <w:jc w:val="center"/>
        <w:rPr>
          <w:rFonts w:hint="default" w:ascii="Times New Roman" w:hAnsi="Times New Roman" w:cs="Times New Roman"/>
          <w:b/>
          <w:snapToGrid w:val="0"/>
          <w:color w:val="auto"/>
          <w:kern w:val="0"/>
          <w:sz w:val="44"/>
          <w:szCs w:val="44"/>
          <w:highlight w:val="none"/>
        </w:rPr>
      </w:pPr>
      <w:r>
        <w:rPr>
          <w:rFonts w:hint="default" w:ascii="Times New Roman" w:hAnsi="Times New Roman" w:cs="Times New Roman"/>
          <w:b/>
          <w:snapToGrid w:val="0"/>
          <w:color w:val="auto"/>
          <w:kern w:val="0"/>
          <w:sz w:val="44"/>
          <w:szCs w:val="44"/>
          <w:highlight w:val="none"/>
        </w:rPr>
        <w:t>目录</w:t>
      </w:r>
    </w:p>
    <w:p w14:paraId="1E6D4436">
      <w:pPr>
        <w:pStyle w:val="11"/>
        <w:tabs>
          <w:tab w:val="right" w:leader="dot" w:pos="8306"/>
        </w:tabs>
        <w:rPr>
          <w:rFonts w:hint="default" w:ascii="Times New Roman" w:hAnsi="Times New Roman" w:cs="Times New Roman"/>
          <w:color w:val="auto"/>
          <w:highlight w:val="none"/>
        </w:rPr>
      </w:pPr>
      <w:r>
        <w:rPr>
          <w:rFonts w:hint="default" w:ascii="Times New Roman" w:hAnsi="Times New Roman" w:cs="Times New Roman"/>
          <w:snapToGrid w:val="0"/>
          <w:color w:val="auto"/>
          <w:kern w:val="0"/>
          <w:szCs w:val="24"/>
          <w:highlight w:val="none"/>
        </w:rPr>
        <w:fldChar w:fldCharType="begin"/>
      </w:r>
      <w:r>
        <w:rPr>
          <w:rFonts w:hint="default" w:ascii="Times New Roman" w:hAnsi="Times New Roman" w:cs="Times New Roman"/>
          <w:snapToGrid w:val="0"/>
          <w:color w:val="auto"/>
          <w:kern w:val="0"/>
          <w:szCs w:val="24"/>
          <w:highlight w:val="none"/>
        </w:rPr>
        <w:instrText xml:space="preserve">TOC \o "1-1" \h \z \u </w:instrText>
      </w:r>
      <w:r>
        <w:rPr>
          <w:rFonts w:hint="default" w:ascii="Times New Roman" w:hAnsi="Times New Roman" w:cs="Times New Roman"/>
          <w:snapToGrid w:val="0"/>
          <w:color w:val="auto"/>
          <w:kern w:val="0"/>
          <w:szCs w:val="24"/>
          <w:highlight w:val="none"/>
        </w:rPr>
        <w:fldChar w:fldCharType="separate"/>
      </w:r>
      <w:r>
        <w:rPr>
          <w:rFonts w:hint="default" w:ascii="Times New Roman" w:hAnsi="Times New Roman" w:cs="Times New Roman"/>
          <w:snapToGrid w:val="0"/>
          <w:color w:val="auto"/>
          <w:kern w:val="0"/>
          <w:szCs w:val="24"/>
          <w:highlight w:val="none"/>
        </w:rPr>
        <w:fldChar w:fldCharType="begin"/>
      </w:r>
      <w:r>
        <w:rPr>
          <w:rFonts w:hint="default" w:ascii="Times New Roman" w:hAnsi="Times New Roman" w:cs="Times New Roman"/>
          <w:snapToGrid w:val="0"/>
          <w:color w:val="auto"/>
          <w:kern w:val="0"/>
          <w:szCs w:val="24"/>
          <w:highlight w:val="none"/>
        </w:rPr>
        <w:instrText xml:space="preserve"> HYPERLINK \l _Toc17280 </w:instrText>
      </w:r>
      <w:r>
        <w:rPr>
          <w:rFonts w:hint="default" w:ascii="Times New Roman" w:hAnsi="Times New Roman" w:cs="Times New Roman"/>
          <w:snapToGrid w:val="0"/>
          <w:color w:val="auto"/>
          <w:kern w:val="0"/>
          <w:szCs w:val="24"/>
          <w:highlight w:val="none"/>
        </w:rPr>
        <w:fldChar w:fldCharType="separate"/>
      </w:r>
      <w:r>
        <w:rPr>
          <w:rFonts w:hint="default" w:ascii="Times New Roman" w:hAnsi="Times New Roman" w:cs="Times New Roman"/>
          <w:color w:val="auto"/>
          <w:highlight w:val="none"/>
        </w:rPr>
        <w:t>第一章 比选公告</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_Toc17280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1</w:t>
      </w:r>
      <w:r>
        <w:rPr>
          <w:rFonts w:hint="default" w:ascii="Times New Roman" w:hAnsi="Times New Roman" w:cs="Times New Roman"/>
          <w:color w:val="auto"/>
          <w:highlight w:val="none"/>
        </w:rPr>
        <w:fldChar w:fldCharType="end"/>
      </w:r>
      <w:r>
        <w:rPr>
          <w:rFonts w:hint="default" w:ascii="Times New Roman" w:hAnsi="Times New Roman" w:cs="Times New Roman"/>
          <w:snapToGrid w:val="0"/>
          <w:color w:val="auto"/>
          <w:kern w:val="0"/>
          <w:szCs w:val="24"/>
          <w:highlight w:val="none"/>
        </w:rPr>
        <w:fldChar w:fldCharType="end"/>
      </w:r>
    </w:p>
    <w:p w14:paraId="0A1C94B2">
      <w:pPr>
        <w:pStyle w:val="11"/>
        <w:tabs>
          <w:tab w:val="right" w:leader="dot" w:pos="8306"/>
        </w:tabs>
        <w:rPr>
          <w:rFonts w:hint="default" w:ascii="Times New Roman" w:hAnsi="Times New Roman" w:cs="Times New Roman"/>
          <w:color w:val="auto"/>
          <w:highlight w:val="none"/>
        </w:rPr>
      </w:pPr>
      <w:r>
        <w:rPr>
          <w:rFonts w:hint="default" w:ascii="Times New Roman" w:hAnsi="Times New Roman" w:cs="Times New Roman"/>
          <w:snapToGrid w:val="0"/>
          <w:color w:val="auto"/>
          <w:kern w:val="0"/>
          <w:szCs w:val="24"/>
          <w:highlight w:val="none"/>
        </w:rPr>
        <w:fldChar w:fldCharType="begin"/>
      </w:r>
      <w:r>
        <w:rPr>
          <w:rFonts w:hint="default" w:ascii="Times New Roman" w:hAnsi="Times New Roman" w:cs="Times New Roman"/>
          <w:snapToGrid w:val="0"/>
          <w:color w:val="auto"/>
          <w:kern w:val="0"/>
          <w:szCs w:val="24"/>
          <w:highlight w:val="none"/>
        </w:rPr>
        <w:instrText xml:space="preserve"> HYPERLINK \l _Toc13707 </w:instrText>
      </w:r>
      <w:r>
        <w:rPr>
          <w:rFonts w:hint="default" w:ascii="Times New Roman" w:hAnsi="Times New Roman" w:cs="Times New Roman"/>
          <w:snapToGrid w:val="0"/>
          <w:color w:val="auto"/>
          <w:kern w:val="0"/>
          <w:szCs w:val="24"/>
          <w:highlight w:val="none"/>
        </w:rPr>
        <w:fldChar w:fldCharType="separate"/>
      </w:r>
      <w:r>
        <w:rPr>
          <w:rFonts w:hint="default" w:ascii="Times New Roman" w:hAnsi="Times New Roman" w:cs="Times New Roman"/>
          <w:color w:val="auto"/>
          <w:highlight w:val="none"/>
        </w:rPr>
        <w:t>第二章 参选人须知</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_Toc13707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7</w:t>
      </w:r>
      <w:r>
        <w:rPr>
          <w:rFonts w:hint="default" w:ascii="Times New Roman" w:hAnsi="Times New Roman" w:cs="Times New Roman"/>
          <w:color w:val="auto"/>
          <w:highlight w:val="none"/>
        </w:rPr>
        <w:fldChar w:fldCharType="end"/>
      </w:r>
      <w:r>
        <w:rPr>
          <w:rFonts w:hint="default" w:ascii="Times New Roman" w:hAnsi="Times New Roman" w:cs="Times New Roman"/>
          <w:snapToGrid w:val="0"/>
          <w:color w:val="auto"/>
          <w:kern w:val="0"/>
          <w:szCs w:val="24"/>
          <w:highlight w:val="none"/>
        </w:rPr>
        <w:fldChar w:fldCharType="end"/>
      </w:r>
    </w:p>
    <w:p w14:paraId="0FF8F848">
      <w:pPr>
        <w:pStyle w:val="11"/>
        <w:tabs>
          <w:tab w:val="right" w:leader="dot" w:pos="8306"/>
        </w:tabs>
        <w:rPr>
          <w:rFonts w:hint="default" w:ascii="Times New Roman" w:hAnsi="Times New Roman" w:cs="Times New Roman"/>
          <w:color w:val="auto"/>
          <w:highlight w:val="none"/>
        </w:rPr>
      </w:pPr>
      <w:r>
        <w:rPr>
          <w:rFonts w:hint="default" w:ascii="Times New Roman" w:hAnsi="Times New Roman" w:cs="Times New Roman"/>
          <w:snapToGrid w:val="0"/>
          <w:color w:val="auto"/>
          <w:kern w:val="0"/>
          <w:szCs w:val="24"/>
          <w:highlight w:val="none"/>
        </w:rPr>
        <w:fldChar w:fldCharType="begin"/>
      </w:r>
      <w:r>
        <w:rPr>
          <w:rFonts w:hint="default" w:ascii="Times New Roman" w:hAnsi="Times New Roman" w:cs="Times New Roman"/>
          <w:snapToGrid w:val="0"/>
          <w:color w:val="auto"/>
          <w:kern w:val="0"/>
          <w:szCs w:val="24"/>
          <w:highlight w:val="none"/>
        </w:rPr>
        <w:instrText xml:space="preserve"> HYPERLINK \l _Toc27807 </w:instrText>
      </w:r>
      <w:r>
        <w:rPr>
          <w:rFonts w:hint="default" w:ascii="Times New Roman" w:hAnsi="Times New Roman" w:cs="Times New Roman"/>
          <w:snapToGrid w:val="0"/>
          <w:color w:val="auto"/>
          <w:kern w:val="0"/>
          <w:szCs w:val="24"/>
          <w:highlight w:val="none"/>
        </w:rPr>
        <w:fldChar w:fldCharType="separate"/>
      </w:r>
      <w:r>
        <w:rPr>
          <w:rFonts w:hint="default" w:ascii="Times New Roman" w:hAnsi="Times New Roman" w:cs="Times New Roman"/>
          <w:color w:val="auto"/>
          <w:highlight w:val="none"/>
        </w:rPr>
        <w:t>第三章 项目要求</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_Toc27807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19</w:t>
      </w:r>
      <w:r>
        <w:rPr>
          <w:rFonts w:hint="default" w:ascii="Times New Roman" w:hAnsi="Times New Roman" w:cs="Times New Roman"/>
          <w:color w:val="auto"/>
          <w:highlight w:val="none"/>
        </w:rPr>
        <w:fldChar w:fldCharType="end"/>
      </w:r>
      <w:r>
        <w:rPr>
          <w:rFonts w:hint="default" w:ascii="Times New Roman" w:hAnsi="Times New Roman" w:cs="Times New Roman"/>
          <w:snapToGrid w:val="0"/>
          <w:color w:val="auto"/>
          <w:kern w:val="0"/>
          <w:szCs w:val="24"/>
          <w:highlight w:val="none"/>
        </w:rPr>
        <w:fldChar w:fldCharType="end"/>
      </w:r>
    </w:p>
    <w:p w14:paraId="5C1DC46C">
      <w:pPr>
        <w:pStyle w:val="11"/>
        <w:tabs>
          <w:tab w:val="right" w:leader="dot" w:pos="8306"/>
        </w:tabs>
        <w:rPr>
          <w:rFonts w:hint="default" w:ascii="Times New Roman" w:hAnsi="Times New Roman" w:cs="Times New Roman"/>
          <w:color w:val="auto"/>
          <w:highlight w:val="none"/>
        </w:rPr>
      </w:pPr>
      <w:r>
        <w:rPr>
          <w:rFonts w:hint="default" w:ascii="Times New Roman" w:hAnsi="Times New Roman" w:cs="Times New Roman"/>
          <w:snapToGrid w:val="0"/>
          <w:color w:val="auto"/>
          <w:kern w:val="0"/>
          <w:szCs w:val="24"/>
          <w:highlight w:val="none"/>
        </w:rPr>
        <w:fldChar w:fldCharType="begin"/>
      </w:r>
      <w:r>
        <w:rPr>
          <w:rFonts w:hint="default" w:ascii="Times New Roman" w:hAnsi="Times New Roman" w:cs="Times New Roman"/>
          <w:snapToGrid w:val="0"/>
          <w:color w:val="auto"/>
          <w:kern w:val="0"/>
          <w:szCs w:val="24"/>
          <w:highlight w:val="none"/>
        </w:rPr>
        <w:instrText xml:space="preserve"> HYPERLINK \l _Toc20600 </w:instrText>
      </w:r>
      <w:r>
        <w:rPr>
          <w:rFonts w:hint="default" w:ascii="Times New Roman" w:hAnsi="Times New Roman" w:cs="Times New Roman"/>
          <w:snapToGrid w:val="0"/>
          <w:color w:val="auto"/>
          <w:kern w:val="0"/>
          <w:szCs w:val="24"/>
          <w:highlight w:val="none"/>
        </w:rPr>
        <w:fldChar w:fldCharType="separate"/>
      </w:r>
      <w:r>
        <w:rPr>
          <w:rFonts w:hint="default" w:ascii="Times New Roman" w:hAnsi="Times New Roman" w:cs="Times New Roman"/>
          <w:color w:val="auto"/>
          <w:highlight w:val="none"/>
        </w:rPr>
        <w:t>第四章 评审办法（综合评估法）</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_Toc20600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82</w:t>
      </w:r>
      <w:r>
        <w:rPr>
          <w:rFonts w:hint="default" w:ascii="Times New Roman" w:hAnsi="Times New Roman" w:cs="Times New Roman"/>
          <w:color w:val="auto"/>
          <w:highlight w:val="none"/>
        </w:rPr>
        <w:fldChar w:fldCharType="end"/>
      </w:r>
      <w:r>
        <w:rPr>
          <w:rFonts w:hint="default" w:ascii="Times New Roman" w:hAnsi="Times New Roman" w:cs="Times New Roman"/>
          <w:snapToGrid w:val="0"/>
          <w:color w:val="auto"/>
          <w:kern w:val="0"/>
          <w:szCs w:val="24"/>
          <w:highlight w:val="none"/>
        </w:rPr>
        <w:fldChar w:fldCharType="end"/>
      </w:r>
    </w:p>
    <w:p w14:paraId="463BAF6B">
      <w:pPr>
        <w:pStyle w:val="11"/>
        <w:tabs>
          <w:tab w:val="right" w:leader="dot" w:pos="8306"/>
        </w:tabs>
        <w:rPr>
          <w:rFonts w:hint="default" w:ascii="Times New Roman" w:hAnsi="Times New Roman" w:cs="Times New Roman"/>
          <w:color w:val="auto"/>
          <w:highlight w:val="none"/>
        </w:rPr>
      </w:pPr>
      <w:r>
        <w:rPr>
          <w:rFonts w:hint="default" w:ascii="Times New Roman" w:hAnsi="Times New Roman" w:cs="Times New Roman"/>
          <w:snapToGrid w:val="0"/>
          <w:color w:val="auto"/>
          <w:kern w:val="0"/>
          <w:szCs w:val="24"/>
          <w:highlight w:val="none"/>
        </w:rPr>
        <w:fldChar w:fldCharType="begin"/>
      </w:r>
      <w:r>
        <w:rPr>
          <w:rFonts w:hint="default" w:ascii="Times New Roman" w:hAnsi="Times New Roman" w:cs="Times New Roman"/>
          <w:snapToGrid w:val="0"/>
          <w:color w:val="auto"/>
          <w:kern w:val="0"/>
          <w:szCs w:val="24"/>
          <w:highlight w:val="none"/>
        </w:rPr>
        <w:instrText xml:space="preserve"> HYPERLINK \l _Toc14245 </w:instrText>
      </w:r>
      <w:r>
        <w:rPr>
          <w:rFonts w:hint="default" w:ascii="Times New Roman" w:hAnsi="Times New Roman" w:cs="Times New Roman"/>
          <w:snapToGrid w:val="0"/>
          <w:color w:val="auto"/>
          <w:kern w:val="0"/>
          <w:szCs w:val="24"/>
          <w:highlight w:val="none"/>
        </w:rPr>
        <w:fldChar w:fldCharType="separate"/>
      </w:r>
      <w:r>
        <w:rPr>
          <w:rFonts w:hint="default" w:ascii="Times New Roman" w:hAnsi="Times New Roman" w:cs="Times New Roman"/>
          <w:color w:val="auto"/>
          <w:highlight w:val="none"/>
        </w:rPr>
        <w:t>第五章 合同模板</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_Toc14245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89</w:t>
      </w:r>
      <w:r>
        <w:rPr>
          <w:rFonts w:hint="default" w:ascii="Times New Roman" w:hAnsi="Times New Roman" w:cs="Times New Roman"/>
          <w:color w:val="auto"/>
          <w:highlight w:val="none"/>
        </w:rPr>
        <w:fldChar w:fldCharType="end"/>
      </w:r>
      <w:r>
        <w:rPr>
          <w:rFonts w:hint="default" w:ascii="Times New Roman" w:hAnsi="Times New Roman" w:cs="Times New Roman"/>
          <w:snapToGrid w:val="0"/>
          <w:color w:val="auto"/>
          <w:kern w:val="0"/>
          <w:szCs w:val="24"/>
          <w:highlight w:val="none"/>
        </w:rPr>
        <w:fldChar w:fldCharType="end"/>
      </w:r>
    </w:p>
    <w:p w14:paraId="1A6F41CD">
      <w:pPr>
        <w:pStyle w:val="11"/>
        <w:tabs>
          <w:tab w:val="right" w:leader="dot" w:pos="8306"/>
        </w:tabs>
        <w:rPr>
          <w:rFonts w:hint="default" w:ascii="Times New Roman" w:hAnsi="Times New Roman" w:cs="Times New Roman"/>
          <w:color w:val="auto"/>
          <w:highlight w:val="none"/>
        </w:rPr>
      </w:pPr>
      <w:r>
        <w:rPr>
          <w:rFonts w:hint="default" w:ascii="Times New Roman" w:hAnsi="Times New Roman" w:cs="Times New Roman"/>
          <w:snapToGrid w:val="0"/>
          <w:color w:val="auto"/>
          <w:kern w:val="0"/>
          <w:szCs w:val="24"/>
          <w:highlight w:val="none"/>
        </w:rPr>
        <w:fldChar w:fldCharType="begin"/>
      </w:r>
      <w:r>
        <w:rPr>
          <w:rFonts w:hint="default" w:ascii="Times New Roman" w:hAnsi="Times New Roman" w:cs="Times New Roman"/>
          <w:snapToGrid w:val="0"/>
          <w:color w:val="auto"/>
          <w:kern w:val="0"/>
          <w:szCs w:val="24"/>
          <w:highlight w:val="none"/>
        </w:rPr>
        <w:instrText xml:space="preserve"> HYPERLINK \l _Toc38 </w:instrText>
      </w:r>
      <w:r>
        <w:rPr>
          <w:rFonts w:hint="default" w:ascii="Times New Roman" w:hAnsi="Times New Roman" w:cs="Times New Roman"/>
          <w:snapToGrid w:val="0"/>
          <w:color w:val="auto"/>
          <w:kern w:val="0"/>
          <w:szCs w:val="24"/>
          <w:highlight w:val="none"/>
        </w:rPr>
        <w:fldChar w:fldCharType="separate"/>
      </w:r>
      <w:r>
        <w:rPr>
          <w:rFonts w:hint="default" w:ascii="Times New Roman" w:hAnsi="Times New Roman" w:cs="Times New Roman"/>
          <w:color w:val="auto"/>
          <w:highlight w:val="none"/>
        </w:rPr>
        <w:t>第六章 参选文件格式</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_Toc38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128</w:t>
      </w:r>
      <w:r>
        <w:rPr>
          <w:rFonts w:hint="default" w:ascii="Times New Roman" w:hAnsi="Times New Roman" w:cs="Times New Roman"/>
          <w:color w:val="auto"/>
          <w:highlight w:val="none"/>
        </w:rPr>
        <w:fldChar w:fldCharType="end"/>
      </w:r>
      <w:r>
        <w:rPr>
          <w:rFonts w:hint="default" w:ascii="Times New Roman" w:hAnsi="Times New Roman" w:cs="Times New Roman"/>
          <w:snapToGrid w:val="0"/>
          <w:color w:val="auto"/>
          <w:kern w:val="0"/>
          <w:szCs w:val="24"/>
          <w:highlight w:val="none"/>
        </w:rPr>
        <w:fldChar w:fldCharType="end"/>
      </w:r>
    </w:p>
    <w:p w14:paraId="04E07D16">
      <w:pPr>
        <w:widowControl/>
        <w:jc w:val="left"/>
        <w:rPr>
          <w:rFonts w:hint="default" w:ascii="Times New Roman" w:hAnsi="Times New Roman" w:cs="Times New Roman"/>
          <w:snapToGrid w:val="0"/>
          <w:color w:val="auto"/>
          <w:kern w:val="0"/>
          <w:szCs w:val="24"/>
          <w:highlight w:val="none"/>
        </w:rPr>
      </w:pPr>
      <w:r>
        <w:rPr>
          <w:rFonts w:hint="default" w:ascii="Times New Roman" w:hAnsi="Times New Roman" w:cs="Times New Roman"/>
          <w:snapToGrid w:val="0"/>
          <w:color w:val="auto"/>
          <w:kern w:val="0"/>
          <w:szCs w:val="24"/>
          <w:highlight w:val="none"/>
        </w:rPr>
        <w:fldChar w:fldCharType="end"/>
      </w:r>
    </w:p>
    <w:p w14:paraId="77C24725">
      <w:pPr>
        <w:widowControl/>
        <w:jc w:val="left"/>
        <w:rPr>
          <w:rFonts w:hint="default" w:ascii="Times New Roman" w:hAnsi="Times New Roman" w:cs="Times New Roman"/>
          <w:snapToGrid w:val="0"/>
          <w:color w:val="auto"/>
          <w:kern w:val="0"/>
          <w:szCs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4F7B6E39">
      <w:pPr>
        <w:pStyle w:val="2"/>
        <w:rPr>
          <w:rFonts w:hint="default" w:ascii="Times New Roman" w:hAnsi="Times New Roman" w:cs="Times New Roman"/>
          <w:color w:val="auto"/>
          <w:highlight w:val="none"/>
        </w:rPr>
      </w:pPr>
      <w:bookmarkStart w:id="0" w:name="_Toc440628903"/>
      <w:bookmarkStart w:id="1" w:name="_Toc6745"/>
      <w:bookmarkStart w:id="2" w:name="_Toc469574661"/>
      <w:bookmarkStart w:id="3" w:name="_Toc17280"/>
      <w:bookmarkStart w:id="4" w:name="_Toc17491"/>
      <w:r>
        <w:rPr>
          <w:rFonts w:hint="default" w:ascii="Times New Roman" w:hAnsi="Times New Roman" w:cs="Times New Roman"/>
          <w:color w:val="auto"/>
          <w:highlight w:val="none"/>
        </w:rPr>
        <w:t>第一章</w:t>
      </w:r>
      <w:bookmarkEnd w:id="0"/>
      <w:r>
        <w:rPr>
          <w:rFonts w:hint="default" w:ascii="Times New Roman" w:hAnsi="Times New Roman" w:cs="Times New Roman"/>
          <w:color w:val="auto"/>
          <w:highlight w:val="none"/>
        </w:rPr>
        <w:t xml:space="preserve"> 比选公告</w:t>
      </w:r>
      <w:bookmarkEnd w:id="1"/>
      <w:bookmarkEnd w:id="2"/>
      <w:bookmarkEnd w:id="3"/>
      <w:bookmarkEnd w:id="4"/>
    </w:p>
    <w:p w14:paraId="05113C57">
      <w:pPr>
        <w:rPr>
          <w:rFonts w:hint="default" w:ascii="Times New Roman" w:hAnsi="Times New Roman" w:cs="Times New Roman"/>
          <w:color w:val="auto"/>
          <w:highlight w:val="none"/>
        </w:rPr>
      </w:pPr>
      <w:bookmarkStart w:id="5" w:name="_Toc55379218"/>
      <w:bookmarkStart w:id="6" w:name="_Toc89675127"/>
      <w:r>
        <w:rPr>
          <w:rFonts w:hint="default" w:ascii="Times New Roman" w:hAnsi="Times New Roman" w:cs="Times New Roman"/>
          <w:color w:val="auto"/>
          <w:highlight w:val="none"/>
        </w:rPr>
        <w:t>为更好地支撑</w:t>
      </w:r>
      <w:r>
        <w:rPr>
          <w:rFonts w:hint="eastAsia" w:ascii="Times New Roman" w:hAnsi="Times New Roman" w:cs="Times New Roman"/>
          <w:color w:val="auto"/>
          <w:highlight w:val="none"/>
          <w:lang w:val="en-US" w:eastAsia="zh-CN"/>
        </w:rPr>
        <w:t>比选人</w:t>
      </w:r>
      <w:r>
        <w:rPr>
          <w:rFonts w:hint="default" w:ascii="Times New Roman" w:hAnsi="Times New Roman" w:cs="Times New Roman"/>
          <w:color w:val="auto"/>
          <w:highlight w:val="none"/>
        </w:rPr>
        <w:t>数字化建设和业务创新发展对数据服务能力的需求，</w:t>
      </w:r>
      <w:r>
        <w:rPr>
          <w:rFonts w:hint="eastAsia" w:ascii="Times New Roman" w:hAnsi="Times New Roman" w:cs="Times New Roman"/>
          <w:color w:val="auto"/>
          <w:highlight w:val="none"/>
          <w:lang w:val="en-US" w:eastAsia="zh-CN"/>
        </w:rPr>
        <w:t>同时</w:t>
      </w:r>
      <w:r>
        <w:rPr>
          <w:rFonts w:hint="default" w:ascii="Times New Roman" w:hAnsi="Times New Roman" w:cs="Times New Roman"/>
          <w:color w:val="auto"/>
          <w:highlight w:val="none"/>
        </w:rPr>
        <w:t>满足监管对信创建设的要求</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比选人将开展新一代数据中台项目（一期）（下统称“本项目”）建设</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本项目旨在</w:t>
      </w:r>
      <w:r>
        <w:rPr>
          <w:rFonts w:hint="default" w:ascii="Times New Roman" w:hAnsi="Times New Roman" w:cs="Times New Roman"/>
          <w:color w:val="auto"/>
          <w:highlight w:val="none"/>
        </w:rPr>
        <w:t>打造以</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湖仓一体</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批流</w:t>
      </w:r>
      <w:r>
        <w:rPr>
          <w:rFonts w:hint="default" w:ascii="Times New Roman" w:hAnsi="Times New Roman" w:cs="Times New Roman"/>
          <w:color w:val="auto"/>
          <w:highlight w:val="none"/>
        </w:rPr>
        <w:t>融合</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技术架构为基础，</w:t>
      </w:r>
      <w:r>
        <w:rPr>
          <w:rFonts w:hint="eastAsia" w:ascii="Times New Roman" w:hAnsi="Times New Roman" w:cs="Times New Roman"/>
          <w:color w:val="auto"/>
          <w:highlight w:val="none"/>
          <w:lang w:val="en-US" w:eastAsia="zh-CN"/>
        </w:rPr>
        <w:t>满足</w:t>
      </w:r>
      <w:r>
        <w:rPr>
          <w:rFonts w:ascii="Times New Roman" w:hAnsi="Times New Roman" w:cs="Times New Roman"/>
          <w:color w:val="auto"/>
          <w:highlight w:val="none"/>
        </w:rPr>
        <w:t>全信创技术栈的</w:t>
      </w:r>
      <w:r>
        <w:rPr>
          <w:rFonts w:hint="eastAsia" w:ascii="Times New Roman" w:hAnsi="Times New Roman" w:cs="Times New Roman"/>
          <w:color w:val="auto"/>
          <w:highlight w:val="none"/>
          <w:lang w:val="en-US" w:eastAsia="zh-CN"/>
        </w:rPr>
        <w:t>新一代</w:t>
      </w:r>
      <w:r>
        <w:rPr>
          <w:rFonts w:ascii="Times New Roman" w:hAnsi="Times New Roman" w:cs="Times New Roman"/>
          <w:color w:val="auto"/>
          <w:highlight w:val="none"/>
        </w:rPr>
        <w:t>数据中台</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新一代</w:t>
      </w:r>
      <w:r>
        <w:rPr>
          <w:rFonts w:ascii="Times New Roman" w:hAnsi="Times New Roman" w:cs="Times New Roman"/>
          <w:color w:val="auto"/>
          <w:highlight w:val="none"/>
        </w:rPr>
        <w:t>数据中台</w:t>
      </w:r>
      <w:r>
        <w:rPr>
          <w:rFonts w:hint="eastAsia" w:ascii="Times New Roman" w:hAnsi="Times New Roman" w:cs="Times New Roman"/>
          <w:color w:val="auto"/>
          <w:highlight w:val="none"/>
          <w:lang w:val="en-US" w:eastAsia="zh-CN"/>
        </w:rPr>
        <w:t>将</w:t>
      </w:r>
      <w:r>
        <w:rPr>
          <w:rFonts w:hint="default" w:ascii="Times New Roman" w:hAnsi="Times New Roman" w:cs="Times New Roman"/>
          <w:color w:val="auto"/>
          <w:highlight w:val="none"/>
        </w:rPr>
        <w:t>强化数据处理基础能力，提升数据融合和统一管理效能</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做到数据</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采、存、算、管、治、用</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同步，更好助力业务创新，支持全行数字化建设。现对</w:t>
      </w:r>
      <w:r>
        <w:rPr>
          <w:rFonts w:hint="default" w:ascii="Times New Roman" w:hAnsi="Times New Roman" w:cs="Times New Roman"/>
          <w:snapToGrid w:val="0"/>
          <w:color w:val="auto"/>
          <w:kern w:val="0"/>
          <w:szCs w:val="24"/>
          <w:highlight w:val="none"/>
        </w:rPr>
        <w:t>重庆三峡银行</w:t>
      </w:r>
      <w:r>
        <w:rPr>
          <w:rFonts w:hint="default" w:ascii="Times New Roman" w:hAnsi="Times New Roman" w:cs="Times New Roman"/>
          <w:snapToGrid w:val="0"/>
          <w:color w:val="auto"/>
          <w:kern w:val="0"/>
          <w:sz w:val="24"/>
          <w:szCs w:val="24"/>
          <w:highlight w:val="none"/>
          <w:u w:val="none"/>
          <w:lang w:eastAsia="zh-CN"/>
        </w:rPr>
        <w:t>新一代数据中台</w:t>
      </w:r>
      <w:r>
        <w:rPr>
          <w:rFonts w:hint="default" w:ascii="Times New Roman" w:hAnsi="Times New Roman" w:cs="Times New Roman"/>
          <w:snapToGrid w:val="0"/>
          <w:color w:val="auto"/>
          <w:kern w:val="0"/>
          <w:szCs w:val="24"/>
          <w:highlight w:val="none"/>
          <w:u w:val="none"/>
        </w:rPr>
        <w:t>项目</w:t>
      </w:r>
      <w:r>
        <w:rPr>
          <w:rFonts w:hint="default" w:ascii="Times New Roman" w:hAnsi="Times New Roman" w:eastAsia="宋体" w:cs="Times New Roman"/>
          <w:snapToGrid w:val="0"/>
          <w:color w:val="auto"/>
          <w:kern w:val="0"/>
          <w:sz w:val="24"/>
          <w:szCs w:val="24"/>
          <w:highlight w:val="none"/>
          <w:u w:val="none"/>
        </w:rPr>
        <w:t>（一期）</w:t>
      </w:r>
      <w:r>
        <w:rPr>
          <w:rFonts w:hint="default" w:ascii="Times New Roman" w:hAnsi="Times New Roman" w:cs="Times New Roman"/>
          <w:color w:val="auto"/>
          <w:highlight w:val="none"/>
        </w:rPr>
        <w:t>进行公开比选，特邀请有</w:t>
      </w:r>
      <w:bookmarkStart w:id="7" w:name="_Hlk59455120"/>
      <w:r>
        <w:rPr>
          <w:rFonts w:hint="default" w:ascii="Times New Roman" w:hAnsi="Times New Roman" w:cs="Times New Roman"/>
          <w:color w:val="auto"/>
          <w:highlight w:val="none"/>
        </w:rPr>
        <w:t>意向</w:t>
      </w:r>
      <w:bookmarkEnd w:id="7"/>
      <w:r>
        <w:rPr>
          <w:rFonts w:hint="default" w:ascii="Times New Roman" w:hAnsi="Times New Roman" w:cs="Times New Roman"/>
          <w:color w:val="auto"/>
          <w:highlight w:val="none"/>
        </w:rPr>
        <w:t>的潜在参选人进行参选。</w:t>
      </w:r>
    </w:p>
    <w:p w14:paraId="797AD9C8">
      <w:pPr>
        <w:pStyle w:val="3"/>
        <w:rPr>
          <w:rFonts w:hint="default" w:ascii="Times New Roman" w:hAnsi="Times New Roman" w:cs="Times New Roman"/>
          <w:color w:val="auto"/>
          <w:highlight w:val="none"/>
        </w:rPr>
      </w:pPr>
      <w:r>
        <w:rPr>
          <w:rFonts w:hint="default" w:ascii="Times New Roman" w:hAnsi="Times New Roman" w:cs="Times New Roman"/>
          <w:color w:val="auto"/>
          <w:highlight w:val="none"/>
        </w:rPr>
        <w:t>1. 比选项目内容</w:t>
      </w:r>
      <w:bookmarkEnd w:id="5"/>
      <w:bookmarkEnd w:id="6"/>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3"/>
        <w:gridCol w:w="2471"/>
        <w:gridCol w:w="1377"/>
        <w:gridCol w:w="1288"/>
        <w:gridCol w:w="1760"/>
      </w:tblGrid>
      <w:tr w14:paraId="59B74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53" w:type="pct"/>
            <w:vAlign w:val="center"/>
          </w:tcPr>
          <w:p w14:paraId="2CBDC356">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b/>
                <w:snapToGrid w:val="0"/>
                <w:color w:val="auto"/>
                <w:kern w:val="0"/>
                <w:sz w:val="21"/>
                <w:szCs w:val="21"/>
                <w:highlight w:val="none"/>
              </w:rPr>
            </w:pPr>
            <w:r>
              <w:rPr>
                <w:rFonts w:hint="default" w:ascii="Times New Roman" w:hAnsi="Times New Roman" w:eastAsia="宋体" w:cs="Times New Roman"/>
                <w:b/>
                <w:snapToGrid w:val="0"/>
                <w:color w:val="auto"/>
                <w:kern w:val="0"/>
                <w:sz w:val="21"/>
                <w:szCs w:val="21"/>
                <w:highlight w:val="none"/>
              </w:rPr>
              <w:t>项目名称</w:t>
            </w:r>
          </w:p>
        </w:tc>
        <w:tc>
          <w:tcPr>
            <w:tcW w:w="1450" w:type="pct"/>
            <w:vAlign w:val="center"/>
          </w:tcPr>
          <w:p w14:paraId="5FBB879E">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b/>
                <w:snapToGrid w:val="0"/>
                <w:color w:val="auto"/>
                <w:kern w:val="0"/>
                <w:sz w:val="21"/>
                <w:szCs w:val="21"/>
                <w:highlight w:val="none"/>
                <w:lang w:eastAsia="zh-CN"/>
              </w:rPr>
            </w:pPr>
            <w:r>
              <w:rPr>
                <w:rFonts w:hint="default" w:ascii="Times New Roman" w:hAnsi="Times New Roman" w:eastAsia="宋体" w:cs="Times New Roman"/>
                <w:b/>
                <w:snapToGrid w:val="0"/>
                <w:color w:val="auto"/>
                <w:kern w:val="0"/>
                <w:sz w:val="21"/>
                <w:szCs w:val="21"/>
                <w:highlight w:val="none"/>
                <w:lang w:eastAsia="zh-CN"/>
              </w:rPr>
              <w:t>项目内容</w:t>
            </w:r>
          </w:p>
        </w:tc>
        <w:tc>
          <w:tcPr>
            <w:tcW w:w="808" w:type="pct"/>
            <w:vAlign w:val="center"/>
          </w:tcPr>
          <w:p w14:paraId="38C3913A">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b/>
                <w:snapToGrid w:val="0"/>
                <w:color w:val="auto"/>
                <w:kern w:val="0"/>
                <w:sz w:val="21"/>
                <w:szCs w:val="21"/>
                <w:highlight w:val="none"/>
              </w:rPr>
            </w:pPr>
            <w:r>
              <w:rPr>
                <w:rFonts w:hint="default" w:ascii="Times New Roman" w:hAnsi="Times New Roman" w:eastAsia="宋体" w:cs="Times New Roman"/>
                <w:b/>
                <w:snapToGrid w:val="0"/>
                <w:color w:val="auto"/>
                <w:kern w:val="0"/>
                <w:sz w:val="21"/>
                <w:szCs w:val="21"/>
                <w:highlight w:val="none"/>
              </w:rPr>
              <w:t>最高限价</w:t>
            </w:r>
          </w:p>
        </w:tc>
        <w:tc>
          <w:tcPr>
            <w:tcW w:w="756" w:type="pct"/>
            <w:vAlign w:val="center"/>
          </w:tcPr>
          <w:p w14:paraId="0B75B6B5">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b/>
                <w:snapToGrid w:val="0"/>
                <w:color w:val="auto"/>
                <w:kern w:val="0"/>
                <w:sz w:val="21"/>
                <w:szCs w:val="21"/>
                <w:highlight w:val="none"/>
              </w:rPr>
            </w:pPr>
            <w:r>
              <w:rPr>
                <w:rFonts w:hint="default" w:ascii="Times New Roman" w:hAnsi="Times New Roman" w:eastAsia="宋体" w:cs="Times New Roman"/>
                <w:b/>
                <w:snapToGrid w:val="0"/>
                <w:color w:val="auto"/>
                <w:kern w:val="0"/>
                <w:sz w:val="21"/>
                <w:szCs w:val="21"/>
                <w:highlight w:val="none"/>
              </w:rPr>
              <w:t>中选人数量</w:t>
            </w:r>
          </w:p>
        </w:tc>
        <w:tc>
          <w:tcPr>
            <w:tcW w:w="1031" w:type="pct"/>
            <w:vAlign w:val="center"/>
          </w:tcPr>
          <w:p w14:paraId="24451586">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b/>
                <w:snapToGrid w:val="0"/>
                <w:color w:val="auto"/>
                <w:kern w:val="0"/>
                <w:sz w:val="21"/>
                <w:szCs w:val="21"/>
                <w:highlight w:val="none"/>
              </w:rPr>
            </w:pPr>
            <w:r>
              <w:rPr>
                <w:rFonts w:hint="default" w:ascii="Times New Roman" w:hAnsi="Times New Roman" w:eastAsia="宋体" w:cs="Times New Roman"/>
                <w:b/>
                <w:snapToGrid w:val="0"/>
                <w:color w:val="auto"/>
                <w:kern w:val="0"/>
                <w:sz w:val="21"/>
                <w:szCs w:val="21"/>
                <w:highlight w:val="none"/>
              </w:rPr>
              <w:t>备注</w:t>
            </w:r>
          </w:p>
        </w:tc>
      </w:tr>
      <w:tr w14:paraId="32A44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53" w:type="pct"/>
            <w:vMerge w:val="restart"/>
            <w:tcBorders>
              <w:left w:val="single" w:color="auto" w:sz="4" w:space="0"/>
            </w:tcBorders>
            <w:vAlign w:val="center"/>
          </w:tcPr>
          <w:p w14:paraId="06492449">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snapToGrid w:val="0"/>
                <w:color w:val="auto"/>
                <w:kern w:val="0"/>
                <w:sz w:val="21"/>
                <w:szCs w:val="21"/>
                <w:highlight w:val="none"/>
              </w:rPr>
            </w:pPr>
            <w:r>
              <w:rPr>
                <w:rFonts w:hint="default" w:ascii="Times New Roman" w:hAnsi="Times New Roman" w:eastAsia="宋体" w:cs="Times New Roman"/>
                <w:color w:val="auto"/>
                <w:sz w:val="21"/>
                <w:szCs w:val="21"/>
                <w:highlight w:val="none"/>
              </w:rPr>
              <w:t>重庆三峡银行新一代数据中台项目（一期）</w:t>
            </w:r>
          </w:p>
        </w:tc>
        <w:tc>
          <w:tcPr>
            <w:tcW w:w="1450" w:type="pct"/>
            <w:tcBorders>
              <w:left w:val="single" w:color="auto" w:sz="4" w:space="0"/>
            </w:tcBorders>
            <w:vAlign w:val="center"/>
          </w:tcPr>
          <w:p w14:paraId="3C133A72">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snapToGrid w:val="0"/>
                <w:color w:val="auto"/>
                <w:kern w:val="0"/>
                <w:sz w:val="21"/>
                <w:szCs w:val="21"/>
                <w:highlight w:val="none"/>
                <w:lang w:val="en-US" w:eastAsia="zh-CN"/>
              </w:rPr>
            </w:pPr>
            <w:r>
              <w:rPr>
                <w:rFonts w:hint="default" w:ascii="Times New Roman" w:hAnsi="Times New Roman" w:eastAsia="宋体" w:cs="Times New Roman"/>
                <w:snapToGrid w:val="0"/>
                <w:color w:val="auto"/>
                <w:kern w:val="0"/>
                <w:sz w:val="21"/>
                <w:szCs w:val="21"/>
                <w:highlight w:val="none"/>
                <w:lang w:val="en-US" w:eastAsia="zh-CN"/>
              </w:rPr>
              <w:t>湖仓一体底座</w:t>
            </w:r>
          </w:p>
        </w:tc>
        <w:tc>
          <w:tcPr>
            <w:tcW w:w="808" w:type="pct"/>
            <w:tcBorders>
              <w:left w:val="single" w:color="auto" w:sz="4" w:space="0"/>
            </w:tcBorders>
            <w:vAlign w:val="center"/>
          </w:tcPr>
          <w:p w14:paraId="32B1E6C5">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snapToGrid w:val="0"/>
                <w:color w:val="auto"/>
                <w:kern w:val="0"/>
                <w:sz w:val="21"/>
                <w:szCs w:val="21"/>
                <w:highlight w:val="none"/>
                <w:lang w:val="en-US" w:eastAsia="zh-CN"/>
              </w:rPr>
            </w:pPr>
            <w:r>
              <w:rPr>
                <w:rFonts w:hint="default" w:ascii="Times New Roman" w:hAnsi="Times New Roman" w:eastAsia="宋体" w:cs="Times New Roman"/>
                <w:snapToGrid w:val="0"/>
                <w:color w:val="auto"/>
                <w:kern w:val="0"/>
                <w:sz w:val="21"/>
                <w:szCs w:val="21"/>
                <w:highlight w:val="none"/>
                <w:lang w:val="en-US" w:eastAsia="zh-CN"/>
              </w:rPr>
              <w:t>4</w:t>
            </w:r>
            <w:r>
              <w:rPr>
                <w:rStyle w:val="41"/>
                <w:rFonts w:hint="eastAsia" w:ascii="Times New Roman" w:hAnsi="Times New Roman" w:cs="Times New Roman"/>
                <w:color w:val="auto"/>
                <w:highlight w:val="none"/>
                <w:lang w:val="en-US" w:eastAsia="zh-CN"/>
              </w:rPr>
              <w:t>,</w:t>
            </w:r>
            <w:r>
              <w:rPr>
                <w:rFonts w:hint="default" w:ascii="Times New Roman" w:hAnsi="Times New Roman" w:eastAsia="宋体" w:cs="Times New Roman"/>
                <w:snapToGrid w:val="0"/>
                <w:color w:val="auto"/>
                <w:kern w:val="0"/>
                <w:sz w:val="21"/>
                <w:szCs w:val="21"/>
                <w:highlight w:val="none"/>
                <w:lang w:val="en-US" w:eastAsia="zh-CN"/>
              </w:rPr>
              <w:t>500</w:t>
            </w:r>
            <w:r>
              <w:rPr>
                <w:rStyle w:val="41"/>
                <w:rFonts w:hint="eastAsia" w:ascii="Times New Roman" w:hAnsi="Times New Roman" w:cs="Times New Roman"/>
                <w:color w:val="auto"/>
                <w:highlight w:val="none"/>
                <w:lang w:val="en-US" w:eastAsia="zh-CN"/>
              </w:rPr>
              <w:t>,</w:t>
            </w:r>
            <w:r>
              <w:rPr>
                <w:rFonts w:hint="default" w:ascii="Times New Roman" w:hAnsi="Times New Roman" w:eastAsia="宋体" w:cs="Times New Roman"/>
                <w:snapToGrid w:val="0"/>
                <w:color w:val="auto"/>
                <w:kern w:val="0"/>
                <w:sz w:val="21"/>
                <w:szCs w:val="21"/>
                <w:highlight w:val="none"/>
                <w:lang w:val="en-US" w:eastAsia="zh-CN"/>
              </w:rPr>
              <w:t>000元</w:t>
            </w:r>
          </w:p>
        </w:tc>
        <w:tc>
          <w:tcPr>
            <w:tcW w:w="756" w:type="pct"/>
            <w:vMerge w:val="restart"/>
            <w:tcBorders>
              <w:left w:val="single" w:color="auto" w:sz="4" w:space="0"/>
            </w:tcBorders>
            <w:vAlign w:val="center"/>
          </w:tcPr>
          <w:p w14:paraId="161845D9">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snapToGrid w:val="0"/>
                <w:color w:val="auto"/>
                <w:kern w:val="0"/>
                <w:sz w:val="21"/>
                <w:szCs w:val="21"/>
                <w:highlight w:val="none"/>
                <w:lang w:val="en-US" w:eastAsia="zh-CN"/>
              </w:rPr>
            </w:pPr>
            <w:r>
              <w:rPr>
                <w:rFonts w:hint="default" w:ascii="Times New Roman" w:hAnsi="Times New Roman" w:eastAsia="宋体" w:cs="Times New Roman"/>
                <w:snapToGrid w:val="0"/>
                <w:color w:val="auto"/>
                <w:kern w:val="0"/>
                <w:sz w:val="21"/>
                <w:szCs w:val="21"/>
                <w:highlight w:val="none"/>
                <w:lang w:val="en-US" w:eastAsia="zh-CN"/>
              </w:rPr>
              <w:t>1</w:t>
            </w:r>
          </w:p>
        </w:tc>
        <w:tc>
          <w:tcPr>
            <w:tcW w:w="1031" w:type="pct"/>
            <w:vMerge w:val="restart"/>
            <w:tcBorders>
              <w:left w:val="single" w:color="auto" w:sz="4" w:space="0"/>
            </w:tcBorders>
            <w:vAlign w:val="center"/>
          </w:tcPr>
          <w:p w14:paraId="0B97C88D">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snapToGrid w:val="0"/>
                <w:color w:val="auto"/>
                <w:kern w:val="0"/>
                <w:sz w:val="21"/>
                <w:szCs w:val="21"/>
                <w:highlight w:val="none"/>
                <w:lang w:eastAsia="zh-CN"/>
              </w:rPr>
            </w:pPr>
            <w:r>
              <w:rPr>
                <w:rFonts w:hint="default" w:ascii="Times New Roman" w:hAnsi="Times New Roman" w:eastAsia="宋体" w:cs="Times New Roman"/>
                <w:snapToGrid w:val="0"/>
                <w:color w:val="auto"/>
                <w:kern w:val="0"/>
                <w:sz w:val="21"/>
                <w:szCs w:val="21"/>
                <w:highlight w:val="none"/>
                <w:shd w:val="clear" w:color="auto" w:fill="auto"/>
                <w:lang w:val="en-US" w:eastAsia="zh-CN"/>
              </w:rPr>
              <w:t>含税价</w:t>
            </w:r>
            <w:r>
              <w:rPr>
                <w:rFonts w:hint="default" w:ascii="Times New Roman" w:hAnsi="Times New Roman" w:eastAsia="宋体" w:cs="Times New Roman"/>
                <w:snapToGrid w:val="0"/>
                <w:color w:val="auto"/>
                <w:kern w:val="0"/>
                <w:sz w:val="21"/>
                <w:szCs w:val="21"/>
                <w:highlight w:val="none"/>
                <w:shd w:val="clear" w:color="auto" w:fill="auto"/>
              </w:rPr>
              <w:t>（具体税率按国家相关规定</w:t>
            </w:r>
            <w:r>
              <w:rPr>
                <w:rFonts w:hint="default" w:ascii="Times New Roman" w:hAnsi="Times New Roman" w:eastAsia="宋体" w:cs="Times New Roman"/>
                <w:snapToGrid w:val="0"/>
                <w:color w:val="auto"/>
                <w:kern w:val="0"/>
                <w:sz w:val="21"/>
                <w:szCs w:val="21"/>
                <w:highlight w:val="none"/>
                <w:shd w:val="clear" w:color="auto" w:fill="auto"/>
                <w:lang w:eastAsia="zh-CN"/>
              </w:rPr>
              <w:t>执行</w:t>
            </w:r>
            <w:r>
              <w:rPr>
                <w:rFonts w:hint="default" w:ascii="Times New Roman" w:hAnsi="Times New Roman" w:eastAsia="宋体" w:cs="Times New Roman"/>
                <w:snapToGrid w:val="0"/>
                <w:color w:val="auto"/>
                <w:kern w:val="0"/>
                <w:sz w:val="21"/>
                <w:szCs w:val="21"/>
                <w:highlight w:val="none"/>
                <w:shd w:val="clear" w:color="auto" w:fill="auto"/>
              </w:rPr>
              <w:t>）</w:t>
            </w:r>
          </w:p>
        </w:tc>
      </w:tr>
      <w:tr w14:paraId="39D4A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53" w:type="pct"/>
            <w:vMerge w:val="continue"/>
            <w:tcBorders>
              <w:left w:val="single" w:color="auto" w:sz="4" w:space="0"/>
            </w:tcBorders>
            <w:vAlign w:val="center"/>
          </w:tcPr>
          <w:p w14:paraId="4308855D">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default" w:ascii="Times New Roman" w:hAnsi="Times New Roman" w:eastAsia="宋体" w:cs="Times New Roman"/>
                <w:color w:val="auto"/>
                <w:sz w:val="21"/>
                <w:szCs w:val="21"/>
                <w:highlight w:val="none"/>
              </w:rPr>
            </w:pPr>
          </w:p>
        </w:tc>
        <w:tc>
          <w:tcPr>
            <w:tcW w:w="1450" w:type="pct"/>
            <w:tcBorders>
              <w:left w:val="single" w:color="auto" w:sz="4" w:space="0"/>
            </w:tcBorders>
            <w:vAlign w:val="center"/>
          </w:tcPr>
          <w:p w14:paraId="6C29A824">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snapToGrid w:val="0"/>
                <w:color w:val="auto"/>
                <w:kern w:val="0"/>
                <w:sz w:val="21"/>
                <w:szCs w:val="21"/>
                <w:highlight w:val="none"/>
                <w:lang w:val="en-US" w:eastAsia="zh-CN"/>
              </w:rPr>
            </w:pPr>
            <w:bookmarkStart w:id="8" w:name="_Toc288224935"/>
            <w:bookmarkStart w:id="9" w:name="_Toc55379219"/>
            <w:bookmarkStart w:id="10" w:name="_Toc469574664"/>
            <w:bookmarkStart w:id="11" w:name="_Toc297817088"/>
            <w:bookmarkStart w:id="12" w:name="_Toc89675128"/>
            <w:r>
              <w:rPr>
                <w:rFonts w:hint="default" w:ascii="Times New Roman" w:hAnsi="Times New Roman" w:eastAsia="宋体" w:cs="Times New Roman"/>
                <w:snapToGrid w:val="0"/>
                <w:color w:val="auto"/>
                <w:kern w:val="0"/>
                <w:sz w:val="21"/>
                <w:szCs w:val="21"/>
                <w:highlight w:val="none"/>
                <w:lang w:val="en-US" w:eastAsia="zh-CN"/>
              </w:rPr>
              <w:t>数据作业平台</w:t>
            </w:r>
          </w:p>
        </w:tc>
        <w:tc>
          <w:tcPr>
            <w:tcW w:w="808" w:type="pct"/>
            <w:tcBorders>
              <w:left w:val="single" w:color="auto" w:sz="4" w:space="0"/>
            </w:tcBorders>
            <w:vAlign w:val="center"/>
          </w:tcPr>
          <w:p w14:paraId="61D13663">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snapToGrid w:val="0"/>
                <w:color w:val="auto"/>
                <w:kern w:val="0"/>
                <w:sz w:val="21"/>
                <w:szCs w:val="21"/>
                <w:highlight w:val="none"/>
                <w:lang w:val="en-US" w:eastAsia="zh-CN"/>
              </w:rPr>
            </w:pPr>
            <w:r>
              <w:rPr>
                <w:rFonts w:hint="default" w:ascii="Times New Roman" w:hAnsi="Times New Roman" w:eastAsia="宋体" w:cs="Times New Roman"/>
                <w:snapToGrid w:val="0"/>
                <w:color w:val="auto"/>
                <w:kern w:val="0"/>
                <w:sz w:val="21"/>
                <w:szCs w:val="21"/>
                <w:highlight w:val="none"/>
                <w:lang w:val="en-US" w:eastAsia="zh-CN"/>
              </w:rPr>
              <w:t>3</w:t>
            </w:r>
            <w:r>
              <w:rPr>
                <w:rStyle w:val="41"/>
                <w:rFonts w:hint="eastAsia" w:ascii="Times New Roman" w:hAnsi="Times New Roman" w:cs="Times New Roman"/>
                <w:color w:val="auto"/>
                <w:highlight w:val="none"/>
                <w:lang w:val="en-US" w:eastAsia="zh-CN"/>
              </w:rPr>
              <w:t>,</w:t>
            </w:r>
            <w:r>
              <w:rPr>
                <w:rFonts w:hint="default" w:ascii="Times New Roman" w:hAnsi="Times New Roman" w:eastAsia="宋体" w:cs="Times New Roman"/>
                <w:snapToGrid w:val="0"/>
                <w:color w:val="auto"/>
                <w:kern w:val="0"/>
                <w:sz w:val="21"/>
                <w:szCs w:val="21"/>
                <w:highlight w:val="none"/>
                <w:lang w:val="en-US" w:eastAsia="zh-CN"/>
              </w:rPr>
              <w:t>000</w:t>
            </w:r>
            <w:r>
              <w:rPr>
                <w:rStyle w:val="41"/>
                <w:rFonts w:hint="eastAsia" w:ascii="Times New Roman" w:hAnsi="Times New Roman" w:cs="Times New Roman"/>
                <w:color w:val="auto"/>
                <w:highlight w:val="none"/>
                <w:lang w:val="en-US" w:eastAsia="zh-CN"/>
              </w:rPr>
              <w:t>,</w:t>
            </w:r>
            <w:r>
              <w:rPr>
                <w:rFonts w:hint="default" w:ascii="Times New Roman" w:hAnsi="Times New Roman" w:eastAsia="宋体" w:cs="Times New Roman"/>
                <w:snapToGrid w:val="0"/>
                <w:color w:val="auto"/>
                <w:kern w:val="0"/>
                <w:sz w:val="21"/>
                <w:szCs w:val="21"/>
                <w:highlight w:val="none"/>
                <w:lang w:val="en-US" w:eastAsia="zh-CN"/>
              </w:rPr>
              <w:t>000元</w:t>
            </w:r>
          </w:p>
        </w:tc>
        <w:tc>
          <w:tcPr>
            <w:tcW w:w="756" w:type="pct"/>
            <w:vMerge w:val="continue"/>
            <w:tcBorders>
              <w:left w:val="single" w:color="auto" w:sz="4" w:space="0"/>
            </w:tcBorders>
            <w:vAlign w:val="center"/>
          </w:tcPr>
          <w:p w14:paraId="5F9E64A2">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default" w:ascii="Times New Roman" w:hAnsi="Times New Roman" w:eastAsia="宋体" w:cs="Times New Roman"/>
                <w:color w:val="auto"/>
                <w:sz w:val="21"/>
                <w:szCs w:val="21"/>
                <w:highlight w:val="none"/>
              </w:rPr>
            </w:pPr>
          </w:p>
        </w:tc>
        <w:tc>
          <w:tcPr>
            <w:tcW w:w="1031" w:type="pct"/>
            <w:vMerge w:val="continue"/>
            <w:tcBorders>
              <w:left w:val="single" w:color="auto" w:sz="4" w:space="0"/>
            </w:tcBorders>
            <w:vAlign w:val="center"/>
          </w:tcPr>
          <w:p w14:paraId="7598468D">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default" w:ascii="Times New Roman" w:hAnsi="Times New Roman" w:eastAsia="宋体" w:cs="Times New Roman"/>
                <w:color w:val="auto"/>
                <w:sz w:val="21"/>
                <w:szCs w:val="21"/>
                <w:highlight w:val="none"/>
              </w:rPr>
            </w:pPr>
          </w:p>
        </w:tc>
      </w:tr>
      <w:tr w14:paraId="5CE61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53" w:type="pct"/>
            <w:vMerge w:val="continue"/>
            <w:tcBorders>
              <w:left w:val="single" w:color="auto" w:sz="4" w:space="0"/>
            </w:tcBorders>
            <w:vAlign w:val="center"/>
          </w:tcPr>
          <w:p w14:paraId="6597F738">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default" w:ascii="Times New Roman" w:hAnsi="Times New Roman" w:eastAsia="宋体" w:cs="Times New Roman"/>
                <w:color w:val="auto"/>
                <w:sz w:val="21"/>
                <w:szCs w:val="21"/>
                <w:highlight w:val="none"/>
              </w:rPr>
            </w:pPr>
          </w:p>
        </w:tc>
        <w:tc>
          <w:tcPr>
            <w:tcW w:w="1450" w:type="pct"/>
            <w:tcBorders>
              <w:left w:val="single" w:color="auto" w:sz="4" w:space="0"/>
            </w:tcBorders>
            <w:vAlign w:val="center"/>
          </w:tcPr>
          <w:p w14:paraId="1155ED67">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snapToGrid w:val="0"/>
                <w:color w:val="auto"/>
                <w:kern w:val="0"/>
                <w:sz w:val="21"/>
                <w:szCs w:val="21"/>
                <w:highlight w:val="none"/>
                <w:lang w:val="en-US" w:eastAsia="zh-CN"/>
              </w:rPr>
            </w:pPr>
            <w:r>
              <w:rPr>
                <w:rFonts w:hint="default" w:ascii="Times New Roman" w:hAnsi="Times New Roman" w:eastAsia="宋体" w:cs="Times New Roman"/>
                <w:snapToGrid w:val="0"/>
                <w:color w:val="auto"/>
                <w:kern w:val="0"/>
                <w:sz w:val="21"/>
                <w:szCs w:val="21"/>
                <w:highlight w:val="none"/>
                <w:lang w:val="en-US" w:eastAsia="zh-CN"/>
              </w:rPr>
              <w:t>数据中台实施和迁移</w:t>
            </w:r>
          </w:p>
        </w:tc>
        <w:tc>
          <w:tcPr>
            <w:tcW w:w="808" w:type="pct"/>
            <w:tcBorders>
              <w:left w:val="single" w:color="auto" w:sz="4" w:space="0"/>
            </w:tcBorders>
            <w:vAlign w:val="center"/>
          </w:tcPr>
          <w:p w14:paraId="5AC06077">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snapToGrid w:val="0"/>
                <w:color w:val="auto"/>
                <w:kern w:val="0"/>
                <w:sz w:val="21"/>
                <w:szCs w:val="21"/>
                <w:highlight w:val="none"/>
                <w:lang w:val="en-US" w:eastAsia="zh-CN"/>
              </w:rPr>
            </w:pPr>
            <w:r>
              <w:rPr>
                <w:rFonts w:hint="default" w:ascii="Times New Roman" w:hAnsi="Times New Roman" w:eastAsia="宋体" w:cs="Times New Roman"/>
                <w:snapToGrid w:val="0"/>
                <w:color w:val="auto"/>
                <w:kern w:val="0"/>
                <w:sz w:val="21"/>
                <w:szCs w:val="21"/>
                <w:highlight w:val="none"/>
                <w:lang w:val="en-US" w:eastAsia="zh-CN"/>
              </w:rPr>
              <w:t>8</w:t>
            </w:r>
            <w:r>
              <w:rPr>
                <w:rStyle w:val="41"/>
                <w:rFonts w:hint="eastAsia" w:ascii="Times New Roman" w:hAnsi="Times New Roman" w:cs="Times New Roman"/>
                <w:color w:val="auto"/>
                <w:highlight w:val="none"/>
                <w:lang w:val="en-US" w:eastAsia="zh-CN"/>
              </w:rPr>
              <w:t>,</w:t>
            </w:r>
            <w:r>
              <w:rPr>
                <w:rFonts w:hint="default" w:ascii="Times New Roman" w:hAnsi="Times New Roman" w:eastAsia="宋体" w:cs="Times New Roman"/>
                <w:snapToGrid w:val="0"/>
                <w:color w:val="auto"/>
                <w:kern w:val="0"/>
                <w:sz w:val="21"/>
                <w:szCs w:val="21"/>
                <w:highlight w:val="none"/>
                <w:lang w:val="en-US" w:eastAsia="zh-CN"/>
              </w:rPr>
              <w:t>000</w:t>
            </w:r>
            <w:r>
              <w:rPr>
                <w:rStyle w:val="41"/>
                <w:rFonts w:hint="eastAsia" w:ascii="Times New Roman" w:hAnsi="Times New Roman" w:cs="Times New Roman"/>
                <w:color w:val="auto"/>
                <w:highlight w:val="none"/>
                <w:lang w:val="en-US" w:eastAsia="zh-CN"/>
              </w:rPr>
              <w:t>,</w:t>
            </w:r>
            <w:r>
              <w:rPr>
                <w:rFonts w:hint="default" w:ascii="Times New Roman" w:hAnsi="Times New Roman" w:eastAsia="宋体" w:cs="Times New Roman"/>
                <w:snapToGrid w:val="0"/>
                <w:color w:val="auto"/>
                <w:kern w:val="0"/>
                <w:sz w:val="21"/>
                <w:szCs w:val="21"/>
                <w:highlight w:val="none"/>
                <w:lang w:val="en-US" w:eastAsia="zh-CN"/>
              </w:rPr>
              <w:t>000元</w:t>
            </w:r>
          </w:p>
        </w:tc>
        <w:tc>
          <w:tcPr>
            <w:tcW w:w="756" w:type="pct"/>
            <w:vMerge w:val="continue"/>
            <w:tcBorders>
              <w:left w:val="single" w:color="auto" w:sz="4" w:space="0"/>
            </w:tcBorders>
            <w:vAlign w:val="center"/>
          </w:tcPr>
          <w:p w14:paraId="1F1AF86E">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default" w:ascii="Times New Roman" w:hAnsi="Times New Roman" w:eastAsia="宋体" w:cs="Times New Roman"/>
                <w:color w:val="auto"/>
                <w:sz w:val="21"/>
                <w:szCs w:val="21"/>
                <w:highlight w:val="none"/>
              </w:rPr>
            </w:pPr>
          </w:p>
        </w:tc>
        <w:tc>
          <w:tcPr>
            <w:tcW w:w="1031" w:type="pct"/>
            <w:vMerge w:val="continue"/>
            <w:tcBorders>
              <w:left w:val="single" w:color="auto" w:sz="4" w:space="0"/>
            </w:tcBorders>
            <w:vAlign w:val="center"/>
          </w:tcPr>
          <w:p w14:paraId="5B903D07">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default" w:ascii="Times New Roman" w:hAnsi="Times New Roman" w:eastAsia="宋体" w:cs="Times New Roman"/>
                <w:color w:val="auto"/>
                <w:sz w:val="21"/>
                <w:szCs w:val="21"/>
                <w:highlight w:val="none"/>
              </w:rPr>
            </w:pPr>
          </w:p>
        </w:tc>
      </w:tr>
      <w:tr w14:paraId="2321D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403" w:type="pct"/>
            <w:gridSpan w:val="2"/>
            <w:tcBorders>
              <w:left w:val="single" w:color="auto" w:sz="4" w:space="0"/>
            </w:tcBorders>
            <w:vAlign w:val="center"/>
          </w:tcPr>
          <w:p w14:paraId="17C551C9">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snapToGrid w:val="0"/>
                <w:color w:val="auto"/>
                <w:kern w:val="0"/>
                <w:sz w:val="21"/>
                <w:szCs w:val="21"/>
                <w:highlight w:val="none"/>
                <w:lang w:val="en-US" w:eastAsia="zh-CN"/>
              </w:rPr>
            </w:pPr>
            <w:r>
              <w:rPr>
                <w:rFonts w:hint="default" w:ascii="Times New Roman" w:hAnsi="Times New Roman" w:eastAsia="宋体" w:cs="Times New Roman"/>
                <w:snapToGrid w:val="0"/>
                <w:color w:val="auto"/>
                <w:kern w:val="0"/>
                <w:sz w:val="21"/>
                <w:szCs w:val="21"/>
                <w:highlight w:val="none"/>
                <w:lang w:val="en-US" w:eastAsia="zh-CN"/>
              </w:rPr>
              <w:t>合计最高限价</w:t>
            </w:r>
          </w:p>
        </w:tc>
        <w:tc>
          <w:tcPr>
            <w:tcW w:w="2596" w:type="pct"/>
            <w:gridSpan w:val="3"/>
            <w:tcBorders>
              <w:left w:val="single" w:color="auto" w:sz="4" w:space="0"/>
            </w:tcBorders>
            <w:vAlign w:val="center"/>
          </w:tcPr>
          <w:p w14:paraId="0C26B491">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snapToGrid w:val="0"/>
                <w:color w:val="auto"/>
                <w:kern w:val="0"/>
                <w:sz w:val="21"/>
                <w:szCs w:val="21"/>
                <w:highlight w:val="none"/>
                <w:lang w:val="en-US" w:eastAsia="zh-CN"/>
              </w:rPr>
            </w:pPr>
            <w:r>
              <w:rPr>
                <w:rFonts w:hint="default" w:ascii="Times New Roman" w:hAnsi="Times New Roman" w:eastAsia="宋体" w:cs="Times New Roman"/>
                <w:snapToGrid w:val="0"/>
                <w:color w:val="auto"/>
                <w:kern w:val="0"/>
                <w:sz w:val="21"/>
                <w:szCs w:val="21"/>
                <w:highlight w:val="none"/>
                <w:lang w:val="en-US" w:eastAsia="zh-CN"/>
              </w:rPr>
              <w:t>15</w:t>
            </w:r>
            <w:r>
              <w:rPr>
                <w:rStyle w:val="41"/>
                <w:rFonts w:hint="eastAsia" w:ascii="Times New Roman" w:hAnsi="Times New Roman" w:cs="Times New Roman"/>
                <w:color w:val="auto"/>
                <w:highlight w:val="none"/>
                <w:lang w:val="en-US" w:eastAsia="zh-CN"/>
              </w:rPr>
              <w:t>,</w:t>
            </w:r>
            <w:r>
              <w:rPr>
                <w:rFonts w:hint="default" w:ascii="Times New Roman" w:hAnsi="Times New Roman" w:eastAsia="宋体" w:cs="Times New Roman"/>
                <w:snapToGrid w:val="0"/>
                <w:color w:val="auto"/>
                <w:kern w:val="0"/>
                <w:sz w:val="21"/>
                <w:szCs w:val="21"/>
                <w:highlight w:val="none"/>
                <w:lang w:val="en-US" w:eastAsia="zh-CN"/>
              </w:rPr>
              <w:t>500</w:t>
            </w:r>
            <w:r>
              <w:rPr>
                <w:rStyle w:val="41"/>
                <w:rFonts w:hint="eastAsia" w:ascii="Times New Roman" w:hAnsi="Times New Roman" w:cs="Times New Roman"/>
                <w:color w:val="auto"/>
                <w:highlight w:val="none"/>
                <w:lang w:val="en-US" w:eastAsia="zh-CN"/>
              </w:rPr>
              <w:t>,</w:t>
            </w:r>
            <w:r>
              <w:rPr>
                <w:rFonts w:hint="default" w:ascii="Times New Roman" w:hAnsi="Times New Roman" w:eastAsia="宋体" w:cs="Times New Roman"/>
                <w:snapToGrid w:val="0"/>
                <w:color w:val="auto"/>
                <w:kern w:val="0"/>
                <w:sz w:val="21"/>
                <w:szCs w:val="21"/>
                <w:highlight w:val="none"/>
                <w:lang w:val="en-US" w:eastAsia="zh-CN"/>
              </w:rPr>
              <w:t>000元</w:t>
            </w:r>
          </w:p>
        </w:tc>
      </w:tr>
      <w:tr w14:paraId="6CAE7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5000" w:type="pct"/>
            <w:gridSpan w:val="5"/>
            <w:tcBorders>
              <w:left w:val="single" w:color="auto" w:sz="4" w:space="0"/>
            </w:tcBorders>
            <w:vAlign w:val="center"/>
          </w:tcPr>
          <w:p w14:paraId="2D955C01">
            <w:pPr>
              <w:keepNext w:val="0"/>
              <w:keepLines w:val="0"/>
              <w:pageBreakBefore w:val="0"/>
              <w:widowControl w:val="0"/>
              <w:tabs>
                <w:tab w:val="left" w:pos="3928"/>
              </w:tabs>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snapToGrid w:val="0"/>
                <w:color w:val="auto"/>
                <w:kern w:val="0"/>
                <w:sz w:val="21"/>
                <w:szCs w:val="21"/>
                <w:highlight w:val="none"/>
                <w:lang w:val="en-US" w:eastAsia="zh-CN"/>
              </w:rPr>
            </w:pPr>
            <w:r>
              <w:rPr>
                <w:rFonts w:hint="default" w:ascii="Times New Roman" w:hAnsi="Times New Roman" w:eastAsia="宋体" w:cs="Times New Roman"/>
                <w:snapToGrid w:val="0"/>
                <w:color w:val="auto"/>
                <w:kern w:val="0"/>
                <w:sz w:val="21"/>
                <w:szCs w:val="21"/>
                <w:highlight w:val="none"/>
                <w:shd w:val="clear" w:color="auto" w:fill="auto"/>
              </w:rPr>
              <w:t>注：任意一项</w:t>
            </w:r>
            <w:r>
              <w:rPr>
                <w:rFonts w:hint="eastAsia" w:ascii="Times New Roman" w:hAnsi="Times New Roman" w:cs="Times New Roman"/>
                <w:snapToGrid w:val="0"/>
                <w:color w:val="auto"/>
                <w:kern w:val="0"/>
                <w:sz w:val="21"/>
                <w:szCs w:val="21"/>
                <w:highlight w:val="none"/>
                <w:shd w:val="clear" w:color="auto" w:fill="auto"/>
                <w:lang w:val="en-US" w:eastAsia="zh-CN"/>
              </w:rPr>
              <w:t>参选报</w:t>
            </w:r>
            <w:r>
              <w:rPr>
                <w:rFonts w:hint="default" w:ascii="Times New Roman" w:hAnsi="Times New Roman" w:eastAsia="宋体" w:cs="Times New Roman"/>
                <w:snapToGrid w:val="0"/>
                <w:color w:val="auto"/>
                <w:kern w:val="0"/>
                <w:sz w:val="21"/>
                <w:szCs w:val="21"/>
                <w:highlight w:val="none"/>
                <w:shd w:val="clear" w:color="auto" w:fill="auto"/>
              </w:rPr>
              <w:t>价超出其最高限价的，</w:t>
            </w:r>
            <w:r>
              <w:rPr>
                <w:rFonts w:hint="eastAsia" w:ascii="Times New Roman" w:hAnsi="Times New Roman" w:cs="Times New Roman"/>
                <w:snapToGrid w:val="0"/>
                <w:color w:val="auto"/>
                <w:kern w:val="0"/>
                <w:sz w:val="21"/>
                <w:szCs w:val="21"/>
                <w:highlight w:val="none"/>
                <w:shd w:val="clear" w:color="auto" w:fill="auto"/>
                <w:lang w:val="en-US" w:eastAsia="zh-CN"/>
              </w:rPr>
              <w:t>将被取消参选资格。</w:t>
            </w:r>
          </w:p>
        </w:tc>
      </w:tr>
    </w:tbl>
    <w:p w14:paraId="0B14F463">
      <w:pPr>
        <w:pStyle w:val="3"/>
        <w:rPr>
          <w:rFonts w:hint="default" w:ascii="Times New Roman" w:hAnsi="Times New Roman" w:cs="Times New Roman"/>
          <w:color w:val="auto"/>
          <w:highlight w:val="none"/>
        </w:rPr>
      </w:pPr>
      <w:r>
        <w:rPr>
          <w:rFonts w:hint="default" w:ascii="Times New Roman" w:hAnsi="Times New Roman" w:cs="Times New Roman"/>
          <w:color w:val="auto"/>
          <w:highlight w:val="none"/>
        </w:rPr>
        <w:t>2. 参选人资格要求</w:t>
      </w:r>
      <w:bookmarkEnd w:id="8"/>
      <w:bookmarkEnd w:id="9"/>
      <w:bookmarkEnd w:id="10"/>
      <w:bookmarkEnd w:id="11"/>
      <w:bookmarkEnd w:id="12"/>
    </w:p>
    <w:p w14:paraId="0AE4D0FC">
      <w:pPr>
        <w:rPr>
          <w:rFonts w:hint="eastAsia" w:ascii="Times New Roman" w:hAnsi="Times New Roman" w:eastAsia="宋体" w:cs="Times New Roman"/>
          <w:color w:val="auto"/>
          <w:highlight w:val="none"/>
          <w:lang w:eastAsia="zh-CN"/>
        </w:rPr>
      </w:pPr>
      <w:bookmarkStart w:id="13" w:name="_Hlk55488870"/>
      <w:r>
        <w:rPr>
          <w:rFonts w:hint="default" w:ascii="Times New Roman" w:hAnsi="Times New Roman" w:cs="Times New Roman"/>
          <w:color w:val="auto"/>
          <w:highlight w:val="none"/>
        </w:rPr>
        <w:t>2.1 具有独立承担民事责任的能力【提供参选人有效营业执照（副本）或事业单位法人证书（副本）或个体工商户营业执照或有效的自然人身份证明；参选人法定代表人身份证明和法定代表人授权代表委托书</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eastAsia="zh-CN"/>
        </w:rPr>
        <w:t>；</w:t>
      </w:r>
    </w:p>
    <w:p w14:paraId="5418F02B">
      <w:pPr>
        <w:rPr>
          <w:rFonts w:hint="default" w:ascii="Times New Roman" w:hAnsi="Times New Roman" w:cs="Times New Roman"/>
          <w:color w:val="auto"/>
          <w:highlight w:val="none"/>
        </w:rPr>
      </w:pPr>
      <w:r>
        <w:rPr>
          <w:rFonts w:hint="default" w:ascii="Times New Roman" w:hAnsi="Times New Roman" w:cs="Times New Roman"/>
          <w:color w:val="auto"/>
          <w:highlight w:val="none"/>
        </w:rPr>
        <w:t>2.2 具有良好的商业信誉和健全的财务会计制度【提供书面声明】；</w:t>
      </w:r>
    </w:p>
    <w:p w14:paraId="34D08B8F">
      <w:pPr>
        <w:rPr>
          <w:rFonts w:hint="default" w:ascii="Times New Roman" w:hAnsi="Times New Roman" w:cs="Times New Roman"/>
          <w:color w:val="auto"/>
          <w:highlight w:val="none"/>
        </w:rPr>
      </w:pPr>
      <w:r>
        <w:rPr>
          <w:rFonts w:hint="default" w:ascii="Times New Roman" w:hAnsi="Times New Roman" w:cs="Times New Roman"/>
          <w:color w:val="auto"/>
          <w:highlight w:val="none"/>
        </w:rPr>
        <w:t>2.3 具有履行合同所必需的设备和专业技术能力【提供书面声明】；</w:t>
      </w:r>
    </w:p>
    <w:p w14:paraId="18679916">
      <w:pPr>
        <w:rPr>
          <w:rFonts w:hint="default" w:ascii="Times New Roman" w:hAnsi="Times New Roman" w:cs="Times New Roman"/>
          <w:color w:val="auto"/>
          <w:highlight w:val="none"/>
        </w:rPr>
      </w:pPr>
      <w:r>
        <w:rPr>
          <w:rFonts w:hint="default" w:ascii="Times New Roman" w:hAnsi="Times New Roman" w:cs="Times New Roman"/>
          <w:color w:val="auto"/>
          <w:highlight w:val="none"/>
        </w:rPr>
        <w:t>2.4 有依法缴纳税收和社会保障金的良好记录【提供书面声明】；</w:t>
      </w:r>
    </w:p>
    <w:p w14:paraId="0EAEC89D">
      <w:pPr>
        <w:rPr>
          <w:rFonts w:hint="default" w:ascii="Times New Roman" w:hAnsi="Times New Roman" w:cs="Times New Roman"/>
          <w:color w:val="auto"/>
          <w:highlight w:val="none"/>
        </w:rPr>
      </w:pPr>
      <w:r>
        <w:rPr>
          <w:rFonts w:hint="default" w:ascii="Times New Roman" w:hAnsi="Times New Roman" w:cs="Times New Roman"/>
          <w:color w:val="auto"/>
          <w:highlight w:val="none"/>
        </w:rPr>
        <w:t>2.5 三年内在经营活动中没有重大违法记录【提供书面声明】；</w:t>
      </w:r>
    </w:p>
    <w:p w14:paraId="568A49D6">
      <w:pPr>
        <w:rPr>
          <w:rFonts w:hint="default" w:ascii="Times New Roman" w:hAnsi="Times New Roman" w:cs="Times New Roman"/>
          <w:color w:val="auto"/>
          <w:highlight w:val="none"/>
        </w:rPr>
      </w:pPr>
      <w:r>
        <w:rPr>
          <w:rFonts w:hint="default" w:ascii="Times New Roman" w:hAnsi="Times New Roman" w:cs="Times New Roman"/>
          <w:color w:val="auto"/>
          <w:highlight w:val="none"/>
        </w:rPr>
        <w:t>2.6 法人及法定代表人没有被人民法院列为失信被执行人名单【提供中国执行信息公开网截图并加盖单位鲜章】；</w:t>
      </w:r>
    </w:p>
    <w:p w14:paraId="78B3AD81">
      <w:pPr>
        <w:rPr>
          <w:rFonts w:hint="eastAsia" w:ascii="Times New Roman" w:hAnsi="Times New Roman" w:eastAsia="宋体" w:cs="Times New Roman"/>
          <w:color w:val="auto"/>
          <w:highlight w:val="none"/>
          <w:lang w:eastAsia="zh-CN"/>
        </w:rPr>
      </w:pPr>
      <w:r>
        <w:rPr>
          <w:rFonts w:hint="default" w:ascii="Times New Roman" w:hAnsi="Times New Roman" w:cs="Times New Roman"/>
          <w:color w:val="auto"/>
          <w:highlight w:val="none"/>
        </w:rPr>
        <w:t>2.7 本项目不允许任何形式的转包【提供书面声明】</w:t>
      </w:r>
      <w:r>
        <w:rPr>
          <w:rFonts w:hint="eastAsia" w:ascii="Times New Roman" w:hAnsi="Times New Roman" w:cs="Times New Roman"/>
          <w:color w:val="auto"/>
          <w:highlight w:val="none"/>
          <w:lang w:eastAsia="zh-CN"/>
        </w:rPr>
        <w:t>；</w:t>
      </w:r>
    </w:p>
    <w:p w14:paraId="4B3024D0">
      <w:pPr>
        <w:rPr>
          <w:rFonts w:hint="eastAsia" w:ascii="Times New Roman" w:hAnsi="Times New Roman" w:eastAsia="宋体" w:cs="Times New Roman"/>
          <w:color w:val="auto"/>
          <w:highlight w:val="none"/>
          <w:lang w:eastAsia="zh-CN"/>
        </w:rPr>
      </w:pPr>
      <w:r>
        <w:rPr>
          <w:rFonts w:hint="default" w:ascii="Times New Roman" w:hAnsi="Times New Roman" w:cs="Times New Roman"/>
          <w:color w:val="auto"/>
          <w:highlight w:val="none"/>
        </w:rPr>
        <w:t>2.8 本次招标不接受联合体参选</w:t>
      </w:r>
      <w:r>
        <w:rPr>
          <w:rFonts w:hint="eastAsia" w:ascii="Times New Roman" w:hAnsi="Times New Roman" w:cs="Times New Roman"/>
          <w:color w:val="auto"/>
          <w:highlight w:val="none"/>
          <w:lang w:eastAsia="zh-CN"/>
        </w:rPr>
        <w:t>；</w:t>
      </w:r>
    </w:p>
    <w:p w14:paraId="00DDBCCE">
      <w:pPr>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2.9 </w:t>
      </w:r>
      <w:r>
        <w:rPr>
          <w:rFonts w:hint="eastAsia" w:ascii="Times New Roman" w:hAnsi="Times New Roman" w:cs="Times New Roman"/>
          <w:color w:val="auto"/>
          <w:highlight w:val="none"/>
          <w:lang w:val="en-US" w:eastAsia="zh-CN"/>
        </w:rPr>
        <w:t>自2019年1月1日起至参选截止日（以合同签订时间为准），参选人具有国有银行或全国性股份制银行或城市商业银行或省级农信社（农商行）的总行级别湖仓一体、数据湖或数据中台</w:t>
      </w:r>
      <w:r>
        <w:rPr>
          <w:rFonts w:hint="default" w:ascii="Times New Roman" w:hAnsi="Times New Roman" w:cs="Times New Roman"/>
          <w:color w:val="auto"/>
          <w:highlight w:val="none"/>
          <w:lang w:val="en-US" w:eastAsia="zh-CN"/>
        </w:rPr>
        <w:t>相关实施案例不少于3</w:t>
      </w:r>
      <w:r>
        <w:rPr>
          <w:rFonts w:hint="eastAsia" w:ascii="Times New Roman" w:hAnsi="Times New Roman" w:cs="Times New Roman"/>
          <w:color w:val="auto"/>
          <w:highlight w:val="none"/>
          <w:lang w:val="en-US" w:eastAsia="zh-CN"/>
        </w:rPr>
        <w:t>个（含）且至少有1个案例为城市商业银行的实施案例</w:t>
      </w:r>
      <w:r>
        <w:rPr>
          <w:rFonts w:hint="default" w:ascii="Times New Roman" w:hAnsi="Times New Roman" w:cs="Times New Roman"/>
          <w:color w:val="auto"/>
          <w:highlight w:val="none"/>
          <w:lang w:val="en-US" w:eastAsia="zh-CN"/>
        </w:rPr>
        <w:t>（以合同签订时间为准</w:t>
      </w:r>
      <w:r>
        <w:rPr>
          <w:rFonts w:hint="eastAsia" w:ascii="Times New Roman" w:hAnsi="Times New Roman" w:cs="Times New Roman"/>
          <w:color w:val="auto"/>
          <w:highlight w:val="none"/>
          <w:lang w:val="en-US" w:eastAsia="zh-CN"/>
        </w:rPr>
        <w:t>，合同买方必须为银行总行，且合同名称或合同关键页应包含“数据湖”或“大数据平台”或“湖仓一体”或“数据中台”关键字</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【提供合同关键页</w:t>
      </w:r>
      <w:r>
        <w:rPr>
          <w:rFonts w:hint="eastAsia" w:ascii="Times New Roman" w:hAnsi="Times New Roman"/>
          <w:color w:val="auto"/>
          <w:highlight w:val="none"/>
          <w:lang w:val="en-US" w:eastAsia="zh-CN"/>
        </w:rPr>
        <w:t>、项目简介、</w:t>
      </w:r>
      <w:r>
        <w:rPr>
          <w:rFonts w:hint="default" w:ascii="Times New Roman" w:hAnsi="Times New Roman" w:cs="Times New Roman"/>
          <w:color w:val="auto"/>
          <w:highlight w:val="none"/>
        </w:rPr>
        <w:t>合同对应的发票之一和网上税务系统查询该发票截图。</w:t>
      </w:r>
      <w:r>
        <w:rPr>
          <w:rFonts w:hint="eastAsia" w:ascii="Times New Roman" w:hAnsi="Times New Roman" w:cs="Times New Roman"/>
          <w:color w:val="auto"/>
          <w:highlight w:val="none"/>
          <w:lang w:val="en-US" w:eastAsia="zh-CN"/>
        </w:rPr>
        <w:t>合同关键页</w:t>
      </w:r>
      <w:r>
        <w:rPr>
          <w:rFonts w:ascii="Times New Roman" w:hAnsi="Times New Roman" w:cs="Times New Roman"/>
          <w:color w:val="auto"/>
          <w:highlight w:val="none"/>
        </w:rPr>
        <w:t>包含：甲乙双方名称、双方印章、项目名称、合同签订时间</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服务范围</w:t>
      </w:r>
      <w:r>
        <w:rPr>
          <w:rFonts w:hint="eastAsia" w:ascii="Times New Roman" w:hAnsi="Times New Roman"/>
          <w:color w:val="auto"/>
          <w:highlight w:val="none"/>
        </w:rPr>
        <w:t>。</w:t>
      </w:r>
      <w:r>
        <w:rPr>
          <w:rFonts w:hint="default" w:ascii="Times New Roman" w:hAnsi="Times New Roman" w:cs="Times New Roman"/>
          <w:color w:val="auto"/>
          <w:highlight w:val="none"/>
        </w:rPr>
        <w:t>发票开具日期须晚于合同签订日期、发票购买方须与合同买方一致、发票销售方须与合同卖方（参选人）一致】；</w:t>
      </w:r>
    </w:p>
    <w:p w14:paraId="3F234826">
      <w:pPr>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2.10 </w:t>
      </w:r>
      <w:r>
        <w:rPr>
          <w:rFonts w:hint="default" w:ascii="Times New Roman" w:hAnsi="Times New Roman" w:cs="Times New Roman"/>
          <w:color w:val="auto"/>
          <w:highlight w:val="none"/>
          <w:lang w:val="en-US" w:eastAsia="zh-CN"/>
        </w:rPr>
        <w:t>参选</w:t>
      </w:r>
      <w:r>
        <w:rPr>
          <w:rFonts w:hint="default" w:ascii="Times New Roman" w:hAnsi="Times New Roman" w:cs="Times New Roman"/>
          <w:color w:val="auto"/>
          <w:highlight w:val="none"/>
        </w:rPr>
        <w:t>人须具备软件研发体系CMMI5级认证证书，并通过IS</w:t>
      </w:r>
      <w:r>
        <w:rPr>
          <w:rFonts w:hint="eastAsia" w:ascii="Times New Roman" w:hAnsi="Times New Roman" w:cs="Times New Roman"/>
          <w:color w:val="auto"/>
          <w:highlight w:val="none"/>
          <w:lang w:val="en-US" w:eastAsia="zh-CN"/>
        </w:rPr>
        <w:t>O</w:t>
      </w:r>
      <w:r>
        <w:rPr>
          <w:rFonts w:hint="default" w:ascii="Times New Roman" w:hAnsi="Times New Roman" w:cs="Times New Roman"/>
          <w:color w:val="auto"/>
          <w:highlight w:val="none"/>
        </w:rPr>
        <w:t>9001质量管理体系认证</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提供软件能力成熟度模型集成认证</w:t>
      </w:r>
      <w:r>
        <w:rPr>
          <w:rFonts w:hint="eastAsia" w:ascii="Times New Roman" w:hAnsi="Times New Roman" w:cs="Times New Roman"/>
          <w:color w:val="auto"/>
          <w:highlight w:val="none"/>
          <w:lang w:val="en-US" w:eastAsia="zh-CN"/>
        </w:rPr>
        <w:t>5级证书和</w:t>
      </w:r>
      <w:r>
        <w:rPr>
          <w:rFonts w:hint="default" w:ascii="Times New Roman" w:hAnsi="Times New Roman" w:cs="Times New Roman"/>
          <w:color w:val="auto"/>
          <w:highlight w:val="none"/>
          <w:lang w:val="en-US" w:eastAsia="zh-CN"/>
        </w:rPr>
        <w:t>IS</w:t>
      </w:r>
      <w:r>
        <w:rPr>
          <w:rFonts w:hint="eastAsia" w:ascii="Times New Roman" w:hAnsi="Times New Roman" w:cs="Times New Roman"/>
          <w:color w:val="auto"/>
          <w:highlight w:val="none"/>
          <w:lang w:val="en-US" w:eastAsia="zh-CN"/>
        </w:rPr>
        <w:t>O</w:t>
      </w:r>
      <w:r>
        <w:rPr>
          <w:rFonts w:hint="default" w:ascii="Times New Roman" w:hAnsi="Times New Roman" w:cs="Times New Roman"/>
          <w:color w:val="auto"/>
          <w:highlight w:val="none"/>
          <w:lang w:val="en-US" w:eastAsia="zh-CN"/>
        </w:rPr>
        <w:t>9001质量管理体系认证证书</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w:t>
      </w:r>
    </w:p>
    <w:p w14:paraId="13EA68C0">
      <w:pP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2.11 参选人注册资本不得低于1亿元（含）人民币【提供营业执照】；</w:t>
      </w:r>
    </w:p>
    <w:p w14:paraId="6A9148B6">
      <w:pP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2.12 参选人提供的产品若为原厂产品，须提供针对本项目的原厂售后服务质保承诺函；参选人提供的产品若为第三方产品，则必须有产品供应商针对本项目的原厂授权函和原厂售后服务质保承诺函，且单个供应商最多仅能向2名参选人提供针对本项目的原厂授权，否则取消参选资格【参选人提供的产品若为原厂产品，提供原厂售后服务质保承诺函；参选人提供的产品若为第三方产品，提供原厂授权函和原厂售后服务质保承诺函】；</w:t>
      </w:r>
    </w:p>
    <w:p w14:paraId="472959C0">
      <w:pPr>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2.13 参选人需承诺产品（湖仓一体底座、数据作业平台）后续的扩容单价应在项目验收通过后的一定时限内（不少</w:t>
      </w:r>
      <w:r>
        <w:rPr>
          <w:rFonts w:hint="default" w:ascii="Times New Roman" w:hAnsi="Times New Roman" w:cs="Times New Roman"/>
          <w:color w:val="auto"/>
          <w:highlight w:val="none"/>
          <w:lang w:val="en-US" w:eastAsia="zh-CN"/>
        </w:rPr>
        <w:t>于5年</w:t>
      </w:r>
      <w:r>
        <w:rPr>
          <w:rFonts w:hint="eastAsia" w:ascii="Times New Roman" w:hAnsi="Times New Roman" w:cs="Times New Roman"/>
          <w:color w:val="auto"/>
          <w:highlight w:val="none"/>
          <w:lang w:val="en-US" w:eastAsia="zh-CN"/>
        </w:rPr>
        <w:t>）不高于本项目采购的单价</w:t>
      </w:r>
      <w:r>
        <w:rPr>
          <w:rFonts w:hint="eastAsia" w:ascii="宋体" w:hAnsi="宋体" w:cs="宋体"/>
          <w:color w:val="auto"/>
          <w:kern w:val="0"/>
          <w:sz w:val="24"/>
          <w:szCs w:val="24"/>
          <w:highlight w:val="none"/>
          <w:lang w:val="en-US" w:eastAsia="zh-CN" w:bidi="ar"/>
        </w:rPr>
        <w:t>，并加盖公章</w:t>
      </w:r>
      <w:r>
        <w:rPr>
          <w:rFonts w:hint="eastAsia" w:ascii="宋体" w:hAnsi="宋体" w:eastAsia="宋体" w:cs="宋体"/>
          <w:color w:val="auto"/>
          <w:kern w:val="0"/>
          <w:sz w:val="24"/>
          <w:szCs w:val="24"/>
          <w:highlight w:val="none"/>
          <w:lang w:val="en-US" w:eastAsia="zh-CN" w:bidi="ar"/>
        </w:rPr>
        <w:t>。参选人提供的产品</w:t>
      </w:r>
      <w:r>
        <w:rPr>
          <w:rFonts w:hint="eastAsia" w:ascii="宋体" w:hAnsi="宋体" w:cs="宋体"/>
          <w:color w:val="auto"/>
          <w:kern w:val="0"/>
          <w:sz w:val="24"/>
          <w:szCs w:val="24"/>
          <w:highlight w:val="none"/>
          <w:lang w:val="en-US" w:eastAsia="zh-CN" w:bidi="ar"/>
        </w:rPr>
        <w:t>或功能模块</w:t>
      </w:r>
      <w:r>
        <w:rPr>
          <w:rFonts w:hint="eastAsia" w:ascii="宋体" w:hAnsi="宋体" w:eastAsia="宋体" w:cs="宋体"/>
          <w:color w:val="auto"/>
          <w:kern w:val="0"/>
          <w:sz w:val="24"/>
          <w:szCs w:val="24"/>
          <w:highlight w:val="none"/>
          <w:lang w:val="en-US" w:eastAsia="zh-CN" w:bidi="ar"/>
        </w:rPr>
        <w:t>若为第三方产品，则产品供应商也须出具承诺书</w:t>
      </w:r>
      <w:r>
        <w:rPr>
          <w:rFonts w:hint="eastAsia" w:ascii="宋体" w:hAnsi="宋体" w:cs="宋体"/>
          <w:color w:val="auto"/>
          <w:kern w:val="0"/>
          <w:sz w:val="24"/>
          <w:szCs w:val="24"/>
          <w:highlight w:val="none"/>
          <w:lang w:val="en-US" w:eastAsia="zh-CN" w:bidi="ar"/>
        </w:rPr>
        <w:t>并加盖</w:t>
      </w:r>
      <w:r>
        <w:rPr>
          <w:rFonts w:hint="eastAsia" w:ascii="宋体" w:hAnsi="宋体" w:eastAsia="宋体" w:cs="宋体"/>
          <w:color w:val="auto"/>
          <w:kern w:val="0"/>
          <w:sz w:val="24"/>
          <w:szCs w:val="24"/>
          <w:highlight w:val="none"/>
          <w:lang w:val="en-US" w:eastAsia="zh-CN" w:bidi="ar"/>
        </w:rPr>
        <w:t>产品供应商</w:t>
      </w:r>
      <w:r>
        <w:rPr>
          <w:rFonts w:hint="eastAsia" w:ascii="宋体" w:hAnsi="宋体" w:cs="宋体"/>
          <w:color w:val="auto"/>
          <w:kern w:val="0"/>
          <w:sz w:val="24"/>
          <w:szCs w:val="24"/>
          <w:highlight w:val="none"/>
          <w:lang w:val="en-US" w:eastAsia="zh-CN" w:bidi="ar"/>
        </w:rPr>
        <w:t>公章</w:t>
      </w:r>
      <w:r>
        <w:rPr>
          <w:rFonts w:hint="eastAsia" w:ascii="Times New Roman" w:hAnsi="Times New Roman" w:cs="Times New Roman"/>
          <w:color w:val="auto"/>
          <w:highlight w:val="none"/>
          <w:lang w:val="en-US" w:eastAsia="zh-CN"/>
        </w:rPr>
        <w:t>【提供承诺书】</w:t>
      </w:r>
    </w:p>
    <w:p w14:paraId="454024B7">
      <w:pPr>
        <w:rPr>
          <w:rFonts w:hint="default" w:ascii="Times New Roman" w:hAnsi="Times New Roman" w:cs="Times New Roman"/>
          <w:color w:val="auto"/>
          <w:highlight w:val="none"/>
        </w:rPr>
      </w:pPr>
      <w:r>
        <w:rPr>
          <w:rFonts w:hint="default" w:ascii="Times New Roman" w:hAnsi="Times New Roman" w:cs="Times New Roman"/>
          <w:color w:val="auto"/>
          <w:highlight w:val="none"/>
        </w:rPr>
        <w:t>注</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以上证明文件若比选人存疑，参选人需提供原件备查，参选文件中须附相关证明文件复印件并逐页加盖公章。</w:t>
      </w:r>
    </w:p>
    <w:p w14:paraId="53245E3E">
      <w:pPr>
        <w:rPr>
          <w:rFonts w:hint="default" w:ascii="Times New Roman" w:hAnsi="Times New Roman" w:cs="Times New Roman"/>
          <w:color w:val="auto"/>
          <w:highlight w:val="none"/>
        </w:rPr>
      </w:pPr>
      <w:r>
        <w:rPr>
          <w:rFonts w:hint="default" w:ascii="Times New Roman" w:hAnsi="Times New Roman" w:cs="Times New Roman"/>
          <w:color w:val="auto"/>
          <w:highlight w:val="none"/>
        </w:rPr>
        <w:t>本次比选不接受曾因参选人的违约行为与比选人发生过纠纷的参选人；不接受与比选人合作过程中不遵守比选文件及合同约定的参选人；不接受曾在比选人项目中存在弄虚作假行为的参选人。若参选人存在上述情况，比选人将有权随时取消其参选资格或中选资格（若签署合同后发现的则有权解除合同），没收其参选保证金，并追究其相应的法律责任。截止挂网日，存在上述情况的公司已纳入下列清单。</w:t>
      </w:r>
    </w:p>
    <w:tbl>
      <w:tblPr>
        <w:tblStyle w:val="22"/>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47EDE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1F2A04D3">
            <w:pPr>
              <w:spacing w:line="360" w:lineRule="auto"/>
              <w:ind w:firstLine="0" w:firstLineChars="0"/>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序号</w:t>
            </w:r>
          </w:p>
        </w:tc>
        <w:tc>
          <w:tcPr>
            <w:tcW w:w="4933" w:type="dxa"/>
          </w:tcPr>
          <w:p w14:paraId="4BBD745E">
            <w:pPr>
              <w:spacing w:line="360" w:lineRule="auto"/>
              <w:ind w:firstLine="0" w:firstLineChars="0"/>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公司</w:t>
            </w:r>
          </w:p>
        </w:tc>
      </w:tr>
      <w:tr w14:paraId="35950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7BB03E69">
            <w:pPr>
              <w:spacing w:line="36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w:t>
            </w:r>
          </w:p>
        </w:tc>
        <w:tc>
          <w:tcPr>
            <w:tcW w:w="4933" w:type="dxa"/>
            <w:tcBorders>
              <w:left w:val="single" w:color="auto" w:sz="4" w:space="0"/>
            </w:tcBorders>
          </w:tcPr>
          <w:p w14:paraId="354A7D47">
            <w:pPr>
              <w:spacing w:line="36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依米康软件技术（深圳）有限责任公司</w:t>
            </w:r>
          </w:p>
        </w:tc>
      </w:tr>
      <w:bookmarkEnd w:id="13"/>
    </w:tbl>
    <w:p w14:paraId="415D2343">
      <w:pPr>
        <w:pStyle w:val="3"/>
        <w:rPr>
          <w:rFonts w:hint="default" w:ascii="Times New Roman" w:hAnsi="Times New Roman" w:cs="Times New Roman"/>
          <w:color w:val="auto"/>
          <w:highlight w:val="none"/>
        </w:rPr>
      </w:pPr>
      <w:bookmarkStart w:id="14" w:name="_Toc55379220"/>
      <w:bookmarkStart w:id="15" w:name="_Toc297817090"/>
      <w:bookmarkStart w:id="16" w:name="_Toc469574667"/>
      <w:bookmarkStart w:id="17" w:name="_Toc89675130"/>
      <w:r>
        <w:rPr>
          <w:rFonts w:hint="default" w:ascii="Times New Roman" w:hAnsi="Times New Roman" w:cs="Times New Roman"/>
          <w:color w:val="auto"/>
          <w:highlight w:val="none"/>
        </w:rPr>
        <w:t>3. 比选文件的获取</w:t>
      </w:r>
      <w:bookmarkEnd w:id="14"/>
    </w:p>
    <w:p w14:paraId="171DE80B">
      <w:pPr>
        <w:bidi w:val="0"/>
        <w:ind w:firstLine="480" w:firstLineChars="200"/>
        <w:rPr>
          <w:rFonts w:hint="default"/>
          <w:color w:val="auto"/>
          <w:highlight w:val="none"/>
          <w:lang w:val="en-US" w:eastAsia="zh-CN"/>
        </w:rPr>
      </w:pPr>
      <w:r>
        <w:rPr>
          <w:rFonts w:hint="default" w:ascii="Times New Roman" w:hAnsi="Times New Roman" w:cs="Times New Roman"/>
          <w:color w:val="auto"/>
          <w:highlight w:val="none"/>
        </w:rPr>
        <w:t xml:space="preserve">3.1 </w:t>
      </w:r>
      <w:r>
        <w:rPr>
          <w:rFonts w:hint="eastAsia"/>
          <w:color w:val="auto"/>
          <w:highlight w:val="none"/>
          <w:lang w:val="en-US" w:eastAsia="zh-CN"/>
        </w:rPr>
        <w:t>参选截止时间</w:t>
      </w:r>
      <w:r>
        <w:rPr>
          <w:rFonts w:hint="default" w:ascii="Times New Roman" w:hAnsi="Times New Roman" w:cs="Times New Roman"/>
          <w:color w:val="auto"/>
          <w:highlight w:val="none"/>
        </w:rPr>
        <w:t>：</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2024</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年</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11</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月</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18</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日</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9</w:t>
      </w:r>
      <w:r>
        <w:rPr>
          <w:rFonts w:hint="default" w:ascii="Times New Roman" w:hAnsi="Times New Roman" w:cs="Times New Roman"/>
          <w:color w:val="auto"/>
          <w:highlight w:val="none"/>
          <w:u w:val="single"/>
        </w:rPr>
        <w:t xml:space="preserve"> </w:t>
      </w:r>
      <w:r>
        <w:rPr>
          <w:rFonts w:hint="eastAsia"/>
          <w:color w:val="auto"/>
          <w:highlight w:val="none"/>
        </w:rPr>
        <w:t>时</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30</w:t>
      </w:r>
      <w:r>
        <w:rPr>
          <w:rFonts w:hint="default" w:ascii="Times New Roman" w:hAnsi="Times New Roman" w:cs="Times New Roman"/>
          <w:color w:val="auto"/>
          <w:highlight w:val="none"/>
          <w:u w:val="single"/>
        </w:rPr>
        <w:t xml:space="preserve"> </w:t>
      </w:r>
      <w:r>
        <w:rPr>
          <w:rFonts w:hint="eastAsia"/>
          <w:color w:val="auto"/>
          <w:highlight w:val="none"/>
        </w:rPr>
        <w:t>分（北京时间）</w:t>
      </w:r>
    </w:p>
    <w:p w14:paraId="7A194352">
      <w:pPr>
        <w:rPr>
          <w:rFonts w:hint="default" w:ascii="Times New Roman" w:hAnsi="Times New Roman" w:cs="Times New Roman"/>
          <w:color w:val="auto"/>
          <w:highlight w:val="none"/>
        </w:rPr>
      </w:pPr>
      <w:r>
        <w:rPr>
          <w:rFonts w:hint="eastAsia" w:ascii="Times New Roman" w:hAnsi="Times New Roman"/>
          <w:color w:val="auto"/>
          <w:highlight w:val="none"/>
          <w:lang w:val="en-US" w:eastAsia="zh-CN"/>
        </w:rPr>
        <w:t xml:space="preserve">3.2 </w:t>
      </w:r>
      <w:r>
        <w:rPr>
          <w:rFonts w:hint="eastAsia" w:ascii="Times New Roman" w:hAnsi="Times New Roman"/>
          <w:color w:val="auto"/>
          <w:highlight w:val="none"/>
        </w:rPr>
        <w:t>获取时间和方式：</w:t>
      </w:r>
      <w:r>
        <w:rPr>
          <w:rFonts w:hint="eastAsia"/>
          <w:color w:val="auto"/>
          <w:highlight w:val="none"/>
        </w:rPr>
        <w:t>从</w:t>
      </w:r>
      <w:r>
        <w:rPr>
          <w:rFonts w:hint="eastAsia"/>
          <w:color w:val="auto"/>
          <w:highlight w:val="none"/>
          <w:u w:val="single"/>
          <w:lang w:val="en-US" w:eastAsia="zh-CN"/>
        </w:rPr>
        <w:t xml:space="preserve"> </w:t>
      </w:r>
      <w:r>
        <w:rPr>
          <w:rFonts w:hint="eastAsia" w:ascii="Times New Roman" w:hAnsi="Times New Roman" w:cs="Times New Roman"/>
          <w:color w:val="auto"/>
          <w:highlight w:val="none"/>
          <w:u w:val="single"/>
          <w:lang w:val="en-US" w:eastAsia="zh-CN"/>
        </w:rPr>
        <w:t>2024</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年</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10</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月</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8</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日</w:t>
      </w:r>
      <w:r>
        <w:rPr>
          <w:rFonts w:hint="eastAsia"/>
          <w:color w:val="auto"/>
          <w:highlight w:val="none"/>
        </w:rPr>
        <w:t>到</w:t>
      </w:r>
      <w:r>
        <w:rPr>
          <w:rFonts w:hint="eastAsia"/>
          <w:color w:val="auto"/>
          <w:highlight w:val="none"/>
          <w:u w:val="single"/>
          <w:lang w:val="en-US" w:eastAsia="zh-CN"/>
        </w:rPr>
        <w:t>参选截止</w:t>
      </w:r>
      <w:r>
        <w:rPr>
          <w:rFonts w:hint="default" w:ascii="Times New Roman" w:hAnsi="Times New Roman" w:cs="Times New Roman"/>
          <w:color w:val="auto"/>
          <w:highlight w:val="none"/>
        </w:rPr>
        <w:t>时间，在重庆市公共资源交易网（www.cqggzy.com）下载比选文件。</w:t>
      </w:r>
    </w:p>
    <w:p w14:paraId="05B08023">
      <w:pPr>
        <w:rPr>
          <w:rFonts w:hint="default" w:ascii="Times New Roman" w:hAnsi="Times New Roman" w:cs="Times New Roman"/>
          <w:color w:val="auto"/>
          <w:highlight w:val="none"/>
        </w:rPr>
      </w:pPr>
      <w:r>
        <w:rPr>
          <w:rFonts w:hint="default" w:ascii="Times New Roman" w:hAnsi="Times New Roman" w:cs="Times New Roman"/>
          <w:color w:val="auto"/>
          <w:highlight w:val="none"/>
        </w:rPr>
        <w:t>3.</w:t>
      </w:r>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rPr>
        <w:t xml:space="preserve"> 参选人在下载比选文件后，应仔细检查比选文件的所有内容，如有残缺或文字表述不清，以及存在错、碰、漏、缺、概念模糊和有可能出现歧义或理解上的偏差的内容等应在</w:t>
      </w:r>
      <w:r>
        <w:rPr>
          <w:rFonts w:hint="eastAsia" w:ascii="Times New Roman" w:hAnsi="Times New Roman" w:cs="Times New Roman"/>
          <w:color w:val="auto"/>
          <w:highlight w:val="none"/>
          <w:u w:val="single"/>
          <w:lang w:val="en-US" w:eastAsia="zh-CN"/>
        </w:rPr>
        <w:t>2024</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年</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10</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月</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11</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日</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17</w:t>
      </w:r>
      <w:r>
        <w:rPr>
          <w:rFonts w:hint="default" w:ascii="Times New Roman" w:hAnsi="Times New Roman" w:cs="Times New Roman"/>
          <w:color w:val="auto"/>
          <w:highlight w:val="none"/>
          <w:u w:val="single"/>
        </w:rPr>
        <w:t xml:space="preserve"> </w:t>
      </w:r>
      <w:r>
        <w:rPr>
          <w:rFonts w:hint="eastAsia"/>
          <w:color w:val="auto"/>
          <w:highlight w:val="none"/>
        </w:rPr>
        <w:t>时</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00</w:t>
      </w:r>
      <w:r>
        <w:rPr>
          <w:rFonts w:hint="default" w:ascii="Times New Roman" w:hAnsi="Times New Roman" w:cs="Times New Roman"/>
          <w:color w:val="auto"/>
          <w:highlight w:val="none"/>
          <w:u w:val="single"/>
        </w:rPr>
        <w:t xml:space="preserve"> </w:t>
      </w:r>
      <w:r>
        <w:rPr>
          <w:rFonts w:hint="eastAsia"/>
          <w:color w:val="auto"/>
          <w:highlight w:val="none"/>
        </w:rPr>
        <w:t>分</w:t>
      </w:r>
      <w:r>
        <w:rPr>
          <w:rFonts w:hint="default" w:ascii="Times New Roman" w:hAnsi="Times New Roman" w:cs="Times New Roman"/>
          <w:color w:val="auto"/>
          <w:highlight w:val="none"/>
        </w:rPr>
        <w:t>（北京时间）前自行在重庆市公共资源交易网（http://www.cqggzy.com/）比选公告的</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我要提问</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栏目匿名提出。参选人未提出，则视为参选人已全面确认比选文件内容。</w:t>
      </w:r>
    </w:p>
    <w:p w14:paraId="0F8E91FF">
      <w:pPr>
        <w:rPr>
          <w:rFonts w:hint="default" w:ascii="Times New Roman" w:hAnsi="Times New Roman" w:cs="Times New Roman"/>
          <w:color w:val="auto"/>
          <w:highlight w:val="none"/>
        </w:rPr>
      </w:pPr>
      <w:r>
        <w:rPr>
          <w:rFonts w:hint="default" w:ascii="Times New Roman" w:hAnsi="Times New Roman" w:cs="Times New Roman"/>
          <w:color w:val="auto"/>
          <w:highlight w:val="none"/>
        </w:rPr>
        <w:t>3.</w:t>
      </w:r>
      <w:r>
        <w:rPr>
          <w:rFonts w:hint="eastAsia" w:ascii="Times New Roman" w:hAnsi="Times New Roman" w:cs="Times New Roman"/>
          <w:color w:val="auto"/>
          <w:highlight w:val="none"/>
          <w:lang w:val="en-US" w:eastAsia="zh-CN"/>
        </w:rPr>
        <w:t>4</w:t>
      </w:r>
      <w:r>
        <w:rPr>
          <w:rFonts w:hint="default" w:ascii="Times New Roman" w:hAnsi="Times New Roman" w:cs="Times New Roman"/>
          <w:color w:val="auto"/>
          <w:highlight w:val="none"/>
        </w:rPr>
        <w:t xml:space="preserve"> 比选人在认为有必要对参选人所提问题进行答复或对比选文件进行补充时，将在《重庆市公共资源交易网（www.cqggzy.com）》</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答疑补遗</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栏上发布答疑补遗文件。不论参选人下载与否，都视为参选人收到有关本项目在《重庆市公共资源交易网（www.cqggzy.com）》上发布的所有资料并全部知晓有关比选过程和事宜，由此产生的一切后果由参选人自负。</w:t>
      </w:r>
    </w:p>
    <w:p w14:paraId="38DFFD15">
      <w:pPr>
        <w:pStyle w:val="3"/>
        <w:rPr>
          <w:rFonts w:hint="default" w:ascii="Times New Roman" w:hAnsi="Times New Roman" w:cs="Times New Roman"/>
          <w:color w:val="auto"/>
          <w:highlight w:val="none"/>
        </w:rPr>
      </w:pPr>
      <w:bookmarkStart w:id="18" w:name="_Toc55379221"/>
      <w:r>
        <w:rPr>
          <w:rFonts w:hint="default" w:ascii="Times New Roman" w:hAnsi="Times New Roman" w:cs="Times New Roman"/>
          <w:color w:val="auto"/>
          <w:highlight w:val="none"/>
        </w:rPr>
        <w:t>4. 参选保证金的递交</w:t>
      </w:r>
      <w:bookmarkEnd w:id="15"/>
      <w:bookmarkEnd w:id="16"/>
      <w:bookmarkEnd w:id="17"/>
      <w:bookmarkEnd w:id="18"/>
    </w:p>
    <w:p w14:paraId="0198BB57">
      <w:pPr>
        <w:rPr>
          <w:rFonts w:hint="default" w:ascii="Times New Roman" w:hAnsi="Times New Roman" w:cs="Times New Roman"/>
          <w:color w:val="auto"/>
          <w:highlight w:val="none"/>
        </w:rPr>
      </w:pPr>
      <w:bookmarkStart w:id="19" w:name="_Toc469574668"/>
      <w:bookmarkStart w:id="20" w:name="_Toc297817091"/>
      <w:bookmarkStart w:id="21" w:name="_Toc55379222"/>
      <w:bookmarkStart w:id="22" w:name="_Toc89675131"/>
      <w:r>
        <w:rPr>
          <w:rFonts w:hint="default" w:ascii="Times New Roman" w:hAnsi="Times New Roman" w:cs="Times New Roman"/>
          <w:color w:val="auto"/>
          <w:highlight w:val="none"/>
        </w:rPr>
        <w:t>4.1 参选保证金的金额：</w:t>
      </w:r>
      <w:r>
        <w:rPr>
          <w:rFonts w:hint="default" w:ascii="Times New Roman" w:hAnsi="Times New Roman" w:cs="Times New Roman"/>
          <w:b/>
          <w:bCs/>
          <w:color w:val="auto"/>
          <w:highlight w:val="none"/>
          <w:u w:val="single"/>
        </w:rPr>
        <w:t xml:space="preserve"> </w:t>
      </w:r>
      <w:r>
        <w:rPr>
          <w:rFonts w:hint="default" w:ascii="Times New Roman" w:hAnsi="Times New Roman" w:cs="Times New Roman"/>
          <w:b/>
          <w:bCs/>
          <w:color w:val="auto"/>
          <w:highlight w:val="none"/>
          <w:u w:val="single"/>
          <w:lang w:val="en-US" w:eastAsia="zh-CN"/>
        </w:rPr>
        <w:t>310</w:t>
      </w:r>
      <w:r>
        <w:rPr>
          <w:rStyle w:val="41"/>
          <w:rFonts w:hint="eastAsia" w:ascii="Times New Roman" w:hAnsi="Times New Roman" w:cs="Times New Roman"/>
          <w:color w:val="auto"/>
          <w:highlight w:val="none"/>
          <w:lang w:val="en-US" w:eastAsia="zh-CN"/>
        </w:rPr>
        <w:t>,</w:t>
      </w:r>
      <w:r>
        <w:rPr>
          <w:rFonts w:hint="default" w:ascii="Times New Roman" w:hAnsi="Times New Roman" w:cs="Times New Roman"/>
          <w:b/>
          <w:bCs/>
          <w:color w:val="auto"/>
          <w:highlight w:val="none"/>
          <w:u w:val="single"/>
          <w:lang w:val="en-US" w:eastAsia="zh-CN"/>
        </w:rPr>
        <w:t>000</w:t>
      </w:r>
      <w:r>
        <w:rPr>
          <w:rFonts w:hint="default" w:ascii="Times New Roman" w:hAnsi="Times New Roman" w:cs="Times New Roman"/>
          <w:b/>
          <w:bCs/>
          <w:color w:val="auto"/>
          <w:highlight w:val="none"/>
          <w:u w:val="single"/>
        </w:rPr>
        <w:t xml:space="preserve"> </w:t>
      </w:r>
      <w:r>
        <w:rPr>
          <w:rFonts w:hint="default" w:ascii="Times New Roman" w:hAnsi="Times New Roman" w:cs="Times New Roman"/>
          <w:b/>
          <w:bCs/>
          <w:color w:val="auto"/>
          <w:highlight w:val="none"/>
        </w:rPr>
        <w:t>元整（大写：</w:t>
      </w:r>
      <w:r>
        <w:rPr>
          <w:rFonts w:hint="default" w:ascii="Times New Roman" w:hAnsi="Times New Roman" w:cs="Times New Roman"/>
          <w:b/>
          <w:bCs/>
          <w:color w:val="auto"/>
          <w:highlight w:val="none"/>
          <w:u w:val="single"/>
        </w:rPr>
        <w:t xml:space="preserve"> </w:t>
      </w:r>
      <w:r>
        <w:rPr>
          <w:rFonts w:hint="default" w:ascii="Times New Roman" w:hAnsi="Times New Roman" w:cs="Times New Roman"/>
          <w:b/>
          <w:bCs/>
          <w:color w:val="auto"/>
          <w:highlight w:val="none"/>
          <w:u w:val="single"/>
          <w:lang w:eastAsia="zh-CN"/>
        </w:rPr>
        <w:t>叁拾壹万元整</w:t>
      </w:r>
      <w:r>
        <w:rPr>
          <w:rFonts w:hint="default" w:ascii="Times New Roman" w:hAnsi="Times New Roman" w:cs="Times New Roman"/>
          <w:b/>
          <w:bCs/>
          <w:color w:val="auto"/>
          <w:highlight w:val="none"/>
          <w:u w:val="single"/>
        </w:rPr>
        <w:t xml:space="preserve"> </w:t>
      </w:r>
      <w:r>
        <w:rPr>
          <w:rFonts w:hint="default" w:ascii="Times New Roman" w:hAnsi="Times New Roman" w:cs="Times New Roman"/>
          <w:b/>
          <w:bCs/>
          <w:color w:val="auto"/>
          <w:highlight w:val="none"/>
        </w:rPr>
        <w:t>）</w:t>
      </w:r>
      <w:r>
        <w:rPr>
          <w:rFonts w:hint="default" w:ascii="Times New Roman" w:hAnsi="Times New Roman" w:cs="Times New Roman"/>
          <w:color w:val="auto"/>
          <w:highlight w:val="none"/>
        </w:rPr>
        <w:t>。</w:t>
      </w:r>
    </w:p>
    <w:p w14:paraId="0CDE3EE2">
      <w:pPr>
        <w:rPr>
          <w:rFonts w:hint="default" w:ascii="Times New Roman" w:hAnsi="Times New Roman" w:cs="Times New Roman"/>
          <w:color w:val="auto"/>
          <w:highlight w:val="none"/>
        </w:rPr>
      </w:pPr>
      <w:r>
        <w:rPr>
          <w:rFonts w:hint="default" w:ascii="Times New Roman" w:hAnsi="Times New Roman" w:cs="Times New Roman"/>
          <w:color w:val="auto"/>
          <w:highlight w:val="none"/>
        </w:rPr>
        <w:t>4.2 参选保证金缴纳方式：参选人从参选人的银行账户，通过转账或电汇方式直接划付至下面指定的账户（任选其一），否则，参选保证金无效。参选人自行考虑汇入到账时间风险，本项目参选保证金不接受任何形式保函（包括电子保函）；</w:t>
      </w:r>
    </w:p>
    <w:p w14:paraId="008DE139">
      <w:pPr>
        <w:rPr>
          <w:rFonts w:hint="default" w:ascii="Times New Roman" w:hAnsi="Times New Roman" w:cs="Times New Roman"/>
          <w:color w:val="auto"/>
          <w:highlight w:val="none"/>
        </w:rPr>
      </w:pPr>
      <w:r>
        <w:rPr>
          <w:rFonts w:hint="default" w:ascii="Times New Roman" w:hAnsi="Times New Roman" w:cs="Times New Roman"/>
          <w:b/>
          <w:bCs/>
          <w:color w:val="auto"/>
          <w:highlight w:val="none"/>
        </w:rPr>
        <w:t>参选人必须在付款凭证备注栏中注明项目简称。可简写成：</w:t>
      </w:r>
      <w:r>
        <w:rPr>
          <w:rFonts w:hint="eastAsia" w:ascii="Times New Roman" w:hAnsi="Times New Roman" w:cs="Times New Roman"/>
          <w:b/>
          <w:bCs/>
          <w:color w:val="auto"/>
          <w:highlight w:val="none"/>
          <w:u w:val="single"/>
          <w:lang w:val="en-US" w:eastAsia="zh-CN"/>
        </w:rPr>
        <w:t>新</w:t>
      </w:r>
      <w:r>
        <w:rPr>
          <w:rFonts w:hint="default" w:ascii="Times New Roman" w:hAnsi="Times New Roman" w:cs="Times New Roman"/>
          <w:b/>
          <w:bCs/>
          <w:color w:val="auto"/>
          <w:highlight w:val="none"/>
          <w:u w:val="single"/>
          <w:lang w:eastAsia="zh-CN"/>
        </w:rPr>
        <w:t>数据中台</w:t>
      </w:r>
      <w:r>
        <w:rPr>
          <w:rFonts w:hint="default" w:ascii="Times New Roman" w:hAnsi="Times New Roman" w:cs="Times New Roman"/>
          <w:b/>
          <w:bCs/>
          <w:color w:val="auto"/>
          <w:highlight w:val="none"/>
          <w:u w:val="single"/>
          <w:lang w:val="en-US" w:eastAsia="zh-CN"/>
        </w:rPr>
        <w:t>一期</w:t>
      </w:r>
      <w:r>
        <w:rPr>
          <w:rFonts w:hint="default" w:ascii="Times New Roman" w:hAnsi="Times New Roman" w:cs="Times New Roman"/>
          <w:b/>
          <w:bCs/>
          <w:color w:val="auto"/>
          <w:highlight w:val="none"/>
        </w:rPr>
        <w:t>。</w:t>
      </w:r>
    </w:p>
    <w:p w14:paraId="41A0D28F">
      <w:pPr>
        <w:rPr>
          <w:rFonts w:hint="default" w:ascii="Times New Roman" w:hAnsi="Times New Roman" w:cs="Times New Roman"/>
          <w:color w:val="auto"/>
          <w:highlight w:val="none"/>
        </w:rPr>
      </w:pPr>
      <w:r>
        <w:rPr>
          <w:rFonts w:hint="default" w:ascii="Times New Roman" w:hAnsi="Times New Roman" w:cs="Times New Roman"/>
          <w:color w:val="auto"/>
          <w:highlight w:val="none"/>
        </w:rPr>
        <w:t>4.3 参选保证金递交的截止时间为</w:t>
      </w:r>
      <w:r>
        <w:rPr>
          <w:rFonts w:hint="eastAsia" w:ascii="Times New Roman" w:hAnsi="Times New Roman" w:cs="Times New Roman"/>
          <w:color w:val="auto"/>
          <w:highlight w:val="none"/>
          <w:u w:val="single"/>
          <w:lang w:val="en-US" w:eastAsia="zh-CN"/>
        </w:rPr>
        <w:t>2024</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年</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11</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月</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18</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日</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9</w:t>
      </w:r>
      <w:r>
        <w:rPr>
          <w:rFonts w:hint="default" w:ascii="Times New Roman" w:hAnsi="Times New Roman" w:cs="Times New Roman"/>
          <w:color w:val="auto"/>
          <w:highlight w:val="none"/>
          <w:u w:val="single"/>
        </w:rPr>
        <w:t xml:space="preserve"> </w:t>
      </w:r>
      <w:r>
        <w:rPr>
          <w:rFonts w:hint="eastAsia"/>
          <w:color w:val="auto"/>
          <w:highlight w:val="none"/>
        </w:rPr>
        <w:t>时</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30</w:t>
      </w:r>
      <w:r>
        <w:rPr>
          <w:rFonts w:hint="default" w:ascii="Times New Roman" w:hAnsi="Times New Roman" w:cs="Times New Roman"/>
          <w:color w:val="auto"/>
          <w:highlight w:val="none"/>
          <w:u w:val="single"/>
        </w:rPr>
        <w:t xml:space="preserve"> </w:t>
      </w:r>
      <w:r>
        <w:rPr>
          <w:rFonts w:hint="eastAsia"/>
          <w:color w:val="auto"/>
          <w:highlight w:val="none"/>
        </w:rPr>
        <w:t>分</w:t>
      </w:r>
      <w:r>
        <w:rPr>
          <w:rFonts w:hint="default" w:ascii="Times New Roman" w:hAnsi="Times New Roman" w:cs="Times New Roman"/>
          <w:color w:val="auto"/>
          <w:highlight w:val="none"/>
        </w:rPr>
        <w:t>（北京时间）。</w:t>
      </w:r>
    </w:p>
    <w:p w14:paraId="6F79B398">
      <w:pPr>
        <w:rPr>
          <w:rFonts w:hint="default" w:ascii="Times New Roman" w:hAnsi="Times New Roman" w:cs="Times New Roman"/>
          <w:color w:val="auto"/>
          <w:highlight w:val="none"/>
        </w:rPr>
      </w:pPr>
      <w:r>
        <w:rPr>
          <w:rFonts w:hint="default" w:ascii="Times New Roman" w:hAnsi="Times New Roman" w:cs="Times New Roman"/>
          <w:color w:val="auto"/>
          <w:highlight w:val="none"/>
        </w:rPr>
        <w:t>4.4 参选保证金专用账户如下：</w:t>
      </w:r>
    </w:p>
    <w:p w14:paraId="1D4B357D">
      <w:pPr>
        <w:rPr>
          <w:rFonts w:hint="default" w:ascii="Times New Roman" w:hAnsi="Times New Roman" w:cs="Times New Roman"/>
          <w:color w:val="auto"/>
          <w:highlight w:val="none"/>
        </w:rPr>
      </w:pPr>
      <w:r>
        <w:rPr>
          <w:rFonts w:hint="default" w:ascii="Times New Roman" w:hAnsi="Times New Roman" w:cs="Times New Roman"/>
          <w:color w:val="auto"/>
          <w:highlight w:val="none"/>
        </w:rPr>
        <w:t>详见重庆市公共资源交易网（www.cqggzy.com）对应本项目比选公告信息栏中的保证金信息。根据重庆市公共资源交易中心《关于开展公共资源交易市场主体信息登记工作的公告》的要求，参选人在参选前需在重庆市公共资源交易网（www.cqggzy.com）办理市场主体信息登记手续。</w:t>
      </w:r>
    </w:p>
    <w:p w14:paraId="5A00A7D9">
      <w:pPr>
        <w:rPr>
          <w:rFonts w:hint="default" w:ascii="Times New Roman" w:hAnsi="Times New Roman" w:cs="Times New Roman"/>
          <w:color w:val="auto"/>
          <w:highlight w:val="none"/>
        </w:rPr>
      </w:pPr>
      <w:r>
        <w:rPr>
          <w:rFonts w:hint="default" w:ascii="Times New Roman" w:hAnsi="Times New Roman" w:cs="Times New Roman"/>
          <w:color w:val="auto"/>
          <w:highlight w:val="none"/>
        </w:rPr>
        <w:t>参选保证金以重庆市公共资源交易中心比选现场展示的保证金交纳情况为准。</w:t>
      </w:r>
    </w:p>
    <w:bookmarkEnd w:id="19"/>
    <w:bookmarkEnd w:id="20"/>
    <w:bookmarkEnd w:id="21"/>
    <w:bookmarkEnd w:id="22"/>
    <w:p w14:paraId="629A9B61">
      <w:pPr>
        <w:pStyle w:val="3"/>
        <w:rPr>
          <w:rFonts w:hint="default" w:ascii="Times New Roman" w:hAnsi="Times New Roman" w:cs="Times New Roman"/>
          <w:color w:val="auto"/>
          <w:highlight w:val="none"/>
        </w:rPr>
      </w:pPr>
      <w:r>
        <w:rPr>
          <w:rFonts w:hint="default" w:ascii="Times New Roman" w:hAnsi="Times New Roman" w:cs="Times New Roman"/>
          <w:color w:val="auto"/>
          <w:highlight w:val="none"/>
        </w:rPr>
        <w:t>5. 参选文件的递交</w:t>
      </w:r>
    </w:p>
    <w:p w14:paraId="3F60E149">
      <w:pPr>
        <w:rPr>
          <w:rFonts w:hint="default" w:ascii="Times New Roman" w:hAnsi="Times New Roman" w:cs="Times New Roman"/>
          <w:color w:val="auto"/>
          <w:highlight w:val="none"/>
        </w:rPr>
      </w:pPr>
      <w:bookmarkStart w:id="23" w:name="_Toc469574669"/>
      <w:bookmarkStart w:id="24" w:name="_Toc55379223"/>
      <w:bookmarkStart w:id="25" w:name="_Toc89675132"/>
      <w:r>
        <w:rPr>
          <w:rFonts w:hint="default" w:ascii="Times New Roman" w:hAnsi="Times New Roman" w:cs="Times New Roman"/>
          <w:color w:val="auto"/>
          <w:highlight w:val="none"/>
        </w:rPr>
        <w:t>5.1 参选文件现场递交的开始时间为</w:t>
      </w:r>
      <w:r>
        <w:rPr>
          <w:rFonts w:hint="eastAsia" w:ascii="Times New Roman" w:hAnsi="Times New Roman" w:cs="Times New Roman"/>
          <w:color w:val="auto"/>
          <w:highlight w:val="none"/>
          <w:u w:val="single"/>
          <w:lang w:val="en-US" w:eastAsia="zh-CN"/>
        </w:rPr>
        <w:t>2024</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年</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11</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月</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18</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日</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9</w:t>
      </w:r>
      <w:r>
        <w:rPr>
          <w:rFonts w:hint="default" w:ascii="Times New Roman" w:hAnsi="Times New Roman" w:cs="Times New Roman"/>
          <w:color w:val="auto"/>
          <w:highlight w:val="none"/>
          <w:u w:val="single"/>
        </w:rPr>
        <w:t xml:space="preserve"> </w:t>
      </w:r>
      <w:r>
        <w:rPr>
          <w:rFonts w:hint="eastAsia"/>
          <w:color w:val="auto"/>
          <w:highlight w:val="none"/>
        </w:rPr>
        <w:t>时</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00</w:t>
      </w:r>
      <w:r>
        <w:rPr>
          <w:rFonts w:hint="default" w:ascii="Times New Roman" w:hAnsi="Times New Roman" w:cs="Times New Roman"/>
          <w:color w:val="auto"/>
          <w:highlight w:val="none"/>
          <w:u w:val="single"/>
        </w:rPr>
        <w:t xml:space="preserve"> </w:t>
      </w:r>
      <w:r>
        <w:rPr>
          <w:rFonts w:hint="eastAsia"/>
          <w:color w:val="auto"/>
          <w:highlight w:val="none"/>
        </w:rPr>
        <w:t>分</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北京时间</w:t>
      </w:r>
      <w:r>
        <w:rPr>
          <w:rFonts w:hint="eastAsia" w:ascii="Times New Roman" w:hAnsi="Times New Roman" w:cs="Times New Roman"/>
          <w:color w:val="auto"/>
          <w:highlight w:val="none"/>
          <w:lang w:eastAsia="zh-CN"/>
        </w:rPr>
        <w:t>）</w:t>
      </w:r>
      <w:r>
        <w:rPr>
          <w:rFonts w:hint="eastAsia"/>
          <w:color w:val="auto"/>
          <w:highlight w:val="none"/>
          <w:u w:val="single"/>
          <w:lang w:val="en-US" w:eastAsia="zh-CN"/>
        </w:rPr>
        <w:t>至参选截止时间</w:t>
      </w:r>
      <w:r>
        <w:rPr>
          <w:rFonts w:hint="default" w:ascii="Times New Roman" w:hAnsi="Times New Roman" w:cs="Times New Roman"/>
          <w:color w:val="auto"/>
          <w:highlight w:val="none"/>
        </w:rPr>
        <w:t>。</w:t>
      </w:r>
    </w:p>
    <w:p w14:paraId="535B8798">
      <w:pPr>
        <w:rPr>
          <w:rFonts w:hint="default" w:ascii="Times New Roman" w:hAnsi="Times New Roman" w:cs="Times New Roman"/>
          <w:color w:val="auto"/>
          <w:highlight w:val="none"/>
        </w:rPr>
      </w:pPr>
      <w:r>
        <w:rPr>
          <w:rFonts w:hint="default" w:ascii="Times New Roman" w:hAnsi="Times New Roman" w:cs="Times New Roman"/>
          <w:color w:val="auto"/>
          <w:highlight w:val="none"/>
        </w:rPr>
        <w:t>5.2 递交地点为</w:t>
      </w:r>
      <w:r>
        <w:rPr>
          <w:rFonts w:hint="eastAsia"/>
          <w:color w:val="auto"/>
          <w:highlight w:val="none"/>
        </w:rPr>
        <w:t>重庆市渝北</w:t>
      </w:r>
      <w:r>
        <w:rPr>
          <w:rFonts w:hint="default" w:ascii="Times New Roman" w:hAnsi="Times New Roman" w:cs="Times New Roman"/>
          <w:color w:val="auto"/>
          <w:highlight w:val="none"/>
        </w:rPr>
        <w:t>区青枫北路6号渝兴广场B10栋重庆市公共资源交易中心开标区（具体请</w:t>
      </w:r>
      <w:r>
        <w:rPr>
          <w:rFonts w:hint="eastAsia" w:ascii="Times New Roman" w:hAnsi="Times New Roman" w:cs="Times New Roman"/>
          <w:color w:val="auto"/>
          <w:highlight w:val="none"/>
          <w:lang w:val="en-US" w:eastAsia="zh-CN"/>
        </w:rPr>
        <w:t>登录</w:t>
      </w:r>
      <w:r>
        <w:rPr>
          <w:rFonts w:hint="default" w:ascii="Times New Roman" w:hAnsi="Times New Roman" w:cs="Times New Roman"/>
          <w:color w:val="auto"/>
          <w:highlight w:val="none"/>
        </w:rPr>
        <w:t>重庆市公共资源交易网（www.cqggzy.com）查询或递交文件当日见交易中心大厅电子显示屏）。</w:t>
      </w:r>
    </w:p>
    <w:p w14:paraId="74CB0B24">
      <w:pPr>
        <w:rPr>
          <w:rFonts w:hint="default" w:ascii="Times New Roman" w:hAnsi="Times New Roman" w:cs="Times New Roman"/>
          <w:color w:val="auto"/>
          <w:highlight w:val="none"/>
        </w:rPr>
      </w:pPr>
      <w:r>
        <w:rPr>
          <w:rFonts w:hint="default" w:ascii="Times New Roman" w:hAnsi="Times New Roman" w:cs="Times New Roman"/>
          <w:color w:val="auto"/>
          <w:highlight w:val="none"/>
        </w:rPr>
        <w:t>5.3 逾期送达的参选文件，不予接收。</w:t>
      </w:r>
    </w:p>
    <w:p w14:paraId="286E9A16">
      <w:pPr>
        <w:pStyle w:val="3"/>
        <w:rPr>
          <w:rFonts w:hint="default" w:ascii="Times New Roman" w:hAnsi="Times New Roman" w:cs="Times New Roman"/>
          <w:color w:val="auto"/>
          <w:highlight w:val="none"/>
        </w:rPr>
      </w:pPr>
      <w:r>
        <w:rPr>
          <w:rFonts w:hint="default" w:ascii="Times New Roman" w:hAnsi="Times New Roman" w:cs="Times New Roman"/>
          <w:color w:val="auto"/>
          <w:highlight w:val="none"/>
        </w:rPr>
        <w:t>6. 发布公告的媒介</w:t>
      </w:r>
      <w:bookmarkEnd w:id="23"/>
      <w:bookmarkEnd w:id="24"/>
      <w:bookmarkEnd w:id="25"/>
    </w:p>
    <w:p w14:paraId="7121A2AE">
      <w:pPr>
        <w:rPr>
          <w:rFonts w:hint="default" w:ascii="Times New Roman" w:hAnsi="Times New Roman" w:cs="Times New Roman"/>
          <w:color w:val="auto"/>
          <w:highlight w:val="none"/>
        </w:rPr>
      </w:pPr>
      <w:bookmarkStart w:id="26" w:name="_Toc469574670"/>
      <w:bookmarkStart w:id="27" w:name="_Toc250565211"/>
      <w:bookmarkStart w:id="28" w:name="_Toc89675133"/>
      <w:bookmarkStart w:id="29" w:name="_Toc55379224"/>
      <w:r>
        <w:rPr>
          <w:rFonts w:hint="default" w:ascii="Times New Roman" w:hAnsi="Times New Roman" w:cs="Times New Roman"/>
          <w:color w:val="auto"/>
          <w:highlight w:val="none"/>
        </w:rPr>
        <w:t>本次比选公告同时在《重庆市公共资源交易网（www.cqggzy.com）》《重庆三峡银行官网（https://www.ccqtgb.com）》和《中国</w:t>
      </w:r>
      <w:r>
        <w:rPr>
          <w:rFonts w:hint="eastAsia" w:ascii="Times New Roman" w:hAnsi="Times New Roman" w:cs="Times New Roman"/>
          <w:color w:val="auto"/>
          <w:highlight w:val="none"/>
          <w:lang w:val="en-US" w:eastAsia="zh-CN"/>
        </w:rPr>
        <w:t>招标投标</w:t>
      </w:r>
      <w:r>
        <w:rPr>
          <w:rFonts w:hint="default" w:ascii="Times New Roman" w:hAnsi="Times New Roman" w:cs="Times New Roman"/>
          <w:color w:val="auto"/>
          <w:highlight w:val="none"/>
        </w:rPr>
        <w:t>公共服务平台（http://www.cebpubservice.com）》上发布。</w:t>
      </w:r>
    </w:p>
    <w:p w14:paraId="1F73D98A">
      <w:pPr>
        <w:pStyle w:val="3"/>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7. 报名方式</w:t>
      </w:r>
    </w:p>
    <w:p w14:paraId="327DBCE0">
      <w:pPr>
        <w:bidi w:val="0"/>
        <w:rPr>
          <w:rFonts w:hint="default" w:ascii="Times New Roman" w:hAnsi="Times New Roman" w:cs="Times New Roman"/>
          <w:color w:val="auto"/>
          <w:highlight w:val="none"/>
          <w:shd w:val="clear" w:color="auto" w:fill="auto"/>
          <w:lang w:val="en-US" w:eastAsia="zh-CN"/>
        </w:rPr>
      </w:pPr>
      <w:r>
        <w:rPr>
          <w:rFonts w:hint="default" w:ascii="Times New Roman" w:hAnsi="Times New Roman" w:cs="Times New Roman"/>
          <w:color w:val="auto"/>
          <w:highlight w:val="none"/>
          <w:lang w:val="en-US" w:eastAsia="zh-CN"/>
        </w:rPr>
        <w:t>本项目从比选文件发出之日起至</w:t>
      </w:r>
      <w:r>
        <w:rPr>
          <w:rFonts w:hint="default" w:ascii="Times New Roman" w:hAnsi="Times New Roman" w:cs="Times New Roman"/>
          <w:color w:val="auto"/>
          <w:highlight w:val="none"/>
          <w:u w:val="single"/>
          <w:lang w:val="en-US" w:eastAsia="zh-CN"/>
        </w:rPr>
        <w:t>2024</w:t>
      </w:r>
      <w:r>
        <w:rPr>
          <w:rFonts w:hint="default" w:ascii="Times New Roman" w:hAnsi="Times New Roman" w:cs="Times New Roman"/>
          <w:color w:val="auto"/>
          <w:highlight w:val="none"/>
          <w:u w:val="none"/>
          <w:lang w:val="en-US" w:eastAsia="zh-CN"/>
        </w:rPr>
        <w:t>年</w:t>
      </w:r>
      <w:r>
        <w:rPr>
          <w:rFonts w:hint="eastAsia" w:ascii="Times New Roman" w:hAnsi="Times New Roman" w:cs="Times New Roman"/>
          <w:color w:val="auto"/>
          <w:highlight w:val="none"/>
          <w:u w:val="single"/>
          <w:lang w:val="en-US" w:eastAsia="zh-CN"/>
        </w:rPr>
        <w:t>10</w:t>
      </w:r>
      <w:r>
        <w:rPr>
          <w:rFonts w:hint="default" w:ascii="Times New Roman" w:hAnsi="Times New Roman" w:cs="Times New Roman"/>
          <w:color w:val="auto"/>
          <w:highlight w:val="none"/>
          <w:u w:val="none"/>
          <w:lang w:val="en-US" w:eastAsia="zh-CN"/>
        </w:rPr>
        <w:t>月</w:t>
      </w:r>
      <w:r>
        <w:rPr>
          <w:rFonts w:hint="eastAsia" w:ascii="Times New Roman" w:hAnsi="Times New Roman" w:cs="Times New Roman"/>
          <w:color w:val="auto"/>
          <w:highlight w:val="none"/>
          <w:u w:val="single"/>
          <w:lang w:val="en-US" w:eastAsia="zh-CN"/>
        </w:rPr>
        <w:t>12</w:t>
      </w:r>
      <w:r>
        <w:rPr>
          <w:rFonts w:hint="default" w:ascii="Times New Roman" w:hAnsi="Times New Roman" w:cs="Times New Roman"/>
          <w:color w:val="auto"/>
          <w:highlight w:val="none"/>
          <w:u w:val="none"/>
          <w:lang w:val="en-US" w:eastAsia="zh-CN"/>
        </w:rPr>
        <w:t>日</w:t>
      </w:r>
      <w:r>
        <w:rPr>
          <w:rFonts w:hint="default" w:ascii="Times New Roman" w:hAnsi="Times New Roman" w:cs="Times New Roman"/>
          <w:color w:val="auto"/>
          <w:highlight w:val="none"/>
          <w:u w:val="single"/>
          <w:lang w:val="en-US" w:eastAsia="zh-CN"/>
        </w:rPr>
        <w:t>17</w:t>
      </w:r>
      <w:r>
        <w:rPr>
          <w:rFonts w:hint="default" w:ascii="Times New Roman" w:hAnsi="Times New Roman" w:cs="Times New Roman"/>
          <w:color w:val="auto"/>
          <w:highlight w:val="none"/>
          <w:u w:val="none"/>
          <w:lang w:val="en-US" w:eastAsia="zh-CN"/>
        </w:rPr>
        <w:t>时</w:t>
      </w:r>
      <w:r>
        <w:rPr>
          <w:rFonts w:hint="default" w:ascii="Times New Roman" w:hAnsi="Times New Roman" w:cs="Times New Roman"/>
          <w:color w:val="auto"/>
          <w:highlight w:val="none"/>
          <w:u w:val="single"/>
          <w:lang w:val="en-US" w:eastAsia="zh-CN"/>
        </w:rPr>
        <w:t>00</w:t>
      </w:r>
      <w:r>
        <w:rPr>
          <w:rFonts w:hint="default" w:ascii="Times New Roman" w:hAnsi="Times New Roman" w:cs="Times New Roman"/>
          <w:color w:val="auto"/>
          <w:highlight w:val="none"/>
          <w:lang w:val="en-US" w:eastAsia="zh-CN"/>
        </w:rPr>
        <w:fldChar w:fldCharType="begin"/>
      </w:r>
      <w:r>
        <w:rPr>
          <w:rFonts w:hint="default" w:ascii="Times New Roman" w:hAnsi="Times New Roman" w:cs="Times New Roman"/>
          <w:color w:val="auto"/>
          <w:highlight w:val="none"/>
        </w:rPr>
        <w:instrText xml:space="preserve">HYPERLINK "mailto:分进行报名，供应商将《报名函》（加盖供应商公章）扫描后发送至邮箱wangming@ccqtgb.com。《报名函》详见比选文件第三章附件一。"</w:instrText>
      </w:r>
      <w:r>
        <w:rPr>
          <w:rFonts w:hint="default" w:ascii="Times New Roman" w:hAnsi="Times New Roman" w:cs="Times New Roman"/>
          <w:color w:val="auto"/>
          <w:highlight w:val="none"/>
          <w:lang w:val="en-US" w:eastAsia="zh-CN"/>
        </w:rPr>
        <w:fldChar w:fldCharType="separate"/>
      </w:r>
      <w:r>
        <w:rPr>
          <w:rFonts w:hint="default" w:ascii="Times New Roman" w:hAnsi="Times New Roman" w:cs="Times New Roman"/>
          <w:color w:val="auto"/>
          <w:highlight w:val="none"/>
          <w:lang w:val="en-US" w:eastAsia="zh-CN"/>
        </w:rPr>
        <w:t>分进行报名，</w:t>
      </w:r>
      <w:r>
        <w:rPr>
          <w:rFonts w:hint="eastAsia" w:ascii="Times New Roman" w:hAnsi="Times New Roman" w:cs="Times New Roman"/>
          <w:color w:val="auto"/>
          <w:highlight w:val="none"/>
          <w:lang w:val="en-US" w:eastAsia="zh-CN"/>
        </w:rPr>
        <w:t>参选人需</w:t>
      </w:r>
      <w:r>
        <w:rPr>
          <w:rFonts w:hint="default" w:ascii="Times New Roman" w:hAnsi="Times New Roman" w:cs="Times New Roman"/>
          <w:color w:val="auto"/>
          <w:highlight w:val="none"/>
          <w:lang w:val="en-US" w:eastAsia="zh-CN"/>
        </w:rPr>
        <w:t>将《报名函》（加盖</w:t>
      </w:r>
      <w:r>
        <w:rPr>
          <w:rFonts w:hint="eastAsia" w:ascii="Times New Roman" w:hAnsi="Times New Roman" w:cs="Times New Roman"/>
          <w:color w:val="auto"/>
          <w:highlight w:val="none"/>
          <w:lang w:val="en-US" w:eastAsia="zh-CN"/>
        </w:rPr>
        <w:t>参选人</w:t>
      </w:r>
      <w:r>
        <w:rPr>
          <w:rFonts w:hint="default" w:ascii="Times New Roman" w:hAnsi="Times New Roman" w:cs="Times New Roman"/>
          <w:color w:val="auto"/>
          <w:highlight w:val="none"/>
          <w:lang w:val="en-US" w:eastAsia="zh-CN"/>
        </w:rPr>
        <w:t>公章）扫描后发送至邮箱hujianquan@ccqtgb.com</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《报名函》详见比选文件</w:t>
      </w:r>
      <w:r>
        <w:rPr>
          <w:rFonts w:hint="eastAsia" w:ascii="Times New Roman" w:hAnsi="Times New Roman" w:cs="Times New Roman"/>
          <w:color w:val="auto"/>
          <w:highlight w:val="none"/>
          <w:lang w:val="en-US" w:eastAsia="zh-CN"/>
        </w:rPr>
        <w:t>第三章</w:t>
      </w:r>
      <w:r>
        <w:rPr>
          <w:rFonts w:hint="default" w:ascii="Times New Roman" w:hAnsi="Times New Roman" w:cs="Times New Roman"/>
          <w:color w:val="auto"/>
          <w:highlight w:val="none"/>
          <w:lang w:val="en-US" w:eastAsia="zh-CN"/>
        </w:rPr>
        <w:t>附件</w:t>
      </w:r>
      <w:r>
        <w:rPr>
          <w:rFonts w:hint="eastAsia" w:ascii="Times New Roman" w:hAnsi="Times New Roman" w:cs="Times New Roman"/>
          <w:color w:val="auto"/>
          <w:highlight w:val="none"/>
          <w:lang w:val="en-US" w:eastAsia="zh-CN"/>
        </w:rPr>
        <w:t>一</w:t>
      </w:r>
      <w:r>
        <w:rPr>
          <w:rFonts w:hint="default"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fldChar w:fldCharType="end"/>
      </w:r>
    </w:p>
    <w:p w14:paraId="51C13735">
      <w:pPr>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报名联系人：</w:t>
      </w:r>
      <w:r>
        <w:rPr>
          <w:rFonts w:hint="eastAsia" w:ascii="Times New Roman" w:hAnsi="Times New Roman" w:cs="Times New Roman"/>
          <w:color w:val="auto"/>
          <w:highlight w:val="none"/>
          <w:lang w:val="en-US" w:eastAsia="zh-CN"/>
        </w:rPr>
        <w:t>滕磊，</w:t>
      </w:r>
      <w:r>
        <w:rPr>
          <w:rFonts w:hint="default" w:ascii="Times New Roman" w:hAnsi="Times New Roman" w:cs="Times New Roman"/>
          <w:color w:val="auto"/>
          <w:highlight w:val="none"/>
          <w:lang w:val="en-US" w:eastAsia="zh-CN"/>
        </w:rPr>
        <w:t>联系电话：023-8889</w:t>
      </w:r>
      <w:r>
        <w:rPr>
          <w:rFonts w:hint="eastAsia" w:ascii="Times New Roman" w:hAnsi="Times New Roman" w:cs="Times New Roman"/>
          <w:color w:val="auto"/>
          <w:highlight w:val="none"/>
          <w:lang w:val="en-US" w:eastAsia="zh-CN"/>
        </w:rPr>
        <w:t>0368。</w:t>
      </w:r>
    </w:p>
    <w:p w14:paraId="7A9433AD">
      <w:pPr>
        <w:pStyle w:val="3"/>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8. POC测试安排</w:t>
      </w:r>
    </w:p>
    <w:p w14:paraId="6233D404">
      <w:pP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本项目POC测试环节根据项目实际情况安排，测试方案详见比选文件</w:t>
      </w:r>
      <w:r>
        <w:rPr>
          <w:rFonts w:hint="eastAsia" w:ascii="Times New Roman" w:hAnsi="Times New Roman" w:cs="Times New Roman"/>
          <w:color w:val="auto"/>
          <w:highlight w:val="none"/>
          <w:lang w:val="en-US" w:eastAsia="zh-CN"/>
        </w:rPr>
        <w:t>第三章</w:t>
      </w:r>
      <w:r>
        <w:rPr>
          <w:rFonts w:hint="default" w:ascii="Times New Roman" w:hAnsi="Times New Roman" w:cs="Times New Roman"/>
          <w:color w:val="auto"/>
          <w:highlight w:val="none"/>
          <w:lang w:val="en-US" w:eastAsia="zh-CN"/>
        </w:rPr>
        <w:t>附件</w:t>
      </w:r>
      <w:r>
        <w:rPr>
          <w:rFonts w:hint="eastAsia" w:ascii="Times New Roman" w:hAnsi="Times New Roman" w:cs="Times New Roman"/>
          <w:color w:val="auto"/>
          <w:highlight w:val="none"/>
          <w:lang w:val="en-US" w:eastAsia="zh-CN"/>
        </w:rPr>
        <w:t>二</w:t>
      </w:r>
      <w:r>
        <w:rPr>
          <w:rFonts w:hint="default" w:ascii="Times New Roman" w:hAnsi="Times New Roman" w:cs="Times New Roman"/>
          <w:color w:val="auto"/>
          <w:highlight w:val="none"/>
          <w:lang w:val="en-US" w:eastAsia="zh-CN"/>
        </w:rPr>
        <w:t>。</w:t>
      </w:r>
    </w:p>
    <w:p w14:paraId="20F7BFCC">
      <w:pPr>
        <w:pStyle w:val="3"/>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9</w:t>
      </w:r>
      <w:r>
        <w:rPr>
          <w:rFonts w:hint="default" w:ascii="Times New Roman" w:hAnsi="Times New Roman" w:eastAsia="宋体" w:cs="Times New Roman"/>
          <w:color w:val="auto"/>
          <w:highlight w:val="none"/>
          <w:lang w:val="en-US" w:eastAsia="zh-CN"/>
        </w:rPr>
        <w:t>. 联系方式</w:t>
      </w:r>
      <w:bookmarkEnd w:id="26"/>
      <w:bookmarkEnd w:id="27"/>
      <w:bookmarkEnd w:id="28"/>
      <w:bookmarkEnd w:id="29"/>
    </w:p>
    <w:tbl>
      <w:tblPr>
        <w:tblStyle w:val="22"/>
        <w:tblpPr w:leftFromText="180" w:rightFromText="180" w:vertAnchor="text" w:horzAnchor="page" w:tblpX="1790" w:tblpY="583"/>
        <w:tblOverlap w:val="never"/>
        <w:tblW w:w="0" w:type="auto"/>
        <w:tblInd w:w="0" w:type="dxa"/>
        <w:tblLayout w:type="fixed"/>
        <w:tblCellMar>
          <w:top w:w="0" w:type="dxa"/>
          <w:left w:w="108" w:type="dxa"/>
          <w:bottom w:w="0" w:type="dxa"/>
          <w:right w:w="108" w:type="dxa"/>
        </w:tblCellMar>
      </w:tblPr>
      <w:tblGrid>
        <w:gridCol w:w="3090"/>
        <w:gridCol w:w="5333"/>
      </w:tblGrid>
      <w:tr w14:paraId="43C1AB13">
        <w:tblPrEx>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1D302BD9">
            <w:pPr>
              <w:spacing w:line="360" w:lineRule="auto"/>
              <w:ind w:firstLine="0" w:firstLineChars="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9</w:t>
            </w:r>
            <w:r>
              <w:rPr>
                <w:rFonts w:hint="default" w:ascii="Times New Roman" w:hAnsi="Times New Roman" w:eastAsia="宋体" w:cs="Times New Roman"/>
                <w:color w:val="auto"/>
                <w:sz w:val="24"/>
                <w:szCs w:val="24"/>
                <w:highlight w:val="none"/>
              </w:rPr>
              <w:t>.1 项目需求咨询</w:t>
            </w:r>
          </w:p>
        </w:tc>
      </w:tr>
      <w:tr w14:paraId="47387253">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4549044D">
            <w:pPr>
              <w:spacing w:line="360" w:lineRule="auto"/>
              <w:ind w:firstLine="0" w:firstLineChars="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项目联系人：</w:t>
            </w:r>
            <w:r>
              <w:rPr>
                <w:rFonts w:hint="default" w:ascii="Times New Roman" w:hAnsi="Times New Roman" w:eastAsia="宋体" w:cs="Times New Roman"/>
                <w:color w:val="auto"/>
                <w:sz w:val="24"/>
                <w:szCs w:val="24"/>
                <w:highlight w:val="none"/>
                <w:lang w:val="en-US" w:eastAsia="zh-CN"/>
              </w:rPr>
              <w:t>滕磊</w:t>
            </w:r>
          </w:p>
        </w:tc>
        <w:tc>
          <w:tcPr>
            <w:tcW w:w="5333" w:type="dxa"/>
            <w:tcBorders>
              <w:top w:val="nil"/>
              <w:left w:val="nil"/>
              <w:bottom w:val="nil"/>
              <w:right w:val="single" w:color="auto" w:sz="4" w:space="0"/>
            </w:tcBorders>
          </w:tcPr>
          <w:p w14:paraId="5539828E">
            <w:pPr>
              <w:spacing w:line="360" w:lineRule="auto"/>
              <w:ind w:firstLine="0" w:firstLineChars="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联系方式：</w:t>
            </w:r>
            <w:r>
              <w:rPr>
                <w:rFonts w:hint="default" w:ascii="Times New Roman" w:hAnsi="Times New Roman" w:eastAsia="宋体" w:cs="Times New Roman"/>
                <w:color w:val="auto"/>
                <w:sz w:val="24"/>
                <w:szCs w:val="24"/>
                <w:highlight w:val="none"/>
                <w:lang w:val="en-US" w:eastAsia="zh-CN"/>
              </w:rPr>
              <w:t>023-88890368</w:t>
            </w:r>
          </w:p>
        </w:tc>
      </w:tr>
      <w:tr w14:paraId="7CE5915F">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097A7B4">
            <w:pPr>
              <w:spacing w:line="360" w:lineRule="auto"/>
              <w:ind w:firstLine="0" w:firstLineChars="0"/>
              <w:jc w:val="left"/>
              <w:rPr>
                <w:rFonts w:hint="default" w:ascii="Times New Roman" w:hAnsi="Times New Roman" w:eastAsia="宋体" w:cs="Times New Roman"/>
                <w:color w:val="auto"/>
                <w:sz w:val="24"/>
                <w:szCs w:val="24"/>
                <w:highlight w:val="none"/>
              </w:rPr>
            </w:pPr>
          </w:p>
        </w:tc>
      </w:tr>
      <w:tr w14:paraId="1118B881">
        <w:tblPrEx>
          <w:tblCellMar>
            <w:top w:w="0" w:type="dxa"/>
            <w:left w:w="108" w:type="dxa"/>
            <w:bottom w:w="0" w:type="dxa"/>
            <w:right w:w="108" w:type="dxa"/>
          </w:tblCellMar>
        </w:tblPrEx>
        <w:trPr>
          <w:trHeight w:val="90" w:hRule="atLeast"/>
        </w:trPr>
        <w:tc>
          <w:tcPr>
            <w:tcW w:w="8423" w:type="dxa"/>
            <w:gridSpan w:val="2"/>
            <w:tcBorders>
              <w:top w:val="nil"/>
              <w:left w:val="single" w:color="auto" w:sz="4" w:space="0"/>
              <w:bottom w:val="nil"/>
              <w:right w:val="single" w:color="auto" w:sz="4" w:space="0"/>
            </w:tcBorders>
          </w:tcPr>
          <w:p w14:paraId="5299EC56">
            <w:pPr>
              <w:spacing w:line="360" w:lineRule="auto"/>
              <w:ind w:firstLine="0" w:firstLineChars="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9</w:t>
            </w:r>
            <w:r>
              <w:rPr>
                <w:rFonts w:hint="default" w:ascii="Times New Roman" w:hAnsi="Times New Roman" w:eastAsia="宋体" w:cs="Times New Roman"/>
                <w:color w:val="auto"/>
                <w:sz w:val="24"/>
                <w:szCs w:val="24"/>
                <w:highlight w:val="none"/>
              </w:rPr>
              <w:t>.2 项目流程咨询</w:t>
            </w:r>
          </w:p>
        </w:tc>
      </w:tr>
      <w:tr w14:paraId="6FC374F1">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8D00D92">
            <w:pPr>
              <w:spacing w:line="360" w:lineRule="auto"/>
              <w:ind w:firstLine="0" w:firstLineChars="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平台服务机构：重庆联合产权交易所集团股份有限公司</w:t>
            </w:r>
          </w:p>
        </w:tc>
      </w:tr>
      <w:tr w14:paraId="6AFECC95">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18426AF8">
            <w:pPr>
              <w:spacing w:line="360" w:lineRule="auto"/>
              <w:ind w:firstLine="0" w:firstLineChars="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平台联系人：</w:t>
            </w:r>
            <w:r>
              <w:rPr>
                <w:rFonts w:hint="default" w:ascii="Times New Roman" w:hAnsi="Times New Roman" w:eastAsia="宋体" w:cs="Times New Roman"/>
                <w:color w:val="auto"/>
                <w:sz w:val="24"/>
                <w:szCs w:val="24"/>
                <w:highlight w:val="none"/>
                <w:lang w:val="en-US" w:eastAsia="zh-CN"/>
              </w:rPr>
              <w:t>张</w:t>
            </w:r>
            <w:r>
              <w:rPr>
                <w:rFonts w:hint="default" w:ascii="Times New Roman" w:hAnsi="Times New Roman" w:eastAsia="宋体" w:cs="Times New Roman"/>
                <w:color w:val="auto"/>
                <w:sz w:val="24"/>
                <w:szCs w:val="24"/>
                <w:highlight w:val="none"/>
              </w:rPr>
              <w:t>老师</w:t>
            </w:r>
          </w:p>
        </w:tc>
        <w:tc>
          <w:tcPr>
            <w:tcW w:w="5333" w:type="dxa"/>
            <w:tcBorders>
              <w:top w:val="nil"/>
              <w:left w:val="nil"/>
              <w:bottom w:val="nil"/>
              <w:right w:val="single" w:color="auto" w:sz="4" w:space="0"/>
            </w:tcBorders>
          </w:tcPr>
          <w:p w14:paraId="06B8FCBC">
            <w:pPr>
              <w:spacing w:line="360" w:lineRule="auto"/>
              <w:ind w:firstLine="0" w:firstLineChars="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联系方式：023-63621694</w:t>
            </w:r>
          </w:p>
        </w:tc>
      </w:tr>
      <w:tr w14:paraId="54FD2318">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6100F63">
            <w:pPr>
              <w:spacing w:line="360" w:lineRule="auto"/>
              <w:ind w:firstLine="0" w:firstLineChars="0"/>
              <w:jc w:val="left"/>
              <w:rPr>
                <w:rFonts w:hint="default" w:ascii="Times New Roman" w:hAnsi="Times New Roman" w:eastAsia="宋体" w:cs="Times New Roman"/>
                <w:color w:val="auto"/>
                <w:sz w:val="24"/>
                <w:szCs w:val="24"/>
                <w:highlight w:val="none"/>
              </w:rPr>
            </w:pPr>
          </w:p>
        </w:tc>
      </w:tr>
      <w:tr w14:paraId="397FF038">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6BF5774">
            <w:pPr>
              <w:spacing w:line="360" w:lineRule="auto"/>
              <w:ind w:firstLine="0" w:firstLineChars="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9</w:t>
            </w:r>
            <w:r>
              <w:rPr>
                <w:rFonts w:hint="default" w:ascii="Times New Roman" w:hAnsi="Times New Roman" w:eastAsia="宋体" w:cs="Times New Roman"/>
                <w:color w:val="auto"/>
                <w:sz w:val="24"/>
                <w:szCs w:val="24"/>
                <w:highlight w:val="none"/>
              </w:rPr>
              <w:t>.3 比选人联系方式</w:t>
            </w:r>
          </w:p>
        </w:tc>
      </w:tr>
      <w:tr w14:paraId="5AFBA833">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38BE79E2">
            <w:pPr>
              <w:spacing w:line="360" w:lineRule="auto"/>
              <w:ind w:firstLine="0" w:firstLineChars="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联系人：敬希</w:t>
            </w:r>
          </w:p>
        </w:tc>
        <w:tc>
          <w:tcPr>
            <w:tcW w:w="5333" w:type="dxa"/>
            <w:tcBorders>
              <w:top w:val="nil"/>
              <w:left w:val="nil"/>
              <w:bottom w:val="nil"/>
              <w:right w:val="single" w:color="auto" w:sz="4" w:space="0"/>
            </w:tcBorders>
          </w:tcPr>
          <w:p w14:paraId="5A49AC28">
            <w:pPr>
              <w:spacing w:line="360" w:lineRule="auto"/>
              <w:ind w:firstLine="0" w:firstLineChars="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联系方式：023-88890395</w:t>
            </w:r>
          </w:p>
        </w:tc>
      </w:tr>
      <w:tr w14:paraId="752FEAAB">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27ED97ED">
            <w:pPr>
              <w:spacing w:line="360" w:lineRule="auto"/>
              <w:ind w:firstLine="0" w:firstLineChars="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比选人地址：重庆市渝北区嘉州路88号中渝国际都会4号写字楼21层</w:t>
            </w:r>
          </w:p>
        </w:tc>
      </w:tr>
    </w:tbl>
    <w:p w14:paraId="74086D9D">
      <w:pPr>
        <w:numPr>
          <w:ilvl w:val="-1"/>
          <w:numId w:val="0"/>
        </w:numPr>
        <w:ind w:firstLine="0" w:firstLineChars="0"/>
        <w:rPr>
          <w:rFonts w:hint="default"/>
          <w:color w:val="auto"/>
          <w:highlight w:val="none"/>
        </w:rPr>
      </w:pPr>
    </w:p>
    <w:p w14:paraId="7F9C737D">
      <w:pPr>
        <w:rPr>
          <w:rFonts w:hint="default" w:ascii="Times New Roman" w:hAnsi="Times New Roman" w:cs="Times New Roman"/>
          <w:color w:val="auto"/>
          <w:highlight w:val="none"/>
        </w:rPr>
      </w:pPr>
    </w:p>
    <w:p w14:paraId="2BF59FCD">
      <w:pPr>
        <w:rPr>
          <w:rFonts w:hint="default" w:ascii="Times New Roman" w:hAnsi="Times New Roman" w:cs="Times New Roman"/>
          <w:color w:val="auto"/>
          <w:highlight w:val="none"/>
        </w:rPr>
      </w:pPr>
    </w:p>
    <w:p w14:paraId="6EF7F3E4">
      <w:pPr>
        <w:spacing w:line="240" w:lineRule="auto"/>
        <w:ind w:firstLine="0" w:firstLineChars="0"/>
        <w:jc w:val="right"/>
        <w:rPr>
          <w:rFonts w:hint="default" w:ascii="Times New Roman" w:hAnsi="Times New Roman" w:cs="Times New Roman"/>
          <w:color w:val="auto"/>
          <w:highlight w:val="none"/>
        </w:rPr>
      </w:pPr>
      <w:r>
        <w:rPr>
          <w:rFonts w:hint="default" w:ascii="Times New Roman" w:hAnsi="Times New Roman" w:cs="Times New Roman"/>
          <w:color w:val="auto"/>
          <w:highlight w:val="none"/>
        </w:rPr>
        <w:t>重庆三峡银行股份有限公司</w:t>
      </w:r>
    </w:p>
    <w:p w14:paraId="3B8EA405">
      <w:pPr>
        <w:jc w:val="right"/>
        <w:rPr>
          <w:rFonts w:hint="default" w:ascii="Times New Roman" w:hAnsi="Times New Roman" w:cs="Times New Roman"/>
          <w:color w:val="auto"/>
          <w:highlight w:val="none"/>
        </w:rPr>
      </w:pPr>
      <w:r>
        <w:rPr>
          <w:rFonts w:hint="default" w:ascii="Times New Roman" w:hAnsi="Times New Roman" w:cs="Times New Roman"/>
          <w:color w:val="auto"/>
          <w:highlight w:val="none"/>
        </w:rPr>
        <w:t>202</w:t>
      </w:r>
      <w:r>
        <w:rPr>
          <w:rFonts w:hint="eastAsia" w:ascii="Times New Roman" w:hAnsi="Times New Roman" w:cs="Times New Roman"/>
          <w:color w:val="auto"/>
          <w:highlight w:val="none"/>
          <w:lang w:val="en-US" w:eastAsia="zh-CN"/>
        </w:rPr>
        <w:t>4</w:t>
      </w:r>
      <w:r>
        <w:rPr>
          <w:rFonts w:hint="default" w:ascii="Times New Roman" w:hAnsi="Times New Roman" w:cs="Times New Roman"/>
          <w:color w:val="auto"/>
          <w:highlight w:val="none"/>
        </w:rPr>
        <w:t>年</w:t>
      </w:r>
      <w:r>
        <w:rPr>
          <w:rFonts w:hint="eastAsia" w:ascii="Times New Roman" w:hAnsi="Times New Roman" w:cs="Times New Roman"/>
          <w:color w:val="auto"/>
          <w:highlight w:val="none"/>
          <w:lang w:val="en-US" w:eastAsia="zh-CN"/>
        </w:rPr>
        <w:t>10</w:t>
      </w:r>
      <w:r>
        <w:rPr>
          <w:rFonts w:hint="default" w:ascii="Times New Roman" w:hAnsi="Times New Roman" w:cs="Times New Roman"/>
          <w:color w:val="auto"/>
          <w:highlight w:val="none"/>
        </w:rPr>
        <w:t>月</w:t>
      </w:r>
      <w:r>
        <w:rPr>
          <w:rFonts w:hint="eastAsia" w:ascii="Times New Roman" w:hAnsi="Times New Roman" w:cs="Times New Roman"/>
          <w:color w:val="auto"/>
          <w:highlight w:val="none"/>
          <w:lang w:val="en-US" w:eastAsia="zh-CN"/>
        </w:rPr>
        <w:t>8</w:t>
      </w:r>
      <w:r>
        <w:rPr>
          <w:rFonts w:hint="default" w:ascii="Times New Roman" w:hAnsi="Times New Roman" w:cs="Times New Roman"/>
          <w:color w:val="auto"/>
          <w:highlight w:val="none"/>
        </w:rPr>
        <w:t>日</w:t>
      </w:r>
    </w:p>
    <w:p w14:paraId="1D665A67">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bookmarkStart w:id="30" w:name="_Toc89675159"/>
      <w:bookmarkStart w:id="31" w:name="_Toc303066033"/>
    </w:p>
    <w:p w14:paraId="2505900C">
      <w:pPr>
        <w:ind w:firstLine="0" w:firstLineChars="0"/>
        <w:rPr>
          <w:rFonts w:hint="default" w:ascii="Times New Roman" w:hAnsi="Times New Roman" w:cs="Times New Roman"/>
          <w:color w:val="auto"/>
          <w:highlight w:val="none"/>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0478F12C">
      <w:pPr>
        <w:pStyle w:val="2"/>
        <w:rPr>
          <w:rFonts w:hint="default" w:ascii="Times New Roman" w:hAnsi="Times New Roman" w:cs="Times New Roman"/>
          <w:color w:val="auto"/>
          <w:highlight w:val="none"/>
        </w:rPr>
      </w:pPr>
      <w:bookmarkStart w:id="32" w:name="_Toc16213"/>
      <w:bookmarkStart w:id="33" w:name="_Toc13707"/>
      <w:r>
        <w:rPr>
          <w:rFonts w:hint="default" w:ascii="Times New Roman" w:hAnsi="Times New Roman" w:cs="Times New Roman"/>
          <w:color w:val="auto"/>
          <w:highlight w:val="none"/>
        </w:rPr>
        <w:t>第二章 参选人须知</w:t>
      </w:r>
      <w:bookmarkEnd w:id="30"/>
      <w:bookmarkEnd w:id="31"/>
      <w:bookmarkEnd w:id="32"/>
      <w:bookmarkEnd w:id="33"/>
    </w:p>
    <w:p w14:paraId="5458CA9E">
      <w:pPr>
        <w:pStyle w:val="3"/>
        <w:rPr>
          <w:rFonts w:hint="default" w:ascii="Times New Roman" w:hAnsi="Times New Roman" w:cs="Times New Roman"/>
          <w:color w:val="auto"/>
          <w:highlight w:val="none"/>
        </w:rPr>
      </w:pPr>
      <w:bookmarkStart w:id="34" w:name="_Toc89675160"/>
      <w:r>
        <w:rPr>
          <w:rFonts w:hint="default" w:ascii="Times New Roman" w:hAnsi="Times New Roman" w:cs="Times New Roman"/>
          <w:color w:val="auto"/>
          <w:highlight w:val="none"/>
        </w:rPr>
        <w:t>1. 项目信息</w:t>
      </w:r>
    </w:p>
    <w:p w14:paraId="664B1E68">
      <w:pPr>
        <w:pStyle w:val="4"/>
        <w:rPr>
          <w:rFonts w:hint="default" w:ascii="Times New Roman" w:hAnsi="Times New Roman" w:cs="Times New Roman"/>
          <w:color w:val="auto"/>
          <w:highlight w:val="none"/>
        </w:rPr>
      </w:pPr>
      <w:r>
        <w:rPr>
          <w:rFonts w:hint="default" w:ascii="Times New Roman" w:hAnsi="Times New Roman" w:cs="Times New Roman"/>
          <w:color w:val="auto"/>
          <w:highlight w:val="none"/>
        </w:rPr>
        <w:t>1.1 比选人</w:t>
      </w:r>
    </w:p>
    <w:p w14:paraId="22455BFE">
      <w:pPr>
        <w:rPr>
          <w:rFonts w:hint="default" w:ascii="Times New Roman" w:hAnsi="Times New Roman" w:cs="Times New Roman"/>
          <w:color w:val="auto"/>
          <w:highlight w:val="none"/>
        </w:rPr>
      </w:pPr>
      <w:r>
        <w:rPr>
          <w:rFonts w:hint="default" w:ascii="Times New Roman" w:hAnsi="Times New Roman" w:cs="Times New Roman"/>
          <w:color w:val="auto"/>
          <w:highlight w:val="none"/>
        </w:rPr>
        <w:t>重庆三峡银行股份有限公司。</w:t>
      </w:r>
    </w:p>
    <w:p w14:paraId="47A4E919">
      <w:pPr>
        <w:pStyle w:val="4"/>
        <w:rPr>
          <w:rFonts w:hint="default" w:ascii="Times New Roman" w:hAnsi="Times New Roman" w:cs="Times New Roman"/>
          <w:color w:val="auto"/>
          <w:highlight w:val="none"/>
        </w:rPr>
      </w:pPr>
      <w:r>
        <w:rPr>
          <w:rFonts w:hint="default" w:ascii="Times New Roman" w:hAnsi="Times New Roman" w:cs="Times New Roman"/>
          <w:color w:val="auto"/>
          <w:highlight w:val="none"/>
        </w:rPr>
        <w:t>1.2 最高限价</w:t>
      </w:r>
    </w:p>
    <w:p w14:paraId="01D2DC6F">
      <w:pPr>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本项目最高限价为：</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u w:val="single"/>
          <w:lang w:val="en-US" w:eastAsia="zh-CN"/>
        </w:rPr>
        <w:t>15</w:t>
      </w:r>
      <w:r>
        <w:rPr>
          <w:rStyle w:val="41"/>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u w:val="single"/>
          <w:lang w:val="en-US" w:eastAsia="zh-CN"/>
        </w:rPr>
        <w:t>500</w:t>
      </w:r>
      <w:r>
        <w:rPr>
          <w:rFonts w:hint="eastAsia" w:ascii="Times New Roman" w:hAnsi="Times New Roman" w:cs="Times New Roman"/>
          <w:color w:val="auto"/>
          <w:highlight w:val="none"/>
          <w:u w:val="single"/>
          <w:lang w:val="en-US" w:eastAsia="zh-CN"/>
        </w:rPr>
        <w:t>,</w:t>
      </w:r>
      <w:r>
        <w:rPr>
          <w:rFonts w:hint="default" w:ascii="Times New Roman" w:hAnsi="Times New Roman" w:cs="Times New Roman"/>
          <w:color w:val="auto"/>
          <w:highlight w:val="none"/>
          <w:u w:val="single"/>
          <w:lang w:val="en-US" w:eastAsia="zh-CN"/>
        </w:rPr>
        <w:t>000元</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（人民币大写：</w:t>
      </w:r>
      <w:r>
        <w:rPr>
          <w:rFonts w:hint="default" w:ascii="Times New Roman" w:hAnsi="Times New Roman" w:cs="Times New Roman"/>
          <w:color w:val="auto"/>
          <w:highlight w:val="none"/>
          <w:u w:val="single"/>
        </w:rPr>
        <w:t xml:space="preserve"> 壹仟伍佰伍拾万元整 </w:t>
      </w:r>
      <w:r>
        <w:rPr>
          <w:rFonts w:hint="default" w:ascii="Times New Roman" w:hAnsi="Times New Roman" w:cs="Times New Roman"/>
          <w:color w:val="auto"/>
          <w:highlight w:val="none"/>
        </w:rPr>
        <w:t>）。</w:t>
      </w:r>
    </w:p>
    <w:tbl>
      <w:tblPr>
        <w:tblStyle w:val="22"/>
        <w:tblW w:w="8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3"/>
        <w:gridCol w:w="2215"/>
        <w:gridCol w:w="1419"/>
        <w:gridCol w:w="1274"/>
        <w:gridCol w:w="1597"/>
      </w:tblGrid>
      <w:tr w14:paraId="3DED0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3" w:type="dxa"/>
            <w:vAlign w:val="center"/>
          </w:tcPr>
          <w:p w14:paraId="4735FA2B">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b/>
                <w:snapToGrid w:val="0"/>
                <w:color w:val="auto"/>
                <w:kern w:val="0"/>
                <w:sz w:val="21"/>
                <w:szCs w:val="21"/>
                <w:highlight w:val="none"/>
              </w:rPr>
            </w:pPr>
            <w:r>
              <w:rPr>
                <w:rFonts w:hint="default" w:ascii="Times New Roman" w:hAnsi="Times New Roman" w:eastAsia="宋体" w:cs="Times New Roman"/>
                <w:b/>
                <w:snapToGrid w:val="0"/>
                <w:color w:val="auto"/>
                <w:kern w:val="0"/>
                <w:sz w:val="21"/>
                <w:szCs w:val="21"/>
                <w:highlight w:val="none"/>
              </w:rPr>
              <w:t>项目名称</w:t>
            </w:r>
          </w:p>
        </w:tc>
        <w:tc>
          <w:tcPr>
            <w:tcW w:w="2215" w:type="dxa"/>
            <w:vAlign w:val="center"/>
          </w:tcPr>
          <w:p w14:paraId="10B60486">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b/>
                <w:snapToGrid w:val="0"/>
                <w:color w:val="auto"/>
                <w:kern w:val="0"/>
                <w:sz w:val="21"/>
                <w:szCs w:val="21"/>
                <w:highlight w:val="none"/>
                <w:lang w:eastAsia="zh-CN"/>
              </w:rPr>
            </w:pPr>
            <w:r>
              <w:rPr>
                <w:rFonts w:hint="default" w:ascii="Times New Roman" w:hAnsi="Times New Roman" w:eastAsia="宋体" w:cs="Times New Roman"/>
                <w:b/>
                <w:snapToGrid w:val="0"/>
                <w:color w:val="auto"/>
                <w:kern w:val="0"/>
                <w:sz w:val="21"/>
                <w:szCs w:val="21"/>
                <w:highlight w:val="none"/>
                <w:lang w:eastAsia="zh-CN"/>
              </w:rPr>
              <w:t>项目内容</w:t>
            </w:r>
          </w:p>
        </w:tc>
        <w:tc>
          <w:tcPr>
            <w:tcW w:w="1419" w:type="dxa"/>
            <w:vAlign w:val="center"/>
          </w:tcPr>
          <w:p w14:paraId="39F7DDC6">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b/>
                <w:snapToGrid w:val="0"/>
                <w:color w:val="auto"/>
                <w:kern w:val="0"/>
                <w:sz w:val="21"/>
                <w:szCs w:val="21"/>
                <w:highlight w:val="none"/>
              </w:rPr>
            </w:pPr>
            <w:r>
              <w:rPr>
                <w:rFonts w:hint="default" w:ascii="Times New Roman" w:hAnsi="Times New Roman" w:eastAsia="宋体" w:cs="Times New Roman"/>
                <w:b/>
                <w:snapToGrid w:val="0"/>
                <w:color w:val="auto"/>
                <w:kern w:val="0"/>
                <w:sz w:val="21"/>
                <w:szCs w:val="21"/>
                <w:highlight w:val="none"/>
              </w:rPr>
              <w:t>最高限价</w:t>
            </w:r>
          </w:p>
        </w:tc>
        <w:tc>
          <w:tcPr>
            <w:tcW w:w="1274" w:type="dxa"/>
            <w:vAlign w:val="center"/>
          </w:tcPr>
          <w:p w14:paraId="11CECBFD">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b/>
                <w:snapToGrid w:val="0"/>
                <w:color w:val="auto"/>
                <w:kern w:val="0"/>
                <w:sz w:val="21"/>
                <w:szCs w:val="21"/>
                <w:highlight w:val="none"/>
              </w:rPr>
            </w:pPr>
            <w:r>
              <w:rPr>
                <w:rFonts w:hint="default" w:ascii="Times New Roman" w:hAnsi="Times New Roman" w:eastAsia="宋体" w:cs="Times New Roman"/>
                <w:b/>
                <w:snapToGrid w:val="0"/>
                <w:color w:val="auto"/>
                <w:kern w:val="0"/>
                <w:sz w:val="21"/>
                <w:szCs w:val="21"/>
                <w:highlight w:val="none"/>
              </w:rPr>
              <w:t>中选人数量</w:t>
            </w:r>
          </w:p>
        </w:tc>
        <w:tc>
          <w:tcPr>
            <w:tcW w:w="1597" w:type="dxa"/>
            <w:vAlign w:val="center"/>
          </w:tcPr>
          <w:p w14:paraId="4A658B71">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b/>
                <w:snapToGrid w:val="0"/>
                <w:color w:val="auto"/>
                <w:kern w:val="0"/>
                <w:sz w:val="21"/>
                <w:szCs w:val="21"/>
                <w:highlight w:val="none"/>
              </w:rPr>
            </w:pPr>
            <w:r>
              <w:rPr>
                <w:rFonts w:hint="default" w:ascii="Times New Roman" w:hAnsi="Times New Roman" w:eastAsia="宋体" w:cs="Times New Roman"/>
                <w:b/>
                <w:snapToGrid w:val="0"/>
                <w:color w:val="auto"/>
                <w:kern w:val="0"/>
                <w:sz w:val="21"/>
                <w:szCs w:val="21"/>
                <w:highlight w:val="none"/>
              </w:rPr>
              <w:t>备注</w:t>
            </w:r>
          </w:p>
        </w:tc>
      </w:tr>
      <w:tr w14:paraId="3D083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523" w:type="dxa"/>
            <w:vMerge w:val="restart"/>
            <w:tcBorders>
              <w:left w:val="single" w:color="auto" w:sz="4" w:space="0"/>
            </w:tcBorders>
            <w:vAlign w:val="center"/>
          </w:tcPr>
          <w:p w14:paraId="5A39C52F">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snapToGrid w:val="0"/>
                <w:color w:val="auto"/>
                <w:kern w:val="0"/>
                <w:sz w:val="21"/>
                <w:szCs w:val="21"/>
                <w:highlight w:val="none"/>
              </w:rPr>
            </w:pPr>
            <w:r>
              <w:rPr>
                <w:rFonts w:hint="default" w:ascii="Times New Roman" w:hAnsi="Times New Roman" w:eastAsia="宋体" w:cs="Times New Roman"/>
                <w:color w:val="auto"/>
                <w:sz w:val="21"/>
                <w:szCs w:val="21"/>
                <w:highlight w:val="none"/>
              </w:rPr>
              <w:t>新一代数据中台项目（一期）</w:t>
            </w:r>
          </w:p>
        </w:tc>
        <w:tc>
          <w:tcPr>
            <w:tcW w:w="2215" w:type="dxa"/>
            <w:tcBorders>
              <w:left w:val="single" w:color="auto" w:sz="4" w:space="0"/>
            </w:tcBorders>
            <w:vAlign w:val="center"/>
          </w:tcPr>
          <w:p w14:paraId="3CEFD224">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snapToGrid w:val="0"/>
                <w:color w:val="auto"/>
                <w:kern w:val="0"/>
                <w:sz w:val="21"/>
                <w:szCs w:val="21"/>
                <w:highlight w:val="none"/>
                <w:lang w:val="en-US" w:eastAsia="zh-CN"/>
              </w:rPr>
            </w:pPr>
            <w:r>
              <w:rPr>
                <w:rFonts w:hint="default" w:ascii="Times New Roman" w:hAnsi="Times New Roman" w:eastAsia="宋体" w:cs="Times New Roman"/>
                <w:snapToGrid w:val="0"/>
                <w:color w:val="auto"/>
                <w:kern w:val="0"/>
                <w:sz w:val="21"/>
                <w:szCs w:val="21"/>
                <w:highlight w:val="none"/>
                <w:lang w:val="en-US" w:eastAsia="zh-CN"/>
              </w:rPr>
              <w:t>湖仓一体底座</w:t>
            </w:r>
          </w:p>
        </w:tc>
        <w:tc>
          <w:tcPr>
            <w:tcW w:w="1419" w:type="dxa"/>
            <w:tcBorders>
              <w:left w:val="single" w:color="auto" w:sz="4" w:space="0"/>
            </w:tcBorders>
            <w:vAlign w:val="center"/>
          </w:tcPr>
          <w:p w14:paraId="7287A365">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snapToGrid w:val="0"/>
                <w:color w:val="auto"/>
                <w:kern w:val="0"/>
                <w:sz w:val="21"/>
                <w:szCs w:val="21"/>
                <w:highlight w:val="none"/>
                <w:lang w:val="en-US" w:eastAsia="zh-CN"/>
              </w:rPr>
            </w:pPr>
            <w:r>
              <w:rPr>
                <w:rFonts w:hint="default" w:ascii="Times New Roman" w:hAnsi="Times New Roman" w:eastAsia="宋体" w:cs="Times New Roman"/>
                <w:snapToGrid w:val="0"/>
                <w:color w:val="auto"/>
                <w:kern w:val="0"/>
                <w:sz w:val="21"/>
                <w:szCs w:val="21"/>
                <w:highlight w:val="none"/>
                <w:lang w:val="en-US" w:eastAsia="zh-CN"/>
              </w:rPr>
              <w:t>4</w:t>
            </w:r>
            <w:r>
              <w:rPr>
                <w:rStyle w:val="41"/>
                <w:rFonts w:hint="eastAsia" w:ascii="Times New Roman" w:hAnsi="Times New Roman" w:cs="Times New Roman"/>
                <w:color w:val="auto"/>
                <w:highlight w:val="none"/>
                <w:lang w:val="en-US" w:eastAsia="zh-CN"/>
              </w:rPr>
              <w:t>,</w:t>
            </w:r>
            <w:r>
              <w:rPr>
                <w:rFonts w:hint="default" w:ascii="Times New Roman" w:hAnsi="Times New Roman" w:eastAsia="宋体" w:cs="Times New Roman"/>
                <w:snapToGrid w:val="0"/>
                <w:color w:val="auto"/>
                <w:kern w:val="0"/>
                <w:sz w:val="21"/>
                <w:szCs w:val="21"/>
                <w:highlight w:val="none"/>
                <w:lang w:val="en-US" w:eastAsia="zh-CN"/>
              </w:rPr>
              <w:t>500</w:t>
            </w:r>
            <w:r>
              <w:rPr>
                <w:rStyle w:val="41"/>
                <w:rFonts w:hint="eastAsia" w:ascii="Times New Roman" w:hAnsi="Times New Roman" w:cs="Times New Roman"/>
                <w:color w:val="auto"/>
                <w:highlight w:val="none"/>
                <w:lang w:val="en-US" w:eastAsia="zh-CN"/>
              </w:rPr>
              <w:t>,</w:t>
            </w:r>
            <w:r>
              <w:rPr>
                <w:rFonts w:hint="default" w:ascii="Times New Roman" w:hAnsi="Times New Roman" w:eastAsia="宋体" w:cs="Times New Roman"/>
                <w:snapToGrid w:val="0"/>
                <w:color w:val="auto"/>
                <w:kern w:val="0"/>
                <w:sz w:val="21"/>
                <w:szCs w:val="21"/>
                <w:highlight w:val="none"/>
                <w:lang w:val="en-US" w:eastAsia="zh-CN"/>
              </w:rPr>
              <w:t>000元</w:t>
            </w:r>
          </w:p>
        </w:tc>
        <w:tc>
          <w:tcPr>
            <w:tcW w:w="1274" w:type="dxa"/>
            <w:vMerge w:val="restart"/>
            <w:tcBorders>
              <w:left w:val="single" w:color="auto" w:sz="4" w:space="0"/>
            </w:tcBorders>
            <w:vAlign w:val="center"/>
          </w:tcPr>
          <w:p w14:paraId="1E0FA70D">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snapToGrid w:val="0"/>
                <w:color w:val="auto"/>
                <w:kern w:val="0"/>
                <w:sz w:val="21"/>
                <w:szCs w:val="21"/>
                <w:highlight w:val="none"/>
                <w:lang w:val="en-US" w:eastAsia="zh-CN"/>
              </w:rPr>
            </w:pPr>
            <w:r>
              <w:rPr>
                <w:rFonts w:hint="default" w:ascii="Times New Roman" w:hAnsi="Times New Roman" w:eastAsia="宋体" w:cs="Times New Roman"/>
                <w:snapToGrid w:val="0"/>
                <w:color w:val="auto"/>
                <w:kern w:val="0"/>
                <w:sz w:val="21"/>
                <w:szCs w:val="21"/>
                <w:highlight w:val="none"/>
                <w:lang w:val="en-US" w:eastAsia="zh-CN"/>
              </w:rPr>
              <w:t>1</w:t>
            </w:r>
          </w:p>
        </w:tc>
        <w:tc>
          <w:tcPr>
            <w:tcW w:w="1597" w:type="dxa"/>
            <w:vMerge w:val="restart"/>
            <w:tcBorders>
              <w:left w:val="single" w:color="auto" w:sz="4" w:space="0"/>
            </w:tcBorders>
            <w:vAlign w:val="center"/>
          </w:tcPr>
          <w:p w14:paraId="74026275">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snapToGrid w:val="0"/>
                <w:color w:val="auto"/>
                <w:kern w:val="0"/>
                <w:sz w:val="21"/>
                <w:szCs w:val="21"/>
                <w:highlight w:val="none"/>
                <w:lang w:eastAsia="zh-CN"/>
              </w:rPr>
            </w:pPr>
            <w:r>
              <w:rPr>
                <w:rFonts w:hint="default" w:ascii="Times New Roman" w:hAnsi="Times New Roman" w:eastAsia="宋体" w:cs="Times New Roman"/>
                <w:snapToGrid w:val="0"/>
                <w:color w:val="auto"/>
                <w:kern w:val="0"/>
                <w:sz w:val="21"/>
                <w:szCs w:val="21"/>
                <w:highlight w:val="none"/>
                <w:shd w:val="clear" w:color="auto" w:fill="auto"/>
                <w:lang w:val="en-US" w:eastAsia="zh-CN"/>
              </w:rPr>
              <w:t>含税价</w:t>
            </w:r>
            <w:r>
              <w:rPr>
                <w:rFonts w:hint="default" w:ascii="Times New Roman" w:hAnsi="Times New Roman" w:eastAsia="宋体" w:cs="Times New Roman"/>
                <w:snapToGrid w:val="0"/>
                <w:color w:val="auto"/>
                <w:kern w:val="0"/>
                <w:sz w:val="21"/>
                <w:szCs w:val="21"/>
                <w:highlight w:val="none"/>
                <w:shd w:val="clear" w:color="auto" w:fill="auto"/>
              </w:rPr>
              <w:t>（具体税率按国家相关规定</w:t>
            </w:r>
            <w:r>
              <w:rPr>
                <w:rFonts w:hint="default" w:ascii="Times New Roman" w:hAnsi="Times New Roman" w:eastAsia="宋体" w:cs="Times New Roman"/>
                <w:snapToGrid w:val="0"/>
                <w:color w:val="auto"/>
                <w:kern w:val="0"/>
                <w:sz w:val="21"/>
                <w:szCs w:val="21"/>
                <w:highlight w:val="none"/>
                <w:shd w:val="clear" w:color="auto" w:fill="auto"/>
                <w:lang w:eastAsia="zh-CN"/>
              </w:rPr>
              <w:t>执行</w:t>
            </w:r>
            <w:r>
              <w:rPr>
                <w:rFonts w:hint="default" w:ascii="Times New Roman" w:hAnsi="Times New Roman" w:eastAsia="宋体" w:cs="Times New Roman"/>
                <w:snapToGrid w:val="0"/>
                <w:color w:val="auto"/>
                <w:kern w:val="0"/>
                <w:sz w:val="21"/>
                <w:szCs w:val="21"/>
                <w:highlight w:val="none"/>
                <w:shd w:val="clear" w:color="auto" w:fill="auto"/>
              </w:rPr>
              <w:t>）</w:t>
            </w:r>
          </w:p>
        </w:tc>
      </w:tr>
      <w:tr w14:paraId="44901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511" w:type="dxa"/>
            <w:vMerge w:val="continue"/>
            <w:tcBorders>
              <w:left w:val="single" w:color="auto" w:sz="4" w:space="0"/>
            </w:tcBorders>
            <w:vAlign w:val="center"/>
          </w:tcPr>
          <w:p w14:paraId="5DD1CB2F">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default" w:ascii="Times New Roman" w:hAnsi="Times New Roman" w:eastAsia="宋体" w:cs="Times New Roman"/>
                <w:color w:val="auto"/>
                <w:sz w:val="21"/>
                <w:szCs w:val="21"/>
                <w:highlight w:val="none"/>
              </w:rPr>
            </w:pPr>
          </w:p>
        </w:tc>
        <w:tc>
          <w:tcPr>
            <w:tcW w:w="2215" w:type="dxa"/>
            <w:tcBorders>
              <w:left w:val="single" w:color="auto" w:sz="4" w:space="0"/>
            </w:tcBorders>
            <w:vAlign w:val="center"/>
          </w:tcPr>
          <w:p w14:paraId="27639B6D">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snapToGrid w:val="0"/>
                <w:color w:val="auto"/>
                <w:kern w:val="0"/>
                <w:sz w:val="21"/>
                <w:szCs w:val="21"/>
                <w:highlight w:val="none"/>
                <w:lang w:val="en-US" w:eastAsia="zh-CN"/>
              </w:rPr>
            </w:pPr>
            <w:r>
              <w:rPr>
                <w:rFonts w:hint="default" w:ascii="Times New Roman" w:hAnsi="Times New Roman" w:eastAsia="宋体" w:cs="Times New Roman"/>
                <w:snapToGrid w:val="0"/>
                <w:color w:val="auto"/>
                <w:kern w:val="0"/>
                <w:sz w:val="21"/>
                <w:szCs w:val="21"/>
                <w:highlight w:val="none"/>
                <w:lang w:val="en-US" w:eastAsia="zh-CN"/>
              </w:rPr>
              <w:t>数据作业平台</w:t>
            </w:r>
          </w:p>
        </w:tc>
        <w:tc>
          <w:tcPr>
            <w:tcW w:w="1419" w:type="dxa"/>
            <w:tcBorders>
              <w:left w:val="single" w:color="auto" w:sz="4" w:space="0"/>
            </w:tcBorders>
            <w:vAlign w:val="center"/>
          </w:tcPr>
          <w:p w14:paraId="65126CD6">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snapToGrid w:val="0"/>
                <w:color w:val="auto"/>
                <w:kern w:val="0"/>
                <w:sz w:val="21"/>
                <w:szCs w:val="21"/>
                <w:highlight w:val="none"/>
                <w:lang w:val="en-US" w:eastAsia="zh-CN"/>
              </w:rPr>
            </w:pPr>
            <w:r>
              <w:rPr>
                <w:rFonts w:hint="default" w:ascii="Times New Roman" w:hAnsi="Times New Roman" w:eastAsia="宋体" w:cs="Times New Roman"/>
                <w:snapToGrid w:val="0"/>
                <w:color w:val="auto"/>
                <w:kern w:val="0"/>
                <w:sz w:val="21"/>
                <w:szCs w:val="21"/>
                <w:highlight w:val="none"/>
                <w:lang w:val="en-US" w:eastAsia="zh-CN"/>
              </w:rPr>
              <w:t>3</w:t>
            </w:r>
            <w:r>
              <w:rPr>
                <w:rStyle w:val="41"/>
                <w:rFonts w:hint="eastAsia" w:ascii="Times New Roman" w:hAnsi="Times New Roman" w:cs="Times New Roman"/>
                <w:color w:val="auto"/>
                <w:highlight w:val="none"/>
                <w:lang w:val="en-US" w:eastAsia="zh-CN"/>
              </w:rPr>
              <w:t>,</w:t>
            </w:r>
            <w:r>
              <w:rPr>
                <w:rFonts w:hint="default" w:ascii="Times New Roman" w:hAnsi="Times New Roman" w:eastAsia="宋体" w:cs="Times New Roman"/>
                <w:snapToGrid w:val="0"/>
                <w:color w:val="auto"/>
                <w:kern w:val="0"/>
                <w:sz w:val="21"/>
                <w:szCs w:val="21"/>
                <w:highlight w:val="none"/>
                <w:lang w:val="en-US" w:eastAsia="zh-CN"/>
              </w:rPr>
              <w:t>000</w:t>
            </w:r>
            <w:r>
              <w:rPr>
                <w:rStyle w:val="41"/>
                <w:rFonts w:hint="eastAsia" w:ascii="Times New Roman" w:hAnsi="Times New Roman" w:cs="Times New Roman"/>
                <w:color w:val="auto"/>
                <w:highlight w:val="none"/>
                <w:lang w:val="en-US" w:eastAsia="zh-CN"/>
              </w:rPr>
              <w:t>,</w:t>
            </w:r>
            <w:r>
              <w:rPr>
                <w:rFonts w:hint="default" w:ascii="Times New Roman" w:hAnsi="Times New Roman" w:eastAsia="宋体" w:cs="Times New Roman"/>
                <w:snapToGrid w:val="0"/>
                <w:color w:val="auto"/>
                <w:kern w:val="0"/>
                <w:sz w:val="21"/>
                <w:szCs w:val="21"/>
                <w:highlight w:val="none"/>
                <w:lang w:val="en-US" w:eastAsia="zh-CN"/>
              </w:rPr>
              <w:t>000元</w:t>
            </w:r>
          </w:p>
        </w:tc>
        <w:tc>
          <w:tcPr>
            <w:tcW w:w="1329" w:type="dxa"/>
            <w:vMerge w:val="continue"/>
            <w:tcBorders>
              <w:left w:val="single" w:color="auto" w:sz="4" w:space="0"/>
            </w:tcBorders>
            <w:vAlign w:val="center"/>
          </w:tcPr>
          <w:p w14:paraId="55321C2B">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default" w:ascii="Times New Roman" w:hAnsi="Times New Roman" w:eastAsia="宋体" w:cs="Times New Roman"/>
                <w:color w:val="auto"/>
                <w:sz w:val="21"/>
                <w:szCs w:val="21"/>
                <w:highlight w:val="none"/>
              </w:rPr>
            </w:pPr>
          </w:p>
        </w:tc>
        <w:tc>
          <w:tcPr>
            <w:tcW w:w="1597" w:type="dxa"/>
            <w:vMerge w:val="continue"/>
            <w:tcBorders>
              <w:left w:val="single" w:color="auto" w:sz="4" w:space="0"/>
            </w:tcBorders>
            <w:vAlign w:val="center"/>
          </w:tcPr>
          <w:p w14:paraId="18CCCDC0">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default" w:ascii="Times New Roman" w:hAnsi="Times New Roman" w:eastAsia="宋体" w:cs="Times New Roman"/>
                <w:color w:val="auto"/>
                <w:sz w:val="21"/>
                <w:szCs w:val="21"/>
                <w:highlight w:val="none"/>
              </w:rPr>
            </w:pPr>
          </w:p>
        </w:tc>
      </w:tr>
      <w:tr w14:paraId="2C030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511" w:type="dxa"/>
            <w:vMerge w:val="continue"/>
            <w:tcBorders>
              <w:left w:val="single" w:color="auto" w:sz="4" w:space="0"/>
            </w:tcBorders>
            <w:vAlign w:val="center"/>
          </w:tcPr>
          <w:p w14:paraId="54C36A60">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default" w:ascii="Times New Roman" w:hAnsi="Times New Roman" w:eastAsia="宋体" w:cs="Times New Roman"/>
                <w:color w:val="auto"/>
                <w:sz w:val="21"/>
                <w:szCs w:val="21"/>
                <w:highlight w:val="none"/>
              </w:rPr>
            </w:pPr>
          </w:p>
        </w:tc>
        <w:tc>
          <w:tcPr>
            <w:tcW w:w="2215" w:type="dxa"/>
            <w:tcBorders>
              <w:left w:val="single" w:color="auto" w:sz="4" w:space="0"/>
            </w:tcBorders>
            <w:vAlign w:val="center"/>
          </w:tcPr>
          <w:p w14:paraId="7B1741A4">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snapToGrid w:val="0"/>
                <w:color w:val="auto"/>
                <w:kern w:val="0"/>
                <w:sz w:val="21"/>
                <w:szCs w:val="21"/>
                <w:highlight w:val="none"/>
                <w:lang w:val="en-US" w:eastAsia="zh-CN"/>
              </w:rPr>
            </w:pPr>
            <w:r>
              <w:rPr>
                <w:rFonts w:hint="default" w:ascii="Times New Roman" w:hAnsi="Times New Roman" w:eastAsia="宋体" w:cs="Times New Roman"/>
                <w:snapToGrid w:val="0"/>
                <w:color w:val="auto"/>
                <w:kern w:val="0"/>
                <w:sz w:val="21"/>
                <w:szCs w:val="21"/>
                <w:highlight w:val="none"/>
                <w:lang w:val="en-US" w:eastAsia="zh-CN"/>
              </w:rPr>
              <w:t>数据中台实施和迁移</w:t>
            </w:r>
          </w:p>
        </w:tc>
        <w:tc>
          <w:tcPr>
            <w:tcW w:w="1419" w:type="dxa"/>
            <w:tcBorders>
              <w:left w:val="single" w:color="auto" w:sz="4" w:space="0"/>
            </w:tcBorders>
            <w:vAlign w:val="center"/>
          </w:tcPr>
          <w:p w14:paraId="3C5C19CA">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snapToGrid w:val="0"/>
                <w:color w:val="auto"/>
                <w:kern w:val="0"/>
                <w:sz w:val="21"/>
                <w:szCs w:val="21"/>
                <w:highlight w:val="none"/>
                <w:lang w:val="en-US" w:eastAsia="zh-CN"/>
              </w:rPr>
            </w:pPr>
            <w:r>
              <w:rPr>
                <w:rFonts w:hint="default" w:ascii="Times New Roman" w:hAnsi="Times New Roman" w:eastAsia="宋体" w:cs="Times New Roman"/>
                <w:snapToGrid w:val="0"/>
                <w:color w:val="auto"/>
                <w:kern w:val="0"/>
                <w:sz w:val="21"/>
                <w:szCs w:val="21"/>
                <w:highlight w:val="none"/>
                <w:lang w:val="en-US" w:eastAsia="zh-CN"/>
              </w:rPr>
              <w:t>8</w:t>
            </w:r>
            <w:r>
              <w:rPr>
                <w:rStyle w:val="41"/>
                <w:rFonts w:hint="eastAsia" w:ascii="Times New Roman" w:hAnsi="Times New Roman" w:cs="Times New Roman"/>
                <w:color w:val="auto"/>
                <w:highlight w:val="none"/>
                <w:lang w:val="en-US" w:eastAsia="zh-CN"/>
              </w:rPr>
              <w:t>,</w:t>
            </w:r>
            <w:r>
              <w:rPr>
                <w:rFonts w:hint="default" w:ascii="Times New Roman" w:hAnsi="Times New Roman" w:eastAsia="宋体" w:cs="Times New Roman"/>
                <w:snapToGrid w:val="0"/>
                <w:color w:val="auto"/>
                <w:kern w:val="0"/>
                <w:sz w:val="21"/>
                <w:szCs w:val="21"/>
                <w:highlight w:val="none"/>
                <w:lang w:val="en-US" w:eastAsia="zh-CN"/>
              </w:rPr>
              <w:t>000</w:t>
            </w:r>
            <w:r>
              <w:rPr>
                <w:rStyle w:val="41"/>
                <w:rFonts w:hint="eastAsia" w:ascii="Times New Roman" w:hAnsi="Times New Roman" w:cs="Times New Roman"/>
                <w:color w:val="auto"/>
                <w:highlight w:val="none"/>
                <w:lang w:val="en-US" w:eastAsia="zh-CN"/>
              </w:rPr>
              <w:t>,</w:t>
            </w:r>
            <w:r>
              <w:rPr>
                <w:rFonts w:hint="default" w:ascii="Times New Roman" w:hAnsi="Times New Roman" w:eastAsia="宋体" w:cs="Times New Roman"/>
                <w:snapToGrid w:val="0"/>
                <w:color w:val="auto"/>
                <w:kern w:val="0"/>
                <w:sz w:val="21"/>
                <w:szCs w:val="21"/>
                <w:highlight w:val="none"/>
                <w:lang w:val="en-US" w:eastAsia="zh-CN"/>
              </w:rPr>
              <w:t>000元</w:t>
            </w:r>
          </w:p>
        </w:tc>
        <w:tc>
          <w:tcPr>
            <w:tcW w:w="1329" w:type="dxa"/>
            <w:vMerge w:val="continue"/>
            <w:tcBorders>
              <w:left w:val="single" w:color="auto" w:sz="4" w:space="0"/>
            </w:tcBorders>
            <w:vAlign w:val="center"/>
          </w:tcPr>
          <w:p w14:paraId="0ADCFC1E">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default" w:ascii="Times New Roman" w:hAnsi="Times New Roman" w:eastAsia="宋体" w:cs="Times New Roman"/>
                <w:color w:val="auto"/>
                <w:sz w:val="21"/>
                <w:szCs w:val="21"/>
                <w:highlight w:val="none"/>
              </w:rPr>
            </w:pPr>
          </w:p>
        </w:tc>
        <w:tc>
          <w:tcPr>
            <w:tcW w:w="1597" w:type="dxa"/>
            <w:vMerge w:val="continue"/>
            <w:tcBorders>
              <w:left w:val="single" w:color="auto" w:sz="4" w:space="0"/>
            </w:tcBorders>
            <w:vAlign w:val="center"/>
          </w:tcPr>
          <w:p w14:paraId="47F7C6C8">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default" w:ascii="Times New Roman" w:hAnsi="Times New Roman" w:eastAsia="宋体" w:cs="Times New Roman"/>
                <w:color w:val="auto"/>
                <w:sz w:val="21"/>
                <w:szCs w:val="21"/>
                <w:highlight w:val="none"/>
              </w:rPr>
            </w:pPr>
          </w:p>
        </w:tc>
      </w:tr>
      <w:tr w14:paraId="0726C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3738" w:type="dxa"/>
            <w:gridSpan w:val="2"/>
            <w:tcBorders>
              <w:left w:val="single" w:color="auto" w:sz="4" w:space="0"/>
            </w:tcBorders>
            <w:vAlign w:val="center"/>
          </w:tcPr>
          <w:p w14:paraId="56053F00">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snapToGrid w:val="0"/>
                <w:color w:val="auto"/>
                <w:kern w:val="0"/>
                <w:sz w:val="21"/>
                <w:szCs w:val="21"/>
                <w:highlight w:val="none"/>
                <w:lang w:val="en-US" w:eastAsia="zh-CN"/>
              </w:rPr>
            </w:pPr>
            <w:r>
              <w:rPr>
                <w:rFonts w:hint="default" w:ascii="Times New Roman" w:hAnsi="Times New Roman" w:eastAsia="宋体" w:cs="Times New Roman"/>
                <w:snapToGrid w:val="0"/>
                <w:color w:val="auto"/>
                <w:kern w:val="0"/>
                <w:sz w:val="21"/>
                <w:szCs w:val="21"/>
                <w:highlight w:val="none"/>
                <w:lang w:val="en-US" w:eastAsia="zh-CN"/>
              </w:rPr>
              <w:t>合计最高限价</w:t>
            </w:r>
          </w:p>
        </w:tc>
        <w:tc>
          <w:tcPr>
            <w:tcW w:w="4290" w:type="dxa"/>
            <w:gridSpan w:val="3"/>
            <w:tcBorders>
              <w:left w:val="single" w:color="auto" w:sz="4" w:space="0"/>
            </w:tcBorders>
            <w:vAlign w:val="center"/>
          </w:tcPr>
          <w:p w14:paraId="37B4A27C">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snapToGrid w:val="0"/>
                <w:color w:val="auto"/>
                <w:kern w:val="0"/>
                <w:sz w:val="21"/>
                <w:szCs w:val="21"/>
                <w:highlight w:val="none"/>
                <w:lang w:val="en-US" w:eastAsia="zh-CN"/>
              </w:rPr>
            </w:pPr>
            <w:r>
              <w:rPr>
                <w:rFonts w:hint="default" w:ascii="Times New Roman" w:hAnsi="Times New Roman" w:eastAsia="宋体" w:cs="Times New Roman"/>
                <w:snapToGrid w:val="0"/>
                <w:color w:val="auto"/>
                <w:kern w:val="0"/>
                <w:sz w:val="21"/>
                <w:szCs w:val="21"/>
                <w:highlight w:val="none"/>
                <w:lang w:val="en-US" w:eastAsia="zh-CN"/>
              </w:rPr>
              <w:t>15</w:t>
            </w:r>
            <w:r>
              <w:rPr>
                <w:rStyle w:val="41"/>
                <w:rFonts w:hint="eastAsia" w:ascii="Times New Roman" w:hAnsi="Times New Roman" w:cs="Times New Roman"/>
                <w:color w:val="auto"/>
                <w:highlight w:val="none"/>
                <w:lang w:val="en-US" w:eastAsia="zh-CN"/>
              </w:rPr>
              <w:t>,</w:t>
            </w:r>
            <w:r>
              <w:rPr>
                <w:rFonts w:hint="default" w:ascii="Times New Roman" w:hAnsi="Times New Roman" w:eastAsia="宋体" w:cs="Times New Roman"/>
                <w:snapToGrid w:val="0"/>
                <w:color w:val="auto"/>
                <w:kern w:val="0"/>
                <w:sz w:val="21"/>
                <w:szCs w:val="21"/>
                <w:highlight w:val="none"/>
                <w:lang w:val="en-US" w:eastAsia="zh-CN"/>
              </w:rPr>
              <w:t>500</w:t>
            </w:r>
            <w:r>
              <w:rPr>
                <w:rStyle w:val="41"/>
                <w:rFonts w:hint="eastAsia" w:ascii="Times New Roman" w:hAnsi="Times New Roman" w:cs="Times New Roman"/>
                <w:color w:val="auto"/>
                <w:highlight w:val="none"/>
                <w:lang w:val="en-US" w:eastAsia="zh-CN"/>
              </w:rPr>
              <w:t>,</w:t>
            </w:r>
            <w:r>
              <w:rPr>
                <w:rFonts w:hint="default" w:ascii="Times New Roman" w:hAnsi="Times New Roman" w:eastAsia="宋体" w:cs="Times New Roman"/>
                <w:snapToGrid w:val="0"/>
                <w:color w:val="auto"/>
                <w:kern w:val="0"/>
                <w:sz w:val="21"/>
                <w:szCs w:val="21"/>
                <w:highlight w:val="none"/>
                <w:lang w:val="en-US" w:eastAsia="zh-CN"/>
              </w:rPr>
              <w:t>000元</w:t>
            </w:r>
          </w:p>
        </w:tc>
      </w:tr>
      <w:tr w14:paraId="7A6B7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029" w:type="dxa"/>
            <w:gridSpan w:val="5"/>
            <w:tcBorders>
              <w:left w:val="single" w:color="auto" w:sz="4" w:space="0"/>
            </w:tcBorders>
            <w:vAlign w:val="center"/>
          </w:tcPr>
          <w:p w14:paraId="4C3D7FDE">
            <w:pPr>
              <w:keepNext w:val="0"/>
              <w:keepLines w:val="0"/>
              <w:pageBreakBefore w:val="0"/>
              <w:widowControl w:val="0"/>
              <w:tabs>
                <w:tab w:val="left" w:pos="3928"/>
              </w:tabs>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snapToGrid w:val="0"/>
                <w:color w:val="auto"/>
                <w:kern w:val="0"/>
                <w:sz w:val="21"/>
                <w:szCs w:val="21"/>
                <w:highlight w:val="none"/>
                <w:lang w:val="en-US" w:eastAsia="zh-CN"/>
              </w:rPr>
            </w:pPr>
            <w:r>
              <w:rPr>
                <w:rFonts w:hint="default" w:ascii="Times New Roman" w:hAnsi="Times New Roman" w:eastAsia="宋体" w:cs="Times New Roman"/>
                <w:snapToGrid w:val="0"/>
                <w:color w:val="auto"/>
                <w:kern w:val="0"/>
                <w:sz w:val="21"/>
                <w:szCs w:val="21"/>
                <w:highlight w:val="none"/>
                <w:shd w:val="clear" w:color="auto" w:fill="auto"/>
              </w:rPr>
              <w:t>注：任意一项</w:t>
            </w:r>
            <w:r>
              <w:rPr>
                <w:rFonts w:hint="eastAsia" w:ascii="Times New Roman" w:hAnsi="Times New Roman" w:cs="Times New Roman"/>
                <w:snapToGrid w:val="0"/>
                <w:color w:val="auto"/>
                <w:kern w:val="0"/>
                <w:sz w:val="21"/>
                <w:szCs w:val="21"/>
                <w:highlight w:val="none"/>
                <w:shd w:val="clear" w:color="auto" w:fill="auto"/>
                <w:lang w:val="en-US" w:eastAsia="zh-CN"/>
              </w:rPr>
              <w:t>参选报</w:t>
            </w:r>
            <w:r>
              <w:rPr>
                <w:rFonts w:hint="default" w:ascii="Times New Roman" w:hAnsi="Times New Roman" w:eastAsia="宋体" w:cs="Times New Roman"/>
                <w:snapToGrid w:val="0"/>
                <w:color w:val="auto"/>
                <w:kern w:val="0"/>
                <w:sz w:val="21"/>
                <w:szCs w:val="21"/>
                <w:highlight w:val="none"/>
                <w:shd w:val="clear" w:color="auto" w:fill="auto"/>
              </w:rPr>
              <w:t>价超出其最高限价的，</w:t>
            </w:r>
            <w:r>
              <w:rPr>
                <w:rFonts w:hint="eastAsia" w:ascii="Times New Roman" w:hAnsi="Times New Roman" w:cs="Times New Roman"/>
                <w:snapToGrid w:val="0"/>
                <w:color w:val="auto"/>
                <w:kern w:val="0"/>
                <w:sz w:val="21"/>
                <w:szCs w:val="21"/>
                <w:highlight w:val="none"/>
                <w:shd w:val="clear" w:color="auto" w:fill="auto"/>
                <w:lang w:val="en-US" w:eastAsia="zh-CN"/>
              </w:rPr>
              <w:t>将被取消参选资格。</w:t>
            </w:r>
          </w:p>
        </w:tc>
      </w:tr>
    </w:tbl>
    <w:p w14:paraId="637A7B19">
      <w:pPr>
        <w:pStyle w:val="4"/>
        <w:rPr>
          <w:rFonts w:hint="default" w:ascii="Times New Roman" w:hAnsi="Times New Roman" w:cs="Times New Roman"/>
          <w:color w:val="auto"/>
          <w:highlight w:val="none"/>
        </w:rPr>
      </w:pPr>
      <w:r>
        <w:rPr>
          <w:rFonts w:hint="default" w:ascii="Times New Roman" w:hAnsi="Times New Roman" w:cs="Times New Roman"/>
          <w:color w:val="auto"/>
          <w:highlight w:val="none"/>
        </w:rPr>
        <w:t>1.3 项目概况</w:t>
      </w:r>
    </w:p>
    <w:bookmarkEnd w:id="34"/>
    <w:p w14:paraId="67505EFA">
      <w:pPr>
        <w:keepNext w:val="0"/>
        <w:keepLines w:val="0"/>
        <w:pageBreakBefore w:val="0"/>
        <w:widowControl w:val="0"/>
        <w:kinsoku/>
        <w:wordWrap/>
        <w:overflowPunct/>
        <w:topLinePunct w:val="0"/>
        <w:autoSpaceDE w:val="0"/>
        <w:autoSpaceDN w:val="0"/>
        <w:bidi w:val="0"/>
        <w:adjustRightInd/>
        <w:snapToGrid/>
        <w:textAlignment w:val="auto"/>
        <w:rPr>
          <w:rFonts w:hint="eastAsia" w:ascii="Times New Roman" w:hAnsi="Times New Roman" w:cs="Times New Roman"/>
          <w:color w:val="auto"/>
          <w:highlight w:val="none"/>
          <w:lang w:val="en-US" w:eastAsia="zh-CN"/>
        </w:rPr>
      </w:pPr>
      <w:bookmarkStart w:id="35" w:name="_Toc89675161"/>
      <w:r>
        <w:rPr>
          <w:rFonts w:hint="eastAsia" w:ascii="Times New Roman" w:hAnsi="Times New Roman" w:cs="Times New Roman"/>
          <w:color w:val="auto"/>
          <w:highlight w:val="none"/>
          <w:lang w:val="en-US" w:eastAsia="zh-CN"/>
        </w:rPr>
        <w:t>本项目的主要建设内容包含引入和部署集成两套软件产品，并在此基础上完成湖仓实施及迁移重构。</w:t>
      </w:r>
    </w:p>
    <w:p w14:paraId="6E1AD0C1">
      <w:pPr>
        <w:keepNext w:val="0"/>
        <w:keepLines w:val="0"/>
        <w:pageBreakBefore w:val="0"/>
        <w:widowControl w:val="0"/>
        <w:kinsoku/>
        <w:wordWrap/>
        <w:overflowPunct/>
        <w:topLinePunct w:val="0"/>
        <w:autoSpaceDE w:val="0"/>
        <w:autoSpaceDN w:val="0"/>
        <w:bidi w:val="0"/>
        <w:adjustRightInd/>
        <w:snapToGrid/>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两套软件产品具体包括：一</w:t>
      </w:r>
      <w:r>
        <w:rPr>
          <w:rFonts w:hint="eastAsia" w:ascii="Times New Roman" w:hAnsi="Times New Roman" w:eastAsia="宋体" w:cs="Times New Roman"/>
          <w:color w:val="auto"/>
          <w:highlight w:val="none"/>
          <w:lang w:val="en-US" w:eastAsia="zh-CN"/>
        </w:rPr>
        <w:t>是以</w:t>
      </w:r>
      <w:r>
        <w:rPr>
          <w:rFonts w:hint="eastAsia" w:ascii="Times New Roman" w:hAnsi="Times New Roman" w:cs="Times New Roman"/>
          <w:color w:val="auto"/>
          <w:highlight w:val="none"/>
          <w:lang w:val="en-US" w:eastAsia="zh-CN"/>
        </w:rPr>
        <w:t>分布式大数据技术体系</w:t>
      </w:r>
      <w:r>
        <w:rPr>
          <w:rFonts w:hint="eastAsia" w:ascii="Times New Roman" w:hAnsi="Times New Roman" w:eastAsia="宋体" w:cs="Times New Roman"/>
          <w:color w:val="auto"/>
          <w:highlight w:val="none"/>
          <w:lang w:val="en-US" w:eastAsia="zh-CN"/>
        </w:rPr>
        <w:t>为主的湖仓一体底座，为新一代数据中台提供统一的数据基础设施，实现</w:t>
      </w:r>
      <w:r>
        <w:rPr>
          <w:rFonts w:hint="eastAsia" w:ascii="Times New Roman" w:hAnsi="Times New Roman" w:cs="Times New Roman"/>
          <w:color w:val="auto"/>
          <w:highlight w:val="none"/>
          <w:lang w:val="en-US" w:eastAsia="zh-CN"/>
        </w:rPr>
        <w:t>数据资产的集中管理和高效利用；二是以“</w:t>
      </w:r>
      <w:r>
        <w:rPr>
          <w:rFonts w:hint="default" w:ascii="Times New Roman" w:hAnsi="Times New Roman" w:cs="Times New Roman"/>
          <w:color w:val="auto"/>
          <w:highlight w:val="none"/>
        </w:rPr>
        <w:t>DataOps</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数据敏捷研发体系</w:t>
      </w:r>
      <w:r>
        <w:rPr>
          <w:rFonts w:hint="eastAsia" w:ascii="Times New Roman" w:hAnsi="Times New Roman" w:cs="Times New Roman"/>
          <w:color w:val="auto"/>
          <w:highlight w:val="none"/>
          <w:lang w:val="en-US" w:eastAsia="zh-CN"/>
        </w:rPr>
        <w:t>为基础</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深度融合</w:t>
      </w:r>
      <w:r>
        <w:rPr>
          <w:rFonts w:hint="eastAsia" w:ascii="Times New Roman" w:hAnsi="Times New Roman" w:cs="Times New Roman"/>
          <w:color w:val="auto"/>
          <w:highlight w:val="none"/>
          <w:lang w:eastAsia="zh-CN"/>
        </w:rPr>
        <w:t>数据治理、数据质量</w:t>
      </w:r>
      <w:r>
        <w:rPr>
          <w:rFonts w:hint="eastAsia" w:ascii="Times New Roman" w:hAnsi="Times New Roman" w:cs="Times New Roman"/>
          <w:color w:val="auto"/>
          <w:highlight w:val="none"/>
          <w:lang w:val="en-US" w:eastAsia="zh-CN"/>
        </w:rPr>
        <w:t>和</w:t>
      </w:r>
      <w:r>
        <w:rPr>
          <w:rFonts w:hint="eastAsia" w:ascii="Times New Roman" w:hAnsi="Times New Roman" w:cs="Times New Roman"/>
          <w:color w:val="auto"/>
          <w:highlight w:val="none"/>
          <w:lang w:eastAsia="zh-CN"/>
        </w:rPr>
        <w:t>数据安全管控要求</w:t>
      </w:r>
      <w:r>
        <w:rPr>
          <w:rFonts w:hint="eastAsia" w:ascii="Times New Roman" w:hAnsi="Times New Roman" w:cs="Times New Roman"/>
          <w:color w:val="auto"/>
          <w:highlight w:val="none"/>
          <w:lang w:val="en-US" w:eastAsia="zh-CN"/>
        </w:rPr>
        <w:t>的数据作业平台</w:t>
      </w:r>
      <w:r>
        <w:rPr>
          <w:rFonts w:hint="eastAsia" w:ascii="Times New Roman" w:hAnsi="Times New Roman" w:cs="Times New Roman"/>
          <w:color w:val="auto"/>
          <w:highlight w:val="none"/>
          <w:lang w:eastAsia="zh-CN"/>
        </w:rPr>
        <w:t>，进一步优化数据作业及需求交付流程</w:t>
      </w:r>
      <w:r>
        <w:rPr>
          <w:rFonts w:hint="eastAsia" w:ascii="Times New Roman" w:hAnsi="Times New Roman" w:cs="Times New Roman"/>
          <w:color w:val="auto"/>
          <w:highlight w:val="none"/>
          <w:lang w:val="en-US" w:eastAsia="zh-CN"/>
        </w:rPr>
        <w:t>和质效。</w:t>
      </w:r>
    </w:p>
    <w:p w14:paraId="3965B6E3">
      <w:pPr>
        <w:keepNext w:val="0"/>
        <w:keepLines w:val="0"/>
        <w:pageBreakBefore w:val="0"/>
        <w:widowControl w:val="0"/>
        <w:kinsoku/>
        <w:wordWrap/>
        <w:overflowPunct/>
        <w:topLinePunct w:val="0"/>
        <w:autoSpaceDE w:val="0"/>
        <w:autoSpaceDN w:val="0"/>
        <w:bidi w:val="0"/>
        <w:adjustRightInd/>
        <w:snapToGrid/>
        <w:textAlignment w:val="auto"/>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湖仓实施及迁移重构具体包括：对本行现有数据平台进行调研分析，完成湖仓整体建设规划。在建设规划成果基础上，基于湖仓一体底座和数据作业平台完成湖仓实施及迁移重构，包括数据标准化建设、数据采集版块建设、主题模型版块建设、应用集市版块建设、数据服务版块建设、实时数仓版块建设、数据实验区建设和灾备建设，以及按新架构迁移整合现有的历史数据、数据服务、业务报表等，最后根据湖仓实施经验和成果建立成熟且完善的数据管理与运营体系。</w:t>
      </w:r>
    </w:p>
    <w:p w14:paraId="43B0121C">
      <w:pPr>
        <w:pStyle w:val="4"/>
        <w:rPr>
          <w:rFonts w:hint="default" w:ascii="Times New Roman" w:hAnsi="Times New Roman" w:cs="Times New Roman"/>
          <w:color w:val="auto"/>
          <w:highlight w:val="none"/>
        </w:rPr>
      </w:pPr>
      <w:r>
        <w:rPr>
          <w:rFonts w:hint="default" w:ascii="Times New Roman" w:hAnsi="Times New Roman" w:cs="Times New Roman"/>
          <w:color w:val="auto"/>
          <w:highlight w:val="none"/>
        </w:rPr>
        <w:t>1.4 项目目标</w:t>
      </w:r>
    </w:p>
    <w:p w14:paraId="2D4A818D">
      <w:pPr>
        <w:keepNext w:val="0"/>
        <w:keepLines w:val="0"/>
        <w:pageBreakBefore w:val="0"/>
        <w:widowControl w:val="0"/>
        <w:kinsoku/>
        <w:wordWrap/>
        <w:overflowPunct/>
        <w:topLinePunct w:val="0"/>
        <w:autoSpaceDE w:val="0"/>
        <w:autoSpaceDN w:val="0"/>
        <w:bidi w:val="0"/>
        <w:adjustRightInd/>
        <w:snapToGrid/>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本项目以建设</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采、存、算、管、治、用</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一体的新一代数据中台为核心目标，</w:t>
      </w:r>
      <w:r>
        <w:rPr>
          <w:rFonts w:hint="default" w:ascii="Times New Roman" w:hAnsi="Times New Roman" w:cs="Times New Roman"/>
          <w:color w:val="auto"/>
          <w:highlight w:val="none"/>
        </w:rPr>
        <w:t>实现全行数据的统一汇聚、整合、管理和应用</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具体建设目标包括但不限于：</w:t>
      </w:r>
    </w:p>
    <w:p w14:paraId="62B68CAB">
      <w:pPr>
        <w:keepNext w:val="0"/>
        <w:keepLines w:val="0"/>
        <w:pageBreakBefore w:val="0"/>
        <w:widowControl w:val="0"/>
        <w:numPr>
          <w:ilvl w:val="0"/>
          <w:numId w:val="0"/>
        </w:numPr>
        <w:kinsoku/>
        <w:wordWrap/>
        <w:overflowPunct/>
        <w:topLinePunct w:val="0"/>
        <w:autoSpaceDE w:val="0"/>
        <w:autoSpaceDN w:val="0"/>
        <w:bidi w:val="0"/>
        <w:adjustRightInd/>
        <w:snapToGrid/>
        <w:ind w:firstLine="482" w:firstLineChars="200"/>
        <w:textAlignment w:val="auto"/>
        <w:rPr>
          <w:rFonts w:hint="eastAsia" w:ascii="Times New Roman" w:hAnsi="Times New Roman" w:cs="Times New Roman"/>
          <w:b/>
          <w:bCs/>
          <w:color w:val="auto"/>
          <w:highlight w:val="none"/>
          <w:lang w:eastAsia="zh-CN"/>
        </w:rPr>
      </w:pPr>
      <w:r>
        <w:rPr>
          <w:rFonts w:hint="eastAsia" w:ascii="Times New Roman" w:hAnsi="Times New Roman" w:cs="Times New Roman"/>
          <w:b/>
          <w:bCs/>
          <w:color w:val="auto"/>
          <w:kern w:val="2"/>
          <w:sz w:val="24"/>
          <w:szCs w:val="20"/>
          <w:highlight w:val="none"/>
          <w:lang w:val="en-US" w:eastAsia="zh-CN" w:bidi="ar-SA"/>
        </w:rPr>
        <w:t>（1）</w:t>
      </w:r>
      <w:r>
        <w:rPr>
          <w:rFonts w:hint="default" w:ascii="Times New Roman" w:hAnsi="Times New Roman" w:cs="Times New Roman"/>
          <w:b/>
          <w:bCs/>
          <w:color w:val="auto"/>
          <w:highlight w:val="none"/>
        </w:rPr>
        <w:t>全面落实</w:t>
      </w:r>
      <w:r>
        <w:rPr>
          <w:rFonts w:hint="eastAsia" w:ascii="Times New Roman" w:hAnsi="Times New Roman" w:cs="Times New Roman"/>
          <w:b/>
          <w:bCs/>
          <w:color w:val="auto"/>
          <w:highlight w:val="none"/>
          <w:lang w:val="en-US" w:eastAsia="zh-CN"/>
        </w:rPr>
        <w:t>信创</w:t>
      </w:r>
      <w:r>
        <w:rPr>
          <w:rFonts w:hint="default" w:ascii="Times New Roman" w:hAnsi="Times New Roman" w:cs="Times New Roman"/>
          <w:b/>
          <w:bCs/>
          <w:color w:val="auto"/>
          <w:highlight w:val="none"/>
        </w:rPr>
        <w:t>要求</w:t>
      </w:r>
      <w:r>
        <w:rPr>
          <w:rFonts w:hint="eastAsia" w:ascii="Times New Roman" w:hAnsi="Times New Roman" w:cs="Times New Roman"/>
          <w:b/>
          <w:bCs/>
          <w:color w:val="auto"/>
          <w:highlight w:val="none"/>
          <w:lang w:eastAsia="zh-CN"/>
        </w:rPr>
        <w:t>，</w:t>
      </w:r>
      <w:r>
        <w:rPr>
          <w:rFonts w:hint="eastAsia" w:ascii="Times New Roman" w:hAnsi="Times New Roman" w:cs="Times New Roman"/>
          <w:b/>
          <w:bCs/>
          <w:color w:val="auto"/>
          <w:highlight w:val="none"/>
          <w:lang w:val="en-US" w:eastAsia="zh-CN"/>
        </w:rPr>
        <w:t>强化</w:t>
      </w:r>
      <w:r>
        <w:rPr>
          <w:rFonts w:hint="eastAsia" w:ascii="Times New Roman" w:hAnsi="Times New Roman" w:cs="Times New Roman"/>
          <w:b/>
          <w:bCs/>
          <w:color w:val="auto"/>
          <w:highlight w:val="none"/>
          <w:lang w:eastAsia="zh-CN"/>
        </w:rPr>
        <w:t>自主可控能力</w:t>
      </w:r>
    </w:p>
    <w:p w14:paraId="49E389A1">
      <w:pPr>
        <w:keepNext w:val="0"/>
        <w:keepLines w:val="0"/>
        <w:pageBreakBefore w:val="0"/>
        <w:widowControl w:val="0"/>
        <w:kinsoku/>
        <w:wordWrap/>
        <w:overflowPunct/>
        <w:topLinePunct w:val="0"/>
        <w:autoSpaceDE w:val="0"/>
        <w:autoSpaceDN w:val="0"/>
        <w:bidi w:val="0"/>
        <w:adjustRightInd/>
        <w:snapToGrid/>
        <w:textAlignment w:val="auto"/>
        <w:rPr>
          <w:rFonts w:hint="default" w:ascii="Times New Roman" w:hAnsi="Times New Roman" w:cs="Times New Roman"/>
          <w:b w:val="0"/>
          <w:bCs w:val="0"/>
          <w:color w:val="auto"/>
          <w:kern w:val="2"/>
          <w:sz w:val="24"/>
          <w:szCs w:val="20"/>
          <w:highlight w:val="none"/>
          <w:lang w:val="en-US" w:eastAsia="zh-CN" w:bidi="ar-SA"/>
        </w:rPr>
      </w:pPr>
      <w:r>
        <w:rPr>
          <w:rFonts w:hint="eastAsia" w:ascii="Times New Roman" w:hAnsi="Times New Roman" w:cs="Times New Roman"/>
          <w:b w:val="0"/>
          <w:bCs w:val="0"/>
          <w:color w:val="auto"/>
          <w:kern w:val="2"/>
          <w:sz w:val="24"/>
          <w:szCs w:val="20"/>
          <w:highlight w:val="none"/>
          <w:lang w:val="en-US" w:eastAsia="zh-CN" w:bidi="ar-SA"/>
        </w:rPr>
        <w:t>严格遵循信创相关要求和全行IT整体规划，实现新一代数据中台全面信创化，确保软硬件环境（如主机、操作系统、中间件、数据库等）完全国产化适配，落实监管对信创建设的要求，强化自主可控能力，增强业务连续性保障能力。</w:t>
      </w:r>
    </w:p>
    <w:p w14:paraId="54B06B5E">
      <w:pPr>
        <w:keepNext w:val="0"/>
        <w:keepLines w:val="0"/>
        <w:pageBreakBefore w:val="0"/>
        <w:widowControl w:val="0"/>
        <w:numPr>
          <w:ilvl w:val="0"/>
          <w:numId w:val="0"/>
        </w:numPr>
        <w:kinsoku/>
        <w:wordWrap/>
        <w:overflowPunct/>
        <w:topLinePunct w:val="0"/>
        <w:autoSpaceDE w:val="0"/>
        <w:autoSpaceDN w:val="0"/>
        <w:bidi w:val="0"/>
        <w:adjustRightInd/>
        <w:snapToGrid/>
        <w:ind w:firstLine="482" w:firstLineChars="200"/>
        <w:textAlignment w:val="auto"/>
        <w:rPr>
          <w:rFonts w:hint="eastAsia" w:ascii="Times New Roman" w:hAnsi="Times New Roman" w:cs="Times New Roman"/>
          <w:b/>
          <w:bCs/>
          <w:color w:val="auto"/>
          <w:kern w:val="2"/>
          <w:sz w:val="24"/>
          <w:szCs w:val="20"/>
          <w:highlight w:val="none"/>
          <w:lang w:val="en-US" w:eastAsia="zh-CN" w:bidi="ar-SA"/>
        </w:rPr>
      </w:pPr>
      <w:r>
        <w:rPr>
          <w:rFonts w:hint="eastAsia" w:ascii="Times New Roman" w:hAnsi="Times New Roman" w:cs="Times New Roman"/>
          <w:b/>
          <w:bCs/>
          <w:color w:val="auto"/>
          <w:kern w:val="2"/>
          <w:sz w:val="24"/>
          <w:szCs w:val="20"/>
          <w:highlight w:val="none"/>
          <w:lang w:val="en-US" w:eastAsia="zh-CN" w:bidi="ar-SA"/>
        </w:rPr>
        <w:t>（</w:t>
      </w:r>
      <w:r>
        <w:rPr>
          <w:rFonts w:hint="eastAsia" w:ascii="Times New Roman" w:hAnsi="Times New Roman" w:eastAsia="宋体" w:cs="Times New Roman"/>
          <w:b/>
          <w:bCs/>
          <w:color w:val="auto"/>
          <w:kern w:val="2"/>
          <w:sz w:val="24"/>
          <w:szCs w:val="20"/>
          <w:highlight w:val="none"/>
          <w:lang w:val="en-US" w:eastAsia="zh-CN" w:bidi="ar-SA"/>
        </w:rPr>
        <w:t>2）</w:t>
      </w:r>
      <w:r>
        <w:rPr>
          <w:rFonts w:hint="eastAsia" w:ascii="Times New Roman" w:hAnsi="Times New Roman" w:cs="Times New Roman"/>
          <w:b/>
          <w:bCs/>
          <w:color w:val="auto"/>
          <w:kern w:val="2"/>
          <w:sz w:val="24"/>
          <w:szCs w:val="20"/>
          <w:highlight w:val="none"/>
          <w:lang w:val="en-US" w:eastAsia="zh-CN" w:bidi="ar-SA"/>
        </w:rPr>
        <w:t>统一技术架构体系，增强存储计算能力</w:t>
      </w:r>
    </w:p>
    <w:p w14:paraId="6F4EDD96">
      <w:pPr>
        <w:keepNext w:val="0"/>
        <w:keepLines w:val="0"/>
        <w:pageBreakBefore w:val="0"/>
        <w:widowControl w:val="0"/>
        <w:kinsoku/>
        <w:wordWrap/>
        <w:overflowPunct/>
        <w:topLinePunct w:val="0"/>
        <w:autoSpaceDE w:val="0"/>
        <w:autoSpaceDN w:val="0"/>
        <w:bidi w:val="0"/>
        <w:adjustRightInd/>
        <w:snapToGrid/>
        <w:textAlignment w:val="auto"/>
        <w:rPr>
          <w:rFonts w:hint="default" w:ascii="Times New Roman" w:hAnsi="Times New Roman" w:cs="Times New Roman"/>
          <w:b w:val="0"/>
          <w:bCs w:val="0"/>
          <w:color w:val="auto"/>
          <w:kern w:val="2"/>
          <w:sz w:val="24"/>
          <w:szCs w:val="20"/>
          <w:highlight w:val="none"/>
          <w:lang w:val="en-US" w:eastAsia="zh-CN" w:bidi="ar-SA"/>
        </w:rPr>
      </w:pPr>
      <w:r>
        <w:rPr>
          <w:rFonts w:hint="eastAsia" w:ascii="Times New Roman" w:hAnsi="Times New Roman" w:cs="Times New Roman"/>
          <w:b w:val="0"/>
          <w:bCs w:val="0"/>
          <w:color w:val="auto"/>
          <w:kern w:val="2"/>
          <w:sz w:val="24"/>
          <w:szCs w:val="20"/>
          <w:highlight w:val="none"/>
          <w:lang w:val="en-US" w:eastAsia="zh-CN" w:bidi="ar-SA"/>
        </w:rPr>
        <w:t>构建以</w:t>
      </w:r>
      <w:r>
        <w:rPr>
          <w:rFonts w:hint="eastAsia" w:ascii="Times New Roman" w:hAnsi="Times New Roman" w:cs="Times New Roman"/>
          <w:color w:val="auto"/>
          <w:highlight w:val="none"/>
          <w:lang w:val="en-US" w:eastAsia="zh-CN"/>
        </w:rPr>
        <w:t>分布式大数据技术体系</w:t>
      </w:r>
      <w:r>
        <w:rPr>
          <w:rFonts w:hint="eastAsia" w:ascii="Times New Roman" w:hAnsi="Times New Roman" w:cs="Times New Roman"/>
          <w:b w:val="0"/>
          <w:bCs w:val="0"/>
          <w:color w:val="auto"/>
          <w:kern w:val="2"/>
          <w:sz w:val="24"/>
          <w:szCs w:val="20"/>
          <w:highlight w:val="none"/>
          <w:lang w:val="en-US" w:eastAsia="zh-CN" w:bidi="ar-SA"/>
        </w:rPr>
        <w:t>为主的湖仓一体底座，统一新一代数据中台技术架构体系，实现数据统一采集、存储和管理，减少因数据搬迁导致的数据一致性问题。同时，强化分布式数据存储和计算服务，提升数据处理效率和数据计算能力，以支撑PB级的数据处理需求，满足创新业务和新兴用数场景。</w:t>
      </w:r>
    </w:p>
    <w:p w14:paraId="3E589CA0">
      <w:pPr>
        <w:keepNext w:val="0"/>
        <w:keepLines w:val="0"/>
        <w:pageBreakBefore w:val="0"/>
        <w:widowControl w:val="0"/>
        <w:numPr>
          <w:ilvl w:val="0"/>
          <w:numId w:val="0"/>
        </w:numPr>
        <w:kinsoku/>
        <w:wordWrap/>
        <w:overflowPunct/>
        <w:topLinePunct w:val="0"/>
        <w:autoSpaceDE w:val="0"/>
        <w:autoSpaceDN w:val="0"/>
        <w:bidi w:val="0"/>
        <w:adjustRightInd/>
        <w:snapToGrid/>
        <w:ind w:firstLine="482" w:firstLineChars="200"/>
        <w:textAlignment w:val="auto"/>
        <w:rPr>
          <w:rFonts w:hint="eastAsia" w:ascii="Times New Roman" w:hAnsi="Times New Roman" w:cs="Times New Roman"/>
          <w:b/>
          <w:bCs/>
          <w:color w:val="auto"/>
          <w:highlight w:val="none"/>
          <w:lang w:val="en-US" w:eastAsia="zh-CN"/>
        </w:rPr>
      </w:pPr>
      <w:r>
        <w:rPr>
          <w:rFonts w:hint="eastAsia" w:ascii="Times New Roman" w:hAnsi="Times New Roman" w:cs="Times New Roman"/>
          <w:b/>
          <w:bCs/>
          <w:color w:val="auto"/>
          <w:kern w:val="2"/>
          <w:sz w:val="24"/>
          <w:szCs w:val="20"/>
          <w:highlight w:val="none"/>
          <w:lang w:val="en-US" w:eastAsia="zh-CN" w:bidi="ar-SA"/>
        </w:rPr>
        <w:t>（3</w:t>
      </w:r>
      <w:r>
        <w:rPr>
          <w:rFonts w:hint="eastAsia" w:ascii="Times New Roman" w:hAnsi="Times New Roman" w:eastAsia="宋体" w:cs="Times New Roman"/>
          <w:b/>
          <w:bCs/>
          <w:color w:val="auto"/>
          <w:kern w:val="2"/>
          <w:sz w:val="24"/>
          <w:szCs w:val="20"/>
          <w:highlight w:val="none"/>
          <w:lang w:val="en-US" w:eastAsia="zh-CN" w:bidi="ar-SA"/>
        </w:rPr>
        <w:t>）</w:t>
      </w:r>
      <w:r>
        <w:rPr>
          <w:rFonts w:hint="eastAsia" w:ascii="Times New Roman" w:hAnsi="Times New Roman" w:cs="Times New Roman"/>
          <w:b/>
          <w:bCs/>
          <w:color w:val="auto"/>
          <w:kern w:val="2"/>
          <w:sz w:val="24"/>
          <w:szCs w:val="20"/>
          <w:highlight w:val="none"/>
          <w:lang w:val="en-US" w:eastAsia="zh-CN" w:bidi="ar-SA"/>
        </w:rPr>
        <w:t>深度融合数据治理，提升数据作业</w:t>
      </w:r>
      <w:r>
        <w:rPr>
          <w:rFonts w:hint="eastAsia" w:ascii="Times New Roman" w:hAnsi="Times New Roman" w:cs="Times New Roman"/>
          <w:b/>
          <w:bCs/>
          <w:color w:val="auto"/>
          <w:highlight w:val="none"/>
          <w:lang w:val="en-US" w:eastAsia="zh-CN"/>
        </w:rPr>
        <w:t>质效</w:t>
      </w:r>
    </w:p>
    <w:p w14:paraId="4B14E8B8">
      <w:pPr>
        <w:keepNext w:val="0"/>
        <w:keepLines w:val="0"/>
        <w:pageBreakBefore w:val="0"/>
        <w:widowControl w:val="0"/>
        <w:kinsoku/>
        <w:wordWrap/>
        <w:overflowPunct/>
        <w:topLinePunct w:val="0"/>
        <w:autoSpaceDE w:val="0"/>
        <w:autoSpaceDN w:val="0"/>
        <w:bidi w:val="0"/>
        <w:adjustRightInd/>
        <w:snapToGrid/>
        <w:textAlignment w:val="auto"/>
        <w:rPr>
          <w:rFonts w:hint="default" w:ascii="Times New Roman" w:hAnsi="Times New Roman" w:cs="Times New Roman"/>
          <w:b w:val="0"/>
          <w:bCs w:val="0"/>
          <w:color w:val="auto"/>
          <w:kern w:val="2"/>
          <w:sz w:val="24"/>
          <w:szCs w:val="20"/>
          <w:highlight w:val="none"/>
          <w:lang w:val="en-US" w:eastAsia="zh-CN" w:bidi="ar-SA"/>
        </w:rPr>
      </w:pPr>
      <w:r>
        <w:rPr>
          <w:rFonts w:hint="eastAsia" w:ascii="Times New Roman" w:hAnsi="Times New Roman" w:cs="Times New Roman"/>
          <w:color w:val="auto"/>
          <w:highlight w:val="none"/>
          <w:lang w:val="en-US" w:eastAsia="zh-CN"/>
        </w:rPr>
        <w:t>搭建以“</w:t>
      </w:r>
      <w:r>
        <w:rPr>
          <w:rFonts w:hint="default" w:ascii="Times New Roman" w:hAnsi="Times New Roman" w:cs="Times New Roman"/>
          <w:color w:val="auto"/>
          <w:highlight w:val="none"/>
        </w:rPr>
        <w:t>DataOps</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数据敏捷研发体系</w:t>
      </w:r>
      <w:r>
        <w:rPr>
          <w:rFonts w:hint="eastAsia" w:ascii="Times New Roman" w:hAnsi="Times New Roman" w:cs="Times New Roman"/>
          <w:color w:val="auto"/>
          <w:highlight w:val="none"/>
          <w:lang w:val="en-US" w:eastAsia="zh-CN"/>
        </w:rPr>
        <w:t>为基础，</w:t>
      </w:r>
      <w:r>
        <w:rPr>
          <w:rFonts w:hint="eastAsia" w:ascii="Times New Roman" w:hAnsi="Times New Roman" w:cs="Times New Roman"/>
          <w:b w:val="0"/>
          <w:bCs w:val="0"/>
          <w:color w:val="auto"/>
          <w:kern w:val="2"/>
          <w:sz w:val="24"/>
          <w:szCs w:val="20"/>
          <w:highlight w:val="none"/>
          <w:lang w:val="en-US" w:eastAsia="zh-CN" w:bidi="ar-SA"/>
        </w:rPr>
        <w:t>将数据治理的流程与数据的全生命周期相融合的数据作业平台，实现“规范即设计，设计即开发，开发即治理”的开发治理一体化理念，使数据治理贯穿需求分析、设计开发、测试上线、运营维护等全流程，进一步提升数据研发、运营、管控和应用的质效。</w:t>
      </w:r>
    </w:p>
    <w:p w14:paraId="0D513AD1">
      <w:pPr>
        <w:keepNext w:val="0"/>
        <w:keepLines w:val="0"/>
        <w:pageBreakBefore w:val="0"/>
        <w:widowControl w:val="0"/>
        <w:kinsoku/>
        <w:wordWrap/>
        <w:overflowPunct/>
        <w:topLinePunct w:val="0"/>
        <w:autoSpaceDE w:val="0"/>
        <w:autoSpaceDN w:val="0"/>
        <w:bidi w:val="0"/>
        <w:adjustRightInd/>
        <w:snapToGrid/>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cs="Times New Roman"/>
          <w:b/>
          <w:bCs/>
          <w:color w:val="auto"/>
          <w:highlight w:val="none"/>
          <w:lang w:val="en-US" w:eastAsia="zh-CN"/>
        </w:rPr>
        <w:t>（4）</w:t>
      </w:r>
      <w:r>
        <w:rPr>
          <w:rFonts w:hint="default" w:ascii="Times New Roman" w:hAnsi="Times New Roman" w:cs="Times New Roman"/>
          <w:b/>
          <w:bCs/>
          <w:color w:val="auto"/>
          <w:highlight w:val="none"/>
        </w:rPr>
        <w:t>提</w:t>
      </w:r>
      <w:r>
        <w:rPr>
          <w:rFonts w:hint="eastAsia" w:ascii="Times New Roman" w:hAnsi="Times New Roman" w:cs="Times New Roman"/>
          <w:b/>
          <w:bCs/>
          <w:color w:val="auto"/>
          <w:highlight w:val="none"/>
          <w:lang w:val="en-US" w:eastAsia="zh-CN"/>
        </w:rPr>
        <w:t>高</w:t>
      </w:r>
      <w:r>
        <w:rPr>
          <w:rFonts w:hint="default" w:ascii="Times New Roman" w:hAnsi="Times New Roman" w:cs="Times New Roman"/>
          <w:b/>
          <w:bCs/>
          <w:color w:val="auto"/>
          <w:highlight w:val="none"/>
        </w:rPr>
        <w:t>数据</w:t>
      </w:r>
      <w:r>
        <w:rPr>
          <w:rFonts w:hint="eastAsia" w:ascii="Times New Roman" w:hAnsi="Times New Roman" w:cs="Times New Roman"/>
          <w:b/>
          <w:bCs/>
          <w:color w:val="auto"/>
          <w:highlight w:val="none"/>
          <w:lang w:val="en-US" w:eastAsia="zh-CN"/>
        </w:rPr>
        <w:t>处理效能</w:t>
      </w:r>
      <w:r>
        <w:rPr>
          <w:rFonts w:hint="eastAsia" w:ascii="Times New Roman" w:hAnsi="Times New Roman" w:cs="Times New Roman"/>
          <w:b/>
          <w:bCs/>
          <w:color w:val="auto"/>
          <w:highlight w:val="none"/>
          <w:lang w:eastAsia="zh-CN"/>
        </w:rPr>
        <w:t>，</w:t>
      </w:r>
      <w:r>
        <w:rPr>
          <w:rFonts w:hint="default" w:ascii="Times New Roman" w:hAnsi="Times New Roman" w:cs="Times New Roman"/>
          <w:b/>
          <w:bCs/>
          <w:color w:val="auto"/>
          <w:highlight w:val="none"/>
        </w:rPr>
        <w:t>满足</w:t>
      </w:r>
      <w:r>
        <w:rPr>
          <w:rFonts w:hint="eastAsia" w:ascii="Times New Roman" w:hAnsi="Times New Roman" w:cs="Times New Roman"/>
          <w:b/>
          <w:bCs/>
          <w:color w:val="auto"/>
          <w:highlight w:val="none"/>
          <w:lang w:val="en-US" w:eastAsia="zh-CN"/>
        </w:rPr>
        <w:t>数据即时性要</w:t>
      </w:r>
      <w:r>
        <w:rPr>
          <w:rFonts w:hint="default" w:ascii="Times New Roman" w:hAnsi="Times New Roman" w:cs="Times New Roman"/>
          <w:b/>
          <w:bCs/>
          <w:color w:val="auto"/>
          <w:highlight w:val="none"/>
        </w:rPr>
        <w:t>求</w:t>
      </w:r>
    </w:p>
    <w:p w14:paraId="361EEFAD">
      <w:pPr>
        <w:keepNext w:val="0"/>
        <w:keepLines w:val="0"/>
        <w:pageBreakBefore w:val="0"/>
        <w:widowControl w:val="0"/>
        <w:kinsoku/>
        <w:wordWrap/>
        <w:overflowPunct/>
        <w:topLinePunct w:val="0"/>
        <w:autoSpaceDE w:val="0"/>
        <w:autoSpaceDN w:val="0"/>
        <w:bidi w:val="0"/>
        <w:adjustRightInd/>
        <w:snapToGrid/>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优化</w:t>
      </w:r>
      <w:r>
        <w:rPr>
          <w:rFonts w:hint="eastAsia" w:ascii="Times New Roman" w:hAnsi="Times New Roman" w:eastAsia="宋体" w:cs="Times New Roman"/>
          <w:color w:val="auto"/>
          <w:highlight w:val="none"/>
          <w:lang w:val="en-US" w:eastAsia="zh-CN"/>
        </w:rPr>
        <w:t>批量</w:t>
      </w:r>
      <w:r>
        <w:rPr>
          <w:rFonts w:hint="eastAsia" w:ascii="Times New Roman" w:hAnsi="Times New Roman" w:cs="Times New Roman"/>
          <w:color w:val="auto"/>
          <w:highlight w:val="none"/>
          <w:lang w:val="en-US" w:eastAsia="zh-CN"/>
        </w:rPr>
        <w:t>处理</w:t>
      </w:r>
      <w:r>
        <w:rPr>
          <w:rFonts w:hint="eastAsia" w:ascii="Times New Roman" w:hAnsi="Times New Roman" w:eastAsia="宋体" w:cs="Times New Roman"/>
          <w:color w:val="auto"/>
          <w:highlight w:val="none"/>
          <w:lang w:val="en-US" w:eastAsia="zh-CN"/>
        </w:rPr>
        <w:t>效率</w:t>
      </w:r>
      <w:r>
        <w:rPr>
          <w:rFonts w:hint="eastAsia" w:ascii="Times New Roman" w:hAnsi="Times New Roman" w:cs="Times New Roman"/>
          <w:color w:val="auto"/>
          <w:highlight w:val="none"/>
          <w:lang w:val="en-US" w:eastAsia="zh-CN"/>
        </w:rPr>
        <w:t>。充分利用系统资源，优化数据加工链路，合理配置数据作业调度任务，满足日终批量处理时间要求，严格按照时间要求提供批量数据处理结果。</w:t>
      </w:r>
    </w:p>
    <w:p w14:paraId="76EE7CC9">
      <w:pPr>
        <w:keepNext w:val="0"/>
        <w:keepLines w:val="0"/>
        <w:pageBreakBefore w:val="0"/>
        <w:widowControl w:val="0"/>
        <w:kinsoku/>
        <w:wordWrap/>
        <w:overflowPunct/>
        <w:topLinePunct w:val="0"/>
        <w:autoSpaceDE w:val="0"/>
        <w:autoSpaceDN w:val="0"/>
        <w:bidi w:val="0"/>
        <w:adjustRightInd/>
        <w:snapToGrid/>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增强实时处理能力。提升数据采集时效性，支撑秒级数据采集或统计场景，为业务营销、风险防控、内部运营等领域提供更及时的数据支持，满足业务对数据的快速响应要求。</w:t>
      </w:r>
    </w:p>
    <w:p w14:paraId="349159E9">
      <w:pPr>
        <w:keepNext w:val="0"/>
        <w:keepLines w:val="0"/>
        <w:pageBreakBefore w:val="0"/>
        <w:widowControl w:val="0"/>
        <w:kinsoku/>
        <w:wordWrap/>
        <w:overflowPunct/>
        <w:topLinePunct w:val="0"/>
        <w:autoSpaceDE w:val="0"/>
        <w:autoSpaceDN w:val="0"/>
        <w:bidi w:val="0"/>
        <w:adjustRightInd/>
        <w:snapToGrid/>
        <w:textAlignment w:val="auto"/>
        <w:rPr>
          <w:rFonts w:hint="default" w:ascii="Times New Roman" w:hAnsi="Times New Roman" w:eastAsia="宋体" w:cs="Times New Roman"/>
          <w:b/>
          <w:bCs/>
          <w:color w:val="auto"/>
          <w:highlight w:val="none"/>
          <w:lang w:val="en-US" w:eastAsia="zh-CN"/>
        </w:rPr>
      </w:pPr>
      <w:r>
        <w:rPr>
          <w:rFonts w:hint="eastAsia" w:ascii="Times New Roman" w:hAnsi="Times New Roman" w:cs="Times New Roman"/>
          <w:b/>
          <w:bCs/>
          <w:color w:val="auto"/>
          <w:highlight w:val="none"/>
          <w:lang w:val="en-US" w:eastAsia="zh-CN"/>
        </w:rPr>
        <w:t>（5）增强数据服务能力，释放数据价值</w:t>
      </w:r>
    </w:p>
    <w:p w14:paraId="705CF29F">
      <w:pPr>
        <w:keepNext w:val="0"/>
        <w:keepLines w:val="0"/>
        <w:pageBreakBefore w:val="0"/>
        <w:widowControl w:val="0"/>
        <w:kinsoku/>
        <w:wordWrap/>
        <w:overflowPunct/>
        <w:topLinePunct w:val="0"/>
        <w:autoSpaceDE w:val="0"/>
        <w:autoSpaceDN w:val="0"/>
        <w:bidi w:val="0"/>
        <w:adjustRightInd/>
        <w:snapToGrid/>
        <w:textAlignment w:val="auto"/>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通过构建</w:t>
      </w:r>
      <w:r>
        <w:rPr>
          <w:rFonts w:hint="default" w:ascii="Times New Roman" w:hAnsi="Times New Roman" w:cs="Times New Roman"/>
          <w:color w:val="auto"/>
          <w:highlight w:val="none"/>
          <w:lang w:val="en-US" w:eastAsia="zh-CN"/>
        </w:rPr>
        <w:t>数据主题模型</w:t>
      </w:r>
      <w:r>
        <w:rPr>
          <w:rFonts w:hint="eastAsia" w:ascii="Times New Roman" w:hAnsi="Times New Roman" w:cs="Times New Roman"/>
          <w:color w:val="auto"/>
          <w:highlight w:val="none"/>
          <w:lang w:val="en-US" w:eastAsia="zh-CN"/>
        </w:rPr>
        <w:t>和各类应用集市，提升数据应用的开发交付效率，为个人客户数字营销平台、操作风险系统、标签管理平台等系统提供精准高效的数据支持；建立业务自助分析模式，降低数据提取和分析门槛，减少数据建设到决策分析的时间，充分释放数据价值。</w:t>
      </w:r>
    </w:p>
    <w:p w14:paraId="74D76148">
      <w:pPr>
        <w:pStyle w:val="3"/>
        <w:rPr>
          <w:rFonts w:hint="default" w:ascii="Times New Roman" w:hAnsi="Times New Roman" w:cs="Times New Roman"/>
          <w:color w:val="auto"/>
          <w:highlight w:val="none"/>
        </w:rPr>
      </w:pPr>
      <w:r>
        <w:rPr>
          <w:rFonts w:hint="default" w:ascii="Times New Roman" w:hAnsi="Times New Roman" w:cs="Times New Roman"/>
          <w:color w:val="auto"/>
          <w:highlight w:val="none"/>
        </w:rPr>
        <w:t>2. 参选人</w:t>
      </w:r>
      <w:bookmarkEnd w:id="35"/>
    </w:p>
    <w:p w14:paraId="358E3C5D">
      <w:pPr>
        <w:rPr>
          <w:rFonts w:hint="default" w:ascii="Times New Roman" w:hAnsi="Times New Roman" w:cs="Times New Roman"/>
          <w:color w:val="auto"/>
          <w:highlight w:val="none"/>
        </w:rPr>
      </w:pPr>
      <w:r>
        <w:rPr>
          <w:rFonts w:hint="default" w:ascii="Times New Roman" w:hAnsi="Times New Roman" w:cs="Times New Roman"/>
          <w:color w:val="auto"/>
          <w:highlight w:val="none"/>
        </w:rPr>
        <w:t>2.1 合格参选人条件</w:t>
      </w:r>
    </w:p>
    <w:p w14:paraId="3FC7DB7D">
      <w:pPr>
        <w:rPr>
          <w:rFonts w:hint="default" w:ascii="Times New Roman" w:hAnsi="Times New Roman" w:cs="Times New Roman"/>
          <w:color w:val="auto"/>
          <w:highlight w:val="none"/>
        </w:rPr>
      </w:pPr>
      <w:r>
        <w:rPr>
          <w:rFonts w:hint="default" w:ascii="Times New Roman" w:hAnsi="Times New Roman" w:cs="Times New Roman"/>
          <w:color w:val="auto"/>
          <w:highlight w:val="none"/>
        </w:rPr>
        <w:t>合格参选人应完全符合比选文件第一章中规定的参选人资格条件，并对比选文件作出实质性响应。</w:t>
      </w:r>
    </w:p>
    <w:p w14:paraId="74F829FA">
      <w:pPr>
        <w:rPr>
          <w:rFonts w:hint="default" w:ascii="Times New Roman" w:hAnsi="Times New Roman" w:cs="Times New Roman"/>
          <w:color w:val="auto"/>
          <w:highlight w:val="none"/>
        </w:rPr>
      </w:pPr>
      <w:r>
        <w:rPr>
          <w:rFonts w:hint="default" w:ascii="Times New Roman" w:hAnsi="Times New Roman" w:cs="Times New Roman"/>
          <w:color w:val="auto"/>
          <w:highlight w:val="none"/>
        </w:rPr>
        <w:t>2.2 参选人的风险</w:t>
      </w:r>
    </w:p>
    <w:p w14:paraId="63B3131E">
      <w:pPr>
        <w:rPr>
          <w:rFonts w:hint="default" w:ascii="Times New Roman" w:hAnsi="Times New Roman" w:cs="Times New Roman"/>
          <w:color w:val="auto"/>
          <w:highlight w:val="none"/>
        </w:rPr>
      </w:pPr>
      <w:r>
        <w:rPr>
          <w:rFonts w:hint="default" w:ascii="Times New Roman" w:hAnsi="Times New Roman" w:cs="Times New Roman"/>
          <w:color w:val="auto"/>
          <w:highlight w:val="none"/>
        </w:rPr>
        <w:t>参选人没有按照比选文件要求提供全部资料，或者参选人没有对比选文件在各方面作出实质性响应，可能导致参选被拒绝或评定为无效参选。</w:t>
      </w:r>
    </w:p>
    <w:p w14:paraId="515B3F89">
      <w:pPr>
        <w:pStyle w:val="3"/>
        <w:rPr>
          <w:rFonts w:hint="default" w:ascii="Times New Roman" w:hAnsi="Times New Roman" w:cs="Times New Roman"/>
          <w:color w:val="auto"/>
          <w:highlight w:val="none"/>
        </w:rPr>
      </w:pPr>
      <w:bookmarkStart w:id="36" w:name="_Toc89675162"/>
      <w:r>
        <w:rPr>
          <w:rFonts w:hint="default" w:ascii="Times New Roman" w:hAnsi="Times New Roman" w:cs="Times New Roman"/>
          <w:color w:val="auto"/>
          <w:highlight w:val="none"/>
        </w:rPr>
        <w:t>3. 比选文件</w:t>
      </w:r>
      <w:bookmarkEnd w:id="36"/>
    </w:p>
    <w:p w14:paraId="6D2AF9D8">
      <w:pPr>
        <w:rPr>
          <w:rFonts w:hint="default" w:ascii="Times New Roman" w:hAnsi="Times New Roman" w:cs="Times New Roman"/>
          <w:color w:val="auto"/>
          <w:highlight w:val="none"/>
        </w:rPr>
      </w:pPr>
      <w:r>
        <w:rPr>
          <w:rFonts w:hint="default" w:ascii="Times New Roman" w:hAnsi="Times New Roman" w:cs="Times New Roman"/>
          <w:color w:val="auto"/>
          <w:highlight w:val="none"/>
        </w:rPr>
        <w:t>比选文件是参选人编制参选文件的依据，是评审委员会评判依据和标准。比选文件也是比选人与中选人签订合同的基础。</w:t>
      </w:r>
    </w:p>
    <w:p w14:paraId="5E71210D">
      <w:pPr>
        <w:rPr>
          <w:rFonts w:hint="default" w:ascii="Times New Roman" w:hAnsi="Times New Roman" w:cs="Times New Roman"/>
          <w:color w:val="auto"/>
          <w:highlight w:val="none"/>
        </w:rPr>
      </w:pPr>
      <w:r>
        <w:rPr>
          <w:rFonts w:hint="default" w:ascii="Times New Roman" w:hAnsi="Times New Roman" w:cs="Times New Roman"/>
          <w:color w:val="auto"/>
          <w:highlight w:val="none"/>
        </w:rPr>
        <w:t>本行对比选文件所作的一切有效的书面通知、修改及补充，都是比选文件不可分割的部分。</w:t>
      </w:r>
    </w:p>
    <w:p w14:paraId="6F76B173">
      <w:pPr>
        <w:pStyle w:val="3"/>
        <w:rPr>
          <w:rFonts w:hint="default" w:ascii="Times New Roman" w:hAnsi="Times New Roman" w:cs="Times New Roman"/>
          <w:color w:val="auto"/>
          <w:highlight w:val="none"/>
        </w:rPr>
      </w:pPr>
      <w:bookmarkStart w:id="37" w:name="_Toc89675163"/>
      <w:r>
        <w:rPr>
          <w:rFonts w:hint="default" w:ascii="Times New Roman" w:hAnsi="Times New Roman" w:cs="Times New Roman"/>
          <w:color w:val="auto"/>
          <w:highlight w:val="none"/>
        </w:rPr>
        <w:t>4. 参选</w:t>
      </w:r>
      <w:bookmarkEnd w:id="37"/>
    </w:p>
    <w:p w14:paraId="35A295DD">
      <w:pPr>
        <w:rPr>
          <w:rFonts w:hint="default" w:ascii="Times New Roman" w:hAnsi="Times New Roman" w:cs="Times New Roman"/>
          <w:color w:val="auto"/>
          <w:highlight w:val="none"/>
        </w:rPr>
      </w:pPr>
      <w:r>
        <w:rPr>
          <w:rFonts w:hint="default" w:ascii="Times New Roman" w:hAnsi="Times New Roman" w:cs="Times New Roman"/>
          <w:color w:val="auto"/>
          <w:highlight w:val="none"/>
        </w:rPr>
        <w:t>参选人应当按照比选文件的要求编制参选文件，并对比选文件提出的要求和条件作出实质性响应。</w:t>
      </w:r>
    </w:p>
    <w:p w14:paraId="2265E64B">
      <w:pPr>
        <w:pStyle w:val="4"/>
        <w:rPr>
          <w:rFonts w:hint="default" w:ascii="Times New Roman" w:hAnsi="Times New Roman" w:cs="Times New Roman"/>
          <w:color w:val="auto"/>
          <w:highlight w:val="none"/>
        </w:rPr>
      </w:pPr>
      <w:r>
        <w:rPr>
          <w:rFonts w:hint="default" w:ascii="Times New Roman" w:hAnsi="Times New Roman" w:cs="Times New Roman"/>
          <w:color w:val="auto"/>
          <w:highlight w:val="none"/>
        </w:rPr>
        <w:t>4.1 参选文件组成</w:t>
      </w:r>
    </w:p>
    <w:p w14:paraId="013AE4DF">
      <w:pPr>
        <w:rPr>
          <w:rFonts w:hint="default" w:ascii="Times New Roman" w:hAnsi="Times New Roman" w:cs="Times New Roman"/>
          <w:color w:val="auto"/>
          <w:highlight w:val="none"/>
        </w:rPr>
      </w:pPr>
      <w:r>
        <w:rPr>
          <w:rFonts w:hint="default" w:ascii="Times New Roman" w:hAnsi="Times New Roman" w:cs="Times New Roman"/>
          <w:color w:val="auto"/>
          <w:highlight w:val="none"/>
        </w:rPr>
        <w:t>参选文件由参选人所作的一切有效补充、修改和承诺等文件组成，参选人应按照第六章</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参选文件格式</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规定的目录顺序组织编写和装订，否则有可能影响参选人的参选文件评审。</w:t>
      </w:r>
    </w:p>
    <w:p w14:paraId="3DB1377F">
      <w:pPr>
        <w:pStyle w:val="4"/>
        <w:rPr>
          <w:rFonts w:hint="default" w:ascii="Times New Roman" w:hAnsi="Times New Roman" w:cs="Times New Roman"/>
          <w:color w:val="auto"/>
          <w:highlight w:val="none"/>
        </w:rPr>
      </w:pPr>
      <w:r>
        <w:rPr>
          <w:rFonts w:hint="default" w:ascii="Times New Roman" w:hAnsi="Times New Roman" w:cs="Times New Roman"/>
          <w:color w:val="auto"/>
          <w:highlight w:val="none"/>
        </w:rPr>
        <w:t>4.2 联合参选</w:t>
      </w:r>
    </w:p>
    <w:p w14:paraId="5E553AD2">
      <w:pPr>
        <w:rPr>
          <w:rFonts w:hint="default" w:ascii="Times New Roman" w:hAnsi="Times New Roman" w:cs="Times New Roman"/>
          <w:color w:val="auto"/>
          <w:highlight w:val="none"/>
        </w:rPr>
      </w:pPr>
      <w:r>
        <w:rPr>
          <w:rFonts w:hint="default" w:ascii="Times New Roman" w:hAnsi="Times New Roman" w:cs="Times New Roman"/>
          <w:color w:val="auto"/>
          <w:highlight w:val="none"/>
        </w:rPr>
        <w:t>本比选项目不接受联合参选</w:t>
      </w:r>
    </w:p>
    <w:p w14:paraId="165FA4D2">
      <w:pPr>
        <w:pStyle w:val="4"/>
        <w:rPr>
          <w:rFonts w:hint="default" w:ascii="Times New Roman" w:hAnsi="Times New Roman" w:cs="Times New Roman"/>
          <w:color w:val="auto"/>
          <w:highlight w:val="none"/>
        </w:rPr>
      </w:pPr>
      <w:r>
        <w:rPr>
          <w:rFonts w:hint="default" w:ascii="Times New Roman" w:hAnsi="Times New Roman" w:cs="Times New Roman"/>
          <w:color w:val="auto"/>
          <w:highlight w:val="none"/>
        </w:rPr>
        <w:t>4.3 参选有效期</w:t>
      </w:r>
    </w:p>
    <w:p w14:paraId="4E9FC86A">
      <w:pPr>
        <w:rPr>
          <w:rFonts w:hint="default" w:ascii="Times New Roman" w:hAnsi="Times New Roman" w:cs="Times New Roman"/>
          <w:color w:val="auto"/>
          <w:highlight w:val="none"/>
        </w:rPr>
      </w:pPr>
      <w:r>
        <w:rPr>
          <w:rFonts w:hint="default" w:ascii="Times New Roman" w:hAnsi="Times New Roman" w:cs="Times New Roman"/>
          <w:color w:val="auto"/>
          <w:highlight w:val="none"/>
        </w:rPr>
        <w:t>参选有效期为参选截止日期后90天内。</w:t>
      </w:r>
    </w:p>
    <w:p w14:paraId="12F08E62">
      <w:pPr>
        <w:pStyle w:val="4"/>
        <w:rPr>
          <w:rFonts w:hint="default" w:ascii="Times New Roman" w:hAnsi="Times New Roman" w:cs="Times New Roman"/>
          <w:color w:val="auto"/>
          <w:highlight w:val="none"/>
        </w:rPr>
      </w:pPr>
      <w:r>
        <w:rPr>
          <w:rFonts w:hint="default" w:ascii="Times New Roman" w:hAnsi="Times New Roman" w:cs="Times New Roman"/>
          <w:color w:val="auto"/>
          <w:highlight w:val="none"/>
        </w:rPr>
        <w:t>4.4 参选保证金</w:t>
      </w:r>
    </w:p>
    <w:p w14:paraId="2BECA780">
      <w:pPr>
        <w:rPr>
          <w:rFonts w:hint="default" w:ascii="Times New Roman" w:hAnsi="Times New Roman" w:cs="Times New Roman"/>
          <w:color w:val="auto"/>
          <w:highlight w:val="none"/>
        </w:rPr>
      </w:pPr>
      <w:r>
        <w:rPr>
          <w:rFonts w:hint="default" w:ascii="Times New Roman" w:hAnsi="Times New Roman" w:cs="Times New Roman"/>
          <w:color w:val="auto"/>
          <w:highlight w:val="none"/>
        </w:rPr>
        <w:t>4.4.1 参选人应在参选截止时间前，按比选文件第一章规定向比选人缴纳参选保证金。</w:t>
      </w:r>
    </w:p>
    <w:p w14:paraId="6BBF385D">
      <w:pPr>
        <w:rPr>
          <w:rFonts w:hint="default" w:ascii="Times New Roman" w:hAnsi="Times New Roman" w:cs="Times New Roman"/>
          <w:color w:val="auto"/>
          <w:highlight w:val="none"/>
        </w:rPr>
      </w:pPr>
      <w:r>
        <w:rPr>
          <w:rFonts w:hint="default" w:ascii="Times New Roman" w:hAnsi="Times New Roman" w:cs="Times New Roman"/>
          <w:color w:val="auto"/>
          <w:highlight w:val="none"/>
        </w:rPr>
        <w:t>4.4.2 参选保证金为参选的有效约束条件。</w:t>
      </w:r>
    </w:p>
    <w:p w14:paraId="46BA325C">
      <w:pPr>
        <w:rPr>
          <w:rFonts w:hint="default" w:ascii="Times New Roman" w:hAnsi="Times New Roman" w:cs="Times New Roman"/>
          <w:color w:val="auto"/>
          <w:highlight w:val="none"/>
        </w:rPr>
      </w:pPr>
      <w:r>
        <w:rPr>
          <w:rFonts w:hint="default" w:ascii="Times New Roman" w:hAnsi="Times New Roman" w:cs="Times New Roman"/>
          <w:color w:val="auto"/>
          <w:highlight w:val="none"/>
        </w:rPr>
        <w:t>4.4.3 参选保证金有效期与参选文件有效期一致。</w:t>
      </w:r>
    </w:p>
    <w:p w14:paraId="4FA05A42">
      <w:pPr>
        <w:rPr>
          <w:rFonts w:hint="default" w:ascii="Times New Roman" w:hAnsi="Times New Roman" w:cs="Times New Roman"/>
          <w:color w:val="auto"/>
          <w:highlight w:val="none"/>
        </w:rPr>
      </w:pPr>
      <w:r>
        <w:rPr>
          <w:rFonts w:hint="default" w:ascii="Times New Roman" w:hAnsi="Times New Roman" w:cs="Times New Roman"/>
          <w:color w:val="auto"/>
          <w:highlight w:val="none"/>
        </w:rPr>
        <w:t>4.4.4 参选保证金币种应与参选报价币种相同。</w:t>
      </w:r>
    </w:p>
    <w:p w14:paraId="29F52B55">
      <w:pPr>
        <w:rPr>
          <w:rFonts w:hint="default" w:ascii="Times New Roman" w:hAnsi="Times New Roman" w:cs="Times New Roman"/>
          <w:color w:val="auto"/>
          <w:highlight w:val="none"/>
        </w:rPr>
      </w:pPr>
      <w:r>
        <w:rPr>
          <w:rFonts w:hint="default" w:ascii="Times New Roman" w:hAnsi="Times New Roman" w:cs="Times New Roman"/>
          <w:color w:val="auto"/>
          <w:highlight w:val="none"/>
        </w:rPr>
        <w:t>4.4.5 参选保证金的退还：</w:t>
      </w:r>
    </w:p>
    <w:p w14:paraId="7E2AF52C">
      <w:pPr>
        <w:rPr>
          <w:rFonts w:hint="default" w:ascii="Times New Roman" w:hAnsi="Times New Roman" w:cs="Times New Roman"/>
          <w:color w:val="auto"/>
          <w:highlight w:val="none"/>
        </w:rPr>
      </w:pPr>
      <w:r>
        <w:rPr>
          <w:rFonts w:hint="default" w:ascii="Times New Roman" w:hAnsi="Times New Roman" w:cs="Times New Roman"/>
          <w:color w:val="auto"/>
          <w:highlight w:val="none"/>
        </w:rPr>
        <w:t>比选人在中选通知书发出后2个工作日内将中选通知书和保证金退还通知抄告重庆市公共资源交易中心，重庆市公共资源交易中心在收到保证金退还通知后2个工作日内，向除中选人和中选候选人以外的参选人，退还参选保证金。</w:t>
      </w:r>
    </w:p>
    <w:p w14:paraId="2F00D555">
      <w:pPr>
        <w:rPr>
          <w:rFonts w:hint="default" w:ascii="Times New Roman" w:hAnsi="Times New Roman" w:cs="Times New Roman"/>
          <w:color w:val="auto"/>
          <w:highlight w:val="none"/>
        </w:rPr>
      </w:pPr>
      <w:r>
        <w:rPr>
          <w:rFonts w:hint="default" w:ascii="Times New Roman" w:hAnsi="Times New Roman" w:cs="Times New Roman"/>
          <w:color w:val="auto"/>
          <w:highlight w:val="none"/>
        </w:rPr>
        <w:t>比选人在合同生效后2个工作日内将签订的合同和保证金退还通知抄告重庆市公共资源交易中心，重庆市公共资源交易中心在收到保证金退还通知后2个工作日内，向中选人和中选候选人退还参选保证金。</w:t>
      </w:r>
    </w:p>
    <w:p w14:paraId="6CF896E3">
      <w:pPr>
        <w:rPr>
          <w:rFonts w:hint="default" w:ascii="Times New Roman" w:hAnsi="Times New Roman" w:cs="Times New Roman"/>
          <w:color w:val="auto"/>
          <w:highlight w:val="none"/>
        </w:rPr>
      </w:pPr>
      <w:r>
        <w:rPr>
          <w:rFonts w:hint="default" w:ascii="Times New Roman" w:hAnsi="Times New Roman" w:cs="Times New Roman"/>
          <w:color w:val="auto"/>
          <w:highlight w:val="none"/>
        </w:rPr>
        <w:t>参选保证金专用账户由重庆市公共资源交易中心制定，关于保证金相关情况的问题请咨询重庆市公共资源交易中心，联系电话023-63621694。</w:t>
      </w:r>
    </w:p>
    <w:p w14:paraId="793A9613">
      <w:pPr>
        <w:rPr>
          <w:rFonts w:hint="default" w:ascii="Times New Roman" w:hAnsi="Times New Roman" w:cs="Times New Roman"/>
          <w:color w:val="auto"/>
          <w:highlight w:val="none"/>
        </w:rPr>
      </w:pPr>
      <w:r>
        <w:rPr>
          <w:rFonts w:hint="default" w:ascii="Times New Roman" w:hAnsi="Times New Roman" w:cs="Times New Roman"/>
          <w:color w:val="auto"/>
          <w:highlight w:val="none"/>
        </w:rPr>
        <w:t>4.4.6 参选人有下列情形之一的，参选保证金将不予退还：</w:t>
      </w:r>
    </w:p>
    <w:p w14:paraId="087F424F">
      <w:pPr>
        <w:rPr>
          <w:rFonts w:hint="default" w:ascii="Times New Roman" w:hAnsi="Times New Roman" w:cs="Times New Roman"/>
          <w:color w:val="auto"/>
          <w:highlight w:val="none"/>
        </w:rPr>
      </w:pPr>
      <w:r>
        <w:rPr>
          <w:rFonts w:hint="default" w:ascii="Times New Roman" w:hAnsi="Times New Roman" w:cs="Times New Roman"/>
          <w:color w:val="auto"/>
          <w:highlight w:val="none"/>
        </w:rPr>
        <w:t>4.4.6.1 参选人在参选有效期内撤销参选文件的；</w:t>
      </w:r>
    </w:p>
    <w:p w14:paraId="6028E2ED">
      <w:pPr>
        <w:rPr>
          <w:rFonts w:hint="default" w:ascii="Times New Roman" w:hAnsi="Times New Roman" w:cs="Times New Roman"/>
          <w:color w:val="auto"/>
          <w:highlight w:val="none"/>
        </w:rPr>
      </w:pPr>
      <w:r>
        <w:rPr>
          <w:rFonts w:hint="default" w:ascii="Times New Roman" w:hAnsi="Times New Roman" w:cs="Times New Roman"/>
          <w:color w:val="auto"/>
          <w:highlight w:val="none"/>
        </w:rPr>
        <w:t>4.4.6.2 参选人在参选过程中弄虚作假，提供虚假材料的；</w:t>
      </w:r>
    </w:p>
    <w:p w14:paraId="1912C42E">
      <w:pPr>
        <w:rPr>
          <w:rFonts w:hint="default" w:ascii="Times New Roman" w:hAnsi="Times New Roman" w:cs="Times New Roman"/>
          <w:color w:val="auto"/>
          <w:highlight w:val="none"/>
        </w:rPr>
      </w:pPr>
      <w:r>
        <w:rPr>
          <w:rFonts w:hint="default" w:ascii="Times New Roman" w:hAnsi="Times New Roman" w:cs="Times New Roman"/>
          <w:color w:val="auto"/>
          <w:highlight w:val="none"/>
        </w:rPr>
        <w:t>4.4.6.3 中选人无正当理由不与比选人签订合同的；</w:t>
      </w:r>
    </w:p>
    <w:p w14:paraId="04BA0D0B">
      <w:pPr>
        <w:rPr>
          <w:rFonts w:hint="default" w:ascii="Times New Roman" w:hAnsi="Times New Roman" w:cs="Times New Roman"/>
          <w:color w:val="auto"/>
          <w:highlight w:val="none"/>
        </w:rPr>
      </w:pPr>
      <w:r>
        <w:rPr>
          <w:rFonts w:hint="default" w:ascii="Times New Roman" w:hAnsi="Times New Roman" w:cs="Times New Roman"/>
          <w:color w:val="auto"/>
          <w:highlight w:val="none"/>
        </w:rPr>
        <w:t>4.4.6.4 中选人将中选项目转让给他人或者在参选文件中未说明且未经比选单位同意，将中选项目分包给他人的；</w:t>
      </w:r>
    </w:p>
    <w:p w14:paraId="547553EE">
      <w:pPr>
        <w:rPr>
          <w:rFonts w:hint="default" w:ascii="Times New Roman" w:hAnsi="Times New Roman" w:cs="Times New Roman"/>
          <w:color w:val="auto"/>
          <w:highlight w:val="none"/>
        </w:rPr>
      </w:pPr>
      <w:r>
        <w:rPr>
          <w:rFonts w:hint="default" w:ascii="Times New Roman" w:hAnsi="Times New Roman" w:cs="Times New Roman"/>
          <w:color w:val="auto"/>
          <w:highlight w:val="none"/>
        </w:rPr>
        <w:t>4.4.6.5 中选人拒绝履行合同义务的；</w:t>
      </w:r>
    </w:p>
    <w:p w14:paraId="22ABCDD9">
      <w:pPr>
        <w:rPr>
          <w:rFonts w:hint="default" w:ascii="Times New Roman" w:hAnsi="Times New Roman" w:cs="Times New Roman"/>
          <w:color w:val="auto"/>
          <w:highlight w:val="none"/>
        </w:rPr>
      </w:pPr>
      <w:r>
        <w:rPr>
          <w:rFonts w:hint="default" w:ascii="Times New Roman" w:hAnsi="Times New Roman" w:cs="Times New Roman"/>
          <w:color w:val="auto"/>
          <w:highlight w:val="none"/>
        </w:rPr>
        <w:t>4.4.6.6 其他严重扰乱比选程序的；</w:t>
      </w:r>
    </w:p>
    <w:p w14:paraId="5AD363E4">
      <w:pPr>
        <w:pStyle w:val="4"/>
        <w:rPr>
          <w:rFonts w:hint="default" w:ascii="Times New Roman" w:hAnsi="Times New Roman" w:cs="Times New Roman"/>
          <w:color w:val="auto"/>
          <w:highlight w:val="none"/>
        </w:rPr>
      </w:pPr>
      <w:r>
        <w:rPr>
          <w:rFonts w:hint="default" w:ascii="Times New Roman" w:hAnsi="Times New Roman" w:cs="Times New Roman"/>
          <w:color w:val="auto"/>
          <w:highlight w:val="none"/>
        </w:rPr>
        <w:t>4.5 参选文件的份数和签署</w:t>
      </w:r>
    </w:p>
    <w:p w14:paraId="4AB13DFF">
      <w:pPr>
        <w:rPr>
          <w:rFonts w:hint="default" w:ascii="Times New Roman" w:hAnsi="Times New Roman" w:cs="Times New Roman"/>
          <w:color w:val="auto"/>
          <w:highlight w:val="none"/>
        </w:rPr>
      </w:pPr>
      <w:r>
        <w:rPr>
          <w:rFonts w:hint="default" w:ascii="Times New Roman" w:hAnsi="Times New Roman" w:cs="Times New Roman"/>
          <w:color w:val="auto"/>
          <w:highlight w:val="none"/>
        </w:rPr>
        <w:t>4.5.1 参选文件一式三份，其中正本一份，副本一份，电子文件一份（U盘），正本和副本的封面上应清楚地标记</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正本</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或</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副本</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的字样，副本可为正本的复印件，当副本和正本不一致时，以纸质正本为准。电子文件</w:t>
      </w:r>
      <w:r>
        <w:rPr>
          <w:rFonts w:hint="eastAsia"/>
          <w:color w:val="auto"/>
          <w:highlight w:val="none"/>
        </w:rPr>
        <w:t>应为参选文件盖章</w:t>
      </w:r>
      <w:r>
        <w:rPr>
          <w:rFonts w:hint="default" w:ascii="Times New Roman" w:hAnsi="Times New Roman" w:cs="Times New Roman"/>
          <w:color w:val="auto"/>
          <w:highlight w:val="none"/>
        </w:rPr>
        <w:t>后的PDF格式扫</w:t>
      </w:r>
      <w:r>
        <w:rPr>
          <w:rFonts w:hint="eastAsia"/>
          <w:color w:val="auto"/>
          <w:highlight w:val="none"/>
        </w:rPr>
        <w:t>描件，文件名为“参选人单位名简称+项目名简称”</w:t>
      </w:r>
      <w:r>
        <w:rPr>
          <w:rFonts w:hint="default" w:ascii="Times New Roman" w:hAnsi="Times New Roman" w:cs="Times New Roman"/>
          <w:color w:val="auto"/>
          <w:highlight w:val="none"/>
        </w:rPr>
        <w:t>。</w:t>
      </w:r>
    </w:p>
    <w:p w14:paraId="597131CC">
      <w:pPr>
        <w:rPr>
          <w:rFonts w:hint="default" w:ascii="Times New Roman" w:hAnsi="Times New Roman" w:cs="Times New Roman"/>
          <w:color w:val="auto"/>
          <w:highlight w:val="none"/>
        </w:rPr>
      </w:pPr>
      <w:r>
        <w:rPr>
          <w:rFonts w:hint="default" w:ascii="Times New Roman" w:hAnsi="Times New Roman" w:cs="Times New Roman"/>
          <w:color w:val="auto"/>
          <w:highlight w:val="none"/>
        </w:rPr>
        <w:t>4.5.2 参选文件正本中，每一页均应由参选人加盖公章，其中规定格式的文件应当按要求签名和加盖参选人公章。</w:t>
      </w:r>
    </w:p>
    <w:p w14:paraId="13522A4B">
      <w:pPr>
        <w:rPr>
          <w:rFonts w:hint="default" w:ascii="Times New Roman" w:hAnsi="Times New Roman" w:cs="Times New Roman"/>
          <w:color w:val="auto"/>
          <w:highlight w:val="none"/>
        </w:rPr>
      </w:pPr>
      <w:r>
        <w:rPr>
          <w:rFonts w:hint="default" w:ascii="Times New Roman" w:hAnsi="Times New Roman" w:cs="Times New Roman"/>
          <w:color w:val="auto"/>
          <w:highlight w:val="none"/>
        </w:rPr>
        <w:t>4.5.3 若参选人对参选文件的错处作必要修改，则应在修改处加盖参选人公章或由法人或法人授权代表签字确认。</w:t>
      </w:r>
    </w:p>
    <w:p w14:paraId="3A1D23D2">
      <w:pPr>
        <w:rPr>
          <w:rFonts w:hint="default" w:ascii="Times New Roman" w:hAnsi="Times New Roman" w:cs="Times New Roman"/>
          <w:color w:val="auto"/>
          <w:highlight w:val="none"/>
        </w:rPr>
      </w:pPr>
      <w:r>
        <w:rPr>
          <w:rFonts w:hint="default" w:ascii="Times New Roman" w:hAnsi="Times New Roman" w:cs="Times New Roman"/>
          <w:color w:val="auto"/>
          <w:highlight w:val="none"/>
        </w:rPr>
        <w:t>4.5.4 电报、电话、邮寄、传真形式的参选文件概不接受。</w:t>
      </w:r>
    </w:p>
    <w:p w14:paraId="54414247">
      <w:pPr>
        <w:pStyle w:val="4"/>
        <w:rPr>
          <w:rFonts w:hint="default" w:ascii="Times New Roman" w:hAnsi="Times New Roman" w:cs="Times New Roman"/>
          <w:color w:val="auto"/>
          <w:highlight w:val="none"/>
        </w:rPr>
      </w:pPr>
      <w:r>
        <w:rPr>
          <w:rFonts w:hint="default" w:ascii="Times New Roman" w:hAnsi="Times New Roman" w:cs="Times New Roman"/>
          <w:color w:val="auto"/>
          <w:highlight w:val="none"/>
        </w:rPr>
        <w:t>4.6 参选文件的密封与标记</w:t>
      </w:r>
    </w:p>
    <w:p w14:paraId="456C2DE6">
      <w:pPr>
        <w:rPr>
          <w:rFonts w:hint="default" w:ascii="Times New Roman" w:hAnsi="Times New Roman" w:cs="Times New Roman"/>
          <w:color w:val="auto"/>
          <w:highlight w:val="none"/>
        </w:rPr>
      </w:pPr>
      <w:r>
        <w:rPr>
          <w:rFonts w:hint="default" w:ascii="Times New Roman" w:hAnsi="Times New Roman" w:cs="Times New Roman"/>
          <w:color w:val="auto"/>
          <w:highlight w:val="none"/>
        </w:rPr>
        <w:t>参选文件的正本、副本、电子文件装入一个文件大袋进行密封。密封袋上注明项目名称、参选人名称及</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不准提前启封</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字样。信封的封口须加盖参选人公章或授权代表签字。</w:t>
      </w:r>
    </w:p>
    <w:p w14:paraId="4165BEC6">
      <w:pPr>
        <w:rPr>
          <w:rFonts w:hint="default" w:ascii="Times New Roman" w:hAnsi="Times New Roman" w:cs="Times New Roman"/>
          <w:color w:val="auto"/>
          <w:highlight w:val="none"/>
        </w:rPr>
      </w:pPr>
      <w:r>
        <w:rPr>
          <w:rFonts w:hint="default" w:ascii="Times New Roman" w:hAnsi="Times New Roman" w:cs="Times New Roman"/>
          <w:color w:val="auto"/>
          <w:highlight w:val="none"/>
        </w:rPr>
        <w:t>如果未按上述规定进行密封和标记，则其参选将作为无效参选处理。</w:t>
      </w:r>
    </w:p>
    <w:p w14:paraId="1C4737CD">
      <w:pPr>
        <w:pStyle w:val="4"/>
        <w:rPr>
          <w:rFonts w:hint="default" w:ascii="Times New Roman" w:hAnsi="Times New Roman" w:cs="Times New Roman"/>
          <w:color w:val="auto"/>
          <w:highlight w:val="none"/>
        </w:rPr>
      </w:pPr>
      <w:r>
        <w:rPr>
          <w:rFonts w:hint="default" w:ascii="Times New Roman" w:hAnsi="Times New Roman" w:cs="Times New Roman"/>
          <w:color w:val="auto"/>
          <w:highlight w:val="none"/>
        </w:rPr>
        <w:t>4.7 参选报价</w:t>
      </w:r>
    </w:p>
    <w:p w14:paraId="4C1AE53D">
      <w:pPr>
        <w:rPr>
          <w:rFonts w:hint="default" w:ascii="Times New Roman" w:hAnsi="Times New Roman" w:cs="Times New Roman"/>
          <w:color w:val="auto"/>
          <w:highlight w:val="none"/>
        </w:rPr>
      </w:pPr>
      <w:r>
        <w:rPr>
          <w:rFonts w:hint="default" w:ascii="Times New Roman" w:hAnsi="Times New Roman" w:cs="Times New Roman"/>
          <w:color w:val="auto"/>
          <w:highlight w:val="none"/>
        </w:rPr>
        <w:t>4.7.1 参选人应严格按照</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参选文件格式</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填写报价。</w:t>
      </w:r>
    </w:p>
    <w:p w14:paraId="3CB72881">
      <w:pPr>
        <w:rPr>
          <w:rFonts w:hint="default" w:ascii="Times New Roman" w:hAnsi="Times New Roman" w:cs="Times New Roman"/>
          <w:color w:val="auto"/>
          <w:highlight w:val="none"/>
        </w:rPr>
      </w:pPr>
      <w:r>
        <w:rPr>
          <w:rFonts w:hint="default" w:ascii="Times New Roman" w:hAnsi="Times New Roman" w:cs="Times New Roman"/>
          <w:color w:val="auto"/>
          <w:highlight w:val="none"/>
        </w:rPr>
        <w:t>4.7.2 参选人的报价为一次性报价，即在参选有效期内参选价格固定不变。</w:t>
      </w:r>
    </w:p>
    <w:p w14:paraId="2F8FE499">
      <w:pPr>
        <w:rPr>
          <w:rFonts w:hint="default" w:ascii="Times New Roman" w:hAnsi="Times New Roman" w:cs="Times New Roman"/>
          <w:color w:val="auto"/>
          <w:highlight w:val="none"/>
        </w:rPr>
      </w:pPr>
      <w:r>
        <w:rPr>
          <w:rFonts w:hint="default" w:ascii="Times New Roman" w:hAnsi="Times New Roman" w:cs="Times New Roman"/>
          <w:color w:val="auto"/>
          <w:highlight w:val="none"/>
        </w:rPr>
        <w:t>4.7.3 本项目只接受一个参选报价，有选择的或有条件的参选将不予接受。</w:t>
      </w:r>
    </w:p>
    <w:p w14:paraId="584D04B8">
      <w:pPr>
        <w:keepNext w:val="0"/>
        <w:keepLines w:val="0"/>
        <w:pageBreakBefore w:val="0"/>
        <w:widowControl w:val="0"/>
        <w:kinsoku/>
        <w:wordWrap/>
        <w:overflowPunct/>
        <w:topLinePunct w:val="0"/>
        <w:autoSpaceDE w:val="0"/>
        <w:autoSpaceDN w:val="0"/>
        <w:bidi w:val="0"/>
        <w:adjustRightInd/>
        <w:snapToGrid/>
        <w:ind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4.7.4 参选报价不得超过最高限价。</w:t>
      </w:r>
    </w:p>
    <w:p w14:paraId="7A7FDAC9">
      <w:pPr>
        <w:pStyle w:val="4"/>
        <w:rPr>
          <w:rFonts w:hint="default" w:ascii="Times New Roman" w:hAnsi="Times New Roman" w:cs="Times New Roman"/>
          <w:color w:val="auto"/>
          <w:highlight w:val="none"/>
        </w:rPr>
      </w:pPr>
      <w:r>
        <w:rPr>
          <w:rFonts w:hint="default" w:ascii="Times New Roman" w:hAnsi="Times New Roman" w:cs="Times New Roman"/>
          <w:color w:val="auto"/>
          <w:highlight w:val="none"/>
        </w:rPr>
        <w:t>4.8 修正错误</w:t>
      </w:r>
    </w:p>
    <w:p w14:paraId="53F01136">
      <w:pPr>
        <w:rPr>
          <w:rFonts w:hint="default" w:ascii="Times New Roman" w:hAnsi="Times New Roman" w:cs="Times New Roman"/>
          <w:color w:val="auto"/>
          <w:highlight w:val="none"/>
        </w:rPr>
      </w:pPr>
      <w:r>
        <w:rPr>
          <w:rFonts w:hint="default" w:ascii="Times New Roman" w:hAnsi="Times New Roman" w:cs="Times New Roman"/>
          <w:color w:val="auto"/>
          <w:highlight w:val="none"/>
        </w:rPr>
        <w:t>若参选文件出现计算或表达上的错误，修正错误的原则如下：</w:t>
      </w:r>
    </w:p>
    <w:p w14:paraId="66365A0D">
      <w:pPr>
        <w:rPr>
          <w:rFonts w:hint="default" w:ascii="Times New Roman" w:hAnsi="Times New Roman" w:cs="Times New Roman"/>
          <w:color w:val="auto"/>
          <w:highlight w:val="none"/>
        </w:rPr>
      </w:pPr>
      <w:r>
        <w:rPr>
          <w:rFonts w:hint="default" w:ascii="Times New Roman" w:hAnsi="Times New Roman" w:cs="Times New Roman"/>
          <w:color w:val="auto"/>
          <w:highlight w:val="none"/>
        </w:rPr>
        <w:t>4.8.1 参选文件的大写金额和小写金额不一致的，以大写金额为准；</w:t>
      </w:r>
    </w:p>
    <w:p w14:paraId="12054055">
      <w:pPr>
        <w:rPr>
          <w:rFonts w:hint="default" w:ascii="Times New Roman" w:hAnsi="Times New Roman" w:cs="Times New Roman"/>
          <w:color w:val="auto"/>
          <w:highlight w:val="none"/>
        </w:rPr>
      </w:pPr>
      <w:r>
        <w:rPr>
          <w:rFonts w:hint="default" w:ascii="Times New Roman" w:hAnsi="Times New Roman" w:cs="Times New Roman"/>
          <w:color w:val="auto"/>
          <w:highlight w:val="none"/>
        </w:rPr>
        <w:t>4.8.2 总价金额与按单价汇总金额不一致的，以单价金额计算结果为准；</w:t>
      </w:r>
    </w:p>
    <w:p w14:paraId="6E761913">
      <w:pPr>
        <w:rPr>
          <w:rFonts w:hint="default" w:ascii="Times New Roman" w:hAnsi="Times New Roman" w:cs="Times New Roman"/>
          <w:color w:val="auto"/>
          <w:highlight w:val="none"/>
        </w:rPr>
      </w:pPr>
      <w:r>
        <w:rPr>
          <w:rFonts w:hint="default" w:ascii="Times New Roman" w:hAnsi="Times New Roman" w:cs="Times New Roman"/>
          <w:color w:val="auto"/>
          <w:highlight w:val="none"/>
        </w:rPr>
        <w:t>4.8.3 单价金额小数点有明显错位的，应以总价为准，并修正单价；</w:t>
      </w:r>
    </w:p>
    <w:p w14:paraId="6821F0EA">
      <w:pPr>
        <w:rPr>
          <w:rFonts w:hint="default" w:ascii="Times New Roman" w:hAnsi="Times New Roman" w:cs="Times New Roman"/>
          <w:color w:val="auto"/>
          <w:highlight w:val="none"/>
        </w:rPr>
      </w:pPr>
      <w:r>
        <w:rPr>
          <w:rFonts w:hint="default" w:ascii="Times New Roman" w:hAnsi="Times New Roman" w:cs="Times New Roman"/>
          <w:color w:val="auto"/>
          <w:highlight w:val="none"/>
        </w:rPr>
        <w:t>4.8.4 对不同文字文本参选文件的解释发生异议的，以中文文本为准。</w:t>
      </w:r>
    </w:p>
    <w:p w14:paraId="4290CB2F">
      <w:pPr>
        <w:keepNext w:val="0"/>
        <w:keepLines w:val="0"/>
        <w:pageBreakBefore w:val="0"/>
        <w:widowControl w:val="0"/>
        <w:kinsoku/>
        <w:wordWrap/>
        <w:overflowPunct/>
        <w:topLinePunct w:val="0"/>
        <w:autoSpaceDE w:val="0"/>
        <w:autoSpaceDN w:val="0"/>
        <w:bidi w:val="0"/>
        <w:adjustRightInd/>
        <w:snapToGrid/>
        <w:ind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4.8.5 含税金额与不含税金额存在计算错误的，以含税金额为准。</w:t>
      </w:r>
    </w:p>
    <w:p w14:paraId="59171C26">
      <w:pPr>
        <w:rPr>
          <w:rFonts w:hint="default" w:ascii="Times New Roman" w:hAnsi="Times New Roman" w:cs="Times New Roman"/>
          <w:color w:val="auto"/>
          <w:highlight w:val="none"/>
        </w:rPr>
      </w:pPr>
      <w:r>
        <w:rPr>
          <w:rFonts w:hint="default" w:ascii="Times New Roman" w:hAnsi="Times New Roman" w:cs="Times New Roman"/>
          <w:color w:val="auto"/>
          <w:highlight w:val="none"/>
        </w:rPr>
        <w:t>评审委员会按上述修正错误的原则及方法调整或修正参选人参选报价，参选人授权代表同意并签字确认后，调整后的参选报价对参选人具有约束作用。如果参选人不接受修正后的报价，则其参选将作为无效参选处理。</w:t>
      </w:r>
    </w:p>
    <w:p w14:paraId="25662403">
      <w:pPr>
        <w:pStyle w:val="3"/>
        <w:rPr>
          <w:rFonts w:hint="default" w:ascii="Times New Roman" w:hAnsi="Times New Roman" w:cs="Times New Roman"/>
          <w:color w:val="auto"/>
          <w:highlight w:val="none"/>
        </w:rPr>
      </w:pPr>
      <w:bookmarkStart w:id="38" w:name="_Toc89675166"/>
      <w:r>
        <w:rPr>
          <w:rFonts w:hint="default" w:ascii="Times New Roman" w:hAnsi="Times New Roman" w:cs="Times New Roman"/>
          <w:color w:val="auto"/>
          <w:highlight w:val="none"/>
        </w:rPr>
        <w:t>5. 比选程序</w:t>
      </w:r>
    </w:p>
    <w:p w14:paraId="5DE499A5">
      <w:pPr>
        <w:rPr>
          <w:rFonts w:hint="default" w:ascii="Times New Roman" w:hAnsi="Times New Roman" w:cs="Times New Roman"/>
          <w:color w:val="auto"/>
          <w:highlight w:val="none"/>
        </w:rPr>
      </w:pPr>
      <w:r>
        <w:rPr>
          <w:rFonts w:hint="default" w:ascii="Times New Roman" w:hAnsi="Times New Roman" w:cs="Times New Roman"/>
          <w:color w:val="auto"/>
          <w:highlight w:val="none"/>
        </w:rPr>
        <w:t>主持人按下列程序进行比选：</w:t>
      </w:r>
    </w:p>
    <w:p w14:paraId="48850546">
      <w:pPr>
        <w:rPr>
          <w:rFonts w:hint="default" w:ascii="Times New Roman" w:hAnsi="Times New Roman" w:cs="Times New Roman"/>
          <w:color w:val="auto"/>
          <w:highlight w:val="none"/>
        </w:rPr>
      </w:pPr>
      <w:r>
        <w:rPr>
          <w:rFonts w:hint="default" w:ascii="Times New Roman" w:hAnsi="Times New Roman" w:cs="Times New Roman"/>
          <w:color w:val="auto"/>
          <w:highlight w:val="none"/>
        </w:rPr>
        <w:t>5.1 宣布比选纪律；</w:t>
      </w:r>
    </w:p>
    <w:p w14:paraId="5DCD14C9">
      <w:pPr>
        <w:rPr>
          <w:rFonts w:hint="default" w:ascii="Times New Roman" w:hAnsi="Times New Roman" w:cs="Times New Roman"/>
          <w:color w:val="auto"/>
          <w:highlight w:val="none"/>
        </w:rPr>
      </w:pPr>
      <w:r>
        <w:rPr>
          <w:rFonts w:hint="default" w:ascii="Times New Roman" w:hAnsi="Times New Roman" w:cs="Times New Roman"/>
          <w:color w:val="auto"/>
          <w:highlight w:val="none"/>
        </w:rPr>
        <w:t>5.2 宣布比选人、唱标人、记录人、监督人等有关人员姓名；</w:t>
      </w:r>
    </w:p>
    <w:p w14:paraId="07106873">
      <w:pPr>
        <w:rPr>
          <w:rFonts w:hint="default" w:ascii="Times New Roman" w:hAnsi="Times New Roman" w:cs="Times New Roman"/>
          <w:color w:val="auto"/>
          <w:highlight w:val="none"/>
        </w:rPr>
      </w:pPr>
      <w:r>
        <w:rPr>
          <w:rFonts w:hint="default" w:ascii="Times New Roman" w:hAnsi="Times New Roman" w:cs="Times New Roman"/>
          <w:color w:val="auto"/>
          <w:highlight w:val="none"/>
        </w:rPr>
        <w:t>5.3 公布在</w:t>
      </w:r>
      <w:r>
        <w:rPr>
          <w:rFonts w:hint="eastAsia" w:ascii="Times New Roman" w:hAnsi="Times New Roman" w:cs="Times New Roman"/>
          <w:color w:val="auto"/>
          <w:highlight w:val="none"/>
          <w:lang w:eastAsia="zh-CN"/>
        </w:rPr>
        <w:t>参</w:t>
      </w:r>
      <w:r>
        <w:rPr>
          <w:rFonts w:hint="default" w:ascii="Times New Roman" w:hAnsi="Times New Roman" w:cs="Times New Roman"/>
          <w:color w:val="auto"/>
          <w:highlight w:val="none"/>
        </w:rPr>
        <w:t>选截止时间前递交参选文件的参选人名称，并点名确认参选人是否派人到场；</w:t>
      </w:r>
    </w:p>
    <w:p w14:paraId="5E403951">
      <w:pPr>
        <w:rPr>
          <w:rFonts w:hint="default" w:ascii="Times New Roman" w:hAnsi="Times New Roman" w:cs="Times New Roman"/>
          <w:color w:val="auto"/>
          <w:highlight w:val="none"/>
        </w:rPr>
      </w:pPr>
      <w:r>
        <w:rPr>
          <w:rFonts w:hint="default" w:ascii="Times New Roman" w:hAnsi="Times New Roman" w:cs="Times New Roman"/>
          <w:color w:val="auto"/>
          <w:highlight w:val="none"/>
        </w:rPr>
        <w:t>5.4 展示参选保证金，参选保证金缴款不全或有误的，则记录在案交由评审委员会评审；</w:t>
      </w:r>
    </w:p>
    <w:p w14:paraId="7BAEEE19">
      <w:pPr>
        <w:rPr>
          <w:rFonts w:hint="default" w:ascii="Times New Roman" w:hAnsi="Times New Roman" w:cs="Times New Roman"/>
          <w:color w:val="auto"/>
          <w:highlight w:val="none"/>
        </w:rPr>
      </w:pPr>
      <w:r>
        <w:rPr>
          <w:rFonts w:hint="default" w:ascii="Times New Roman" w:hAnsi="Times New Roman" w:cs="Times New Roman"/>
          <w:color w:val="auto"/>
          <w:highlight w:val="none"/>
        </w:rPr>
        <w:t>5.5 封装情况检查：参选人或者其推选的代表检查各参选文件的封装情况并确认；</w:t>
      </w:r>
    </w:p>
    <w:p w14:paraId="2AECF1D2">
      <w:pPr>
        <w:rPr>
          <w:rFonts w:hint="default" w:ascii="Times New Roman" w:hAnsi="Times New Roman" w:cs="Times New Roman"/>
          <w:color w:val="auto"/>
          <w:highlight w:val="none"/>
        </w:rPr>
      </w:pPr>
      <w:r>
        <w:rPr>
          <w:rFonts w:hint="default" w:ascii="Times New Roman" w:hAnsi="Times New Roman" w:cs="Times New Roman"/>
          <w:color w:val="auto"/>
          <w:highlight w:val="none"/>
        </w:rPr>
        <w:t>5.6 设有最高限价的，公布最高限价；</w:t>
      </w:r>
    </w:p>
    <w:p w14:paraId="53DD55F9">
      <w:pPr>
        <w:rPr>
          <w:rFonts w:hint="default" w:ascii="Times New Roman" w:hAnsi="Times New Roman" w:cs="Times New Roman"/>
          <w:color w:val="auto"/>
          <w:highlight w:val="none"/>
        </w:rPr>
      </w:pPr>
      <w:r>
        <w:rPr>
          <w:rFonts w:hint="default" w:ascii="Times New Roman" w:hAnsi="Times New Roman" w:cs="Times New Roman"/>
          <w:color w:val="auto"/>
          <w:highlight w:val="none"/>
        </w:rPr>
        <w:t>5.7 开启参选文件；</w:t>
      </w:r>
    </w:p>
    <w:p w14:paraId="306936AB">
      <w:pPr>
        <w:rPr>
          <w:rFonts w:hint="default" w:ascii="Times New Roman" w:hAnsi="Times New Roman" w:cs="Times New Roman"/>
          <w:color w:val="auto"/>
          <w:highlight w:val="none"/>
        </w:rPr>
      </w:pPr>
      <w:r>
        <w:rPr>
          <w:rFonts w:hint="default" w:ascii="Times New Roman" w:hAnsi="Times New Roman" w:cs="Times New Roman"/>
          <w:color w:val="auto"/>
          <w:highlight w:val="none"/>
        </w:rPr>
        <w:t>5.8 比选人代表、参选人代表、监督人、记录人等有关人员在比选记录上签字确认；</w:t>
      </w:r>
    </w:p>
    <w:p w14:paraId="6B354209">
      <w:pPr>
        <w:rPr>
          <w:rFonts w:hint="default" w:ascii="Times New Roman" w:hAnsi="Times New Roman" w:cs="Times New Roman"/>
          <w:color w:val="auto"/>
          <w:highlight w:val="none"/>
        </w:rPr>
      </w:pPr>
      <w:r>
        <w:rPr>
          <w:rFonts w:hint="default" w:ascii="Times New Roman" w:hAnsi="Times New Roman" w:cs="Times New Roman"/>
          <w:color w:val="auto"/>
          <w:highlight w:val="none"/>
        </w:rPr>
        <w:t>5.9 比选结束。</w:t>
      </w:r>
    </w:p>
    <w:p w14:paraId="339B8786">
      <w:pPr>
        <w:pStyle w:val="3"/>
        <w:rPr>
          <w:rFonts w:hint="default" w:ascii="Times New Roman" w:hAnsi="Times New Roman" w:cs="Times New Roman"/>
          <w:color w:val="auto"/>
          <w:highlight w:val="none"/>
        </w:rPr>
      </w:pPr>
      <w:r>
        <w:rPr>
          <w:rFonts w:hint="default" w:ascii="Times New Roman" w:hAnsi="Times New Roman" w:cs="Times New Roman"/>
          <w:color w:val="auto"/>
          <w:highlight w:val="none"/>
        </w:rPr>
        <w:t>6. 评审</w:t>
      </w:r>
    </w:p>
    <w:p w14:paraId="08F3984F">
      <w:pPr>
        <w:rPr>
          <w:rFonts w:hint="default" w:ascii="Times New Roman" w:hAnsi="Times New Roman" w:cs="Times New Roman"/>
          <w:color w:val="auto"/>
          <w:highlight w:val="none"/>
        </w:rPr>
      </w:pPr>
      <w:r>
        <w:rPr>
          <w:rFonts w:hint="default" w:ascii="Times New Roman" w:hAnsi="Times New Roman" w:cs="Times New Roman"/>
          <w:color w:val="auto"/>
          <w:highlight w:val="none"/>
        </w:rPr>
        <w:t>见第四章内容。</w:t>
      </w:r>
    </w:p>
    <w:p w14:paraId="653413F2">
      <w:pPr>
        <w:pStyle w:val="3"/>
        <w:rPr>
          <w:rFonts w:hint="default" w:ascii="Times New Roman" w:hAnsi="Times New Roman" w:cs="Times New Roman"/>
          <w:color w:val="auto"/>
          <w:highlight w:val="none"/>
        </w:rPr>
      </w:pPr>
      <w:r>
        <w:rPr>
          <w:rFonts w:hint="default" w:ascii="Times New Roman" w:hAnsi="Times New Roman" w:cs="Times New Roman"/>
          <w:color w:val="auto"/>
          <w:highlight w:val="none"/>
        </w:rPr>
        <w:t>7. 定选</w:t>
      </w:r>
      <w:bookmarkEnd w:id="38"/>
    </w:p>
    <w:p w14:paraId="7AD61983">
      <w:pPr>
        <w:rPr>
          <w:rFonts w:hint="default" w:ascii="Times New Roman" w:hAnsi="Times New Roman" w:cs="Times New Roman"/>
          <w:color w:val="auto"/>
          <w:highlight w:val="none"/>
        </w:rPr>
      </w:pPr>
      <w:r>
        <w:rPr>
          <w:rFonts w:hint="default" w:ascii="Times New Roman" w:hAnsi="Times New Roman" w:cs="Times New Roman"/>
          <w:color w:val="auto"/>
          <w:highlight w:val="none"/>
        </w:rPr>
        <w:t>7.1 定选原则</w:t>
      </w:r>
    </w:p>
    <w:p w14:paraId="74982488">
      <w:pPr>
        <w:rPr>
          <w:rFonts w:hint="default" w:ascii="Times New Roman" w:hAnsi="Times New Roman" w:cs="Times New Roman"/>
          <w:color w:val="auto"/>
          <w:highlight w:val="none"/>
        </w:rPr>
      </w:pPr>
      <w:r>
        <w:rPr>
          <w:rFonts w:hint="default" w:ascii="Times New Roman" w:hAnsi="Times New Roman" w:cs="Times New Roman"/>
          <w:color w:val="auto"/>
          <w:highlight w:val="none"/>
        </w:rPr>
        <w:t>比选人按照评审报告中推荐的中选候选人排名顺序确定中选人，如中选人因不可抗力或者自身原因不能履行合同的，比选人可以确定依次其后的候选人为中选人，以此类推。</w:t>
      </w:r>
    </w:p>
    <w:p w14:paraId="5F2ED59E">
      <w:pPr>
        <w:rPr>
          <w:rFonts w:hint="default" w:ascii="Times New Roman" w:hAnsi="Times New Roman" w:cs="Times New Roman"/>
          <w:color w:val="auto"/>
          <w:highlight w:val="none"/>
        </w:rPr>
      </w:pPr>
      <w:r>
        <w:rPr>
          <w:rFonts w:hint="default" w:ascii="Times New Roman" w:hAnsi="Times New Roman" w:cs="Times New Roman"/>
          <w:color w:val="auto"/>
          <w:highlight w:val="none"/>
        </w:rPr>
        <w:t>7.2 不承诺最低价格中选。</w:t>
      </w:r>
    </w:p>
    <w:p w14:paraId="1CEAA3DF">
      <w:pPr>
        <w:rPr>
          <w:rFonts w:hint="default" w:ascii="Times New Roman" w:hAnsi="Times New Roman" w:cs="Times New Roman"/>
          <w:color w:val="auto"/>
          <w:highlight w:val="none"/>
        </w:rPr>
      </w:pPr>
      <w:r>
        <w:rPr>
          <w:rFonts w:hint="default" w:ascii="Times New Roman" w:hAnsi="Times New Roman" w:cs="Times New Roman"/>
          <w:color w:val="auto"/>
          <w:highlight w:val="none"/>
        </w:rPr>
        <w:t>7.3 若中选人参选材料出现造假、不实等与实际查询结果不符或无故弃选的情况，比选人有权选择重新比选或顺延下一中选候选人，由此带来的损失比选人有权通过没收参选保证金等方式进行追溯。</w:t>
      </w:r>
    </w:p>
    <w:p w14:paraId="72B36846">
      <w:pPr>
        <w:pStyle w:val="3"/>
        <w:rPr>
          <w:rFonts w:hint="default" w:ascii="Times New Roman" w:hAnsi="Times New Roman" w:cs="Times New Roman"/>
          <w:color w:val="auto"/>
          <w:highlight w:val="none"/>
        </w:rPr>
      </w:pPr>
      <w:bookmarkStart w:id="39" w:name="_Toc12245"/>
      <w:bookmarkStart w:id="40" w:name="_Toc89675168"/>
      <w:r>
        <w:rPr>
          <w:rFonts w:hint="default" w:ascii="Times New Roman" w:hAnsi="Times New Roman" w:cs="Times New Roman"/>
          <w:color w:val="auto"/>
          <w:highlight w:val="none"/>
        </w:rPr>
        <w:t>8. 签订合同</w:t>
      </w:r>
      <w:bookmarkEnd w:id="39"/>
      <w:bookmarkEnd w:id="40"/>
    </w:p>
    <w:p w14:paraId="1CE45601">
      <w:pPr>
        <w:rPr>
          <w:rFonts w:hint="default" w:ascii="Times New Roman" w:hAnsi="Times New Roman" w:cs="Times New Roman"/>
          <w:color w:val="auto"/>
          <w:highlight w:val="none"/>
        </w:rPr>
      </w:pPr>
      <w:r>
        <w:rPr>
          <w:rFonts w:hint="default" w:ascii="Times New Roman" w:hAnsi="Times New Roman" w:cs="Times New Roman"/>
          <w:color w:val="auto"/>
          <w:highlight w:val="none"/>
        </w:rPr>
        <w:t>8.1 比选人指定的使用单位将在自中选通知发出之日起，依据比选文件和中选人参选文件的约定，按照比选人内部流程与中选人签订书面合同。所签订的合同不得对比选文件和中选人参选文件作实质性修改。</w:t>
      </w:r>
    </w:p>
    <w:p w14:paraId="1D81B3C3">
      <w:pPr>
        <w:rPr>
          <w:rFonts w:hint="default" w:ascii="Times New Roman" w:hAnsi="Times New Roman" w:cs="Times New Roman"/>
          <w:color w:val="auto"/>
          <w:highlight w:val="none"/>
        </w:rPr>
      </w:pPr>
      <w:r>
        <w:rPr>
          <w:rFonts w:hint="default" w:ascii="Times New Roman" w:hAnsi="Times New Roman" w:cs="Times New Roman"/>
          <w:color w:val="auto"/>
          <w:highlight w:val="none"/>
        </w:rPr>
        <w:t>8.2 比选文件、中选人的参选文件及澄清文件等，均为签订合同的依据。</w:t>
      </w:r>
    </w:p>
    <w:p w14:paraId="43FDCE46">
      <w:pPr>
        <w:rPr>
          <w:rFonts w:hint="default" w:ascii="Times New Roman" w:hAnsi="Times New Roman" w:cs="Times New Roman"/>
          <w:color w:val="auto"/>
          <w:highlight w:val="none"/>
        </w:rPr>
      </w:pPr>
      <w:r>
        <w:rPr>
          <w:rFonts w:hint="default" w:ascii="Times New Roman" w:hAnsi="Times New Roman" w:cs="Times New Roman"/>
          <w:color w:val="auto"/>
          <w:highlight w:val="none"/>
        </w:rPr>
        <w:t>8.3 合同生效条款由供需双方约定，法律、行政法规规定应当办理批准、登记等手续后生效的合同，依照其规定。</w:t>
      </w:r>
    </w:p>
    <w:p w14:paraId="7980EBE2">
      <w:pPr>
        <w:rPr>
          <w:rFonts w:hint="default" w:ascii="Times New Roman" w:hAnsi="Times New Roman" w:cs="Times New Roman"/>
          <w:color w:val="auto"/>
          <w:highlight w:val="none"/>
        </w:rPr>
      </w:pPr>
      <w:r>
        <w:rPr>
          <w:rFonts w:hint="default" w:ascii="Times New Roman" w:hAnsi="Times New Roman" w:cs="Times New Roman"/>
          <w:color w:val="auto"/>
          <w:highlight w:val="none"/>
        </w:rPr>
        <w:t>8.4 签订合同后，若中选人无法按要求履约，比选人可以废除中选人资格，并可选择按照中选候选人顺位与下一候选人签订合同。</w:t>
      </w:r>
    </w:p>
    <w:p w14:paraId="259AEE6D">
      <w:pPr>
        <w:rPr>
          <w:rFonts w:hint="default" w:ascii="Times New Roman" w:hAnsi="Times New Roman" w:cs="Times New Roman"/>
          <w:color w:val="auto"/>
          <w:highlight w:val="none"/>
        </w:rPr>
      </w:pPr>
      <w:r>
        <w:rPr>
          <w:rFonts w:hint="default" w:ascii="Times New Roman" w:hAnsi="Times New Roman" w:cs="Times New Roman"/>
          <w:color w:val="auto"/>
          <w:highlight w:val="none"/>
        </w:rPr>
        <w:t>8.5 该项目不允许任何形式的转包。</w:t>
      </w:r>
    </w:p>
    <w:p w14:paraId="5D00770B">
      <w:pPr>
        <w:pStyle w:val="3"/>
        <w:rPr>
          <w:rFonts w:hint="default" w:ascii="Times New Roman" w:hAnsi="Times New Roman" w:cs="Times New Roman"/>
          <w:color w:val="auto"/>
          <w:highlight w:val="none"/>
        </w:rPr>
      </w:pPr>
      <w:r>
        <w:rPr>
          <w:rFonts w:hint="default" w:ascii="Times New Roman" w:hAnsi="Times New Roman" w:cs="Times New Roman"/>
          <w:color w:val="auto"/>
          <w:highlight w:val="none"/>
        </w:rPr>
        <w:t>9. 纪律与要求</w:t>
      </w:r>
    </w:p>
    <w:p w14:paraId="22AC46FC">
      <w:pPr>
        <w:rPr>
          <w:rFonts w:hint="default" w:ascii="Times New Roman" w:hAnsi="Times New Roman" w:cs="Times New Roman"/>
          <w:color w:val="auto"/>
          <w:highlight w:val="none"/>
        </w:rPr>
      </w:pPr>
      <w:r>
        <w:rPr>
          <w:rFonts w:hint="default" w:ascii="Times New Roman" w:hAnsi="Times New Roman" w:cs="Times New Roman"/>
          <w:color w:val="auto"/>
          <w:highlight w:val="none"/>
        </w:rPr>
        <w:t>参选人不得相互串通参选或者与比选人串通参选，不得向比选人行贿谋取中选，不得以他人名义参选或者以其他方式弄虚作假骗取中选；参选人不得以任何方式干扰、影响评审工作。</w:t>
      </w:r>
    </w:p>
    <w:p w14:paraId="54489F33">
      <w:pPr>
        <w:rPr>
          <w:rFonts w:hint="default" w:ascii="Times New Roman" w:hAnsi="Times New Roman" w:cs="Times New Roman"/>
          <w:color w:val="auto"/>
          <w:highlight w:val="none"/>
        </w:rPr>
      </w:pPr>
      <w:r>
        <w:rPr>
          <w:rFonts w:hint="default" w:ascii="Times New Roman" w:hAnsi="Times New Roman" w:cs="Times New Roman"/>
          <w:color w:val="auto"/>
          <w:highlight w:val="none"/>
        </w:rPr>
        <w:t>9.1 有下列情形之一的，属于参选人相互串通参选：</w:t>
      </w:r>
    </w:p>
    <w:p w14:paraId="5E2A5A45">
      <w:pPr>
        <w:rPr>
          <w:rFonts w:hint="default" w:ascii="Times New Roman" w:hAnsi="Times New Roman" w:cs="Times New Roman"/>
          <w:color w:val="auto"/>
          <w:highlight w:val="none"/>
        </w:rPr>
      </w:pPr>
      <w:r>
        <w:rPr>
          <w:rFonts w:hint="default" w:ascii="Times New Roman" w:hAnsi="Times New Roman" w:cs="Times New Roman"/>
          <w:color w:val="auto"/>
          <w:highlight w:val="none"/>
        </w:rPr>
        <w:t>9.1.1 参选人之间协商参选报价等参选文件的实质性内容；</w:t>
      </w:r>
    </w:p>
    <w:p w14:paraId="3598DEBC">
      <w:pPr>
        <w:rPr>
          <w:rFonts w:hint="default" w:ascii="Times New Roman" w:hAnsi="Times New Roman" w:cs="Times New Roman"/>
          <w:color w:val="auto"/>
          <w:highlight w:val="none"/>
        </w:rPr>
      </w:pPr>
      <w:r>
        <w:rPr>
          <w:rFonts w:hint="default" w:ascii="Times New Roman" w:hAnsi="Times New Roman" w:cs="Times New Roman"/>
          <w:color w:val="auto"/>
          <w:highlight w:val="none"/>
        </w:rPr>
        <w:t>9.1.2 参选人之间约定中选人；</w:t>
      </w:r>
    </w:p>
    <w:p w14:paraId="554B5658">
      <w:pPr>
        <w:rPr>
          <w:rFonts w:hint="default" w:ascii="Times New Roman" w:hAnsi="Times New Roman" w:cs="Times New Roman"/>
          <w:color w:val="auto"/>
          <w:highlight w:val="none"/>
        </w:rPr>
      </w:pPr>
      <w:r>
        <w:rPr>
          <w:rFonts w:hint="default" w:ascii="Times New Roman" w:hAnsi="Times New Roman" w:cs="Times New Roman"/>
          <w:color w:val="auto"/>
          <w:highlight w:val="none"/>
        </w:rPr>
        <w:t>9.1.3 参选人之间约定部分参选人放弃参选或者中选；</w:t>
      </w:r>
    </w:p>
    <w:p w14:paraId="60E63003">
      <w:pPr>
        <w:rPr>
          <w:rFonts w:hint="default" w:ascii="Times New Roman" w:hAnsi="Times New Roman" w:cs="Times New Roman"/>
          <w:color w:val="auto"/>
          <w:highlight w:val="none"/>
        </w:rPr>
      </w:pPr>
      <w:r>
        <w:rPr>
          <w:rFonts w:hint="default" w:ascii="Times New Roman" w:hAnsi="Times New Roman" w:cs="Times New Roman"/>
          <w:color w:val="auto"/>
          <w:highlight w:val="none"/>
        </w:rPr>
        <w:t>9.1.4 属于同一集团、协会、商会等组织成员的参选人按照该组织要求协同参选；</w:t>
      </w:r>
    </w:p>
    <w:p w14:paraId="38718903">
      <w:pPr>
        <w:rPr>
          <w:rFonts w:hint="default" w:ascii="Times New Roman" w:hAnsi="Times New Roman" w:cs="Times New Roman"/>
          <w:color w:val="auto"/>
          <w:highlight w:val="none"/>
        </w:rPr>
      </w:pPr>
      <w:r>
        <w:rPr>
          <w:rFonts w:hint="default" w:ascii="Times New Roman" w:hAnsi="Times New Roman" w:cs="Times New Roman"/>
          <w:color w:val="auto"/>
          <w:highlight w:val="none"/>
        </w:rPr>
        <w:t>9.1.5 参选人之间为谋取中选或者排斥特定参选人而采取的其他联合行动。</w:t>
      </w:r>
    </w:p>
    <w:p w14:paraId="78357B50">
      <w:pPr>
        <w:rPr>
          <w:rFonts w:hint="default" w:ascii="Times New Roman" w:hAnsi="Times New Roman" w:cs="Times New Roman"/>
          <w:color w:val="auto"/>
          <w:highlight w:val="none"/>
        </w:rPr>
      </w:pPr>
      <w:r>
        <w:rPr>
          <w:rFonts w:hint="default" w:ascii="Times New Roman" w:hAnsi="Times New Roman" w:cs="Times New Roman"/>
          <w:color w:val="auto"/>
          <w:highlight w:val="none"/>
        </w:rPr>
        <w:t>9.2 有下列情形之一的，视为参选人相互串通参选：</w:t>
      </w:r>
    </w:p>
    <w:p w14:paraId="2EC6F7D0">
      <w:pPr>
        <w:rPr>
          <w:rFonts w:hint="default" w:ascii="Times New Roman" w:hAnsi="Times New Roman" w:cs="Times New Roman"/>
          <w:color w:val="auto"/>
          <w:highlight w:val="none"/>
        </w:rPr>
      </w:pPr>
      <w:r>
        <w:rPr>
          <w:rFonts w:hint="default" w:ascii="Times New Roman" w:hAnsi="Times New Roman" w:cs="Times New Roman"/>
          <w:color w:val="auto"/>
          <w:highlight w:val="none"/>
        </w:rPr>
        <w:t>9.2.1 不同参选人的参选文件由同一单位或者个人编制；</w:t>
      </w:r>
    </w:p>
    <w:p w14:paraId="114F77B6">
      <w:pPr>
        <w:rPr>
          <w:rFonts w:hint="default" w:ascii="Times New Roman" w:hAnsi="Times New Roman" w:cs="Times New Roman"/>
          <w:color w:val="auto"/>
          <w:highlight w:val="none"/>
        </w:rPr>
      </w:pPr>
      <w:r>
        <w:rPr>
          <w:rFonts w:hint="default" w:ascii="Times New Roman" w:hAnsi="Times New Roman" w:cs="Times New Roman"/>
          <w:color w:val="auto"/>
          <w:highlight w:val="none"/>
        </w:rPr>
        <w:t>9.2.2 不同参选人委托同一单位或者个人办理参选事宜；</w:t>
      </w:r>
    </w:p>
    <w:p w14:paraId="0DE02E88">
      <w:pPr>
        <w:rPr>
          <w:rFonts w:hint="default" w:ascii="Times New Roman" w:hAnsi="Times New Roman" w:cs="Times New Roman"/>
          <w:color w:val="auto"/>
          <w:highlight w:val="none"/>
        </w:rPr>
      </w:pPr>
      <w:r>
        <w:rPr>
          <w:rFonts w:hint="default" w:ascii="Times New Roman" w:hAnsi="Times New Roman" w:cs="Times New Roman"/>
          <w:color w:val="auto"/>
          <w:highlight w:val="none"/>
        </w:rPr>
        <w:t>9.2.3 不同参选人的参选文件载明的项目管理成员为同一人；</w:t>
      </w:r>
    </w:p>
    <w:p w14:paraId="2979125C">
      <w:pPr>
        <w:rPr>
          <w:rFonts w:hint="default" w:ascii="Times New Roman" w:hAnsi="Times New Roman" w:cs="Times New Roman"/>
          <w:color w:val="auto"/>
          <w:highlight w:val="none"/>
        </w:rPr>
      </w:pPr>
      <w:r>
        <w:rPr>
          <w:rFonts w:hint="default" w:ascii="Times New Roman" w:hAnsi="Times New Roman" w:cs="Times New Roman"/>
          <w:color w:val="auto"/>
          <w:highlight w:val="none"/>
        </w:rPr>
        <w:t>9.2.4 不同参选人的参选文件相互混装；</w:t>
      </w:r>
    </w:p>
    <w:p w14:paraId="71C6D1C2">
      <w:pPr>
        <w:rPr>
          <w:rFonts w:hint="default" w:ascii="Times New Roman" w:hAnsi="Times New Roman" w:cs="Times New Roman"/>
          <w:color w:val="auto"/>
          <w:highlight w:val="none"/>
        </w:rPr>
      </w:pPr>
      <w:r>
        <w:rPr>
          <w:rFonts w:hint="default" w:ascii="Times New Roman" w:hAnsi="Times New Roman" w:cs="Times New Roman"/>
          <w:color w:val="auto"/>
          <w:highlight w:val="none"/>
        </w:rPr>
        <w:t>9.2.5 不同参选人的参选保证金从同一单位或者个人的账户转出。</w:t>
      </w:r>
    </w:p>
    <w:p w14:paraId="4431EAC3">
      <w:pPr>
        <w:rPr>
          <w:rFonts w:hint="default" w:ascii="Times New Roman" w:hAnsi="Times New Roman" w:cs="Times New Roman"/>
          <w:color w:val="auto"/>
          <w:highlight w:val="none"/>
        </w:rPr>
      </w:pPr>
      <w:r>
        <w:rPr>
          <w:rFonts w:hint="default" w:ascii="Times New Roman" w:hAnsi="Times New Roman" w:cs="Times New Roman"/>
          <w:color w:val="auto"/>
          <w:highlight w:val="none"/>
        </w:rPr>
        <w:t>9.3 使用通过受让或者租借等方式获取的资格、资质证书参选的，属于以他人名义参选。</w:t>
      </w:r>
    </w:p>
    <w:p w14:paraId="03E96AA2">
      <w:pPr>
        <w:rPr>
          <w:rFonts w:hint="default" w:ascii="Times New Roman" w:hAnsi="Times New Roman" w:cs="Times New Roman"/>
          <w:color w:val="auto"/>
          <w:highlight w:val="none"/>
        </w:rPr>
      </w:pPr>
      <w:r>
        <w:rPr>
          <w:rFonts w:hint="default" w:ascii="Times New Roman" w:hAnsi="Times New Roman" w:cs="Times New Roman"/>
          <w:color w:val="auto"/>
          <w:highlight w:val="none"/>
        </w:rPr>
        <w:t>9.4 参选人有下列情形之一的，属于弄虚作假的行为：</w:t>
      </w:r>
    </w:p>
    <w:p w14:paraId="6DB1EA62">
      <w:pPr>
        <w:rPr>
          <w:rFonts w:hint="default" w:ascii="Times New Roman" w:hAnsi="Times New Roman" w:cs="Times New Roman"/>
          <w:color w:val="auto"/>
          <w:highlight w:val="none"/>
        </w:rPr>
      </w:pPr>
      <w:r>
        <w:rPr>
          <w:rFonts w:hint="default" w:ascii="Times New Roman" w:hAnsi="Times New Roman" w:cs="Times New Roman"/>
          <w:color w:val="auto"/>
          <w:highlight w:val="none"/>
        </w:rPr>
        <w:t>9.4.1 使用伪造、变造的许可证件；</w:t>
      </w:r>
    </w:p>
    <w:p w14:paraId="6EC7C77B">
      <w:pPr>
        <w:rPr>
          <w:rFonts w:hint="default" w:ascii="Times New Roman" w:hAnsi="Times New Roman" w:cs="Times New Roman"/>
          <w:color w:val="auto"/>
          <w:highlight w:val="none"/>
        </w:rPr>
      </w:pPr>
      <w:r>
        <w:rPr>
          <w:rFonts w:hint="default" w:ascii="Times New Roman" w:hAnsi="Times New Roman" w:cs="Times New Roman"/>
          <w:color w:val="auto"/>
          <w:highlight w:val="none"/>
        </w:rPr>
        <w:t>9.4.2 提供虚假的财务状况或者虚假业绩；</w:t>
      </w:r>
    </w:p>
    <w:p w14:paraId="0F1FF70D">
      <w:pPr>
        <w:rPr>
          <w:rFonts w:hint="default" w:ascii="Times New Roman" w:hAnsi="Times New Roman" w:cs="Times New Roman"/>
          <w:color w:val="auto"/>
          <w:highlight w:val="none"/>
        </w:rPr>
      </w:pPr>
      <w:r>
        <w:rPr>
          <w:rFonts w:hint="default" w:ascii="Times New Roman" w:hAnsi="Times New Roman" w:cs="Times New Roman"/>
          <w:color w:val="auto"/>
          <w:highlight w:val="none"/>
        </w:rPr>
        <w:t>9.4.3 提供虚假的项目负责人或者主要技术人员简历、劳动关系证明；</w:t>
      </w:r>
    </w:p>
    <w:p w14:paraId="7B6961A1">
      <w:pPr>
        <w:rPr>
          <w:rFonts w:hint="default" w:ascii="Times New Roman" w:hAnsi="Times New Roman" w:cs="Times New Roman"/>
          <w:color w:val="auto"/>
          <w:highlight w:val="none"/>
        </w:rPr>
      </w:pPr>
      <w:r>
        <w:rPr>
          <w:rFonts w:hint="default" w:ascii="Times New Roman" w:hAnsi="Times New Roman" w:cs="Times New Roman"/>
          <w:color w:val="auto"/>
          <w:highlight w:val="none"/>
        </w:rPr>
        <w:t>9.4.4 提供虚假的信用状况；</w:t>
      </w:r>
    </w:p>
    <w:p w14:paraId="67121107">
      <w:pPr>
        <w:rPr>
          <w:rFonts w:hint="default" w:ascii="Times New Roman" w:hAnsi="Times New Roman" w:cs="Times New Roman"/>
          <w:color w:val="auto"/>
          <w:highlight w:val="none"/>
        </w:rPr>
      </w:pPr>
      <w:r>
        <w:rPr>
          <w:rFonts w:hint="default" w:ascii="Times New Roman" w:hAnsi="Times New Roman" w:cs="Times New Roman"/>
          <w:color w:val="auto"/>
          <w:highlight w:val="none"/>
        </w:rPr>
        <w:t>9.4.5 其它弄虚作假的行为。</w:t>
      </w:r>
    </w:p>
    <w:p w14:paraId="06955E43">
      <w:pPr>
        <w:rPr>
          <w:rFonts w:hint="default" w:ascii="Times New Roman" w:hAnsi="Times New Roman" w:cs="Times New Roman"/>
          <w:color w:val="auto"/>
          <w:highlight w:val="none"/>
        </w:rPr>
      </w:pPr>
      <w:r>
        <w:rPr>
          <w:rFonts w:hint="default" w:ascii="Times New Roman" w:hAnsi="Times New Roman" w:cs="Times New Roman"/>
          <w:color w:val="auto"/>
          <w:highlight w:val="none"/>
        </w:rPr>
        <w:t>签订合同前后，若中选单位提供的产品测试不合格或与参选文件中的产品不一致，比选人可废除中选人资格。</w:t>
      </w:r>
    </w:p>
    <w:p w14:paraId="283EF5ED">
      <w:pPr>
        <w:rPr>
          <w:rFonts w:hint="default" w:ascii="Times New Roman" w:hAnsi="Times New Roman" w:cs="Times New Roman"/>
          <w:color w:val="auto"/>
          <w:highlight w:val="none"/>
        </w:rPr>
      </w:pPr>
      <w:r>
        <w:rPr>
          <w:rFonts w:hint="default" w:ascii="Times New Roman" w:hAnsi="Times New Roman" w:cs="Times New Roman"/>
          <w:color w:val="auto"/>
          <w:highlight w:val="none"/>
        </w:rPr>
        <w:t>针对以上情况，比选人有权没收参选人的参选保证金，并保留进一步追究由此带来损失的权利。</w:t>
      </w:r>
    </w:p>
    <w:p w14:paraId="6ADD343A">
      <w:pPr>
        <w:pStyle w:val="3"/>
        <w:rPr>
          <w:rFonts w:hint="default" w:ascii="Times New Roman" w:hAnsi="Times New Roman" w:cs="Times New Roman"/>
          <w:color w:val="auto"/>
          <w:highlight w:val="none"/>
        </w:rPr>
      </w:pPr>
      <w:bookmarkStart w:id="41" w:name="_Toc89675169"/>
      <w:r>
        <w:rPr>
          <w:rFonts w:hint="default" w:ascii="Times New Roman" w:hAnsi="Times New Roman" w:cs="Times New Roman"/>
          <w:color w:val="auto"/>
          <w:highlight w:val="none"/>
        </w:rPr>
        <w:t>10. 提问、质疑、投诉</w:t>
      </w:r>
    </w:p>
    <w:p w14:paraId="382939B3">
      <w:pPr>
        <w:rPr>
          <w:rFonts w:hint="default" w:ascii="Times New Roman" w:hAnsi="Times New Roman" w:cs="Times New Roman"/>
          <w:color w:val="auto"/>
          <w:highlight w:val="none"/>
        </w:rPr>
      </w:pPr>
      <w:r>
        <w:rPr>
          <w:rFonts w:hint="default" w:ascii="Times New Roman" w:hAnsi="Times New Roman" w:cs="Times New Roman"/>
          <w:color w:val="auto"/>
          <w:highlight w:val="none"/>
        </w:rPr>
        <w:t>10.1 补遗内容可能影响参选文件编制的，须在</w:t>
      </w:r>
      <w:r>
        <w:rPr>
          <w:rFonts w:hint="eastAsia" w:ascii="Times New Roman" w:hAnsi="Times New Roman" w:cs="Times New Roman"/>
          <w:color w:val="auto"/>
          <w:highlight w:val="none"/>
          <w:lang w:eastAsia="zh-CN"/>
        </w:rPr>
        <w:t>参</w:t>
      </w:r>
      <w:r>
        <w:rPr>
          <w:rFonts w:hint="default" w:ascii="Times New Roman" w:hAnsi="Times New Roman" w:cs="Times New Roman"/>
          <w:color w:val="auto"/>
          <w:highlight w:val="none"/>
        </w:rPr>
        <w:t>选截止时间3日前发布，发布时间至</w:t>
      </w:r>
      <w:r>
        <w:rPr>
          <w:rFonts w:hint="eastAsia" w:ascii="Times New Roman" w:hAnsi="Times New Roman" w:cs="Times New Roman"/>
          <w:color w:val="auto"/>
          <w:highlight w:val="none"/>
          <w:lang w:eastAsia="zh-CN"/>
        </w:rPr>
        <w:t>参</w:t>
      </w:r>
      <w:r>
        <w:rPr>
          <w:rFonts w:hint="default" w:ascii="Times New Roman" w:hAnsi="Times New Roman" w:cs="Times New Roman"/>
          <w:color w:val="auto"/>
          <w:highlight w:val="none"/>
        </w:rPr>
        <w:t>选截止时间不足3日的，须相应延后</w:t>
      </w:r>
      <w:r>
        <w:rPr>
          <w:rFonts w:hint="eastAsia" w:ascii="Times New Roman" w:hAnsi="Times New Roman" w:cs="Times New Roman"/>
          <w:color w:val="auto"/>
          <w:highlight w:val="none"/>
          <w:lang w:eastAsia="zh-CN"/>
        </w:rPr>
        <w:t>参</w:t>
      </w:r>
      <w:r>
        <w:rPr>
          <w:rFonts w:hint="default" w:ascii="Times New Roman" w:hAnsi="Times New Roman" w:cs="Times New Roman"/>
          <w:color w:val="auto"/>
          <w:highlight w:val="none"/>
        </w:rPr>
        <w:t>选截止时间。</w:t>
      </w:r>
    </w:p>
    <w:p w14:paraId="4DE01F0D">
      <w:pPr>
        <w:rPr>
          <w:rFonts w:hint="default" w:ascii="Times New Roman" w:hAnsi="Times New Roman" w:cs="Times New Roman"/>
          <w:color w:val="auto"/>
          <w:highlight w:val="none"/>
        </w:rPr>
      </w:pPr>
      <w:r>
        <w:rPr>
          <w:rFonts w:hint="default" w:ascii="Times New Roman" w:hAnsi="Times New Roman" w:cs="Times New Roman"/>
          <w:color w:val="auto"/>
          <w:highlight w:val="none"/>
        </w:rPr>
        <w:t>10.2 参选人对比选文件和答疑补遗有质疑的，应当在</w:t>
      </w:r>
      <w:r>
        <w:rPr>
          <w:rFonts w:hint="eastAsia" w:ascii="Times New Roman" w:hAnsi="Times New Roman" w:cs="Times New Roman"/>
          <w:color w:val="auto"/>
          <w:highlight w:val="none"/>
          <w:lang w:eastAsia="zh-CN"/>
        </w:rPr>
        <w:t>参</w:t>
      </w:r>
      <w:r>
        <w:rPr>
          <w:rFonts w:hint="default" w:ascii="Times New Roman" w:hAnsi="Times New Roman" w:cs="Times New Roman"/>
          <w:color w:val="auto"/>
          <w:highlight w:val="none"/>
        </w:rPr>
        <w:t>选截止时间3日前，以书面形式通知比选人。比选人</w:t>
      </w:r>
      <w:r>
        <w:rPr>
          <w:rFonts w:hint="eastAsia"/>
          <w:color w:val="auto"/>
          <w:highlight w:val="none"/>
        </w:rPr>
        <w:t>认为有必要对参选人所提问题进行答复或对比选文件进行补充时</w:t>
      </w:r>
      <w:r>
        <w:rPr>
          <w:rFonts w:hint="default" w:ascii="Times New Roman" w:hAnsi="Times New Roman" w:cs="Times New Roman"/>
          <w:color w:val="auto"/>
          <w:highlight w:val="none"/>
        </w:rPr>
        <w:t>，将答复内容以补遗的形式发布。</w:t>
      </w:r>
    </w:p>
    <w:p w14:paraId="40EF4ECC">
      <w:pPr>
        <w:rPr>
          <w:rFonts w:hint="default" w:ascii="Times New Roman" w:hAnsi="Times New Roman" w:cs="Times New Roman"/>
          <w:color w:val="auto"/>
          <w:highlight w:val="none"/>
        </w:rPr>
      </w:pPr>
      <w:r>
        <w:rPr>
          <w:rFonts w:hint="default" w:ascii="Times New Roman" w:hAnsi="Times New Roman" w:cs="Times New Roman"/>
          <w:color w:val="auto"/>
          <w:highlight w:val="none"/>
        </w:rPr>
        <w:t>10.3 参选人对公示的中选结果有质疑，参选人需在公示期内以书面形式向比选人提出质疑。</w:t>
      </w:r>
      <w:r>
        <w:rPr>
          <w:rFonts w:hint="eastAsia"/>
          <w:color w:val="auto"/>
          <w:highlight w:val="none"/>
        </w:rPr>
        <w:t>比选人认为有必要对参选人所提</w:t>
      </w:r>
      <w:r>
        <w:rPr>
          <w:rFonts w:hint="eastAsia"/>
          <w:color w:val="auto"/>
          <w:highlight w:val="none"/>
          <w:lang w:val="en-US" w:eastAsia="zh-CN"/>
        </w:rPr>
        <w:t>质疑</w:t>
      </w:r>
      <w:r>
        <w:rPr>
          <w:rFonts w:hint="eastAsia"/>
          <w:color w:val="auto"/>
          <w:highlight w:val="none"/>
        </w:rPr>
        <w:t>进行答复时，</w:t>
      </w:r>
      <w:r>
        <w:rPr>
          <w:rFonts w:hint="eastAsia"/>
          <w:color w:val="auto"/>
          <w:highlight w:val="none"/>
          <w:lang w:val="en-US" w:eastAsia="zh-CN"/>
        </w:rPr>
        <w:t>将以书面形式进行</w:t>
      </w:r>
      <w:r>
        <w:rPr>
          <w:rFonts w:hint="default" w:ascii="Times New Roman" w:hAnsi="Times New Roman" w:cs="Times New Roman"/>
          <w:color w:val="auto"/>
          <w:highlight w:val="none"/>
        </w:rPr>
        <w:t>答复。</w:t>
      </w:r>
    </w:p>
    <w:p w14:paraId="337CE407">
      <w:pPr>
        <w:rPr>
          <w:rFonts w:hint="default" w:ascii="Times New Roman" w:hAnsi="Times New Roman" w:cs="Times New Roman"/>
          <w:color w:val="auto"/>
          <w:highlight w:val="none"/>
        </w:rPr>
      </w:pPr>
      <w:r>
        <w:rPr>
          <w:rFonts w:hint="default" w:ascii="Times New Roman" w:hAnsi="Times New Roman" w:cs="Times New Roman"/>
          <w:color w:val="auto"/>
          <w:highlight w:val="none"/>
        </w:rPr>
        <w:t>10.4 参选人对比选人的答复不满意或者有质疑，可向本行纪检监察部投诉。</w:t>
      </w:r>
    </w:p>
    <w:p w14:paraId="37DB5FB7">
      <w:pPr>
        <w:rPr>
          <w:rFonts w:hint="default" w:ascii="Times New Roman" w:hAnsi="Times New Roman" w:cs="Times New Roman"/>
          <w:color w:val="auto"/>
          <w:highlight w:val="none"/>
        </w:rPr>
      </w:pPr>
      <w:r>
        <w:rPr>
          <w:rFonts w:hint="default" w:ascii="Times New Roman" w:hAnsi="Times New Roman" w:cs="Times New Roman"/>
          <w:color w:val="auto"/>
          <w:highlight w:val="none"/>
        </w:rPr>
        <w:t>采购质疑邮箱：sx.jcb@ccqtgb.com</w:t>
      </w:r>
    </w:p>
    <w:p w14:paraId="11312526">
      <w:pPr>
        <w:rPr>
          <w:rFonts w:hint="default" w:ascii="Times New Roman" w:hAnsi="Times New Roman" w:cs="Times New Roman"/>
          <w:color w:val="auto"/>
          <w:highlight w:val="none"/>
        </w:rPr>
      </w:pPr>
      <w:r>
        <w:rPr>
          <w:rFonts w:hint="default" w:ascii="Times New Roman" w:hAnsi="Times New Roman" w:cs="Times New Roman"/>
          <w:color w:val="auto"/>
          <w:highlight w:val="none"/>
        </w:rPr>
        <w:t>采购投诉邮箱：</w:t>
      </w:r>
      <w:bookmarkStart w:id="42" w:name="_Hlk74215856"/>
      <w:r>
        <w:rPr>
          <w:rFonts w:hint="default" w:ascii="Times New Roman" w:hAnsi="Times New Roman" w:cs="Times New Roman"/>
          <w:snapToGrid w:val="0"/>
          <w:color w:val="auto"/>
          <w:kern w:val="0"/>
          <w:szCs w:val="24"/>
          <w:highlight w:val="none"/>
        </w:rPr>
        <w:t>sxyhjjz@ccqtgb.com</w:t>
      </w:r>
      <w:bookmarkEnd w:id="42"/>
    </w:p>
    <w:p w14:paraId="2F3ED339">
      <w:pPr>
        <w:pStyle w:val="3"/>
        <w:rPr>
          <w:rFonts w:hint="default" w:ascii="Times New Roman" w:hAnsi="Times New Roman" w:cs="Times New Roman"/>
          <w:color w:val="auto"/>
          <w:highlight w:val="none"/>
        </w:rPr>
      </w:pPr>
      <w:bookmarkStart w:id="43" w:name="_Toc11439"/>
      <w:bookmarkStart w:id="44" w:name="_Toc15059431"/>
      <w:bookmarkStart w:id="45" w:name="_Toc89675157"/>
      <w:bookmarkStart w:id="46" w:name="_Toc275199618"/>
      <w:bookmarkStart w:id="47" w:name="_Toc440628924"/>
      <w:r>
        <w:rPr>
          <w:rFonts w:hint="default" w:ascii="Times New Roman" w:hAnsi="Times New Roman" w:cs="Times New Roman"/>
          <w:color w:val="auto"/>
          <w:highlight w:val="none"/>
        </w:rPr>
        <w:t>11. 无效参选条款</w:t>
      </w:r>
      <w:bookmarkEnd w:id="43"/>
      <w:bookmarkEnd w:id="44"/>
      <w:bookmarkEnd w:id="45"/>
      <w:bookmarkEnd w:id="46"/>
      <w:bookmarkEnd w:id="47"/>
    </w:p>
    <w:p w14:paraId="38540A76">
      <w:pPr>
        <w:rPr>
          <w:rFonts w:hint="default" w:ascii="Times New Roman" w:hAnsi="Times New Roman" w:cs="Times New Roman"/>
          <w:color w:val="auto"/>
          <w:highlight w:val="none"/>
        </w:rPr>
      </w:pPr>
      <w:r>
        <w:rPr>
          <w:rFonts w:hint="default" w:ascii="Times New Roman" w:hAnsi="Times New Roman" w:cs="Times New Roman"/>
          <w:color w:val="auto"/>
          <w:highlight w:val="none"/>
        </w:rPr>
        <w:t>参选人或其参选文件出现下列情况之一者，应为无效参选：</w:t>
      </w:r>
    </w:p>
    <w:p w14:paraId="33313251">
      <w:pPr>
        <w:rPr>
          <w:rFonts w:hint="default" w:ascii="Times New Roman" w:hAnsi="Times New Roman" w:cs="Times New Roman"/>
          <w:color w:val="auto"/>
          <w:highlight w:val="none"/>
        </w:rPr>
      </w:pPr>
      <w:r>
        <w:rPr>
          <w:rFonts w:hint="default" w:ascii="Times New Roman" w:hAnsi="Times New Roman" w:cs="Times New Roman"/>
          <w:color w:val="auto"/>
          <w:highlight w:val="none"/>
        </w:rPr>
        <w:t>11.1 参选人未按比选文件规定提交足额参选保证金的。</w:t>
      </w:r>
    </w:p>
    <w:p w14:paraId="116742CE">
      <w:pPr>
        <w:rPr>
          <w:rFonts w:hint="default" w:ascii="Times New Roman" w:hAnsi="Times New Roman" w:cs="Times New Roman"/>
          <w:color w:val="auto"/>
          <w:highlight w:val="none"/>
        </w:rPr>
      </w:pPr>
      <w:r>
        <w:rPr>
          <w:rFonts w:hint="default" w:ascii="Times New Roman" w:hAnsi="Times New Roman" w:cs="Times New Roman"/>
          <w:color w:val="auto"/>
          <w:highlight w:val="none"/>
        </w:rPr>
        <w:t>11.2 参选人未通过资格性检查，参选文件未通过符合性检查或参选文件经证实存在弄虚作假的。</w:t>
      </w:r>
    </w:p>
    <w:p w14:paraId="6D8D6EE5">
      <w:pPr>
        <w:rPr>
          <w:rFonts w:hint="default" w:ascii="Times New Roman" w:hAnsi="Times New Roman" w:cs="Times New Roman"/>
          <w:color w:val="auto"/>
          <w:highlight w:val="none"/>
        </w:rPr>
      </w:pPr>
      <w:r>
        <w:rPr>
          <w:rFonts w:hint="default" w:ascii="Times New Roman" w:hAnsi="Times New Roman" w:cs="Times New Roman"/>
          <w:color w:val="auto"/>
          <w:highlight w:val="none"/>
        </w:rPr>
        <w:t>11.3 参选人超出其营业执照或事业单位法人证书上经营范围（业务范围）参选的。</w:t>
      </w:r>
    </w:p>
    <w:p w14:paraId="04D01B27">
      <w:pPr>
        <w:rPr>
          <w:rFonts w:hint="default" w:ascii="Times New Roman" w:hAnsi="Times New Roman" w:cs="Times New Roman"/>
          <w:color w:val="auto"/>
          <w:highlight w:val="none"/>
        </w:rPr>
      </w:pPr>
      <w:r>
        <w:rPr>
          <w:rFonts w:hint="default" w:ascii="Times New Roman" w:hAnsi="Times New Roman" w:cs="Times New Roman"/>
          <w:color w:val="auto"/>
          <w:highlight w:val="none"/>
        </w:rPr>
        <w:t>11.4 单位负责人为同一人或者存在直接控股、管理关系的不同参选人，不得参加同一合同项下的采购活动。</w:t>
      </w:r>
    </w:p>
    <w:p w14:paraId="31DCFE8A">
      <w:pPr>
        <w:rPr>
          <w:rFonts w:hint="default" w:ascii="Times New Roman" w:hAnsi="Times New Roman" w:cs="Times New Roman"/>
          <w:color w:val="auto"/>
          <w:highlight w:val="none"/>
        </w:rPr>
      </w:pPr>
      <w:r>
        <w:rPr>
          <w:rFonts w:hint="default" w:ascii="Times New Roman" w:hAnsi="Times New Roman" w:cs="Times New Roman"/>
          <w:color w:val="auto"/>
          <w:highlight w:val="none"/>
        </w:rPr>
        <w:t>11.5 同一分包的软件，制造商参与参选，再委托代理商参与参选的。</w:t>
      </w:r>
    </w:p>
    <w:p w14:paraId="44F40941">
      <w:pPr>
        <w:rPr>
          <w:rFonts w:hint="default" w:ascii="Times New Roman" w:hAnsi="Times New Roman" w:cs="Times New Roman"/>
          <w:color w:val="auto"/>
          <w:highlight w:val="none"/>
        </w:rPr>
      </w:pPr>
      <w:r>
        <w:rPr>
          <w:rFonts w:hint="default" w:ascii="Times New Roman" w:hAnsi="Times New Roman" w:cs="Times New Roman"/>
          <w:color w:val="auto"/>
          <w:highlight w:val="none"/>
        </w:rPr>
        <w:t>11.6 参选文件不满足比选文件第六章参选文件格式中所规定签字、盖章的。</w:t>
      </w:r>
    </w:p>
    <w:p w14:paraId="717F4E38">
      <w:pPr>
        <w:rPr>
          <w:rFonts w:hint="default" w:ascii="Times New Roman" w:hAnsi="Times New Roman" w:cs="Times New Roman"/>
          <w:color w:val="auto"/>
          <w:highlight w:val="none"/>
        </w:rPr>
      </w:pPr>
      <w:r>
        <w:rPr>
          <w:rFonts w:hint="default" w:ascii="Times New Roman" w:hAnsi="Times New Roman" w:cs="Times New Roman"/>
          <w:color w:val="auto"/>
          <w:highlight w:val="none"/>
        </w:rPr>
        <w:t>11.7 参选文件出现多个参选方案或参选报价的。</w:t>
      </w:r>
    </w:p>
    <w:p w14:paraId="6103C67C">
      <w:pPr>
        <w:rPr>
          <w:rFonts w:hint="default" w:ascii="Times New Roman" w:hAnsi="Times New Roman" w:cs="Times New Roman"/>
          <w:color w:val="auto"/>
          <w:highlight w:val="none"/>
        </w:rPr>
      </w:pPr>
      <w:r>
        <w:rPr>
          <w:rFonts w:hint="default" w:ascii="Times New Roman" w:hAnsi="Times New Roman" w:cs="Times New Roman"/>
          <w:color w:val="auto"/>
          <w:highlight w:val="none"/>
        </w:rPr>
        <w:t>11.8 参选报价超出最高限价的。</w:t>
      </w:r>
    </w:p>
    <w:p w14:paraId="6AC05AFD">
      <w:pPr>
        <w:rPr>
          <w:rFonts w:hint="default" w:ascii="Times New Roman" w:hAnsi="Times New Roman" w:cs="Times New Roman"/>
          <w:color w:val="auto"/>
          <w:highlight w:val="none"/>
        </w:rPr>
      </w:pPr>
      <w:r>
        <w:rPr>
          <w:rFonts w:hint="default" w:ascii="Times New Roman" w:hAnsi="Times New Roman" w:cs="Times New Roman"/>
          <w:color w:val="auto"/>
          <w:highlight w:val="none"/>
        </w:rPr>
        <w:t>11.9 参选文件含有违反国家法律、法规的内容，或附有比选人不能接受的条件的。</w:t>
      </w:r>
    </w:p>
    <w:p w14:paraId="226BD398">
      <w:pPr>
        <w:rPr>
          <w:rFonts w:hint="default" w:ascii="Times New Roman" w:hAnsi="Times New Roman" w:cs="Times New Roman"/>
          <w:color w:val="auto"/>
          <w:highlight w:val="none"/>
        </w:rPr>
      </w:pPr>
      <w:r>
        <w:rPr>
          <w:rFonts w:hint="default" w:ascii="Times New Roman" w:hAnsi="Times New Roman" w:cs="Times New Roman"/>
          <w:color w:val="auto"/>
          <w:highlight w:val="none"/>
        </w:rPr>
        <w:t>11.10 出现影响比选公正的违法、违规行为的。</w:t>
      </w:r>
    </w:p>
    <w:p w14:paraId="6D6CD858">
      <w:pPr>
        <w:rPr>
          <w:rFonts w:hint="default" w:ascii="Times New Roman" w:hAnsi="Times New Roman" w:cs="Times New Roman"/>
          <w:color w:val="auto"/>
          <w:highlight w:val="none"/>
        </w:rPr>
      </w:pPr>
      <w:r>
        <w:rPr>
          <w:rFonts w:hint="default" w:ascii="Times New Roman" w:hAnsi="Times New Roman" w:cs="Times New Roman"/>
          <w:color w:val="auto"/>
          <w:highlight w:val="none"/>
        </w:rPr>
        <w:t>11.11 与比选人、评审专家、其他参选人恶意串通。</w:t>
      </w:r>
    </w:p>
    <w:p w14:paraId="78EEEAC4">
      <w:pPr>
        <w:rPr>
          <w:rFonts w:hint="default" w:ascii="Times New Roman" w:hAnsi="Times New Roman" w:cs="Times New Roman"/>
          <w:color w:val="auto"/>
          <w:highlight w:val="none"/>
        </w:rPr>
      </w:pPr>
      <w:r>
        <w:rPr>
          <w:rFonts w:hint="default" w:ascii="Times New Roman" w:hAnsi="Times New Roman" w:cs="Times New Roman"/>
          <w:color w:val="auto"/>
          <w:highlight w:val="none"/>
        </w:rPr>
        <w:t>11.12 参选法人发生合并、分立、破产等重大变化后，不再具备比选要求的资格条件的。</w:t>
      </w:r>
    </w:p>
    <w:p w14:paraId="64BF4F4C">
      <w:pPr>
        <w:rPr>
          <w:rFonts w:hint="default" w:ascii="Times New Roman" w:hAnsi="Times New Roman" w:cs="Times New Roman"/>
          <w:color w:val="auto"/>
          <w:highlight w:val="none"/>
        </w:rPr>
      </w:pPr>
      <w:r>
        <w:rPr>
          <w:rFonts w:hint="default" w:ascii="Times New Roman" w:hAnsi="Times New Roman" w:cs="Times New Roman"/>
          <w:color w:val="auto"/>
          <w:highlight w:val="none"/>
        </w:rPr>
        <w:t>11.13 提供虚假材料谋取中选资格的。</w:t>
      </w:r>
    </w:p>
    <w:p w14:paraId="389F1E39">
      <w:pPr>
        <w:rPr>
          <w:rFonts w:hint="default" w:ascii="Times New Roman" w:hAnsi="Times New Roman" w:cs="Times New Roman"/>
          <w:color w:val="auto"/>
          <w:highlight w:val="none"/>
        </w:rPr>
      </w:pPr>
      <w:r>
        <w:rPr>
          <w:rFonts w:hint="default" w:ascii="Times New Roman" w:hAnsi="Times New Roman" w:cs="Times New Roman"/>
          <w:color w:val="auto"/>
          <w:highlight w:val="none"/>
        </w:rPr>
        <w:t>11.14 参选文件含有比选人不能接受的附件条件的。</w:t>
      </w:r>
    </w:p>
    <w:p w14:paraId="47D91F89">
      <w:pPr>
        <w:pStyle w:val="3"/>
        <w:rPr>
          <w:rFonts w:hint="default" w:ascii="Times New Roman" w:hAnsi="Times New Roman" w:cs="Times New Roman"/>
          <w:color w:val="auto"/>
          <w:highlight w:val="none"/>
        </w:rPr>
      </w:pPr>
      <w:r>
        <w:rPr>
          <w:rFonts w:hint="default" w:ascii="Times New Roman" w:hAnsi="Times New Roman" w:cs="Times New Roman"/>
          <w:color w:val="auto"/>
          <w:highlight w:val="none"/>
        </w:rPr>
        <w:t>12. 比选失败情形</w:t>
      </w:r>
    </w:p>
    <w:p w14:paraId="0A331C23">
      <w:pPr>
        <w:snapToGrid w:val="0"/>
        <w:rPr>
          <w:rFonts w:hint="default" w:ascii="Times New Roman" w:hAnsi="Times New Roman" w:cs="Times New Roman"/>
          <w:color w:val="auto"/>
          <w:highlight w:val="none"/>
        </w:rPr>
      </w:pPr>
      <w:r>
        <w:rPr>
          <w:rFonts w:hint="default" w:ascii="Times New Roman" w:hAnsi="Times New Roman" w:cs="Times New Roman"/>
          <w:color w:val="auto"/>
          <w:highlight w:val="none"/>
        </w:rPr>
        <w:t>出现以下情形本次比选失败：</w:t>
      </w:r>
    </w:p>
    <w:p w14:paraId="04D788CE">
      <w:pPr>
        <w:snapToGrid w:val="0"/>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12.1 </w:t>
      </w:r>
      <w:r>
        <w:rPr>
          <w:rFonts w:hint="eastAsia" w:ascii="Times New Roman" w:hAnsi="Times New Roman" w:cs="Times New Roman"/>
          <w:color w:val="auto"/>
          <w:highlight w:val="none"/>
          <w:lang w:eastAsia="zh-CN"/>
        </w:rPr>
        <w:t>参</w:t>
      </w:r>
      <w:r>
        <w:rPr>
          <w:rFonts w:hint="default" w:ascii="Times New Roman" w:hAnsi="Times New Roman" w:cs="Times New Roman"/>
          <w:color w:val="auto"/>
          <w:highlight w:val="none"/>
        </w:rPr>
        <w:t>选截止时间止，参选人少于2个的。</w:t>
      </w:r>
    </w:p>
    <w:p w14:paraId="675ADDC0">
      <w:pPr>
        <w:rPr>
          <w:rFonts w:hint="default" w:ascii="Times New Roman" w:hAnsi="Times New Roman" w:cs="Times New Roman"/>
          <w:color w:val="auto"/>
          <w:highlight w:val="none"/>
        </w:rPr>
      </w:pPr>
      <w:r>
        <w:rPr>
          <w:rFonts w:hint="default" w:ascii="Times New Roman" w:hAnsi="Times New Roman" w:cs="Times New Roman"/>
          <w:color w:val="auto"/>
          <w:highlight w:val="none"/>
        </w:rPr>
        <w:t>12.2 经评审委员会评审后否决所有参选的。</w:t>
      </w:r>
    </w:p>
    <w:p w14:paraId="64AEF2A8">
      <w:pPr>
        <w:pStyle w:val="3"/>
        <w:rPr>
          <w:rFonts w:hint="default" w:ascii="Times New Roman" w:hAnsi="Times New Roman" w:cs="Times New Roman"/>
          <w:color w:val="auto"/>
          <w:highlight w:val="none"/>
        </w:rPr>
      </w:pPr>
      <w:r>
        <w:rPr>
          <w:rFonts w:hint="default" w:ascii="Times New Roman" w:hAnsi="Times New Roman" w:cs="Times New Roman"/>
          <w:color w:val="auto"/>
          <w:highlight w:val="none"/>
        </w:rPr>
        <w:t>13. 终止比选</w:t>
      </w:r>
      <w:bookmarkEnd w:id="41"/>
    </w:p>
    <w:p w14:paraId="642B8FEE">
      <w:pPr>
        <w:rPr>
          <w:rFonts w:hint="default" w:ascii="Times New Roman" w:hAnsi="Times New Roman" w:cs="Times New Roman"/>
          <w:color w:val="auto"/>
          <w:highlight w:val="none"/>
        </w:rPr>
      </w:pPr>
      <w:r>
        <w:rPr>
          <w:rFonts w:hint="default" w:ascii="Times New Roman" w:hAnsi="Times New Roman" w:cs="Times New Roman"/>
          <w:color w:val="auto"/>
          <w:highlight w:val="none"/>
        </w:rPr>
        <w:t>13.1 因情况发生变化或其他原因造成该项目取消的，本次比选自动终止，双方互不承担责任，比选人无息退还参选保证金。</w:t>
      </w:r>
    </w:p>
    <w:p w14:paraId="0B558D44">
      <w:pPr>
        <w:rPr>
          <w:rFonts w:hint="default" w:ascii="Times New Roman" w:hAnsi="Times New Roman" w:cs="Times New Roman"/>
          <w:color w:val="auto"/>
          <w:highlight w:val="none"/>
        </w:rPr>
      </w:pPr>
      <w:r>
        <w:rPr>
          <w:rFonts w:hint="default" w:ascii="Times New Roman" w:hAnsi="Times New Roman" w:cs="Times New Roman"/>
          <w:color w:val="auto"/>
          <w:highlight w:val="none"/>
        </w:rPr>
        <w:t>13.2 签订合同之前，比选人发现中选候选人经营、财务状况发生较大变化或存在违法行为，比选人认为可能影响其履约能力的，比选人可废除中选人或中选候选人资格。</w:t>
      </w:r>
    </w:p>
    <w:p w14:paraId="21306FDE">
      <w:pPr>
        <w:pStyle w:val="3"/>
        <w:rPr>
          <w:rFonts w:hint="default" w:ascii="Times New Roman" w:hAnsi="Times New Roman" w:cs="Times New Roman"/>
          <w:color w:val="auto"/>
          <w:highlight w:val="none"/>
        </w:rPr>
      </w:pPr>
      <w:r>
        <w:rPr>
          <w:rFonts w:hint="default" w:ascii="Times New Roman" w:hAnsi="Times New Roman" w:cs="Times New Roman"/>
          <w:color w:val="auto"/>
          <w:highlight w:val="none"/>
        </w:rPr>
        <w:t>14. 参选费用</w:t>
      </w:r>
    </w:p>
    <w:p w14:paraId="0AC893C1">
      <w:pPr>
        <w:rPr>
          <w:rFonts w:hint="default" w:ascii="Times New Roman" w:hAnsi="Times New Roman" w:cs="Times New Roman"/>
          <w:color w:val="auto"/>
          <w:highlight w:val="none"/>
        </w:rPr>
      </w:pPr>
      <w:r>
        <w:rPr>
          <w:rFonts w:hint="default" w:ascii="Times New Roman" w:hAnsi="Times New Roman" w:cs="Times New Roman"/>
          <w:color w:val="auto"/>
          <w:highlight w:val="none"/>
        </w:rPr>
        <w:t>参选人参与本比选项目时，一切与参选有关的费用均由参选人自理。</w:t>
      </w:r>
    </w:p>
    <w:p w14:paraId="0E045114">
      <w:pPr>
        <w:keepNext w:val="0"/>
        <w:keepLines w:val="0"/>
        <w:pageBreakBefore w:val="0"/>
        <w:widowControl w:val="0"/>
        <w:kinsoku/>
        <w:wordWrap/>
        <w:overflowPunct/>
        <w:topLinePunct w:val="0"/>
        <w:autoSpaceDE w:val="0"/>
        <w:autoSpaceDN w:val="0"/>
        <w:bidi w:val="0"/>
        <w:adjustRightInd/>
        <w:snapToGrid/>
        <w:spacing w:after="157" w:afterLines="50"/>
        <w:textAlignment w:val="auto"/>
        <w:rPr>
          <w:rFonts w:ascii="Times New Roman" w:hAnsi="Times New Roman" w:cs="Times New Roman"/>
          <w:color w:val="auto"/>
          <w:highlight w:val="none"/>
          <w:lang w:bidi="ar-SA"/>
        </w:rPr>
      </w:pPr>
      <w:r>
        <w:rPr>
          <w:rFonts w:hint="default" w:ascii="Times New Roman" w:hAnsi="Times New Roman" w:cs="Times New Roman"/>
          <w:color w:val="auto"/>
          <w:highlight w:val="none"/>
        </w:rPr>
        <w:t>本项目平台服务费为</w:t>
      </w:r>
      <w:r>
        <w:rPr>
          <w:rFonts w:hint="eastAsia" w:ascii="Times New Roman" w:hAnsi="Times New Roman" w:cs="Times New Roman"/>
          <w:color w:val="auto"/>
          <w:highlight w:val="none"/>
          <w:lang w:bidi="ar-SA"/>
        </w:rPr>
        <w:t>下表比例（按差额定率累进计算方式）收取</w:t>
      </w:r>
      <w:r>
        <w:rPr>
          <w:rFonts w:hint="default" w:ascii="Times New Roman" w:hAnsi="Times New Roman" w:cs="Times New Roman"/>
          <w:color w:val="auto"/>
          <w:highlight w:val="none"/>
        </w:rPr>
        <w:t>，由中选人向重庆联合产权交易所集团股份有限公司支付。中选人应在领取中选通知书时一次性缴纳，请各参选人综合考虑进行报价。</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25"/>
        <w:gridCol w:w="4297"/>
      </w:tblGrid>
      <w:tr w14:paraId="230C7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5" w:type="dxa"/>
            <w:noWrap w:val="0"/>
            <w:vAlign w:val="center"/>
          </w:tcPr>
          <w:p w14:paraId="5FC45D76">
            <w:pPr>
              <w:spacing w:line="400" w:lineRule="exact"/>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每个标段（包）采购成交总金额</w:t>
            </w:r>
          </w:p>
        </w:tc>
        <w:tc>
          <w:tcPr>
            <w:tcW w:w="4297" w:type="dxa"/>
            <w:noWrap w:val="0"/>
            <w:vAlign w:val="center"/>
          </w:tcPr>
          <w:p w14:paraId="40242D68">
            <w:pPr>
              <w:pStyle w:val="12"/>
              <w:keepNext w:val="0"/>
              <w:keepLines w:val="0"/>
              <w:pageBreakBefore w:val="0"/>
              <w:widowControl w:val="0"/>
              <w:kinsoku/>
              <w:wordWrap/>
              <w:overflowPunct/>
              <w:topLinePunct w:val="0"/>
              <w:autoSpaceDE w:val="0"/>
              <w:autoSpaceDN w:val="0"/>
              <w:bidi w:val="0"/>
              <w:adjustRightInd/>
              <w:snapToGrid/>
              <w:spacing w:after="0" w:line="400" w:lineRule="exact"/>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rPr>
              <w:t>收费比例</w:t>
            </w:r>
          </w:p>
        </w:tc>
      </w:tr>
      <w:tr w14:paraId="3D1CD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5" w:type="dxa"/>
            <w:noWrap w:val="0"/>
            <w:vAlign w:val="center"/>
          </w:tcPr>
          <w:p w14:paraId="036364BC">
            <w:pPr>
              <w:spacing w:line="40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0-1000（含）万元</w:t>
            </w:r>
          </w:p>
        </w:tc>
        <w:tc>
          <w:tcPr>
            <w:tcW w:w="4297" w:type="dxa"/>
            <w:noWrap w:val="0"/>
            <w:vAlign w:val="center"/>
          </w:tcPr>
          <w:p w14:paraId="481DBC3E">
            <w:pPr>
              <w:spacing w:line="40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5‰</w:t>
            </w:r>
          </w:p>
        </w:tc>
      </w:tr>
      <w:tr w14:paraId="51B50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5" w:type="dxa"/>
            <w:noWrap w:val="0"/>
            <w:vAlign w:val="center"/>
          </w:tcPr>
          <w:p w14:paraId="4ED84C0C">
            <w:pPr>
              <w:spacing w:line="40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1000-3000（含）万元</w:t>
            </w:r>
          </w:p>
        </w:tc>
        <w:tc>
          <w:tcPr>
            <w:tcW w:w="4297" w:type="dxa"/>
            <w:noWrap w:val="0"/>
            <w:vAlign w:val="center"/>
          </w:tcPr>
          <w:p w14:paraId="2448FF9F">
            <w:pPr>
              <w:spacing w:line="40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2.5‰</w:t>
            </w:r>
          </w:p>
        </w:tc>
      </w:tr>
      <w:tr w14:paraId="077F3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5" w:type="dxa"/>
            <w:noWrap w:val="0"/>
            <w:vAlign w:val="center"/>
          </w:tcPr>
          <w:p w14:paraId="552F5103">
            <w:pPr>
              <w:spacing w:line="40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3000-10000（含）万元</w:t>
            </w:r>
          </w:p>
        </w:tc>
        <w:tc>
          <w:tcPr>
            <w:tcW w:w="4297" w:type="dxa"/>
            <w:noWrap w:val="0"/>
            <w:vAlign w:val="center"/>
          </w:tcPr>
          <w:p w14:paraId="61043AAB">
            <w:pPr>
              <w:spacing w:line="40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w:t>
            </w:r>
          </w:p>
        </w:tc>
      </w:tr>
      <w:tr w14:paraId="5A683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5" w:type="dxa"/>
            <w:noWrap w:val="0"/>
            <w:vAlign w:val="center"/>
          </w:tcPr>
          <w:p w14:paraId="09A93F45">
            <w:pPr>
              <w:spacing w:line="40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10000万元以上</w:t>
            </w:r>
          </w:p>
        </w:tc>
        <w:tc>
          <w:tcPr>
            <w:tcW w:w="4297" w:type="dxa"/>
            <w:noWrap w:val="0"/>
            <w:vAlign w:val="center"/>
          </w:tcPr>
          <w:p w14:paraId="49E30C2C">
            <w:pPr>
              <w:spacing w:line="40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0.5‰</w:t>
            </w:r>
          </w:p>
        </w:tc>
      </w:tr>
    </w:tbl>
    <w:p w14:paraId="23BEF733">
      <w:pPr>
        <w:keepNext w:val="0"/>
        <w:keepLines w:val="0"/>
        <w:pageBreakBefore w:val="0"/>
        <w:widowControl w:val="0"/>
        <w:kinsoku/>
        <w:wordWrap/>
        <w:overflowPunct/>
        <w:topLinePunct w:val="0"/>
        <w:autoSpaceDE w:val="0"/>
        <w:autoSpaceDN w:val="0"/>
        <w:bidi w:val="0"/>
        <w:adjustRightInd/>
        <w:snapToGrid/>
        <w:spacing w:beforeAutospacing="0" w:line="600" w:lineRule="exact"/>
        <w:ind w:firstLine="0" w:firstLineChars="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例如：某专业性平台服务的某标段（包）采购成交总金额3200万元，计算平台服务费收费额如下：</w:t>
      </w:r>
    </w:p>
    <w:p w14:paraId="1CB4F190">
      <w:pPr>
        <w:pStyle w:val="12"/>
        <w:keepNext w:val="0"/>
        <w:keepLines w:val="0"/>
        <w:pageBreakBefore w:val="0"/>
        <w:widowControl w:val="0"/>
        <w:kinsoku/>
        <w:wordWrap/>
        <w:overflowPunct/>
        <w:topLinePunct w:val="0"/>
        <w:autoSpaceDE w:val="0"/>
        <w:autoSpaceDN w:val="0"/>
        <w:bidi w:val="0"/>
        <w:adjustRightInd/>
        <w:snapToGrid/>
        <w:spacing w:before="0" w:beforeAutospacing="0" w:after="0" w:line="600" w:lineRule="exact"/>
        <w:ind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1000万元×5‰=5万元</w:t>
      </w:r>
    </w:p>
    <w:p w14:paraId="31F45C3E">
      <w:pPr>
        <w:pStyle w:val="12"/>
        <w:keepNext w:val="0"/>
        <w:keepLines w:val="0"/>
        <w:pageBreakBefore w:val="0"/>
        <w:widowControl w:val="0"/>
        <w:kinsoku/>
        <w:wordWrap/>
        <w:overflowPunct/>
        <w:topLinePunct w:val="0"/>
        <w:autoSpaceDE w:val="0"/>
        <w:autoSpaceDN w:val="0"/>
        <w:bidi w:val="0"/>
        <w:adjustRightInd/>
        <w:snapToGrid/>
        <w:spacing w:before="0" w:beforeAutospacing="0" w:after="0" w:line="600" w:lineRule="exact"/>
        <w:ind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（3000-1000）万元×2.5‰=5万元</w:t>
      </w:r>
    </w:p>
    <w:p w14:paraId="3A69ADFE">
      <w:pPr>
        <w:keepNext w:val="0"/>
        <w:keepLines w:val="0"/>
        <w:pageBreakBefore w:val="0"/>
        <w:widowControl w:val="0"/>
        <w:kinsoku/>
        <w:wordWrap/>
        <w:overflowPunct/>
        <w:topLinePunct w:val="0"/>
        <w:autoSpaceDE w:val="0"/>
        <w:autoSpaceDN w:val="0"/>
        <w:bidi w:val="0"/>
        <w:adjustRightInd/>
        <w:snapToGrid/>
        <w:spacing w:beforeAutospacing="0" w:line="600" w:lineRule="exact"/>
        <w:ind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（3200-3000）万元×1‰=0.2万元</w:t>
      </w:r>
    </w:p>
    <w:p w14:paraId="6CDE15F8">
      <w:pPr>
        <w:rPr>
          <w:rFonts w:hint="default" w:ascii="Times New Roman" w:hAnsi="Times New Roman" w:cs="Times New Roman"/>
          <w:color w:val="auto"/>
          <w:highlight w:val="none"/>
        </w:rPr>
      </w:pPr>
      <w:r>
        <w:rPr>
          <w:rFonts w:hint="default" w:ascii="Times New Roman" w:hAnsi="Times New Roman" w:eastAsia="宋体" w:cs="Times New Roman"/>
          <w:color w:val="auto"/>
          <w:sz w:val="24"/>
          <w:szCs w:val="24"/>
          <w:highlight w:val="none"/>
        </w:rPr>
        <w:t>合计收费：=5+5+0.2=10.2万元</w:t>
      </w:r>
    </w:p>
    <w:p w14:paraId="320631F0">
      <w:pPr>
        <w:widowControl/>
        <w:jc w:val="left"/>
        <w:rPr>
          <w:rFonts w:hint="default" w:ascii="Times New Roman" w:hAnsi="Times New Roman" w:cs="Times New Roman"/>
          <w:snapToGrid w:val="0"/>
          <w:color w:val="auto"/>
          <w:kern w:val="0"/>
          <w:szCs w:val="28"/>
          <w:highlight w:val="none"/>
        </w:rPr>
      </w:pPr>
      <w:r>
        <w:rPr>
          <w:rFonts w:hint="default" w:ascii="Times New Roman" w:hAnsi="Times New Roman" w:cs="Times New Roman"/>
          <w:snapToGrid w:val="0"/>
          <w:color w:val="auto"/>
          <w:kern w:val="0"/>
          <w:szCs w:val="28"/>
          <w:highlight w:val="none"/>
        </w:rPr>
        <w:br w:type="page"/>
      </w:r>
    </w:p>
    <w:p w14:paraId="1B164C54">
      <w:pPr>
        <w:pStyle w:val="2"/>
        <w:rPr>
          <w:rFonts w:hint="default" w:ascii="Times New Roman" w:hAnsi="Times New Roman" w:cs="Times New Roman"/>
          <w:color w:val="auto"/>
          <w:highlight w:val="none"/>
          <w:lang w:val="en-US" w:eastAsia="zh-CN"/>
        </w:rPr>
      </w:pPr>
      <w:bookmarkStart w:id="48" w:name="_Toc27807"/>
      <w:bookmarkStart w:id="49" w:name="_Toc11567"/>
      <w:r>
        <w:rPr>
          <w:rFonts w:hint="default" w:ascii="Times New Roman" w:hAnsi="Times New Roman" w:cs="Times New Roman"/>
          <w:color w:val="auto"/>
          <w:highlight w:val="none"/>
        </w:rPr>
        <w:t>第三章 项目要求</w:t>
      </w:r>
      <w:bookmarkEnd w:id="48"/>
      <w:bookmarkEnd w:id="49"/>
      <w:r>
        <w:rPr>
          <w:rFonts w:hint="eastAsia" w:ascii="Times New Roman" w:hAnsi="Times New Roman" w:cs="Times New Roman"/>
          <w:color w:val="auto"/>
          <w:highlight w:val="none"/>
          <w:lang w:val="en-US" w:eastAsia="zh-CN"/>
        </w:rPr>
        <w:t xml:space="preserve"> </w:t>
      </w:r>
    </w:p>
    <w:p w14:paraId="202B31DD">
      <w:pPr>
        <w:pStyle w:val="3"/>
        <w:numPr>
          <w:ilvl w:val="0"/>
          <w:numId w:val="1"/>
        </w:numPr>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项目实施内容</w:t>
      </w:r>
    </w:p>
    <w:p w14:paraId="622CDD9A">
      <w:pPr>
        <w:pStyle w:val="4"/>
        <w:keepNext w:val="0"/>
        <w:keepLines w:val="0"/>
        <w:pageBreakBefore w:val="0"/>
        <w:widowControl w:val="0"/>
        <w:numPr>
          <w:ilvl w:val="1"/>
          <w:numId w:val="2"/>
        </w:numPr>
        <w:kinsoku/>
        <w:wordWrap/>
        <w:overflowPunct/>
        <w:topLinePunct w:val="0"/>
        <w:autoSpaceDE w:val="0"/>
        <w:autoSpaceDN w:val="0"/>
        <w:bidi w:val="0"/>
        <w:adjustRightInd/>
        <w:snapToGrid/>
        <w:ind w:left="0" w:leftChars="0" w:firstLine="482" w:firstLineChars="200"/>
        <w:textAlignment w:val="auto"/>
        <w:outlineLvl w:val="2"/>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lang w:val="en-US" w:eastAsia="zh-CN"/>
        </w:rPr>
        <w:t>现状分析调研</w:t>
      </w:r>
    </w:p>
    <w:p w14:paraId="64319501">
      <w:pPr>
        <w:pStyle w:val="20"/>
        <w:keepNext w:val="0"/>
        <w:keepLines w:val="0"/>
        <w:widowControl/>
        <w:suppressLineNumbers w:val="0"/>
        <w:spacing w:before="0" w:beforeAutospacing="0" w:after="0" w:afterAutospacing="0"/>
        <w:ind w:left="0" w:right="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为更好地达成项目建设目标，确保新一代数据中台能够切实满足业务需求，并为后续项目建设规划和实施提供依据，参选人应先对比选人数据现状进行分析调研，具体要求包括但不限于：</w:t>
      </w:r>
    </w:p>
    <w:p w14:paraId="42F3EA39">
      <w:pPr>
        <w:pStyle w:val="20"/>
        <w:keepNext w:val="0"/>
        <w:keepLines w:val="0"/>
        <w:widowControl/>
        <w:suppressLineNumbers w:val="0"/>
        <w:spacing w:before="0" w:beforeAutospacing="0" w:after="0" w:afterAutospacing="0"/>
        <w:ind w:left="0" w:right="0"/>
        <w:rPr>
          <w:rFonts w:hint="default"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lang w:val="en-US" w:eastAsia="zh-CN"/>
        </w:rPr>
        <w:t>（1）</w:t>
      </w:r>
      <w:r>
        <w:rPr>
          <w:rFonts w:hint="default" w:ascii="Times New Roman" w:hAnsi="Times New Roman" w:eastAsia="宋体" w:cs="Times New Roman"/>
          <w:color w:val="auto"/>
          <w:highlight w:val="none"/>
          <w:lang w:val="en-US" w:eastAsia="zh-CN"/>
        </w:rPr>
        <w:t>参选人需</w:t>
      </w:r>
      <w:r>
        <w:rPr>
          <w:rFonts w:hint="eastAsia" w:ascii="Times New Roman" w:hAnsi="Times New Roman" w:cs="Times New Roman"/>
          <w:color w:val="auto"/>
          <w:highlight w:val="none"/>
          <w:lang w:val="en-US" w:eastAsia="zh-CN"/>
        </w:rPr>
        <w:t>全面调研</w:t>
      </w:r>
      <w:r>
        <w:rPr>
          <w:rFonts w:hint="default" w:ascii="Times New Roman" w:hAnsi="Times New Roman" w:eastAsia="宋体" w:cs="Times New Roman"/>
          <w:color w:val="auto"/>
          <w:highlight w:val="none"/>
          <w:lang w:val="en-US" w:eastAsia="zh-CN"/>
        </w:rPr>
        <w:t>比选人现有数据平台的整体架构、关键技术组件</w:t>
      </w:r>
      <w:r>
        <w:rPr>
          <w:rFonts w:hint="eastAsia" w:ascii="Times New Roman" w:hAnsi="Times New Roman" w:cs="Times New Roman"/>
          <w:color w:val="auto"/>
          <w:highlight w:val="none"/>
          <w:lang w:val="en-US" w:eastAsia="zh-CN"/>
        </w:rPr>
        <w:t>、关联的各业务系统</w:t>
      </w:r>
      <w:r>
        <w:rPr>
          <w:rFonts w:hint="default" w:ascii="Times New Roman" w:hAnsi="Times New Roman" w:cs="Times New Roman"/>
          <w:color w:val="auto"/>
          <w:highlight w:val="none"/>
          <w:lang w:val="en-US" w:eastAsia="zh-CN"/>
        </w:rPr>
        <w:t>及业务支撑</w:t>
      </w:r>
      <w:r>
        <w:rPr>
          <w:rFonts w:hint="eastAsia" w:ascii="Times New Roman" w:hAnsi="Times New Roman" w:cs="Times New Roman"/>
          <w:color w:val="auto"/>
          <w:highlight w:val="none"/>
          <w:lang w:val="en-US" w:eastAsia="zh-CN"/>
        </w:rPr>
        <w:t>场景，</w:t>
      </w:r>
      <w:r>
        <w:rPr>
          <w:rFonts w:hint="default" w:ascii="Times New Roman" w:hAnsi="Times New Roman" w:eastAsia="宋体" w:cs="Times New Roman"/>
          <w:color w:val="auto"/>
          <w:highlight w:val="none"/>
          <w:lang w:val="en-US" w:eastAsia="zh-CN"/>
        </w:rPr>
        <w:t>梳理现有数据平台的数据量、存储方式、数据应用场景及数据源（包括各类业务系统、外部数据源）等</w:t>
      </w:r>
      <w:r>
        <w:rPr>
          <w:rFonts w:hint="default" w:ascii="Times New Roman" w:hAnsi="Times New Roman" w:cs="Times New Roman"/>
          <w:color w:val="auto"/>
          <w:highlight w:val="none"/>
          <w:lang w:val="en-US" w:eastAsia="zh-CN"/>
        </w:rPr>
        <w:t>；</w:t>
      </w:r>
    </w:p>
    <w:p w14:paraId="79F9CD2E">
      <w:pPr>
        <w:pStyle w:val="20"/>
        <w:keepNext w:val="0"/>
        <w:keepLines w:val="0"/>
        <w:widowControl/>
        <w:suppressLineNumbers w:val="0"/>
        <w:spacing w:before="0" w:beforeAutospacing="0" w:after="0" w:afterAutospacing="0"/>
        <w:ind w:left="0" w:right="0"/>
        <w:rPr>
          <w:rFonts w:hint="default"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lang w:val="en-US" w:eastAsia="zh-CN"/>
        </w:rPr>
        <w:t>（2）</w:t>
      </w:r>
      <w:r>
        <w:rPr>
          <w:rFonts w:hint="default" w:ascii="Times New Roman" w:hAnsi="Times New Roman" w:eastAsia="宋体" w:cs="Times New Roman"/>
          <w:color w:val="auto"/>
          <w:highlight w:val="none"/>
          <w:lang w:val="en-US" w:eastAsia="zh-CN"/>
        </w:rPr>
        <w:t>参选人需</w:t>
      </w:r>
      <w:r>
        <w:rPr>
          <w:rFonts w:hint="default" w:ascii="Times New Roman" w:hAnsi="Times New Roman" w:cs="Times New Roman"/>
          <w:color w:val="auto"/>
          <w:highlight w:val="none"/>
          <w:lang w:val="en-US" w:eastAsia="zh-CN"/>
        </w:rPr>
        <w:t>收集比选人的战略规划、组织架构、规章制度等资料，理清业务范围、管理及流程，并通过</w:t>
      </w:r>
      <w:r>
        <w:rPr>
          <w:rFonts w:hint="default" w:ascii="Times New Roman" w:hAnsi="Times New Roman" w:eastAsia="宋体" w:cs="Times New Roman"/>
          <w:color w:val="auto"/>
          <w:highlight w:val="none"/>
          <w:lang w:val="en-US" w:eastAsia="zh-CN"/>
        </w:rPr>
        <w:t>访谈、调研等多种方式深入了解各业务部门</w:t>
      </w:r>
      <w:r>
        <w:rPr>
          <w:rFonts w:hint="default" w:ascii="Times New Roman" w:hAnsi="Times New Roman" w:cs="Times New Roman"/>
          <w:color w:val="auto"/>
          <w:highlight w:val="none"/>
          <w:lang w:val="en-US" w:eastAsia="zh-CN"/>
        </w:rPr>
        <w:t>在数据</w:t>
      </w:r>
      <w:r>
        <w:rPr>
          <w:rFonts w:hint="default" w:ascii="Times New Roman" w:hAnsi="Times New Roman" w:eastAsia="宋体" w:cs="Times New Roman"/>
          <w:color w:val="auto"/>
          <w:highlight w:val="none"/>
          <w:lang w:val="en-US" w:eastAsia="zh-CN"/>
        </w:rPr>
        <w:t>使用过程中的主要问题</w:t>
      </w:r>
      <w:r>
        <w:rPr>
          <w:rFonts w:hint="eastAsia" w:ascii="Times New Roman" w:hAnsi="Times New Roman" w:cs="Times New Roman"/>
          <w:color w:val="auto"/>
          <w:highlight w:val="none"/>
          <w:lang w:val="en-US" w:eastAsia="zh-CN"/>
        </w:rPr>
        <w:t>及</w:t>
      </w:r>
      <w:r>
        <w:rPr>
          <w:rFonts w:hint="default" w:ascii="Times New Roman" w:hAnsi="Times New Roman" w:cs="Times New Roman"/>
          <w:color w:val="auto"/>
          <w:highlight w:val="none"/>
          <w:lang w:val="en-US" w:eastAsia="zh-CN"/>
        </w:rPr>
        <w:t>未来的数据</w:t>
      </w:r>
      <w:r>
        <w:rPr>
          <w:rFonts w:hint="default" w:ascii="Times New Roman" w:hAnsi="Times New Roman" w:eastAsia="宋体" w:cs="Times New Roman"/>
          <w:color w:val="auto"/>
          <w:highlight w:val="none"/>
          <w:lang w:val="en-US" w:eastAsia="zh-CN"/>
        </w:rPr>
        <w:t>使用需求</w:t>
      </w:r>
      <w:r>
        <w:rPr>
          <w:rFonts w:hint="eastAsia" w:ascii="Times New Roman" w:hAnsi="Times New Roman" w:cs="Times New Roman"/>
          <w:color w:val="auto"/>
          <w:highlight w:val="none"/>
          <w:lang w:val="en-US" w:eastAsia="zh-CN"/>
        </w:rPr>
        <w:t>与</w:t>
      </w:r>
      <w:r>
        <w:rPr>
          <w:rFonts w:hint="default" w:ascii="Times New Roman" w:hAnsi="Times New Roman" w:cs="Times New Roman"/>
          <w:color w:val="auto"/>
          <w:highlight w:val="none"/>
          <w:lang w:val="en-US" w:eastAsia="zh-CN"/>
        </w:rPr>
        <w:t>期望，</w:t>
      </w:r>
      <w:r>
        <w:rPr>
          <w:rFonts w:hint="eastAsia" w:ascii="Times New Roman" w:hAnsi="Times New Roman" w:cs="Times New Roman"/>
          <w:color w:val="auto"/>
          <w:highlight w:val="none"/>
          <w:lang w:val="en-US" w:eastAsia="zh-CN"/>
        </w:rPr>
        <w:t>整合形成业务需求清单</w:t>
      </w:r>
      <w:r>
        <w:rPr>
          <w:rFonts w:hint="default" w:ascii="Times New Roman" w:hAnsi="Times New Roman" w:cs="Times New Roman"/>
          <w:color w:val="auto"/>
          <w:highlight w:val="none"/>
          <w:lang w:val="en-US" w:eastAsia="zh-CN"/>
        </w:rPr>
        <w:t>；</w:t>
      </w:r>
    </w:p>
    <w:p w14:paraId="2F0482CE">
      <w:pPr>
        <w:pStyle w:val="20"/>
        <w:keepNext w:val="0"/>
        <w:keepLines w:val="0"/>
        <w:widowControl/>
        <w:suppressLineNumbers w:val="0"/>
        <w:spacing w:before="0" w:beforeAutospacing="0" w:after="0" w:afterAutospacing="0"/>
        <w:ind w:left="0" w:right="0"/>
        <w:rPr>
          <w:rFonts w:hint="default"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lang w:val="en-US" w:eastAsia="zh-CN"/>
        </w:rPr>
        <w:t>参选人在项目分析调研完成后需产出</w:t>
      </w:r>
      <w:r>
        <w:rPr>
          <w:rFonts w:hint="eastAsia" w:ascii="Times New Roman" w:hAnsi="Times New Roman" w:cs="Times New Roman"/>
          <w:color w:val="auto"/>
          <w:highlight w:val="none"/>
          <w:lang w:val="en-US" w:eastAsia="zh-CN"/>
        </w:rPr>
        <w:t>的内容</w:t>
      </w:r>
      <w:r>
        <w:rPr>
          <w:rFonts w:hint="default" w:ascii="Times New Roman" w:hAnsi="Times New Roman" w:cs="Times New Roman"/>
          <w:color w:val="auto"/>
          <w:highlight w:val="none"/>
          <w:lang w:val="en-US" w:eastAsia="zh-CN"/>
        </w:rPr>
        <w:t>包括但不限于：数据平台现状</w:t>
      </w:r>
      <w:r>
        <w:rPr>
          <w:rFonts w:hint="eastAsia" w:ascii="Times New Roman" w:hAnsi="Times New Roman" w:cs="Times New Roman"/>
          <w:color w:val="auto"/>
          <w:highlight w:val="none"/>
          <w:lang w:val="en-US" w:eastAsia="zh-CN"/>
        </w:rPr>
        <w:t>调研</w:t>
      </w:r>
      <w:r>
        <w:rPr>
          <w:rFonts w:hint="default" w:ascii="Times New Roman" w:hAnsi="Times New Roman" w:cs="Times New Roman"/>
          <w:color w:val="auto"/>
          <w:highlight w:val="none"/>
          <w:lang w:val="en-US" w:eastAsia="zh-CN"/>
        </w:rPr>
        <w:t>分析报告、业务需求</w:t>
      </w:r>
      <w:r>
        <w:rPr>
          <w:rFonts w:hint="eastAsia" w:ascii="Times New Roman" w:hAnsi="Times New Roman" w:cs="Times New Roman"/>
          <w:color w:val="auto"/>
          <w:highlight w:val="none"/>
          <w:lang w:val="en-US" w:eastAsia="zh-CN"/>
        </w:rPr>
        <w:t>调研</w:t>
      </w:r>
      <w:r>
        <w:rPr>
          <w:rFonts w:hint="default" w:ascii="Times New Roman" w:hAnsi="Times New Roman" w:cs="Times New Roman"/>
          <w:color w:val="auto"/>
          <w:highlight w:val="none"/>
          <w:lang w:val="en-US" w:eastAsia="zh-CN"/>
        </w:rPr>
        <w:t>分析报告</w:t>
      </w:r>
      <w:r>
        <w:rPr>
          <w:rFonts w:hint="eastAsia" w:ascii="Times New Roman" w:hAnsi="Times New Roman" w:cs="Times New Roman"/>
          <w:color w:val="auto"/>
          <w:highlight w:val="none"/>
          <w:lang w:val="en-US" w:eastAsia="zh-CN"/>
        </w:rPr>
        <w:t>等</w:t>
      </w:r>
      <w:r>
        <w:rPr>
          <w:rFonts w:hint="default" w:ascii="Times New Roman" w:hAnsi="Times New Roman" w:cs="Times New Roman"/>
          <w:color w:val="auto"/>
          <w:highlight w:val="none"/>
          <w:lang w:val="en-US" w:eastAsia="zh-CN"/>
        </w:rPr>
        <w:t>。</w:t>
      </w:r>
    </w:p>
    <w:p w14:paraId="1DF9924A">
      <w:pPr>
        <w:pStyle w:val="4"/>
        <w:keepNext w:val="0"/>
        <w:keepLines w:val="0"/>
        <w:pageBreakBefore w:val="0"/>
        <w:widowControl w:val="0"/>
        <w:numPr>
          <w:ilvl w:val="1"/>
          <w:numId w:val="2"/>
        </w:numPr>
        <w:kinsoku/>
        <w:wordWrap/>
        <w:overflowPunct/>
        <w:topLinePunct w:val="0"/>
        <w:autoSpaceDE w:val="0"/>
        <w:autoSpaceDN w:val="0"/>
        <w:bidi w:val="0"/>
        <w:adjustRightInd/>
        <w:snapToGrid/>
        <w:ind w:left="0" w:leftChars="0" w:firstLine="482" w:firstLineChars="200"/>
        <w:textAlignment w:val="auto"/>
        <w:outlineLvl w:val="2"/>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 xml:space="preserve"> 项目建设规划</w:t>
      </w:r>
    </w:p>
    <w:p w14:paraId="1C81610D">
      <w:pPr>
        <w:pStyle w:val="5"/>
        <w:keepNext w:val="0"/>
        <w:keepLines w:val="0"/>
        <w:pageBreakBefore w:val="0"/>
        <w:widowControl w:val="0"/>
        <w:numPr>
          <w:ilvl w:val="2"/>
          <w:numId w:val="2"/>
        </w:numPr>
        <w:kinsoku/>
        <w:wordWrap/>
        <w:overflowPunct/>
        <w:topLinePunct w:val="0"/>
        <w:autoSpaceDE w:val="0"/>
        <w:autoSpaceDN w:val="0"/>
        <w:bidi w:val="0"/>
        <w:adjustRightInd/>
        <w:snapToGrid/>
        <w:ind w:left="0" w:leftChars="0" w:firstLine="482" w:firstLineChars="200"/>
        <w:textAlignment w:val="auto"/>
        <w:outlineLvl w:val="3"/>
        <w:rPr>
          <w:rFonts w:hint="default" w:ascii="Times New Roman" w:hAnsi="Times New Roman" w:cs="Times New Roman"/>
          <w:b/>
          <w:bCs w:val="0"/>
          <w:color w:val="auto"/>
          <w:highlight w:val="none"/>
          <w:lang w:val="en-US" w:eastAsia="zh-CN"/>
        </w:rPr>
      </w:pPr>
      <w:r>
        <w:rPr>
          <w:rFonts w:hint="eastAsia" w:ascii="Times New Roman" w:hAnsi="Times New Roman" w:cs="Times New Roman"/>
          <w:b/>
          <w:bCs w:val="0"/>
          <w:color w:val="auto"/>
          <w:highlight w:val="none"/>
          <w:lang w:val="en-US" w:eastAsia="zh-CN"/>
        </w:rPr>
        <w:t xml:space="preserve"> 数据中台架构设计</w:t>
      </w:r>
    </w:p>
    <w:p w14:paraId="196D3B8C">
      <w:pPr>
        <w:keepNext w:val="0"/>
        <w:keepLines w:val="0"/>
        <w:pageBreakBefore w:val="0"/>
        <w:widowControl w:val="0"/>
        <w:tabs>
          <w:tab w:val="left" w:pos="3140"/>
        </w:tabs>
        <w:kinsoku/>
        <w:wordWrap/>
        <w:overflowPunct/>
        <w:topLinePunct w:val="0"/>
        <w:autoSpaceDE w:val="0"/>
        <w:autoSpaceDN w:val="0"/>
        <w:bidi w:val="0"/>
        <w:adjustRightInd/>
        <w:snapToGrid/>
        <w:textAlignment w:val="auto"/>
        <w:rPr>
          <w:rFonts w:hint="default"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（1）数据架构</w:t>
      </w:r>
    </w:p>
    <w:p w14:paraId="0BA28CE5">
      <w:pPr>
        <w:keepNext w:val="0"/>
        <w:keepLines w:val="0"/>
        <w:pageBreakBefore w:val="0"/>
        <w:widowControl w:val="0"/>
        <w:kinsoku/>
        <w:wordWrap/>
        <w:overflowPunct/>
        <w:topLinePunct w:val="0"/>
        <w:autoSpaceDE w:val="0"/>
        <w:autoSpaceDN w:val="0"/>
        <w:bidi w:val="0"/>
        <w:adjustRightInd/>
        <w:snapToGrid/>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参选人</w:t>
      </w:r>
      <w:r>
        <w:rPr>
          <w:rFonts w:hint="eastAsia" w:ascii="Times New Roman" w:hAnsi="Times New Roman" w:cs="Times New Roman"/>
          <w:color w:val="auto"/>
          <w:highlight w:val="none"/>
          <w:lang w:val="en-US" w:eastAsia="zh-CN"/>
        </w:rPr>
        <w:t>需</w:t>
      </w:r>
      <w:r>
        <w:rPr>
          <w:rFonts w:hint="default" w:ascii="Times New Roman" w:hAnsi="Times New Roman" w:cs="Times New Roman"/>
          <w:b w:val="0"/>
          <w:bCs w:val="0"/>
          <w:i w:val="0"/>
          <w:iCs w:val="0"/>
          <w:caps w:val="0"/>
          <w:smallCaps w:val="0"/>
          <w:color w:val="auto"/>
          <w:spacing w:val="0"/>
          <w:sz w:val="24"/>
          <w:szCs w:val="20"/>
          <w:highlight w:val="none"/>
          <w:shd w:val="clear" w:color="auto" w:fill="auto"/>
        </w:rPr>
        <w:t>遵循数据建设方法论</w:t>
      </w:r>
      <w:r>
        <w:rPr>
          <w:rFonts w:hint="default" w:ascii="Times New Roman" w:hAnsi="Times New Roman" w:cs="Times New Roman"/>
          <w:b w:val="0"/>
          <w:bCs w:val="0"/>
          <w:i w:val="0"/>
          <w:iCs w:val="0"/>
          <w:caps w:val="0"/>
          <w:smallCaps w:val="0"/>
          <w:color w:val="auto"/>
          <w:spacing w:val="0"/>
          <w:sz w:val="24"/>
          <w:szCs w:val="20"/>
          <w:highlight w:val="none"/>
          <w:shd w:val="clear" w:color="auto" w:fill="auto"/>
          <w:lang w:eastAsia="zh-CN"/>
        </w:rPr>
        <w:t>，</w:t>
      </w:r>
      <w:r>
        <w:rPr>
          <w:rFonts w:hint="eastAsia" w:ascii="Times New Roman" w:hAnsi="Times New Roman" w:cs="Times New Roman"/>
          <w:b w:val="0"/>
          <w:bCs w:val="0"/>
          <w:i w:val="0"/>
          <w:iCs w:val="0"/>
          <w:caps w:val="0"/>
          <w:smallCaps w:val="0"/>
          <w:color w:val="auto"/>
          <w:spacing w:val="0"/>
          <w:sz w:val="24"/>
          <w:szCs w:val="20"/>
          <w:highlight w:val="none"/>
          <w:shd w:val="clear" w:color="auto" w:fill="auto"/>
          <w:lang w:val="en-US" w:eastAsia="zh-CN"/>
        </w:rPr>
        <w:t>充分借鉴业内数据架构先进实践并结合比选人实际数据情况，设计一套涵盖数据全生命周期管理各个环节，且能够满足比选人业务发展和创新需求，同时保证数据的安全性、可靠性和可用性的数据架构。</w:t>
      </w:r>
      <w:r>
        <w:rPr>
          <w:rFonts w:hint="eastAsia" w:ascii="Times New Roman" w:hAnsi="Times New Roman" w:cs="Times New Roman"/>
          <w:color w:val="auto"/>
          <w:highlight w:val="none"/>
          <w:lang w:val="en-US" w:eastAsia="zh-CN"/>
        </w:rPr>
        <w:t>数据架构设计应满足的要求包括但不限于：</w:t>
      </w:r>
    </w:p>
    <w:p w14:paraId="1EDE3834">
      <w:pPr>
        <w:keepNext w:val="0"/>
        <w:keepLines w:val="0"/>
        <w:pageBreakBefore w:val="0"/>
        <w:widowControl w:val="0"/>
        <w:numPr>
          <w:ilvl w:val="0"/>
          <w:numId w:val="3"/>
        </w:numPr>
        <w:kinsoku/>
        <w:wordWrap/>
        <w:overflowPunct/>
        <w:topLinePunct w:val="0"/>
        <w:autoSpaceDE w:val="0"/>
        <w:autoSpaceDN w:val="0"/>
        <w:bidi w:val="0"/>
        <w:adjustRightInd/>
        <w:snapToGrid/>
        <w:ind w:left="0" w:leftChars="0" w:firstLine="480" w:firstLineChars="200"/>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数据架构</w:t>
      </w:r>
      <w:r>
        <w:rPr>
          <w:rFonts w:hint="default" w:ascii="Times New Roman" w:hAnsi="Times New Roman" w:cs="Times New Roman"/>
          <w:color w:val="auto"/>
          <w:highlight w:val="none"/>
          <w:lang w:val="en-US" w:eastAsia="zh-CN"/>
        </w:rPr>
        <w:t>应考虑金融业务特性，合理设计数据湖、离线数仓、实时数仓的数据分层</w:t>
      </w:r>
      <w:r>
        <w:rPr>
          <w:rFonts w:hint="eastAsia" w:ascii="Times New Roman" w:hAnsi="Times New Roman" w:cs="Times New Roman"/>
          <w:color w:val="auto"/>
          <w:highlight w:val="none"/>
          <w:lang w:val="en-US" w:eastAsia="zh-CN"/>
        </w:rPr>
        <w:t>；</w:t>
      </w:r>
    </w:p>
    <w:p w14:paraId="24C01A59">
      <w:pPr>
        <w:keepNext w:val="0"/>
        <w:keepLines w:val="0"/>
        <w:pageBreakBefore w:val="0"/>
        <w:widowControl w:val="0"/>
        <w:numPr>
          <w:ilvl w:val="0"/>
          <w:numId w:val="3"/>
        </w:numPr>
        <w:kinsoku/>
        <w:wordWrap/>
        <w:overflowPunct/>
        <w:topLinePunct w:val="0"/>
        <w:autoSpaceDE w:val="0"/>
        <w:autoSpaceDN w:val="0"/>
        <w:bidi w:val="0"/>
        <w:adjustRightInd/>
        <w:snapToGrid/>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制定合理、高效的数据生命周期管理策略，保证核心数据健康运行；</w:t>
      </w:r>
    </w:p>
    <w:p w14:paraId="5DE619EF">
      <w:pPr>
        <w:keepNext w:val="0"/>
        <w:keepLines w:val="0"/>
        <w:pageBreakBefore w:val="0"/>
        <w:widowControl w:val="0"/>
        <w:numPr>
          <w:ilvl w:val="0"/>
          <w:numId w:val="3"/>
        </w:numPr>
        <w:kinsoku/>
        <w:wordWrap/>
        <w:overflowPunct/>
        <w:topLinePunct w:val="0"/>
        <w:autoSpaceDE w:val="0"/>
        <w:autoSpaceDN w:val="0"/>
        <w:bidi w:val="0"/>
        <w:adjustRightInd/>
        <w:snapToGrid/>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实现内外部各类格式数据（包括结构化、半结构化和非结构化数据）的统一存储、整合管理和数据标准化需求；</w:t>
      </w:r>
    </w:p>
    <w:p w14:paraId="2EF7A24A">
      <w:pPr>
        <w:keepNext w:val="0"/>
        <w:keepLines w:val="0"/>
        <w:pageBreakBefore w:val="0"/>
        <w:widowControl w:val="0"/>
        <w:numPr>
          <w:ilvl w:val="0"/>
          <w:numId w:val="3"/>
        </w:numPr>
        <w:kinsoku/>
        <w:wordWrap/>
        <w:overflowPunct/>
        <w:topLinePunct w:val="0"/>
        <w:autoSpaceDE w:val="0"/>
        <w:autoSpaceDN w:val="0"/>
        <w:bidi w:val="0"/>
        <w:adjustRightInd/>
        <w:snapToGrid/>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统一和规范整个中台的服务出口，确保数据服务的标准化和一致性，提升数据整合处理能力和数据质量水平；</w:t>
      </w:r>
    </w:p>
    <w:p w14:paraId="405BFBA4">
      <w:pPr>
        <w:keepNext w:val="0"/>
        <w:keepLines w:val="0"/>
        <w:pageBreakBefore w:val="0"/>
        <w:widowControl w:val="0"/>
        <w:numPr>
          <w:ilvl w:val="0"/>
          <w:numId w:val="3"/>
        </w:numPr>
        <w:kinsoku/>
        <w:wordWrap/>
        <w:overflowPunct/>
        <w:topLinePunct w:val="0"/>
        <w:autoSpaceDE w:val="0"/>
        <w:autoSpaceDN w:val="0"/>
        <w:bidi w:val="0"/>
        <w:adjustRightInd/>
        <w:snapToGrid/>
        <w:ind w:left="0" w:leftChars="0" w:firstLine="480" w:firstLineChars="200"/>
        <w:textAlignment w:val="auto"/>
        <w:rPr>
          <w:rFonts w:hint="eastAsia" w:ascii="Times New Roman" w:hAnsi="Times New Roman" w:cs="Times New Roman"/>
          <w:b/>
          <w:bCs/>
          <w:color w:val="auto"/>
          <w:highlight w:val="none"/>
          <w:lang w:val="en-US" w:eastAsia="zh-CN"/>
        </w:rPr>
      </w:pPr>
      <w:r>
        <w:rPr>
          <w:rFonts w:hint="default" w:ascii="Times New Roman" w:hAnsi="Times New Roman" w:cs="Times New Roman"/>
          <w:color w:val="auto"/>
          <w:highlight w:val="none"/>
          <w:lang w:val="en-US" w:eastAsia="zh-CN"/>
        </w:rPr>
        <w:t>参选人在</w:t>
      </w:r>
      <w:r>
        <w:rPr>
          <w:rFonts w:hint="eastAsia" w:ascii="Times New Roman" w:hAnsi="Times New Roman" w:cs="Times New Roman"/>
          <w:color w:val="auto"/>
          <w:highlight w:val="none"/>
          <w:lang w:val="en-US" w:eastAsia="zh-CN"/>
        </w:rPr>
        <w:t>数据</w:t>
      </w:r>
      <w:r>
        <w:rPr>
          <w:rFonts w:hint="default" w:ascii="Times New Roman" w:hAnsi="Times New Roman" w:cs="Times New Roman"/>
          <w:color w:val="auto"/>
          <w:highlight w:val="none"/>
          <w:lang w:val="en-US" w:eastAsia="zh-CN"/>
        </w:rPr>
        <w:t>架构设计完成后</w:t>
      </w:r>
      <w:r>
        <w:rPr>
          <w:rFonts w:hint="eastAsia" w:ascii="Times New Roman" w:hAnsi="Times New Roman" w:cs="Times New Roman"/>
          <w:color w:val="auto"/>
          <w:highlight w:val="none"/>
          <w:lang w:val="en-US" w:eastAsia="zh-CN"/>
        </w:rPr>
        <w:t>应产出的材料</w:t>
      </w:r>
      <w:r>
        <w:rPr>
          <w:rFonts w:hint="default" w:ascii="Times New Roman" w:hAnsi="Times New Roman" w:cs="Times New Roman"/>
          <w:color w:val="auto"/>
          <w:highlight w:val="none"/>
          <w:lang w:val="en-US" w:eastAsia="zh-CN"/>
        </w:rPr>
        <w:t>包括但不限于：数据中台</w:t>
      </w:r>
      <w:r>
        <w:rPr>
          <w:rFonts w:hint="eastAsia" w:ascii="Times New Roman" w:hAnsi="Times New Roman" w:cs="Times New Roman"/>
          <w:color w:val="auto"/>
          <w:highlight w:val="none"/>
          <w:lang w:val="en-US" w:eastAsia="zh-CN"/>
        </w:rPr>
        <w:t>数据</w:t>
      </w:r>
      <w:r>
        <w:rPr>
          <w:rFonts w:hint="default" w:ascii="Times New Roman" w:hAnsi="Times New Roman" w:cs="Times New Roman"/>
          <w:color w:val="auto"/>
          <w:highlight w:val="none"/>
          <w:lang w:val="en-US" w:eastAsia="zh-CN"/>
        </w:rPr>
        <w:t>架构设计方案。</w:t>
      </w:r>
    </w:p>
    <w:p w14:paraId="356DAAED">
      <w:pPr>
        <w:keepNext w:val="0"/>
        <w:keepLines w:val="0"/>
        <w:pageBreakBefore w:val="0"/>
        <w:widowControl w:val="0"/>
        <w:kinsoku/>
        <w:wordWrap/>
        <w:overflowPunct/>
        <w:topLinePunct w:val="0"/>
        <w:autoSpaceDE w:val="0"/>
        <w:autoSpaceDN w:val="0"/>
        <w:bidi w:val="0"/>
        <w:adjustRightInd/>
        <w:snapToGrid/>
        <w:textAlignment w:val="auto"/>
        <w:rPr>
          <w:rFonts w:hint="eastAsia"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（2）技术架构</w:t>
      </w:r>
    </w:p>
    <w:p w14:paraId="3BF82841">
      <w:pPr>
        <w:keepNext w:val="0"/>
        <w:keepLines w:val="0"/>
        <w:pageBreakBefore w:val="0"/>
        <w:widowControl w:val="0"/>
        <w:kinsoku/>
        <w:wordWrap/>
        <w:overflowPunct/>
        <w:topLinePunct w:val="0"/>
        <w:autoSpaceDE w:val="0"/>
        <w:autoSpaceDN w:val="0"/>
        <w:bidi w:val="0"/>
        <w:adjustRightInd/>
        <w:snapToGrid/>
        <w:textAlignment w:val="auto"/>
        <w:rPr>
          <w:rFonts w:hint="eastAsia"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参选人需对比业内成熟的以</w:t>
      </w:r>
      <w:r>
        <w:rPr>
          <w:rFonts w:hint="eastAsia" w:ascii="Times New Roman" w:hAnsi="Times New Roman" w:cs="Times New Roman"/>
          <w:color w:val="auto"/>
          <w:highlight w:val="none"/>
          <w:lang w:val="en-US" w:eastAsia="zh-CN"/>
        </w:rPr>
        <w:t>分布式大数据技术体系</w:t>
      </w:r>
      <w:r>
        <w:rPr>
          <w:rFonts w:hint="default" w:ascii="Times New Roman" w:hAnsi="Times New Roman" w:cs="Times New Roman"/>
          <w:color w:val="auto"/>
          <w:highlight w:val="none"/>
          <w:lang w:val="en-US" w:eastAsia="zh-CN"/>
        </w:rPr>
        <w:t>为主的湖仓一体的</w:t>
      </w:r>
      <w:r>
        <w:rPr>
          <w:rFonts w:hint="eastAsia" w:ascii="Times New Roman" w:hAnsi="Times New Roman" w:cs="Times New Roman"/>
          <w:color w:val="auto"/>
          <w:highlight w:val="none"/>
          <w:lang w:val="en-US" w:eastAsia="zh-CN"/>
        </w:rPr>
        <w:t>新一代</w:t>
      </w:r>
      <w:r>
        <w:rPr>
          <w:rFonts w:hint="default" w:ascii="Times New Roman" w:hAnsi="Times New Roman" w:cs="Times New Roman"/>
          <w:color w:val="auto"/>
          <w:highlight w:val="none"/>
          <w:lang w:val="en-US" w:eastAsia="zh-CN"/>
        </w:rPr>
        <w:t>数据中台架构设计方案，充分借鉴业界最佳实践并结合比选人现有业务状况和未来业务发展规划，</w:t>
      </w:r>
      <w:r>
        <w:rPr>
          <w:rFonts w:hint="default" w:ascii="Times New Roman" w:hAnsi="Times New Roman" w:cs="Times New Roman"/>
          <w:b w:val="0"/>
          <w:bCs w:val="0"/>
          <w:i w:val="0"/>
          <w:iCs w:val="0"/>
          <w:caps w:val="0"/>
          <w:smallCaps w:val="0"/>
          <w:color w:val="auto"/>
          <w:spacing w:val="0"/>
          <w:sz w:val="24"/>
          <w:szCs w:val="20"/>
          <w:highlight w:val="none"/>
          <w:shd w:val="clear" w:color="auto" w:fill="auto"/>
        </w:rPr>
        <w:t>科学合理划分数据功能模块</w:t>
      </w:r>
      <w:r>
        <w:rPr>
          <w:rFonts w:hint="default" w:ascii="Times New Roman" w:hAnsi="Times New Roman" w:cs="Times New Roman"/>
          <w:b w:val="0"/>
          <w:bCs w:val="0"/>
          <w:i w:val="0"/>
          <w:iCs w:val="0"/>
          <w:caps w:val="0"/>
          <w:smallCaps w:val="0"/>
          <w:color w:val="auto"/>
          <w:spacing w:val="0"/>
          <w:sz w:val="24"/>
          <w:szCs w:val="20"/>
          <w:highlight w:val="none"/>
          <w:shd w:val="clear" w:color="auto" w:fill="auto"/>
          <w:lang w:val="en-US" w:eastAsia="zh-CN"/>
        </w:rPr>
        <w:t>和技术组件</w:t>
      </w:r>
      <w:r>
        <w:rPr>
          <w:rFonts w:hint="eastAsia" w:ascii="Times New Roman" w:hAnsi="Times New Roman" w:cs="Times New Roman"/>
          <w:b w:val="0"/>
          <w:bCs w:val="0"/>
          <w:i w:val="0"/>
          <w:iCs w:val="0"/>
          <w:caps w:val="0"/>
          <w:smallCaps w:val="0"/>
          <w:color w:val="auto"/>
          <w:spacing w:val="0"/>
          <w:sz w:val="24"/>
          <w:szCs w:val="20"/>
          <w:highlight w:val="none"/>
          <w:shd w:val="clear" w:color="auto" w:fill="auto"/>
          <w:lang w:val="en-US" w:eastAsia="zh-CN"/>
        </w:rPr>
        <w:t>，</w:t>
      </w:r>
      <w:r>
        <w:rPr>
          <w:rFonts w:hint="default" w:ascii="Times New Roman" w:hAnsi="Times New Roman" w:cs="Times New Roman"/>
          <w:b w:val="0"/>
          <w:bCs w:val="0"/>
          <w:i w:val="0"/>
          <w:iCs w:val="0"/>
          <w:caps w:val="0"/>
          <w:smallCaps w:val="0"/>
          <w:color w:val="auto"/>
          <w:spacing w:val="0"/>
          <w:sz w:val="24"/>
          <w:szCs w:val="20"/>
          <w:highlight w:val="none"/>
          <w:shd w:val="clear" w:color="auto" w:fill="auto"/>
          <w:lang w:val="en-US" w:eastAsia="zh-CN"/>
        </w:rPr>
        <w:t>按照比选人</w:t>
      </w:r>
      <w:r>
        <w:rPr>
          <w:rFonts w:hint="default" w:ascii="Times New Roman" w:hAnsi="Times New Roman" w:cs="Times New Roman"/>
          <w:b w:val="0"/>
          <w:bCs w:val="0"/>
          <w:i w:val="0"/>
          <w:iCs w:val="0"/>
          <w:caps w:val="0"/>
          <w:smallCaps w:val="0"/>
          <w:color w:val="auto"/>
          <w:spacing w:val="0"/>
          <w:sz w:val="24"/>
          <w:szCs w:val="20"/>
          <w:highlight w:val="none"/>
          <w:shd w:val="clear" w:color="auto" w:fill="auto"/>
          <w:lang w:eastAsia="zh-CN"/>
        </w:rPr>
        <w:t>对数据服务、存储、处理、质量、安全</w:t>
      </w:r>
      <w:r>
        <w:rPr>
          <w:rFonts w:hint="default" w:ascii="Times New Roman" w:hAnsi="Times New Roman" w:cs="Times New Roman"/>
          <w:b w:val="0"/>
          <w:bCs w:val="0"/>
          <w:i w:val="0"/>
          <w:iCs w:val="0"/>
          <w:caps w:val="0"/>
          <w:smallCaps w:val="0"/>
          <w:color w:val="auto"/>
          <w:spacing w:val="0"/>
          <w:sz w:val="24"/>
          <w:szCs w:val="20"/>
          <w:highlight w:val="none"/>
          <w:shd w:val="clear" w:color="auto" w:fill="auto"/>
          <w:lang w:val="en-US" w:eastAsia="zh-CN"/>
        </w:rPr>
        <w:t>等</w:t>
      </w:r>
      <w:r>
        <w:rPr>
          <w:rFonts w:hint="default" w:ascii="Times New Roman" w:hAnsi="Times New Roman" w:cs="Times New Roman"/>
          <w:b w:val="0"/>
          <w:bCs w:val="0"/>
          <w:i w:val="0"/>
          <w:iCs w:val="0"/>
          <w:caps w:val="0"/>
          <w:smallCaps w:val="0"/>
          <w:color w:val="auto"/>
          <w:spacing w:val="0"/>
          <w:sz w:val="24"/>
          <w:szCs w:val="20"/>
          <w:highlight w:val="none"/>
          <w:shd w:val="clear" w:color="auto" w:fill="auto"/>
          <w:lang w:eastAsia="zh-CN"/>
        </w:rPr>
        <w:t>要求</w:t>
      </w:r>
      <w:r>
        <w:rPr>
          <w:rFonts w:hint="default" w:ascii="Times New Roman" w:hAnsi="Times New Roman" w:cs="Times New Roman"/>
          <w:color w:val="auto"/>
          <w:highlight w:val="none"/>
          <w:lang w:val="en-US" w:eastAsia="zh-CN"/>
        </w:rPr>
        <w:t>制定详细的</w:t>
      </w:r>
      <w:r>
        <w:rPr>
          <w:rFonts w:hint="eastAsia" w:ascii="Times New Roman" w:hAnsi="Times New Roman" w:cs="Times New Roman"/>
          <w:color w:val="auto"/>
          <w:highlight w:val="none"/>
          <w:lang w:val="en-US" w:eastAsia="zh-CN"/>
        </w:rPr>
        <w:t>新一代</w:t>
      </w:r>
      <w:r>
        <w:rPr>
          <w:rFonts w:hint="default" w:ascii="Times New Roman" w:hAnsi="Times New Roman" w:cs="Times New Roman"/>
          <w:color w:val="auto"/>
          <w:highlight w:val="none"/>
          <w:lang w:val="en-US" w:eastAsia="zh-CN"/>
        </w:rPr>
        <w:t>数据中台</w:t>
      </w:r>
      <w:r>
        <w:rPr>
          <w:rFonts w:hint="eastAsia" w:ascii="Times New Roman" w:hAnsi="Times New Roman" w:cs="Times New Roman"/>
          <w:color w:val="auto"/>
          <w:highlight w:val="none"/>
          <w:lang w:val="en-US" w:eastAsia="zh-CN"/>
        </w:rPr>
        <w:t>技术</w:t>
      </w:r>
      <w:r>
        <w:rPr>
          <w:rFonts w:hint="default" w:ascii="Times New Roman" w:hAnsi="Times New Roman" w:cs="Times New Roman"/>
          <w:color w:val="auto"/>
          <w:highlight w:val="none"/>
          <w:lang w:val="en-US" w:eastAsia="zh-CN"/>
        </w:rPr>
        <w:t>架构</w:t>
      </w:r>
      <w:r>
        <w:rPr>
          <w:rFonts w:hint="eastAsia" w:ascii="Times New Roman" w:hAnsi="Times New Roman" w:cs="Times New Roman"/>
          <w:color w:val="auto"/>
          <w:highlight w:val="none"/>
          <w:lang w:val="en-US" w:eastAsia="zh-CN"/>
        </w:rPr>
        <w:t>。技术架构设计应满足的要求包括但不限于：</w:t>
      </w:r>
    </w:p>
    <w:p w14:paraId="301CFCE2">
      <w:pPr>
        <w:keepNext w:val="0"/>
        <w:keepLines w:val="0"/>
        <w:pageBreakBefore w:val="0"/>
        <w:widowControl w:val="0"/>
        <w:numPr>
          <w:ilvl w:val="0"/>
          <w:numId w:val="4"/>
        </w:numPr>
        <w:kinsoku/>
        <w:wordWrap/>
        <w:overflowPunct/>
        <w:topLinePunct w:val="0"/>
        <w:autoSpaceDE w:val="0"/>
        <w:autoSpaceDN w:val="0"/>
        <w:bidi w:val="0"/>
        <w:adjustRightInd/>
        <w:snapToGrid/>
        <w:ind w:left="0" w:leftChars="0" w:firstLine="480" w:firstLineChars="200"/>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技术架构</w:t>
      </w:r>
      <w:r>
        <w:rPr>
          <w:rFonts w:hint="default" w:ascii="Times New Roman" w:hAnsi="Times New Roman" w:cs="Times New Roman"/>
          <w:color w:val="auto"/>
          <w:highlight w:val="none"/>
          <w:lang w:val="en-US" w:eastAsia="zh-CN"/>
        </w:rPr>
        <w:t>中涉及的各类服务、组件、产品及软硬件均需满足信创要求；</w:t>
      </w:r>
    </w:p>
    <w:p w14:paraId="5473A66E">
      <w:pPr>
        <w:keepNext w:val="0"/>
        <w:keepLines w:val="0"/>
        <w:pageBreakBefore w:val="0"/>
        <w:widowControl w:val="0"/>
        <w:numPr>
          <w:ilvl w:val="0"/>
          <w:numId w:val="4"/>
        </w:numPr>
        <w:kinsoku/>
        <w:wordWrap/>
        <w:overflowPunct/>
        <w:topLinePunct w:val="0"/>
        <w:autoSpaceDE w:val="0"/>
        <w:autoSpaceDN w:val="0"/>
        <w:bidi w:val="0"/>
        <w:adjustRightInd/>
        <w:snapToGrid/>
        <w:ind w:left="0" w:leftChars="0" w:firstLine="480" w:firstLineChars="200"/>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技术架构内容包括但不限于集群规划、技术组件选型、灾备规划等；</w:t>
      </w:r>
    </w:p>
    <w:p w14:paraId="5897D083">
      <w:pPr>
        <w:keepNext w:val="0"/>
        <w:keepLines w:val="0"/>
        <w:pageBreakBefore w:val="0"/>
        <w:widowControl w:val="0"/>
        <w:numPr>
          <w:ilvl w:val="0"/>
          <w:numId w:val="4"/>
        </w:numPr>
        <w:kinsoku/>
        <w:wordWrap/>
        <w:overflowPunct/>
        <w:topLinePunct w:val="0"/>
        <w:autoSpaceDE w:val="0"/>
        <w:autoSpaceDN w:val="0"/>
        <w:bidi w:val="0"/>
        <w:adjustRightInd/>
        <w:snapToGrid/>
        <w:ind w:left="0" w:leftChars="0" w:firstLine="480" w:firstLineChars="200"/>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技术架构</w:t>
      </w:r>
      <w:r>
        <w:rPr>
          <w:rFonts w:hint="default" w:ascii="Times New Roman" w:hAnsi="Times New Roman" w:cs="Times New Roman"/>
          <w:color w:val="auto"/>
          <w:highlight w:val="none"/>
          <w:lang w:val="en-US" w:eastAsia="zh-CN"/>
        </w:rPr>
        <w:t>需充分考虑</w:t>
      </w:r>
      <w:r>
        <w:rPr>
          <w:rFonts w:hint="eastAsia" w:ascii="Times New Roman" w:hAnsi="Times New Roman" w:cs="Times New Roman"/>
          <w:color w:val="auto"/>
          <w:highlight w:val="none"/>
          <w:lang w:val="en-US" w:eastAsia="zh-CN"/>
        </w:rPr>
        <w:t>比</w:t>
      </w:r>
      <w:r>
        <w:rPr>
          <w:rFonts w:hint="default" w:ascii="Times New Roman" w:hAnsi="Times New Roman" w:cs="Times New Roman"/>
          <w:color w:val="auto"/>
          <w:highlight w:val="none"/>
          <w:lang w:val="en-US" w:eastAsia="zh-CN"/>
        </w:rPr>
        <w:t>选人现有的整体算力</w:t>
      </w:r>
      <w:r>
        <w:rPr>
          <w:rFonts w:hint="eastAsia" w:ascii="Times New Roman" w:hAnsi="Times New Roman" w:cs="Times New Roman"/>
          <w:color w:val="auto"/>
          <w:highlight w:val="none"/>
          <w:lang w:val="en-US" w:eastAsia="zh-CN"/>
        </w:rPr>
        <w:t>水平</w:t>
      </w:r>
      <w:r>
        <w:rPr>
          <w:rFonts w:hint="default" w:ascii="Times New Roman" w:hAnsi="Times New Roman" w:cs="Times New Roman"/>
          <w:color w:val="auto"/>
          <w:highlight w:val="none"/>
          <w:lang w:val="en-US" w:eastAsia="zh-CN"/>
        </w:rPr>
        <w:t>和存储空间</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合理分布湖仓的资源，</w:t>
      </w:r>
      <w:r>
        <w:rPr>
          <w:rFonts w:hint="eastAsia" w:ascii="Times New Roman" w:hAnsi="Times New Roman" w:cs="Times New Roman"/>
          <w:color w:val="auto"/>
          <w:highlight w:val="none"/>
          <w:lang w:val="en-US" w:eastAsia="zh-CN"/>
        </w:rPr>
        <w:t>做到资源利用率最大化，为本项目的</w:t>
      </w:r>
      <w:r>
        <w:rPr>
          <w:rFonts w:hint="default" w:ascii="Times New Roman" w:hAnsi="Times New Roman" w:cs="Times New Roman"/>
          <w:color w:val="auto"/>
          <w:highlight w:val="none"/>
          <w:lang w:val="en-US" w:eastAsia="zh-CN"/>
        </w:rPr>
        <w:t>后续建设提供基础的数据保障及历史数据的保管</w:t>
      </w:r>
      <w:r>
        <w:rPr>
          <w:rFonts w:hint="eastAsia" w:ascii="Times New Roman" w:hAnsi="Times New Roman" w:cs="Times New Roman"/>
          <w:color w:val="auto"/>
          <w:highlight w:val="none"/>
          <w:lang w:val="en-US" w:eastAsia="zh-CN"/>
        </w:rPr>
        <w:t>功能；</w:t>
      </w:r>
    </w:p>
    <w:p w14:paraId="5E32BC10">
      <w:pPr>
        <w:keepNext w:val="0"/>
        <w:keepLines w:val="0"/>
        <w:pageBreakBefore w:val="0"/>
        <w:widowControl w:val="0"/>
        <w:numPr>
          <w:ilvl w:val="0"/>
          <w:numId w:val="4"/>
        </w:numPr>
        <w:kinsoku/>
        <w:wordWrap/>
        <w:overflowPunct/>
        <w:topLinePunct w:val="0"/>
        <w:autoSpaceDE w:val="0"/>
        <w:autoSpaceDN w:val="0"/>
        <w:bidi w:val="0"/>
        <w:adjustRightInd/>
        <w:snapToGrid/>
        <w:ind w:left="0" w:leftChars="0" w:firstLine="480" w:firstLineChars="200"/>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技术架构需</w:t>
      </w:r>
      <w:r>
        <w:rPr>
          <w:rFonts w:hint="default" w:ascii="Times New Roman" w:hAnsi="Times New Roman" w:cs="Times New Roman"/>
          <w:color w:val="auto"/>
          <w:highlight w:val="none"/>
          <w:lang w:val="en-US" w:eastAsia="zh-CN"/>
        </w:rPr>
        <w:t>根据数字金融快速发展带来的业务类型多、</w:t>
      </w:r>
      <w:r>
        <w:rPr>
          <w:rFonts w:hint="eastAsia" w:ascii="Times New Roman" w:hAnsi="Times New Roman" w:cs="Times New Roman"/>
          <w:color w:val="auto"/>
          <w:highlight w:val="none"/>
          <w:lang w:val="en-US" w:eastAsia="zh-CN"/>
        </w:rPr>
        <w:t>数据增量大</w:t>
      </w:r>
      <w:r>
        <w:rPr>
          <w:rFonts w:hint="default" w:ascii="Times New Roman" w:hAnsi="Times New Roman" w:cs="Times New Roman"/>
          <w:color w:val="auto"/>
          <w:highlight w:val="none"/>
          <w:lang w:val="en-US" w:eastAsia="zh-CN"/>
        </w:rPr>
        <w:t>等特点，架构设计</w:t>
      </w:r>
      <w:r>
        <w:rPr>
          <w:rFonts w:hint="eastAsia" w:ascii="Times New Roman" w:hAnsi="Times New Roman" w:cs="Times New Roman"/>
          <w:color w:val="auto"/>
          <w:highlight w:val="none"/>
          <w:lang w:val="en-US" w:eastAsia="zh-CN"/>
        </w:rPr>
        <w:t>应</w:t>
      </w:r>
      <w:r>
        <w:rPr>
          <w:rFonts w:hint="default" w:ascii="Times New Roman" w:hAnsi="Times New Roman" w:cs="Times New Roman"/>
          <w:color w:val="auto"/>
          <w:highlight w:val="none"/>
          <w:lang w:val="en-US" w:eastAsia="zh-CN"/>
        </w:rPr>
        <w:t>具有先进性、前瞻性、可行性、扩展性和伸缩性，支撑比选人未来至少</w:t>
      </w:r>
      <w:r>
        <w:rPr>
          <w:rFonts w:hint="eastAsia" w:ascii="Times New Roman" w:hAnsi="Times New Roman" w:cs="Times New Roman"/>
          <w:color w:val="auto"/>
          <w:highlight w:val="none"/>
          <w:lang w:val="en-US" w:eastAsia="zh-CN"/>
        </w:rPr>
        <w:t>5</w:t>
      </w:r>
      <w:r>
        <w:rPr>
          <w:rFonts w:hint="default" w:ascii="Times New Roman" w:hAnsi="Times New Roman" w:cs="Times New Roman"/>
          <w:color w:val="auto"/>
          <w:highlight w:val="none"/>
          <w:lang w:val="en-US" w:eastAsia="zh-CN"/>
        </w:rPr>
        <w:t>年的数据需求和业务发展；</w:t>
      </w:r>
    </w:p>
    <w:p w14:paraId="1F979455">
      <w:pPr>
        <w:keepNext w:val="0"/>
        <w:keepLines w:val="0"/>
        <w:pageBreakBefore w:val="0"/>
        <w:widowControl w:val="0"/>
        <w:numPr>
          <w:ilvl w:val="0"/>
          <w:numId w:val="4"/>
        </w:numPr>
        <w:kinsoku/>
        <w:wordWrap/>
        <w:overflowPunct/>
        <w:topLinePunct w:val="0"/>
        <w:autoSpaceDE w:val="0"/>
        <w:autoSpaceDN w:val="0"/>
        <w:bidi w:val="0"/>
        <w:adjustRightInd/>
        <w:snapToGrid/>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参选人在</w:t>
      </w:r>
      <w:r>
        <w:rPr>
          <w:rFonts w:hint="eastAsia" w:ascii="Times New Roman" w:hAnsi="Times New Roman" w:cs="Times New Roman"/>
          <w:color w:val="auto"/>
          <w:highlight w:val="none"/>
          <w:lang w:val="en-US" w:eastAsia="zh-CN"/>
        </w:rPr>
        <w:t>技术</w:t>
      </w:r>
      <w:r>
        <w:rPr>
          <w:rFonts w:hint="default" w:ascii="Times New Roman" w:hAnsi="Times New Roman" w:cs="Times New Roman"/>
          <w:color w:val="auto"/>
          <w:highlight w:val="none"/>
          <w:lang w:val="en-US" w:eastAsia="zh-CN"/>
        </w:rPr>
        <w:t>架构设计完成后</w:t>
      </w:r>
      <w:r>
        <w:rPr>
          <w:rFonts w:hint="eastAsia" w:ascii="Times New Roman" w:hAnsi="Times New Roman" w:cs="Times New Roman"/>
          <w:color w:val="auto"/>
          <w:highlight w:val="none"/>
          <w:lang w:val="en-US" w:eastAsia="zh-CN"/>
        </w:rPr>
        <w:t>应产出的材料</w:t>
      </w:r>
      <w:r>
        <w:rPr>
          <w:rFonts w:hint="default" w:ascii="Times New Roman" w:hAnsi="Times New Roman" w:cs="Times New Roman"/>
          <w:color w:val="auto"/>
          <w:highlight w:val="none"/>
          <w:lang w:val="en-US" w:eastAsia="zh-CN"/>
        </w:rPr>
        <w:t>包括但不限于：数据中台</w:t>
      </w:r>
      <w:r>
        <w:rPr>
          <w:rFonts w:hint="eastAsia" w:ascii="Times New Roman" w:hAnsi="Times New Roman" w:cs="Times New Roman"/>
          <w:color w:val="auto"/>
          <w:highlight w:val="none"/>
          <w:lang w:val="en-US" w:eastAsia="zh-CN"/>
        </w:rPr>
        <w:t>技术</w:t>
      </w:r>
      <w:r>
        <w:rPr>
          <w:rFonts w:hint="default" w:ascii="Times New Roman" w:hAnsi="Times New Roman" w:cs="Times New Roman"/>
          <w:color w:val="auto"/>
          <w:highlight w:val="none"/>
          <w:lang w:val="en-US" w:eastAsia="zh-CN"/>
        </w:rPr>
        <w:t>架构设计方案。</w:t>
      </w:r>
    </w:p>
    <w:p w14:paraId="3A1E7E2F">
      <w:pPr>
        <w:pStyle w:val="5"/>
        <w:keepNext w:val="0"/>
        <w:keepLines w:val="0"/>
        <w:pageBreakBefore w:val="0"/>
        <w:widowControl w:val="0"/>
        <w:numPr>
          <w:ilvl w:val="2"/>
          <w:numId w:val="2"/>
        </w:numPr>
        <w:kinsoku/>
        <w:wordWrap/>
        <w:overflowPunct/>
        <w:topLinePunct w:val="0"/>
        <w:autoSpaceDE w:val="0"/>
        <w:autoSpaceDN w:val="0"/>
        <w:bidi w:val="0"/>
        <w:adjustRightInd/>
        <w:snapToGrid/>
        <w:ind w:left="0" w:leftChars="0" w:firstLine="482" w:firstLineChars="200"/>
        <w:textAlignment w:val="auto"/>
        <w:outlineLvl w:val="3"/>
        <w:rPr>
          <w:rFonts w:hint="eastAsia" w:ascii="Times New Roman" w:hAnsi="Times New Roman" w:cs="Times New Roman"/>
          <w:b/>
          <w:bCs w:val="0"/>
          <w:color w:val="auto"/>
          <w:highlight w:val="none"/>
          <w:lang w:val="en-US" w:eastAsia="zh-CN"/>
        </w:rPr>
      </w:pPr>
      <w:r>
        <w:rPr>
          <w:rFonts w:hint="eastAsia" w:ascii="Times New Roman" w:hAnsi="Times New Roman" w:cs="Times New Roman"/>
          <w:b/>
          <w:bCs w:val="0"/>
          <w:color w:val="auto"/>
          <w:highlight w:val="none"/>
          <w:lang w:val="en-US" w:eastAsia="zh-CN"/>
        </w:rPr>
        <w:t xml:space="preserve"> 数据中台灾备方案制定</w:t>
      </w:r>
    </w:p>
    <w:p w14:paraId="36AF72CE">
      <w:pPr>
        <w:keepNext w:val="0"/>
        <w:keepLines w:val="0"/>
        <w:pageBreakBefore w:val="0"/>
        <w:widowControl w:val="0"/>
        <w:kinsoku/>
        <w:wordWrap/>
        <w:overflowPunct/>
        <w:topLinePunct w:val="0"/>
        <w:autoSpaceDE w:val="0"/>
        <w:autoSpaceDN w:val="0"/>
        <w:bidi w:val="0"/>
        <w:adjustRightInd/>
        <w:snapToGrid/>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参选人需充分借鉴业内最佳实践，全面识别新一代数据中台可能面临的灾难风险，为比选人设计一套完整的灾备方案，保证在发生异常情况时相关数据和业务能快速恢复，确保数据安全和业务连续性。灾备方案应满足的要求包括但不限于：</w:t>
      </w:r>
    </w:p>
    <w:p w14:paraId="6FDF4C43">
      <w:pPr>
        <w:keepNext w:val="0"/>
        <w:keepLines w:val="0"/>
        <w:pageBreakBefore w:val="0"/>
        <w:widowControl w:val="0"/>
        <w:numPr>
          <w:ilvl w:val="0"/>
          <w:numId w:val="0"/>
        </w:numPr>
        <w:kinsoku/>
        <w:wordWrap/>
        <w:overflowPunct/>
        <w:topLinePunct w:val="0"/>
        <w:autoSpaceDE w:val="0"/>
        <w:autoSpaceDN w:val="0"/>
        <w:bidi w:val="0"/>
        <w:adjustRightInd/>
        <w:snapToGrid/>
        <w:ind w:firstLine="480" w:firstLineChars="200"/>
        <w:textAlignment w:val="auto"/>
        <w:rPr>
          <w:rFonts w:hint="eastAsia" w:ascii="Times New Roman" w:hAnsi="Times New Roman" w:cs="Times New Roman"/>
          <w:color w:val="auto"/>
          <w:highlight w:val="none"/>
          <w:lang w:val="en-US" w:eastAsia="zh-CN"/>
        </w:rPr>
      </w:pPr>
      <w:r>
        <w:rPr>
          <w:rFonts w:hint="eastAsia" w:ascii="Times New Roman" w:hAnsi="Times New Roman" w:eastAsia="宋体" w:cs="Times New Roman"/>
          <w:color w:val="auto"/>
          <w:kern w:val="2"/>
          <w:sz w:val="24"/>
          <w:szCs w:val="20"/>
          <w:highlight w:val="none"/>
          <w:lang w:val="en-US" w:eastAsia="zh-CN" w:bidi="ar-SA"/>
        </w:rPr>
        <w:t>（</w:t>
      </w:r>
      <w:r>
        <w:rPr>
          <w:rFonts w:hint="eastAsia" w:ascii="Times New Roman" w:hAnsi="Times New Roman" w:cs="Times New Roman"/>
          <w:color w:val="auto"/>
          <w:kern w:val="2"/>
          <w:sz w:val="24"/>
          <w:szCs w:val="20"/>
          <w:highlight w:val="none"/>
          <w:lang w:val="en-US" w:eastAsia="zh-CN" w:bidi="ar-SA"/>
        </w:rPr>
        <w:t>1</w:t>
      </w:r>
      <w:r>
        <w:rPr>
          <w:rFonts w:hint="eastAsia" w:ascii="Times New Roman" w:hAnsi="Times New Roman" w:eastAsia="宋体" w:cs="Times New Roman"/>
          <w:color w:val="auto"/>
          <w:kern w:val="2"/>
          <w:sz w:val="24"/>
          <w:szCs w:val="20"/>
          <w:highlight w:val="none"/>
          <w:lang w:val="en-US" w:eastAsia="zh-CN" w:bidi="ar-SA"/>
        </w:rPr>
        <w:t>）</w:t>
      </w:r>
      <w:r>
        <w:rPr>
          <w:rFonts w:hint="eastAsia" w:ascii="Times New Roman" w:hAnsi="Times New Roman" w:cs="Times New Roman"/>
          <w:color w:val="auto"/>
          <w:highlight w:val="none"/>
          <w:lang w:val="en-US" w:eastAsia="zh-CN"/>
        </w:rPr>
        <w:t>方案需根据比选人实际情况，明确灾备所需的资源，制定详细且可落地的灾备建设计划；</w:t>
      </w:r>
    </w:p>
    <w:p w14:paraId="73F4FDD4">
      <w:pPr>
        <w:keepNext w:val="0"/>
        <w:keepLines w:val="0"/>
        <w:pageBreakBefore w:val="0"/>
        <w:widowControl w:val="0"/>
        <w:numPr>
          <w:ilvl w:val="0"/>
          <w:numId w:val="0"/>
        </w:numPr>
        <w:kinsoku/>
        <w:wordWrap/>
        <w:overflowPunct/>
        <w:topLinePunct w:val="0"/>
        <w:autoSpaceDE w:val="0"/>
        <w:autoSpaceDN w:val="0"/>
        <w:bidi w:val="0"/>
        <w:adjustRightInd/>
        <w:snapToGrid/>
        <w:ind w:firstLine="480" w:firstLineChars="200"/>
        <w:textAlignment w:val="auto"/>
        <w:rPr>
          <w:rFonts w:hint="eastAsia" w:ascii="Times New Roman" w:hAnsi="Times New Roman" w:cs="Times New Roman"/>
          <w:color w:val="auto"/>
          <w:highlight w:val="none"/>
          <w:lang w:val="en-US" w:eastAsia="zh-CN"/>
        </w:rPr>
      </w:pPr>
      <w:r>
        <w:rPr>
          <w:rFonts w:hint="eastAsia" w:ascii="Times New Roman" w:hAnsi="Times New Roman" w:eastAsia="宋体" w:cs="Times New Roman"/>
          <w:color w:val="auto"/>
          <w:kern w:val="2"/>
          <w:sz w:val="24"/>
          <w:szCs w:val="20"/>
          <w:highlight w:val="none"/>
          <w:lang w:val="en-US" w:eastAsia="zh-CN" w:bidi="ar-SA"/>
        </w:rPr>
        <w:t>（</w:t>
      </w:r>
      <w:r>
        <w:rPr>
          <w:rFonts w:hint="eastAsia" w:ascii="Times New Roman" w:hAnsi="Times New Roman" w:cs="Times New Roman"/>
          <w:color w:val="auto"/>
          <w:kern w:val="2"/>
          <w:sz w:val="24"/>
          <w:szCs w:val="20"/>
          <w:highlight w:val="none"/>
          <w:lang w:val="en-US" w:eastAsia="zh-CN" w:bidi="ar-SA"/>
        </w:rPr>
        <w:t>2</w:t>
      </w:r>
      <w:r>
        <w:rPr>
          <w:rFonts w:hint="eastAsia" w:ascii="Times New Roman" w:hAnsi="Times New Roman" w:eastAsia="宋体" w:cs="Times New Roman"/>
          <w:color w:val="auto"/>
          <w:kern w:val="2"/>
          <w:sz w:val="24"/>
          <w:szCs w:val="20"/>
          <w:highlight w:val="none"/>
          <w:lang w:val="en-US" w:eastAsia="zh-CN" w:bidi="ar-SA"/>
        </w:rPr>
        <w:t>）</w:t>
      </w:r>
      <w:r>
        <w:rPr>
          <w:rFonts w:hint="eastAsia" w:ascii="Times New Roman" w:hAnsi="Times New Roman" w:cs="Times New Roman"/>
          <w:color w:val="auto"/>
          <w:highlight w:val="none"/>
          <w:lang w:val="en-US" w:eastAsia="zh-CN"/>
        </w:rPr>
        <w:t>方案需对新一代数据中台的建设内容进行业务功能分析，评估业务中断的影响；</w:t>
      </w:r>
    </w:p>
    <w:p w14:paraId="29C94D5B">
      <w:pPr>
        <w:keepNext w:val="0"/>
        <w:keepLines w:val="0"/>
        <w:pageBreakBefore w:val="0"/>
        <w:widowControl w:val="0"/>
        <w:numPr>
          <w:ilvl w:val="0"/>
          <w:numId w:val="0"/>
        </w:numPr>
        <w:kinsoku/>
        <w:wordWrap/>
        <w:overflowPunct/>
        <w:topLinePunct w:val="0"/>
        <w:autoSpaceDE w:val="0"/>
        <w:autoSpaceDN w:val="0"/>
        <w:bidi w:val="0"/>
        <w:adjustRightInd/>
        <w:snapToGrid/>
        <w:ind w:firstLine="480" w:firstLineChars="200"/>
        <w:textAlignment w:val="auto"/>
        <w:rPr>
          <w:rFonts w:hint="eastAsia" w:ascii="Times New Roman" w:hAnsi="Times New Roman" w:cs="Times New Roman"/>
          <w:color w:val="auto"/>
          <w:highlight w:val="none"/>
          <w:lang w:val="en-US" w:eastAsia="zh-CN"/>
        </w:rPr>
      </w:pPr>
      <w:r>
        <w:rPr>
          <w:rFonts w:hint="eastAsia" w:ascii="Times New Roman" w:hAnsi="Times New Roman" w:eastAsia="宋体" w:cs="Times New Roman"/>
          <w:color w:val="auto"/>
          <w:kern w:val="2"/>
          <w:sz w:val="24"/>
          <w:szCs w:val="20"/>
          <w:highlight w:val="none"/>
          <w:lang w:val="en-US" w:eastAsia="zh-CN" w:bidi="ar-SA"/>
        </w:rPr>
        <w:t>（</w:t>
      </w:r>
      <w:r>
        <w:rPr>
          <w:rFonts w:hint="eastAsia" w:ascii="Times New Roman" w:hAnsi="Times New Roman" w:cs="Times New Roman"/>
          <w:color w:val="auto"/>
          <w:kern w:val="2"/>
          <w:sz w:val="24"/>
          <w:szCs w:val="20"/>
          <w:highlight w:val="none"/>
          <w:lang w:val="en-US" w:eastAsia="zh-CN" w:bidi="ar-SA"/>
        </w:rPr>
        <w:t>3</w:t>
      </w:r>
      <w:r>
        <w:rPr>
          <w:rFonts w:hint="eastAsia" w:ascii="Times New Roman" w:hAnsi="Times New Roman" w:eastAsia="宋体" w:cs="Times New Roman"/>
          <w:color w:val="auto"/>
          <w:kern w:val="2"/>
          <w:sz w:val="24"/>
          <w:szCs w:val="20"/>
          <w:highlight w:val="none"/>
          <w:lang w:val="en-US" w:eastAsia="zh-CN" w:bidi="ar-SA"/>
        </w:rPr>
        <w:t>）</w:t>
      </w:r>
      <w:r>
        <w:rPr>
          <w:rFonts w:hint="eastAsia" w:ascii="Times New Roman" w:hAnsi="Times New Roman" w:cs="Times New Roman"/>
          <w:color w:val="auto"/>
          <w:highlight w:val="none"/>
          <w:lang w:val="en-US" w:eastAsia="zh-CN"/>
        </w:rPr>
        <w:t>方案需明确比选人各部门在灾备规划、运行维护、应急响应和灾难恢复等各阶段的工作职责与工作内容；</w:t>
      </w:r>
    </w:p>
    <w:p w14:paraId="716EC74F">
      <w:pPr>
        <w:keepNext w:val="0"/>
        <w:keepLines w:val="0"/>
        <w:pageBreakBefore w:val="0"/>
        <w:widowControl w:val="0"/>
        <w:numPr>
          <w:ilvl w:val="0"/>
          <w:numId w:val="0"/>
        </w:numPr>
        <w:kinsoku/>
        <w:wordWrap/>
        <w:overflowPunct/>
        <w:topLinePunct w:val="0"/>
        <w:autoSpaceDE w:val="0"/>
        <w:autoSpaceDN w:val="0"/>
        <w:bidi w:val="0"/>
        <w:adjustRightInd/>
        <w:snapToGrid/>
        <w:ind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eastAsia="宋体" w:cs="Times New Roman"/>
          <w:color w:val="auto"/>
          <w:kern w:val="2"/>
          <w:sz w:val="24"/>
          <w:szCs w:val="20"/>
          <w:highlight w:val="none"/>
          <w:lang w:val="en-US" w:eastAsia="zh-CN" w:bidi="ar-SA"/>
        </w:rPr>
        <w:t>（</w:t>
      </w:r>
      <w:r>
        <w:rPr>
          <w:rFonts w:hint="eastAsia" w:ascii="Times New Roman" w:hAnsi="Times New Roman" w:cs="Times New Roman"/>
          <w:color w:val="auto"/>
          <w:kern w:val="2"/>
          <w:sz w:val="24"/>
          <w:szCs w:val="20"/>
          <w:highlight w:val="none"/>
          <w:lang w:val="en-US" w:eastAsia="zh-CN" w:bidi="ar-SA"/>
        </w:rPr>
        <w:t>4</w:t>
      </w:r>
      <w:r>
        <w:rPr>
          <w:rFonts w:hint="default" w:ascii="Times New Roman" w:hAnsi="Times New Roman" w:eastAsia="宋体" w:cs="Times New Roman"/>
          <w:color w:val="auto"/>
          <w:kern w:val="2"/>
          <w:sz w:val="24"/>
          <w:szCs w:val="20"/>
          <w:highlight w:val="none"/>
          <w:lang w:val="en-US" w:eastAsia="zh-CN" w:bidi="ar-SA"/>
        </w:rPr>
        <w:t>）</w:t>
      </w:r>
      <w:r>
        <w:rPr>
          <w:rFonts w:hint="eastAsia" w:ascii="Times New Roman" w:hAnsi="Times New Roman" w:cs="Times New Roman"/>
          <w:color w:val="auto"/>
          <w:highlight w:val="none"/>
          <w:lang w:val="en-US" w:eastAsia="zh-CN"/>
        </w:rPr>
        <w:t>方案需制定切实可行的灾难恢复策略，包括但不限于灾难恢复计划、业务恢复流程、灾难恢复预案、灾难恢复培训、灾难恢复演练方案等；</w:t>
      </w:r>
    </w:p>
    <w:p w14:paraId="2EC89EA9">
      <w:pPr>
        <w:keepNext w:val="0"/>
        <w:keepLines w:val="0"/>
        <w:pageBreakBefore w:val="0"/>
        <w:widowControl w:val="0"/>
        <w:numPr>
          <w:ilvl w:val="0"/>
          <w:numId w:val="0"/>
        </w:numPr>
        <w:kinsoku/>
        <w:wordWrap/>
        <w:overflowPunct/>
        <w:topLinePunct w:val="0"/>
        <w:autoSpaceDE w:val="0"/>
        <w:autoSpaceDN w:val="0"/>
        <w:bidi w:val="0"/>
        <w:adjustRightInd/>
        <w:snapToGrid/>
        <w:ind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eastAsia="宋体" w:cs="Times New Roman"/>
          <w:color w:val="auto"/>
          <w:kern w:val="2"/>
          <w:sz w:val="24"/>
          <w:szCs w:val="20"/>
          <w:highlight w:val="none"/>
          <w:lang w:val="en-US" w:eastAsia="zh-CN" w:bidi="ar-SA"/>
        </w:rPr>
        <w:t>（</w:t>
      </w:r>
      <w:r>
        <w:rPr>
          <w:rFonts w:hint="eastAsia" w:ascii="Times New Roman" w:hAnsi="Times New Roman" w:cs="Times New Roman"/>
          <w:color w:val="auto"/>
          <w:kern w:val="2"/>
          <w:sz w:val="24"/>
          <w:szCs w:val="20"/>
          <w:highlight w:val="none"/>
          <w:lang w:val="en-US" w:eastAsia="zh-CN" w:bidi="ar-SA"/>
        </w:rPr>
        <w:t>5</w:t>
      </w:r>
      <w:r>
        <w:rPr>
          <w:rFonts w:hint="default" w:ascii="Times New Roman" w:hAnsi="Times New Roman" w:eastAsia="宋体" w:cs="Times New Roman"/>
          <w:color w:val="auto"/>
          <w:kern w:val="2"/>
          <w:sz w:val="24"/>
          <w:szCs w:val="20"/>
          <w:highlight w:val="none"/>
          <w:lang w:val="en-US" w:eastAsia="zh-CN" w:bidi="ar-SA"/>
        </w:rPr>
        <w:t>）</w:t>
      </w:r>
      <w:r>
        <w:rPr>
          <w:rFonts w:hint="default" w:ascii="Times New Roman" w:hAnsi="Times New Roman" w:cs="Times New Roman"/>
          <w:color w:val="auto"/>
          <w:highlight w:val="none"/>
          <w:lang w:val="en-US" w:eastAsia="zh-CN"/>
        </w:rPr>
        <w:t>参选人在方案制定完成后应产出的材料包括但不限于：数据中台</w:t>
      </w:r>
      <w:r>
        <w:rPr>
          <w:rFonts w:hint="eastAsia" w:ascii="Times New Roman" w:hAnsi="Times New Roman" w:cs="Times New Roman"/>
          <w:color w:val="auto"/>
          <w:highlight w:val="none"/>
          <w:lang w:val="en-US" w:eastAsia="zh-CN"/>
        </w:rPr>
        <w:t>灾备</w:t>
      </w:r>
      <w:r>
        <w:rPr>
          <w:rFonts w:hint="default" w:ascii="Times New Roman" w:hAnsi="Times New Roman" w:cs="Times New Roman"/>
          <w:color w:val="auto"/>
          <w:highlight w:val="none"/>
          <w:lang w:val="en-US" w:eastAsia="zh-CN"/>
        </w:rPr>
        <w:t>方案。</w:t>
      </w:r>
    </w:p>
    <w:p w14:paraId="574373F5">
      <w:pPr>
        <w:pStyle w:val="5"/>
        <w:keepNext w:val="0"/>
        <w:keepLines w:val="0"/>
        <w:pageBreakBefore w:val="0"/>
        <w:widowControl w:val="0"/>
        <w:numPr>
          <w:ilvl w:val="2"/>
          <w:numId w:val="2"/>
        </w:numPr>
        <w:kinsoku/>
        <w:wordWrap/>
        <w:overflowPunct/>
        <w:topLinePunct w:val="0"/>
        <w:autoSpaceDE w:val="0"/>
        <w:autoSpaceDN w:val="0"/>
        <w:bidi w:val="0"/>
        <w:adjustRightInd/>
        <w:snapToGrid/>
        <w:ind w:left="0" w:leftChars="0" w:firstLine="482" w:firstLineChars="200"/>
        <w:textAlignment w:val="auto"/>
        <w:outlineLvl w:val="3"/>
        <w:rPr>
          <w:rFonts w:hint="default" w:ascii="Times New Roman" w:hAnsi="Times New Roman" w:cs="Times New Roman"/>
          <w:b/>
          <w:bCs w:val="0"/>
          <w:color w:val="auto"/>
          <w:highlight w:val="none"/>
          <w:lang w:val="en-US" w:eastAsia="zh-CN"/>
        </w:rPr>
      </w:pPr>
      <w:r>
        <w:rPr>
          <w:rFonts w:hint="default" w:ascii="Times New Roman" w:hAnsi="Times New Roman" w:cs="Times New Roman"/>
          <w:b/>
          <w:bCs w:val="0"/>
          <w:color w:val="auto"/>
          <w:highlight w:val="none"/>
          <w:lang w:val="en-US" w:eastAsia="zh-CN"/>
        </w:rPr>
        <w:t xml:space="preserve"> 实施</w:t>
      </w:r>
      <w:r>
        <w:rPr>
          <w:rFonts w:hint="eastAsia" w:ascii="Times New Roman" w:hAnsi="Times New Roman" w:cs="Times New Roman"/>
          <w:b/>
          <w:bCs w:val="0"/>
          <w:color w:val="auto"/>
          <w:highlight w:val="none"/>
          <w:lang w:val="en-US" w:eastAsia="zh-CN"/>
        </w:rPr>
        <w:t>和迁移</w:t>
      </w:r>
      <w:r>
        <w:rPr>
          <w:rFonts w:hint="default" w:ascii="Times New Roman" w:hAnsi="Times New Roman" w:cs="Times New Roman"/>
          <w:b/>
          <w:bCs w:val="0"/>
          <w:color w:val="auto"/>
          <w:highlight w:val="none"/>
          <w:lang w:val="en-US" w:eastAsia="zh-CN"/>
        </w:rPr>
        <w:t>方案</w:t>
      </w:r>
      <w:r>
        <w:rPr>
          <w:rFonts w:hint="eastAsia" w:ascii="Times New Roman" w:hAnsi="Times New Roman" w:cs="Times New Roman"/>
          <w:b/>
          <w:bCs w:val="0"/>
          <w:color w:val="auto"/>
          <w:highlight w:val="none"/>
          <w:lang w:val="en-US" w:eastAsia="zh-CN"/>
        </w:rPr>
        <w:t>制定</w:t>
      </w:r>
    </w:p>
    <w:p w14:paraId="1D849C94">
      <w:pPr>
        <w:keepNext w:val="0"/>
        <w:keepLines w:val="0"/>
        <w:pageBreakBefore w:val="0"/>
        <w:widowControl w:val="0"/>
        <w:kinsoku/>
        <w:wordWrap/>
        <w:overflowPunct/>
        <w:topLinePunct w:val="0"/>
        <w:autoSpaceDE w:val="0"/>
        <w:autoSpaceDN w:val="0"/>
        <w:bidi w:val="0"/>
        <w:adjustRightInd/>
        <w:snapToGrid/>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参选人需</w:t>
      </w:r>
      <w:r>
        <w:rPr>
          <w:rFonts w:hint="default" w:ascii="Times New Roman" w:hAnsi="Times New Roman" w:eastAsia="宋体" w:cs="Times New Roman"/>
          <w:color w:val="auto"/>
          <w:highlight w:val="none"/>
          <w:lang w:val="en-US" w:eastAsia="zh-CN"/>
        </w:rPr>
        <w:t>在充分评估各方面因素的基础上</w:t>
      </w:r>
      <w:r>
        <w:rPr>
          <w:rFonts w:hint="default" w:ascii="Times New Roman" w:hAnsi="Times New Roman" w:cs="Times New Roman"/>
          <w:color w:val="auto"/>
          <w:highlight w:val="none"/>
          <w:lang w:val="en-US" w:eastAsia="zh-CN"/>
        </w:rPr>
        <w:t>合理规划项目建设周期，</w:t>
      </w:r>
      <w:r>
        <w:rPr>
          <w:rFonts w:hint="default" w:ascii="Times New Roman" w:hAnsi="Times New Roman" w:cs="Times New Roman"/>
          <w:color w:val="auto"/>
          <w:highlight w:val="none"/>
        </w:rPr>
        <w:t>制定详细</w:t>
      </w:r>
      <w:r>
        <w:rPr>
          <w:rFonts w:hint="eastAsia" w:ascii="Times New Roman" w:hAnsi="Times New Roman" w:cs="Times New Roman"/>
          <w:color w:val="auto"/>
          <w:highlight w:val="none"/>
          <w:lang w:val="en-US" w:eastAsia="zh-CN"/>
        </w:rPr>
        <w:t>且切实可行</w:t>
      </w:r>
      <w:r>
        <w:rPr>
          <w:rFonts w:hint="default" w:ascii="Times New Roman" w:hAnsi="Times New Roman" w:cs="Times New Roman"/>
          <w:color w:val="auto"/>
          <w:highlight w:val="none"/>
        </w:rPr>
        <w:t>的</w:t>
      </w:r>
      <w:r>
        <w:rPr>
          <w:rFonts w:hint="eastAsia" w:ascii="Times New Roman" w:hAnsi="Times New Roman" w:cs="Times New Roman"/>
          <w:color w:val="auto"/>
          <w:highlight w:val="none"/>
          <w:lang w:val="en-US" w:eastAsia="zh-CN"/>
        </w:rPr>
        <w:t>实施</w:t>
      </w:r>
      <w:r>
        <w:rPr>
          <w:rFonts w:hint="default" w:ascii="Times New Roman" w:hAnsi="Times New Roman" w:cs="Times New Roman"/>
          <w:color w:val="auto"/>
          <w:highlight w:val="none"/>
        </w:rPr>
        <w:t>计划和方案</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确保项目建设过程中既不影响当前业务连续性，同时支持未来业务扩展和变化。参选人提供的实施</w:t>
      </w:r>
      <w:r>
        <w:rPr>
          <w:rFonts w:hint="eastAsia" w:ascii="Times New Roman" w:hAnsi="Times New Roman" w:cs="Times New Roman"/>
          <w:color w:val="auto"/>
          <w:highlight w:val="none"/>
          <w:lang w:val="en-US" w:eastAsia="zh-CN"/>
        </w:rPr>
        <w:t>和迁移</w:t>
      </w:r>
      <w:r>
        <w:rPr>
          <w:rFonts w:hint="default" w:ascii="Times New Roman" w:hAnsi="Times New Roman" w:cs="Times New Roman"/>
          <w:color w:val="auto"/>
          <w:highlight w:val="none"/>
          <w:lang w:val="en-US" w:eastAsia="zh-CN"/>
        </w:rPr>
        <w:t>方案应满足的要求包括但不限于：</w:t>
      </w:r>
    </w:p>
    <w:p w14:paraId="552FA495">
      <w:pPr>
        <w:keepNext w:val="0"/>
        <w:keepLines w:val="0"/>
        <w:pageBreakBefore w:val="0"/>
        <w:widowControl w:val="0"/>
        <w:numPr>
          <w:ilvl w:val="0"/>
          <w:numId w:val="0"/>
        </w:numPr>
        <w:kinsoku/>
        <w:wordWrap/>
        <w:overflowPunct/>
        <w:topLinePunct w:val="0"/>
        <w:autoSpaceDE w:val="0"/>
        <w:autoSpaceDN w:val="0"/>
        <w:bidi w:val="0"/>
        <w:adjustRightInd/>
        <w:snapToGrid/>
        <w:ind w:left="0" w:leftChars="0" w:firstLine="480" w:firstLineChars="200"/>
        <w:textAlignment w:val="auto"/>
        <w:rPr>
          <w:rFonts w:hint="eastAsia" w:ascii="Times New Roman" w:hAnsi="Times New Roman" w:cs="Times New Roman"/>
          <w:color w:val="auto"/>
          <w:highlight w:val="none"/>
          <w:lang w:val="en-US" w:eastAsia="zh-CN"/>
        </w:rPr>
      </w:pPr>
      <w:r>
        <w:rPr>
          <w:rFonts w:hint="eastAsia" w:ascii="Times New Roman" w:hAnsi="Times New Roman" w:eastAsia="宋体" w:cs="Times New Roman"/>
          <w:color w:val="auto"/>
          <w:kern w:val="2"/>
          <w:sz w:val="24"/>
          <w:szCs w:val="20"/>
          <w:highlight w:val="none"/>
          <w:lang w:val="en-US" w:eastAsia="zh-CN" w:bidi="ar-SA"/>
        </w:rPr>
        <w:t>（1）</w:t>
      </w:r>
      <w:r>
        <w:rPr>
          <w:rFonts w:hint="default" w:ascii="Times New Roman" w:hAnsi="Times New Roman" w:cs="Times New Roman"/>
          <w:color w:val="auto"/>
          <w:highlight w:val="none"/>
          <w:lang w:val="en-US" w:eastAsia="zh-CN"/>
        </w:rPr>
        <w:t>参选人需提供的方案应</w:t>
      </w:r>
      <w:r>
        <w:rPr>
          <w:rFonts w:hint="eastAsia" w:ascii="Times New Roman" w:hAnsi="Times New Roman" w:cs="Times New Roman"/>
          <w:color w:val="auto"/>
          <w:highlight w:val="none"/>
          <w:lang w:val="en-US" w:eastAsia="zh-CN"/>
        </w:rPr>
        <w:t>涵盖本</w:t>
      </w:r>
      <w:r>
        <w:rPr>
          <w:rFonts w:hint="default" w:ascii="Times New Roman" w:hAnsi="Times New Roman" w:cs="Times New Roman"/>
          <w:color w:val="auto"/>
          <w:highlight w:val="none"/>
          <w:lang w:val="en-US" w:eastAsia="zh-CN"/>
        </w:rPr>
        <w:t>项目的</w:t>
      </w:r>
      <w:r>
        <w:rPr>
          <w:rFonts w:hint="eastAsia" w:ascii="Times New Roman" w:hAnsi="Times New Roman" w:cs="Times New Roman"/>
          <w:color w:val="auto"/>
          <w:highlight w:val="none"/>
          <w:lang w:val="en-US" w:eastAsia="zh-CN"/>
        </w:rPr>
        <w:t>全部实施内容；</w:t>
      </w:r>
    </w:p>
    <w:p w14:paraId="5CDA5303">
      <w:pPr>
        <w:keepNext w:val="0"/>
        <w:keepLines w:val="0"/>
        <w:pageBreakBefore w:val="0"/>
        <w:widowControl w:val="0"/>
        <w:numPr>
          <w:ilvl w:val="0"/>
          <w:numId w:val="0"/>
        </w:numPr>
        <w:kinsoku/>
        <w:wordWrap/>
        <w:overflowPunct/>
        <w:topLinePunct w:val="0"/>
        <w:autoSpaceDE w:val="0"/>
        <w:autoSpaceDN w:val="0"/>
        <w:bidi w:val="0"/>
        <w:adjustRightInd/>
        <w:snapToGrid/>
        <w:ind w:leftChars="200"/>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（2）方案需完全与新一代数据中台架构设计和灾备方案相匹配；</w:t>
      </w:r>
    </w:p>
    <w:p w14:paraId="03C8AE34">
      <w:pPr>
        <w:keepNext w:val="0"/>
        <w:keepLines w:val="0"/>
        <w:pageBreakBefore w:val="0"/>
        <w:widowControl w:val="0"/>
        <w:numPr>
          <w:ilvl w:val="0"/>
          <w:numId w:val="0"/>
        </w:numPr>
        <w:kinsoku/>
        <w:wordWrap/>
        <w:overflowPunct/>
        <w:topLinePunct w:val="0"/>
        <w:autoSpaceDE w:val="0"/>
        <w:autoSpaceDN w:val="0"/>
        <w:bidi w:val="0"/>
        <w:adjustRightInd/>
        <w:snapToGrid/>
        <w:ind w:leftChars="200"/>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（3）方案需充分考虑数据实验区的建设要求；</w:t>
      </w:r>
    </w:p>
    <w:p w14:paraId="3E346E76">
      <w:pPr>
        <w:keepNext w:val="0"/>
        <w:keepLines w:val="0"/>
        <w:pageBreakBefore w:val="0"/>
        <w:widowControl w:val="0"/>
        <w:numPr>
          <w:ilvl w:val="0"/>
          <w:numId w:val="0"/>
        </w:numPr>
        <w:kinsoku/>
        <w:wordWrap/>
        <w:overflowPunct/>
        <w:topLinePunct w:val="0"/>
        <w:autoSpaceDE w:val="0"/>
        <w:autoSpaceDN w:val="0"/>
        <w:bidi w:val="0"/>
        <w:adjustRightInd/>
        <w:snapToGrid/>
        <w:ind w:left="0" w:leftChars="0" w:firstLine="480" w:firstLineChars="200"/>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color w:val="auto"/>
          <w:kern w:val="2"/>
          <w:sz w:val="24"/>
          <w:szCs w:val="20"/>
          <w:highlight w:val="none"/>
          <w:lang w:val="en-US" w:eastAsia="zh-CN" w:bidi="ar-SA"/>
        </w:rPr>
        <w:t>（4</w:t>
      </w:r>
      <w:r>
        <w:rPr>
          <w:rFonts w:hint="default" w:ascii="Times New Roman" w:hAnsi="Times New Roman" w:eastAsia="宋体" w:cs="Times New Roman"/>
          <w:color w:val="auto"/>
          <w:kern w:val="2"/>
          <w:sz w:val="24"/>
          <w:szCs w:val="20"/>
          <w:highlight w:val="none"/>
          <w:lang w:val="en-US" w:eastAsia="zh-CN" w:bidi="ar-SA"/>
        </w:rPr>
        <w:t>）</w:t>
      </w:r>
      <w:r>
        <w:rPr>
          <w:rFonts w:hint="eastAsia" w:ascii="Times New Roman" w:hAnsi="Times New Roman" w:cs="Times New Roman"/>
          <w:color w:val="auto"/>
          <w:highlight w:val="none"/>
          <w:lang w:val="en-US" w:eastAsia="zh-CN"/>
        </w:rPr>
        <w:t>方案需</w:t>
      </w:r>
      <w:r>
        <w:rPr>
          <w:rFonts w:hint="default" w:ascii="Times New Roman" w:hAnsi="Times New Roman" w:cs="Times New Roman"/>
          <w:color w:val="auto"/>
          <w:highlight w:val="none"/>
          <w:lang w:val="en-US" w:eastAsia="zh-CN"/>
        </w:rPr>
        <w:t>根据比选人实际</w:t>
      </w:r>
      <w:r>
        <w:rPr>
          <w:rFonts w:hint="eastAsia" w:ascii="Times New Roman" w:hAnsi="Times New Roman" w:cs="Times New Roman"/>
          <w:color w:val="auto"/>
          <w:highlight w:val="none"/>
          <w:lang w:val="en-US" w:eastAsia="zh-CN"/>
        </w:rPr>
        <w:t>情况合理规划项目实施周期，明确项目里程碑及各阶段的交付物；</w:t>
      </w:r>
    </w:p>
    <w:p w14:paraId="6EB102A6">
      <w:pPr>
        <w:keepNext w:val="0"/>
        <w:keepLines w:val="0"/>
        <w:pageBreakBefore w:val="0"/>
        <w:widowControl w:val="0"/>
        <w:numPr>
          <w:ilvl w:val="0"/>
          <w:numId w:val="0"/>
        </w:numPr>
        <w:kinsoku/>
        <w:wordWrap/>
        <w:overflowPunct/>
        <w:topLinePunct w:val="0"/>
        <w:autoSpaceDE w:val="0"/>
        <w:autoSpaceDN w:val="0"/>
        <w:bidi w:val="0"/>
        <w:adjustRightInd/>
        <w:snapToGrid/>
        <w:ind w:left="0" w:leftChars="0" w:firstLine="480" w:firstLineChars="200"/>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kern w:val="2"/>
          <w:sz w:val="24"/>
          <w:szCs w:val="20"/>
          <w:highlight w:val="none"/>
          <w:lang w:val="en-US" w:eastAsia="zh-CN" w:bidi="ar-SA"/>
        </w:rPr>
        <w:t>（5</w:t>
      </w:r>
      <w:r>
        <w:rPr>
          <w:rFonts w:hint="default" w:ascii="Times New Roman" w:hAnsi="Times New Roman" w:eastAsia="宋体" w:cs="Times New Roman"/>
          <w:color w:val="auto"/>
          <w:kern w:val="2"/>
          <w:sz w:val="24"/>
          <w:szCs w:val="20"/>
          <w:highlight w:val="none"/>
          <w:lang w:val="en-US" w:eastAsia="zh-CN" w:bidi="ar-SA"/>
        </w:rPr>
        <w:t>）</w:t>
      </w:r>
      <w:r>
        <w:rPr>
          <w:rFonts w:hint="default" w:ascii="Times New Roman" w:hAnsi="Times New Roman" w:cs="Times New Roman"/>
          <w:color w:val="auto"/>
          <w:highlight w:val="none"/>
          <w:lang w:val="en-US" w:eastAsia="zh-CN"/>
        </w:rPr>
        <w:t>方案需充分</w:t>
      </w:r>
      <w:r>
        <w:rPr>
          <w:rFonts w:hint="eastAsia" w:ascii="Times New Roman" w:hAnsi="Times New Roman" w:cs="Times New Roman"/>
          <w:color w:val="auto"/>
          <w:highlight w:val="none"/>
          <w:lang w:val="en-US" w:eastAsia="zh-CN"/>
        </w:rPr>
        <w:t>考虑与本项目关联的各业务系统和比选人的</w:t>
      </w:r>
      <w:r>
        <w:rPr>
          <w:rFonts w:hint="default" w:ascii="Times New Roman" w:hAnsi="Times New Roman" w:cs="Times New Roman"/>
          <w:color w:val="auto"/>
          <w:highlight w:val="none"/>
          <w:lang w:val="en-US" w:eastAsia="zh-CN"/>
        </w:rPr>
        <w:t>组织架构现状，提供对比选人参与本项目的科技和业务人员的要求，并阐述各方职责、关系与参与建设内容；</w:t>
      </w:r>
    </w:p>
    <w:p w14:paraId="78A64164">
      <w:pPr>
        <w:keepNext w:val="0"/>
        <w:keepLines w:val="0"/>
        <w:pageBreakBefore w:val="0"/>
        <w:widowControl w:val="0"/>
        <w:numPr>
          <w:ilvl w:val="0"/>
          <w:numId w:val="0"/>
        </w:numPr>
        <w:kinsoku/>
        <w:wordWrap/>
        <w:overflowPunct/>
        <w:topLinePunct w:val="0"/>
        <w:autoSpaceDE w:val="0"/>
        <w:autoSpaceDN w:val="0"/>
        <w:bidi w:val="0"/>
        <w:adjustRightInd/>
        <w:snapToGrid/>
        <w:ind w:left="0" w:leftChars="0" w:firstLine="480" w:firstLineChars="200"/>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kern w:val="2"/>
          <w:sz w:val="24"/>
          <w:szCs w:val="20"/>
          <w:highlight w:val="none"/>
          <w:lang w:val="en-US" w:eastAsia="zh-CN" w:bidi="ar-SA"/>
        </w:rPr>
        <w:t>（6</w:t>
      </w:r>
      <w:r>
        <w:rPr>
          <w:rFonts w:hint="default" w:ascii="Times New Roman" w:hAnsi="Times New Roman" w:eastAsia="宋体" w:cs="Times New Roman"/>
          <w:color w:val="auto"/>
          <w:kern w:val="2"/>
          <w:sz w:val="24"/>
          <w:szCs w:val="20"/>
          <w:highlight w:val="none"/>
          <w:lang w:val="en-US" w:eastAsia="zh-CN" w:bidi="ar-SA"/>
        </w:rPr>
        <w:t>）</w:t>
      </w:r>
      <w:r>
        <w:rPr>
          <w:rFonts w:hint="default" w:ascii="Times New Roman" w:hAnsi="Times New Roman" w:cs="Times New Roman"/>
          <w:color w:val="auto"/>
          <w:highlight w:val="none"/>
          <w:lang w:val="en-US" w:eastAsia="zh-CN"/>
        </w:rPr>
        <w:t>方案需建立健全的数据治理机制，实现数据的全生命周期管理，确保数据的质量</w:t>
      </w:r>
      <w:r>
        <w:rPr>
          <w:rFonts w:hint="eastAsia" w:ascii="Times New Roman" w:hAnsi="Times New Roman" w:cs="Times New Roman"/>
          <w:color w:val="auto"/>
          <w:highlight w:val="none"/>
          <w:lang w:val="en-US" w:eastAsia="zh-CN"/>
        </w:rPr>
        <w:t>和</w:t>
      </w:r>
      <w:r>
        <w:rPr>
          <w:rFonts w:hint="default" w:ascii="Times New Roman" w:hAnsi="Times New Roman" w:cs="Times New Roman"/>
          <w:color w:val="auto"/>
          <w:highlight w:val="none"/>
          <w:lang w:val="en-US" w:eastAsia="zh-CN"/>
        </w:rPr>
        <w:t>安全，并明确和落实数据隐私保护、数据安全等措施；</w:t>
      </w:r>
    </w:p>
    <w:p w14:paraId="6AE0F1B2">
      <w:pPr>
        <w:keepNext w:val="0"/>
        <w:keepLines w:val="0"/>
        <w:pageBreakBefore w:val="0"/>
        <w:widowControl w:val="0"/>
        <w:numPr>
          <w:ilvl w:val="0"/>
          <w:numId w:val="0"/>
        </w:numPr>
        <w:kinsoku/>
        <w:wordWrap/>
        <w:overflowPunct/>
        <w:topLinePunct w:val="0"/>
        <w:autoSpaceDE w:val="0"/>
        <w:autoSpaceDN w:val="0"/>
        <w:bidi w:val="0"/>
        <w:adjustRightInd/>
        <w:snapToGrid/>
        <w:ind w:left="0" w:leftChars="0" w:firstLine="480" w:firstLineChars="200"/>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kern w:val="2"/>
          <w:sz w:val="24"/>
          <w:szCs w:val="20"/>
          <w:highlight w:val="none"/>
          <w:lang w:val="en-US" w:eastAsia="zh-CN" w:bidi="ar-SA"/>
        </w:rPr>
        <w:t>（7</w:t>
      </w:r>
      <w:r>
        <w:rPr>
          <w:rFonts w:hint="default" w:ascii="Times New Roman" w:hAnsi="Times New Roman" w:eastAsia="宋体" w:cs="Times New Roman"/>
          <w:color w:val="auto"/>
          <w:kern w:val="2"/>
          <w:sz w:val="24"/>
          <w:szCs w:val="20"/>
          <w:highlight w:val="none"/>
          <w:lang w:val="en-US" w:eastAsia="zh-CN" w:bidi="ar-SA"/>
        </w:rPr>
        <w:t>）</w:t>
      </w:r>
      <w:r>
        <w:rPr>
          <w:rFonts w:hint="default" w:ascii="Times New Roman" w:hAnsi="Times New Roman" w:cs="Times New Roman"/>
          <w:color w:val="auto"/>
          <w:highlight w:val="none"/>
          <w:lang w:val="en-US" w:eastAsia="zh-CN"/>
        </w:rPr>
        <w:t>参选人在方案制定完成后应产出的材料包括但不限于：数据中台实施</w:t>
      </w:r>
      <w:r>
        <w:rPr>
          <w:rFonts w:hint="eastAsia" w:ascii="Times New Roman" w:hAnsi="Times New Roman" w:cs="Times New Roman"/>
          <w:color w:val="auto"/>
          <w:highlight w:val="none"/>
          <w:lang w:val="en-US" w:eastAsia="zh-CN"/>
        </w:rPr>
        <w:t>和迁移</w:t>
      </w:r>
      <w:r>
        <w:rPr>
          <w:rFonts w:hint="default" w:ascii="Times New Roman" w:hAnsi="Times New Roman" w:cs="Times New Roman"/>
          <w:color w:val="auto"/>
          <w:highlight w:val="none"/>
          <w:lang w:val="en-US" w:eastAsia="zh-CN"/>
        </w:rPr>
        <w:t>方案。</w:t>
      </w:r>
    </w:p>
    <w:p w14:paraId="2BA32AA8">
      <w:pPr>
        <w:pStyle w:val="4"/>
        <w:keepNext w:val="0"/>
        <w:keepLines w:val="0"/>
        <w:pageBreakBefore w:val="0"/>
        <w:widowControl w:val="0"/>
        <w:numPr>
          <w:ilvl w:val="1"/>
          <w:numId w:val="2"/>
        </w:numPr>
        <w:kinsoku/>
        <w:wordWrap/>
        <w:overflowPunct/>
        <w:topLinePunct w:val="0"/>
        <w:autoSpaceDE w:val="0"/>
        <w:autoSpaceDN w:val="0"/>
        <w:bidi w:val="0"/>
        <w:adjustRightInd/>
        <w:snapToGrid/>
        <w:ind w:left="0" w:leftChars="0" w:firstLine="482" w:firstLineChars="200"/>
        <w:textAlignment w:val="auto"/>
        <w:outlineLvl w:val="2"/>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lang w:val="en-US" w:eastAsia="zh-CN"/>
        </w:rPr>
        <w:t>产品</w:t>
      </w:r>
      <w:r>
        <w:rPr>
          <w:rFonts w:hint="eastAsia" w:ascii="Times New Roman" w:hAnsi="Times New Roman" w:cs="Times New Roman"/>
          <w:color w:val="auto"/>
          <w:highlight w:val="none"/>
          <w:lang w:val="en-US" w:eastAsia="zh-CN"/>
        </w:rPr>
        <w:t>部署与集成</w:t>
      </w:r>
    </w:p>
    <w:p w14:paraId="7B135298">
      <w:pPr>
        <w:pStyle w:val="5"/>
        <w:keepNext w:val="0"/>
        <w:keepLines w:val="0"/>
        <w:pageBreakBefore w:val="0"/>
        <w:widowControl w:val="0"/>
        <w:numPr>
          <w:ilvl w:val="2"/>
          <w:numId w:val="2"/>
        </w:numPr>
        <w:kinsoku/>
        <w:wordWrap/>
        <w:overflowPunct/>
        <w:topLinePunct w:val="0"/>
        <w:autoSpaceDE w:val="0"/>
        <w:autoSpaceDN w:val="0"/>
        <w:bidi w:val="0"/>
        <w:adjustRightInd/>
        <w:snapToGrid/>
        <w:ind w:left="0" w:leftChars="0" w:firstLine="482" w:firstLineChars="200"/>
        <w:textAlignment w:val="auto"/>
        <w:outlineLvl w:val="3"/>
        <w:rPr>
          <w:rFonts w:hint="eastAsia" w:ascii="Times New Roman" w:hAnsi="Times New Roman" w:cs="Times New Roman"/>
          <w:b/>
          <w:bCs w:val="0"/>
          <w:color w:val="auto"/>
          <w:highlight w:val="none"/>
          <w:lang w:val="en-US" w:eastAsia="zh-CN"/>
        </w:rPr>
      </w:pPr>
      <w:r>
        <w:rPr>
          <w:rFonts w:hint="default" w:ascii="Times New Roman" w:hAnsi="Times New Roman" w:cs="Times New Roman"/>
          <w:b/>
          <w:bCs w:val="0"/>
          <w:color w:val="auto"/>
          <w:highlight w:val="none"/>
          <w:lang w:val="en-US" w:eastAsia="zh-CN"/>
        </w:rPr>
        <w:t xml:space="preserve"> </w:t>
      </w:r>
      <w:r>
        <w:rPr>
          <w:rFonts w:hint="eastAsia" w:ascii="Times New Roman" w:hAnsi="Times New Roman" w:cs="Times New Roman"/>
          <w:b/>
          <w:bCs w:val="0"/>
          <w:color w:val="auto"/>
          <w:highlight w:val="none"/>
          <w:lang w:val="en-US" w:eastAsia="zh-CN"/>
        </w:rPr>
        <w:t>产品通用要求</w:t>
      </w:r>
    </w:p>
    <w:p w14:paraId="6D3D8C39">
      <w:pPr>
        <w:pStyle w:val="6"/>
        <w:keepNext w:val="0"/>
        <w:keepLines w:val="0"/>
        <w:pageBreakBefore w:val="0"/>
        <w:widowControl w:val="0"/>
        <w:numPr>
          <w:ilvl w:val="3"/>
          <w:numId w:val="2"/>
        </w:numPr>
        <w:kinsoku/>
        <w:wordWrap/>
        <w:overflowPunct/>
        <w:topLinePunct w:val="0"/>
        <w:autoSpaceDE w:val="0"/>
        <w:autoSpaceDN w:val="0"/>
        <w:bidi w:val="0"/>
        <w:adjustRightInd/>
        <w:snapToGrid/>
        <w:spacing w:line="600" w:lineRule="exact"/>
        <w:ind w:left="0" w:leftChars="0" w:firstLine="482" w:firstLineChars="200"/>
        <w:jc w:val="left"/>
        <w:textAlignment w:val="auto"/>
        <w:outlineLvl w:val="4"/>
        <w:rPr>
          <w:rFonts w:hint="eastAsia" w:ascii="Times New Roman" w:hAnsi="Times New Roman" w:cs="Times New Roman"/>
          <w:b/>
          <w:bCs w:val="0"/>
          <w:color w:val="auto"/>
          <w:sz w:val="24"/>
          <w:szCs w:val="24"/>
          <w:highlight w:val="none"/>
          <w:lang w:val="en-US" w:eastAsia="zh-CN"/>
        </w:rPr>
      </w:pPr>
      <w:r>
        <w:rPr>
          <w:rFonts w:hint="eastAsia" w:ascii="Times New Roman" w:hAnsi="Times New Roman" w:cs="Times New Roman"/>
          <w:b/>
          <w:bCs w:val="0"/>
          <w:color w:val="auto"/>
          <w:sz w:val="24"/>
          <w:szCs w:val="24"/>
          <w:highlight w:val="none"/>
          <w:lang w:val="en-US" w:eastAsia="zh-CN"/>
        </w:rPr>
        <w:t xml:space="preserve"> 总体要求</w:t>
      </w:r>
    </w:p>
    <w:p w14:paraId="2DDFC862">
      <w:pPr>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为确保参选人提供的产品与服务能满足比选人的需求，参选人提供的产品及服务必须满足的要求包括但不限于：</w:t>
      </w:r>
    </w:p>
    <w:p w14:paraId="34633830">
      <w:pPr>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1）本项目</w:t>
      </w:r>
      <w:r>
        <w:rPr>
          <w:rFonts w:hint="eastAsia" w:ascii="Times New Roman" w:hAnsi="Times New Roman" w:cs="Times New Roman"/>
          <w:color w:val="auto"/>
          <w:highlight w:val="none"/>
          <w:lang w:val="en-US" w:eastAsia="zh-CN"/>
        </w:rPr>
        <w:t>需参选人提供</w:t>
      </w:r>
      <w:r>
        <w:rPr>
          <w:rFonts w:hint="default" w:ascii="Times New Roman" w:hAnsi="Times New Roman" w:cs="Times New Roman"/>
          <w:color w:val="auto"/>
          <w:highlight w:val="none"/>
          <w:lang w:val="en-US" w:eastAsia="zh-CN"/>
        </w:rPr>
        <w:t>两个产品</w:t>
      </w:r>
      <w:r>
        <w:rPr>
          <w:rFonts w:hint="eastAsia" w:ascii="Times New Roman" w:hAnsi="Times New Roman" w:cs="Times New Roman"/>
          <w:color w:val="auto"/>
          <w:highlight w:val="none"/>
          <w:lang w:val="en-US" w:eastAsia="zh-CN"/>
        </w:rPr>
        <w:t>，分别是</w:t>
      </w:r>
      <w:r>
        <w:rPr>
          <w:rFonts w:hint="default" w:ascii="Times New Roman" w:hAnsi="Times New Roman" w:cs="Times New Roman"/>
          <w:color w:val="auto"/>
          <w:highlight w:val="none"/>
          <w:lang w:val="en-US" w:eastAsia="zh-CN"/>
        </w:rPr>
        <w:t>湖仓一体底座和数据作业平台</w:t>
      </w:r>
      <w:r>
        <w:rPr>
          <w:rFonts w:hint="eastAsia" w:ascii="Times New Roman" w:hAnsi="Times New Roman" w:cs="Times New Roman"/>
          <w:color w:val="auto"/>
          <w:highlight w:val="none"/>
          <w:lang w:val="en-US" w:eastAsia="zh-CN"/>
        </w:rPr>
        <w:t>；</w:t>
      </w:r>
    </w:p>
    <w:p w14:paraId="0F27610B">
      <w:pPr>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参选人应负责产品</w:t>
      </w:r>
      <w:r>
        <w:rPr>
          <w:rFonts w:hint="default" w:ascii="Times New Roman" w:hAnsi="Times New Roman" w:cs="Times New Roman"/>
          <w:color w:val="auto"/>
          <w:highlight w:val="none"/>
          <w:lang w:val="en-US" w:eastAsia="zh-CN"/>
        </w:rPr>
        <w:t>的部署</w:t>
      </w:r>
      <w:r>
        <w:rPr>
          <w:rFonts w:hint="eastAsia" w:ascii="Times New Roman" w:hAnsi="Times New Roman" w:cs="Times New Roman"/>
          <w:color w:val="auto"/>
          <w:highlight w:val="none"/>
          <w:lang w:val="en-US" w:eastAsia="zh-CN"/>
        </w:rPr>
        <w:t>和</w:t>
      </w:r>
      <w:r>
        <w:rPr>
          <w:rFonts w:hint="default" w:ascii="Times New Roman" w:hAnsi="Times New Roman" w:cs="Times New Roman"/>
          <w:color w:val="auto"/>
          <w:highlight w:val="none"/>
          <w:lang w:val="en-US" w:eastAsia="zh-CN"/>
        </w:rPr>
        <w:t>集成</w:t>
      </w:r>
      <w:r>
        <w:rPr>
          <w:rFonts w:hint="eastAsia" w:ascii="Times New Roman" w:hAnsi="Times New Roman" w:cs="Times New Roman"/>
          <w:color w:val="auto"/>
          <w:highlight w:val="none"/>
          <w:lang w:val="en-US" w:eastAsia="zh-CN"/>
        </w:rPr>
        <w:t>工作，具体要求包括但不限于：</w:t>
      </w:r>
    </w:p>
    <w:p w14:paraId="770E1355">
      <w:pPr>
        <w:keepNext w:val="0"/>
        <w:keepLines w:val="0"/>
        <w:pageBreakBefore w:val="0"/>
        <w:widowControl w:val="0"/>
        <w:numPr>
          <w:ilvl w:val="0"/>
          <w:numId w:val="5"/>
        </w:numPr>
        <w:kinsoku/>
        <w:wordWrap/>
        <w:overflowPunct/>
        <w:topLinePunct w:val="0"/>
        <w:autoSpaceDE w:val="0"/>
        <w:autoSpaceDN w:val="0"/>
        <w:bidi w:val="0"/>
        <w:adjustRightInd/>
        <w:snapToGrid/>
        <w:ind w:left="0" w:leftChars="0" w:firstLine="480" w:firstLineChars="200"/>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参选人原厂产品或功能模块若不满足比选人的相关要求，可集成第三方授权产品；</w:t>
      </w:r>
    </w:p>
    <w:p w14:paraId="060107A3">
      <w:pPr>
        <w:keepNext w:val="0"/>
        <w:keepLines w:val="0"/>
        <w:pageBreakBefore w:val="0"/>
        <w:widowControl w:val="0"/>
        <w:numPr>
          <w:ilvl w:val="0"/>
          <w:numId w:val="5"/>
        </w:numPr>
        <w:kinsoku/>
        <w:wordWrap/>
        <w:overflowPunct/>
        <w:topLinePunct w:val="0"/>
        <w:autoSpaceDE w:val="0"/>
        <w:autoSpaceDN w:val="0"/>
        <w:bidi w:val="0"/>
        <w:adjustRightInd/>
        <w:snapToGrid/>
        <w:ind w:left="0" w:leftChars="0" w:firstLine="480" w:firstLineChars="200"/>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若提供的产品或功能模块为第三方产品，</w:t>
      </w:r>
      <w:r>
        <w:rPr>
          <w:rFonts w:hint="default" w:ascii="Times New Roman" w:hAnsi="Times New Roman" w:cs="Times New Roman"/>
          <w:color w:val="auto"/>
          <w:highlight w:val="none"/>
          <w:lang w:val="en-US" w:eastAsia="zh-CN"/>
        </w:rPr>
        <w:t>需由产品供应商的原厂工程师进行部署、调优、改造、测试及上线</w:t>
      </w:r>
      <w:r>
        <w:rPr>
          <w:rFonts w:hint="eastAsia" w:ascii="Times New Roman" w:hAnsi="Times New Roman" w:cs="Times New Roman"/>
          <w:color w:val="auto"/>
          <w:highlight w:val="none"/>
          <w:lang w:val="en-US" w:eastAsia="zh-CN"/>
        </w:rPr>
        <w:t>；</w:t>
      </w:r>
    </w:p>
    <w:p w14:paraId="267F01B8">
      <w:pPr>
        <w:keepNext w:val="0"/>
        <w:keepLines w:val="0"/>
        <w:pageBreakBefore w:val="0"/>
        <w:widowControl w:val="0"/>
        <w:numPr>
          <w:ilvl w:val="0"/>
          <w:numId w:val="5"/>
        </w:numPr>
        <w:kinsoku/>
        <w:wordWrap/>
        <w:overflowPunct/>
        <w:topLinePunct w:val="0"/>
        <w:autoSpaceDE w:val="0"/>
        <w:autoSpaceDN w:val="0"/>
        <w:bidi w:val="0"/>
        <w:adjustRightInd/>
        <w:snapToGrid/>
        <w:ind w:left="0" w:leftChars="0" w:firstLine="480" w:firstLineChars="200"/>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产品需按照项目建设规划进行部署与集成；</w:t>
      </w:r>
    </w:p>
    <w:p w14:paraId="21ADC573">
      <w:pPr>
        <w:keepNext w:val="0"/>
        <w:keepLines w:val="0"/>
        <w:pageBreakBefore w:val="0"/>
        <w:widowControl w:val="0"/>
        <w:numPr>
          <w:ilvl w:val="0"/>
          <w:numId w:val="5"/>
        </w:numPr>
        <w:kinsoku/>
        <w:wordWrap/>
        <w:overflowPunct/>
        <w:topLinePunct w:val="0"/>
        <w:autoSpaceDE w:val="0"/>
        <w:autoSpaceDN w:val="0"/>
        <w:bidi w:val="0"/>
        <w:adjustRightInd/>
        <w:snapToGrid/>
        <w:ind w:left="0" w:leftChars="0" w:firstLine="480" w:firstLineChars="200"/>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参选人需负责产品与其他业务系统的适配对接工作，包括但不限于运维监控系统、</w:t>
      </w:r>
      <w:r>
        <w:rPr>
          <w:rFonts w:hint="default" w:ascii="Times New Roman" w:hAnsi="Times New Roman" w:cs="Times New Roman"/>
          <w:color w:val="auto"/>
          <w:highlight w:val="none"/>
          <w:lang w:val="en-US" w:eastAsia="zh-CN"/>
        </w:rPr>
        <w:t>OA</w:t>
      </w:r>
      <w:r>
        <w:rPr>
          <w:rFonts w:hint="eastAsia" w:ascii="Times New Roman" w:hAnsi="Times New Roman" w:cs="Times New Roman"/>
          <w:color w:val="auto"/>
          <w:highlight w:val="none"/>
          <w:lang w:val="en-US" w:eastAsia="zh-CN"/>
        </w:rPr>
        <w:t>系统以及新一代数据中台项目后续期次的其他</w:t>
      </w:r>
      <w:r>
        <w:rPr>
          <w:rFonts w:hint="default" w:ascii="Times New Roman" w:hAnsi="Times New Roman" w:cs="Times New Roman"/>
          <w:color w:val="auto"/>
          <w:highlight w:val="none"/>
          <w:lang w:val="en-US" w:eastAsia="zh-CN"/>
        </w:rPr>
        <w:t>应用</w:t>
      </w:r>
      <w:r>
        <w:rPr>
          <w:rFonts w:hint="eastAsia" w:ascii="Times New Roman" w:hAnsi="Times New Roman" w:cs="Times New Roman"/>
          <w:color w:val="auto"/>
          <w:highlight w:val="none"/>
          <w:lang w:val="en-US" w:eastAsia="zh-CN"/>
        </w:rPr>
        <w:t>；</w:t>
      </w:r>
    </w:p>
    <w:p w14:paraId="2DE627F4">
      <w:pPr>
        <w:keepNext w:val="0"/>
        <w:keepLines w:val="0"/>
        <w:pageBreakBefore w:val="0"/>
        <w:widowControl w:val="0"/>
        <w:numPr>
          <w:ilvl w:val="0"/>
          <w:numId w:val="5"/>
        </w:numPr>
        <w:kinsoku/>
        <w:wordWrap/>
        <w:overflowPunct/>
        <w:topLinePunct w:val="0"/>
        <w:autoSpaceDE w:val="0"/>
        <w:autoSpaceDN w:val="0"/>
        <w:bidi w:val="0"/>
        <w:adjustRightInd/>
        <w:snapToGrid/>
        <w:ind w:left="0" w:leftChars="0" w:firstLine="480" w:firstLineChars="200"/>
        <w:jc w:val="both"/>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参选人需保证产品的正常运行并负责售后服务，且承担因此而发生的一切费用</w:t>
      </w:r>
      <w:r>
        <w:rPr>
          <w:rFonts w:hint="default" w:ascii="Times New Roman" w:hAnsi="Times New Roman" w:cs="Times New Roman"/>
          <w:color w:val="auto"/>
          <w:highlight w:val="none"/>
          <w:lang w:val="en-US" w:eastAsia="zh-CN"/>
        </w:rPr>
        <w:t>；</w:t>
      </w:r>
    </w:p>
    <w:p w14:paraId="1951F6FF">
      <w:pPr>
        <w:numPr>
          <w:ilvl w:val="0"/>
          <w:numId w:val="0"/>
        </w:numPr>
        <w:ind w:firstLine="480" w:firstLineChars="20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（3）参选人提供的产品均需支持向私有云环境迁移；</w:t>
      </w:r>
    </w:p>
    <w:p w14:paraId="0D91CFA6">
      <w:pPr>
        <w:numPr>
          <w:ilvl w:val="0"/>
          <w:numId w:val="0"/>
        </w:numPr>
        <w:ind w:left="0" w:leftChars="0" w:firstLine="480" w:firstLineChars="20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（4）参选人提供的产品需支持高可用、集群化部署，且支持自动故障转移，保障同步业务不受阻断；支持两地三中心业务连续性容灾架构部署，避免区域级机房级故障导致业务中断；</w:t>
      </w:r>
    </w:p>
    <w:p w14:paraId="160DCA11">
      <w:pPr>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（5</w:t>
      </w:r>
      <w:r>
        <w:rPr>
          <w:rFonts w:hint="default" w:ascii="Times New Roman" w:hAnsi="Times New Roman" w:cs="Times New Roman"/>
          <w:color w:val="auto"/>
          <w:highlight w:val="none"/>
          <w:lang w:val="en-US" w:eastAsia="zh-CN"/>
        </w:rPr>
        <w:t>）产品需严格满足信创要求</w:t>
      </w:r>
      <w:r>
        <w:rPr>
          <w:rFonts w:hint="eastAsia" w:ascii="Times New Roman" w:hAnsi="Times New Roman" w:cs="Times New Roman"/>
          <w:color w:val="auto"/>
          <w:highlight w:val="none"/>
          <w:lang w:val="en-US" w:eastAsia="zh-CN"/>
        </w:rPr>
        <w:t>且具备良好的兼容性，</w:t>
      </w:r>
      <w:r>
        <w:rPr>
          <w:rFonts w:hint="default" w:ascii="Times New Roman" w:hAnsi="Times New Roman" w:cs="Times New Roman"/>
          <w:color w:val="auto"/>
          <w:highlight w:val="none"/>
          <w:lang w:val="en-US" w:eastAsia="zh-CN"/>
        </w:rPr>
        <w:t>具体要求</w:t>
      </w:r>
      <w:r>
        <w:rPr>
          <w:rFonts w:hint="eastAsia" w:ascii="Times New Roman" w:hAnsi="Times New Roman" w:cs="Times New Roman"/>
          <w:color w:val="auto"/>
          <w:highlight w:val="none"/>
          <w:lang w:val="en-US" w:eastAsia="zh-CN"/>
        </w:rPr>
        <w:t>应</w:t>
      </w:r>
      <w:r>
        <w:rPr>
          <w:rFonts w:hint="default" w:ascii="Times New Roman" w:hAnsi="Times New Roman" w:cs="Times New Roman"/>
          <w:color w:val="auto"/>
          <w:highlight w:val="none"/>
          <w:lang w:val="en-US" w:eastAsia="zh-CN"/>
        </w:rPr>
        <w:t>包括但不限于：</w:t>
      </w:r>
    </w:p>
    <w:p w14:paraId="101F6423">
      <w:pPr>
        <w:keepNext w:val="0"/>
        <w:keepLines w:val="0"/>
        <w:pageBreakBefore w:val="0"/>
        <w:widowControl w:val="0"/>
        <w:numPr>
          <w:ilvl w:val="0"/>
          <w:numId w:val="6"/>
        </w:numPr>
        <w:kinsoku/>
        <w:wordWrap/>
        <w:overflowPunct/>
        <w:topLinePunct w:val="0"/>
        <w:autoSpaceDE w:val="0"/>
        <w:autoSpaceDN w:val="0"/>
        <w:bidi w:val="0"/>
        <w:adjustRightInd/>
        <w:snapToGrid/>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服务器硬件</w:t>
      </w:r>
      <w:r>
        <w:rPr>
          <w:rFonts w:hint="eastAsia" w:ascii="Times New Roman" w:hAnsi="Times New Roman" w:cs="Times New Roman"/>
          <w:color w:val="auto"/>
          <w:highlight w:val="none"/>
          <w:lang w:val="en-US" w:eastAsia="zh-CN"/>
        </w:rPr>
        <w:t>适配</w:t>
      </w:r>
      <w:r>
        <w:rPr>
          <w:rFonts w:hint="default" w:ascii="Times New Roman" w:hAnsi="Times New Roman" w:cs="Times New Roman"/>
          <w:color w:val="auto"/>
          <w:highlight w:val="none"/>
          <w:lang w:val="en-US" w:eastAsia="zh-CN"/>
        </w:rPr>
        <w:t>。需要支持国产海光X86、鲲鹏ARM的多平台和CPU架构硬件服务器；</w:t>
      </w:r>
    </w:p>
    <w:p w14:paraId="4A794EB2">
      <w:pPr>
        <w:keepNext w:val="0"/>
        <w:keepLines w:val="0"/>
        <w:pageBreakBefore w:val="0"/>
        <w:widowControl w:val="0"/>
        <w:numPr>
          <w:ilvl w:val="0"/>
          <w:numId w:val="6"/>
        </w:numPr>
        <w:kinsoku/>
        <w:wordWrap/>
        <w:overflowPunct/>
        <w:topLinePunct w:val="0"/>
        <w:autoSpaceDE w:val="0"/>
        <w:autoSpaceDN w:val="0"/>
        <w:bidi w:val="0"/>
        <w:adjustRightInd/>
        <w:snapToGrid/>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操作系统</w:t>
      </w:r>
      <w:r>
        <w:rPr>
          <w:rFonts w:hint="eastAsia" w:ascii="Times New Roman" w:hAnsi="Times New Roman" w:cs="Times New Roman"/>
          <w:color w:val="auto"/>
          <w:highlight w:val="none"/>
          <w:lang w:val="en-US" w:eastAsia="zh-CN"/>
        </w:rPr>
        <w:t>适配</w:t>
      </w:r>
      <w:r>
        <w:rPr>
          <w:rFonts w:hint="default" w:ascii="Times New Roman" w:hAnsi="Times New Roman" w:cs="Times New Roman"/>
          <w:color w:val="auto"/>
          <w:highlight w:val="none"/>
          <w:lang w:val="en-US" w:eastAsia="zh-CN"/>
        </w:rPr>
        <w:t>。需</w:t>
      </w:r>
      <w:r>
        <w:rPr>
          <w:rFonts w:hint="eastAsia" w:ascii="Times New Roman" w:hAnsi="Times New Roman" w:cs="Times New Roman"/>
          <w:color w:val="auto"/>
          <w:highlight w:val="none"/>
          <w:lang w:val="en-US" w:eastAsia="zh-CN"/>
        </w:rPr>
        <w:t>支持在</w:t>
      </w:r>
      <w:r>
        <w:rPr>
          <w:rFonts w:hint="default" w:ascii="Times New Roman" w:hAnsi="Times New Roman" w:cs="Times New Roman"/>
          <w:color w:val="auto"/>
          <w:highlight w:val="none"/>
          <w:lang w:val="en-US" w:eastAsia="zh-CN"/>
        </w:rPr>
        <w:t>国产银河麒麟</w:t>
      </w:r>
      <w:r>
        <w:rPr>
          <w:rFonts w:hint="eastAsia" w:ascii="Times New Roman" w:hAnsi="Times New Roman" w:cs="Times New Roman"/>
          <w:color w:val="auto"/>
          <w:highlight w:val="none"/>
          <w:lang w:val="en-US" w:eastAsia="zh-CN"/>
        </w:rPr>
        <w:t>服务器</w:t>
      </w:r>
      <w:r>
        <w:rPr>
          <w:rFonts w:hint="default" w:ascii="Times New Roman" w:hAnsi="Times New Roman" w:cs="Times New Roman"/>
          <w:color w:val="auto"/>
          <w:highlight w:val="none"/>
          <w:lang w:val="en-US" w:eastAsia="zh-CN"/>
        </w:rPr>
        <w:t>操作系统的主流版本</w:t>
      </w:r>
      <w:r>
        <w:rPr>
          <w:rFonts w:hint="eastAsia" w:ascii="Times New Roman" w:hAnsi="Times New Roman" w:cs="Times New Roman"/>
          <w:color w:val="auto"/>
          <w:highlight w:val="none"/>
          <w:lang w:val="en-US" w:eastAsia="zh-CN"/>
        </w:rPr>
        <w:t>上进行部署，且相关终端软件需支持在国产银河</w:t>
      </w:r>
      <w:r>
        <w:rPr>
          <w:rFonts w:hint="default" w:ascii="Times New Roman" w:hAnsi="Times New Roman" w:cs="Times New Roman"/>
          <w:color w:val="auto"/>
          <w:highlight w:val="none"/>
          <w:lang w:val="en-US" w:eastAsia="zh-CN"/>
        </w:rPr>
        <w:t>麒麟</w:t>
      </w:r>
      <w:r>
        <w:rPr>
          <w:rFonts w:hint="eastAsia" w:ascii="Times New Roman" w:hAnsi="Times New Roman" w:cs="Times New Roman"/>
          <w:color w:val="auto"/>
          <w:highlight w:val="none"/>
          <w:lang w:val="en-US" w:eastAsia="zh-CN"/>
        </w:rPr>
        <w:t>桌面操作系统进行使用</w:t>
      </w:r>
      <w:r>
        <w:rPr>
          <w:rFonts w:hint="default" w:ascii="Times New Roman" w:hAnsi="Times New Roman" w:cs="Times New Roman"/>
          <w:color w:val="auto"/>
          <w:highlight w:val="none"/>
          <w:lang w:val="en-US" w:eastAsia="zh-CN"/>
        </w:rPr>
        <w:t>；</w:t>
      </w:r>
    </w:p>
    <w:p w14:paraId="1A631DA1">
      <w:pPr>
        <w:keepNext w:val="0"/>
        <w:keepLines w:val="0"/>
        <w:pageBreakBefore w:val="0"/>
        <w:widowControl w:val="0"/>
        <w:numPr>
          <w:ilvl w:val="0"/>
          <w:numId w:val="6"/>
        </w:numPr>
        <w:kinsoku/>
        <w:wordWrap/>
        <w:overflowPunct/>
        <w:topLinePunct w:val="0"/>
        <w:autoSpaceDE w:val="0"/>
        <w:autoSpaceDN w:val="0"/>
        <w:bidi w:val="0"/>
        <w:adjustRightInd/>
        <w:snapToGrid/>
        <w:ind w:left="0" w:leftChars="0" w:firstLine="480" w:firstLineChars="200"/>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数据库适配。需要支持OceanBase、达梦、TDSQL等主流国产数据库；</w:t>
      </w:r>
    </w:p>
    <w:p w14:paraId="1EB95846">
      <w:pPr>
        <w:keepNext w:val="0"/>
        <w:keepLines w:val="0"/>
        <w:pageBreakBefore w:val="0"/>
        <w:widowControl w:val="0"/>
        <w:numPr>
          <w:ilvl w:val="0"/>
          <w:numId w:val="6"/>
        </w:numPr>
        <w:kinsoku/>
        <w:wordWrap/>
        <w:overflowPunct/>
        <w:topLinePunct w:val="0"/>
        <w:autoSpaceDE w:val="0"/>
        <w:autoSpaceDN w:val="0"/>
        <w:bidi w:val="0"/>
        <w:adjustRightInd/>
        <w:snapToGrid/>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中间件</w:t>
      </w:r>
      <w:r>
        <w:rPr>
          <w:rFonts w:hint="eastAsia" w:ascii="Times New Roman" w:hAnsi="Times New Roman" w:cs="Times New Roman"/>
          <w:color w:val="auto"/>
          <w:highlight w:val="none"/>
          <w:lang w:val="en-US" w:eastAsia="zh-CN"/>
        </w:rPr>
        <w:t>适配</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产品若</w:t>
      </w:r>
      <w:r>
        <w:rPr>
          <w:rFonts w:hint="default" w:ascii="Times New Roman" w:hAnsi="Times New Roman" w:cs="Times New Roman"/>
          <w:color w:val="auto"/>
          <w:highlight w:val="none"/>
          <w:lang w:val="en-US" w:eastAsia="zh-CN"/>
        </w:rPr>
        <w:t>需使用</w:t>
      </w:r>
      <w:r>
        <w:rPr>
          <w:rFonts w:hint="eastAsia" w:ascii="Times New Roman" w:hAnsi="Times New Roman" w:cs="Times New Roman"/>
          <w:color w:val="auto"/>
          <w:highlight w:val="none"/>
          <w:lang w:val="en-US" w:eastAsia="zh-CN"/>
        </w:rPr>
        <w:t>WEB</w:t>
      </w:r>
      <w:r>
        <w:rPr>
          <w:rFonts w:hint="default" w:ascii="Times New Roman" w:hAnsi="Times New Roman" w:cs="Times New Roman"/>
          <w:color w:val="auto"/>
          <w:highlight w:val="none"/>
          <w:lang w:val="en-US" w:eastAsia="zh-CN"/>
        </w:rPr>
        <w:t>服务器容器，需要</w:t>
      </w:r>
      <w:r>
        <w:rPr>
          <w:rFonts w:hint="eastAsia" w:ascii="Times New Roman" w:hAnsi="Times New Roman" w:cs="Times New Roman"/>
          <w:color w:val="auto"/>
          <w:highlight w:val="none"/>
          <w:lang w:val="en-US" w:eastAsia="zh-CN"/>
        </w:rPr>
        <w:t>支持如</w:t>
      </w:r>
      <w:r>
        <w:rPr>
          <w:rFonts w:hint="default" w:ascii="Times New Roman" w:hAnsi="Times New Roman" w:cs="Times New Roman"/>
          <w:color w:val="auto"/>
          <w:highlight w:val="none"/>
          <w:lang w:val="en-US" w:eastAsia="zh-CN"/>
        </w:rPr>
        <w:t>东方通、宝蓝德等中间件；</w:t>
      </w:r>
    </w:p>
    <w:p w14:paraId="6AA58651">
      <w:pPr>
        <w:keepNext w:val="0"/>
        <w:keepLines w:val="0"/>
        <w:pageBreakBefore w:val="0"/>
        <w:widowControl w:val="0"/>
        <w:numPr>
          <w:ilvl w:val="0"/>
          <w:numId w:val="6"/>
        </w:numPr>
        <w:kinsoku/>
        <w:wordWrap/>
        <w:overflowPunct/>
        <w:topLinePunct w:val="0"/>
        <w:autoSpaceDE w:val="0"/>
        <w:autoSpaceDN w:val="0"/>
        <w:bidi w:val="0"/>
        <w:adjustRightInd/>
        <w:snapToGrid/>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浏览器</w:t>
      </w:r>
      <w:r>
        <w:rPr>
          <w:rFonts w:hint="eastAsia" w:ascii="Times New Roman" w:hAnsi="Times New Roman" w:cs="Times New Roman"/>
          <w:color w:val="auto"/>
          <w:highlight w:val="none"/>
          <w:lang w:val="en-US" w:eastAsia="zh-CN"/>
        </w:rPr>
        <w:t>适配</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产品访问若需使用浏览器，</w:t>
      </w:r>
      <w:r>
        <w:rPr>
          <w:rFonts w:hint="default" w:ascii="Times New Roman" w:hAnsi="Times New Roman" w:cs="Times New Roman"/>
          <w:color w:val="auto"/>
          <w:highlight w:val="none"/>
          <w:lang w:val="en-US" w:eastAsia="zh-CN"/>
        </w:rPr>
        <w:t>需要</w:t>
      </w:r>
      <w:r>
        <w:rPr>
          <w:rFonts w:hint="eastAsia" w:ascii="Times New Roman" w:hAnsi="Times New Roman" w:cs="Times New Roman"/>
          <w:color w:val="auto"/>
          <w:highlight w:val="none"/>
          <w:lang w:val="en-US" w:eastAsia="zh-CN"/>
        </w:rPr>
        <w:t>支持</w:t>
      </w:r>
      <w:r>
        <w:rPr>
          <w:rFonts w:hint="default" w:ascii="Times New Roman" w:hAnsi="Times New Roman" w:cs="Times New Roman"/>
          <w:color w:val="auto"/>
          <w:highlight w:val="none"/>
          <w:lang w:val="en-US" w:eastAsia="zh-CN"/>
        </w:rPr>
        <w:t>主流信创浏览器，如360安全、360极速、奇安信可信浏览器等</w:t>
      </w:r>
      <w:r>
        <w:rPr>
          <w:rFonts w:hint="eastAsia" w:ascii="Times New Roman" w:hAnsi="Times New Roman" w:cs="Times New Roman"/>
          <w:color w:val="auto"/>
          <w:highlight w:val="none"/>
          <w:lang w:val="en-US" w:eastAsia="zh-CN"/>
        </w:rPr>
        <w:t>；</w:t>
      </w:r>
    </w:p>
    <w:p w14:paraId="6EF69C83">
      <w:pPr>
        <w:pStyle w:val="6"/>
        <w:keepNext w:val="0"/>
        <w:keepLines w:val="0"/>
        <w:pageBreakBefore w:val="0"/>
        <w:widowControl w:val="0"/>
        <w:numPr>
          <w:ilvl w:val="3"/>
          <w:numId w:val="2"/>
        </w:numPr>
        <w:kinsoku/>
        <w:wordWrap/>
        <w:overflowPunct/>
        <w:topLinePunct w:val="0"/>
        <w:autoSpaceDE w:val="0"/>
        <w:autoSpaceDN w:val="0"/>
        <w:bidi w:val="0"/>
        <w:adjustRightInd/>
        <w:snapToGrid/>
        <w:spacing w:line="600" w:lineRule="exact"/>
        <w:ind w:left="0" w:leftChars="0" w:firstLine="482" w:firstLineChars="200"/>
        <w:jc w:val="left"/>
        <w:textAlignment w:val="auto"/>
        <w:outlineLvl w:val="4"/>
        <w:rPr>
          <w:rFonts w:hint="eastAsia" w:ascii="Times New Roman" w:hAnsi="Times New Roman" w:cs="Times New Roman"/>
          <w:b/>
          <w:bCs w:val="0"/>
          <w:color w:val="auto"/>
          <w:sz w:val="24"/>
          <w:szCs w:val="24"/>
          <w:highlight w:val="none"/>
          <w:lang w:val="en-US" w:eastAsia="zh-CN"/>
        </w:rPr>
      </w:pPr>
      <w:r>
        <w:rPr>
          <w:rFonts w:hint="eastAsia" w:ascii="Times New Roman" w:hAnsi="Times New Roman" w:cs="Times New Roman"/>
          <w:b/>
          <w:bCs w:val="0"/>
          <w:color w:val="auto"/>
          <w:sz w:val="24"/>
          <w:szCs w:val="24"/>
          <w:highlight w:val="none"/>
          <w:lang w:val="en-US" w:eastAsia="zh-CN"/>
        </w:rPr>
        <w:t xml:space="preserve"> 安全管控要求</w:t>
      </w:r>
    </w:p>
    <w:p w14:paraId="10F3B9EA">
      <w:pPr>
        <w:rPr>
          <w:rFonts w:hint="default"/>
          <w:color w:val="auto"/>
          <w:highlight w:val="none"/>
          <w:lang w:val="en-US" w:eastAsia="zh-CN"/>
        </w:rPr>
      </w:pPr>
      <w:r>
        <w:rPr>
          <w:rFonts w:hint="eastAsia" w:ascii="Times New Roman" w:hAnsi="Times New Roman" w:cs="Times New Roman"/>
          <w:color w:val="auto"/>
          <w:highlight w:val="none"/>
          <w:lang w:val="en-US" w:eastAsia="zh-CN"/>
        </w:rPr>
        <w:t>产品需提供全方位、立体化的安全管控方案，确保行内信息的安全，包括身份认证、权限识别、日志记录等手段，使整个系统具有良好的安全管控能力，抵御可能产生的恶意攻击和病毒侵蚀，并且在运行安全、网络安全和应用系统安全等方面有合理可靠的策略。具体通用要求包括但不限于：</w:t>
      </w:r>
    </w:p>
    <w:p w14:paraId="51A1588D">
      <w:pPr>
        <w:rPr>
          <w:rFonts w:hint="eastAsia" w:ascii="Times New Roman" w:hAnsi="Times New Roman" w:cs="Times New Roman"/>
          <w:b/>
          <w:bCs w:val="0"/>
          <w:color w:val="auto"/>
          <w:highlight w:val="none"/>
          <w:lang w:val="en-US" w:eastAsia="zh-CN"/>
        </w:rPr>
      </w:pPr>
      <w:r>
        <w:rPr>
          <w:rFonts w:hint="eastAsia" w:ascii="Times New Roman" w:hAnsi="Times New Roman" w:cs="Times New Roman"/>
          <w:b/>
          <w:bCs w:val="0"/>
          <w:color w:val="auto"/>
          <w:highlight w:val="none"/>
          <w:lang w:val="en-US" w:eastAsia="zh-CN"/>
        </w:rPr>
        <w:t>（1）账号安全要求</w:t>
      </w:r>
    </w:p>
    <w:p w14:paraId="67093FF0">
      <w:pPr>
        <w:keepNext w:val="0"/>
        <w:keepLines w:val="0"/>
        <w:pageBreakBefore w:val="0"/>
        <w:widowControl w:val="0"/>
        <w:numPr>
          <w:ilvl w:val="0"/>
          <w:numId w:val="7"/>
        </w:numPr>
        <w:kinsoku/>
        <w:wordWrap/>
        <w:overflowPunct/>
        <w:topLinePunct w:val="0"/>
        <w:autoSpaceDE w:val="0"/>
        <w:autoSpaceDN w:val="0"/>
        <w:bidi w:val="0"/>
        <w:adjustRightInd/>
        <w:snapToGrid/>
        <w:ind w:left="0" w:leftChars="0" w:firstLine="480" w:firstLineChars="200"/>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支持对账号口令设置复杂度规则：口令的复杂度要求8位以上，需包含大写字母、小写字母、数字、特殊字符，且相邻字母、字符、数字不能连续；</w:t>
      </w:r>
    </w:p>
    <w:p w14:paraId="6BAFAFC7">
      <w:pPr>
        <w:keepNext w:val="0"/>
        <w:keepLines w:val="0"/>
        <w:pageBreakBefore w:val="0"/>
        <w:widowControl w:val="0"/>
        <w:numPr>
          <w:ilvl w:val="0"/>
          <w:numId w:val="7"/>
        </w:numPr>
        <w:kinsoku/>
        <w:wordWrap/>
        <w:overflowPunct/>
        <w:topLinePunct w:val="0"/>
        <w:autoSpaceDE w:val="0"/>
        <w:autoSpaceDN w:val="0"/>
        <w:bidi w:val="0"/>
        <w:adjustRightInd/>
        <w:snapToGrid/>
        <w:ind w:left="0" w:leftChars="0" w:firstLine="480" w:firstLineChars="200"/>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账号口令需支持设置定期强制更换；</w:t>
      </w:r>
    </w:p>
    <w:p w14:paraId="3C9DADFA">
      <w:pPr>
        <w:keepNext w:val="0"/>
        <w:keepLines w:val="0"/>
        <w:pageBreakBefore w:val="0"/>
        <w:widowControl w:val="0"/>
        <w:numPr>
          <w:ilvl w:val="0"/>
          <w:numId w:val="7"/>
        </w:numPr>
        <w:kinsoku/>
        <w:wordWrap/>
        <w:overflowPunct/>
        <w:topLinePunct w:val="0"/>
        <w:autoSpaceDE w:val="0"/>
        <w:autoSpaceDN w:val="0"/>
        <w:bidi w:val="0"/>
        <w:adjustRightInd/>
        <w:snapToGrid/>
        <w:ind w:left="0" w:leftChars="0" w:firstLine="480" w:firstLineChars="200"/>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支持随机验证码校验；</w:t>
      </w:r>
    </w:p>
    <w:p w14:paraId="2926FF0D">
      <w:pPr>
        <w:keepNext w:val="0"/>
        <w:keepLines w:val="0"/>
        <w:pageBreakBefore w:val="0"/>
        <w:widowControl w:val="0"/>
        <w:numPr>
          <w:ilvl w:val="0"/>
          <w:numId w:val="7"/>
        </w:numPr>
        <w:kinsoku/>
        <w:wordWrap/>
        <w:overflowPunct/>
        <w:topLinePunct w:val="0"/>
        <w:autoSpaceDE w:val="0"/>
        <w:autoSpaceDN w:val="0"/>
        <w:bidi w:val="0"/>
        <w:adjustRightInd/>
        <w:snapToGrid/>
        <w:ind w:left="0" w:leftChars="0" w:firstLine="480" w:firstLineChars="200"/>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支持账号与IP或IP段或MAC地址绑定，限制用户仅能在绑定的IP或IP段或MAC地址进行登录。</w:t>
      </w:r>
    </w:p>
    <w:p w14:paraId="12411C22">
      <w:pPr>
        <w:numPr>
          <w:ilvl w:val="0"/>
          <w:numId w:val="0"/>
        </w:numPr>
        <w:ind w:firstLine="482" w:firstLineChars="200"/>
        <w:rPr>
          <w:rFonts w:hint="eastAsia" w:ascii="Times New Roman" w:hAnsi="Times New Roman" w:cs="Times New Roman"/>
          <w:b/>
          <w:bCs w:val="0"/>
          <w:color w:val="auto"/>
          <w:highlight w:val="none"/>
          <w:lang w:val="en-US" w:eastAsia="zh-CN"/>
        </w:rPr>
      </w:pPr>
      <w:r>
        <w:rPr>
          <w:rFonts w:hint="eastAsia" w:ascii="Times New Roman" w:hAnsi="Times New Roman" w:cs="Times New Roman"/>
          <w:b/>
          <w:bCs w:val="0"/>
          <w:color w:val="auto"/>
          <w:kern w:val="2"/>
          <w:sz w:val="24"/>
          <w:szCs w:val="20"/>
          <w:highlight w:val="none"/>
          <w:lang w:val="en-US" w:eastAsia="zh-CN" w:bidi="ar-SA"/>
        </w:rPr>
        <w:t>（</w:t>
      </w:r>
      <w:r>
        <w:rPr>
          <w:rFonts w:hint="eastAsia" w:ascii="Times New Roman" w:hAnsi="Times New Roman" w:eastAsia="宋体" w:cs="Times New Roman"/>
          <w:b/>
          <w:bCs w:val="0"/>
          <w:color w:val="auto"/>
          <w:kern w:val="2"/>
          <w:sz w:val="24"/>
          <w:szCs w:val="20"/>
          <w:highlight w:val="none"/>
          <w:lang w:val="en-US" w:eastAsia="zh-CN" w:bidi="ar-SA"/>
        </w:rPr>
        <w:t>2）</w:t>
      </w:r>
      <w:r>
        <w:rPr>
          <w:rFonts w:hint="eastAsia" w:ascii="Times New Roman" w:hAnsi="Times New Roman" w:cs="Times New Roman"/>
          <w:b/>
          <w:bCs w:val="0"/>
          <w:color w:val="auto"/>
          <w:highlight w:val="none"/>
          <w:lang w:val="en-US" w:eastAsia="zh-CN"/>
        </w:rPr>
        <w:t>权限管控要求</w:t>
      </w:r>
    </w:p>
    <w:p w14:paraId="0A102250">
      <w:pPr>
        <w:keepNext w:val="0"/>
        <w:keepLines w:val="0"/>
        <w:pageBreakBefore w:val="0"/>
        <w:widowControl w:val="0"/>
        <w:numPr>
          <w:ilvl w:val="0"/>
          <w:numId w:val="8"/>
        </w:numPr>
        <w:kinsoku/>
        <w:wordWrap/>
        <w:overflowPunct/>
        <w:topLinePunct w:val="0"/>
        <w:autoSpaceDE w:val="0"/>
        <w:autoSpaceDN w:val="0"/>
        <w:bidi w:val="0"/>
        <w:adjustRightInd/>
        <w:snapToGrid/>
        <w:ind w:left="0" w:leftChars="0" w:firstLine="480" w:firstLineChars="200"/>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支持系统管理员需可查看不同用户、角色、组织的资源权限以及不同资源赋予了哪些用户、角色、组织；</w:t>
      </w:r>
    </w:p>
    <w:p w14:paraId="7A41023E">
      <w:pPr>
        <w:keepNext w:val="0"/>
        <w:keepLines w:val="0"/>
        <w:pageBreakBefore w:val="0"/>
        <w:widowControl w:val="0"/>
        <w:numPr>
          <w:ilvl w:val="0"/>
          <w:numId w:val="8"/>
        </w:numPr>
        <w:kinsoku/>
        <w:wordWrap/>
        <w:overflowPunct/>
        <w:topLinePunct w:val="0"/>
        <w:autoSpaceDE w:val="0"/>
        <w:autoSpaceDN w:val="0"/>
        <w:bidi w:val="0"/>
        <w:adjustRightInd/>
        <w:snapToGrid/>
        <w:ind w:left="0" w:leftChars="0" w:firstLine="480" w:firstLineChars="200"/>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支持页面级、资源级、数据级的权限控制，满足各种业务需求；</w:t>
      </w:r>
    </w:p>
    <w:p w14:paraId="02416837">
      <w:pPr>
        <w:keepNext w:val="0"/>
        <w:keepLines w:val="0"/>
        <w:pageBreakBefore w:val="0"/>
        <w:widowControl w:val="0"/>
        <w:numPr>
          <w:ilvl w:val="0"/>
          <w:numId w:val="8"/>
        </w:numPr>
        <w:kinsoku/>
        <w:wordWrap/>
        <w:overflowPunct/>
        <w:topLinePunct w:val="0"/>
        <w:autoSpaceDE w:val="0"/>
        <w:autoSpaceDN w:val="0"/>
        <w:bidi w:val="0"/>
        <w:adjustRightInd/>
        <w:snapToGrid/>
        <w:ind w:left="0" w:leftChars="0" w:firstLine="480" w:firstLineChars="200"/>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产品支持根据组织架构自动分配资源和数据权限，实现不同机构的人员查看的资源和数据不同；</w:t>
      </w:r>
    </w:p>
    <w:p w14:paraId="698607B0">
      <w:pPr>
        <w:keepNext w:val="0"/>
        <w:keepLines w:val="0"/>
        <w:pageBreakBefore w:val="0"/>
        <w:widowControl w:val="0"/>
        <w:numPr>
          <w:ilvl w:val="0"/>
          <w:numId w:val="8"/>
        </w:numPr>
        <w:kinsoku/>
        <w:wordWrap/>
        <w:overflowPunct/>
        <w:topLinePunct w:val="0"/>
        <w:autoSpaceDE w:val="0"/>
        <w:autoSpaceDN w:val="0"/>
        <w:bidi w:val="0"/>
        <w:adjustRightInd/>
        <w:snapToGrid/>
        <w:ind w:left="0" w:leftChars="0" w:firstLine="480" w:firstLineChars="200"/>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支持通过角色继承或权限组合的方式简化权限配置。</w:t>
      </w:r>
    </w:p>
    <w:p w14:paraId="1C7AE24F">
      <w:pPr>
        <w:numPr>
          <w:ilvl w:val="0"/>
          <w:numId w:val="0"/>
        </w:numPr>
        <w:ind w:firstLine="482" w:firstLineChars="200"/>
        <w:rPr>
          <w:rFonts w:hint="default" w:ascii="Times New Roman" w:hAnsi="Times New Roman" w:cs="Times New Roman"/>
          <w:b/>
          <w:bCs w:val="0"/>
          <w:color w:val="auto"/>
          <w:highlight w:val="none"/>
          <w:lang w:val="en-US" w:eastAsia="zh-CN"/>
        </w:rPr>
      </w:pPr>
      <w:r>
        <w:rPr>
          <w:rFonts w:hint="eastAsia" w:ascii="Times New Roman" w:hAnsi="Times New Roman" w:cs="Times New Roman"/>
          <w:b/>
          <w:bCs w:val="0"/>
          <w:color w:val="auto"/>
          <w:kern w:val="2"/>
          <w:sz w:val="24"/>
          <w:szCs w:val="20"/>
          <w:highlight w:val="none"/>
          <w:lang w:val="en-US" w:eastAsia="zh-CN" w:bidi="ar-SA"/>
        </w:rPr>
        <w:t>（</w:t>
      </w:r>
      <w:r>
        <w:rPr>
          <w:rFonts w:hint="default" w:ascii="Times New Roman" w:hAnsi="Times New Roman" w:eastAsia="宋体" w:cs="Times New Roman"/>
          <w:b/>
          <w:bCs w:val="0"/>
          <w:color w:val="auto"/>
          <w:kern w:val="2"/>
          <w:sz w:val="24"/>
          <w:szCs w:val="20"/>
          <w:highlight w:val="none"/>
          <w:lang w:val="en-US" w:eastAsia="zh-CN" w:bidi="ar-SA"/>
        </w:rPr>
        <w:t>3）</w:t>
      </w:r>
      <w:r>
        <w:rPr>
          <w:rFonts w:hint="eastAsia" w:ascii="Times New Roman" w:hAnsi="Times New Roman" w:cs="Times New Roman"/>
          <w:b/>
          <w:bCs w:val="0"/>
          <w:color w:val="auto"/>
          <w:highlight w:val="none"/>
          <w:lang w:val="en-US" w:eastAsia="zh-CN"/>
        </w:rPr>
        <w:t>操作安全要求</w:t>
      </w:r>
    </w:p>
    <w:p w14:paraId="6272C03C">
      <w:pPr>
        <w:keepNext w:val="0"/>
        <w:keepLines w:val="0"/>
        <w:pageBreakBefore w:val="0"/>
        <w:widowControl w:val="0"/>
        <w:numPr>
          <w:ilvl w:val="0"/>
          <w:numId w:val="0"/>
        </w:numPr>
        <w:kinsoku/>
        <w:wordWrap/>
        <w:overflowPunct/>
        <w:topLinePunct w:val="0"/>
        <w:autoSpaceDE w:val="0"/>
        <w:autoSpaceDN w:val="0"/>
        <w:bidi w:val="0"/>
        <w:adjustRightInd/>
        <w:snapToGrid/>
        <w:ind w:left="0" w:leftChars="0" w:firstLine="480" w:firstLineChars="200"/>
        <w:textAlignment w:val="auto"/>
        <w:rPr>
          <w:rFonts w:hint="eastAsia" w:ascii="Times New Roman" w:hAnsi="Times New Roman" w:cs="Times New Roman"/>
          <w:color w:val="auto"/>
          <w:highlight w:val="none"/>
          <w:lang w:val="en-US" w:eastAsia="zh-CN"/>
        </w:rPr>
      </w:pPr>
      <w:r>
        <w:rPr>
          <w:rFonts w:hint="eastAsia" w:ascii="Times New Roman" w:hAnsi="Times New Roman" w:eastAsia="宋体" w:cs="Times New Roman"/>
          <w:color w:val="auto"/>
          <w:kern w:val="2"/>
          <w:sz w:val="24"/>
          <w:szCs w:val="20"/>
          <w:highlight w:val="none"/>
          <w:lang w:val="en-US" w:eastAsia="zh-CN" w:bidi="ar-SA"/>
        </w:rPr>
        <w:t>1）</w:t>
      </w:r>
      <w:r>
        <w:rPr>
          <w:rFonts w:hint="eastAsia" w:ascii="Times New Roman" w:hAnsi="Times New Roman" w:cs="Times New Roman"/>
          <w:color w:val="auto"/>
          <w:highlight w:val="none"/>
          <w:lang w:val="en-US" w:eastAsia="zh-CN"/>
        </w:rPr>
        <w:t>针对查询、操作等页面需带有水印，且导出的Excel、PDF、图片、Word文件也必须包含水印，且水印内容支持定制；</w:t>
      </w:r>
    </w:p>
    <w:p w14:paraId="178296BE">
      <w:pPr>
        <w:keepNext w:val="0"/>
        <w:keepLines w:val="0"/>
        <w:pageBreakBefore w:val="0"/>
        <w:widowControl w:val="0"/>
        <w:numPr>
          <w:ilvl w:val="0"/>
          <w:numId w:val="0"/>
        </w:numPr>
        <w:kinsoku/>
        <w:wordWrap/>
        <w:overflowPunct/>
        <w:topLinePunct w:val="0"/>
        <w:autoSpaceDE w:val="0"/>
        <w:autoSpaceDN w:val="0"/>
        <w:bidi w:val="0"/>
        <w:adjustRightInd/>
        <w:snapToGrid/>
        <w:ind w:left="0" w:leftChars="0" w:firstLine="480" w:firstLineChars="200"/>
        <w:textAlignment w:val="auto"/>
        <w:rPr>
          <w:rFonts w:hint="eastAsia" w:ascii="Times New Roman" w:hAnsi="Times New Roman" w:cs="Times New Roman"/>
          <w:color w:val="auto"/>
          <w:highlight w:val="none"/>
          <w:lang w:val="en-US" w:eastAsia="zh-CN"/>
        </w:rPr>
      </w:pPr>
      <w:r>
        <w:rPr>
          <w:rFonts w:hint="eastAsia" w:ascii="Times New Roman" w:hAnsi="Times New Roman" w:eastAsia="宋体" w:cs="Times New Roman"/>
          <w:color w:val="auto"/>
          <w:kern w:val="2"/>
          <w:sz w:val="24"/>
          <w:szCs w:val="20"/>
          <w:highlight w:val="none"/>
          <w:lang w:val="en-US" w:eastAsia="zh-CN" w:bidi="ar-SA"/>
        </w:rPr>
        <w:t>2）</w:t>
      </w:r>
      <w:r>
        <w:rPr>
          <w:rFonts w:hint="eastAsia" w:ascii="Times New Roman" w:hAnsi="Times New Roman" w:cs="Times New Roman"/>
          <w:color w:val="auto"/>
          <w:highlight w:val="none"/>
          <w:lang w:val="en-US" w:eastAsia="zh-CN"/>
        </w:rPr>
        <w:t>产品应该具有良好的、完善的日志记录和管理，包括但不限于系统运行日志、错误日志、系统操作日志、手工操作日志、事务审批日志等，具有标准的存储方式、完善的生命周期管理机制，支持灵活的配置。</w:t>
      </w:r>
    </w:p>
    <w:p w14:paraId="755FC303">
      <w:pPr>
        <w:pStyle w:val="6"/>
        <w:keepNext w:val="0"/>
        <w:keepLines w:val="0"/>
        <w:pageBreakBefore w:val="0"/>
        <w:widowControl w:val="0"/>
        <w:numPr>
          <w:ilvl w:val="3"/>
          <w:numId w:val="2"/>
        </w:numPr>
        <w:kinsoku/>
        <w:wordWrap/>
        <w:overflowPunct/>
        <w:topLinePunct w:val="0"/>
        <w:autoSpaceDE w:val="0"/>
        <w:autoSpaceDN w:val="0"/>
        <w:bidi w:val="0"/>
        <w:adjustRightInd/>
        <w:snapToGrid/>
        <w:spacing w:line="600" w:lineRule="exact"/>
        <w:ind w:left="0" w:leftChars="0" w:firstLine="482" w:firstLineChars="200"/>
        <w:jc w:val="left"/>
        <w:textAlignment w:val="auto"/>
        <w:outlineLvl w:val="4"/>
        <w:rPr>
          <w:rFonts w:hint="eastAsia" w:ascii="Times New Roman" w:hAnsi="Times New Roman" w:cs="Times New Roman"/>
          <w:b/>
          <w:bCs w:val="0"/>
          <w:color w:val="auto"/>
          <w:sz w:val="24"/>
          <w:szCs w:val="24"/>
          <w:highlight w:val="none"/>
          <w:lang w:val="en-US" w:eastAsia="zh-CN"/>
        </w:rPr>
      </w:pPr>
      <w:r>
        <w:rPr>
          <w:rFonts w:hint="eastAsia" w:ascii="Times New Roman" w:hAnsi="Times New Roman" w:cs="Times New Roman"/>
          <w:b/>
          <w:bCs w:val="0"/>
          <w:color w:val="auto"/>
          <w:sz w:val="24"/>
          <w:szCs w:val="24"/>
          <w:highlight w:val="none"/>
          <w:lang w:val="en-US" w:eastAsia="zh-CN"/>
        </w:rPr>
        <w:t xml:space="preserve"> 应用架构要求</w:t>
      </w:r>
    </w:p>
    <w:p w14:paraId="562EE6BF">
      <w:pPr>
        <w:pStyle w:val="20"/>
        <w:keepNext w:val="0"/>
        <w:keepLines w:val="0"/>
        <w:widowControl/>
        <w:suppressLineNumbers w:val="0"/>
        <w:spacing w:before="0" w:beforeAutospacing="0" w:after="0" w:afterAutospacing="0"/>
        <w:ind w:left="0" w:right="0"/>
        <w:rPr>
          <w:rFonts w:hint="default" w:ascii="Times New Roman" w:hAnsi="Times New Roman" w:eastAsia="宋体" w:cs="Times New Roman"/>
          <w:b/>
          <w:bCs/>
          <w:color w:val="auto"/>
          <w:highlight w:val="none"/>
          <w:lang w:val="en-US" w:eastAsia="zh-CN"/>
        </w:rPr>
      </w:pPr>
      <w:r>
        <w:rPr>
          <w:rFonts w:hint="eastAsia" w:ascii="Times New Roman" w:hAnsi="Times New Roman" w:cs="Times New Roman"/>
          <w:b/>
          <w:bCs/>
          <w:color w:val="auto"/>
          <w:highlight w:val="none"/>
          <w:lang w:val="en-US" w:eastAsia="zh-CN"/>
        </w:rPr>
        <w:t>（</w:t>
      </w:r>
      <w:r>
        <w:rPr>
          <w:rFonts w:hint="eastAsia" w:ascii="Times New Roman" w:hAnsi="Times New Roman" w:eastAsia="宋体" w:cs="Times New Roman"/>
          <w:b/>
          <w:bCs/>
          <w:color w:val="auto"/>
          <w:highlight w:val="none"/>
          <w:lang w:val="en-US" w:eastAsia="zh-CN"/>
        </w:rPr>
        <w:t xml:space="preserve">1） </w:t>
      </w:r>
      <w:r>
        <w:rPr>
          <w:rFonts w:hint="default" w:ascii="Times New Roman" w:hAnsi="Times New Roman" w:eastAsia="宋体" w:cs="Times New Roman"/>
          <w:b/>
          <w:bCs/>
          <w:color w:val="auto"/>
          <w:highlight w:val="none"/>
          <w:lang w:val="en-US" w:eastAsia="zh-CN"/>
        </w:rPr>
        <w:t>统一信息规范</w:t>
      </w:r>
    </w:p>
    <w:p w14:paraId="591E35A7">
      <w:pPr>
        <w:keepNext w:val="0"/>
        <w:keepLines w:val="0"/>
        <w:pageBreakBefore w:val="0"/>
        <w:widowControl w:val="0"/>
        <w:numPr>
          <w:ilvl w:val="0"/>
          <w:numId w:val="9"/>
        </w:numPr>
        <w:kinsoku/>
        <w:wordWrap/>
        <w:overflowPunct/>
        <w:topLinePunct w:val="0"/>
        <w:autoSpaceDE w:val="0"/>
        <w:autoSpaceDN w:val="0"/>
        <w:bidi w:val="0"/>
        <w:adjustRightInd/>
        <w:snapToGrid/>
        <w:ind w:left="0" w:leftChars="0" w:firstLine="480" w:firstLineChars="200"/>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统一系统时间。信息系统应通过我行时间同步服务器进行同步；</w:t>
      </w:r>
    </w:p>
    <w:p w14:paraId="2B613A69">
      <w:pPr>
        <w:keepNext w:val="0"/>
        <w:keepLines w:val="0"/>
        <w:pageBreakBefore w:val="0"/>
        <w:widowControl w:val="0"/>
        <w:numPr>
          <w:ilvl w:val="0"/>
          <w:numId w:val="9"/>
        </w:numPr>
        <w:kinsoku/>
        <w:wordWrap/>
        <w:overflowPunct/>
        <w:topLinePunct w:val="0"/>
        <w:autoSpaceDE w:val="0"/>
        <w:autoSpaceDN w:val="0"/>
        <w:bidi w:val="0"/>
        <w:adjustRightInd/>
        <w:snapToGrid/>
        <w:ind w:left="0" w:leftChars="0" w:firstLine="480" w:firstLineChars="200"/>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统一用户账号体系。需支持使用员工工号（目前为纯数字），实现统一身份认证；</w:t>
      </w:r>
    </w:p>
    <w:p w14:paraId="27C24A37">
      <w:pPr>
        <w:keepNext w:val="0"/>
        <w:keepLines w:val="0"/>
        <w:pageBreakBefore w:val="0"/>
        <w:widowControl w:val="0"/>
        <w:numPr>
          <w:ilvl w:val="0"/>
          <w:numId w:val="9"/>
        </w:numPr>
        <w:kinsoku/>
        <w:wordWrap/>
        <w:overflowPunct/>
        <w:topLinePunct w:val="0"/>
        <w:autoSpaceDE w:val="0"/>
        <w:autoSpaceDN w:val="0"/>
        <w:bidi w:val="0"/>
        <w:adjustRightInd/>
        <w:snapToGrid/>
        <w:ind w:left="0" w:leftChars="0" w:firstLine="480" w:firstLineChars="200"/>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统一通信报文编码。通信报文应使用UTF-8编码格式。</w:t>
      </w:r>
    </w:p>
    <w:p w14:paraId="60250426">
      <w:pPr>
        <w:pStyle w:val="20"/>
        <w:keepNext w:val="0"/>
        <w:keepLines w:val="0"/>
        <w:widowControl/>
        <w:suppressLineNumbers w:val="0"/>
        <w:spacing w:before="0" w:beforeAutospacing="0" w:after="0" w:afterAutospacing="0"/>
        <w:ind w:left="0" w:right="0"/>
        <w:rPr>
          <w:rFonts w:hint="default" w:ascii="Times New Roman" w:hAnsi="Times New Roman" w:eastAsia="宋体" w:cs="Times New Roman"/>
          <w:b/>
          <w:bCs/>
          <w:color w:val="auto"/>
          <w:highlight w:val="none"/>
          <w:lang w:val="en-US" w:eastAsia="zh-CN"/>
        </w:rPr>
      </w:pPr>
      <w:r>
        <w:rPr>
          <w:rFonts w:hint="eastAsia" w:ascii="Times New Roman" w:hAnsi="Times New Roman" w:cs="Times New Roman"/>
          <w:b/>
          <w:bCs/>
          <w:color w:val="auto"/>
          <w:highlight w:val="none"/>
          <w:lang w:val="en-US" w:eastAsia="zh-CN"/>
        </w:rPr>
        <w:t>（2）</w:t>
      </w:r>
      <w:r>
        <w:rPr>
          <w:rFonts w:hint="default" w:ascii="Times New Roman" w:hAnsi="Times New Roman" w:eastAsia="宋体" w:cs="Times New Roman"/>
          <w:b/>
          <w:bCs/>
          <w:color w:val="auto"/>
          <w:highlight w:val="none"/>
          <w:lang w:val="en-US" w:eastAsia="zh-CN"/>
        </w:rPr>
        <w:t>应用程序配置要求</w:t>
      </w:r>
    </w:p>
    <w:p w14:paraId="35F90A81">
      <w:pPr>
        <w:keepNext w:val="0"/>
        <w:keepLines w:val="0"/>
        <w:pageBreakBefore w:val="0"/>
        <w:widowControl w:val="0"/>
        <w:numPr>
          <w:ilvl w:val="0"/>
          <w:numId w:val="0"/>
        </w:numPr>
        <w:kinsoku/>
        <w:wordWrap/>
        <w:overflowPunct/>
        <w:topLinePunct w:val="0"/>
        <w:autoSpaceDE w:val="0"/>
        <w:autoSpaceDN w:val="0"/>
        <w:bidi w:val="0"/>
        <w:adjustRightInd/>
        <w:snapToGrid/>
        <w:ind w:left="0" w:leftChars="0" w:firstLine="480" w:firstLineChars="200"/>
        <w:textAlignment w:val="auto"/>
        <w:rPr>
          <w:rFonts w:hint="eastAsia" w:ascii="Times New Roman" w:hAnsi="Times New Roman" w:cs="Times New Roman"/>
          <w:color w:val="auto"/>
          <w:highlight w:val="none"/>
          <w:lang w:val="en-US" w:eastAsia="zh-CN"/>
        </w:rPr>
      </w:pPr>
      <w:r>
        <w:rPr>
          <w:rFonts w:hint="eastAsia" w:ascii="Times New Roman" w:hAnsi="Times New Roman" w:eastAsia="宋体" w:cs="Times New Roman"/>
          <w:color w:val="auto"/>
          <w:kern w:val="2"/>
          <w:sz w:val="24"/>
          <w:szCs w:val="20"/>
          <w:highlight w:val="none"/>
          <w:lang w:val="en-US" w:eastAsia="zh-CN" w:bidi="ar-SA"/>
        </w:rPr>
        <w:t>1）</w:t>
      </w:r>
      <w:r>
        <w:rPr>
          <w:rFonts w:hint="eastAsia" w:ascii="Times New Roman" w:hAnsi="Times New Roman" w:cs="Times New Roman"/>
          <w:color w:val="auto"/>
          <w:highlight w:val="none"/>
          <w:lang w:val="en-US" w:eastAsia="zh-CN"/>
        </w:rPr>
        <w:t>采用UTF-8字符集，支持GB_18030-2022 L3级别的中文生僻字数据存储、显示、处理等能力；</w:t>
      </w:r>
    </w:p>
    <w:p w14:paraId="2A5D2B1C">
      <w:pPr>
        <w:keepNext w:val="0"/>
        <w:keepLines w:val="0"/>
        <w:pageBreakBefore w:val="0"/>
        <w:widowControl w:val="0"/>
        <w:numPr>
          <w:ilvl w:val="0"/>
          <w:numId w:val="0"/>
        </w:numPr>
        <w:kinsoku/>
        <w:wordWrap/>
        <w:overflowPunct/>
        <w:topLinePunct w:val="0"/>
        <w:autoSpaceDE w:val="0"/>
        <w:autoSpaceDN w:val="0"/>
        <w:bidi w:val="0"/>
        <w:adjustRightInd/>
        <w:snapToGrid/>
        <w:ind w:left="0" w:leftChars="0" w:firstLine="480" w:firstLineChars="200"/>
        <w:textAlignment w:val="auto"/>
        <w:rPr>
          <w:rFonts w:hint="eastAsia" w:ascii="Times New Roman" w:hAnsi="Times New Roman" w:cs="Times New Roman"/>
          <w:color w:val="auto"/>
          <w:highlight w:val="none"/>
          <w:lang w:val="en-US" w:eastAsia="zh-CN"/>
        </w:rPr>
      </w:pPr>
      <w:r>
        <w:rPr>
          <w:rFonts w:hint="eastAsia" w:ascii="Times New Roman" w:hAnsi="Times New Roman" w:eastAsia="宋体" w:cs="Times New Roman"/>
          <w:color w:val="auto"/>
          <w:kern w:val="2"/>
          <w:sz w:val="24"/>
          <w:szCs w:val="20"/>
          <w:highlight w:val="none"/>
          <w:lang w:val="en-US" w:eastAsia="zh-CN" w:bidi="ar-SA"/>
        </w:rPr>
        <w:t>2）</w:t>
      </w:r>
      <w:r>
        <w:rPr>
          <w:rFonts w:hint="eastAsia" w:ascii="Times New Roman" w:hAnsi="Times New Roman" w:cs="Times New Roman"/>
          <w:color w:val="auto"/>
          <w:highlight w:val="none"/>
          <w:lang w:val="en-US" w:eastAsia="zh-CN"/>
        </w:rPr>
        <w:t>具有业务级和应用级异常告警机制；</w:t>
      </w:r>
    </w:p>
    <w:p w14:paraId="6B679555">
      <w:pPr>
        <w:keepNext w:val="0"/>
        <w:keepLines w:val="0"/>
        <w:pageBreakBefore w:val="0"/>
        <w:widowControl w:val="0"/>
        <w:numPr>
          <w:ilvl w:val="0"/>
          <w:numId w:val="0"/>
        </w:numPr>
        <w:kinsoku/>
        <w:wordWrap/>
        <w:overflowPunct/>
        <w:topLinePunct w:val="0"/>
        <w:autoSpaceDE w:val="0"/>
        <w:autoSpaceDN w:val="0"/>
        <w:bidi w:val="0"/>
        <w:adjustRightInd/>
        <w:snapToGrid/>
        <w:ind w:left="0" w:leftChars="0" w:firstLine="480" w:firstLineChars="200"/>
        <w:textAlignment w:val="auto"/>
        <w:rPr>
          <w:rFonts w:hint="eastAsia" w:ascii="Times New Roman" w:hAnsi="Times New Roman" w:cs="Times New Roman"/>
          <w:color w:val="auto"/>
          <w:highlight w:val="none"/>
          <w:lang w:val="en-US" w:eastAsia="zh-CN"/>
        </w:rPr>
      </w:pPr>
      <w:r>
        <w:rPr>
          <w:rFonts w:hint="eastAsia" w:ascii="Times New Roman" w:hAnsi="Times New Roman" w:eastAsia="宋体" w:cs="Times New Roman"/>
          <w:color w:val="auto"/>
          <w:kern w:val="2"/>
          <w:sz w:val="24"/>
          <w:szCs w:val="20"/>
          <w:highlight w:val="none"/>
          <w:lang w:val="en-US" w:eastAsia="zh-CN" w:bidi="ar-SA"/>
        </w:rPr>
        <w:t>3）</w:t>
      </w:r>
      <w:r>
        <w:rPr>
          <w:rFonts w:hint="eastAsia" w:ascii="Times New Roman" w:hAnsi="Times New Roman" w:cs="Times New Roman"/>
          <w:color w:val="auto"/>
          <w:highlight w:val="none"/>
          <w:lang w:val="en-US" w:eastAsia="zh-CN"/>
        </w:rPr>
        <w:t>针对需提供源码的产品服务，所提供的源码应具有良好的完整性、规范性、可读性；</w:t>
      </w:r>
    </w:p>
    <w:p w14:paraId="631C2CBF">
      <w:pPr>
        <w:keepNext w:val="0"/>
        <w:keepLines w:val="0"/>
        <w:pageBreakBefore w:val="0"/>
        <w:widowControl w:val="0"/>
        <w:numPr>
          <w:ilvl w:val="0"/>
          <w:numId w:val="0"/>
        </w:numPr>
        <w:kinsoku/>
        <w:wordWrap/>
        <w:overflowPunct/>
        <w:topLinePunct w:val="0"/>
        <w:autoSpaceDE w:val="0"/>
        <w:autoSpaceDN w:val="0"/>
        <w:bidi w:val="0"/>
        <w:adjustRightInd/>
        <w:snapToGrid/>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eastAsia="宋体" w:cs="Times New Roman"/>
          <w:color w:val="auto"/>
          <w:kern w:val="2"/>
          <w:sz w:val="24"/>
          <w:szCs w:val="20"/>
          <w:highlight w:val="none"/>
          <w:lang w:val="en-US" w:eastAsia="zh-CN" w:bidi="ar-SA"/>
        </w:rPr>
        <w:t>4）</w:t>
      </w:r>
      <w:r>
        <w:rPr>
          <w:rFonts w:hint="eastAsia" w:ascii="Times New Roman" w:hAnsi="Times New Roman" w:cs="Times New Roman"/>
          <w:color w:val="auto"/>
          <w:highlight w:val="none"/>
          <w:lang w:val="en-US" w:eastAsia="zh-CN"/>
        </w:rPr>
        <w:t>需提供应用程序服务部署、操作配置、运维运营相关的标准易读文档。</w:t>
      </w:r>
    </w:p>
    <w:p w14:paraId="14B11AA5">
      <w:pPr>
        <w:pStyle w:val="6"/>
        <w:keepNext w:val="0"/>
        <w:keepLines w:val="0"/>
        <w:pageBreakBefore w:val="0"/>
        <w:widowControl w:val="0"/>
        <w:numPr>
          <w:ilvl w:val="3"/>
          <w:numId w:val="2"/>
        </w:numPr>
        <w:kinsoku/>
        <w:wordWrap/>
        <w:overflowPunct/>
        <w:topLinePunct w:val="0"/>
        <w:autoSpaceDE w:val="0"/>
        <w:autoSpaceDN w:val="0"/>
        <w:bidi w:val="0"/>
        <w:adjustRightInd/>
        <w:snapToGrid/>
        <w:spacing w:line="600" w:lineRule="exact"/>
        <w:ind w:left="0" w:leftChars="0" w:firstLine="482" w:firstLineChars="200"/>
        <w:jc w:val="left"/>
        <w:textAlignment w:val="auto"/>
        <w:outlineLvl w:val="4"/>
        <w:rPr>
          <w:rFonts w:hint="eastAsia" w:ascii="Times New Roman" w:hAnsi="Times New Roman" w:cs="Times New Roman"/>
          <w:b/>
          <w:bCs w:val="0"/>
          <w:color w:val="auto"/>
          <w:sz w:val="24"/>
          <w:szCs w:val="24"/>
          <w:highlight w:val="none"/>
          <w:lang w:val="en-US" w:eastAsia="zh-CN"/>
        </w:rPr>
      </w:pPr>
      <w:r>
        <w:rPr>
          <w:rFonts w:hint="eastAsia" w:ascii="Times New Roman" w:hAnsi="Times New Roman" w:cs="Times New Roman"/>
          <w:b/>
          <w:bCs w:val="0"/>
          <w:color w:val="auto"/>
          <w:sz w:val="24"/>
          <w:szCs w:val="24"/>
          <w:highlight w:val="none"/>
          <w:lang w:val="en-US" w:eastAsia="zh-CN"/>
        </w:rPr>
        <w:t xml:space="preserve"> 非功能要求</w:t>
      </w:r>
    </w:p>
    <w:p w14:paraId="72D48F1A">
      <w:pPr>
        <w:pStyle w:val="20"/>
        <w:keepNext w:val="0"/>
        <w:keepLines w:val="0"/>
        <w:widowControl/>
        <w:suppressLineNumbers w:val="0"/>
        <w:spacing w:before="0" w:beforeAutospacing="0" w:after="0" w:afterAutospacing="0"/>
        <w:ind w:left="0" w:right="0"/>
        <w:rPr>
          <w:rFonts w:hint="eastAsia" w:ascii="Times New Roman" w:hAnsi="Times New Roman" w:eastAsia="宋体" w:cs="Times New Roman"/>
          <w:b/>
          <w:bCs/>
          <w:color w:val="auto"/>
          <w:highlight w:val="none"/>
          <w:lang w:val="en-US" w:eastAsia="zh-CN"/>
        </w:rPr>
      </w:pPr>
      <w:r>
        <w:rPr>
          <w:rFonts w:hint="eastAsia" w:ascii="Times New Roman" w:hAnsi="Times New Roman" w:cs="Times New Roman"/>
          <w:b/>
          <w:bCs/>
          <w:color w:val="auto"/>
          <w:highlight w:val="none"/>
          <w:lang w:val="en-US" w:eastAsia="zh-CN"/>
        </w:rPr>
        <w:t>（</w:t>
      </w:r>
      <w:r>
        <w:rPr>
          <w:rFonts w:hint="eastAsia" w:ascii="Times New Roman" w:hAnsi="Times New Roman" w:eastAsia="宋体" w:cs="Times New Roman"/>
          <w:b/>
          <w:bCs/>
          <w:color w:val="auto"/>
          <w:highlight w:val="none"/>
          <w:lang w:val="en-US" w:eastAsia="zh-CN"/>
        </w:rPr>
        <w:t>1）可靠性</w:t>
      </w:r>
    </w:p>
    <w:p w14:paraId="2F4FC98D">
      <w:pPr>
        <w:adjustRightInd w:val="0"/>
        <w:snapToGrid/>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产品需采用成熟的系统架构、技术措施和开发手段，具备良好的可扩充性和可维护性，支持横向扩展，具有灵活的参数化配置功能，采用集群方式搭建，以避免系统单点故障，保障系统及服务的高可用性和稳定性。</w:t>
      </w:r>
    </w:p>
    <w:p w14:paraId="10EE7EB1">
      <w:pPr>
        <w:pStyle w:val="20"/>
        <w:keepNext w:val="0"/>
        <w:keepLines w:val="0"/>
        <w:widowControl/>
        <w:suppressLineNumbers w:val="0"/>
        <w:spacing w:before="0" w:beforeAutospacing="0" w:after="0" w:afterAutospacing="0"/>
        <w:ind w:left="0" w:right="0"/>
        <w:rPr>
          <w:rFonts w:hint="eastAsia" w:ascii="Times New Roman" w:hAnsi="Times New Roman" w:eastAsia="宋体" w:cs="Times New Roman"/>
          <w:b/>
          <w:bCs/>
          <w:color w:val="auto"/>
          <w:highlight w:val="none"/>
          <w:lang w:val="en-US" w:eastAsia="zh-CN"/>
        </w:rPr>
      </w:pPr>
      <w:r>
        <w:rPr>
          <w:rFonts w:hint="eastAsia" w:ascii="Times New Roman" w:hAnsi="Times New Roman" w:cs="Times New Roman"/>
          <w:b/>
          <w:bCs/>
          <w:color w:val="auto"/>
          <w:highlight w:val="none"/>
          <w:lang w:val="en-US" w:eastAsia="zh-CN"/>
        </w:rPr>
        <w:t>（2</w:t>
      </w:r>
      <w:r>
        <w:rPr>
          <w:rFonts w:hint="eastAsia" w:ascii="Times New Roman" w:hAnsi="Times New Roman" w:eastAsia="宋体" w:cs="Times New Roman"/>
          <w:b/>
          <w:bCs/>
          <w:color w:val="auto"/>
          <w:highlight w:val="none"/>
          <w:lang w:val="en-US" w:eastAsia="zh-CN"/>
        </w:rPr>
        <w:t>）</w:t>
      </w:r>
      <w:r>
        <w:rPr>
          <w:rFonts w:hint="eastAsia" w:ascii="Times New Roman" w:hAnsi="Times New Roman" w:cs="Times New Roman"/>
          <w:b/>
          <w:bCs/>
          <w:color w:val="auto"/>
          <w:highlight w:val="none"/>
          <w:lang w:val="en-US" w:eastAsia="zh-CN"/>
        </w:rPr>
        <w:t>业务连续</w:t>
      </w:r>
      <w:r>
        <w:rPr>
          <w:rFonts w:hint="eastAsia" w:ascii="Times New Roman" w:hAnsi="Times New Roman" w:eastAsia="宋体" w:cs="Times New Roman"/>
          <w:b/>
          <w:bCs/>
          <w:color w:val="auto"/>
          <w:highlight w:val="none"/>
          <w:lang w:val="en-US" w:eastAsia="zh-CN"/>
        </w:rPr>
        <w:t>性</w:t>
      </w:r>
    </w:p>
    <w:p w14:paraId="0ED0B428">
      <w:pPr>
        <w:adjustRightInd w:val="0"/>
        <w:snapToGrid/>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产品需具备良好的可恢复性，以最大程度保证业务的连续性，产品的业务连续性要求如表3-1所示：</w:t>
      </w:r>
    </w:p>
    <w:p w14:paraId="74FDEC19">
      <w:pPr>
        <w:pStyle w:val="9"/>
        <w:rPr>
          <w:rFonts w:hint="default" w:eastAsia="宋体"/>
          <w:color w:val="auto"/>
          <w:highlight w:val="none"/>
          <w:lang w:val="en-US" w:eastAsia="zh-CN"/>
        </w:rPr>
      </w:pPr>
      <w:r>
        <w:rPr>
          <w:rFonts w:hint="default" w:ascii="Times New Roman" w:hAnsi="Times New Roman" w:cs="Times New Roman"/>
          <w:color w:val="auto"/>
          <w:sz w:val="21"/>
          <w:szCs w:val="21"/>
          <w:highlight w:val="none"/>
        </w:rPr>
        <w:t>表</w:t>
      </w:r>
      <w:r>
        <w:rPr>
          <w:rFonts w:hint="default" w:ascii="Times New Roman" w:hAnsi="Times New Roman" w:cs="Times New Roman"/>
          <w:color w:val="auto"/>
          <w:sz w:val="21"/>
          <w:szCs w:val="21"/>
          <w:highlight w:val="none"/>
          <w:lang w:val="en-US" w:eastAsia="zh-CN"/>
        </w:rPr>
        <w:t>3</w:t>
      </w:r>
      <w:r>
        <w:rPr>
          <w:rFonts w:hint="default" w:ascii="Times New Roman" w:hAnsi="Times New Roman" w:cs="Times New Roman"/>
          <w:color w:val="auto"/>
          <w:sz w:val="21"/>
          <w:szCs w:val="21"/>
          <w:highlight w:val="none"/>
        </w:rPr>
        <w:t>-</w:t>
      </w:r>
      <w:r>
        <w:rPr>
          <w:rFonts w:hint="eastAsia" w:cs="Times New Roman"/>
          <w:color w:val="auto"/>
          <w:sz w:val="21"/>
          <w:szCs w:val="21"/>
          <w:highlight w:val="none"/>
          <w:lang w:val="en-US" w:eastAsia="zh-CN"/>
        </w:rPr>
        <w:t>1</w:t>
      </w:r>
      <w:r>
        <w:rPr>
          <w:rFonts w:hint="default" w:ascii="Times New Roman" w:hAnsi="Times New Roman" w:cs="Times New Roman"/>
          <w:color w:val="auto"/>
          <w:sz w:val="21"/>
          <w:szCs w:val="21"/>
          <w:highlight w:val="none"/>
        </w:rPr>
        <w:t xml:space="preserve"> </w:t>
      </w:r>
      <w:r>
        <w:rPr>
          <w:rFonts w:hint="eastAsia" w:cs="Times New Roman"/>
          <w:color w:val="auto"/>
          <w:sz w:val="21"/>
          <w:szCs w:val="21"/>
          <w:highlight w:val="none"/>
          <w:lang w:val="en-US" w:eastAsia="zh-CN"/>
        </w:rPr>
        <w:t>产品业务连续性要求</w:t>
      </w:r>
    </w:p>
    <w:tbl>
      <w:tblPr>
        <w:tblStyle w:val="22"/>
        <w:tblW w:w="408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31"/>
        <w:gridCol w:w="2486"/>
        <w:gridCol w:w="2151"/>
      </w:tblGrid>
      <w:tr w14:paraId="45B54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672" w:type="pct"/>
            <w:tcBorders>
              <w:top w:val="single" w:color="auto" w:sz="6" w:space="0"/>
              <w:left w:val="single" w:color="auto" w:sz="6" w:space="0"/>
              <w:bottom w:val="single" w:color="auto" w:sz="6" w:space="0"/>
              <w:right w:val="single" w:color="auto" w:sz="6" w:space="0"/>
              <w:tl2br w:val="nil"/>
              <w:tr2bl w:val="nil"/>
            </w:tcBorders>
            <w:shd w:val="clear" w:color="auto" w:fill="D8D8D8"/>
            <w:noWrap/>
            <w:vAlign w:val="center"/>
          </w:tcPr>
          <w:p w14:paraId="4505FD24">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eastAsia" w:ascii="Times New Roman" w:hAnsi="Times New Roman" w:cs="Times New Roman"/>
                <w:b/>
                <w:bCs/>
                <w:color w:val="auto"/>
                <w:sz w:val="21"/>
                <w:szCs w:val="21"/>
                <w:highlight w:val="none"/>
                <w:lang w:val="en-US" w:eastAsia="zh-CN"/>
              </w:rPr>
              <w:t>产品名称</w:t>
            </w:r>
          </w:p>
        </w:tc>
        <w:tc>
          <w:tcPr>
            <w:tcW w:w="1783" w:type="pct"/>
            <w:tcBorders>
              <w:top w:val="single" w:color="auto" w:sz="6" w:space="0"/>
              <w:left w:val="single" w:color="auto" w:sz="6" w:space="0"/>
              <w:bottom w:val="single" w:color="auto" w:sz="6" w:space="0"/>
              <w:right w:val="single" w:color="auto" w:sz="6" w:space="0"/>
              <w:tl2br w:val="nil"/>
              <w:tr2bl w:val="nil"/>
            </w:tcBorders>
            <w:shd w:val="clear" w:color="auto" w:fill="D8D8D8"/>
            <w:noWrap/>
            <w:vAlign w:val="center"/>
          </w:tcPr>
          <w:p w14:paraId="754A971B">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eastAsia" w:ascii="Times New Roman" w:hAnsi="Times New Roman" w:cs="Times New Roman"/>
                <w:b/>
                <w:bCs/>
                <w:color w:val="auto"/>
                <w:sz w:val="21"/>
                <w:szCs w:val="21"/>
                <w:highlight w:val="none"/>
                <w:lang w:val="en-US" w:eastAsia="zh-CN"/>
              </w:rPr>
              <w:t>业务RTO/RPO</w:t>
            </w:r>
          </w:p>
        </w:tc>
        <w:tc>
          <w:tcPr>
            <w:tcW w:w="1543" w:type="pct"/>
            <w:tcBorders>
              <w:top w:val="single" w:color="auto" w:sz="6" w:space="0"/>
              <w:left w:val="single" w:color="auto" w:sz="6" w:space="0"/>
              <w:bottom w:val="single" w:color="auto" w:sz="6" w:space="0"/>
              <w:right w:val="single" w:color="auto" w:sz="6" w:space="0"/>
              <w:tl2br w:val="nil"/>
              <w:tr2bl w:val="nil"/>
            </w:tcBorders>
            <w:shd w:val="clear" w:color="auto" w:fill="D8D8D8"/>
            <w:noWrap/>
            <w:vAlign w:val="center"/>
          </w:tcPr>
          <w:p w14:paraId="63830835">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eastAsia" w:ascii="Times New Roman" w:hAnsi="Times New Roman" w:cs="Times New Roman"/>
                <w:b/>
                <w:bCs/>
                <w:color w:val="auto"/>
                <w:sz w:val="21"/>
                <w:szCs w:val="21"/>
                <w:highlight w:val="none"/>
                <w:lang w:val="en-US" w:eastAsia="zh-CN"/>
              </w:rPr>
              <w:t>技术RTO/RPO</w:t>
            </w:r>
          </w:p>
        </w:tc>
      </w:tr>
      <w:tr w14:paraId="7A2C3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672" w:type="pct"/>
            <w:tcBorders>
              <w:top w:val="single" w:color="auto" w:sz="6" w:space="0"/>
              <w:left w:val="single" w:color="auto" w:sz="6" w:space="0"/>
              <w:bottom w:val="single" w:color="auto" w:sz="6" w:space="0"/>
              <w:right w:val="single" w:color="auto" w:sz="6" w:space="0"/>
              <w:tl2br w:val="nil"/>
              <w:tr2bl w:val="nil"/>
            </w:tcBorders>
            <w:noWrap/>
            <w:vAlign w:val="center"/>
          </w:tcPr>
          <w:p w14:paraId="5C5AE0AF">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湖仓一体底座</w:t>
            </w:r>
          </w:p>
        </w:tc>
        <w:tc>
          <w:tcPr>
            <w:tcW w:w="1783" w:type="pct"/>
            <w:tcBorders>
              <w:top w:val="single" w:color="auto" w:sz="6" w:space="0"/>
              <w:left w:val="single" w:color="auto" w:sz="6" w:space="0"/>
              <w:bottom w:val="single" w:color="auto" w:sz="6" w:space="0"/>
              <w:right w:val="single" w:color="auto" w:sz="6" w:space="0"/>
              <w:tl2br w:val="nil"/>
              <w:tr2bl w:val="nil"/>
            </w:tcBorders>
            <w:noWrap/>
            <w:vAlign w:val="center"/>
          </w:tcPr>
          <w:p w14:paraId="4972D51C">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14小时/15分钟</w:t>
            </w:r>
          </w:p>
        </w:tc>
        <w:tc>
          <w:tcPr>
            <w:tcW w:w="1543" w:type="pct"/>
            <w:tcBorders>
              <w:top w:val="single" w:color="auto" w:sz="6" w:space="0"/>
              <w:left w:val="single" w:color="auto" w:sz="6" w:space="0"/>
              <w:bottom w:val="single" w:color="auto" w:sz="6" w:space="0"/>
              <w:right w:val="single" w:color="auto" w:sz="6" w:space="0"/>
              <w:tl2br w:val="nil"/>
              <w:tr2bl w:val="nil"/>
            </w:tcBorders>
            <w:noWrap/>
            <w:vAlign w:val="center"/>
          </w:tcPr>
          <w:p w14:paraId="566C9332">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r>
              <w:rPr>
                <w:rFonts w:hint="eastAsia" w:ascii="Times New Roman" w:hAnsi="Times New Roman"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lang w:val="en-US" w:eastAsia="zh-CN"/>
              </w:rPr>
              <w:t>小时/15分钟</w:t>
            </w:r>
          </w:p>
        </w:tc>
      </w:tr>
      <w:tr w14:paraId="2D64E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672" w:type="pct"/>
            <w:tcBorders>
              <w:top w:val="single" w:color="auto" w:sz="6" w:space="0"/>
              <w:left w:val="single" w:color="auto" w:sz="6" w:space="0"/>
              <w:bottom w:val="single" w:color="auto" w:sz="6" w:space="0"/>
              <w:right w:val="single" w:color="auto" w:sz="6" w:space="0"/>
              <w:tl2br w:val="nil"/>
              <w:tr2bl w:val="nil"/>
            </w:tcBorders>
            <w:noWrap/>
            <w:vAlign w:val="center"/>
          </w:tcPr>
          <w:p w14:paraId="1DBA26C9">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数据作业平台</w:t>
            </w:r>
          </w:p>
        </w:tc>
        <w:tc>
          <w:tcPr>
            <w:tcW w:w="1783" w:type="pct"/>
            <w:tcBorders>
              <w:top w:val="single" w:color="auto" w:sz="6" w:space="0"/>
              <w:left w:val="single" w:color="auto" w:sz="6" w:space="0"/>
              <w:bottom w:val="single" w:color="auto" w:sz="6" w:space="0"/>
              <w:right w:val="single" w:color="auto" w:sz="6" w:space="0"/>
              <w:tl2br w:val="nil"/>
              <w:tr2bl w:val="nil"/>
            </w:tcBorders>
            <w:noWrap/>
            <w:vAlign w:val="center"/>
          </w:tcPr>
          <w:p w14:paraId="471367DE">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14小时/15分钟</w:t>
            </w:r>
          </w:p>
        </w:tc>
        <w:tc>
          <w:tcPr>
            <w:tcW w:w="1543" w:type="pct"/>
            <w:tcBorders>
              <w:top w:val="single" w:color="auto" w:sz="6" w:space="0"/>
              <w:left w:val="single" w:color="auto" w:sz="6" w:space="0"/>
              <w:bottom w:val="single" w:color="auto" w:sz="6" w:space="0"/>
              <w:right w:val="single" w:color="auto" w:sz="6" w:space="0"/>
              <w:tl2br w:val="nil"/>
              <w:tr2bl w:val="nil"/>
            </w:tcBorders>
            <w:noWrap/>
            <w:vAlign w:val="center"/>
          </w:tcPr>
          <w:p w14:paraId="146D3B56">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r>
              <w:rPr>
                <w:rFonts w:hint="eastAsia" w:ascii="Times New Roman" w:hAnsi="Times New Roman"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lang w:val="en-US" w:eastAsia="zh-CN"/>
              </w:rPr>
              <w:t>小时/15分钟</w:t>
            </w:r>
          </w:p>
        </w:tc>
      </w:tr>
    </w:tbl>
    <w:p w14:paraId="398A3FA2">
      <w:pPr>
        <w:pStyle w:val="20"/>
        <w:keepNext w:val="0"/>
        <w:keepLines w:val="0"/>
        <w:widowControl/>
        <w:suppressLineNumbers w:val="0"/>
        <w:spacing w:before="0" w:beforeAutospacing="0" w:after="0" w:afterAutospacing="0"/>
        <w:ind w:left="0" w:right="0"/>
        <w:rPr>
          <w:rFonts w:hint="eastAsia" w:ascii="Times New Roman" w:hAnsi="Times New Roman" w:eastAsia="宋体" w:cs="Times New Roman"/>
          <w:b/>
          <w:bCs/>
          <w:color w:val="auto"/>
          <w:highlight w:val="none"/>
          <w:lang w:val="en-US" w:eastAsia="zh-CN"/>
        </w:rPr>
      </w:pPr>
      <w:bookmarkStart w:id="50" w:name="_Toc151973409"/>
      <w:r>
        <w:rPr>
          <w:rFonts w:hint="eastAsia" w:ascii="Times New Roman" w:hAnsi="Times New Roman" w:cs="Times New Roman"/>
          <w:b/>
          <w:bCs/>
          <w:color w:val="auto"/>
          <w:highlight w:val="none"/>
          <w:lang w:val="en-US" w:eastAsia="zh-CN"/>
        </w:rPr>
        <w:t>（3</w:t>
      </w:r>
      <w:r>
        <w:rPr>
          <w:rFonts w:hint="eastAsia" w:ascii="Times New Roman" w:hAnsi="Times New Roman" w:eastAsia="宋体" w:cs="Times New Roman"/>
          <w:b/>
          <w:bCs/>
          <w:color w:val="auto"/>
          <w:highlight w:val="none"/>
          <w:lang w:val="en-US" w:eastAsia="zh-CN"/>
        </w:rPr>
        <w:t>）易用性</w:t>
      </w:r>
      <w:bookmarkEnd w:id="50"/>
    </w:p>
    <w:p w14:paraId="526711E7">
      <w:pPr>
        <w:adjustRightInd w:val="0"/>
        <w:snapToGrid/>
        <w:rPr>
          <w:rFonts w:hint="default"/>
          <w:color w:val="auto"/>
          <w:highlight w:val="none"/>
          <w:lang w:val="en-US" w:eastAsia="zh-CN"/>
        </w:rPr>
      </w:pPr>
      <w:r>
        <w:rPr>
          <w:rFonts w:hint="default" w:ascii="Times New Roman" w:hAnsi="Times New Roman" w:cs="Times New Roman"/>
          <w:color w:val="auto"/>
          <w:highlight w:val="none"/>
          <w:lang w:val="en-US" w:eastAsia="zh-CN"/>
        </w:rPr>
        <w:t>用户</w:t>
      </w:r>
      <w:r>
        <w:rPr>
          <w:rFonts w:hint="eastAsia" w:ascii="Times New Roman" w:hAnsi="Times New Roman" w:cs="Times New Roman"/>
          <w:color w:val="auto"/>
          <w:highlight w:val="none"/>
          <w:lang w:val="en-US" w:eastAsia="zh-CN"/>
        </w:rPr>
        <w:t>在</w:t>
      </w:r>
      <w:r>
        <w:rPr>
          <w:rFonts w:hint="default" w:ascii="Times New Roman" w:hAnsi="Times New Roman" w:cs="Times New Roman"/>
          <w:color w:val="auto"/>
          <w:highlight w:val="none"/>
          <w:lang w:val="en-US" w:eastAsia="zh-CN"/>
        </w:rPr>
        <w:t>基于WEB浏览器访问</w:t>
      </w:r>
      <w:r>
        <w:rPr>
          <w:rFonts w:hint="eastAsia" w:ascii="Times New Roman" w:hAnsi="Times New Roman" w:cs="Times New Roman"/>
          <w:color w:val="auto"/>
          <w:highlight w:val="none"/>
          <w:lang w:val="en-US" w:eastAsia="zh-CN"/>
        </w:rPr>
        <w:t>时</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产品需</w:t>
      </w:r>
      <w:r>
        <w:rPr>
          <w:rFonts w:hint="default" w:ascii="Times New Roman" w:hAnsi="Times New Roman" w:cs="Times New Roman"/>
          <w:color w:val="auto"/>
          <w:highlight w:val="none"/>
          <w:lang w:val="en-US" w:eastAsia="zh-CN"/>
        </w:rPr>
        <w:t>具有友好的用户操作和可视化管理维护能力，操作简洁、高效，菜单结构清晰、模块化、参数化程度高，可灵活设置，方便维护和管理；支持界面颜色、背景、主题等的客户化定制和灵活调整，对操作适时进行控制和提示等，适配多分辨率的终端设备</w:t>
      </w:r>
      <w:r>
        <w:rPr>
          <w:rFonts w:hint="eastAsia" w:ascii="Times New Roman" w:hAnsi="Times New Roman" w:cs="Times New Roman"/>
          <w:color w:val="auto"/>
          <w:highlight w:val="none"/>
          <w:lang w:val="en-US" w:eastAsia="zh-CN"/>
        </w:rPr>
        <w:t>。</w:t>
      </w:r>
    </w:p>
    <w:p w14:paraId="32B5A3F2">
      <w:pPr>
        <w:pStyle w:val="5"/>
        <w:keepNext w:val="0"/>
        <w:keepLines w:val="0"/>
        <w:pageBreakBefore w:val="0"/>
        <w:widowControl w:val="0"/>
        <w:numPr>
          <w:ilvl w:val="2"/>
          <w:numId w:val="2"/>
        </w:numPr>
        <w:kinsoku/>
        <w:wordWrap/>
        <w:overflowPunct/>
        <w:topLinePunct w:val="0"/>
        <w:autoSpaceDE w:val="0"/>
        <w:autoSpaceDN w:val="0"/>
        <w:bidi w:val="0"/>
        <w:adjustRightInd/>
        <w:snapToGrid/>
        <w:ind w:left="0" w:leftChars="0" w:firstLine="482" w:firstLineChars="200"/>
        <w:textAlignment w:val="auto"/>
        <w:outlineLvl w:val="3"/>
        <w:rPr>
          <w:rFonts w:hint="eastAsia" w:ascii="Times New Roman" w:hAnsi="Times New Roman" w:cs="Times New Roman"/>
          <w:b/>
          <w:bCs w:val="0"/>
          <w:color w:val="auto"/>
          <w:highlight w:val="none"/>
          <w:lang w:val="en-US" w:eastAsia="zh-CN"/>
        </w:rPr>
      </w:pPr>
      <w:r>
        <w:rPr>
          <w:rFonts w:hint="eastAsia" w:ascii="Times New Roman" w:hAnsi="Times New Roman" w:cs="Times New Roman"/>
          <w:b/>
          <w:bCs w:val="0"/>
          <w:color w:val="auto"/>
          <w:highlight w:val="none"/>
          <w:lang w:val="en-US" w:eastAsia="zh-CN"/>
        </w:rPr>
        <w:t xml:space="preserve"> 湖仓一体底座要求</w:t>
      </w:r>
    </w:p>
    <w:p w14:paraId="29FD3461">
      <w:pPr>
        <w:pStyle w:val="6"/>
        <w:keepNext w:val="0"/>
        <w:keepLines w:val="0"/>
        <w:pageBreakBefore w:val="0"/>
        <w:widowControl w:val="0"/>
        <w:numPr>
          <w:ilvl w:val="3"/>
          <w:numId w:val="2"/>
        </w:numPr>
        <w:kinsoku/>
        <w:wordWrap/>
        <w:overflowPunct/>
        <w:topLinePunct w:val="0"/>
        <w:autoSpaceDE w:val="0"/>
        <w:autoSpaceDN w:val="0"/>
        <w:bidi w:val="0"/>
        <w:adjustRightInd/>
        <w:snapToGrid/>
        <w:spacing w:line="600" w:lineRule="exact"/>
        <w:ind w:left="0" w:leftChars="0" w:firstLine="482" w:firstLineChars="200"/>
        <w:jc w:val="left"/>
        <w:textAlignment w:val="auto"/>
        <w:outlineLvl w:val="4"/>
        <w:rPr>
          <w:rFonts w:hint="default" w:ascii="Times New Roman" w:hAnsi="Times New Roman" w:cs="Times New Roman"/>
          <w:b/>
          <w:bCs w:val="0"/>
          <w:color w:val="auto"/>
          <w:sz w:val="24"/>
          <w:szCs w:val="24"/>
          <w:highlight w:val="none"/>
          <w:lang w:val="en-US" w:eastAsia="zh-CN"/>
        </w:rPr>
      </w:pPr>
      <w:r>
        <w:rPr>
          <w:rFonts w:hint="default" w:ascii="Times New Roman" w:hAnsi="Times New Roman" w:cs="Times New Roman"/>
          <w:b/>
          <w:bCs w:val="0"/>
          <w:color w:val="auto"/>
          <w:sz w:val="24"/>
          <w:szCs w:val="24"/>
          <w:highlight w:val="none"/>
          <w:lang w:val="en-US" w:eastAsia="zh-CN"/>
        </w:rPr>
        <w:t xml:space="preserve"> 产品要求</w:t>
      </w:r>
    </w:p>
    <w:p w14:paraId="79D7E77D">
      <w:pPr>
        <w:rPr>
          <w:rFonts w:hint="default"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（1）基础要求</w:t>
      </w:r>
    </w:p>
    <w:p w14:paraId="4081B316">
      <w:pPr>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1）</w:t>
      </w:r>
      <w:r>
        <w:rPr>
          <w:rFonts w:hint="default" w:ascii="Times New Roman" w:hAnsi="Times New Roman" w:cs="Times New Roman"/>
          <w:color w:val="auto"/>
          <w:highlight w:val="none"/>
          <w:lang w:val="en-US" w:eastAsia="zh-CN"/>
        </w:rPr>
        <w:t>湖仓一体底座需</w:t>
      </w:r>
      <w:r>
        <w:rPr>
          <w:rFonts w:hint="eastAsia" w:ascii="Times New Roman" w:hAnsi="Times New Roman" w:cs="Times New Roman"/>
          <w:color w:val="auto"/>
          <w:highlight w:val="none"/>
          <w:lang w:val="en-US" w:eastAsia="zh-CN"/>
        </w:rPr>
        <w:t>以分布式大数据技术体系为主（湖仓共用一套技术体系，不再单独搭建基于MPP体系的数据仓库）</w:t>
      </w:r>
      <w:r>
        <w:rPr>
          <w:rFonts w:hint="default" w:ascii="Times New Roman" w:hAnsi="Times New Roman" w:cs="Times New Roman"/>
          <w:color w:val="auto"/>
          <w:highlight w:val="none"/>
          <w:lang w:val="en-US" w:eastAsia="zh-CN"/>
        </w:rPr>
        <w:t>，构建以湖仓一体、</w:t>
      </w:r>
      <w:r>
        <w:rPr>
          <w:rFonts w:hint="eastAsia" w:ascii="Times New Roman" w:hAnsi="Times New Roman" w:cs="Times New Roman"/>
          <w:color w:val="auto"/>
          <w:highlight w:val="none"/>
          <w:lang w:val="en-US" w:eastAsia="zh-CN"/>
        </w:rPr>
        <w:t>批流</w:t>
      </w:r>
      <w:r>
        <w:rPr>
          <w:rFonts w:hint="default" w:ascii="Times New Roman" w:hAnsi="Times New Roman" w:cs="Times New Roman"/>
          <w:color w:val="auto"/>
          <w:highlight w:val="none"/>
          <w:lang w:val="en-US" w:eastAsia="zh-CN"/>
        </w:rPr>
        <w:t>融合为核心</w:t>
      </w:r>
      <w:r>
        <w:rPr>
          <w:rFonts w:hint="eastAsia" w:ascii="Times New Roman" w:hAnsi="Times New Roman" w:cs="Times New Roman"/>
          <w:color w:val="auto"/>
          <w:highlight w:val="none"/>
          <w:lang w:val="en-US" w:eastAsia="zh-CN"/>
        </w:rPr>
        <w:t>架构，开放先进的</w:t>
      </w:r>
      <w:r>
        <w:rPr>
          <w:rFonts w:hint="default" w:ascii="Times New Roman" w:hAnsi="Times New Roman" w:cs="Times New Roman"/>
          <w:color w:val="auto"/>
          <w:highlight w:val="none"/>
          <w:lang w:val="en-US" w:eastAsia="zh-CN"/>
        </w:rPr>
        <w:t>数据平台基础服务，以满足各场景对数据处理和数据时效性的要求，提升数据的存储和计算能力；</w:t>
      </w:r>
    </w:p>
    <w:p w14:paraId="5CFA4BC7">
      <w:pPr>
        <w:rPr>
          <w:rFonts w:hint="eastAsia"/>
          <w:color w:val="auto"/>
          <w:highlight w:val="none"/>
          <w:lang w:val="en-US" w:eastAsia="zh-CN"/>
        </w:rPr>
      </w:pPr>
      <w:r>
        <w:rPr>
          <w:rFonts w:hint="eastAsia" w:ascii="Times New Roman" w:hAnsi="Times New Roman" w:cs="Times New Roman"/>
          <w:color w:val="auto"/>
          <w:highlight w:val="none"/>
          <w:lang w:val="en-US" w:eastAsia="zh-CN"/>
        </w:rPr>
        <w:t>2）湖仓一体数据底座提供的数据存储与分布式计算服务，需能支撑经营分析、风险防控、客户营销、监管报送、自助分析等多种业务应用场景。</w:t>
      </w:r>
    </w:p>
    <w:p w14:paraId="6C849628">
      <w:pPr>
        <w:rPr>
          <w:rFonts w:hint="eastAsia"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（2）性能要求</w:t>
      </w:r>
    </w:p>
    <w:p w14:paraId="62B6DC15">
      <w:pPr>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湖仓一体数据底座需要满足行内每日批量数据加工、实时数据处理需求和即席查询的性能（秒级响应）要求；满足湖仓一体、批流融合的批量和实时数据加工性能要求；对小文件合并具有良好的优化，满足亿级小文件的存储及在线合并、处理能力；需具有良好的大数据量数据处理性能，具体性能指标如表3-2所示：</w:t>
      </w:r>
    </w:p>
    <w:p w14:paraId="5C7B1502">
      <w:pPr>
        <w:pStyle w:val="9"/>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sz w:val="21"/>
          <w:szCs w:val="21"/>
          <w:highlight w:val="none"/>
        </w:rPr>
        <w:t>表</w:t>
      </w:r>
      <w:r>
        <w:rPr>
          <w:rFonts w:hint="default" w:ascii="Times New Roman" w:hAnsi="Times New Roman" w:cs="Times New Roman"/>
          <w:color w:val="auto"/>
          <w:sz w:val="21"/>
          <w:szCs w:val="21"/>
          <w:highlight w:val="none"/>
          <w:lang w:val="en-US" w:eastAsia="zh-CN"/>
        </w:rPr>
        <w:t>3</w:t>
      </w:r>
      <w:r>
        <w:rPr>
          <w:rFonts w:hint="default" w:ascii="Times New Roman" w:hAnsi="Times New Roman" w:cs="Times New Roman"/>
          <w:color w:val="auto"/>
          <w:sz w:val="21"/>
          <w:szCs w:val="21"/>
          <w:highlight w:val="none"/>
        </w:rPr>
        <w:t>-</w:t>
      </w:r>
      <w:r>
        <w:rPr>
          <w:rFonts w:hint="eastAsia" w:cs="Times New Roman"/>
          <w:color w:val="auto"/>
          <w:sz w:val="21"/>
          <w:szCs w:val="21"/>
          <w:highlight w:val="none"/>
          <w:lang w:val="en-US" w:eastAsia="zh-CN"/>
        </w:rPr>
        <w:t>2</w:t>
      </w:r>
      <w:r>
        <w:rPr>
          <w:rFonts w:hint="default" w:ascii="Times New Roman" w:hAnsi="Times New Roman" w:cs="Times New Roman"/>
          <w:color w:val="auto"/>
          <w:sz w:val="21"/>
          <w:szCs w:val="21"/>
          <w:highlight w:val="none"/>
        </w:rPr>
        <w:t xml:space="preserve"> 湖仓一体底座</w:t>
      </w:r>
      <w:r>
        <w:rPr>
          <w:rFonts w:hint="eastAsia" w:ascii="Times New Roman" w:hAnsi="Times New Roman" w:cs="Times New Roman"/>
          <w:color w:val="auto"/>
          <w:sz w:val="21"/>
          <w:szCs w:val="21"/>
          <w:highlight w:val="none"/>
          <w:lang w:val="en-US" w:eastAsia="zh-CN"/>
        </w:rPr>
        <w:t>性能指标</w:t>
      </w:r>
    </w:p>
    <w:tbl>
      <w:tblPr>
        <w:tblStyle w:val="22"/>
        <w:tblW w:w="408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40"/>
        <w:gridCol w:w="3308"/>
        <w:gridCol w:w="2020"/>
      </w:tblGrid>
      <w:tr w14:paraId="73FDB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76" w:type="pct"/>
            <w:tcBorders>
              <w:top w:val="single" w:color="auto" w:sz="6" w:space="0"/>
              <w:left w:val="single" w:color="auto" w:sz="6" w:space="0"/>
              <w:bottom w:val="single" w:color="auto" w:sz="6" w:space="0"/>
              <w:right w:val="single" w:color="auto" w:sz="6" w:space="0"/>
              <w:tl2br w:val="nil"/>
              <w:tr2bl w:val="nil"/>
            </w:tcBorders>
            <w:shd w:val="clear" w:color="auto" w:fill="D8D8D8"/>
            <w:noWrap/>
            <w:vAlign w:val="center"/>
          </w:tcPr>
          <w:p w14:paraId="40B41720">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eastAsia" w:ascii="Times New Roman" w:hAnsi="Times New Roman" w:cs="Times New Roman"/>
                <w:b/>
                <w:bCs/>
                <w:color w:val="auto"/>
                <w:sz w:val="21"/>
                <w:szCs w:val="21"/>
                <w:highlight w:val="none"/>
                <w:lang w:val="en-US" w:eastAsia="zh-CN"/>
              </w:rPr>
              <w:t>大类</w:t>
            </w:r>
          </w:p>
        </w:tc>
        <w:tc>
          <w:tcPr>
            <w:tcW w:w="2373" w:type="pct"/>
            <w:tcBorders>
              <w:top w:val="single" w:color="auto" w:sz="6" w:space="0"/>
              <w:left w:val="single" w:color="auto" w:sz="6" w:space="0"/>
              <w:bottom w:val="single" w:color="auto" w:sz="6" w:space="0"/>
              <w:right w:val="single" w:color="auto" w:sz="6" w:space="0"/>
              <w:tl2br w:val="nil"/>
              <w:tr2bl w:val="nil"/>
            </w:tcBorders>
            <w:shd w:val="clear" w:color="auto" w:fill="D8D8D8"/>
            <w:noWrap/>
            <w:vAlign w:val="center"/>
          </w:tcPr>
          <w:p w14:paraId="34591DF7">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eastAsia" w:ascii="Times New Roman" w:hAnsi="Times New Roman" w:cs="Times New Roman"/>
                <w:b/>
                <w:bCs/>
                <w:color w:val="auto"/>
                <w:sz w:val="21"/>
                <w:szCs w:val="21"/>
                <w:highlight w:val="none"/>
                <w:lang w:val="en-US" w:eastAsia="zh-CN"/>
              </w:rPr>
              <w:t>性能指标</w:t>
            </w:r>
          </w:p>
        </w:tc>
        <w:tc>
          <w:tcPr>
            <w:tcW w:w="1449" w:type="pct"/>
            <w:tcBorders>
              <w:top w:val="single" w:color="auto" w:sz="6" w:space="0"/>
              <w:left w:val="single" w:color="auto" w:sz="6" w:space="0"/>
              <w:bottom w:val="single" w:color="auto" w:sz="6" w:space="0"/>
              <w:right w:val="single" w:color="auto" w:sz="6" w:space="0"/>
              <w:tl2br w:val="nil"/>
              <w:tr2bl w:val="nil"/>
            </w:tcBorders>
            <w:shd w:val="clear" w:color="auto" w:fill="D8D8D8"/>
            <w:noWrap/>
            <w:vAlign w:val="center"/>
          </w:tcPr>
          <w:p w14:paraId="547DCC51">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eastAsia" w:ascii="Times New Roman" w:hAnsi="Times New Roman" w:cs="Times New Roman"/>
                <w:b/>
                <w:bCs/>
                <w:color w:val="auto"/>
                <w:sz w:val="21"/>
                <w:szCs w:val="21"/>
                <w:highlight w:val="none"/>
                <w:lang w:val="en-US" w:eastAsia="zh-CN"/>
              </w:rPr>
              <w:t>指标值</w:t>
            </w:r>
          </w:p>
        </w:tc>
      </w:tr>
      <w:tr w14:paraId="4A0FF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76" w:type="pct"/>
            <w:vMerge w:val="restart"/>
            <w:tcBorders>
              <w:top w:val="single" w:color="auto" w:sz="6" w:space="0"/>
              <w:left w:val="single" w:color="auto" w:sz="6" w:space="0"/>
              <w:right w:val="single" w:color="auto" w:sz="6" w:space="0"/>
              <w:tl2br w:val="nil"/>
              <w:tr2bl w:val="nil"/>
            </w:tcBorders>
            <w:noWrap/>
            <w:vAlign w:val="center"/>
          </w:tcPr>
          <w:p w14:paraId="55C2FE91">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性能指标</w:t>
            </w:r>
          </w:p>
        </w:tc>
        <w:tc>
          <w:tcPr>
            <w:tcW w:w="2373" w:type="pct"/>
            <w:tcBorders>
              <w:top w:val="single" w:color="auto" w:sz="6" w:space="0"/>
              <w:left w:val="single" w:color="auto" w:sz="6" w:space="0"/>
              <w:bottom w:val="single" w:color="auto" w:sz="6" w:space="0"/>
              <w:right w:val="single" w:color="auto" w:sz="6" w:space="0"/>
              <w:tl2br w:val="nil"/>
              <w:tr2bl w:val="nil"/>
            </w:tcBorders>
            <w:noWrap/>
            <w:vAlign w:val="center"/>
          </w:tcPr>
          <w:p w14:paraId="2AAD6E7B">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系统处理能力（TPS）</w:t>
            </w:r>
          </w:p>
        </w:tc>
        <w:tc>
          <w:tcPr>
            <w:tcW w:w="1449" w:type="pct"/>
            <w:tcBorders>
              <w:top w:val="single" w:color="auto" w:sz="6" w:space="0"/>
              <w:left w:val="single" w:color="auto" w:sz="6" w:space="0"/>
              <w:bottom w:val="single" w:color="auto" w:sz="6" w:space="0"/>
              <w:right w:val="single" w:color="auto" w:sz="6" w:space="0"/>
              <w:tl2br w:val="nil"/>
              <w:tr2bl w:val="nil"/>
            </w:tcBorders>
            <w:noWrap/>
            <w:vAlign w:val="center"/>
          </w:tcPr>
          <w:p w14:paraId="7834FCB4">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&gt;=</w:t>
            </w:r>
            <w:r>
              <w:rPr>
                <w:rFonts w:hint="eastAsia" w:ascii="Times New Roman" w:hAnsi="Times New Roman"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val="en-US" w:eastAsia="zh-CN"/>
              </w:rPr>
              <w:t>000笔/秒</w:t>
            </w:r>
          </w:p>
        </w:tc>
      </w:tr>
      <w:tr w14:paraId="35231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76" w:type="pct"/>
            <w:vMerge w:val="continue"/>
            <w:tcBorders>
              <w:left w:val="single" w:color="auto" w:sz="6" w:space="0"/>
              <w:right w:val="single" w:color="auto" w:sz="6" w:space="0"/>
              <w:tl2br w:val="nil"/>
              <w:tr2bl w:val="nil"/>
            </w:tcBorders>
            <w:noWrap/>
            <w:vAlign w:val="center"/>
          </w:tcPr>
          <w:p w14:paraId="1FB72CF0">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p>
        </w:tc>
        <w:tc>
          <w:tcPr>
            <w:tcW w:w="2373" w:type="pct"/>
            <w:tcBorders>
              <w:top w:val="single" w:color="auto" w:sz="6" w:space="0"/>
              <w:left w:val="single" w:color="auto" w:sz="6" w:space="0"/>
              <w:bottom w:val="single" w:color="auto" w:sz="6" w:space="0"/>
              <w:right w:val="single" w:color="auto" w:sz="6" w:space="0"/>
              <w:tl2br w:val="nil"/>
              <w:tr2bl w:val="nil"/>
            </w:tcBorders>
            <w:noWrap/>
            <w:vAlign w:val="center"/>
          </w:tcPr>
          <w:p w14:paraId="7C03B389">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系统处理能力（</w:t>
            </w:r>
            <w:r>
              <w:rPr>
                <w:rFonts w:hint="eastAsia" w:ascii="Times New Roman" w:hAnsi="Times New Roman" w:cs="Times New Roman"/>
                <w:color w:val="auto"/>
                <w:sz w:val="21"/>
                <w:szCs w:val="21"/>
                <w:highlight w:val="none"/>
                <w:lang w:val="en-US" w:eastAsia="zh-CN"/>
              </w:rPr>
              <w:t>Q</w:t>
            </w:r>
            <w:r>
              <w:rPr>
                <w:rFonts w:hint="default" w:ascii="Times New Roman" w:hAnsi="Times New Roman" w:eastAsia="宋体" w:cs="Times New Roman"/>
                <w:color w:val="auto"/>
                <w:sz w:val="21"/>
                <w:szCs w:val="21"/>
                <w:highlight w:val="none"/>
                <w:lang w:val="en-US" w:eastAsia="zh-CN"/>
              </w:rPr>
              <w:t>PS）</w:t>
            </w:r>
          </w:p>
        </w:tc>
        <w:tc>
          <w:tcPr>
            <w:tcW w:w="1449" w:type="pct"/>
            <w:tcBorders>
              <w:top w:val="single" w:color="auto" w:sz="6" w:space="0"/>
              <w:left w:val="single" w:color="auto" w:sz="6" w:space="0"/>
              <w:bottom w:val="single" w:color="auto" w:sz="6" w:space="0"/>
              <w:right w:val="single" w:color="auto" w:sz="6" w:space="0"/>
              <w:tl2br w:val="nil"/>
              <w:tr2bl w:val="nil"/>
            </w:tcBorders>
            <w:noWrap/>
            <w:vAlign w:val="center"/>
          </w:tcPr>
          <w:p w14:paraId="3C0D1DD6">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left"/>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&gt;=3000次/秒</w:t>
            </w:r>
          </w:p>
        </w:tc>
      </w:tr>
      <w:tr w14:paraId="5D06F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76" w:type="pct"/>
            <w:vMerge w:val="continue"/>
            <w:tcBorders>
              <w:left w:val="single" w:color="auto" w:sz="6" w:space="0"/>
              <w:right w:val="single" w:color="auto" w:sz="6" w:space="0"/>
              <w:tl2br w:val="nil"/>
              <w:tr2bl w:val="nil"/>
            </w:tcBorders>
            <w:noWrap/>
            <w:vAlign w:val="center"/>
          </w:tcPr>
          <w:p w14:paraId="77D0A936">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2373" w:type="pct"/>
            <w:tcBorders>
              <w:top w:val="single" w:color="auto" w:sz="6" w:space="0"/>
              <w:left w:val="single" w:color="auto" w:sz="6" w:space="0"/>
              <w:bottom w:val="single" w:color="auto" w:sz="6" w:space="0"/>
              <w:right w:val="single" w:color="auto" w:sz="6" w:space="0"/>
              <w:tl2br w:val="nil"/>
              <w:tr2bl w:val="nil"/>
            </w:tcBorders>
            <w:noWrap/>
            <w:vAlign w:val="center"/>
          </w:tcPr>
          <w:p w14:paraId="762619EA">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批量</w:t>
            </w:r>
            <w:r>
              <w:rPr>
                <w:rFonts w:hint="eastAsia" w:ascii="Times New Roman" w:hAnsi="Times New Roman" w:cs="Times New Roman"/>
                <w:color w:val="auto"/>
                <w:sz w:val="21"/>
                <w:szCs w:val="21"/>
                <w:highlight w:val="none"/>
                <w:lang w:val="en-US" w:eastAsia="zh-CN"/>
              </w:rPr>
              <w:t>完成时间</w:t>
            </w:r>
          </w:p>
        </w:tc>
        <w:tc>
          <w:tcPr>
            <w:tcW w:w="1449" w:type="pct"/>
            <w:tcBorders>
              <w:top w:val="single" w:color="auto" w:sz="6" w:space="0"/>
              <w:left w:val="single" w:color="auto" w:sz="6" w:space="0"/>
              <w:bottom w:val="single" w:color="auto" w:sz="6" w:space="0"/>
              <w:right w:val="single" w:color="auto" w:sz="6" w:space="0"/>
              <w:tl2br w:val="nil"/>
              <w:tr2bl w:val="nil"/>
            </w:tcBorders>
            <w:noWrap/>
            <w:vAlign w:val="center"/>
          </w:tcPr>
          <w:p w14:paraId="77CF02BA">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left"/>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每日8:00前</w:t>
            </w:r>
          </w:p>
        </w:tc>
      </w:tr>
      <w:tr w14:paraId="570DB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76" w:type="pct"/>
            <w:vMerge w:val="continue"/>
            <w:tcBorders>
              <w:left w:val="single" w:color="auto" w:sz="6" w:space="0"/>
              <w:bottom w:val="single" w:color="auto" w:sz="6" w:space="0"/>
              <w:right w:val="single" w:color="auto" w:sz="6" w:space="0"/>
              <w:tl2br w:val="nil"/>
              <w:tr2bl w:val="nil"/>
            </w:tcBorders>
            <w:noWrap/>
            <w:vAlign w:val="center"/>
          </w:tcPr>
          <w:p w14:paraId="32C6BD37">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2373" w:type="pct"/>
            <w:tcBorders>
              <w:top w:val="single" w:color="auto" w:sz="6" w:space="0"/>
              <w:left w:val="single" w:color="auto" w:sz="6" w:space="0"/>
              <w:bottom w:val="single" w:color="auto" w:sz="6" w:space="0"/>
              <w:right w:val="single" w:color="auto" w:sz="6" w:space="0"/>
              <w:tl2br w:val="nil"/>
              <w:tr2bl w:val="nil"/>
            </w:tcBorders>
            <w:noWrap/>
            <w:vAlign w:val="center"/>
          </w:tcPr>
          <w:p w14:paraId="38D8A3F7">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left"/>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单个批量任务执行时间</w:t>
            </w:r>
          </w:p>
        </w:tc>
        <w:tc>
          <w:tcPr>
            <w:tcW w:w="1449" w:type="pct"/>
            <w:tcBorders>
              <w:top w:val="single" w:color="auto" w:sz="6" w:space="0"/>
              <w:left w:val="single" w:color="auto" w:sz="6" w:space="0"/>
              <w:bottom w:val="single" w:color="auto" w:sz="6" w:space="0"/>
              <w:right w:val="single" w:color="auto" w:sz="6" w:space="0"/>
              <w:tl2br w:val="nil"/>
              <w:tr2bl w:val="nil"/>
            </w:tcBorders>
            <w:noWrap/>
            <w:vAlign w:val="center"/>
          </w:tcPr>
          <w:p w14:paraId="0D2FA38E">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left"/>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&lt;=30分钟</w:t>
            </w:r>
          </w:p>
        </w:tc>
      </w:tr>
      <w:tr w14:paraId="192CC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76" w:type="pct"/>
            <w:vMerge w:val="continue"/>
            <w:tcBorders>
              <w:left w:val="single" w:color="auto" w:sz="6" w:space="0"/>
              <w:bottom w:val="single" w:color="auto" w:sz="6" w:space="0"/>
              <w:right w:val="single" w:color="auto" w:sz="6" w:space="0"/>
              <w:tl2br w:val="nil"/>
              <w:tr2bl w:val="nil"/>
            </w:tcBorders>
            <w:noWrap/>
            <w:vAlign w:val="center"/>
          </w:tcPr>
          <w:p w14:paraId="2FB1F762">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2373" w:type="pct"/>
            <w:tcBorders>
              <w:top w:val="single" w:color="auto" w:sz="6" w:space="0"/>
              <w:left w:val="single" w:color="auto" w:sz="6" w:space="0"/>
              <w:bottom w:val="single" w:color="auto" w:sz="6" w:space="0"/>
              <w:right w:val="single" w:color="auto" w:sz="6" w:space="0"/>
              <w:tl2br w:val="nil"/>
              <w:tr2bl w:val="nil"/>
            </w:tcBorders>
            <w:noWrap/>
            <w:vAlign w:val="center"/>
          </w:tcPr>
          <w:p w14:paraId="143DFC5E">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交易成功率</w:t>
            </w:r>
          </w:p>
        </w:tc>
        <w:tc>
          <w:tcPr>
            <w:tcW w:w="1449" w:type="pct"/>
            <w:tcBorders>
              <w:top w:val="single" w:color="auto" w:sz="6" w:space="0"/>
              <w:left w:val="single" w:color="auto" w:sz="6" w:space="0"/>
              <w:bottom w:val="single" w:color="auto" w:sz="6" w:space="0"/>
              <w:right w:val="single" w:color="auto" w:sz="6" w:space="0"/>
              <w:tl2br w:val="nil"/>
              <w:tr2bl w:val="nil"/>
            </w:tcBorders>
            <w:noWrap/>
            <w:vAlign w:val="center"/>
          </w:tcPr>
          <w:p w14:paraId="4A15FD9A">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left"/>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&gt;=99.9%</w:t>
            </w:r>
          </w:p>
        </w:tc>
      </w:tr>
      <w:tr w14:paraId="15DC1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76"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52E7ED7C">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稳定性</w:t>
            </w:r>
            <w:r>
              <w:rPr>
                <w:rFonts w:hint="eastAsia" w:ascii="Times New Roman" w:hAnsi="Times New Roman" w:cs="Times New Roman"/>
                <w:color w:val="auto"/>
                <w:sz w:val="21"/>
                <w:szCs w:val="21"/>
                <w:highlight w:val="none"/>
                <w:lang w:val="en-US" w:eastAsia="zh-CN"/>
              </w:rPr>
              <w:t>指标</w:t>
            </w:r>
          </w:p>
        </w:tc>
        <w:tc>
          <w:tcPr>
            <w:tcW w:w="2373" w:type="pct"/>
            <w:tcBorders>
              <w:top w:val="single" w:color="auto" w:sz="6" w:space="0"/>
              <w:left w:val="single" w:color="auto" w:sz="6" w:space="0"/>
              <w:bottom w:val="single" w:color="auto" w:sz="6" w:space="0"/>
              <w:right w:val="single" w:color="auto" w:sz="6" w:space="0"/>
              <w:tl2br w:val="nil"/>
              <w:tr2bl w:val="nil"/>
            </w:tcBorders>
            <w:noWrap/>
            <w:vAlign w:val="center"/>
          </w:tcPr>
          <w:p w14:paraId="401B49EC">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稳定运行时间</w:t>
            </w:r>
          </w:p>
        </w:tc>
        <w:tc>
          <w:tcPr>
            <w:tcW w:w="1449" w:type="pct"/>
            <w:tcBorders>
              <w:top w:val="single" w:color="auto" w:sz="6" w:space="0"/>
              <w:left w:val="single" w:color="auto" w:sz="6" w:space="0"/>
              <w:bottom w:val="single" w:color="auto" w:sz="6" w:space="0"/>
              <w:right w:val="single" w:color="auto" w:sz="6" w:space="0"/>
              <w:tl2br w:val="nil"/>
              <w:tr2bl w:val="nil"/>
            </w:tcBorders>
            <w:noWrap/>
            <w:vAlign w:val="center"/>
          </w:tcPr>
          <w:p w14:paraId="5EA77349">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7</w:t>
            </w:r>
            <w:r>
              <w:rPr>
                <w:rFonts w:hint="eastAsia" w:ascii="Times New Roman" w:hAnsi="Times New Roman"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24小时</w:t>
            </w:r>
          </w:p>
        </w:tc>
      </w:tr>
      <w:tr w14:paraId="60688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76"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5BB2967">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2373" w:type="pct"/>
            <w:tcBorders>
              <w:top w:val="single" w:color="auto" w:sz="6" w:space="0"/>
              <w:left w:val="single" w:color="auto" w:sz="6" w:space="0"/>
              <w:bottom w:val="single" w:color="auto" w:sz="6" w:space="0"/>
              <w:right w:val="single" w:color="auto" w:sz="6" w:space="0"/>
              <w:tl2br w:val="nil"/>
              <w:tr2bl w:val="nil"/>
            </w:tcBorders>
            <w:noWrap/>
            <w:vAlign w:val="center"/>
          </w:tcPr>
          <w:p w14:paraId="2235D550">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成功率</w:t>
            </w:r>
          </w:p>
        </w:tc>
        <w:tc>
          <w:tcPr>
            <w:tcW w:w="1449" w:type="pct"/>
            <w:tcBorders>
              <w:top w:val="single" w:color="auto" w:sz="6" w:space="0"/>
              <w:left w:val="single" w:color="auto" w:sz="6" w:space="0"/>
              <w:bottom w:val="single" w:color="auto" w:sz="6" w:space="0"/>
              <w:right w:val="single" w:color="auto" w:sz="6" w:space="0"/>
              <w:tl2br w:val="nil"/>
              <w:tr2bl w:val="nil"/>
            </w:tcBorders>
            <w:noWrap/>
            <w:vAlign w:val="center"/>
          </w:tcPr>
          <w:p w14:paraId="7D008224">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&gt;=99.9%</w:t>
            </w:r>
          </w:p>
        </w:tc>
      </w:tr>
      <w:tr w14:paraId="21827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76"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5E8538CE">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系统资源</w:t>
            </w:r>
            <w:r>
              <w:rPr>
                <w:rFonts w:hint="eastAsia" w:ascii="Times New Roman" w:hAnsi="Times New Roman" w:cs="Times New Roman"/>
                <w:color w:val="auto"/>
                <w:sz w:val="21"/>
                <w:szCs w:val="21"/>
                <w:highlight w:val="none"/>
                <w:lang w:val="en-US" w:eastAsia="zh-CN"/>
              </w:rPr>
              <w:t>指标</w:t>
            </w:r>
          </w:p>
        </w:tc>
        <w:tc>
          <w:tcPr>
            <w:tcW w:w="2373" w:type="pct"/>
            <w:tcBorders>
              <w:top w:val="single" w:color="auto" w:sz="6" w:space="0"/>
              <w:left w:val="single" w:color="auto" w:sz="6" w:space="0"/>
              <w:bottom w:val="single" w:color="auto" w:sz="6" w:space="0"/>
              <w:right w:val="single" w:color="auto" w:sz="6" w:space="0"/>
              <w:tl2br w:val="nil"/>
              <w:tr2bl w:val="nil"/>
            </w:tcBorders>
            <w:noWrap/>
            <w:vAlign w:val="center"/>
          </w:tcPr>
          <w:p w14:paraId="1AAE67A0">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left"/>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峰值</w:t>
            </w:r>
            <w:r>
              <w:rPr>
                <w:rFonts w:hint="default" w:ascii="Times New Roman" w:hAnsi="Times New Roman" w:eastAsia="宋体" w:cs="Times New Roman"/>
                <w:color w:val="auto"/>
                <w:sz w:val="21"/>
                <w:szCs w:val="21"/>
                <w:highlight w:val="none"/>
                <w:lang w:val="en-US" w:eastAsia="zh-CN"/>
              </w:rPr>
              <w:t>CPU使用率</w:t>
            </w:r>
          </w:p>
        </w:tc>
        <w:tc>
          <w:tcPr>
            <w:tcW w:w="1449" w:type="pct"/>
            <w:tcBorders>
              <w:top w:val="single" w:color="auto" w:sz="6" w:space="0"/>
              <w:left w:val="single" w:color="auto" w:sz="6" w:space="0"/>
              <w:bottom w:val="single" w:color="auto" w:sz="6" w:space="0"/>
              <w:right w:val="single" w:color="auto" w:sz="6" w:space="0"/>
              <w:tl2br w:val="nil"/>
              <w:tr2bl w:val="nil"/>
            </w:tcBorders>
            <w:noWrap/>
            <w:vAlign w:val="center"/>
          </w:tcPr>
          <w:p w14:paraId="0E7687EB">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&lt;=7</w:t>
            </w:r>
            <w:r>
              <w:rPr>
                <w:rFonts w:hint="eastAsia" w:ascii="Times New Roman" w:hAnsi="Times New Roman" w:cs="Times New Roman"/>
                <w:color w:val="auto"/>
                <w:sz w:val="21"/>
                <w:szCs w:val="21"/>
                <w:highlight w:val="none"/>
                <w:lang w:val="en-US" w:eastAsia="zh-CN"/>
              </w:rPr>
              <w:t>0</w:t>
            </w:r>
            <w:r>
              <w:rPr>
                <w:rFonts w:hint="default" w:ascii="Times New Roman" w:hAnsi="Times New Roman" w:eastAsia="宋体" w:cs="Times New Roman"/>
                <w:color w:val="auto"/>
                <w:sz w:val="21"/>
                <w:szCs w:val="21"/>
                <w:highlight w:val="none"/>
                <w:lang w:val="en-US" w:eastAsia="zh-CN"/>
              </w:rPr>
              <w:t>%</w:t>
            </w:r>
          </w:p>
        </w:tc>
      </w:tr>
      <w:tr w14:paraId="08731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76"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AC6DEC0">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left"/>
              <w:textAlignment w:val="auto"/>
              <w:rPr>
                <w:rFonts w:hint="default" w:ascii="Times New Roman" w:hAnsi="Times New Roman" w:eastAsia="宋体" w:cs="Times New Roman"/>
                <w:color w:val="auto"/>
                <w:sz w:val="21"/>
                <w:szCs w:val="21"/>
                <w:highlight w:val="none"/>
                <w:lang w:val="en-US" w:eastAsia="zh-CN"/>
              </w:rPr>
            </w:pPr>
          </w:p>
        </w:tc>
        <w:tc>
          <w:tcPr>
            <w:tcW w:w="2373" w:type="pct"/>
            <w:tcBorders>
              <w:top w:val="single" w:color="auto" w:sz="6" w:space="0"/>
              <w:left w:val="single" w:color="auto" w:sz="6" w:space="0"/>
              <w:bottom w:val="single" w:color="auto" w:sz="6" w:space="0"/>
              <w:right w:val="single" w:color="auto" w:sz="6" w:space="0"/>
              <w:tl2br w:val="nil"/>
              <w:tr2bl w:val="nil"/>
            </w:tcBorders>
            <w:noWrap/>
            <w:vAlign w:val="center"/>
          </w:tcPr>
          <w:p w14:paraId="11315AB7">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left"/>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峰值</w:t>
            </w:r>
            <w:r>
              <w:rPr>
                <w:rFonts w:hint="default" w:ascii="Times New Roman" w:hAnsi="Times New Roman" w:eastAsia="宋体" w:cs="Times New Roman"/>
                <w:color w:val="auto"/>
                <w:sz w:val="21"/>
                <w:szCs w:val="21"/>
                <w:highlight w:val="none"/>
                <w:lang w:val="en-US" w:eastAsia="zh-CN"/>
              </w:rPr>
              <w:t>磁盘繁忙率</w:t>
            </w:r>
          </w:p>
        </w:tc>
        <w:tc>
          <w:tcPr>
            <w:tcW w:w="1449" w:type="pct"/>
            <w:tcBorders>
              <w:top w:val="single" w:color="auto" w:sz="6" w:space="0"/>
              <w:left w:val="single" w:color="auto" w:sz="6" w:space="0"/>
              <w:bottom w:val="single" w:color="auto" w:sz="6" w:space="0"/>
              <w:right w:val="single" w:color="auto" w:sz="6" w:space="0"/>
              <w:tl2br w:val="nil"/>
              <w:tr2bl w:val="nil"/>
            </w:tcBorders>
            <w:noWrap/>
            <w:vAlign w:val="center"/>
          </w:tcPr>
          <w:p w14:paraId="69913D00">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&lt;=7</w:t>
            </w:r>
            <w:r>
              <w:rPr>
                <w:rFonts w:hint="eastAsia" w:ascii="Times New Roman" w:hAnsi="Times New Roman" w:cs="Times New Roman"/>
                <w:color w:val="auto"/>
                <w:sz w:val="21"/>
                <w:szCs w:val="21"/>
                <w:highlight w:val="none"/>
                <w:lang w:val="en-US" w:eastAsia="zh-CN"/>
              </w:rPr>
              <w:t>0</w:t>
            </w:r>
            <w:r>
              <w:rPr>
                <w:rFonts w:hint="default" w:ascii="Times New Roman" w:hAnsi="Times New Roman" w:eastAsia="宋体" w:cs="Times New Roman"/>
                <w:color w:val="auto"/>
                <w:sz w:val="21"/>
                <w:szCs w:val="21"/>
                <w:highlight w:val="none"/>
                <w:lang w:val="en-US" w:eastAsia="zh-CN"/>
              </w:rPr>
              <w:t>%</w:t>
            </w:r>
          </w:p>
        </w:tc>
      </w:tr>
      <w:tr w14:paraId="177B2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76"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B0066D2">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left"/>
              <w:textAlignment w:val="auto"/>
              <w:rPr>
                <w:rFonts w:hint="default" w:ascii="Times New Roman" w:hAnsi="Times New Roman" w:eastAsia="宋体" w:cs="Times New Roman"/>
                <w:color w:val="auto"/>
                <w:sz w:val="21"/>
                <w:szCs w:val="21"/>
                <w:highlight w:val="none"/>
                <w:lang w:val="en-US" w:eastAsia="zh-CN"/>
              </w:rPr>
            </w:pPr>
          </w:p>
        </w:tc>
        <w:tc>
          <w:tcPr>
            <w:tcW w:w="2373" w:type="pct"/>
            <w:tcBorders>
              <w:top w:val="single" w:color="auto" w:sz="6" w:space="0"/>
              <w:left w:val="single" w:color="auto" w:sz="6" w:space="0"/>
              <w:bottom w:val="single" w:color="auto" w:sz="6" w:space="0"/>
              <w:right w:val="single" w:color="auto" w:sz="6" w:space="0"/>
              <w:tl2br w:val="nil"/>
              <w:tr2bl w:val="nil"/>
            </w:tcBorders>
            <w:noWrap/>
            <w:vAlign w:val="center"/>
          </w:tcPr>
          <w:p w14:paraId="45B9C61A">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left"/>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峰值</w:t>
            </w:r>
            <w:r>
              <w:rPr>
                <w:rFonts w:hint="default" w:ascii="Times New Roman" w:hAnsi="Times New Roman" w:eastAsia="宋体" w:cs="Times New Roman"/>
                <w:color w:val="auto"/>
                <w:sz w:val="21"/>
                <w:szCs w:val="21"/>
                <w:highlight w:val="none"/>
                <w:lang w:val="en-US" w:eastAsia="zh-CN"/>
              </w:rPr>
              <w:t>内存使用率</w:t>
            </w:r>
          </w:p>
        </w:tc>
        <w:tc>
          <w:tcPr>
            <w:tcW w:w="1449" w:type="pct"/>
            <w:tcBorders>
              <w:top w:val="single" w:color="auto" w:sz="6" w:space="0"/>
              <w:left w:val="single" w:color="auto" w:sz="6" w:space="0"/>
              <w:bottom w:val="single" w:color="auto" w:sz="6" w:space="0"/>
              <w:right w:val="single" w:color="auto" w:sz="6" w:space="0"/>
              <w:tl2br w:val="nil"/>
              <w:tr2bl w:val="nil"/>
            </w:tcBorders>
            <w:noWrap/>
            <w:vAlign w:val="center"/>
          </w:tcPr>
          <w:p w14:paraId="790BBA62">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&lt;=7</w:t>
            </w:r>
            <w:r>
              <w:rPr>
                <w:rFonts w:hint="eastAsia" w:ascii="Times New Roman" w:hAnsi="Times New Roman" w:cs="Times New Roman"/>
                <w:color w:val="auto"/>
                <w:sz w:val="21"/>
                <w:szCs w:val="21"/>
                <w:highlight w:val="none"/>
                <w:lang w:val="en-US" w:eastAsia="zh-CN"/>
              </w:rPr>
              <w:t>0</w:t>
            </w:r>
            <w:r>
              <w:rPr>
                <w:rFonts w:hint="default" w:ascii="Times New Roman" w:hAnsi="Times New Roman" w:eastAsia="宋体" w:cs="Times New Roman"/>
                <w:color w:val="auto"/>
                <w:sz w:val="21"/>
                <w:szCs w:val="21"/>
                <w:highlight w:val="none"/>
                <w:lang w:val="en-US" w:eastAsia="zh-CN"/>
              </w:rPr>
              <w:t>%</w:t>
            </w:r>
          </w:p>
        </w:tc>
      </w:tr>
    </w:tbl>
    <w:p w14:paraId="1C157F44">
      <w:pPr>
        <w:rPr>
          <w:rFonts w:hint="default"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（3）节点要求</w:t>
      </w:r>
    </w:p>
    <w:p w14:paraId="4CFA7990">
      <w:pPr>
        <w:rPr>
          <w:rFonts w:hint="eastAsia"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在保证系统的稳定性、安全性、可靠性、易扩展、易升级、易操作、易维护等特性</w:t>
      </w:r>
      <w:r>
        <w:rPr>
          <w:rFonts w:hint="eastAsia" w:ascii="Times New Roman" w:hAnsi="Times New Roman" w:cs="Times New Roman"/>
          <w:color w:val="auto"/>
          <w:highlight w:val="none"/>
          <w:lang w:val="en-US" w:eastAsia="zh-CN"/>
        </w:rPr>
        <w:t>前提下</w:t>
      </w:r>
      <w:r>
        <w:rPr>
          <w:rFonts w:hint="default" w:ascii="Times New Roman" w:hAnsi="Times New Roman" w:cs="Times New Roman"/>
          <w:color w:val="auto"/>
          <w:highlight w:val="none"/>
          <w:lang w:val="en-US" w:eastAsia="zh-CN"/>
        </w:rPr>
        <w:t>，满足相应的高性能、开放性、兼容性等要求，规划包括开发环境</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DEV</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 xml:space="preserve">、集成测试环境 </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SIT</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、用户验收测试环境</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UA</w:t>
      </w:r>
      <w:r>
        <w:rPr>
          <w:rFonts w:hint="eastAsia" w:ascii="Times New Roman" w:hAnsi="Times New Roman" w:cs="Times New Roman"/>
          <w:color w:val="auto"/>
          <w:highlight w:val="none"/>
          <w:lang w:val="en-US" w:eastAsia="zh-CN"/>
        </w:rPr>
        <w:t>T）</w:t>
      </w:r>
      <w:r>
        <w:rPr>
          <w:rFonts w:hint="default" w:ascii="Times New Roman" w:hAnsi="Times New Roman" w:cs="Times New Roman"/>
          <w:color w:val="auto"/>
          <w:highlight w:val="none"/>
          <w:lang w:val="en-US" w:eastAsia="zh-CN"/>
        </w:rPr>
        <w:t>、生产环境（PRD）、灾备环境（DR）共计5套运行环境。各环境的具体授权节点数量最低要求如表3-</w:t>
      </w:r>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lang w:val="en-US" w:eastAsia="zh-CN"/>
        </w:rPr>
        <w:t>所示</w:t>
      </w:r>
      <w:r>
        <w:rPr>
          <w:rFonts w:hint="eastAsia" w:ascii="Times New Roman" w:hAnsi="Times New Roman" w:cs="Times New Roman"/>
          <w:color w:val="auto"/>
          <w:highlight w:val="none"/>
          <w:lang w:val="en-US" w:eastAsia="zh-CN"/>
        </w:rPr>
        <w:t>：</w:t>
      </w:r>
    </w:p>
    <w:p w14:paraId="707EC716">
      <w:pPr>
        <w:pStyle w:val="9"/>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sz w:val="21"/>
          <w:szCs w:val="21"/>
          <w:highlight w:val="none"/>
        </w:rPr>
        <w:t>表</w:t>
      </w:r>
      <w:r>
        <w:rPr>
          <w:rFonts w:hint="default" w:ascii="Times New Roman" w:hAnsi="Times New Roman" w:cs="Times New Roman"/>
          <w:color w:val="auto"/>
          <w:sz w:val="21"/>
          <w:szCs w:val="21"/>
          <w:highlight w:val="none"/>
          <w:lang w:val="en-US" w:eastAsia="zh-CN"/>
        </w:rPr>
        <w:t>3</w:t>
      </w:r>
      <w:r>
        <w:rPr>
          <w:rFonts w:hint="default" w:ascii="Times New Roman" w:hAnsi="Times New Roman" w:cs="Times New Roman"/>
          <w:color w:val="auto"/>
          <w:sz w:val="21"/>
          <w:szCs w:val="21"/>
          <w:highlight w:val="none"/>
        </w:rPr>
        <w:t>-</w:t>
      </w:r>
      <w:r>
        <w:rPr>
          <w:rFonts w:hint="eastAsia" w:cs="Times New Roman"/>
          <w:color w:val="auto"/>
          <w:sz w:val="21"/>
          <w:szCs w:val="21"/>
          <w:highlight w:val="none"/>
          <w:lang w:val="en-US" w:eastAsia="zh-CN"/>
        </w:rPr>
        <w:t>3</w:t>
      </w:r>
      <w:r>
        <w:rPr>
          <w:rFonts w:hint="default" w:ascii="Times New Roman" w:hAnsi="Times New Roman" w:cs="Times New Roman"/>
          <w:color w:val="auto"/>
          <w:sz w:val="21"/>
          <w:szCs w:val="21"/>
          <w:highlight w:val="none"/>
        </w:rPr>
        <w:t xml:space="preserve"> 湖仓一体底座</w:t>
      </w:r>
      <w:r>
        <w:rPr>
          <w:rFonts w:hint="eastAsia" w:ascii="Times New Roman" w:hAnsi="Times New Roman" w:cs="Times New Roman"/>
          <w:color w:val="auto"/>
          <w:sz w:val="21"/>
          <w:szCs w:val="21"/>
          <w:highlight w:val="none"/>
          <w:lang w:val="en-US" w:eastAsia="zh-CN"/>
        </w:rPr>
        <w:t>节点授权数量明细表</w:t>
      </w:r>
    </w:p>
    <w:tbl>
      <w:tblPr>
        <w:tblStyle w:val="22"/>
        <w:tblW w:w="517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72"/>
        <w:gridCol w:w="2636"/>
        <w:gridCol w:w="1279"/>
        <w:gridCol w:w="2075"/>
        <w:gridCol w:w="1756"/>
      </w:tblGrid>
      <w:tr w14:paraId="42EB6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07" w:type="pct"/>
            <w:tcBorders>
              <w:top w:val="single" w:color="auto" w:sz="6" w:space="0"/>
              <w:left w:val="single" w:color="auto" w:sz="6" w:space="0"/>
              <w:bottom w:val="single" w:color="auto" w:sz="6" w:space="0"/>
              <w:right w:val="single" w:color="auto" w:sz="6" w:space="0"/>
              <w:tl2br w:val="nil"/>
              <w:tr2bl w:val="nil"/>
            </w:tcBorders>
            <w:shd w:val="clear" w:color="auto" w:fill="D8D8D8"/>
            <w:noWrap/>
            <w:vAlign w:val="center"/>
          </w:tcPr>
          <w:p w14:paraId="05B9C2D6">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eastAsia" w:ascii="Times New Roman" w:hAnsi="Times New Roman" w:cs="Times New Roman"/>
                <w:b/>
                <w:bCs/>
                <w:color w:val="auto"/>
                <w:sz w:val="21"/>
                <w:szCs w:val="21"/>
                <w:highlight w:val="none"/>
                <w:lang w:val="en-US" w:eastAsia="zh-CN"/>
              </w:rPr>
              <w:t>运行网段</w:t>
            </w:r>
          </w:p>
        </w:tc>
        <w:tc>
          <w:tcPr>
            <w:tcW w:w="1494" w:type="pct"/>
            <w:tcBorders>
              <w:top w:val="single" w:color="auto" w:sz="6" w:space="0"/>
              <w:left w:val="single" w:color="auto" w:sz="6" w:space="0"/>
              <w:bottom w:val="single" w:color="auto" w:sz="6" w:space="0"/>
              <w:right w:val="single" w:color="auto" w:sz="6" w:space="0"/>
              <w:tl2br w:val="nil"/>
              <w:tr2bl w:val="nil"/>
            </w:tcBorders>
            <w:shd w:val="clear" w:color="auto" w:fill="D8D8D8"/>
            <w:noWrap/>
            <w:vAlign w:val="center"/>
          </w:tcPr>
          <w:p w14:paraId="01AFCBCC">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eastAsia" w:ascii="Times New Roman" w:hAnsi="Times New Roman" w:cs="Times New Roman"/>
                <w:b/>
                <w:bCs/>
                <w:color w:val="auto"/>
                <w:sz w:val="21"/>
                <w:szCs w:val="21"/>
                <w:highlight w:val="none"/>
                <w:lang w:val="en-US" w:eastAsia="zh-CN"/>
              </w:rPr>
              <w:t>运行环境</w:t>
            </w:r>
          </w:p>
        </w:tc>
        <w:tc>
          <w:tcPr>
            <w:tcW w:w="725" w:type="pct"/>
            <w:tcBorders>
              <w:top w:val="single" w:color="auto" w:sz="6" w:space="0"/>
              <w:left w:val="single" w:color="auto" w:sz="6" w:space="0"/>
              <w:bottom w:val="single" w:color="auto" w:sz="6" w:space="0"/>
              <w:right w:val="single" w:color="auto" w:sz="6" w:space="0"/>
              <w:tl2br w:val="nil"/>
              <w:tr2bl w:val="nil"/>
            </w:tcBorders>
            <w:shd w:val="clear" w:color="auto" w:fill="D8D8D8"/>
            <w:noWrap/>
            <w:vAlign w:val="center"/>
          </w:tcPr>
          <w:p w14:paraId="370A70AC">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center"/>
              <w:textAlignment w:val="auto"/>
              <w:rPr>
                <w:rFonts w:hint="default" w:ascii="Times New Roman" w:hAnsi="Times New Roman" w:cs="Times New Roman"/>
                <w:b/>
                <w:bCs/>
                <w:color w:val="auto"/>
                <w:sz w:val="21"/>
                <w:szCs w:val="21"/>
                <w:highlight w:val="none"/>
                <w:lang w:val="en-US" w:eastAsia="zh-CN"/>
              </w:rPr>
            </w:pPr>
            <w:r>
              <w:rPr>
                <w:rFonts w:hint="eastAsia" w:ascii="Times New Roman" w:hAnsi="Times New Roman" w:cs="Times New Roman"/>
                <w:b/>
                <w:bCs/>
                <w:color w:val="auto"/>
                <w:sz w:val="21"/>
                <w:szCs w:val="21"/>
                <w:highlight w:val="none"/>
                <w:lang w:val="en-US" w:eastAsia="zh-CN"/>
              </w:rPr>
              <w:t>节点类型</w:t>
            </w:r>
          </w:p>
        </w:tc>
        <w:tc>
          <w:tcPr>
            <w:tcW w:w="1176" w:type="pct"/>
            <w:tcBorders>
              <w:top w:val="single" w:color="auto" w:sz="6" w:space="0"/>
              <w:left w:val="single" w:color="auto" w:sz="6" w:space="0"/>
              <w:bottom w:val="single" w:color="auto" w:sz="6" w:space="0"/>
              <w:right w:val="single" w:color="auto" w:sz="6" w:space="0"/>
              <w:tl2br w:val="nil"/>
              <w:tr2bl w:val="nil"/>
            </w:tcBorders>
            <w:shd w:val="clear" w:color="auto" w:fill="D8D8D8"/>
            <w:noWrap/>
            <w:vAlign w:val="center"/>
          </w:tcPr>
          <w:p w14:paraId="2C1688D2">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eastAsia" w:ascii="Times New Roman" w:hAnsi="Times New Roman" w:cs="Times New Roman"/>
                <w:b/>
                <w:bCs/>
                <w:color w:val="auto"/>
                <w:sz w:val="21"/>
                <w:szCs w:val="21"/>
                <w:highlight w:val="none"/>
                <w:lang w:val="en-US" w:eastAsia="zh-CN"/>
              </w:rPr>
              <w:t>最低授权节点数量</w:t>
            </w:r>
          </w:p>
        </w:tc>
        <w:tc>
          <w:tcPr>
            <w:tcW w:w="995" w:type="pct"/>
            <w:tcBorders>
              <w:top w:val="single" w:color="auto" w:sz="6" w:space="0"/>
              <w:left w:val="single" w:color="auto" w:sz="6" w:space="0"/>
              <w:bottom w:val="single" w:color="auto" w:sz="6" w:space="0"/>
              <w:right w:val="single" w:color="auto" w:sz="6" w:space="0"/>
              <w:tl2br w:val="nil"/>
              <w:tr2bl w:val="nil"/>
            </w:tcBorders>
            <w:shd w:val="clear" w:color="auto" w:fill="D8D8D8"/>
            <w:noWrap/>
            <w:vAlign w:val="center"/>
          </w:tcPr>
          <w:p w14:paraId="568E3640">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center"/>
              <w:textAlignment w:val="auto"/>
              <w:rPr>
                <w:rFonts w:hint="default" w:ascii="Times New Roman" w:hAnsi="Times New Roman" w:cs="Times New Roman"/>
                <w:b/>
                <w:bCs/>
                <w:color w:val="auto"/>
                <w:sz w:val="21"/>
                <w:szCs w:val="21"/>
                <w:highlight w:val="none"/>
                <w:lang w:val="en-US" w:eastAsia="zh-CN"/>
              </w:rPr>
            </w:pPr>
            <w:r>
              <w:rPr>
                <w:rFonts w:hint="eastAsia" w:ascii="Times New Roman" w:hAnsi="Times New Roman" w:cs="Times New Roman"/>
                <w:b/>
                <w:bCs/>
                <w:color w:val="auto"/>
                <w:sz w:val="21"/>
                <w:szCs w:val="21"/>
                <w:highlight w:val="none"/>
                <w:lang w:val="en-US" w:eastAsia="zh-CN"/>
              </w:rPr>
              <w:t>备注</w:t>
            </w:r>
          </w:p>
        </w:tc>
      </w:tr>
      <w:tr w14:paraId="5EF59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07" w:type="pct"/>
            <w:vMerge w:val="restart"/>
            <w:tcBorders>
              <w:top w:val="single" w:color="auto" w:sz="6" w:space="0"/>
              <w:left w:val="single" w:color="auto" w:sz="6" w:space="0"/>
              <w:right w:val="single" w:color="auto" w:sz="6" w:space="0"/>
              <w:tl2br w:val="nil"/>
              <w:tr2bl w:val="nil"/>
            </w:tcBorders>
            <w:noWrap/>
            <w:vAlign w:val="center"/>
          </w:tcPr>
          <w:p w14:paraId="1EC027AA">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测试网段</w:t>
            </w:r>
          </w:p>
        </w:tc>
        <w:tc>
          <w:tcPr>
            <w:tcW w:w="1494" w:type="pct"/>
            <w:tcBorders>
              <w:top w:val="single" w:color="auto" w:sz="6" w:space="0"/>
              <w:left w:val="single" w:color="auto" w:sz="6" w:space="0"/>
              <w:bottom w:val="single" w:color="auto" w:sz="6" w:space="0"/>
              <w:right w:val="single" w:color="auto" w:sz="6" w:space="0"/>
              <w:tl2br w:val="nil"/>
              <w:tr2bl w:val="nil"/>
            </w:tcBorders>
            <w:noWrap/>
            <w:vAlign w:val="center"/>
          </w:tcPr>
          <w:p w14:paraId="7AA1E9D6">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开发环境（DEV）</w:t>
            </w:r>
          </w:p>
        </w:tc>
        <w:tc>
          <w:tcPr>
            <w:tcW w:w="725" w:type="pct"/>
            <w:vMerge w:val="restart"/>
            <w:tcBorders>
              <w:top w:val="single" w:color="auto" w:sz="6" w:space="0"/>
              <w:left w:val="single" w:color="auto" w:sz="6" w:space="0"/>
              <w:right w:val="single" w:color="auto" w:sz="6" w:space="0"/>
              <w:tl2br w:val="nil"/>
              <w:tr2bl w:val="nil"/>
            </w:tcBorders>
            <w:noWrap/>
            <w:vAlign w:val="center"/>
          </w:tcPr>
          <w:p w14:paraId="1712E590">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管理+数据节点</w:t>
            </w:r>
          </w:p>
        </w:tc>
        <w:tc>
          <w:tcPr>
            <w:tcW w:w="1176" w:type="pct"/>
            <w:tcBorders>
              <w:top w:val="single" w:color="auto" w:sz="6" w:space="0"/>
              <w:left w:val="single" w:color="auto" w:sz="6" w:space="0"/>
              <w:bottom w:val="single" w:color="auto" w:sz="6" w:space="0"/>
              <w:right w:val="single" w:color="auto" w:sz="6" w:space="0"/>
              <w:tl2br w:val="nil"/>
              <w:tr2bl w:val="nil"/>
            </w:tcBorders>
            <w:noWrap/>
            <w:vAlign w:val="center"/>
          </w:tcPr>
          <w:p w14:paraId="375C70F3">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6个</w:t>
            </w:r>
          </w:p>
        </w:tc>
        <w:tc>
          <w:tcPr>
            <w:tcW w:w="995" w:type="pct"/>
            <w:vMerge w:val="restart"/>
            <w:tcBorders>
              <w:top w:val="single" w:color="auto" w:sz="6" w:space="0"/>
              <w:left w:val="single" w:color="auto" w:sz="6" w:space="0"/>
              <w:right w:val="single" w:color="auto" w:sz="6" w:space="0"/>
              <w:tl2br w:val="nil"/>
              <w:tr2bl w:val="nil"/>
            </w:tcBorders>
            <w:noWrap/>
            <w:vAlign w:val="center"/>
          </w:tcPr>
          <w:p w14:paraId="50E646C6">
            <w:pPr>
              <w:keepNext w:val="0"/>
              <w:keepLines w:val="0"/>
              <w:pageBreakBefore w:val="0"/>
              <w:widowControl w:val="0"/>
              <w:tabs>
                <w:tab w:val="left" w:pos="221"/>
              </w:tabs>
              <w:kinsoku/>
              <w:wordWrap/>
              <w:overflowPunct/>
              <w:topLinePunct w:val="0"/>
              <w:autoSpaceDE w:val="0"/>
              <w:autoSpaceDN w:val="0"/>
              <w:bidi w:val="0"/>
              <w:adjustRightInd/>
              <w:snapToGrid/>
              <w:spacing w:beforeAutospacing="0" w:afterAutospacing="0" w:line="40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CPU总核数不低于【1152VCpu】</w:t>
            </w:r>
          </w:p>
        </w:tc>
      </w:tr>
      <w:tr w14:paraId="03AF1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jc w:val="center"/>
        </w:trPr>
        <w:tc>
          <w:tcPr>
            <w:tcW w:w="607" w:type="pct"/>
            <w:vMerge w:val="continue"/>
            <w:tcBorders>
              <w:left w:val="single" w:color="auto" w:sz="6" w:space="0"/>
              <w:bottom w:val="single" w:color="auto" w:sz="6" w:space="0"/>
              <w:right w:val="single" w:color="auto" w:sz="6" w:space="0"/>
              <w:tl2br w:val="nil"/>
              <w:tr2bl w:val="nil"/>
            </w:tcBorders>
            <w:noWrap/>
            <w:vAlign w:val="center"/>
          </w:tcPr>
          <w:p w14:paraId="758CA3A0">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1494" w:type="pct"/>
            <w:tcBorders>
              <w:top w:val="single" w:color="auto" w:sz="6" w:space="0"/>
              <w:left w:val="single" w:color="auto" w:sz="6" w:space="0"/>
              <w:bottom w:val="single" w:color="auto" w:sz="6" w:space="0"/>
              <w:right w:val="single" w:color="auto" w:sz="6" w:space="0"/>
              <w:tl2br w:val="nil"/>
              <w:tr2bl w:val="nil"/>
            </w:tcBorders>
            <w:noWrap/>
            <w:vAlign w:val="center"/>
          </w:tcPr>
          <w:p w14:paraId="570FFA9E">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集成测试环境 （SIT）</w:t>
            </w:r>
          </w:p>
        </w:tc>
        <w:tc>
          <w:tcPr>
            <w:tcW w:w="725" w:type="pct"/>
            <w:vMerge w:val="continue"/>
            <w:tcBorders>
              <w:left w:val="single" w:color="auto" w:sz="6" w:space="0"/>
              <w:bottom w:val="single" w:color="auto" w:sz="6" w:space="0"/>
              <w:right w:val="single" w:color="auto" w:sz="6" w:space="0"/>
              <w:tl2br w:val="nil"/>
              <w:tr2bl w:val="nil"/>
            </w:tcBorders>
            <w:noWrap/>
            <w:vAlign w:val="center"/>
          </w:tcPr>
          <w:p w14:paraId="2349198B">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1176" w:type="pct"/>
            <w:tcBorders>
              <w:top w:val="single" w:color="auto" w:sz="6" w:space="0"/>
              <w:left w:val="single" w:color="auto" w:sz="6" w:space="0"/>
              <w:bottom w:val="single" w:color="auto" w:sz="6" w:space="0"/>
              <w:right w:val="single" w:color="auto" w:sz="6" w:space="0"/>
              <w:tl2br w:val="nil"/>
              <w:tr2bl w:val="nil"/>
            </w:tcBorders>
            <w:noWrap/>
            <w:vAlign w:val="center"/>
          </w:tcPr>
          <w:p w14:paraId="0671E4B8">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6个</w:t>
            </w:r>
          </w:p>
        </w:tc>
        <w:tc>
          <w:tcPr>
            <w:tcW w:w="995" w:type="pct"/>
            <w:vMerge w:val="continue"/>
            <w:tcBorders>
              <w:left w:val="single" w:color="auto" w:sz="6" w:space="0"/>
              <w:bottom w:val="single" w:color="auto" w:sz="6" w:space="0"/>
              <w:right w:val="single" w:color="auto" w:sz="6" w:space="0"/>
              <w:tl2br w:val="nil"/>
              <w:tr2bl w:val="nil"/>
            </w:tcBorders>
            <w:noWrap/>
            <w:vAlign w:val="center"/>
          </w:tcPr>
          <w:p w14:paraId="33BBF428">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r>
      <w:tr w14:paraId="63558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07"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7A7641B">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1494" w:type="pct"/>
            <w:tcBorders>
              <w:top w:val="single" w:color="auto" w:sz="6" w:space="0"/>
              <w:left w:val="single" w:color="auto" w:sz="6" w:space="0"/>
              <w:bottom w:val="single" w:color="auto" w:sz="6" w:space="0"/>
              <w:right w:val="single" w:color="auto" w:sz="6" w:space="0"/>
              <w:tl2br w:val="nil"/>
              <w:tr2bl w:val="nil"/>
            </w:tcBorders>
            <w:noWrap/>
            <w:vAlign w:val="center"/>
          </w:tcPr>
          <w:p w14:paraId="6DAAC1CF">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用户验收测试环境（UAT）</w:t>
            </w:r>
          </w:p>
        </w:tc>
        <w:tc>
          <w:tcPr>
            <w:tcW w:w="725"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3D37FAE">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1176" w:type="pct"/>
            <w:tcBorders>
              <w:top w:val="single" w:color="auto" w:sz="6" w:space="0"/>
              <w:left w:val="single" w:color="auto" w:sz="6" w:space="0"/>
              <w:bottom w:val="single" w:color="auto" w:sz="6" w:space="0"/>
              <w:right w:val="single" w:color="auto" w:sz="6" w:space="0"/>
              <w:tl2br w:val="nil"/>
              <w:tr2bl w:val="nil"/>
            </w:tcBorders>
            <w:noWrap/>
            <w:vAlign w:val="center"/>
          </w:tcPr>
          <w:p w14:paraId="146185C2">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6个</w:t>
            </w:r>
          </w:p>
        </w:tc>
        <w:tc>
          <w:tcPr>
            <w:tcW w:w="995"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3908050">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r>
      <w:tr w14:paraId="69A96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07" w:type="pct"/>
            <w:vMerge w:val="restart"/>
            <w:tcBorders>
              <w:top w:val="single" w:color="auto" w:sz="6" w:space="0"/>
              <w:left w:val="single" w:color="auto" w:sz="6" w:space="0"/>
              <w:right w:val="single" w:color="auto" w:sz="6" w:space="0"/>
              <w:tl2br w:val="nil"/>
              <w:tr2bl w:val="nil"/>
            </w:tcBorders>
            <w:noWrap/>
            <w:vAlign w:val="center"/>
          </w:tcPr>
          <w:p w14:paraId="2242CAB3">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生产网段</w:t>
            </w:r>
          </w:p>
        </w:tc>
        <w:tc>
          <w:tcPr>
            <w:tcW w:w="1494" w:type="pct"/>
            <w:vMerge w:val="restart"/>
            <w:tcBorders>
              <w:top w:val="single" w:color="auto" w:sz="6" w:space="0"/>
              <w:left w:val="single" w:color="auto" w:sz="6" w:space="0"/>
              <w:bottom w:val="single" w:color="auto" w:sz="4" w:space="0"/>
              <w:right w:val="single" w:color="auto" w:sz="6" w:space="0"/>
              <w:tl2br w:val="nil"/>
              <w:tr2bl w:val="nil"/>
            </w:tcBorders>
            <w:noWrap/>
            <w:vAlign w:val="center"/>
          </w:tcPr>
          <w:p w14:paraId="2A743127">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生产环境</w:t>
            </w:r>
            <w:r>
              <w:rPr>
                <w:rFonts w:hint="eastAsia" w:ascii="Times New Roman" w:hAnsi="Times New Roman" w:eastAsia="宋体" w:cs="Times New Roman"/>
                <w:color w:val="auto"/>
                <w:sz w:val="21"/>
                <w:szCs w:val="21"/>
                <w:highlight w:val="none"/>
                <w:lang w:val="en-US" w:eastAsia="zh-CN"/>
              </w:rPr>
              <w:t>（PRD）</w:t>
            </w:r>
          </w:p>
        </w:tc>
        <w:tc>
          <w:tcPr>
            <w:tcW w:w="725" w:type="pct"/>
            <w:tcBorders>
              <w:top w:val="single" w:color="auto" w:sz="6" w:space="0"/>
              <w:left w:val="single" w:color="auto" w:sz="6" w:space="0"/>
              <w:bottom w:val="single" w:color="auto" w:sz="6" w:space="0"/>
              <w:right w:val="single" w:color="auto" w:sz="6" w:space="0"/>
              <w:tl2br w:val="nil"/>
              <w:tr2bl w:val="nil"/>
            </w:tcBorders>
            <w:noWrap/>
            <w:vAlign w:val="center"/>
          </w:tcPr>
          <w:p w14:paraId="03120432">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管理节点</w:t>
            </w:r>
          </w:p>
        </w:tc>
        <w:tc>
          <w:tcPr>
            <w:tcW w:w="1176" w:type="pct"/>
            <w:tcBorders>
              <w:top w:val="single" w:color="auto" w:sz="6" w:space="0"/>
              <w:left w:val="single" w:color="auto" w:sz="6" w:space="0"/>
              <w:bottom w:val="single" w:color="auto" w:sz="6" w:space="0"/>
              <w:right w:val="single" w:color="auto" w:sz="6" w:space="0"/>
              <w:tl2br w:val="nil"/>
              <w:tr2bl w:val="nil"/>
            </w:tcBorders>
            <w:noWrap/>
            <w:vAlign w:val="center"/>
          </w:tcPr>
          <w:p w14:paraId="741A3F5B">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6</w:t>
            </w:r>
            <w:r>
              <w:rPr>
                <w:rFonts w:hint="default" w:ascii="Times New Roman" w:hAnsi="Times New Roman" w:eastAsia="宋体" w:cs="Times New Roman"/>
                <w:color w:val="auto"/>
                <w:sz w:val="21"/>
                <w:szCs w:val="21"/>
                <w:highlight w:val="none"/>
                <w:lang w:val="en-US" w:eastAsia="zh-CN"/>
              </w:rPr>
              <w:t>个</w:t>
            </w:r>
          </w:p>
        </w:tc>
        <w:tc>
          <w:tcPr>
            <w:tcW w:w="995" w:type="pct"/>
            <w:vMerge w:val="restart"/>
            <w:tcBorders>
              <w:top w:val="single" w:color="auto" w:sz="6" w:space="0"/>
              <w:left w:val="single" w:color="auto" w:sz="6" w:space="0"/>
              <w:right w:val="single" w:color="auto" w:sz="6" w:space="0"/>
              <w:tl2br w:val="nil"/>
              <w:tr2bl w:val="nil"/>
            </w:tcBorders>
            <w:noWrap/>
            <w:vAlign w:val="center"/>
          </w:tcPr>
          <w:p w14:paraId="5ACB2459">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CPU总核数不低于【3456VCpu】</w:t>
            </w:r>
          </w:p>
        </w:tc>
      </w:tr>
      <w:tr w14:paraId="6F74F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07" w:type="pct"/>
            <w:vMerge w:val="continue"/>
            <w:tcBorders>
              <w:left w:val="single" w:color="auto" w:sz="6" w:space="0"/>
              <w:bottom w:val="single" w:color="auto" w:sz="6" w:space="0"/>
              <w:right w:val="single" w:color="auto" w:sz="6" w:space="0"/>
              <w:tl2br w:val="nil"/>
              <w:tr2bl w:val="nil"/>
            </w:tcBorders>
            <w:noWrap/>
            <w:vAlign w:val="center"/>
          </w:tcPr>
          <w:p w14:paraId="6A643537">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1494" w:type="pct"/>
            <w:vMerge w:val="continue"/>
            <w:tcBorders>
              <w:top w:val="single" w:color="auto" w:sz="4" w:space="0"/>
              <w:left w:val="single" w:color="auto" w:sz="6" w:space="0"/>
              <w:bottom w:val="single" w:color="auto" w:sz="6" w:space="0"/>
              <w:right w:val="single" w:color="auto" w:sz="6" w:space="0"/>
              <w:tl2br w:val="nil"/>
              <w:tr2bl w:val="nil"/>
            </w:tcBorders>
            <w:noWrap/>
            <w:vAlign w:val="center"/>
          </w:tcPr>
          <w:p w14:paraId="1660552F">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725" w:type="pct"/>
            <w:tcBorders>
              <w:top w:val="single" w:color="auto" w:sz="6" w:space="0"/>
              <w:left w:val="single" w:color="auto" w:sz="6" w:space="0"/>
              <w:bottom w:val="single" w:color="auto" w:sz="6" w:space="0"/>
              <w:right w:val="single" w:color="auto" w:sz="6" w:space="0"/>
              <w:tl2br w:val="nil"/>
              <w:tr2bl w:val="nil"/>
            </w:tcBorders>
            <w:noWrap/>
            <w:vAlign w:val="center"/>
          </w:tcPr>
          <w:p w14:paraId="27F0537D">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数据节点</w:t>
            </w:r>
          </w:p>
        </w:tc>
        <w:tc>
          <w:tcPr>
            <w:tcW w:w="1176" w:type="pct"/>
            <w:tcBorders>
              <w:top w:val="single" w:color="auto" w:sz="6" w:space="0"/>
              <w:left w:val="single" w:color="auto" w:sz="6" w:space="0"/>
              <w:bottom w:val="single" w:color="auto" w:sz="6" w:space="0"/>
              <w:right w:val="single" w:color="auto" w:sz="6" w:space="0"/>
              <w:tl2br w:val="nil"/>
              <w:tr2bl w:val="nil"/>
            </w:tcBorders>
            <w:noWrap/>
            <w:vAlign w:val="center"/>
          </w:tcPr>
          <w:p w14:paraId="5D2993E2">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32个</w:t>
            </w:r>
          </w:p>
        </w:tc>
        <w:tc>
          <w:tcPr>
            <w:tcW w:w="995" w:type="pct"/>
            <w:vMerge w:val="continue"/>
            <w:tcBorders>
              <w:left w:val="single" w:color="auto" w:sz="6" w:space="0"/>
              <w:bottom w:val="single" w:color="auto" w:sz="6" w:space="0"/>
              <w:right w:val="single" w:color="auto" w:sz="6" w:space="0"/>
              <w:tl2br w:val="nil"/>
              <w:tr2bl w:val="nil"/>
            </w:tcBorders>
            <w:noWrap/>
            <w:vAlign w:val="center"/>
          </w:tcPr>
          <w:p w14:paraId="0E62BEB2">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center"/>
              <w:textAlignment w:val="auto"/>
              <w:rPr>
                <w:rFonts w:hint="eastAsia" w:ascii="Times New Roman" w:hAnsi="Times New Roman" w:cs="Times New Roman"/>
                <w:color w:val="auto"/>
                <w:sz w:val="21"/>
                <w:szCs w:val="21"/>
                <w:highlight w:val="none"/>
                <w:lang w:val="en-US" w:eastAsia="zh-CN"/>
              </w:rPr>
            </w:pPr>
          </w:p>
        </w:tc>
      </w:tr>
      <w:tr w14:paraId="27CD6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07"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DB57495">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1494" w:type="pct"/>
            <w:tcBorders>
              <w:top w:val="single" w:color="auto" w:sz="6" w:space="0"/>
              <w:left w:val="single" w:color="auto" w:sz="6" w:space="0"/>
              <w:bottom w:val="single" w:color="auto" w:sz="6" w:space="0"/>
              <w:right w:val="single" w:color="auto" w:sz="6" w:space="0"/>
              <w:tl2br w:val="nil"/>
              <w:tr2bl w:val="nil"/>
            </w:tcBorders>
            <w:noWrap/>
            <w:vAlign w:val="center"/>
          </w:tcPr>
          <w:p w14:paraId="3B97217D">
            <w:pPr>
              <w:keepNext w:val="0"/>
              <w:keepLines w:val="0"/>
              <w:pageBreakBefore w:val="0"/>
              <w:widowControl w:val="0"/>
              <w:kinsoku/>
              <w:wordWrap/>
              <w:overflowPunct/>
              <w:topLinePunct w:val="0"/>
              <w:autoSpaceDE w:val="0"/>
              <w:autoSpaceDN w:val="0"/>
              <w:adjustRightInd/>
              <w:snapToGrid/>
              <w:spacing w:line="400" w:lineRule="exact"/>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sz w:val="21"/>
                <w:szCs w:val="21"/>
                <w:highlight w:val="none"/>
                <w:lang w:val="en-US" w:eastAsia="zh-CN"/>
              </w:rPr>
              <w:t>灾备环境（DR）</w:t>
            </w:r>
          </w:p>
        </w:tc>
        <w:tc>
          <w:tcPr>
            <w:tcW w:w="725" w:type="pct"/>
            <w:tcBorders>
              <w:top w:val="single" w:color="auto" w:sz="6" w:space="0"/>
              <w:left w:val="single" w:color="auto" w:sz="6" w:space="0"/>
              <w:bottom w:val="single" w:color="auto" w:sz="6" w:space="0"/>
              <w:right w:val="single" w:color="auto" w:sz="6" w:space="0"/>
              <w:tl2br w:val="nil"/>
              <w:tr2bl w:val="nil"/>
            </w:tcBorders>
            <w:noWrap/>
            <w:vAlign w:val="center"/>
          </w:tcPr>
          <w:p w14:paraId="7C628FA2">
            <w:pPr>
              <w:keepNext w:val="0"/>
              <w:keepLines w:val="0"/>
              <w:pageBreakBefore w:val="0"/>
              <w:widowControl w:val="0"/>
              <w:kinsoku/>
              <w:wordWrap/>
              <w:overflowPunct/>
              <w:topLinePunct w:val="0"/>
              <w:autoSpaceDE w:val="0"/>
              <w:autoSpaceDN w:val="0"/>
              <w:adjustRightInd/>
              <w:snapToGrid/>
              <w:spacing w:line="400" w:lineRule="exact"/>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ascii="Times New Roman" w:hAnsi="Times New Roman" w:cs="Times New Roman"/>
                <w:color w:val="auto"/>
                <w:sz w:val="21"/>
                <w:szCs w:val="21"/>
                <w:highlight w:val="none"/>
                <w:lang w:val="en-US" w:eastAsia="zh-CN"/>
              </w:rPr>
              <w:t>管理+数据节点</w:t>
            </w:r>
          </w:p>
        </w:tc>
        <w:tc>
          <w:tcPr>
            <w:tcW w:w="1176" w:type="pct"/>
            <w:tcBorders>
              <w:top w:val="single" w:color="auto" w:sz="6" w:space="0"/>
              <w:left w:val="single" w:color="auto" w:sz="6" w:space="0"/>
              <w:bottom w:val="single" w:color="auto" w:sz="6" w:space="0"/>
              <w:right w:val="single" w:color="auto" w:sz="6" w:space="0"/>
              <w:tl2br w:val="nil"/>
              <w:tr2bl w:val="nil"/>
            </w:tcBorders>
            <w:noWrap/>
            <w:vAlign w:val="center"/>
          </w:tcPr>
          <w:p w14:paraId="56C1A4BE">
            <w:pPr>
              <w:keepNext w:val="0"/>
              <w:keepLines w:val="0"/>
              <w:pageBreakBefore w:val="0"/>
              <w:widowControl w:val="0"/>
              <w:kinsoku/>
              <w:wordWrap/>
              <w:overflowPunct/>
              <w:topLinePunct w:val="0"/>
              <w:autoSpaceDE w:val="0"/>
              <w:autoSpaceDN w:val="0"/>
              <w:adjustRightInd/>
              <w:snapToGrid/>
              <w:spacing w:line="400" w:lineRule="exact"/>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ascii="Times New Roman" w:hAnsi="Times New Roman" w:cs="Times New Roman"/>
                <w:color w:val="auto"/>
                <w:sz w:val="21"/>
                <w:szCs w:val="21"/>
                <w:highlight w:val="none"/>
                <w:lang w:val="en-US" w:eastAsia="zh-CN"/>
              </w:rPr>
              <w:t>15个</w:t>
            </w:r>
          </w:p>
        </w:tc>
        <w:tc>
          <w:tcPr>
            <w:tcW w:w="995" w:type="pct"/>
            <w:tcBorders>
              <w:top w:val="single" w:color="auto" w:sz="6" w:space="0"/>
              <w:left w:val="single" w:color="auto" w:sz="6" w:space="0"/>
              <w:bottom w:val="single" w:color="auto" w:sz="6" w:space="0"/>
              <w:right w:val="single" w:color="auto" w:sz="6" w:space="0"/>
              <w:tl2br w:val="nil"/>
              <w:tr2bl w:val="nil"/>
            </w:tcBorders>
            <w:noWrap/>
            <w:vAlign w:val="center"/>
          </w:tcPr>
          <w:p w14:paraId="29FC45B7">
            <w:pPr>
              <w:keepNext w:val="0"/>
              <w:keepLines w:val="0"/>
              <w:pageBreakBefore w:val="0"/>
              <w:widowControl w:val="0"/>
              <w:kinsoku/>
              <w:wordWrap/>
              <w:overflowPunct/>
              <w:topLinePunct w:val="0"/>
              <w:autoSpaceDE w:val="0"/>
              <w:autoSpaceDN w:val="0"/>
              <w:adjustRightInd/>
              <w:snapToGrid/>
              <w:spacing w:line="400" w:lineRule="exact"/>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拟采用差异化容灾方案，对实时计算、数据服务等场景做容灾，CPU总核数不低于【960VCpu】</w:t>
            </w:r>
          </w:p>
        </w:tc>
      </w:tr>
      <w:tr w14:paraId="0F7B5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000" w:type="pct"/>
            <w:gridSpan w:val="5"/>
            <w:tcBorders>
              <w:top w:val="single" w:color="auto" w:sz="6" w:space="0"/>
              <w:left w:val="single" w:color="auto" w:sz="6" w:space="0"/>
              <w:bottom w:val="single" w:color="auto" w:sz="6" w:space="0"/>
              <w:right w:val="single" w:color="auto" w:sz="6" w:space="0"/>
              <w:tl2br w:val="nil"/>
              <w:tr2bl w:val="nil"/>
            </w:tcBorders>
            <w:noWrap/>
            <w:vAlign w:val="center"/>
          </w:tcPr>
          <w:p w14:paraId="4930B3DA">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both"/>
              <w:textAlignment w:val="auto"/>
              <w:rPr>
                <w:rFonts w:hint="eastAsia" w:ascii="Times New Roman" w:hAnsi="Times New Roman" w:cs="Times New Roman"/>
                <w:b/>
                <w:bCs/>
                <w:color w:val="auto"/>
                <w:sz w:val="18"/>
                <w:szCs w:val="18"/>
                <w:highlight w:val="none"/>
                <w:lang w:val="en-US" w:eastAsia="zh-CN"/>
              </w:rPr>
            </w:pPr>
            <w:r>
              <w:rPr>
                <w:rFonts w:hint="eastAsia" w:ascii="Times New Roman" w:hAnsi="Times New Roman" w:cs="Times New Roman"/>
                <w:b/>
                <w:bCs/>
                <w:color w:val="auto"/>
                <w:sz w:val="18"/>
                <w:szCs w:val="18"/>
                <w:highlight w:val="none"/>
                <w:lang w:val="en-US" w:eastAsia="zh-CN"/>
              </w:rPr>
              <w:t>注：</w:t>
            </w:r>
            <w:r>
              <w:rPr>
                <w:rFonts w:hint="eastAsia" w:ascii="Times New Roman" w:hAnsi="Times New Roman" w:cs="Times New Roman"/>
                <w:color w:val="auto"/>
                <w:sz w:val="18"/>
                <w:szCs w:val="18"/>
                <w:highlight w:val="none"/>
                <w:lang w:val="en-US" w:eastAsia="zh-CN"/>
              </w:rPr>
              <w:t>此表为比选人对授权节点数量和计算资源配置最低要求，项目建设需根据实际情况增加授权数量。</w:t>
            </w:r>
          </w:p>
        </w:tc>
      </w:tr>
    </w:tbl>
    <w:p w14:paraId="5BEF7CAB">
      <w:pPr>
        <w:pStyle w:val="6"/>
        <w:keepNext w:val="0"/>
        <w:keepLines w:val="0"/>
        <w:pageBreakBefore w:val="0"/>
        <w:widowControl w:val="0"/>
        <w:numPr>
          <w:ilvl w:val="3"/>
          <w:numId w:val="2"/>
        </w:numPr>
        <w:kinsoku/>
        <w:wordWrap/>
        <w:overflowPunct/>
        <w:topLinePunct w:val="0"/>
        <w:autoSpaceDE w:val="0"/>
        <w:autoSpaceDN w:val="0"/>
        <w:bidi w:val="0"/>
        <w:adjustRightInd/>
        <w:snapToGrid/>
        <w:spacing w:line="600" w:lineRule="exact"/>
        <w:ind w:left="0" w:leftChars="0" w:firstLine="482" w:firstLineChars="200"/>
        <w:jc w:val="left"/>
        <w:textAlignment w:val="auto"/>
        <w:outlineLvl w:val="4"/>
        <w:rPr>
          <w:rFonts w:hint="eastAsia" w:ascii="Times New Roman" w:hAnsi="Times New Roman" w:cs="Times New Roman"/>
          <w:b/>
          <w:bCs w:val="0"/>
          <w:color w:val="auto"/>
          <w:sz w:val="24"/>
          <w:szCs w:val="24"/>
          <w:highlight w:val="none"/>
          <w:lang w:val="en-US" w:eastAsia="zh-CN"/>
        </w:rPr>
      </w:pPr>
      <w:r>
        <w:rPr>
          <w:rFonts w:hint="eastAsia" w:ascii="Times New Roman" w:hAnsi="Times New Roman" w:cs="Times New Roman"/>
          <w:b/>
          <w:bCs w:val="0"/>
          <w:color w:val="auto"/>
          <w:sz w:val="24"/>
          <w:szCs w:val="24"/>
          <w:highlight w:val="none"/>
          <w:lang w:val="en-US" w:eastAsia="zh-CN"/>
        </w:rPr>
        <w:t xml:space="preserve"> 功能要求</w:t>
      </w:r>
    </w:p>
    <w:p w14:paraId="60C0748F">
      <w:pP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为确保</w:t>
      </w:r>
      <w:r>
        <w:rPr>
          <w:rFonts w:hint="eastAsia" w:ascii="Times New Roman" w:hAnsi="Times New Roman" w:cs="Times New Roman"/>
          <w:color w:val="auto"/>
          <w:highlight w:val="none"/>
          <w:lang w:val="en-US" w:eastAsia="zh-CN"/>
        </w:rPr>
        <w:t>本</w:t>
      </w:r>
      <w:r>
        <w:rPr>
          <w:rFonts w:hint="default" w:ascii="Times New Roman" w:hAnsi="Times New Roman" w:cs="Times New Roman"/>
          <w:color w:val="auto"/>
          <w:highlight w:val="none"/>
          <w:lang w:val="en-US" w:eastAsia="zh-CN"/>
        </w:rPr>
        <w:t>项目的顺利推进与高效实施，湖仓一体底座</w:t>
      </w:r>
      <w:r>
        <w:rPr>
          <w:rFonts w:hint="eastAsia" w:ascii="Times New Roman" w:hAnsi="Times New Roman" w:cs="Times New Roman"/>
          <w:color w:val="auto"/>
          <w:highlight w:val="none"/>
          <w:lang w:val="en-US" w:eastAsia="zh-CN"/>
        </w:rPr>
        <w:t>产品应满足比选人的功能需求，具体功能需求包括但不限于</w:t>
      </w:r>
      <w:r>
        <w:rPr>
          <w:rFonts w:hint="default" w:ascii="Times New Roman" w:hAnsi="Times New Roman" w:cs="Times New Roman"/>
          <w:color w:val="auto"/>
          <w:highlight w:val="none"/>
        </w:rPr>
        <w:t>：</w:t>
      </w:r>
    </w:p>
    <w:p w14:paraId="7C3A88A2">
      <w:pPr>
        <w:rPr>
          <w:rFonts w:hint="default" w:ascii="Times New Roman" w:hAnsi="Times New Roman" w:cs="Times New Roman"/>
          <w:color w:val="auto"/>
          <w:highlight w:val="none"/>
        </w:rPr>
      </w:pPr>
    </w:p>
    <w:p w14:paraId="30AE05A9">
      <w:pPr>
        <w:pStyle w:val="9"/>
        <w:rPr>
          <w:rFonts w:hint="default" w:ascii="Times New Roman" w:hAnsi="Times New Roman" w:cs="Times New Roman"/>
          <w:color w:val="auto"/>
          <w:highlight w:val="none"/>
        </w:rPr>
      </w:pPr>
      <w:r>
        <w:rPr>
          <w:rFonts w:hint="default" w:ascii="Times New Roman" w:hAnsi="Times New Roman" w:cs="Times New Roman"/>
          <w:color w:val="auto"/>
          <w:sz w:val="21"/>
          <w:szCs w:val="21"/>
          <w:highlight w:val="none"/>
        </w:rPr>
        <w:t>表</w:t>
      </w:r>
      <w:r>
        <w:rPr>
          <w:rFonts w:hint="default" w:ascii="Times New Roman" w:hAnsi="Times New Roman" w:cs="Times New Roman"/>
          <w:color w:val="auto"/>
          <w:sz w:val="21"/>
          <w:szCs w:val="21"/>
          <w:highlight w:val="none"/>
          <w:lang w:val="en-US" w:eastAsia="zh-CN"/>
        </w:rPr>
        <w:t>3</w:t>
      </w:r>
      <w:r>
        <w:rPr>
          <w:rFonts w:hint="default" w:ascii="Times New Roman" w:hAnsi="Times New Roman" w:cs="Times New Roman"/>
          <w:color w:val="auto"/>
          <w:sz w:val="21"/>
          <w:szCs w:val="21"/>
          <w:highlight w:val="none"/>
        </w:rPr>
        <w:t>-</w:t>
      </w:r>
      <w:r>
        <w:rPr>
          <w:rFonts w:hint="eastAsia" w:cs="Times New Roman"/>
          <w:color w:val="auto"/>
          <w:sz w:val="21"/>
          <w:szCs w:val="21"/>
          <w:highlight w:val="none"/>
          <w:lang w:val="en-US" w:eastAsia="zh-CN"/>
        </w:rPr>
        <w:t>4</w:t>
      </w:r>
      <w:r>
        <w:rPr>
          <w:rFonts w:hint="default" w:ascii="Times New Roman" w:hAnsi="Times New Roman" w:cs="Times New Roman"/>
          <w:color w:val="auto"/>
          <w:sz w:val="21"/>
          <w:szCs w:val="21"/>
          <w:highlight w:val="none"/>
        </w:rPr>
        <w:t xml:space="preserve"> 湖仓一体底座</w:t>
      </w:r>
      <w:r>
        <w:rPr>
          <w:rFonts w:hint="default" w:ascii="Times New Roman" w:hAnsi="Times New Roman" w:cs="Times New Roman"/>
          <w:color w:val="auto"/>
          <w:sz w:val="21"/>
          <w:szCs w:val="21"/>
          <w:highlight w:val="none"/>
          <w:lang w:val="en-US" w:eastAsia="zh-CN"/>
        </w:rPr>
        <w:t>服务及功能</w:t>
      </w:r>
      <w:r>
        <w:rPr>
          <w:rFonts w:hint="default" w:ascii="Times New Roman" w:hAnsi="Times New Roman" w:cs="Times New Roman"/>
          <w:color w:val="auto"/>
          <w:sz w:val="21"/>
          <w:szCs w:val="21"/>
          <w:highlight w:val="none"/>
        </w:rPr>
        <w:t>需求</w:t>
      </w:r>
    </w:p>
    <w:tbl>
      <w:tblPr>
        <w:tblStyle w:val="22"/>
        <w:tblW w:w="925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5"/>
        <w:gridCol w:w="1322"/>
        <w:gridCol w:w="1347"/>
        <w:gridCol w:w="5909"/>
      </w:tblGrid>
      <w:tr w14:paraId="5A05D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jc w:val="center"/>
        </w:trPr>
        <w:tc>
          <w:tcPr>
            <w:tcW w:w="675" w:type="dxa"/>
            <w:tcBorders>
              <w:top w:val="single" w:color="auto" w:sz="6" w:space="0"/>
              <w:left w:val="single" w:color="auto" w:sz="6" w:space="0"/>
              <w:bottom w:val="single" w:color="auto" w:sz="6" w:space="0"/>
              <w:right w:val="single" w:color="auto" w:sz="6" w:space="0"/>
              <w:tl2br w:val="nil"/>
              <w:tr2bl w:val="nil"/>
            </w:tcBorders>
            <w:shd w:val="clear" w:color="auto" w:fill="D8D8D8"/>
            <w:noWrap/>
            <w:vAlign w:val="center"/>
          </w:tcPr>
          <w:p w14:paraId="03417402">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400" w:lineRule="exact"/>
              <w:ind w:leftChars="0"/>
              <w:jc w:val="center"/>
              <w:textAlignment w:val="auto"/>
              <w:rPr>
                <w:rFonts w:hint="eastAsia" w:ascii="Times New Roman" w:hAnsi="Times New Roman" w:eastAsia="宋体" w:cs="Times New Roman"/>
                <w:b/>
                <w:bCs/>
                <w:color w:val="auto"/>
                <w:sz w:val="21"/>
                <w:szCs w:val="21"/>
                <w:highlight w:val="none"/>
                <w:lang w:val="en-US" w:eastAsia="zh-CN"/>
              </w:rPr>
            </w:pPr>
            <w:r>
              <w:rPr>
                <w:rFonts w:hint="eastAsia" w:ascii="Times New Roman" w:hAnsi="Times New Roman" w:cs="Times New Roman"/>
                <w:b/>
                <w:bCs/>
                <w:color w:val="auto"/>
                <w:sz w:val="21"/>
                <w:szCs w:val="21"/>
                <w:highlight w:val="none"/>
                <w:lang w:val="en-US" w:eastAsia="zh-CN"/>
              </w:rPr>
              <w:t>序号</w:t>
            </w:r>
          </w:p>
        </w:tc>
        <w:tc>
          <w:tcPr>
            <w:tcW w:w="1322" w:type="dxa"/>
            <w:tcBorders>
              <w:top w:val="single" w:color="auto" w:sz="6" w:space="0"/>
              <w:left w:val="single" w:color="auto" w:sz="6" w:space="0"/>
              <w:bottom w:val="single" w:color="auto" w:sz="6" w:space="0"/>
              <w:right w:val="single" w:color="auto" w:sz="6" w:space="0"/>
              <w:tl2br w:val="nil"/>
              <w:tr2bl w:val="nil"/>
            </w:tcBorders>
            <w:shd w:val="clear" w:color="auto" w:fill="D8D8D8"/>
            <w:noWrap/>
            <w:vAlign w:val="center"/>
          </w:tcPr>
          <w:p w14:paraId="267D637A">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i w:val="0"/>
                <w:color w:val="auto"/>
                <w:sz w:val="21"/>
                <w:szCs w:val="21"/>
                <w:highlight w:val="none"/>
              </w:rPr>
              <w:t>一级需求项</w:t>
            </w:r>
          </w:p>
        </w:tc>
        <w:tc>
          <w:tcPr>
            <w:tcW w:w="1347" w:type="dxa"/>
            <w:tcBorders>
              <w:top w:val="single" w:color="auto" w:sz="6" w:space="0"/>
              <w:left w:val="single" w:color="auto" w:sz="6" w:space="0"/>
              <w:bottom w:val="single" w:color="auto" w:sz="6" w:space="0"/>
              <w:right w:val="single" w:color="auto" w:sz="6" w:space="0"/>
              <w:tl2br w:val="nil"/>
              <w:tr2bl w:val="nil"/>
            </w:tcBorders>
            <w:shd w:val="clear" w:color="auto" w:fill="D8D8D8"/>
            <w:noWrap/>
            <w:vAlign w:val="center"/>
          </w:tcPr>
          <w:p w14:paraId="173CF16B">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i w:val="0"/>
                <w:color w:val="auto"/>
                <w:sz w:val="21"/>
                <w:szCs w:val="21"/>
                <w:highlight w:val="none"/>
              </w:rPr>
              <w:t>二级需求项</w:t>
            </w:r>
          </w:p>
        </w:tc>
        <w:tc>
          <w:tcPr>
            <w:tcW w:w="5909" w:type="dxa"/>
            <w:tcBorders>
              <w:top w:val="single" w:color="auto" w:sz="6" w:space="0"/>
              <w:left w:val="single" w:color="auto" w:sz="6" w:space="0"/>
              <w:bottom w:val="single" w:color="auto" w:sz="6" w:space="0"/>
              <w:right w:val="single" w:color="auto" w:sz="6" w:space="0"/>
              <w:tl2br w:val="nil"/>
              <w:tr2bl w:val="nil"/>
            </w:tcBorders>
            <w:shd w:val="clear" w:color="auto" w:fill="D8D8D8"/>
            <w:noWrap/>
            <w:vAlign w:val="center"/>
          </w:tcPr>
          <w:p w14:paraId="606C20C3">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i w:val="0"/>
                <w:color w:val="auto"/>
                <w:sz w:val="21"/>
                <w:szCs w:val="21"/>
                <w:highlight w:val="none"/>
              </w:rPr>
              <w:t>具体要求</w:t>
            </w:r>
          </w:p>
        </w:tc>
      </w:tr>
      <w:tr w14:paraId="04586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1" w:hRule="atLeast"/>
          <w:jc w:val="center"/>
        </w:trPr>
        <w:tc>
          <w:tcPr>
            <w:tcW w:w="675" w:type="dxa"/>
            <w:tcBorders>
              <w:top w:val="single" w:color="auto" w:sz="6" w:space="0"/>
              <w:left w:val="single" w:color="auto" w:sz="6" w:space="0"/>
              <w:bottom w:val="single" w:color="auto" w:sz="6" w:space="0"/>
              <w:right w:val="single" w:color="auto" w:sz="6" w:space="0"/>
              <w:tl2br w:val="nil"/>
              <w:tr2bl w:val="nil"/>
            </w:tcBorders>
            <w:noWrap/>
            <w:vAlign w:val="center"/>
          </w:tcPr>
          <w:p w14:paraId="5C00CDB5">
            <w:pPr>
              <w:keepNext w:val="0"/>
              <w:keepLines w:val="0"/>
              <w:pageBreakBefore w:val="0"/>
              <w:widowControl w:val="0"/>
              <w:numPr>
                <w:ilvl w:val="0"/>
                <w:numId w:val="10"/>
              </w:numPr>
              <w:kinsoku/>
              <w:wordWrap/>
              <w:overflowPunct/>
              <w:topLinePunct w:val="0"/>
              <w:autoSpaceDE w:val="0"/>
              <w:autoSpaceDN w:val="0"/>
              <w:bidi w:val="0"/>
              <w:adjustRightInd/>
              <w:snapToGrid/>
              <w:spacing w:beforeAutospacing="0" w:afterAutospacing="0" w:line="400" w:lineRule="exact"/>
              <w:ind w:left="454" w:leftChars="0" w:hanging="454" w:firstLineChars="0"/>
              <w:jc w:val="center"/>
              <w:textAlignment w:val="auto"/>
              <w:rPr>
                <w:rFonts w:hint="default" w:ascii="Times New Roman" w:hAnsi="Times New Roman" w:cs="Times New Roman"/>
                <w:color w:val="auto"/>
                <w:sz w:val="21"/>
                <w:szCs w:val="21"/>
                <w:highlight w:val="none"/>
              </w:rPr>
            </w:pPr>
          </w:p>
        </w:tc>
        <w:tc>
          <w:tcPr>
            <w:tcW w:w="1322"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390D14F7">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b w:val="0"/>
                <w:i w:val="0"/>
                <w:color w:val="auto"/>
                <w:sz w:val="21"/>
                <w:szCs w:val="21"/>
                <w:highlight w:val="none"/>
              </w:rPr>
              <w:t>基础服务</w:t>
            </w:r>
          </w:p>
        </w:tc>
        <w:tc>
          <w:tcPr>
            <w:tcW w:w="1347"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4C865BC2">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b w:val="0"/>
                <w:i w:val="0"/>
                <w:color w:val="auto"/>
                <w:sz w:val="21"/>
                <w:szCs w:val="21"/>
                <w:highlight w:val="none"/>
              </w:rPr>
              <w:t>分布式存储服务</w:t>
            </w:r>
          </w:p>
        </w:tc>
        <w:tc>
          <w:tcPr>
            <w:tcW w:w="5909" w:type="dxa"/>
            <w:tcBorders>
              <w:top w:val="single" w:color="auto" w:sz="6" w:space="0"/>
              <w:left w:val="single" w:color="auto" w:sz="6" w:space="0"/>
              <w:bottom w:val="single" w:color="auto" w:sz="6" w:space="0"/>
              <w:right w:val="single" w:color="auto" w:sz="6" w:space="0"/>
              <w:tl2br w:val="nil"/>
              <w:tr2bl w:val="nil"/>
            </w:tcBorders>
            <w:noWrap/>
            <w:vAlign w:val="center"/>
          </w:tcPr>
          <w:p w14:paraId="26BA0428">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b w:val="0"/>
                <w:i w:val="0"/>
                <w:color w:val="auto"/>
                <w:sz w:val="21"/>
                <w:szCs w:val="21"/>
                <w:highlight w:val="none"/>
              </w:rPr>
              <w:t>提供完善、稳定、高可用的分布式文件系统服务。支持横向的扩缩容和多样化的数据类型存储，如结构化、半结构化、非结构化数据存储；无单点故障，提供成熟的高可用方案；支持多种存储介质的异构分布式存储架构，从而有效利用内存、SSD等存储介质的性能优势以及传统磁盘的容量成本优势。</w:t>
            </w:r>
          </w:p>
        </w:tc>
      </w:tr>
      <w:tr w14:paraId="1F15E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675" w:type="dxa"/>
            <w:tcBorders>
              <w:top w:val="single" w:color="auto" w:sz="6" w:space="0"/>
              <w:left w:val="single" w:color="auto" w:sz="6" w:space="0"/>
              <w:bottom w:val="single" w:color="auto" w:sz="6" w:space="0"/>
              <w:right w:val="single" w:color="auto" w:sz="6" w:space="0"/>
              <w:tl2br w:val="nil"/>
              <w:tr2bl w:val="nil"/>
            </w:tcBorders>
            <w:noWrap/>
            <w:vAlign w:val="center"/>
          </w:tcPr>
          <w:p w14:paraId="460C5A6A">
            <w:pPr>
              <w:keepNext w:val="0"/>
              <w:keepLines w:val="0"/>
              <w:pageBreakBefore w:val="0"/>
              <w:widowControl w:val="0"/>
              <w:numPr>
                <w:ilvl w:val="0"/>
                <w:numId w:val="10"/>
              </w:numPr>
              <w:kinsoku/>
              <w:wordWrap/>
              <w:overflowPunct/>
              <w:topLinePunct w:val="0"/>
              <w:autoSpaceDE w:val="0"/>
              <w:autoSpaceDN w:val="0"/>
              <w:bidi w:val="0"/>
              <w:adjustRightInd/>
              <w:snapToGrid/>
              <w:spacing w:beforeAutospacing="0" w:afterAutospacing="0" w:line="400" w:lineRule="exact"/>
              <w:ind w:left="454" w:leftChars="0" w:hanging="454" w:firstLineChars="0"/>
              <w:jc w:val="center"/>
              <w:textAlignment w:val="auto"/>
              <w:rPr>
                <w:rFonts w:hint="default" w:ascii="Times New Roman" w:hAnsi="Times New Roman" w:cs="Times New Roman"/>
                <w:color w:val="auto"/>
                <w:sz w:val="21"/>
                <w:szCs w:val="21"/>
                <w:highlight w:val="none"/>
              </w:rPr>
            </w:pPr>
          </w:p>
        </w:tc>
        <w:tc>
          <w:tcPr>
            <w:tcW w:w="1322"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AD29828">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34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9B525C7">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5909" w:type="dxa"/>
            <w:tcBorders>
              <w:top w:val="single" w:color="auto" w:sz="6" w:space="0"/>
              <w:left w:val="single" w:color="auto" w:sz="6" w:space="0"/>
              <w:bottom w:val="single" w:color="auto" w:sz="6" w:space="0"/>
              <w:right w:val="single" w:color="auto" w:sz="6" w:space="0"/>
              <w:tl2br w:val="nil"/>
              <w:tr2bl w:val="nil"/>
            </w:tcBorders>
            <w:noWrap/>
            <w:vAlign w:val="center"/>
          </w:tcPr>
          <w:p w14:paraId="77CF7AE7">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b w:val="0"/>
                <w:i w:val="0"/>
                <w:color w:val="auto"/>
                <w:sz w:val="21"/>
                <w:szCs w:val="21"/>
                <w:highlight w:val="none"/>
              </w:rPr>
              <w:t>支持分级存储，即支持集群中同一节点上配备不同类型的磁盘，如SSD、SAS、SATA等，支持指定文件存放在指定类型磁盘上存储，提供多种标准访问方式，包括但不限于HTTP、HTTPS和原生API等。</w:t>
            </w:r>
          </w:p>
        </w:tc>
      </w:tr>
      <w:tr w14:paraId="74BB1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5" w:hRule="atLeast"/>
          <w:jc w:val="center"/>
        </w:trPr>
        <w:tc>
          <w:tcPr>
            <w:tcW w:w="675" w:type="dxa"/>
            <w:tcBorders>
              <w:top w:val="single" w:color="auto" w:sz="6" w:space="0"/>
              <w:left w:val="single" w:color="auto" w:sz="6" w:space="0"/>
              <w:bottom w:val="single" w:color="auto" w:sz="6" w:space="0"/>
              <w:right w:val="single" w:color="auto" w:sz="6" w:space="0"/>
              <w:tl2br w:val="nil"/>
              <w:tr2bl w:val="nil"/>
            </w:tcBorders>
            <w:noWrap/>
            <w:vAlign w:val="center"/>
          </w:tcPr>
          <w:p w14:paraId="7CC51516">
            <w:pPr>
              <w:keepNext w:val="0"/>
              <w:keepLines w:val="0"/>
              <w:pageBreakBefore w:val="0"/>
              <w:widowControl w:val="0"/>
              <w:numPr>
                <w:ilvl w:val="0"/>
                <w:numId w:val="10"/>
              </w:numPr>
              <w:kinsoku/>
              <w:wordWrap/>
              <w:overflowPunct/>
              <w:topLinePunct w:val="0"/>
              <w:autoSpaceDE w:val="0"/>
              <w:autoSpaceDN w:val="0"/>
              <w:bidi w:val="0"/>
              <w:adjustRightInd/>
              <w:snapToGrid/>
              <w:spacing w:beforeAutospacing="0" w:afterAutospacing="0" w:line="400" w:lineRule="exact"/>
              <w:ind w:left="454" w:leftChars="0" w:hanging="454" w:firstLineChars="0"/>
              <w:jc w:val="center"/>
              <w:textAlignment w:val="auto"/>
              <w:rPr>
                <w:rFonts w:hint="default" w:ascii="Times New Roman" w:hAnsi="Times New Roman" w:cs="Times New Roman"/>
                <w:color w:val="auto"/>
                <w:sz w:val="21"/>
                <w:szCs w:val="21"/>
                <w:highlight w:val="none"/>
              </w:rPr>
            </w:pPr>
          </w:p>
        </w:tc>
        <w:tc>
          <w:tcPr>
            <w:tcW w:w="1322"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CD6207B">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34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B15E14B">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5909" w:type="dxa"/>
            <w:tcBorders>
              <w:top w:val="single" w:color="auto" w:sz="6" w:space="0"/>
              <w:left w:val="single" w:color="auto" w:sz="6" w:space="0"/>
              <w:bottom w:val="single" w:color="auto" w:sz="6" w:space="0"/>
              <w:right w:val="single" w:color="auto" w:sz="6" w:space="0"/>
              <w:tl2br w:val="nil"/>
              <w:tr2bl w:val="nil"/>
            </w:tcBorders>
            <w:noWrap/>
            <w:vAlign w:val="center"/>
          </w:tcPr>
          <w:p w14:paraId="7BC5AC9D">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b w:val="0"/>
                <w:i w:val="0"/>
                <w:color w:val="auto"/>
                <w:sz w:val="21"/>
                <w:szCs w:val="21"/>
                <w:highlight w:val="none"/>
              </w:rPr>
              <w:t>采用UTF-8字符集，支持国标GB18030-2022实现级别3的标准或中国人民银行正式发布的《金融服务生僻字处理指南》（JR/T 0253</w:t>
            </w:r>
            <w:r>
              <w:rPr>
                <w:rFonts w:hint="eastAsia" w:ascii="Times New Roman" w:hAnsi="Times New Roman" w:cs="Times New Roman"/>
                <w:b w:val="0"/>
                <w:i w:val="0"/>
                <w:color w:val="auto"/>
                <w:sz w:val="21"/>
                <w:szCs w:val="21"/>
                <w:highlight w:val="none"/>
                <w:lang w:val="en-US" w:eastAsia="zh-CN"/>
              </w:rPr>
              <w:t>-</w:t>
            </w:r>
            <w:r>
              <w:rPr>
                <w:rFonts w:hint="default" w:ascii="Times New Roman" w:hAnsi="Times New Roman" w:cs="Times New Roman"/>
                <w:b w:val="0"/>
                <w:i w:val="0"/>
                <w:color w:val="auto"/>
                <w:sz w:val="21"/>
                <w:szCs w:val="21"/>
                <w:highlight w:val="none"/>
              </w:rPr>
              <w:t>2022）金融行业标准，支持国标生僻字的输入、传输和存储。</w:t>
            </w:r>
          </w:p>
        </w:tc>
      </w:tr>
      <w:tr w14:paraId="34698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jc w:val="center"/>
        </w:trPr>
        <w:tc>
          <w:tcPr>
            <w:tcW w:w="675" w:type="dxa"/>
            <w:tcBorders>
              <w:top w:val="single" w:color="auto" w:sz="6" w:space="0"/>
              <w:left w:val="single" w:color="auto" w:sz="6" w:space="0"/>
              <w:bottom w:val="single" w:color="auto" w:sz="6" w:space="0"/>
              <w:right w:val="single" w:color="auto" w:sz="6" w:space="0"/>
              <w:tl2br w:val="nil"/>
              <w:tr2bl w:val="nil"/>
            </w:tcBorders>
            <w:noWrap/>
            <w:vAlign w:val="center"/>
          </w:tcPr>
          <w:p w14:paraId="01FDA887">
            <w:pPr>
              <w:keepNext w:val="0"/>
              <w:keepLines w:val="0"/>
              <w:pageBreakBefore w:val="0"/>
              <w:widowControl w:val="0"/>
              <w:numPr>
                <w:ilvl w:val="0"/>
                <w:numId w:val="10"/>
              </w:numPr>
              <w:kinsoku/>
              <w:wordWrap/>
              <w:overflowPunct/>
              <w:topLinePunct w:val="0"/>
              <w:autoSpaceDE w:val="0"/>
              <w:autoSpaceDN w:val="0"/>
              <w:bidi w:val="0"/>
              <w:adjustRightInd/>
              <w:snapToGrid/>
              <w:spacing w:beforeAutospacing="0" w:afterAutospacing="0" w:line="400" w:lineRule="exact"/>
              <w:ind w:left="454" w:leftChars="0" w:hanging="454" w:firstLineChars="0"/>
              <w:jc w:val="center"/>
              <w:textAlignment w:val="auto"/>
              <w:rPr>
                <w:rFonts w:hint="default" w:ascii="Times New Roman" w:hAnsi="Times New Roman" w:cs="Times New Roman"/>
                <w:color w:val="auto"/>
                <w:sz w:val="21"/>
                <w:szCs w:val="21"/>
                <w:highlight w:val="none"/>
              </w:rPr>
            </w:pPr>
          </w:p>
        </w:tc>
        <w:tc>
          <w:tcPr>
            <w:tcW w:w="1322"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BFF4E7D">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347"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1366A55D">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b w:val="0"/>
                <w:i w:val="0"/>
                <w:color w:val="auto"/>
                <w:sz w:val="21"/>
                <w:szCs w:val="21"/>
                <w:highlight w:val="none"/>
              </w:rPr>
              <w:t>基础组件服务</w:t>
            </w:r>
          </w:p>
        </w:tc>
        <w:tc>
          <w:tcPr>
            <w:tcW w:w="5909" w:type="dxa"/>
            <w:tcBorders>
              <w:top w:val="single" w:color="auto" w:sz="6" w:space="0"/>
              <w:left w:val="single" w:color="auto" w:sz="6" w:space="0"/>
              <w:bottom w:val="single" w:color="auto" w:sz="6" w:space="0"/>
              <w:right w:val="single" w:color="auto" w:sz="6" w:space="0"/>
              <w:tl2br w:val="nil"/>
              <w:tr2bl w:val="nil"/>
            </w:tcBorders>
            <w:noWrap/>
            <w:vAlign w:val="center"/>
          </w:tcPr>
          <w:p w14:paraId="5A5D7CB4">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b w:val="0"/>
                <w:i w:val="0"/>
                <w:color w:val="auto"/>
                <w:sz w:val="21"/>
                <w:szCs w:val="21"/>
                <w:highlight w:val="none"/>
              </w:rPr>
              <w:t>具有完备的分布式大数据技术体系组件服务，并纳入统一管理、维护和运营。提供的组件服务包括但不限于HDFS、HIVE、HBASE、RANGER、KUDU、SOLR、SPARK、IMPALA、HUDI/ICEBERG、PRESTO/TRINO、CLICKHOUSE</w:t>
            </w:r>
            <w:r>
              <w:rPr>
                <w:rFonts w:hint="eastAsia" w:ascii="Times New Roman" w:hAnsi="Times New Roman" w:cs="Times New Roman"/>
                <w:b w:val="0"/>
                <w:i w:val="0"/>
                <w:color w:val="auto"/>
                <w:sz w:val="21"/>
                <w:szCs w:val="21"/>
                <w:highlight w:val="none"/>
                <w:lang w:eastAsia="zh-CN"/>
              </w:rPr>
              <w:t>、</w:t>
            </w:r>
            <w:r>
              <w:rPr>
                <w:rFonts w:hint="default" w:ascii="Times New Roman" w:hAnsi="Times New Roman" w:cs="Times New Roman"/>
                <w:b w:val="0"/>
                <w:i w:val="0"/>
                <w:color w:val="auto"/>
                <w:sz w:val="21"/>
                <w:szCs w:val="21"/>
                <w:highlight w:val="none"/>
              </w:rPr>
              <w:t>DORIS、KAFKA、ELASTICSEARCH等或支持同等能力的组件服务，支持多种数据存储格式，满足湖仓一体、批流一体的应用场景；</w:t>
            </w:r>
          </w:p>
        </w:tc>
      </w:tr>
      <w:tr w14:paraId="172DD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jc w:val="center"/>
        </w:trPr>
        <w:tc>
          <w:tcPr>
            <w:tcW w:w="675" w:type="dxa"/>
            <w:tcBorders>
              <w:top w:val="single" w:color="auto" w:sz="6" w:space="0"/>
              <w:left w:val="single" w:color="auto" w:sz="6" w:space="0"/>
              <w:bottom w:val="single" w:color="auto" w:sz="6" w:space="0"/>
              <w:right w:val="single" w:color="auto" w:sz="6" w:space="0"/>
              <w:tl2br w:val="nil"/>
              <w:tr2bl w:val="nil"/>
            </w:tcBorders>
            <w:noWrap/>
            <w:vAlign w:val="center"/>
          </w:tcPr>
          <w:p w14:paraId="6665121D">
            <w:pPr>
              <w:keepNext w:val="0"/>
              <w:keepLines w:val="0"/>
              <w:pageBreakBefore w:val="0"/>
              <w:widowControl w:val="0"/>
              <w:numPr>
                <w:ilvl w:val="0"/>
                <w:numId w:val="10"/>
              </w:numPr>
              <w:kinsoku/>
              <w:wordWrap/>
              <w:overflowPunct/>
              <w:topLinePunct w:val="0"/>
              <w:autoSpaceDE w:val="0"/>
              <w:autoSpaceDN w:val="0"/>
              <w:bidi w:val="0"/>
              <w:adjustRightInd/>
              <w:snapToGrid/>
              <w:spacing w:beforeAutospacing="0" w:afterAutospacing="0" w:line="400" w:lineRule="exact"/>
              <w:ind w:left="454" w:leftChars="0" w:hanging="454" w:firstLineChars="0"/>
              <w:jc w:val="center"/>
              <w:textAlignment w:val="auto"/>
              <w:rPr>
                <w:rFonts w:hint="default" w:ascii="Times New Roman" w:hAnsi="Times New Roman" w:cs="Times New Roman"/>
                <w:color w:val="auto"/>
                <w:sz w:val="21"/>
                <w:szCs w:val="21"/>
                <w:highlight w:val="none"/>
              </w:rPr>
            </w:pPr>
          </w:p>
        </w:tc>
        <w:tc>
          <w:tcPr>
            <w:tcW w:w="1322"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DC19934">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347" w:type="dxa"/>
            <w:vMerge w:val="continue"/>
            <w:tcBorders>
              <w:left w:val="single" w:color="auto" w:sz="6" w:space="0"/>
              <w:right w:val="single" w:color="auto" w:sz="6" w:space="0"/>
              <w:tl2br w:val="nil"/>
              <w:tr2bl w:val="nil"/>
            </w:tcBorders>
            <w:noWrap/>
            <w:vAlign w:val="center"/>
          </w:tcPr>
          <w:p w14:paraId="43CA5821">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center"/>
              <w:textAlignment w:val="auto"/>
              <w:rPr>
                <w:rFonts w:hint="default" w:ascii="Times New Roman" w:hAnsi="Times New Roman" w:cs="Times New Roman"/>
                <w:b w:val="0"/>
                <w:i w:val="0"/>
                <w:color w:val="auto"/>
                <w:sz w:val="21"/>
                <w:szCs w:val="21"/>
                <w:highlight w:val="none"/>
              </w:rPr>
            </w:pPr>
          </w:p>
        </w:tc>
        <w:tc>
          <w:tcPr>
            <w:tcW w:w="5909" w:type="dxa"/>
            <w:tcBorders>
              <w:top w:val="single" w:color="auto" w:sz="6" w:space="0"/>
              <w:left w:val="single" w:color="auto" w:sz="6" w:space="0"/>
              <w:bottom w:val="single" w:color="auto" w:sz="6" w:space="0"/>
              <w:right w:val="single" w:color="auto" w:sz="6" w:space="0"/>
              <w:tl2br w:val="nil"/>
              <w:tr2bl w:val="nil"/>
            </w:tcBorders>
            <w:noWrap/>
            <w:vAlign w:val="center"/>
          </w:tcPr>
          <w:p w14:paraId="42B23CDC">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left"/>
              <w:textAlignment w:val="auto"/>
              <w:rPr>
                <w:rFonts w:hint="default" w:ascii="Times New Roman" w:hAnsi="Times New Roman" w:cs="Times New Roman"/>
                <w:b w:val="0"/>
                <w:i w:val="0"/>
                <w:color w:val="auto"/>
                <w:sz w:val="21"/>
                <w:szCs w:val="21"/>
                <w:highlight w:val="none"/>
              </w:rPr>
            </w:pPr>
            <w:r>
              <w:rPr>
                <w:rFonts w:hint="default" w:ascii="Times New Roman" w:hAnsi="Times New Roman" w:cs="Times New Roman"/>
                <w:b w:val="0"/>
                <w:i w:val="0"/>
                <w:color w:val="auto"/>
                <w:sz w:val="21"/>
                <w:szCs w:val="21"/>
                <w:highlight w:val="none"/>
              </w:rPr>
              <w:t>支持流计算组件，支持SQL、STREAMING等多种实时计算能力和场景，满足批流融合的应用场景和服务需要；</w:t>
            </w:r>
          </w:p>
        </w:tc>
      </w:tr>
      <w:tr w14:paraId="66BA9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3" w:hRule="atLeast"/>
          <w:jc w:val="center"/>
        </w:trPr>
        <w:tc>
          <w:tcPr>
            <w:tcW w:w="675" w:type="dxa"/>
            <w:tcBorders>
              <w:top w:val="single" w:color="auto" w:sz="6" w:space="0"/>
              <w:left w:val="single" w:color="auto" w:sz="6" w:space="0"/>
              <w:bottom w:val="single" w:color="auto" w:sz="6" w:space="0"/>
              <w:right w:val="single" w:color="auto" w:sz="6" w:space="0"/>
              <w:tl2br w:val="nil"/>
              <w:tr2bl w:val="nil"/>
            </w:tcBorders>
            <w:noWrap/>
            <w:vAlign w:val="center"/>
          </w:tcPr>
          <w:p w14:paraId="55B006C5">
            <w:pPr>
              <w:keepNext w:val="0"/>
              <w:keepLines w:val="0"/>
              <w:pageBreakBefore w:val="0"/>
              <w:widowControl w:val="0"/>
              <w:numPr>
                <w:ilvl w:val="0"/>
                <w:numId w:val="10"/>
              </w:numPr>
              <w:kinsoku/>
              <w:wordWrap/>
              <w:overflowPunct/>
              <w:topLinePunct w:val="0"/>
              <w:autoSpaceDE w:val="0"/>
              <w:autoSpaceDN w:val="0"/>
              <w:bidi w:val="0"/>
              <w:adjustRightInd/>
              <w:snapToGrid/>
              <w:spacing w:beforeAutospacing="0" w:afterAutospacing="0" w:line="400" w:lineRule="exact"/>
              <w:ind w:left="454" w:leftChars="0" w:hanging="454" w:firstLineChars="0"/>
              <w:jc w:val="center"/>
              <w:textAlignment w:val="auto"/>
              <w:rPr>
                <w:rFonts w:hint="default" w:ascii="Times New Roman" w:hAnsi="Times New Roman" w:cs="Times New Roman"/>
                <w:color w:val="auto"/>
                <w:sz w:val="21"/>
                <w:szCs w:val="21"/>
                <w:highlight w:val="none"/>
              </w:rPr>
            </w:pPr>
          </w:p>
        </w:tc>
        <w:tc>
          <w:tcPr>
            <w:tcW w:w="1322"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1DA6F23">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34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6A35FC5">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5909" w:type="dxa"/>
            <w:tcBorders>
              <w:top w:val="single" w:color="auto" w:sz="6" w:space="0"/>
              <w:left w:val="single" w:color="auto" w:sz="6" w:space="0"/>
              <w:bottom w:val="single" w:color="auto" w:sz="6" w:space="0"/>
              <w:right w:val="single" w:color="auto" w:sz="6" w:space="0"/>
              <w:tl2br w:val="nil"/>
              <w:tr2bl w:val="nil"/>
            </w:tcBorders>
            <w:noWrap/>
            <w:vAlign w:val="center"/>
          </w:tcPr>
          <w:p w14:paraId="679E468E">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b w:val="0"/>
                <w:i w:val="0"/>
                <w:color w:val="auto"/>
                <w:sz w:val="21"/>
                <w:szCs w:val="21"/>
                <w:highlight w:val="none"/>
              </w:rPr>
              <w:t>各组件服务具有良好的API接口开放能力，需要兼容开源相关组件的API服务，以便于后续的业务服务对接；具有良好的扩展性、稳定性和高可用性（即99.99%的时间可用），满足业务对数据平台的稳定性和服务连续性的要求；</w:t>
            </w:r>
          </w:p>
        </w:tc>
      </w:tr>
      <w:tr w14:paraId="2046A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jc w:val="center"/>
        </w:trPr>
        <w:tc>
          <w:tcPr>
            <w:tcW w:w="675" w:type="dxa"/>
            <w:tcBorders>
              <w:top w:val="single" w:color="auto" w:sz="6" w:space="0"/>
              <w:left w:val="single" w:color="auto" w:sz="6" w:space="0"/>
              <w:bottom w:val="single" w:color="auto" w:sz="6" w:space="0"/>
              <w:right w:val="single" w:color="auto" w:sz="6" w:space="0"/>
              <w:tl2br w:val="nil"/>
              <w:tr2bl w:val="nil"/>
            </w:tcBorders>
            <w:noWrap/>
            <w:vAlign w:val="center"/>
          </w:tcPr>
          <w:p w14:paraId="2B65432A">
            <w:pPr>
              <w:keepNext w:val="0"/>
              <w:keepLines w:val="0"/>
              <w:pageBreakBefore w:val="0"/>
              <w:widowControl w:val="0"/>
              <w:numPr>
                <w:ilvl w:val="0"/>
                <w:numId w:val="10"/>
              </w:numPr>
              <w:kinsoku/>
              <w:wordWrap/>
              <w:overflowPunct/>
              <w:topLinePunct w:val="0"/>
              <w:autoSpaceDE w:val="0"/>
              <w:autoSpaceDN w:val="0"/>
              <w:bidi w:val="0"/>
              <w:adjustRightInd/>
              <w:snapToGrid/>
              <w:spacing w:beforeAutospacing="0" w:afterAutospacing="0" w:line="400" w:lineRule="exact"/>
              <w:ind w:left="454" w:leftChars="0" w:hanging="454" w:firstLineChars="0"/>
              <w:jc w:val="center"/>
              <w:textAlignment w:val="auto"/>
              <w:rPr>
                <w:rFonts w:hint="default" w:ascii="Times New Roman" w:hAnsi="Times New Roman" w:cs="Times New Roman"/>
                <w:color w:val="auto"/>
                <w:sz w:val="21"/>
                <w:szCs w:val="21"/>
                <w:highlight w:val="none"/>
              </w:rPr>
            </w:pPr>
          </w:p>
        </w:tc>
        <w:tc>
          <w:tcPr>
            <w:tcW w:w="1322"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882E8C7">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34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FD452E2">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5909" w:type="dxa"/>
            <w:tcBorders>
              <w:top w:val="single" w:color="auto" w:sz="6" w:space="0"/>
              <w:left w:val="single" w:color="auto" w:sz="6" w:space="0"/>
              <w:bottom w:val="single" w:color="auto" w:sz="6" w:space="0"/>
              <w:right w:val="single" w:color="auto" w:sz="6" w:space="0"/>
              <w:tl2br w:val="nil"/>
              <w:tr2bl w:val="nil"/>
            </w:tcBorders>
            <w:noWrap/>
            <w:vAlign w:val="center"/>
          </w:tcPr>
          <w:p w14:paraId="06F39D1A">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b w:val="0"/>
                <w:i w:val="0"/>
                <w:color w:val="auto"/>
                <w:sz w:val="21"/>
                <w:szCs w:val="21"/>
                <w:highlight w:val="none"/>
              </w:rPr>
              <w:t>具备</w:t>
            </w:r>
            <w:r>
              <w:rPr>
                <w:rFonts w:hint="eastAsia" w:ascii="Times New Roman" w:hAnsi="Times New Roman" w:cs="Times New Roman"/>
                <w:b w:val="0"/>
                <w:i w:val="0"/>
                <w:color w:val="auto"/>
                <w:sz w:val="21"/>
                <w:szCs w:val="21"/>
                <w:highlight w:val="none"/>
                <w:lang w:val="en-US" w:eastAsia="zh-CN"/>
              </w:rPr>
              <w:t>支撑</w:t>
            </w:r>
            <w:r>
              <w:rPr>
                <w:rFonts w:hint="default" w:ascii="Times New Roman" w:hAnsi="Times New Roman" w:cs="Times New Roman"/>
                <w:b w:val="0"/>
                <w:i w:val="0"/>
                <w:color w:val="auto"/>
                <w:sz w:val="21"/>
                <w:szCs w:val="21"/>
                <w:highlight w:val="none"/>
              </w:rPr>
              <w:t>数据分析</w:t>
            </w:r>
            <w:r>
              <w:rPr>
                <w:rFonts w:hint="eastAsia" w:ascii="Times New Roman" w:hAnsi="Times New Roman" w:cs="Times New Roman"/>
                <w:b w:val="0"/>
                <w:i w:val="0"/>
                <w:color w:val="auto"/>
                <w:sz w:val="21"/>
                <w:szCs w:val="21"/>
                <w:highlight w:val="none"/>
                <w:lang w:eastAsia="zh-CN"/>
              </w:rPr>
              <w:t>、</w:t>
            </w:r>
            <w:r>
              <w:rPr>
                <w:rFonts w:hint="default" w:ascii="Times New Roman" w:hAnsi="Times New Roman" w:cs="Times New Roman"/>
                <w:b w:val="0"/>
                <w:i w:val="0"/>
                <w:color w:val="auto"/>
                <w:sz w:val="21"/>
                <w:szCs w:val="21"/>
                <w:highlight w:val="none"/>
              </w:rPr>
              <w:t>即席查询等场景的功能服务，保障多表关联复杂查询的可用性、查询效率和性能要求（秒级）等，支持查询结果数据导出；</w:t>
            </w:r>
          </w:p>
        </w:tc>
      </w:tr>
      <w:tr w14:paraId="6ED52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75" w:type="dxa"/>
            <w:tcBorders>
              <w:top w:val="single" w:color="auto" w:sz="6" w:space="0"/>
              <w:left w:val="single" w:color="auto" w:sz="6" w:space="0"/>
              <w:bottom w:val="single" w:color="auto" w:sz="6" w:space="0"/>
              <w:right w:val="single" w:color="auto" w:sz="6" w:space="0"/>
              <w:tl2br w:val="nil"/>
              <w:tr2bl w:val="nil"/>
            </w:tcBorders>
            <w:noWrap/>
            <w:vAlign w:val="center"/>
          </w:tcPr>
          <w:p w14:paraId="024DF58E">
            <w:pPr>
              <w:keepNext w:val="0"/>
              <w:keepLines w:val="0"/>
              <w:pageBreakBefore w:val="0"/>
              <w:widowControl w:val="0"/>
              <w:numPr>
                <w:ilvl w:val="0"/>
                <w:numId w:val="10"/>
              </w:numPr>
              <w:kinsoku/>
              <w:wordWrap/>
              <w:overflowPunct/>
              <w:topLinePunct w:val="0"/>
              <w:autoSpaceDE w:val="0"/>
              <w:autoSpaceDN w:val="0"/>
              <w:bidi w:val="0"/>
              <w:adjustRightInd/>
              <w:snapToGrid/>
              <w:spacing w:beforeAutospacing="0" w:afterAutospacing="0" w:line="400" w:lineRule="exact"/>
              <w:ind w:left="454" w:leftChars="0" w:hanging="454" w:firstLineChars="0"/>
              <w:jc w:val="center"/>
              <w:textAlignment w:val="auto"/>
              <w:rPr>
                <w:rFonts w:hint="default" w:ascii="Times New Roman" w:hAnsi="Times New Roman" w:cs="Times New Roman"/>
                <w:color w:val="auto"/>
                <w:sz w:val="21"/>
                <w:szCs w:val="21"/>
                <w:highlight w:val="none"/>
              </w:rPr>
            </w:pPr>
          </w:p>
        </w:tc>
        <w:tc>
          <w:tcPr>
            <w:tcW w:w="1322"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586C899">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34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5A133F9">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5909" w:type="dxa"/>
            <w:tcBorders>
              <w:top w:val="single" w:color="auto" w:sz="6" w:space="0"/>
              <w:left w:val="single" w:color="auto" w:sz="6" w:space="0"/>
              <w:bottom w:val="single" w:color="auto" w:sz="6" w:space="0"/>
              <w:right w:val="single" w:color="auto" w:sz="6" w:space="0"/>
              <w:tl2br w:val="nil"/>
              <w:tr2bl w:val="nil"/>
            </w:tcBorders>
            <w:noWrap/>
            <w:vAlign w:val="center"/>
          </w:tcPr>
          <w:p w14:paraId="1D4B2AB4">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b w:val="0"/>
                <w:i w:val="0"/>
                <w:color w:val="auto"/>
                <w:sz w:val="21"/>
                <w:szCs w:val="21"/>
                <w:highlight w:val="none"/>
              </w:rPr>
              <w:t>支撑良好的批量数据处理能力，支持分区表和拉链表，提供表的行级更新能力，并满足性能要求；</w:t>
            </w:r>
          </w:p>
        </w:tc>
      </w:tr>
      <w:tr w14:paraId="7AA7C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675" w:type="dxa"/>
            <w:tcBorders>
              <w:top w:val="single" w:color="auto" w:sz="6" w:space="0"/>
              <w:left w:val="single" w:color="auto" w:sz="6" w:space="0"/>
              <w:bottom w:val="single" w:color="auto" w:sz="6" w:space="0"/>
              <w:right w:val="single" w:color="auto" w:sz="6" w:space="0"/>
              <w:tl2br w:val="nil"/>
              <w:tr2bl w:val="nil"/>
            </w:tcBorders>
            <w:noWrap/>
            <w:vAlign w:val="center"/>
          </w:tcPr>
          <w:p w14:paraId="75FC709D">
            <w:pPr>
              <w:keepNext w:val="0"/>
              <w:keepLines w:val="0"/>
              <w:pageBreakBefore w:val="0"/>
              <w:widowControl w:val="0"/>
              <w:numPr>
                <w:ilvl w:val="0"/>
                <w:numId w:val="10"/>
              </w:numPr>
              <w:kinsoku/>
              <w:wordWrap/>
              <w:overflowPunct/>
              <w:topLinePunct w:val="0"/>
              <w:autoSpaceDE w:val="0"/>
              <w:autoSpaceDN w:val="0"/>
              <w:bidi w:val="0"/>
              <w:adjustRightInd/>
              <w:snapToGrid/>
              <w:spacing w:beforeAutospacing="0" w:afterAutospacing="0" w:line="400" w:lineRule="exact"/>
              <w:ind w:left="454" w:leftChars="0" w:hanging="454" w:firstLineChars="0"/>
              <w:jc w:val="center"/>
              <w:textAlignment w:val="auto"/>
              <w:rPr>
                <w:rFonts w:hint="default" w:ascii="Times New Roman" w:hAnsi="Times New Roman" w:cs="Times New Roman"/>
                <w:color w:val="auto"/>
                <w:sz w:val="21"/>
                <w:szCs w:val="21"/>
                <w:highlight w:val="none"/>
              </w:rPr>
            </w:pPr>
          </w:p>
        </w:tc>
        <w:tc>
          <w:tcPr>
            <w:tcW w:w="1322"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3F70AEA5">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b w:val="0"/>
                <w:i w:val="0"/>
                <w:color w:val="auto"/>
                <w:sz w:val="21"/>
                <w:szCs w:val="21"/>
                <w:highlight w:val="none"/>
              </w:rPr>
              <w:t>平台管理运营</w:t>
            </w:r>
          </w:p>
        </w:tc>
        <w:tc>
          <w:tcPr>
            <w:tcW w:w="1347"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245F8B30">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b w:val="0"/>
                <w:i w:val="0"/>
                <w:color w:val="auto"/>
                <w:sz w:val="21"/>
                <w:szCs w:val="21"/>
                <w:highlight w:val="none"/>
              </w:rPr>
              <w:t>运营管理</w:t>
            </w:r>
          </w:p>
        </w:tc>
        <w:tc>
          <w:tcPr>
            <w:tcW w:w="5909" w:type="dxa"/>
            <w:tcBorders>
              <w:top w:val="single" w:color="auto" w:sz="6" w:space="0"/>
              <w:left w:val="single" w:color="auto" w:sz="6" w:space="0"/>
              <w:bottom w:val="single" w:color="auto" w:sz="6" w:space="0"/>
              <w:right w:val="single" w:color="auto" w:sz="6" w:space="0"/>
              <w:tl2br w:val="nil"/>
              <w:tr2bl w:val="nil"/>
            </w:tcBorders>
            <w:noWrap/>
            <w:vAlign w:val="center"/>
          </w:tcPr>
          <w:p w14:paraId="6E5E763F">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left"/>
              <w:textAlignment w:val="auto"/>
              <w:rPr>
                <w:rFonts w:hint="eastAsia" w:ascii="Times New Roman" w:hAnsi="Times New Roman" w:eastAsia="宋体" w:cs="Times New Roman"/>
                <w:color w:val="auto"/>
                <w:sz w:val="21"/>
                <w:szCs w:val="21"/>
                <w:highlight w:val="none"/>
                <w:lang w:eastAsia="zh-CN"/>
              </w:rPr>
            </w:pPr>
            <w:r>
              <w:rPr>
                <w:rFonts w:hint="default" w:ascii="Times New Roman" w:hAnsi="Times New Roman" w:cs="Times New Roman"/>
                <w:b w:val="0"/>
                <w:i w:val="0"/>
                <w:color w:val="auto"/>
                <w:sz w:val="21"/>
                <w:szCs w:val="21"/>
                <w:highlight w:val="none"/>
              </w:rPr>
              <w:t>支持通过可视化管理台的方式对集群服务管理，包括但不限于集群创建、删除、节点扩缩容，服务启停、配置修改、运维管控、数据迁移、容灾备份、用户及租户权限体系管理等</w:t>
            </w:r>
            <w:r>
              <w:rPr>
                <w:rFonts w:hint="eastAsia" w:ascii="Times New Roman" w:hAnsi="Times New Roman" w:cs="Times New Roman"/>
                <w:b w:val="0"/>
                <w:i w:val="0"/>
                <w:color w:val="auto"/>
                <w:sz w:val="21"/>
                <w:szCs w:val="21"/>
                <w:highlight w:val="none"/>
                <w:lang w:eastAsia="zh-CN"/>
              </w:rPr>
              <w:t>；</w:t>
            </w:r>
          </w:p>
        </w:tc>
      </w:tr>
      <w:tr w14:paraId="41770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jc w:val="center"/>
        </w:trPr>
        <w:tc>
          <w:tcPr>
            <w:tcW w:w="675" w:type="dxa"/>
            <w:tcBorders>
              <w:top w:val="single" w:color="auto" w:sz="6" w:space="0"/>
              <w:left w:val="single" w:color="auto" w:sz="6" w:space="0"/>
              <w:bottom w:val="single" w:color="auto" w:sz="6" w:space="0"/>
              <w:right w:val="single" w:color="auto" w:sz="6" w:space="0"/>
              <w:tl2br w:val="nil"/>
              <w:tr2bl w:val="nil"/>
            </w:tcBorders>
            <w:noWrap/>
            <w:vAlign w:val="center"/>
          </w:tcPr>
          <w:p w14:paraId="643A2042">
            <w:pPr>
              <w:keepNext w:val="0"/>
              <w:keepLines w:val="0"/>
              <w:pageBreakBefore w:val="0"/>
              <w:widowControl w:val="0"/>
              <w:numPr>
                <w:ilvl w:val="0"/>
                <w:numId w:val="10"/>
              </w:numPr>
              <w:kinsoku/>
              <w:wordWrap/>
              <w:overflowPunct/>
              <w:topLinePunct w:val="0"/>
              <w:autoSpaceDE w:val="0"/>
              <w:autoSpaceDN w:val="0"/>
              <w:bidi w:val="0"/>
              <w:adjustRightInd/>
              <w:snapToGrid/>
              <w:spacing w:beforeAutospacing="0" w:afterAutospacing="0" w:line="400" w:lineRule="exact"/>
              <w:ind w:left="454" w:leftChars="0" w:hanging="454" w:firstLineChars="0"/>
              <w:jc w:val="center"/>
              <w:textAlignment w:val="auto"/>
              <w:rPr>
                <w:rFonts w:hint="default" w:ascii="Times New Roman" w:hAnsi="Times New Roman" w:cs="Times New Roman"/>
                <w:b w:val="0"/>
                <w:i w:val="0"/>
                <w:color w:val="auto"/>
                <w:sz w:val="21"/>
                <w:szCs w:val="21"/>
                <w:highlight w:val="none"/>
              </w:rPr>
            </w:pPr>
          </w:p>
        </w:tc>
        <w:tc>
          <w:tcPr>
            <w:tcW w:w="1322"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BD49BD9">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34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4184F1A">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5909" w:type="dxa"/>
            <w:tcBorders>
              <w:top w:val="single" w:color="auto" w:sz="6" w:space="0"/>
              <w:left w:val="single" w:color="auto" w:sz="6" w:space="0"/>
              <w:bottom w:val="single" w:color="auto" w:sz="6" w:space="0"/>
              <w:right w:val="single" w:color="auto" w:sz="6" w:space="0"/>
              <w:tl2br w:val="nil"/>
              <w:tr2bl w:val="nil"/>
            </w:tcBorders>
            <w:noWrap/>
            <w:vAlign w:val="center"/>
          </w:tcPr>
          <w:p w14:paraId="67236A18">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left"/>
              <w:textAlignment w:val="auto"/>
              <w:rPr>
                <w:rFonts w:hint="default" w:ascii="Times New Roman" w:hAnsi="Times New Roman" w:cs="Times New Roman"/>
                <w:b w:val="0"/>
                <w:i w:val="0"/>
                <w:color w:val="auto"/>
                <w:sz w:val="21"/>
                <w:szCs w:val="21"/>
                <w:highlight w:val="none"/>
              </w:rPr>
            </w:pPr>
            <w:r>
              <w:rPr>
                <w:rFonts w:hint="eastAsia" w:ascii="Times New Roman" w:hAnsi="Times New Roman" w:cs="Times New Roman"/>
                <w:b w:val="0"/>
                <w:i w:val="0"/>
                <w:color w:val="auto"/>
                <w:sz w:val="21"/>
                <w:szCs w:val="21"/>
                <w:highlight w:val="none"/>
                <w:lang w:val="en-US" w:eastAsia="zh-CN"/>
              </w:rPr>
              <w:t>需支持滚动升级能力，升级过程中业务不中断；支持一次升级少量节点、循环滚动，直至集群所有节点完成升级；</w:t>
            </w:r>
          </w:p>
        </w:tc>
      </w:tr>
      <w:tr w14:paraId="69F41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jc w:val="center"/>
        </w:trPr>
        <w:tc>
          <w:tcPr>
            <w:tcW w:w="675" w:type="dxa"/>
            <w:tcBorders>
              <w:top w:val="single" w:color="auto" w:sz="6" w:space="0"/>
              <w:left w:val="single" w:color="auto" w:sz="6" w:space="0"/>
              <w:bottom w:val="single" w:color="auto" w:sz="6" w:space="0"/>
              <w:right w:val="single" w:color="auto" w:sz="6" w:space="0"/>
              <w:tl2br w:val="nil"/>
              <w:tr2bl w:val="nil"/>
            </w:tcBorders>
            <w:noWrap/>
            <w:vAlign w:val="center"/>
          </w:tcPr>
          <w:p w14:paraId="5E86F71E">
            <w:pPr>
              <w:keepNext w:val="0"/>
              <w:keepLines w:val="0"/>
              <w:pageBreakBefore w:val="0"/>
              <w:widowControl w:val="0"/>
              <w:numPr>
                <w:ilvl w:val="0"/>
                <w:numId w:val="10"/>
              </w:numPr>
              <w:kinsoku/>
              <w:wordWrap/>
              <w:overflowPunct/>
              <w:topLinePunct w:val="0"/>
              <w:autoSpaceDE w:val="0"/>
              <w:autoSpaceDN w:val="0"/>
              <w:bidi w:val="0"/>
              <w:adjustRightInd/>
              <w:snapToGrid/>
              <w:spacing w:beforeAutospacing="0" w:afterAutospacing="0" w:line="400" w:lineRule="exact"/>
              <w:ind w:left="454" w:leftChars="0" w:hanging="454" w:firstLineChars="0"/>
              <w:jc w:val="center"/>
              <w:textAlignment w:val="auto"/>
              <w:rPr>
                <w:rFonts w:hint="default" w:ascii="Times New Roman" w:hAnsi="Times New Roman" w:cs="Times New Roman"/>
                <w:color w:val="auto"/>
                <w:sz w:val="21"/>
                <w:szCs w:val="21"/>
                <w:highlight w:val="none"/>
              </w:rPr>
            </w:pPr>
          </w:p>
        </w:tc>
        <w:tc>
          <w:tcPr>
            <w:tcW w:w="1322"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4EEBF6C">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34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2951D58">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5909" w:type="dxa"/>
            <w:tcBorders>
              <w:top w:val="single" w:color="auto" w:sz="6" w:space="0"/>
              <w:left w:val="single" w:color="auto" w:sz="6" w:space="0"/>
              <w:bottom w:val="single" w:color="auto" w:sz="6" w:space="0"/>
              <w:right w:val="single" w:color="auto" w:sz="6" w:space="0"/>
              <w:tl2br w:val="nil"/>
              <w:tr2bl w:val="nil"/>
            </w:tcBorders>
            <w:noWrap/>
            <w:vAlign w:val="center"/>
          </w:tcPr>
          <w:p w14:paraId="6E1FC6C6">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b w:val="0"/>
                <w:i w:val="0"/>
                <w:color w:val="auto"/>
                <w:sz w:val="21"/>
                <w:szCs w:val="21"/>
                <w:highlight w:val="none"/>
              </w:rPr>
              <w:t>支持执行任务信息查询导出，包括但不限于：执行内容，执行起始时间、执行用户、当前执行状态、执行计划图示、任务使用的表以及参与计算的数据量；支持统计任务执行情况监控，可手动管理任务实例，包括但不限于停止Kill、日志查询导出（错误日志、运行日志、堆栈日志）</w:t>
            </w:r>
          </w:p>
        </w:tc>
      </w:tr>
      <w:tr w14:paraId="69E8B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5" w:hRule="atLeast"/>
          <w:jc w:val="center"/>
        </w:trPr>
        <w:tc>
          <w:tcPr>
            <w:tcW w:w="675" w:type="dxa"/>
            <w:tcBorders>
              <w:top w:val="single" w:color="auto" w:sz="6" w:space="0"/>
              <w:left w:val="single" w:color="auto" w:sz="6" w:space="0"/>
              <w:bottom w:val="single" w:color="auto" w:sz="6" w:space="0"/>
              <w:right w:val="single" w:color="auto" w:sz="6" w:space="0"/>
              <w:tl2br w:val="nil"/>
              <w:tr2bl w:val="nil"/>
            </w:tcBorders>
            <w:noWrap/>
            <w:vAlign w:val="center"/>
          </w:tcPr>
          <w:p w14:paraId="282C3F2C">
            <w:pPr>
              <w:keepNext w:val="0"/>
              <w:keepLines w:val="0"/>
              <w:pageBreakBefore w:val="0"/>
              <w:widowControl w:val="0"/>
              <w:numPr>
                <w:ilvl w:val="0"/>
                <w:numId w:val="10"/>
              </w:numPr>
              <w:kinsoku/>
              <w:wordWrap/>
              <w:overflowPunct/>
              <w:topLinePunct w:val="0"/>
              <w:autoSpaceDE w:val="0"/>
              <w:autoSpaceDN w:val="0"/>
              <w:bidi w:val="0"/>
              <w:adjustRightInd/>
              <w:snapToGrid/>
              <w:spacing w:beforeAutospacing="0" w:afterAutospacing="0" w:line="400" w:lineRule="exact"/>
              <w:ind w:left="454" w:leftChars="0" w:hanging="454" w:firstLineChars="0"/>
              <w:jc w:val="center"/>
              <w:textAlignment w:val="auto"/>
              <w:rPr>
                <w:rFonts w:hint="default" w:ascii="Times New Roman" w:hAnsi="Times New Roman" w:cs="Times New Roman"/>
                <w:color w:val="auto"/>
                <w:sz w:val="21"/>
                <w:szCs w:val="21"/>
                <w:highlight w:val="none"/>
              </w:rPr>
            </w:pPr>
          </w:p>
        </w:tc>
        <w:tc>
          <w:tcPr>
            <w:tcW w:w="1322"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E64E07A">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34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A6ACDBC">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5909" w:type="dxa"/>
            <w:tcBorders>
              <w:top w:val="single" w:color="auto" w:sz="6" w:space="0"/>
              <w:left w:val="single" w:color="auto" w:sz="6" w:space="0"/>
              <w:bottom w:val="single" w:color="auto" w:sz="6" w:space="0"/>
              <w:right w:val="single" w:color="auto" w:sz="6" w:space="0"/>
              <w:tl2br w:val="nil"/>
              <w:tr2bl w:val="nil"/>
            </w:tcBorders>
            <w:noWrap/>
            <w:vAlign w:val="center"/>
          </w:tcPr>
          <w:p w14:paraId="4FAB6B6E">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b w:val="0"/>
                <w:i w:val="0"/>
                <w:color w:val="auto"/>
                <w:sz w:val="21"/>
                <w:szCs w:val="21"/>
                <w:highlight w:val="none"/>
              </w:rPr>
              <w:t>可动态配置的集群自动、手动巡检，并生成巡检报告和优化建议，包括磁盘、内存、配置等健康检查；对异常的参数配置，数据异常分布进行提示并在巡检报告中体现；</w:t>
            </w:r>
          </w:p>
        </w:tc>
      </w:tr>
      <w:tr w14:paraId="5787D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75" w:type="dxa"/>
            <w:tcBorders>
              <w:top w:val="single" w:color="auto" w:sz="6" w:space="0"/>
              <w:left w:val="single" w:color="auto" w:sz="6" w:space="0"/>
              <w:bottom w:val="single" w:color="auto" w:sz="6" w:space="0"/>
              <w:right w:val="single" w:color="auto" w:sz="6" w:space="0"/>
              <w:tl2br w:val="nil"/>
              <w:tr2bl w:val="nil"/>
            </w:tcBorders>
            <w:noWrap/>
            <w:vAlign w:val="center"/>
          </w:tcPr>
          <w:p w14:paraId="7DEB53CA">
            <w:pPr>
              <w:keepNext w:val="0"/>
              <w:keepLines w:val="0"/>
              <w:pageBreakBefore w:val="0"/>
              <w:widowControl w:val="0"/>
              <w:numPr>
                <w:ilvl w:val="0"/>
                <w:numId w:val="10"/>
              </w:numPr>
              <w:kinsoku/>
              <w:wordWrap/>
              <w:overflowPunct/>
              <w:topLinePunct w:val="0"/>
              <w:autoSpaceDE w:val="0"/>
              <w:autoSpaceDN w:val="0"/>
              <w:bidi w:val="0"/>
              <w:adjustRightInd/>
              <w:snapToGrid/>
              <w:spacing w:beforeAutospacing="0" w:afterAutospacing="0" w:line="400" w:lineRule="exact"/>
              <w:ind w:left="454" w:leftChars="0" w:hanging="454" w:firstLineChars="0"/>
              <w:jc w:val="center"/>
              <w:textAlignment w:val="auto"/>
              <w:rPr>
                <w:rFonts w:hint="default" w:ascii="Times New Roman" w:hAnsi="Times New Roman" w:cs="Times New Roman"/>
                <w:color w:val="auto"/>
                <w:sz w:val="21"/>
                <w:szCs w:val="21"/>
                <w:highlight w:val="none"/>
              </w:rPr>
            </w:pPr>
          </w:p>
        </w:tc>
        <w:tc>
          <w:tcPr>
            <w:tcW w:w="1322"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A1C944B">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347"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332E0F2D">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b w:val="0"/>
                <w:i w:val="0"/>
                <w:color w:val="auto"/>
                <w:sz w:val="21"/>
                <w:szCs w:val="21"/>
                <w:highlight w:val="none"/>
              </w:rPr>
              <w:t>运营监控</w:t>
            </w:r>
          </w:p>
        </w:tc>
        <w:tc>
          <w:tcPr>
            <w:tcW w:w="5909" w:type="dxa"/>
            <w:tcBorders>
              <w:top w:val="single" w:color="auto" w:sz="6" w:space="0"/>
              <w:left w:val="single" w:color="auto" w:sz="6" w:space="0"/>
              <w:bottom w:val="single" w:color="auto" w:sz="6" w:space="0"/>
              <w:right w:val="single" w:color="auto" w:sz="6" w:space="0"/>
              <w:tl2br w:val="nil"/>
              <w:tr2bl w:val="nil"/>
            </w:tcBorders>
            <w:noWrap/>
            <w:vAlign w:val="center"/>
          </w:tcPr>
          <w:p w14:paraId="17A592A2">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b w:val="0"/>
                <w:i w:val="0"/>
                <w:color w:val="auto"/>
                <w:sz w:val="21"/>
                <w:szCs w:val="21"/>
                <w:highlight w:val="none"/>
              </w:rPr>
              <w:t>支持可视化、便捷的集群管理监控告警预警机制。针对异常任务、异常节点、组件服务、CPU、内存等异常情况，有完善的告警机制，如可动态配置告警级别、告警方式和告知对象。告警支持对外发送告警通知，支持包括短信、日志、消息推送等多种方式；</w:t>
            </w:r>
          </w:p>
        </w:tc>
      </w:tr>
      <w:tr w14:paraId="0876F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jc w:val="center"/>
        </w:trPr>
        <w:tc>
          <w:tcPr>
            <w:tcW w:w="675" w:type="dxa"/>
            <w:tcBorders>
              <w:top w:val="single" w:color="auto" w:sz="6" w:space="0"/>
              <w:left w:val="single" w:color="auto" w:sz="6" w:space="0"/>
              <w:bottom w:val="single" w:color="auto" w:sz="6" w:space="0"/>
              <w:right w:val="single" w:color="auto" w:sz="6" w:space="0"/>
              <w:tl2br w:val="nil"/>
              <w:tr2bl w:val="nil"/>
            </w:tcBorders>
            <w:noWrap/>
            <w:vAlign w:val="center"/>
          </w:tcPr>
          <w:p w14:paraId="6FF4B772">
            <w:pPr>
              <w:keepNext w:val="0"/>
              <w:keepLines w:val="0"/>
              <w:pageBreakBefore w:val="0"/>
              <w:widowControl w:val="0"/>
              <w:numPr>
                <w:ilvl w:val="0"/>
                <w:numId w:val="10"/>
              </w:numPr>
              <w:kinsoku/>
              <w:wordWrap/>
              <w:overflowPunct/>
              <w:topLinePunct w:val="0"/>
              <w:autoSpaceDE w:val="0"/>
              <w:autoSpaceDN w:val="0"/>
              <w:bidi w:val="0"/>
              <w:adjustRightInd/>
              <w:snapToGrid/>
              <w:spacing w:beforeAutospacing="0" w:afterAutospacing="0" w:line="400" w:lineRule="exact"/>
              <w:ind w:left="454" w:leftChars="0" w:hanging="454" w:firstLineChars="0"/>
              <w:jc w:val="center"/>
              <w:textAlignment w:val="auto"/>
              <w:rPr>
                <w:rFonts w:hint="default" w:ascii="Times New Roman" w:hAnsi="Times New Roman" w:cs="Times New Roman"/>
                <w:color w:val="auto"/>
                <w:sz w:val="21"/>
                <w:szCs w:val="21"/>
                <w:highlight w:val="none"/>
              </w:rPr>
            </w:pPr>
          </w:p>
        </w:tc>
        <w:tc>
          <w:tcPr>
            <w:tcW w:w="1322"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7036BB6">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34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0A9E801">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5909" w:type="dxa"/>
            <w:tcBorders>
              <w:top w:val="single" w:color="auto" w:sz="6" w:space="0"/>
              <w:left w:val="single" w:color="auto" w:sz="6" w:space="0"/>
              <w:bottom w:val="single" w:color="auto" w:sz="6" w:space="0"/>
              <w:right w:val="single" w:color="auto" w:sz="6" w:space="0"/>
              <w:tl2br w:val="nil"/>
              <w:tr2bl w:val="nil"/>
            </w:tcBorders>
            <w:noWrap/>
            <w:vAlign w:val="center"/>
          </w:tcPr>
          <w:p w14:paraId="1FCE1B8E">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b w:val="0"/>
                <w:i w:val="0"/>
                <w:color w:val="auto"/>
                <w:sz w:val="21"/>
                <w:szCs w:val="21"/>
                <w:highlight w:val="none"/>
              </w:rPr>
              <w:t>支持集群节点状态、健康检测状态、资源使用情况、各时间段资源消耗情况、各时段任务执行情况等统计查询。</w:t>
            </w:r>
          </w:p>
        </w:tc>
      </w:tr>
      <w:tr w14:paraId="1DE95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jc w:val="center"/>
        </w:trPr>
        <w:tc>
          <w:tcPr>
            <w:tcW w:w="675" w:type="dxa"/>
            <w:tcBorders>
              <w:top w:val="single" w:color="auto" w:sz="6" w:space="0"/>
              <w:left w:val="single" w:color="auto" w:sz="6" w:space="0"/>
              <w:bottom w:val="single" w:color="auto" w:sz="6" w:space="0"/>
              <w:right w:val="single" w:color="auto" w:sz="6" w:space="0"/>
              <w:tl2br w:val="nil"/>
              <w:tr2bl w:val="nil"/>
            </w:tcBorders>
            <w:noWrap/>
            <w:vAlign w:val="center"/>
          </w:tcPr>
          <w:p w14:paraId="41D354EA">
            <w:pPr>
              <w:keepNext w:val="0"/>
              <w:keepLines w:val="0"/>
              <w:pageBreakBefore w:val="0"/>
              <w:widowControl w:val="0"/>
              <w:numPr>
                <w:ilvl w:val="0"/>
                <w:numId w:val="10"/>
              </w:numPr>
              <w:kinsoku/>
              <w:wordWrap/>
              <w:overflowPunct/>
              <w:topLinePunct w:val="0"/>
              <w:autoSpaceDE w:val="0"/>
              <w:autoSpaceDN w:val="0"/>
              <w:bidi w:val="0"/>
              <w:adjustRightInd/>
              <w:snapToGrid/>
              <w:spacing w:beforeAutospacing="0" w:afterAutospacing="0" w:line="400" w:lineRule="exact"/>
              <w:ind w:left="454" w:leftChars="0" w:hanging="454" w:firstLineChars="0"/>
              <w:jc w:val="center"/>
              <w:textAlignment w:val="auto"/>
              <w:rPr>
                <w:rFonts w:hint="default" w:ascii="Times New Roman" w:hAnsi="Times New Roman" w:cs="Times New Roman"/>
                <w:color w:val="auto"/>
                <w:sz w:val="21"/>
                <w:szCs w:val="21"/>
                <w:highlight w:val="none"/>
              </w:rPr>
            </w:pPr>
          </w:p>
        </w:tc>
        <w:tc>
          <w:tcPr>
            <w:tcW w:w="1322"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54EF2DE2">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b w:val="0"/>
                <w:i w:val="0"/>
                <w:color w:val="auto"/>
                <w:sz w:val="21"/>
                <w:szCs w:val="21"/>
                <w:highlight w:val="none"/>
              </w:rPr>
              <w:t>租户/项目管理</w:t>
            </w:r>
          </w:p>
        </w:tc>
        <w:tc>
          <w:tcPr>
            <w:tcW w:w="1347" w:type="dxa"/>
            <w:tcBorders>
              <w:top w:val="single" w:color="auto" w:sz="6" w:space="0"/>
              <w:left w:val="single" w:color="auto" w:sz="6" w:space="0"/>
              <w:bottom w:val="single" w:color="auto" w:sz="6" w:space="0"/>
              <w:right w:val="single" w:color="auto" w:sz="6" w:space="0"/>
              <w:tl2br w:val="nil"/>
              <w:tr2bl w:val="nil"/>
            </w:tcBorders>
            <w:noWrap/>
            <w:vAlign w:val="center"/>
          </w:tcPr>
          <w:p w14:paraId="43A97B9F">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b w:val="0"/>
                <w:i w:val="0"/>
                <w:color w:val="auto"/>
                <w:sz w:val="21"/>
                <w:szCs w:val="21"/>
                <w:highlight w:val="none"/>
              </w:rPr>
              <w:t>租户管理</w:t>
            </w:r>
          </w:p>
        </w:tc>
        <w:tc>
          <w:tcPr>
            <w:tcW w:w="5909" w:type="dxa"/>
            <w:tcBorders>
              <w:top w:val="single" w:color="auto" w:sz="6" w:space="0"/>
              <w:left w:val="single" w:color="auto" w:sz="6" w:space="0"/>
              <w:bottom w:val="single" w:color="auto" w:sz="6" w:space="0"/>
              <w:right w:val="single" w:color="auto" w:sz="6" w:space="0"/>
              <w:tl2br w:val="nil"/>
              <w:tr2bl w:val="nil"/>
            </w:tcBorders>
            <w:noWrap/>
            <w:vAlign w:val="center"/>
          </w:tcPr>
          <w:p w14:paraId="6015D9D1">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b w:val="0"/>
                <w:i w:val="0"/>
                <w:color w:val="auto"/>
                <w:sz w:val="21"/>
                <w:szCs w:val="21"/>
                <w:highlight w:val="none"/>
              </w:rPr>
              <w:t>支持租户（或项目）创建、管理、资源（含数据存储和计算）分配和隔离、数据权限配置及生命周期管理；</w:t>
            </w:r>
          </w:p>
        </w:tc>
      </w:tr>
      <w:tr w14:paraId="2B909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jc w:val="center"/>
        </w:trPr>
        <w:tc>
          <w:tcPr>
            <w:tcW w:w="675" w:type="dxa"/>
            <w:tcBorders>
              <w:top w:val="single" w:color="auto" w:sz="6" w:space="0"/>
              <w:left w:val="single" w:color="auto" w:sz="6" w:space="0"/>
              <w:bottom w:val="single" w:color="auto" w:sz="6" w:space="0"/>
              <w:right w:val="single" w:color="auto" w:sz="6" w:space="0"/>
              <w:tl2br w:val="nil"/>
              <w:tr2bl w:val="nil"/>
            </w:tcBorders>
            <w:noWrap/>
            <w:vAlign w:val="center"/>
          </w:tcPr>
          <w:p w14:paraId="6CACF7E9">
            <w:pPr>
              <w:keepNext w:val="0"/>
              <w:keepLines w:val="0"/>
              <w:pageBreakBefore w:val="0"/>
              <w:widowControl w:val="0"/>
              <w:numPr>
                <w:ilvl w:val="0"/>
                <w:numId w:val="10"/>
              </w:numPr>
              <w:kinsoku/>
              <w:wordWrap/>
              <w:overflowPunct/>
              <w:topLinePunct w:val="0"/>
              <w:autoSpaceDE w:val="0"/>
              <w:autoSpaceDN w:val="0"/>
              <w:bidi w:val="0"/>
              <w:adjustRightInd/>
              <w:snapToGrid/>
              <w:spacing w:beforeAutospacing="0" w:afterAutospacing="0" w:line="400" w:lineRule="exact"/>
              <w:ind w:left="454" w:leftChars="0" w:hanging="454" w:firstLineChars="0"/>
              <w:jc w:val="center"/>
              <w:textAlignment w:val="auto"/>
              <w:rPr>
                <w:rFonts w:hint="default" w:ascii="Times New Roman" w:hAnsi="Times New Roman" w:cs="Times New Roman"/>
                <w:color w:val="auto"/>
                <w:sz w:val="21"/>
                <w:szCs w:val="21"/>
                <w:highlight w:val="none"/>
              </w:rPr>
            </w:pPr>
          </w:p>
        </w:tc>
        <w:tc>
          <w:tcPr>
            <w:tcW w:w="1322"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5A4935D">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347"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4E16B1C0">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b w:val="0"/>
                <w:i w:val="0"/>
                <w:color w:val="auto"/>
                <w:sz w:val="21"/>
                <w:szCs w:val="21"/>
                <w:highlight w:val="none"/>
              </w:rPr>
              <w:t>权限管控</w:t>
            </w:r>
          </w:p>
        </w:tc>
        <w:tc>
          <w:tcPr>
            <w:tcW w:w="5909" w:type="dxa"/>
            <w:tcBorders>
              <w:top w:val="single" w:color="auto" w:sz="6" w:space="0"/>
              <w:left w:val="single" w:color="auto" w:sz="6" w:space="0"/>
              <w:bottom w:val="single" w:color="auto" w:sz="6" w:space="0"/>
              <w:right w:val="single" w:color="auto" w:sz="6" w:space="0"/>
              <w:tl2br w:val="nil"/>
              <w:tr2bl w:val="nil"/>
            </w:tcBorders>
            <w:noWrap/>
            <w:vAlign w:val="center"/>
          </w:tcPr>
          <w:p w14:paraId="520C7B9D">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b w:val="0"/>
                <w:i w:val="0"/>
                <w:color w:val="auto"/>
                <w:sz w:val="21"/>
                <w:szCs w:val="21"/>
                <w:highlight w:val="none"/>
              </w:rPr>
              <w:t>支持租户/项目间的数据权限访问控制和数据同步；可动态设置数据同步的安全控制机制，如数据库、表、字段权限按租户、项目、用户进行控制；</w:t>
            </w:r>
          </w:p>
        </w:tc>
      </w:tr>
      <w:tr w14:paraId="52C97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jc w:val="center"/>
        </w:trPr>
        <w:tc>
          <w:tcPr>
            <w:tcW w:w="675" w:type="dxa"/>
            <w:tcBorders>
              <w:top w:val="single" w:color="auto" w:sz="6" w:space="0"/>
              <w:left w:val="single" w:color="auto" w:sz="6" w:space="0"/>
              <w:bottom w:val="single" w:color="auto" w:sz="6" w:space="0"/>
              <w:right w:val="single" w:color="auto" w:sz="6" w:space="0"/>
              <w:tl2br w:val="nil"/>
              <w:tr2bl w:val="nil"/>
            </w:tcBorders>
            <w:noWrap/>
            <w:vAlign w:val="center"/>
          </w:tcPr>
          <w:p w14:paraId="4AAD06FE">
            <w:pPr>
              <w:keepNext w:val="0"/>
              <w:keepLines w:val="0"/>
              <w:pageBreakBefore w:val="0"/>
              <w:widowControl w:val="0"/>
              <w:numPr>
                <w:ilvl w:val="0"/>
                <w:numId w:val="10"/>
              </w:numPr>
              <w:kinsoku/>
              <w:wordWrap/>
              <w:overflowPunct/>
              <w:topLinePunct w:val="0"/>
              <w:autoSpaceDE w:val="0"/>
              <w:autoSpaceDN w:val="0"/>
              <w:bidi w:val="0"/>
              <w:adjustRightInd/>
              <w:snapToGrid/>
              <w:spacing w:beforeAutospacing="0" w:afterAutospacing="0" w:line="400" w:lineRule="exact"/>
              <w:ind w:left="454" w:leftChars="0" w:hanging="454" w:firstLineChars="0"/>
              <w:jc w:val="center"/>
              <w:textAlignment w:val="auto"/>
              <w:rPr>
                <w:rFonts w:hint="default" w:ascii="Times New Roman" w:hAnsi="Times New Roman" w:cs="Times New Roman"/>
                <w:color w:val="auto"/>
                <w:sz w:val="21"/>
                <w:szCs w:val="21"/>
                <w:highlight w:val="none"/>
              </w:rPr>
            </w:pPr>
          </w:p>
        </w:tc>
        <w:tc>
          <w:tcPr>
            <w:tcW w:w="1322"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21E1EFC">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34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954CA22">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5909" w:type="dxa"/>
            <w:tcBorders>
              <w:top w:val="single" w:color="auto" w:sz="6" w:space="0"/>
              <w:left w:val="single" w:color="auto" w:sz="6" w:space="0"/>
              <w:bottom w:val="single" w:color="auto" w:sz="6" w:space="0"/>
              <w:right w:val="single" w:color="auto" w:sz="6" w:space="0"/>
              <w:tl2br w:val="nil"/>
              <w:tr2bl w:val="nil"/>
            </w:tcBorders>
            <w:noWrap/>
            <w:vAlign w:val="center"/>
          </w:tcPr>
          <w:p w14:paraId="10D02B48">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b w:val="0"/>
                <w:i w:val="0"/>
                <w:color w:val="auto"/>
                <w:sz w:val="21"/>
                <w:szCs w:val="21"/>
                <w:highlight w:val="none"/>
              </w:rPr>
              <w:t>支持租户/项目内权限的分级管控；</w:t>
            </w:r>
          </w:p>
        </w:tc>
      </w:tr>
      <w:tr w14:paraId="34733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5" w:hRule="atLeast"/>
          <w:jc w:val="center"/>
        </w:trPr>
        <w:tc>
          <w:tcPr>
            <w:tcW w:w="675" w:type="dxa"/>
            <w:tcBorders>
              <w:top w:val="single" w:color="auto" w:sz="6" w:space="0"/>
              <w:left w:val="single" w:color="auto" w:sz="6" w:space="0"/>
              <w:bottom w:val="single" w:color="auto" w:sz="6" w:space="0"/>
              <w:right w:val="single" w:color="auto" w:sz="6" w:space="0"/>
              <w:tl2br w:val="nil"/>
              <w:tr2bl w:val="nil"/>
            </w:tcBorders>
            <w:noWrap/>
            <w:vAlign w:val="center"/>
          </w:tcPr>
          <w:p w14:paraId="01FA1034">
            <w:pPr>
              <w:keepNext w:val="0"/>
              <w:keepLines w:val="0"/>
              <w:pageBreakBefore w:val="0"/>
              <w:widowControl w:val="0"/>
              <w:numPr>
                <w:ilvl w:val="0"/>
                <w:numId w:val="10"/>
              </w:numPr>
              <w:kinsoku/>
              <w:wordWrap/>
              <w:overflowPunct/>
              <w:topLinePunct w:val="0"/>
              <w:autoSpaceDE w:val="0"/>
              <w:autoSpaceDN w:val="0"/>
              <w:bidi w:val="0"/>
              <w:adjustRightInd/>
              <w:snapToGrid/>
              <w:spacing w:beforeAutospacing="0" w:afterAutospacing="0" w:line="400" w:lineRule="exact"/>
              <w:ind w:left="454" w:leftChars="0" w:hanging="454" w:firstLineChars="0"/>
              <w:jc w:val="center"/>
              <w:textAlignment w:val="auto"/>
              <w:rPr>
                <w:rFonts w:hint="default" w:ascii="Times New Roman" w:hAnsi="Times New Roman" w:cs="Times New Roman"/>
                <w:color w:val="auto"/>
                <w:sz w:val="21"/>
                <w:szCs w:val="21"/>
                <w:highlight w:val="none"/>
              </w:rPr>
            </w:pPr>
          </w:p>
        </w:tc>
        <w:tc>
          <w:tcPr>
            <w:tcW w:w="1322"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1CA380CE">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b w:val="0"/>
                <w:i w:val="0"/>
                <w:color w:val="auto"/>
                <w:sz w:val="21"/>
                <w:szCs w:val="21"/>
                <w:highlight w:val="none"/>
              </w:rPr>
              <w:t>安全和流程管控</w:t>
            </w:r>
          </w:p>
        </w:tc>
        <w:tc>
          <w:tcPr>
            <w:tcW w:w="1347"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2CCC6AFA">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b w:val="0"/>
                <w:i w:val="0"/>
                <w:color w:val="auto"/>
                <w:sz w:val="21"/>
                <w:szCs w:val="21"/>
                <w:highlight w:val="none"/>
              </w:rPr>
              <w:t>安全管控</w:t>
            </w:r>
          </w:p>
        </w:tc>
        <w:tc>
          <w:tcPr>
            <w:tcW w:w="5909" w:type="dxa"/>
            <w:tcBorders>
              <w:top w:val="single" w:color="auto" w:sz="6" w:space="0"/>
              <w:left w:val="single" w:color="auto" w:sz="6" w:space="0"/>
              <w:bottom w:val="single" w:color="auto" w:sz="6" w:space="0"/>
              <w:right w:val="single" w:color="auto" w:sz="6" w:space="0"/>
              <w:tl2br w:val="nil"/>
              <w:tr2bl w:val="nil"/>
            </w:tcBorders>
            <w:noWrap/>
            <w:vAlign w:val="center"/>
          </w:tcPr>
          <w:p w14:paraId="732BD80D">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b w:val="0"/>
                <w:i w:val="0"/>
                <w:color w:val="auto"/>
                <w:sz w:val="21"/>
                <w:szCs w:val="21"/>
                <w:highlight w:val="none"/>
              </w:rPr>
              <w:t>各组件服务需有访问安全校验、权限认证及数据安全保护机制；如库表权限控制、API接口访问认证</w:t>
            </w:r>
            <w:r>
              <w:rPr>
                <w:rFonts w:hint="eastAsia" w:ascii="Times New Roman" w:hAnsi="Times New Roman" w:cs="Times New Roman"/>
                <w:b w:val="0"/>
                <w:i w:val="0"/>
                <w:color w:val="auto"/>
                <w:sz w:val="21"/>
                <w:szCs w:val="21"/>
                <w:highlight w:val="none"/>
                <w:lang w:val="en-US" w:eastAsia="zh-CN"/>
              </w:rPr>
              <w:t>等</w:t>
            </w:r>
            <w:r>
              <w:rPr>
                <w:rFonts w:hint="default" w:ascii="Times New Roman" w:hAnsi="Times New Roman" w:cs="Times New Roman"/>
                <w:b w:val="0"/>
                <w:i w:val="0"/>
                <w:color w:val="auto"/>
                <w:sz w:val="21"/>
                <w:szCs w:val="21"/>
                <w:highlight w:val="none"/>
              </w:rPr>
              <w:t>需要授权后方可访问；支持根据业务使用场景对敏感数据静态脱敏，动态脱敏。</w:t>
            </w:r>
          </w:p>
        </w:tc>
      </w:tr>
      <w:tr w14:paraId="3E110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jc w:val="center"/>
        </w:trPr>
        <w:tc>
          <w:tcPr>
            <w:tcW w:w="675" w:type="dxa"/>
            <w:tcBorders>
              <w:top w:val="single" w:color="auto" w:sz="6" w:space="0"/>
              <w:left w:val="single" w:color="auto" w:sz="6" w:space="0"/>
              <w:bottom w:val="single" w:color="auto" w:sz="6" w:space="0"/>
              <w:right w:val="single" w:color="auto" w:sz="6" w:space="0"/>
              <w:tl2br w:val="nil"/>
              <w:tr2bl w:val="nil"/>
            </w:tcBorders>
            <w:noWrap/>
            <w:vAlign w:val="center"/>
          </w:tcPr>
          <w:p w14:paraId="4DF4FD5D">
            <w:pPr>
              <w:keepNext w:val="0"/>
              <w:keepLines w:val="0"/>
              <w:pageBreakBefore w:val="0"/>
              <w:widowControl w:val="0"/>
              <w:numPr>
                <w:ilvl w:val="0"/>
                <w:numId w:val="10"/>
              </w:numPr>
              <w:kinsoku/>
              <w:wordWrap/>
              <w:overflowPunct/>
              <w:topLinePunct w:val="0"/>
              <w:autoSpaceDE w:val="0"/>
              <w:autoSpaceDN w:val="0"/>
              <w:bidi w:val="0"/>
              <w:adjustRightInd/>
              <w:snapToGrid/>
              <w:spacing w:beforeAutospacing="0" w:afterAutospacing="0" w:line="400" w:lineRule="exact"/>
              <w:ind w:left="454" w:leftChars="0" w:hanging="454" w:firstLineChars="0"/>
              <w:jc w:val="center"/>
              <w:textAlignment w:val="auto"/>
              <w:rPr>
                <w:rFonts w:hint="default" w:ascii="Times New Roman" w:hAnsi="Times New Roman" w:cs="Times New Roman"/>
                <w:color w:val="auto"/>
                <w:sz w:val="21"/>
                <w:szCs w:val="21"/>
                <w:highlight w:val="none"/>
              </w:rPr>
            </w:pPr>
          </w:p>
        </w:tc>
        <w:tc>
          <w:tcPr>
            <w:tcW w:w="1322"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8DC696E">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34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710713C">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5909" w:type="dxa"/>
            <w:tcBorders>
              <w:top w:val="single" w:color="auto" w:sz="6" w:space="0"/>
              <w:left w:val="single" w:color="auto" w:sz="6" w:space="0"/>
              <w:bottom w:val="single" w:color="auto" w:sz="6" w:space="0"/>
              <w:right w:val="single" w:color="auto" w:sz="6" w:space="0"/>
              <w:tl2br w:val="nil"/>
              <w:tr2bl w:val="nil"/>
            </w:tcBorders>
            <w:noWrap/>
            <w:vAlign w:val="center"/>
          </w:tcPr>
          <w:p w14:paraId="582574CF">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b w:val="0"/>
                <w:i w:val="0"/>
                <w:color w:val="auto"/>
                <w:sz w:val="21"/>
                <w:szCs w:val="21"/>
                <w:highlight w:val="none"/>
              </w:rPr>
              <w:t>支持良好的账号权限统一管理认证能力，如支持Kerberos安全认证，细粒度权限控制，满足安全合规性要求；</w:t>
            </w:r>
          </w:p>
        </w:tc>
      </w:tr>
      <w:tr w14:paraId="1C157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jc w:val="center"/>
        </w:trPr>
        <w:tc>
          <w:tcPr>
            <w:tcW w:w="675" w:type="dxa"/>
            <w:tcBorders>
              <w:top w:val="single" w:color="auto" w:sz="6" w:space="0"/>
              <w:left w:val="single" w:color="auto" w:sz="6" w:space="0"/>
              <w:bottom w:val="single" w:color="auto" w:sz="6" w:space="0"/>
              <w:right w:val="single" w:color="auto" w:sz="6" w:space="0"/>
              <w:tl2br w:val="nil"/>
              <w:tr2bl w:val="nil"/>
            </w:tcBorders>
            <w:noWrap/>
            <w:vAlign w:val="center"/>
          </w:tcPr>
          <w:p w14:paraId="194F0C9E">
            <w:pPr>
              <w:keepNext w:val="0"/>
              <w:keepLines w:val="0"/>
              <w:pageBreakBefore w:val="0"/>
              <w:widowControl w:val="0"/>
              <w:numPr>
                <w:ilvl w:val="0"/>
                <w:numId w:val="10"/>
              </w:numPr>
              <w:kinsoku/>
              <w:wordWrap/>
              <w:overflowPunct/>
              <w:topLinePunct w:val="0"/>
              <w:autoSpaceDE w:val="0"/>
              <w:autoSpaceDN w:val="0"/>
              <w:bidi w:val="0"/>
              <w:adjustRightInd/>
              <w:snapToGrid/>
              <w:spacing w:beforeAutospacing="0" w:afterAutospacing="0" w:line="400" w:lineRule="exact"/>
              <w:ind w:left="454" w:leftChars="0" w:hanging="454" w:firstLineChars="0"/>
              <w:jc w:val="center"/>
              <w:textAlignment w:val="auto"/>
              <w:rPr>
                <w:rFonts w:hint="default" w:ascii="Times New Roman" w:hAnsi="Times New Roman" w:cs="Times New Roman"/>
                <w:color w:val="auto"/>
                <w:sz w:val="21"/>
                <w:szCs w:val="21"/>
                <w:highlight w:val="none"/>
              </w:rPr>
            </w:pPr>
          </w:p>
        </w:tc>
        <w:tc>
          <w:tcPr>
            <w:tcW w:w="1322"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BDD011E">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347" w:type="dxa"/>
            <w:tcBorders>
              <w:top w:val="single" w:color="auto" w:sz="6" w:space="0"/>
              <w:left w:val="single" w:color="auto" w:sz="6" w:space="0"/>
              <w:bottom w:val="single" w:color="auto" w:sz="6" w:space="0"/>
              <w:right w:val="single" w:color="auto" w:sz="6" w:space="0"/>
              <w:tl2br w:val="nil"/>
              <w:tr2bl w:val="nil"/>
            </w:tcBorders>
            <w:noWrap/>
            <w:vAlign w:val="center"/>
          </w:tcPr>
          <w:p w14:paraId="78A2CFFD">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b w:val="0"/>
                <w:i w:val="0"/>
                <w:color w:val="auto"/>
                <w:sz w:val="21"/>
                <w:szCs w:val="21"/>
                <w:highlight w:val="none"/>
              </w:rPr>
              <w:t>日志记录及存储</w:t>
            </w:r>
          </w:p>
        </w:tc>
        <w:tc>
          <w:tcPr>
            <w:tcW w:w="5909" w:type="dxa"/>
            <w:tcBorders>
              <w:top w:val="single" w:color="auto" w:sz="6" w:space="0"/>
              <w:left w:val="single" w:color="auto" w:sz="6" w:space="0"/>
              <w:bottom w:val="single" w:color="auto" w:sz="6" w:space="0"/>
              <w:right w:val="single" w:color="auto" w:sz="6" w:space="0"/>
              <w:tl2br w:val="nil"/>
              <w:tr2bl w:val="nil"/>
            </w:tcBorders>
            <w:noWrap/>
            <w:vAlign w:val="center"/>
          </w:tcPr>
          <w:p w14:paraId="2E0E2AC0">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b w:val="0"/>
                <w:i w:val="0"/>
                <w:color w:val="auto"/>
                <w:sz w:val="21"/>
                <w:szCs w:val="21"/>
                <w:highlight w:val="none"/>
              </w:rPr>
              <w:t>应该具有良好的、完善日志记录和管理。包括但不限于系统运行日志、错误日志、告警日志、系统操作日志、事务审批日志等，具有标准的存储方式、生命周期管理，支持灵活的配置；其中操作日志内容需包括日期时间、操作员标识、操作内容、维护前数值、维护后数值等信息；允许通过管理台对日志进行查询浏览、筛选、导出审计等操作。</w:t>
            </w:r>
          </w:p>
        </w:tc>
      </w:tr>
      <w:tr w14:paraId="3A517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3" w:hRule="atLeast"/>
          <w:jc w:val="center"/>
        </w:trPr>
        <w:tc>
          <w:tcPr>
            <w:tcW w:w="675" w:type="dxa"/>
            <w:tcBorders>
              <w:top w:val="single" w:color="auto" w:sz="6" w:space="0"/>
              <w:left w:val="single" w:color="auto" w:sz="6" w:space="0"/>
              <w:bottom w:val="single" w:color="auto" w:sz="6" w:space="0"/>
              <w:right w:val="single" w:color="auto" w:sz="6" w:space="0"/>
              <w:tl2br w:val="nil"/>
              <w:tr2bl w:val="nil"/>
            </w:tcBorders>
            <w:noWrap/>
            <w:vAlign w:val="center"/>
          </w:tcPr>
          <w:p w14:paraId="7DE6C99A">
            <w:pPr>
              <w:keepNext w:val="0"/>
              <w:keepLines w:val="0"/>
              <w:pageBreakBefore w:val="0"/>
              <w:widowControl w:val="0"/>
              <w:numPr>
                <w:ilvl w:val="0"/>
                <w:numId w:val="10"/>
              </w:numPr>
              <w:kinsoku/>
              <w:wordWrap/>
              <w:overflowPunct/>
              <w:topLinePunct w:val="0"/>
              <w:autoSpaceDE w:val="0"/>
              <w:autoSpaceDN w:val="0"/>
              <w:bidi w:val="0"/>
              <w:adjustRightInd/>
              <w:snapToGrid/>
              <w:spacing w:beforeAutospacing="0" w:afterAutospacing="0" w:line="400" w:lineRule="exact"/>
              <w:ind w:left="454" w:leftChars="0" w:hanging="454" w:firstLineChars="0"/>
              <w:jc w:val="center"/>
              <w:textAlignment w:val="auto"/>
              <w:rPr>
                <w:rFonts w:hint="default" w:ascii="Times New Roman" w:hAnsi="Times New Roman" w:cs="Times New Roman"/>
                <w:color w:val="auto"/>
                <w:sz w:val="21"/>
                <w:szCs w:val="21"/>
                <w:highlight w:val="none"/>
              </w:rPr>
            </w:pPr>
          </w:p>
        </w:tc>
        <w:tc>
          <w:tcPr>
            <w:tcW w:w="1322"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0339A9CC">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b w:val="0"/>
                <w:i w:val="0"/>
                <w:color w:val="auto"/>
                <w:sz w:val="21"/>
                <w:szCs w:val="21"/>
                <w:highlight w:val="none"/>
              </w:rPr>
              <w:t>数据同步及灾备建设能力</w:t>
            </w:r>
          </w:p>
        </w:tc>
        <w:tc>
          <w:tcPr>
            <w:tcW w:w="1347"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5DEE48D1">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b w:val="0"/>
                <w:i w:val="0"/>
                <w:color w:val="auto"/>
                <w:sz w:val="21"/>
                <w:szCs w:val="21"/>
                <w:highlight w:val="none"/>
              </w:rPr>
              <w:t>数据同步及灾备建设能力</w:t>
            </w:r>
          </w:p>
        </w:tc>
        <w:tc>
          <w:tcPr>
            <w:tcW w:w="5909" w:type="dxa"/>
            <w:tcBorders>
              <w:top w:val="single" w:color="auto" w:sz="6" w:space="0"/>
              <w:left w:val="single" w:color="auto" w:sz="6" w:space="0"/>
              <w:bottom w:val="single" w:color="auto" w:sz="6" w:space="0"/>
              <w:right w:val="single" w:color="auto" w:sz="6" w:space="0"/>
              <w:tl2br w:val="nil"/>
              <w:tr2bl w:val="nil"/>
            </w:tcBorders>
            <w:noWrap/>
            <w:vAlign w:val="center"/>
          </w:tcPr>
          <w:p w14:paraId="46D60DF9">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b w:val="0"/>
                <w:i w:val="0"/>
                <w:color w:val="auto"/>
                <w:sz w:val="21"/>
                <w:szCs w:val="21"/>
                <w:highlight w:val="none"/>
              </w:rPr>
              <w:t>具备构建灾备、主备集群服务的能力。支持相同产品服务架构不同物理集群或跨机房之间的数据同步，同步方式可根据服务特性采用温备和热备等多种方式，</w:t>
            </w:r>
            <w:r>
              <w:rPr>
                <w:rFonts w:hint="eastAsia" w:ascii="Times New Roman" w:hAnsi="Times New Roman" w:cs="Times New Roman"/>
                <w:b w:val="0"/>
                <w:i w:val="0"/>
                <w:color w:val="auto"/>
                <w:sz w:val="21"/>
                <w:szCs w:val="21"/>
                <w:highlight w:val="none"/>
                <w:lang w:val="en-US" w:eastAsia="zh-CN"/>
              </w:rPr>
              <w:t>支持</w:t>
            </w:r>
            <w:r>
              <w:rPr>
                <w:rFonts w:hint="default" w:ascii="Times New Roman" w:hAnsi="Times New Roman" w:cs="Times New Roman"/>
                <w:b w:val="0"/>
                <w:i w:val="0"/>
                <w:color w:val="auto"/>
                <w:sz w:val="21"/>
                <w:szCs w:val="21"/>
                <w:highlight w:val="none"/>
              </w:rPr>
              <w:t>跨集群、跨机房实时或定时同步能力；</w:t>
            </w:r>
          </w:p>
        </w:tc>
      </w:tr>
      <w:tr w14:paraId="5EFF5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675" w:type="dxa"/>
            <w:tcBorders>
              <w:top w:val="single" w:color="auto" w:sz="6" w:space="0"/>
              <w:left w:val="single" w:color="auto" w:sz="6" w:space="0"/>
              <w:bottom w:val="single" w:color="auto" w:sz="6" w:space="0"/>
              <w:right w:val="single" w:color="auto" w:sz="6" w:space="0"/>
              <w:tl2br w:val="nil"/>
              <w:tr2bl w:val="nil"/>
            </w:tcBorders>
            <w:noWrap/>
            <w:vAlign w:val="center"/>
          </w:tcPr>
          <w:p w14:paraId="351F2C9B">
            <w:pPr>
              <w:keepNext w:val="0"/>
              <w:keepLines w:val="0"/>
              <w:pageBreakBefore w:val="0"/>
              <w:widowControl w:val="0"/>
              <w:numPr>
                <w:ilvl w:val="0"/>
                <w:numId w:val="10"/>
              </w:numPr>
              <w:kinsoku/>
              <w:wordWrap/>
              <w:overflowPunct/>
              <w:topLinePunct w:val="0"/>
              <w:autoSpaceDE w:val="0"/>
              <w:autoSpaceDN w:val="0"/>
              <w:bidi w:val="0"/>
              <w:adjustRightInd/>
              <w:snapToGrid/>
              <w:spacing w:beforeAutospacing="0" w:afterAutospacing="0" w:line="400" w:lineRule="exact"/>
              <w:ind w:left="454" w:leftChars="0" w:hanging="454" w:firstLineChars="0"/>
              <w:jc w:val="center"/>
              <w:textAlignment w:val="auto"/>
              <w:rPr>
                <w:rFonts w:hint="default" w:ascii="Times New Roman" w:hAnsi="Times New Roman" w:cs="Times New Roman"/>
                <w:color w:val="auto"/>
                <w:sz w:val="21"/>
                <w:szCs w:val="21"/>
                <w:highlight w:val="none"/>
              </w:rPr>
            </w:pPr>
          </w:p>
        </w:tc>
        <w:tc>
          <w:tcPr>
            <w:tcW w:w="1322"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CACD2DE">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34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53B3471">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5909" w:type="dxa"/>
            <w:tcBorders>
              <w:top w:val="single" w:color="auto" w:sz="6" w:space="0"/>
              <w:left w:val="single" w:color="auto" w:sz="6" w:space="0"/>
              <w:bottom w:val="single" w:color="auto" w:sz="6" w:space="0"/>
              <w:right w:val="single" w:color="auto" w:sz="6" w:space="0"/>
              <w:tl2br w:val="nil"/>
              <w:tr2bl w:val="nil"/>
            </w:tcBorders>
            <w:noWrap/>
            <w:vAlign w:val="center"/>
          </w:tcPr>
          <w:p w14:paraId="1642247A">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b w:val="0"/>
                <w:i w:val="0"/>
                <w:color w:val="auto"/>
                <w:sz w:val="21"/>
                <w:szCs w:val="21"/>
                <w:highlight w:val="none"/>
              </w:rPr>
              <w:t>具备快速在灾备集群、备份集群和主集群之间切换和数据一致性校验的能力，支持通过可视化的方式进行操作、参数配置和运营维护。如配置定期数据备份、服务切换触发条件等。</w:t>
            </w:r>
          </w:p>
        </w:tc>
      </w:tr>
    </w:tbl>
    <w:p w14:paraId="5DB506FF">
      <w:pPr>
        <w:pStyle w:val="5"/>
        <w:keepNext w:val="0"/>
        <w:keepLines w:val="0"/>
        <w:pageBreakBefore w:val="0"/>
        <w:widowControl w:val="0"/>
        <w:numPr>
          <w:ilvl w:val="2"/>
          <w:numId w:val="2"/>
        </w:numPr>
        <w:kinsoku/>
        <w:wordWrap/>
        <w:overflowPunct/>
        <w:topLinePunct w:val="0"/>
        <w:autoSpaceDE w:val="0"/>
        <w:autoSpaceDN w:val="0"/>
        <w:bidi w:val="0"/>
        <w:adjustRightInd/>
        <w:snapToGrid/>
        <w:ind w:left="0" w:leftChars="0" w:firstLine="482" w:firstLineChars="200"/>
        <w:textAlignment w:val="auto"/>
        <w:outlineLvl w:val="3"/>
        <w:rPr>
          <w:rFonts w:hint="default" w:ascii="Times New Roman" w:hAnsi="Times New Roman" w:cs="Times New Roman"/>
          <w:b/>
          <w:bCs w:val="0"/>
          <w:color w:val="auto"/>
          <w:highlight w:val="none"/>
          <w:lang w:val="en-US" w:eastAsia="zh-CN"/>
        </w:rPr>
      </w:pPr>
      <w:r>
        <w:rPr>
          <w:rFonts w:hint="default" w:ascii="Times New Roman" w:hAnsi="Times New Roman" w:cs="Times New Roman"/>
          <w:b/>
          <w:bCs w:val="0"/>
          <w:color w:val="auto"/>
          <w:highlight w:val="none"/>
          <w:lang w:val="en-US" w:eastAsia="zh-CN"/>
        </w:rPr>
        <w:t xml:space="preserve"> 数据作业平台要求</w:t>
      </w:r>
    </w:p>
    <w:p w14:paraId="20BEE46B">
      <w:pPr>
        <w:pStyle w:val="6"/>
        <w:keepNext w:val="0"/>
        <w:keepLines w:val="0"/>
        <w:pageBreakBefore w:val="0"/>
        <w:widowControl w:val="0"/>
        <w:numPr>
          <w:ilvl w:val="3"/>
          <w:numId w:val="2"/>
        </w:numPr>
        <w:kinsoku/>
        <w:wordWrap/>
        <w:overflowPunct/>
        <w:topLinePunct w:val="0"/>
        <w:autoSpaceDE w:val="0"/>
        <w:autoSpaceDN w:val="0"/>
        <w:bidi w:val="0"/>
        <w:adjustRightInd/>
        <w:snapToGrid/>
        <w:spacing w:line="600" w:lineRule="exact"/>
        <w:ind w:left="0" w:leftChars="0" w:firstLine="482" w:firstLineChars="200"/>
        <w:jc w:val="left"/>
        <w:textAlignment w:val="auto"/>
        <w:outlineLvl w:val="4"/>
        <w:rPr>
          <w:rFonts w:hint="default" w:ascii="Times New Roman" w:hAnsi="Times New Roman" w:cs="Times New Roman"/>
          <w:b/>
          <w:bCs w:val="0"/>
          <w:color w:val="auto"/>
          <w:sz w:val="24"/>
          <w:szCs w:val="24"/>
          <w:highlight w:val="none"/>
          <w:lang w:val="en-US" w:eastAsia="zh-CN"/>
        </w:rPr>
      </w:pPr>
      <w:r>
        <w:rPr>
          <w:rFonts w:hint="default" w:ascii="Times New Roman" w:hAnsi="Times New Roman" w:cs="Times New Roman"/>
          <w:b/>
          <w:bCs w:val="0"/>
          <w:color w:val="auto"/>
          <w:sz w:val="24"/>
          <w:szCs w:val="24"/>
          <w:highlight w:val="none"/>
          <w:lang w:val="en-US" w:eastAsia="zh-CN"/>
        </w:rPr>
        <w:t xml:space="preserve"> </w:t>
      </w:r>
      <w:r>
        <w:rPr>
          <w:rFonts w:hint="eastAsia" w:ascii="Times New Roman" w:hAnsi="Times New Roman" w:cs="Times New Roman"/>
          <w:b/>
          <w:bCs w:val="0"/>
          <w:color w:val="auto"/>
          <w:sz w:val="24"/>
          <w:szCs w:val="24"/>
          <w:highlight w:val="none"/>
          <w:lang w:val="en-US" w:eastAsia="zh-CN"/>
        </w:rPr>
        <w:t>产品</w:t>
      </w:r>
      <w:r>
        <w:rPr>
          <w:rFonts w:hint="default" w:ascii="Times New Roman" w:hAnsi="Times New Roman" w:cs="Times New Roman"/>
          <w:b/>
          <w:bCs w:val="0"/>
          <w:color w:val="auto"/>
          <w:sz w:val="24"/>
          <w:szCs w:val="24"/>
          <w:highlight w:val="none"/>
          <w:lang w:val="en-US" w:eastAsia="zh-CN"/>
        </w:rPr>
        <w:t>要求</w:t>
      </w:r>
    </w:p>
    <w:p w14:paraId="5D65F56F">
      <w:pPr>
        <w:rPr>
          <w:rFonts w:hint="eastAsia" w:ascii="Times New Roman" w:hAnsi="Times New Roman" w:cs="Times New Roman"/>
          <w:b/>
          <w:bCs w:val="0"/>
          <w:color w:val="auto"/>
          <w:highlight w:val="none"/>
          <w:lang w:val="en-US" w:eastAsia="zh-CN"/>
        </w:rPr>
      </w:pPr>
      <w:r>
        <w:rPr>
          <w:rFonts w:hint="eastAsia" w:ascii="Times New Roman" w:hAnsi="Times New Roman" w:cs="Times New Roman"/>
          <w:b/>
          <w:bCs w:val="0"/>
          <w:color w:val="auto"/>
          <w:highlight w:val="none"/>
          <w:lang w:val="en-US" w:eastAsia="zh-CN"/>
        </w:rPr>
        <w:t>（1）基础要求</w:t>
      </w:r>
    </w:p>
    <w:p w14:paraId="4D1892D8">
      <w:pPr>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1）</w:t>
      </w:r>
      <w:r>
        <w:rPr>
          <w:rFonts w:hint="default" w:ascii="Times New Roman" w:hAnsi="Times New Roman" w:cs="Times New Roman"/>
          <w:color w:val="auto"/>
          <w:highlight w:val="none"/>
          <w:lang w:val="en-US" w:eastAsia="zh-CN"/>
        </w:rPr>
        <w:t>数据作业平台需完全适配参选人提供的湖仓一体底座；</w:t>
      </w:r>
    </w:p>
    <w:p w14:paraId="28D78CCC">
      <w:pP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2）产品需是基于微服务架构开发，且支持容器化部署；</w:t>
      </w:r>
    </w:p>
    <w:p w14:paraId="32A99A57">
      <w:pPr>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3）数据作业平台需将数据治理的流程与数据开发的全生命周期深度融合，实现“规范即设计，设计即开发，开发即治理”的开发治理一体化理念。</w:t>
      </w:r>
    </w:p>
    <w:p w14:paraId="066A13B4">
      <w:pPr>
        <w:rPr>
          <w:rFonts w:hint="default" w:ascii="Times New Roman" w:hAnsi="Times New Roman" w:cs="Times New Roman"/>
          <w:b/>
          <w:bCs w:val="0"/>
          <w:color w:val="auto"/>
          <w:highlight w:val="none"/>
          <w:lang w:val="en-US" w:eastAsia="zh-CN"/>
        </w:rPr>
      </w:pPr>
      <w:r>
        <w:rPr>
          <w:rFonts w:hint="eastAsia" w:ascii="Times New Roman" w:hAnsi="Times New Roman" w:cs="Times New Roman"/>
          <w:b/>
          <w:bCs w:val="0"/>
          <w:color w:val="auto"/>
          <w:highlight w:val="none"/>
          <w:lang w:val="en-US" w:eastAsia="zh-CN"/>
        </w:rPr>
        <w:t>（2）性能要求</w:t>
      </w:r>
    </w:p>
    <w:p w14:paraId="410FD86C">
      <w:pPr>
        <w:rPr>
          <w:rFonts w:hint="eastAsia"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数据作业平台旨在构建以</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DataOps</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数据敏捷研发体系为基础</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具备处理各类复杂数据场景能力</w:t>
      </w:r>
      <w:r>
        <w:rPr>
          <w:rFonts w:hint="eastAsia" w:ascii="Times New Roman" w:hAnsi="Times New Roman" w:cs="Times New Roman"/>
          <w:color w:val="auto"/>
          <w:highlight w:val="none"/>
          <w:lang w:val="en-US" w:eastAsia="zh-CN"/>
        </w:rPr>
        <w:t>的平台，以</w:t>
      </w:r>
      <w:r>
        <w:rPr>
          <w:rFonts w:hint="default" w:ascii="Times New Roman" w:hAnsi="Times New Roman" w:cs="Times New Roman"/>
          <w:color w:val="auto"/>
          <w:highlight w:val="none"/>
          <w:lang w:val="en-US" w:eastAsia="zh-CN"/>
        </w:rPr>
        <w:t>有效降低数据开发门槛，提升需求开发的质量和交付效率</w:t>
      </w:r>
      <w:r>
        <w:rPr>
          <w:rFonts w:hint="eastAsia" w:ascii="Times New Roman" w:hAnsi="Times New Roman" w:cs="Times New Roman"/>
          <w:color w:val="auto"/>
          <w:highlight w:val="none"/>
          <w:lang w:val="en-US" w:eastAsia="zh-CN"/>
        </w:rPr>
        <w:t>。数据作业平台后续将作为比选人数据作业开发的唯一平台，因此平台的部分重要模块需满足如下性能指标要求：</w:t>
      </w:r>
    </w:p>
    <w:p w14:paraId="3D7B93BD">
      <w:pPr>
        <w:pStyle w:val="9"/>
        <w:keepNext w:val="0"/>
        <w:keepLines w:val="0"/>
        <w:pageBreakBefore w:val="0"/>
        <w:widowControl w:val="0"/>
        <w:kinsoku/>
        <w:wordWrap/>
        <w:overflowPunct/>
        <w:topLinePunct w:val="0"/>
        <w:autoSpaceDE w:val="0"/>
        <w:autoSpaceDN w:val="0"/>
        <w:ind w:firstLine="0"/>
        <w:rPr>
          <w:rFonts w:hint="default" w:ascii="Times New Roman" w:hAnsi="Times New Roman" w:cs="Times New Roman"/>
          <w:color w:val="auto"/>
          <w:highlight w:val="none"/>
          <w:lang w:val="en-US" w:eastAsia="zh-CN"/>
        </w:rPr>
      </w:pPr>
      <w:r>
        <w:rPr>
          <w:rFonts w:hint="default" w:ascii="Times New Roman" w:hAnsi="Times New Roman" w:cs="Times New Roman"/>
          <w:color w:val="auto"/>
          <w:sz w:val="21"/>
          <w:szCs w:val="21"/>
          <w:highlight w:val="none"/>
        </w:rPr>
        <w:t>表3-</w:t>
      </w:r>
      <w:r>
        <w:rPr>
          <w:rFonts w:hint="eastAsia" w:cs="Times New Roman"/>
          <w:color w:val="auto"/>
          <w:sz w:val="21"/>
          <w:szCs w:val="21"/>
          <w:highlight w:val="none"/>
          <w:lang w:val="en-US" w:eastAsia="zh-CN"/>
        </w:rPr>
        <w:t>5</w:t>
      </w:r>
      <w:r>
        <w:rPr>
          <w:rFonts w:hint="default" w:ascii="Times New Roman" w:hAnsi="Times New Roman" w:cs="Times New Roman"/>
          <w:color w:val="auto"/>
          <w:sz w:val="21"/>
          <w:szCs w:val="21"/>
          <w:highlight w:val="none"/>
        </w:rPr>
        <w:t xml:space="preserve"> </w:t>
      </w:r>
      <w:r>
        <w:rPr>
          <w:rFonts w:hint="default" w:ascii="Times New Roman" w:hAnsi="Times New Roman" w:cs="Times New Roman"/>
          <w:color w:val="auto"/>
          <w:sz w:val="21"/>
          <w:szCs w:val="21"/>
          <w:highlight w:val="none"/>
          <w:lang w:eastAsia="zh-CN"/>
        </w:rPr>
        <w:t>数据作业平台</w:t>
      </w:r>
      <w:r>
        <w:rPr>
          <w:rFonts w:hint="eastAsia" w:cs="Times New Roman"/>
          <w:color w:val="auto"/>
          <w:sz w:val="21"/>
          <w:szCs w:val="21"/>
          <w:highlight w:val="none"/>
          <w:lang w:val="en-US" w:eastAsia="zh-CN"/>
        </w:rPr>
        <w:t>性能指标</w:t>
      </w:r>
    </w:p>
    <w:tbl>
      <w:tblPr>
        <w:tblStyle w:val="22"/>
        <w:tblW w:w="408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39"/>
        <w:gridCol w:w="3186"/>
        <w:gridCol w:w="2143"/>
      </w:tblGrid>
      <w:tr w14:paraId="2D22E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76" w:type="pct"/>
            <w:tcBorders>
              <w:top w:val="single" w:color="auto" w:sz="6" w:space="0"/>
              <w:left w:val="single" w:color="auto" w:sz="6" w:space="0"/>
              <w:bottom w:val="single" w:color="auto" w:sz="6" w:space="0"/>
              <w:right w:val="single" w:color="auto" w:sz="6" w:space="0"/>
              <w:tl2br w:val="nil"/>
              <w:tr2bl w:val="nil"/>
            </w:tcBorders>
            <w:shd w:val="clear" w:color="auto" w:fill="D8D8D8"/>
            <w:noWrap/>
            <w:vAlign w:val="center"/>
          </w:tcPr>
          <w:p w14:paraId="371391B8">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eastAsia" w:ascii="Times New Roman" w:hAnsi="Times New Roman" w:cs="Times New Roman"/>
                <w:b/>
                <w:bCs/>
                <w:color w:val="auto"/>
                <w:sz w:val="21"/>
                <w:szCs w:val="21"/>
                <w:highlight w:val="none"/>
                <w:lang w:val="en-US" w:eastAsia="zh-CN"/>
              </w:rPr>
              <w:t>模块</w:t>
            </w:r>
          </w:p>
        </w:tc>
        <w:tc>
          <w:tcPr>
            <w:tcW w:w="2286" w:type="pct"/>
            <w:tcBorders>
              <w:top w:val="single" w:color="auto" w:sz="6" w:space="0"/>
              <w:left w:val="single" w:color="auto" w:sz="6" w:space="0"/>
              <w:bottom w:val="single" w:color="auto" w:sz="6" w:space="0"/>
              <w:right w:val="single" w:color="auto" w:sz="6" w:space="0"/>
              <w:tl2br w:val="nil"/>
              <w:tr2bl w:val="nil"/>
            </w:tcBorders>
            <w:shd w:val="clear" w:color="auto" w:fill="D8D8D8"/>
            <w:noWrap/>
            <w:vAlign w:val="center"/>
          </w:tcPr>
          <w:p w14:paraId="328DE827">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eastAsia" w:ascii="Times New Roman" w:hAnsi="Times New Roman" w:cs="Times New Roman"/>
                <w:b/>
                <w:bCs/>
                <w:color w:val="auto"/>
                <w:sz w:val="21"/>
                <w:szCs w:val="21"/>
                <w:highlight w:val="none"/>
                <w:lang w:val="en-US" w:eastAsia="zh-CN"/>
              </w:rPr>
              <w:t>性能指标</w:t>
            </w:r>
          </w:p>
        </w:tc>
        <w:tc>
          <w:tcPr>
            <w:tcW w:w="1537" w:type="pct"/>
            <w:tcBorders>
              <w:top w:val="single" w:color="auto" w:sz="6" w:space="0"/>
              <w:left w:val="single" w:color="auto" w:sz="6" w:space="0"/>
              <w:bottom w:val="single" w:color="auto" w:sz="6" w:space="0"/>
              <w:right w:val="single" w:color="auto" w:sz="6" w:space="0"/>
              <w:tl2br w:val="nil"/>
              <w:tr2bl w:val="nil"/>
            </w:tcBorders>
            <w:shd w:val="clear" w:color="auto" w:fill="D8D8D8"/>
            <w:noWrap/>
            <w:vAlign w:val="center"/>
          </w:tcPr>
          <w:p w14:paraId="7A0FAF87">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eastAsia" w:ascii="Times New Roman" w:hAnsi="Times New Roman" w:cs="Times New Roman"/>
                <w:b/>
                <w:bCs/>
                <w:color w:val="auto"/>
                <w:sz w:val="21"/>
                <w:szCs w:val="21"/>
                <w:highlight w:val="none"/>
                <w:lang w:val="en-US" w:eastAsia="zh-CN"/>
              </w:rPr>
              <w:t>指标值</w:t>
            </w:r>
          </w:p>
        </w:tc>
      </w:tr>
      <w:tr w14:paraId="433F9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76" w:type="pct"/>
            <w:tcBorders>
              <w:top w:val="single" w:color="auto" w:sz="6" w:space="0"/>
              <w:left w:val="single" w:color="auto" w:sz="6" w:space="0"/>
              <w:bottom w:val="single" w:color="auto" w:sz="6" w:space="0"/>
              <w:right w:val="single" w:color="auto" w:sz="6" w:space="0"/>
              <w:tl2br w:val="nil"/>
              <w:tr2bl w:val="nil"/>
            </w:tcBorders>
            <w:noWrap/>
            <w:vAlign w:val="center"/>
          </w:tcPr>
          <w:p w14:paraId="7724624C">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批量采集</w:t>
            </w:r>
          </w:p>
        </w:tc>
        <w:tc>
          <w:tcPr>
            <w:tcW w:w="2286" w:type="pct"/>
            <w:tcBorders>
              <w:top w:val="single" w:color="auto" w:sz="6" w:space="0"/>
              <w:left w:val="single" w:color="auto" w:sz="6" w:space="0"/>
              <w:bottom w:val="single" w:color="auto" w:sz="6" w:space="0"/>
              <w:right w:val="single" w:color="auto" w:sz="6" w:space="0"/>
              <w:tl2br w:val="nil"/>
              <w:tr2bl w:val="nil"/>
            </w:tcBorders>
            <w:noWrap/>
            <w:vAlign w:val="center"/>
          </w:tcPr>
          <w:p w14:paraId="0E2D72C8">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left"/>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平均数据吞吐量</w:t>
            </w:r>
          </w:p>
        </w:tc>
        <w:tc>
          <w:tcPr>
            <w:tcW w:w="1537" w:type="pct"/>
            <w:tcBorders>
              <w:top w:val="single" w:color="auto" w:sz="6" w:space="0"/>
              <w:left w:val="single" w:color="auto" w:sz="6" w:space="0"/>
              <w:bottom w:val="single" w:color="auto" w:sz="6" w:space="0"/>
              <w:right w:val="single" w:color="auto" w:sz="6" w:space="0"/>
              <w:tl2br w:val="nil"/>
              <w:tr2bl w:val="nil"/>
            </w:tcBorders>
            <w:noWrap/>
            <w:vAlign w:val="center"/>
          </w:tcPr>
          <w:p w14:paraId="6D54F48F">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left"/>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&gt;=2万行/秒</w:t>
            </w:r>
          </w:p>
        </w:tc>
      </w:tr>
      <w:tr w14:paraId="7C82D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76" w:type="pct"/>
            <w:tcBorders>
              <w:top w:val="single" w:color="auto" w:sz="6" w:space="0"/>
              <w:left w:val="single" w:color="auto" w:sz="6" w:space="0"/>
              <w:bottom w:val="single" w:color="auto" w:sz="6" w:space="0"/>
              <w:right w:val="single" w:color="auto" w:sz="6" w:space="0"/>
              <w:tl2br w:val="nil"/>
              <w:tr2bl w:val="nil"/>
            </w:tcBorders>
            <w:noWrap/>
            <w:vAlign w:val="center"/>
          </w:tcPr>
          <w:p w14:paraId="6325A534">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文件交换</w:t>
            </w:r>
          </w:p>
        </w:tc>
        <w:tc>
          <w:tcPr>
            <w:tcW w:w="2286" w:type="pct"/>
            <w:tcBorders>
              <w:top w:val="single" w:color="auto" w:sz="6" w:space="0"/>
              <w:left w:val="single" w:color="auto" w:sz="6" w:space="0"/>
              <w:bottom w:val="single" w:color="auto" w:sz="6" w:space="0"/>
              <w:right w:val="single" w:color="auto" w:sz="6" w:space="0"/>
              <w:tl2br w:val="nil"/>
              <w:tr2bl w:val="nil"/>
            </w:tcBorders>
            <w:noWrap/>
            <w:vAlign w:val="center"/>
          </w:tcPr>
          <w:p w14:paraId="6BF2594D">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平均文件处理速率</w:t>
            </w:r>
          </w:p>
        </w:tc>
        <w:tc>
          <w:tcPr>
            <w:tcW w:w="1537" w:type="pct"/>
            <w:tcBorders>
              <w:top w:val="single" w:color="auto" w:sz="6" w:space="0"/>
              <w:left w:val="single" w:color="auto" w:sz="6" w:space="0"/>
              <w:bottom w:val="single" w:color="auto" w:sz="6" w:space="0"/>
              <w:right w:val="single" w:color="auto" w:sz="6" w:space="0"/>
              <w:tl2br w:val="nil"/>
              <w:tr2bl w:val="nil"/>
            </w:tcBorders>
            <w:noWrap/>
            <w:vAlign w:val="center"/>
          </w:tcPr>
          <w:p w14:paraId="1135B518">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left"/>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&gt;=300M/秒</w:t>
            </w:r>
          </w:p>
        </w:tc>
      </w:tr>
      <w:tr w14:paraId="589AB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76"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57AC38CE">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实时采集</w:t>
            </w:r>
          </w:p>
        </w:tc>
        <w:tc>
          <w:tcPr>
            <w:tcW w:w="2286" w:type="pct"/>
            <w:tcBorders>
              <w:top w:val="single" w:color="auto" w:sz="6" w:space="0"/>
              <w:left w:val="single" w:color="auto" w:sz="6" w:space="0"/>
              <w:bottom w:val="single" w:color="auto" w:sz="6" w:space="0"/>
              <w:right w:val="single" w:color="auto" w:sz="6" w:space="0"/>
              <w:tl2br w:val="nil"/>
              <w:tr2bl w:val="nil"/>
            </w:tcBorders>
            <w:noWrap/>
            <w:vAlign w:val="center"/>
          </w:tcPr>
          <w:p w14:paraId="68FEA211">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left"/>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实时采集时间延迟</w:t>
            </w:r>
          </w:p>
        </w:tc>
        <w:tc>
          <w:tcPr>
            <w:tcW w:w="1537" w:type="pct"/>
            <w:tcBorders>
              <w:top w:val="single" w:color="auto" w:sz="6" w:space="0"/>
              <w:left w:val="single" w:color="auto" w:sz="6" w:space="0"/>
              <w:bottom w:val="single" w:color="auto" w:sz="6" w:space="0"/>
              <w:right w:val="single" w:color="auto" w:sz="6" w:space="0"/>
              <w:tl2br w:val="nil"/>
              <w:tr2bl w:val="nil"/>
            </w:tcBorders>
            <w:noWrap/>
            <w:vAlign w:val="center"/>
          </w:tcPr>
          <w:p w14:paraId="4D34F1AD">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left"/>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&lt;=2秒</w:t>
            </w:r>
          </w:p>
        </w:tc>
      </w:tr>
      <w:tr w14:paraId="4A266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76"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FE1F313">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2286" w:type="pct"/>
            <w:tcBorders>
              <w:top w:val="single" w:color="auto" w:sz="6" w:space="0"/>
              <w:left w:val="single" w:color="auto" w:sz="6" w:space="0"/>
              <w:bottom w:val="single" w:color="auto" w:sz="6" w:space="0"/>
              <w:right w:val="single" w:color="auto" w:sz="6" w:space="0"/>
              <w:tl2br w:val="nil"/>
              <w:tr2bl w:val="nil"/>
            </w:tcBorders>
            <w:noWrap/>
            <w:vAlign w:val="center"/>
          </w:tcPr>
          <w:p w14:paraId="48051B25">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left"/>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平均数据吞吐量</w:t>
            </w:r>
          </w:p>
        </w:tc>
        <w:tc>
          <w:tcPr>
            <w:tcW w:w="1537" w:type="pct"/>
            <w:tcBorders>
              <w:top w:val="single" w:color="auto" w:sz="6" w:space="0"/>
              <w:left w:val="single" w:color="auto" w:sz="6" w:space="0"/>
              <w:bottom w:val="single" w:color="auto" w:sz="6" w:space="0"/>
              <w:right w:val="single" w:color="auto" w:sz="6" w:space="0"/>
              <w:tl2br w:val="nil"/>
              <w:tr2bl w:val="nil"/>
            </w:tcBorders>
            <w:noWrap/>
            <w:vAlign w:val="center"/>
          </w:tcPr>
          <w:p w14:paraId="55F6B6A7">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left"/>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&gt;=1万行/秒</w:t>
            </w:r>
          </w:p>
        </w:tc>
      </w:tr>
      <w:tr w14:paraId="2D149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76" w:type="pct"/>
            <w:tcBorders>
              <w:top w:val="single" w:color="auto" w:sz="6" w:space="0"/>
              <w:left w:val="single" w:color="auto" w:sz="6" w:space="0"/>
              <w:bottom w:val="single" w:color="auto" w:sz="6" w:space="0"/>
              <w:right w:val="single" w:color="auto" w:sz="6" w:space="0"/>
              <w:tl2br w:val="nil"/>
              <w:tr2bl w:val="nil"/>
            </w:tcBorders>
            <w:noWrap/>
            <w:vAlign w:val="center"/>
          </w:tcPr>
          <w:p w14:paraId="6907A27E">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任务调度</w:t>
            </w:r>
          </w:p>
        </w:tc>
        <w:tc>
          <w:tcPr>
            <w:tcW w:w="2286" w:type="pct"/>
            <w:tcBorders>
              <w:top w:val="single" w:color="auto" w:sz="6" w:space="0"/>
              <w:left w:val="single" w:color="auto" w:sz="6" w:space="0"/>
              <w:bottom w:val="single" w:color="auto" w:sz="6" w:space="0"/>
              <w:right w:val="single" w:color="auto" w:sz="6" w:space="0"/>
              <w:tl2br w:val="nil"/>
              <w:tr2bl w:val="nil"/>
            </w:tcBorders>
            <w:noWrap/>
            <w:vAlign w:val="center"/>
          </w:tcPr>
          <w:p w14:paraId="56211D47">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left"/>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调度任务数量</w:t>
            </w:r>
          </w:p>
        </w:tc>
        <w:tc>
          <w:tcPr>
            <w:tcW w:w="1537" w:type="pct"/>
            <w:tcBorders>
              <w:top w:val="single" w:color="auto" w:sz="6" w:space="0"/>
              <w:left w:val="single" w:color="auto" w:sz="6" w:space="0"/>
              <w:bottom w:val="single" w:color="auto" w:sz="6" w:space="0"/>
              <w:right w:val="single" w:color="auto" w:sz="6" w:space="0"/>
              <w:tl2br w:val="nil"/>
              <w:tr2bl w:val="nil"/>
            </w:tcBorders>
            <w:noWrap/>
            <w:vAlign w:val="center"/>
          </w:tcPr>
          <w:p w14:paraId="232084C3">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firstLine="0" w:firstLineChars="0"/>
              <w:jc w:val="left"/>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&gt;=10万个</w:t>
            </w:r>
          </w:p>
        </w:tc>
      </w:tr>
    </w:tbl>
    <w:p w14:paraId="699FE45C">
      <w:pPr>
        <w:numPr>
          <w:ilvl w:val="0"/>
          <w:numId w:val="0"/>
        </w:numPr>
        <w:ind w:firstLine="482" w:firstLineChars="200"/>
        <w:rPr>
          <w:rFonts w:hint="eastAsia" w:ascii="Times New Roman" w:hAnsi="Times New Roman" w:cs="Times New Roman"/>
          <w:b/>
          <w:bCs w:val="0"/>
          <w:color w:val="auto"/>
          <w:highlight w:val="none"/>
          <w:lang w:val="en-US" w:eastAsia="zh-CN"/>
        </w:rPr>
      </w:pPr>
      <w:r>
        <w:rPr>
          <w:rFonts w:hint="eastAsia" w:ascii="Times New Roman" w:hAnsi="Times New Roman" w:eastAsia="宋体" w:cs="Times New Roman"/>
          <w:b/>
          <w:bCs w:val="0"/>
          <w:color w:val="auto"/>
          <w:kern w:val="2"/>
          <w:sz w:val="24"/>
          <w:szCs w:val="20"/>
          <w:highlight w:val="none"/>
          <w:lang w:val="en-US" w:eastAsia="zh-CN" w:bidi="ar-SA"/>
        </w:rPr>
        <w:t>（3）</w:t>
      </w:r>
      <w:r>
        <w:rPr>
          <w:rFonts w:hint="eastAsia" w:ascii="Times New Roman" w:hAnsi="Times New Roman" w:cs="Times New Roman"/>
          <w:b/>
          <w:bCs w:val="0"/>
          <w:color w:val="auto"/>
          <w:kern w:val="2"/>
          <w:sz w:val="24"/>
          <w:szCs w:val="20"/>
          <w:highlight w:val="none"/>
          <w:lang w:val="en-US" w:eastAsia="zh-CN" w:bidi="ar-SA"/>
        </w:rPr>
        <w:t>使用</w:t>
      </w:r>
      <w:r>
        <w:rPr>
          <w:rFonts w:hint="eastAsia" w:ascii="Times New Roman" w:hAnsi="Times New Roman" w:cs="Times New Roman"/>
          <w:b/>
          <w:bCs w:val="0"/>
          <w:color w:val="auto"/>
          <w:highlight w:val="none"/>
          <w:lang w:val="en-US" w:eastAsia="zh-CN"/>
        </w:rPr>
        <w:t>要求</w:t>
      </w:r>
    </w:p>
    <w:p w14:paraId="396EE4E5">
      <w:pP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为保证数据作业平台后续的高可用和稳定性，参选人提供的数据作业平台的部分重要模块必须满足如下要求：</w:t>
      </w:r>
    </w:p>
    <w:p w14:paraId="47A33351">
      <w:pPr>
        <w:numPr>
          <w:ilvl w:val="0"/>
          <w:numId w:val="11"/>
        </w:numP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数据建模模块需至少支持15个数据开发人员同时在线使用；</w:t>
      </w:r>
    </w:p>
    <w:p w14:paraId="284D5A74">
      <w:pPr>
        <w:numPr>
          <w:ilvl w:val="0"/>
          <w:numId w:val="11"/>
        </w:numPr>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实时采集模块需至少支持20个业务系统的实时数据采集；</w:t>
      </w:r>
    </w:p>
    <w:p w14:paraId="394E2967">
      <w:pPr>
        <w:numPr>
          <w:ilvl w:val="0"/>
          <w:numId w:val="11"/>
        </w:numPr>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数据服务模块需满足高可用和灾备建设要求；</w:t>
      </w:r>
    </w:p>
    <w:p w14:paraId="4942D8F1">
      <w:pPr>
        <w:numPr>
          <w:ilvl w:val="0"/>
          <w:numId w:val="11"/>
        </w:numPr>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任务调度模块需满足调度性能要求、高可用及灾备建设要求。</w:t>
      </w:r>
    </w:p>
    <w:p w14:paraId="342FF9C8">
      <w:pPr>
        <w:pStyle w:val="6"/>
        <w:keepNext w:val="0"/>
        <w:keepLines w:val="0"/>
        <w:pageBreakBefore w:val="0"/>
        <w:widowControl w:val="0"/>
        <w:numPr>
          <w:ilvl w:val="3"/>
          <w:numId w:val="2"/>
        </w:numPr>
        <w:kinsoku/>
        <w:wordWrap/>
        <w:overflowPunct/>
        <w:topLinePunct w:val="0"/>
        <w:autoSpaceDE w:val="0"/>
        <w:autoSpaceDN w:val="0"/>
        <w:bidi w:val="0"/>
        <w:adjustRightInd/>
        <w:snapToGrid/>
        <w:spacing w:line="600" w:lineRule="exact"/>
        <w:ind w:left="0" w:leftChars="0" w:firstLine="482" w:firstLineChars="200"/>
        <w:jc w:val="left"/>
        <w:textAlignment w:val="auto"/>
        <w:outlineLvl w:val="4"/>
        <w:rPr>
          <w:rFonts w:hint="default" w:ascii="Times New Roman" w:hAnsi="Times New Roman" w:cs="Times New Roman"/>
          <w:b/>
          <w:bCs w:val="0"/>
          <w:color w:val="auto"/>
          <w:sz w:val="24"/>
          <w:szCs w:val="24"/>
          <w:highlight w:val="none"/>
          <w:lang w:val="en-US" w:eastAsia="zh-CN"/>
        </w:rPr>
      </w:pPr>
      <w:r>
        <w:rPr>
          <w:rFonts w:hint="eastAsia" w:ascii="Times New Roman" w:hAnsi="Times New Roman" w:cs="Times New Roman"/>
          <w:b/>
          <w:bCs w:val="0"/>
          <w:color w:val="auto"/>
          <w:sz w:val="24"/>
          <w:szCs w:val="24"/>
          <w:highlight w:val="none"/>
          <w:lang w:val="en-US" w:eastAsia="zh-CN"/>
        </w:rPr>
        <w:t xml:space="preserve"> 功能</w:t>
      </w:r>
      <w:r>
        <w:rPr>
          <w:rFonts w:hint="default" w:ascii="Times New Roman" w:hAnsi="Times New Roman" w:cs="Times New Roman"/>
          <w:b/>
          <w:bCs w:val="0"/>
          <w:color w:val="auto"/>
          <w:sz w:val="24"/>
          <w:szCs w:val="24"/>
          <w:highlight w:val="none"/>
          <w:lang w:val="en-US" w:eastAsia="zh-CN"/>
        </w:rPr>
        <w:t>要求</w:t>
      </w:r>
    </w:p>
    <w:p w14:paraId="75F4C814">
      <w:pPr>
        <w:keepNext w:val="0"/>
        <w:keepLines w:val="0"/>
        <w:pageBreakBefore w:val="0"/>
        <w:widowControl/>
        <w:kinsoku/>
        <w:wordWrap/>
        <w:overflowPunct/>
        <w:topLinePunct w:val="0"/>
        <w:autoSpaceDE/>
        <w:autoSpaceDN/>
        <w:adjustRightInd/>
        <w:snapToGrid/>
        <w:ind w:left="0" w:firstLine="480" w:firstLineChars="20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数据作业平台应满足比选人的功能需求，具体功能需求包括但不限于：</w:t>
      </w:r>
    </w:p>
    <w:p w14:paraId="3BF85BA4">
      <w:pPr>
        <w:pStyle w:val="9"/>
        <w:keepNext w:val="0"/>
        <w:keepLines w:val="0"/>
        <w:pageBreakBefore w:val="0"/>
        <w:widowControl w:val="0"/>
        <w:kinsoku/>
        <w:wordWrap/>
        <w:overflowPunct/>
        <w:topLinePunct w:val="0"/>
        <w:autoSpaceDE w:val="0"/>
        <w:autoSpaceDN w:val="0"/>
        <w:ind w:firstLine="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表3-</w:t>
      </w:r>
      <w:r>
        <w:rPr>
          <w:rFonts w:hint="eastAsia" w:cs="Times New Roman"/>
          <w:color w:val="auto"/>
          <w:sz w:val="21"/>
          <w:szCs w:val="21"/>
          <w:highlight w:val="none"/>
          <w:lang w:val="en-US" w:eastAsia="zh-CN"/>
        </w:rPr>
        <w:t>6</w:t>
      </w:r>
      <w:r>
        <w:rPr>
          <w:rFonts w:hint="default" w:ascii="Times New Roman" w:hAnsi="Times New Roman" w:cs="Times New Roman"/>
          <w:color w:val="auto"/>
          <w:sz w:val="21"/>
          <w:szCs w:val="21"/>
          <w:highlight w:val="none"/>
        </w:rPr>
        <w:t xml:space="preserve"> </w:t>
      </w:r>
      <w:r>
        <w:rPr>
          <w:rFonts w:hint="default" w:ascii="Times New Roman" w:hAnsi="Times New Roman" w:cs="Times New Roman"/>
          <w:color w:val="auto"/>
          <w:sz w:val="21"/>
          <w:szCs w:val="21"/>
          <w:highlight w:val="none"/>
          <w:lang w:eastAsia="zh-CN"/>
        </w:rPr>
        <w:t>数据作业平台</w:t>
      </w:r>
      <w:r>
        <w:rPr>
          <w:rFonts w:hint="default" w:ascii="Times New Roman" w:hAnsi="Times New Roman" w:cs="Times New Roman"/>
          <w:color w:val="auto"/>
          <w:sz w:val="21"/>
          <w:szCs w:val="21"/>
          <w:highlight w:val="none"/>
        </w:rPr>
        <w:t>功能要求</w:t>
      </w:r>
    </w:p>
    <w:tbl>
      <w:tblPr>
        <w:tblStyle w:val="22"/>
        <w:tblW w:w="8423" w:type="dxa"/>
        <w:tblInd w:w="9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694"/>
        <w:gridCol w:w="1312"/>
        <w:gridCol w:w="1272"/>
        <w:gridCol w:w="5145"/>
      </w:tblGrid>
      <w:tr w14:paraId="43F952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282" w:hRule="atLeast"/>
        </w:trPr>
        <w:tc>
          <w:tcPr>
            <w:tcW w:w="694" w:type="dxa"/>
            <w:shd w:val="clear" w:color="auto" w:fill="D8D8D8"/>
            <w:noWrap/>
            <w:vAlign w:val="center"/>
          </w:tcPr>
          <w:p w14:paraId="5483FA08">
            <w:pPr>
              <w:keepNext w:val="0"/>
              <w:keepLines w:val="0"/>
              <w:pageBreakBefore w:val="0"/>
              <w:widowControl/>
              <w:numPr>
                <w:ilvl w:val="0"/>
                <w:numId w:val="0"/>
              </w:numPr>
              <w:suppressLineNumbers w:val="0"/>
              <w:kinsoku/>
              <w:wordWrap/>
              <w:overflowPunct/>
              <w:topLinePunct w:val="0"/>
              <w:bidi w:val="0"/>
              <w:adjustRightInd/>
              <w:snapToGrid/>
              <w:spacing w:line="400" w:lineRule="exact"/>
              <w:ind w:leftChars="0"/>
              <w:jc w:val="center"/>
              <w:textAlignment w:val="bottom"/>
              <w:rPr>
                <w:rFonts w:hint="eastAsia" w:ascii="Times New Roman" w:hAnsi="Times New Roman" w:eastAsia="宋体" w:cs="Times New Roman"/>
                <w:b/>
                <w:bCs/>
                <w:i w:val="0"/>
                <w:iCs w:val="0"/>
                <w:color w:val="auto"/>
                <w:sz w:val="21"/>
                <w:szCs w:val="21"/>
                <w:highlight w:val="none"/>
                <w:u w:val="none"/>
                <w:lang w:val="en-US" w:eastAsia="zh-CN"/>
              </w:rPr>
            </w:pPr>
            <w:r>
              <w:rPr>
                <w:rFonts w:hint="eastAsia" w:ascii="Times New Roman" w:hAnsi="Times New Roman" w:cs="Times New Roman"/>
                <w:b/>
                <w:bCs/>
                <w:i w:val="0"/>
                <w:iCs w:val="0"/>
                <w:color w:val="auto"/>
                <w:sz w:val="21"/>
                <w:szCs w:val="21"/>
                <w:highlight w:val="none"/>
                <w:u w:val="none"/>
                <w:lang w:val="en-US" w:eastAsia="zh-CN"/>
              </w:rPr>
              <w:t>序号</w:t>
            </w:r>
          </w:p>
        </w:tc>
        <w:tc>
          <w:tcPr>
            <w:tcW w:w="1312" w:type="dxa"/>
            <w:shd w:val="clear" w:color="auto" w:fill="D8D8D8"/>
            <w:noWrap/>
            <w:vAlign w:val="center"/>
          </w:tcPr>
          <w:p w14:paraId="3F79CFCF">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auto"/>
                <w:sz w:val="21"/>
                <w:szCs w:val="21"/>
                <w:highlight w:val="none"/>
                <w:u w:val="none"/>
              </w:rPr>
            </w:pPr>
            <w:r>
              <w:rPr>
                <w:rStyle w:val="48"/>
                <w:rFonts w:hint="default" w:ascii="Times New Roman" w:hAnsi="Times New Roman" w:eastAsia="宋体" w:cs="Times New Roman"/>
                <w:color w:val="auto"/>
                <w:sz w:val="21"/>
                <w:szCs w:val="21"/>
                <w:highlight w:val="none"/>
                <w:lang w:val="en-US" w:eastAsia="zh-CN" w:bidi="ar"/>
              </w:rPr>
              <w:t>一级需求项</w:t>
            </w:r>
          </w:p>
        </w:tc>
        <w:tc>
          <w:tcPr>
            <w:tcW w:w="1272" w:type="dxa"/>
            <w:shd w:val="clear" w:color="auto" w:fill="D8D8D8"/>
            <w:noWrap/>
            <w:vAlign w:val="center"/>
          </w:tcPr>
          <w:p w14:paraId="0541CEB6">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auto"/>
                <w:sz w:val="21"/>
                <w:szCs w:val="21"/>
                <w:highlight w:val="none"/>
                <w:u w:val="none"/>
              </w:rPr>
            </w:pPr>
            <w:r>
              <w:rPr>
                <w:rStyle w:val="48"/>
                <w:rFonts w:hint="default" w:ascii="Times New Roman" w:hAnsi="Times New Roman" w:eastAsia="宋体" w:cs="Times New Roman"/>
                <w:color w:val="auto"/>
                <w:sz w:val="21"/>
                <w:szCs w:val="21"/>
                <w:highlight w:val="none"/>
                <w:lang w:val="en-US" w:eastAsia="zh-CN" w:bidi="ar"/>
              </w:rPr>
              <w:t>二级需求项</w:t>
            </w:r>
          </w:p>
        </w:tc>
        <w:tc>
          <w:tcPr>
            <w:tcW w:w="5145" w:type="dxa"/>
            <w:shd w:val="clear" w:color="auto" w:fill="D8D8D8"/>
            <w:noWrap/>
            <w:vAlign w:val="center"/>
          </w:tcPr>
          <w:p w14:paraId="620800F1">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auto"/>
                <w:sz w:val="21"/>
                <w:szCs w:val="21"/>
                <w:highlight w:val="none"/>
                <w:u w:val="none"/>
              </w:rPr>
            </w:pPr>
            <w:r>
              <w:rPr>
                <w:rStyle w:val="48"/>
                <w:rFonts w:hint="default" w:ascii="Times New Roman" w:hAnsi="Times New Roman" w:eastAsia="宋体" w:cs="Times New Roman"/>
                <w:color w:val="auto"/>
                <w:sz w:val="21"/>
                <w:szCs w:val="21"/>
                <w:highlight w:val="none"/>
                <w:lang w:val="en-US" w:eastAsia="zh-CN" w:bidi="ar"/>
              </w:rPr>
              <w:t>具体要求</w:t>
            </w:r>
          </w:p>
        </w:tc>
      </w:tr>
      <w:tr w14:paraId="5701C4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318" w:hRule="atLeast"/>
        </w:trPr>
        <w:tc>
          <w:tcPr>
            <w:tcW w:w="694" w:type="dxa"/>
            <w:shd w:val="clear" w:color="auto" w:fill="auto"/>
            <w:noWrap/>
            <w:vAlign w:val="center"/>
          </w:tcPr>
          <w:p w14:paraId="3F514D79">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restart"/>
            <w:shd w:val="clear" w:color="auto" w:fill="auto"/>
            <w:noWrap/>
            <w:vAlign w:val="center"/>
          </w:tcPr>
          <w:p w14:paraId="3BCFCC92">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批量采集</w:t>
            </w:r>
          </w:p>
        </w:tc>
        <w:tc>
          <w:tcPr>
            <w:tcW w:w="1272" w:type="dxa"/>
            <w:vMerge w:val="restart"/>
            <w:shd w:val="clear" w:color="auto" w:fill="auto"/>
            <w:noWrap/>
            <w:vAlign w:val="center"/>
          </w:tcPr>
          <w:p w14:paraId="3631C6B1">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批量采集</w:t>
            </w:r>
          </w:p>
        </w:tc>
        <w:tc>
          <w:tcPr>
            <w:tcW w:w="5145" w:type="dxa"/>
            <w:shd w:val="clear" w:color="auto" w:fill="auto"/>
            <w:noWrap/>
            <w:vAlign w:val="center"/>
          </w:tcPr>
          <w:p w14:paraId="2CF851D7">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支持采集主流信创及非信创关系型数据库、大数据组件存储、文件系统、消息队列等多种数据源，包括但不限于</w:t>
            </w:r>
            <w:r>
              <w:rPr>
                <w:rFonts w:hint="default" w:ascii="Times New Roman" w:hAnsi="Times New Roman" w:eastAsia="宋体" w:cs="Times New Roman"/>
                <w:i w:val="0"/>
                <w:iCs w:val="0"/>
                <w:caps/>
                <w:smallCaps w:val="0"/>
                <w:color w:val="auto"/>
                <w:kern w:val="0"/>
                <w:sz w:val="21"/>
                <w:szCs w:val="21"/>
                <w:highlight w:val="none"/>
                <w:u w:val="none"/>
                <w:lang w:val="en-US" w:eastAsia="zh-CN" w:bidi="ar"/>
              </w:rPr>
              <w:t>OceanBase、达梦、TDSQL、Oracle、Mysql、SqlServer、Hive、ClickHouse、Kafka、Hbase、ElasticSearch、Csv、Excel、Txt、API等；</w:t>
            </w:r>
          </w:p>
        </w:tc>
      </w:tr>
      <w:tr w14:paraId="26F928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8" w:hRule="atLeast"/>
        </w:trPr>
        <w:tc>
          <w:tcPr>
            <w:tcW w:w="694" w:type="dxa"/>
            <w:shd w:val="clear" w:color="auto" w:fill="auto"/>
            <w:noWrap/>
            <w:vAlign w:val="center"/>
          </w:tcPr>
          <w:p w14:paraId="6FD084D5">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continue"/>
            <w:shd w:val="clear" w:color="auto" w:fill="auto"/>
            <w:noWrap/>
            <w:vAlign w:val="center"/>
          </w:tcPr>
          <w:p w14:paraId="07E651DD">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1272" w:type="dxa"/>
            <w:vMerge w:val="continue"/>
            <w:shd w:val="clear" w:color="auto" w:fill="auto"/>
            <w:noWrap/>
            <w:vAlign w:val="center"/>
          </w:tcPr>
          <w:p w14:paraId="25FF6B3E">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5145" w:type="dxa"/>
            <w:shd w:val="clear" w:color="auto" w:fill="auto"/>
            <w:noWrap/>
            <w:vAlign w:val="center"/>
          </w:tcPr>
          <w:p w14:paraId="300EA301">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支持通过多种方式批量生成批量采集作业，包括但不限于</w:t>
            </w:r>
            <w:r>
              <w:rPr>
                <w:rFonts w:hint="default" w:ascii="Times New Roman" w:hAnsi="Times New Roman" w:eastAsia="宋体" w:cs="Times New Roman"/>
                <w:i w:val="0"/>
                <w:iCs w:val="0"/>
                <w:caps/>
                <w:smallCaps w:val="0"/>
                <w:color w:val="auto"/>
                <w:kern w:val="0"/>
                <w:sz w:val="21"/>
                <w:szCs w:val="21"/>
                <w:highlight w:val="none"/>
                <w:u w:val="none"/>
                <w:lang w:val="en-US" w:eastAsia="zh-CN" w:bidi="ar"/>
              </w:rPr>
              <w:t>Excel</w:t>
            </w:r>
            <w:r>
              <w:rPr>
                <w:rFonts w:hint="default" w:ascii="Times New Roman" w:hAnsi="Times New Roman" w:eastAsia="宋体" w:cs="Times New Roman"/>
                <w:i w:val="0"/>
                <w:iCs w:val="0"/>
                <w:color w:val="auto"/>
                <w:kern w:val="0"/>
                <w:sz w:val="21"/>
                <w:szCs w:val="21"/>
                <w:highlight w:val="none"/>
                <w:u w:val="none"/>
                <w:lang w:val="en-US" w:eastAsia="zh-CN" w:bidi="ar"/>
              </w:rPr>
              <w:t>、可视化界面配置；</w:t>
            </w:r>
          </w:p>
        </w:tc>
      </w:tr>
      <w:tr w14:paraId="57AD4B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282" w:hRule="atLeast"/>
        </w:trPr>
        <w:tc>
          <w:tcPr>
            <w:tcW w:w="694" w:type="dxa"/>
            <w:shd w:val="clear" w:color="auto" w:fill="auto"/>
            <w:noWrap/>
            <w:vAlign w:val="center"/>
          </w:tcPr>
          <w:p w14:paraId="23C85789">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continue"/>
            <w:shd w:val="clear" w:color="auto" w:fill="auto"/>
            <w:noWrap/>
            <w:vAlign w:val="center"/>
          </w:tcPr>
          <w:p w14:paraId="1357846D">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1272" w:type="dxa"/>
            <w:vMerge w:val="continue"/>
            <w:shd w:val="clear" w:color="auto" w:fill="auto"/>
            <w:noWrap/>
            <w:vAlign w:val="center"/>
          </w:tcPr>
          <w:p w14:paraId="35C4ED5B">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5145" w:type="dxa"/>
            <w:shd w:val="clear" w:color="auto" w:fill="auto"/>
            <w:noWrap/>
            <w:vAlign w:val="center"/>
          </w:tcPr>
          <w:p w14:paraId="41B71849">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支持采集任务小批量采样数据在线测试；</w:t>
            </w:r>
          </w:p>
        </w:tc>
      </w:tr>
      <w:tr w14:paraId="6A6D85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282" w:hRule="atLeast"/>
        </w:trPr>
        <w:tc>
          <w:tcPr>
            <w:tcW w:w="694" w:type="dxa"/>
            <w:shd w:val="clear" w:color="auto" w:fill="auto"/>
            <w:noWrap/>
            <w:vAlign w:val="center"/>
          </w:tcPr>
          <w:p w14:paraId="7E61B86E">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continue"/>
            <w:shd w:val="clear" w:color="auto" w:fill="auto"/>
            <w:noWrap/>
            <w:vAlign w:val="center"/>
          </w:tcPr>
          <w:p w14:paraId="35BE6FF3">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1272" w:type="dxa"/>
            <w:vMerge w:val="continue"/>
            <w:shd w:val="clear" w:color="auto" w:fill="auto"/>
            <w:noWrap/>
            <w:vAlign w:val="center"/>
          </w:tcPr>
          <w:p w14:paraId="674FB4B0">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5145" w:type="dxa"/>
            <w:shd w:val="clear" w:color="auto" w:fill="auto"/>
            <w:noWrap/>
            <w:vAlign w:val="center"/>
          </w:tcPr>
          <w:p w14:paraId="14AAD96E">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自带常见的数据处理算子，包括但不限于空值处理、数据过滤、码值转换、重复值处理等；</w:t>
            </w:r>
          </w:p>
        </w:tc>
      </w:tr>
      <w:tr w14:paraId="313A61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282" w:hRule="atLeast"/>
        </w:trPr>
        <w:tc>
          <w:tcPr>
            <w:tcW w:w="694" w:type="dxa"/>
            <w:shd w:val="clear" w:color="auto" w:fill="auto"/>
            <w:noWrap/>
            <w:vAlign w:val="center"/>
          </w:tcPr>
          <w:p w14:paraId="1FD94B8B">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continue"/>
            <w:shd w:val="clear" w:color="auto" w:fill="auto"/>
            <w:noWrap/>
            <w:vAlign w:val="center"/>
          </w:tcPr>
          <w:p w14:paraId="1E7C1014">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1272" w:type="dxa"/>
            <w:vMerge w:val="continue"/>
            <w:shd w:val="clear" w:color="auto" w:fill="auto"/>
            <w:noWrap/>
            <w:vAlign w:val="center"/>
          </w:tcPr>
          <w:p w14:paraId="37380D05">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5145" w:type="dxa"/>
            <w:shd w:val="clear" w:color="auto" w:fill="auto"/>
            <w:noWrap/>
            <w:vAlign w:val="center"/>
          </w:tcPr>
          <w:p w14:paraId="595DD59E">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支持用户自定义数据处理算</w:t>
            </w:r>
            <w:r>
              <w:rPr>
                <w:rFonts w:hint="default" w:ascii="Times New Roman" w:hAnsi="Times New Roman" w:eastAsia="宋体" w:cs="Times New Roman"/>
                <w:i w:val="0"/>
                <w:iCs w:val="0"/>
                <w:caps/>
                <w:smallCaps w:val="0"/>
                <w:color w:val="auto"/>
                <w:kern w:val="0"/>
                <w:sz w:val="21"/>
                <w:szCs w:val="21"/>
                <w:highlight w:val="none"/>
                <w:u w:val="none"/>
                <w:lang w:val="en-US" w:eastAsia="zh-CN" w:bidi="ar"/>
              </w:rPr>
              <w:t>子（包括但不限于SQL脚本、Jar、Python、Shell）并进行注册后使用；</w:t>
            </w:r>
          </w:p>
        </w:tc>
      </w:tr>
      <w:tr w14:paraId="578C21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2" w:hRule="atLeast"/>
        </w:trPr>
        <w:tc>
          <w:tcPr>
            <w:tcW w:w="694" w:type="dxa"/>
            <w:shd w:val="clear" w:color="auto" w:fill="auto"/>
            <w:noWrap/>
            <w:vAlign w:val="center"/>
          </w:tcPr>
          <w:p w14:paraId="52B60267">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continue"/>
            <w:shd w:val="clear" w:color="auto" w:fill="auto"/>
            <w:noWrap/>
            <w:vAlign w:val="center"/>
          </w:tcPr>
          <w:p w14:paraId="64EB8F4A">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1272" w:type="dxa"/>
            <w:vMerge w:val="continue"/>
            <w:shd w:val="clear" w:color="auto" w:fill="auto"/>
            <w:noWrap/>
            <w:vAlign w:val="center"/>
          </w:tcPr>
          <w:p w14:paraId="4D867F25">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5145" w:type="dxa"/>
            <w:shd w:val="clear" w:color="auto" w:fill="auto"/>
            <w:noWrap/>
            <w:vAlign w:val="center"/>
          </w:tcPr>
          <w:p w14:paraId="63B836D7">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支持根据不同表类型选择对应的数据处理算法，并自动生成相关脚本，数据处理算法包括但不限于增量拉链、全量拉链及切片；</w:t>
            </w:r>
          </w:p>
        </w:tc>
      </w:tr>
      <w:tr w14:paraId="34DA89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2" w:hRule="atLeast"/>
        </w:trPr>
        <w:tc>
          <w:tcPr>
            <w:tcW w:w="694" w:type="dxa"/>
            <w:shd w:val="clear" w:color="auto" w:fill="auto"/>
            <w:noWrap/>
            <w:vAlign w:val="center"/>
          </w:tcPr>
          <w:p w14:paraId="3998A678">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continue"/>
            <w:shd w:val="clear" w:color="auto" w:fill="auto"/>
            <w:noWrap/>
            <w:vAlign w:val="center"/>
          </w:tcPr>
          <w:p w14:paraId="0D711A44">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1272" w:type="dxa"/>
            <w:vMerge w:val="continue"/>
            <w:shd w:val="clear" w:color="auto" w:fill="auto"/>
            <w:noWrap/>
            <w:vAlign w:val="center"/>
          </w:tcPr>
          <w:p w14:paraId="7AF2CD2F">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5145" w:type="dxa"/>
            <w:shd w:val="clear" w:color="auto" w:fill="auto"/>
            <w:noWrap/>
            <w:vAlign w:val="center"/>
          </w:tcPr>
          <w:p w14:paraId="4E72EB74">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支持自动根据源系统字段信息及目标库的数据库类型，自动创建目标表；</w:t>
            </w:r>
          </w:p>
        </w:tc>
      </w:tr>
      <w:tr w14:paraId="7B8E42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318" w:hRule="atLeast"/>
        </w:trPr>
        <w:tc>
          <w:tcPr>
            <w:tcW w:w="694" w:type="dxa"/>
            <w:shd w:val="clear" w:color="auto" w:fill="auto"/>
            <w:noWrap/>
            <w:vAlign w:val="center"/>
          </w:tcPr>
          <w:p w14:paraId="03D5029B">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continue"/>
            <w:shd w:val="clear" w:color="auto" w:fill="auto"/>
            <w:noWrap/>
            <w:vAlign w:val="center"/>
          </w:tcPr>
          <w:p w14:paraId="78F1A35A">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1272" w:type="dxa"/>
            <w:vMerge w:val="continue"/>
            <w:shd w:val="clear" w:color="auto" w:fill="auto"/>
            <w:noWrap/>
            <w:vAlign w:val="center"/>
          </w:tcPr>
          <w:p w14:paraId="25C0CC6C">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5145" w:type="dxa"/>
            <w:shd w:val="clear" w:color="auto" w:fill="auto"/>
            <w:noWrap/>
            <w:vAlign w:val="center"/>
          </w:tcPr>
          <w:p w14:paraId="5EC58F14">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支持通过可视化界面配置后自动生成全链路的数据采集作业，即采集任务、数据处理、目标表建立、调度任务注册；</w:t>
            </w:r>
          </w:p>
        </w:tc>
      </w:tr>
      <w:tr w14:paraId="0E7660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282" w:hRule="atLeast"/>
        </w:trPr>
        <w:tc>
          <w:tcPr>
            <w:tcW w:w="694" w:type="dxa"/>
            <w:shd w:val="clear" w:color="auto" w:fill="auto"/>
            <w:noWrap/>
            <w:vAlign w:val="center"/>
          </w:tcPr>
          <w:p w14:paraId="45E84532">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continue"/>
            <w:shd w:val="clear" w:color="auto" w:fill="auto"/>
            <w:noWrap/>
            <w:vAlign w:val="center"/>
          </w:tcPr>
          <w:p w14:paraId="34A1436D">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1272" w:type="dxa"/>
            <w:vMerge w:val="continue"/>
            <w:shd w:val="clear" w:color="auto" w:fill="auto"/>
            <w:noWrap/>
            <w:vAlign w:val="center"/>
          </w:tcPr>
          <w:p w14:paraId="62D06146">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5145" w:type="dxa"/>
            <w:shd w:val="clear" w:color="auto" w:fill="auto"/>
            <w:noWrap/>
            <w:vAlign w:val="center"/>
          </w:tcPr>
          <w:p w14:paraId="7FAB22E0">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支持源系统和湖仓的库表、字段信息的自动比对，针对不一致的进行告警提示，并支持可视化的展示上下游的影响分析；</w:t>
            </w:r>
          </w:p>
        </w:tc>
      </w:tr>
      <w:tr w14:paraId="700818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282" w:hRule="atLeast"/>
        </w:trPr>
        <w:tc>
          <w:tcPr>
            <w:tcW w:w="694" w:type="dxa"/>
            <w:shd w:val="clear" w:color="auto" w:fill="auto"/>
            <w:noWrap/>
            <w:vAlign w:val="center"/>
          </w:tcPr>
          <w:p w14:paraId="2B009599">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continue"/>
            <w:shd w:val="clear" w:color="auto" w:fill="auto"/>
            <w:noWrap/>
            <w:vAlign w:val="center"/>
          </w:tcPr>
          <w:p w14:paraId="6F74042E">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1272" w:type="dxa"/>
            <w:vMerge w:val="continue"/>
            <w:shd w:val="clear" w:color="auto" w:fill="auto"/>
            <w:noWrap/>
            <w:vAlign w:val="center"/>
          </w:tcPr>
          <w:p w14:paraId="5973443B">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5145" w:type="dxa"/>
            <w:shd w:val="clear" w:color="auto" w:fill="auto"/>
            <w:noWrap/>
            <w:vAlign w:val="center"/>
          </w:tcPr>
          <w:p w14:paraId="01C439A1">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支持批量采集LOB大字段；</w:t>
            </w:r>
          </w:p>
        </w:tc>
      </w:tr>
      <w:tr w14:paraId="435005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282" w:hRule="atLeast"/>
        </w:trPr>
        <w:tc>
          <w:tcPr>
            <w:tcW w:w="694" w:type="dxa"/>
            <w:shd w:val="clear" w:color="auto" w:fill="auto"/>
            <w:noWrap/>
            <w:vAlign w:val="center"/>
          </w:tcPr>
          <w:p w14:paraId="00304B0F">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continue"/>
            <w:shd w:val="clear" w:color="auto" w:fill="auto"/>
            <w:noWrap/>
            <w:vAlign w:val="center"/>
          </w:tcPr>
          <w:p w14:paraId="439576C1">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1272" w:type="dxa"/>
            <w:vMerge w:val="continue"/>
            <w:shd w:val="clear" w:color="auto" w:fill="auto"/>
            <w:noWrap/>
            <w:vAlign w:val="center"/>
          </w:tcPr>
          <w:p w14:paraId="47EA8B83">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5145" w:type="dxa"/>
            <w:shd w:val="clear" w:color="auto" w:fill="auto"/>
            <w:noWrap/>
            <w:vAlign w:val="center"/>
          </w:tcPr>
          <w:p w14:paraId="02EE5B25">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支持通过快速复制数据库文件的方式复制同构或异构数据库，且具有跨平台、跨版本的特点；</w:t>
            </w:r>
          </w:p>
        </w:tc>
      </w:tr>
      <w:tr w14:paraId="61A472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2" w:hRule="atLeast"/>
        </w:trPr>
        <w:tc>
          <w:tcPr>
            <w:tcW w:w="694" w:type="dxa"/>
            <w:shd w:val="clear" w:color="auto" w:fill="auto"/>
            <w:noWrap/>
            <w:vAlign w:val="center"/>
          </w:tcPr>
          <w:p w14:paraId="6AD8A9FD">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continue"/>
            <w:shd w:val="clear" w:color="auto" w:fill="auto"/>
            <w:noWrap/>
            <w:vAlign w:val="center"/>
          </w:tcPr>
          <w:p w14:paraId="46895489">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1272" w:type="dxa"/>
            <w:vMerge w:val="continue"/>
            <w:shd w:val="clear" w:color="auto" w:fill="auto"/>
            <w:noWrap/>
            <w:vAlign w:val="center"/>
          </w:tcPr>
          <w:p w14:paraId="78BE419F">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5145" w:type="dxa"/>
            <w:shd w:val="clear" w:color="auto" w:fill="auto"/>
            <w:noWrap/>
            <w:vAlign w:val="center"/>
          </w:tcPr>
          <w:p w14:paraId="5DC23631">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支持采集任务参数多样化配置，包括但不限于任务并发度、错误比例处理策略等；</w:t>
            </w:r>
          </w:p>
        </w:tc>
      </w:tr>
      <w:tr w14:paraId="374B2A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282" w:hRule="atLeast"/>
        </w:trPr>
        <w:tc>
          <w:tcPr>
            <w:tcW w:w="694" w:type="dxa"/>
            <w:shd w:val="clear" w:color="auto" w:fill="auto"/>
            <w:noWrap/>
            <w:vAlign w:val="center"/>
          </w:tcPr>
          <w:p w14:paraId="0D246889">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continue"/>
            <w:shd w:val="clear" w:color="auto" w:fill="auto"/>
            <w:noWrap/>
            <w:vAlign w:val="center"/>
          </w:tcPr>
          <w:p w14:paraId="5C91D0F9">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1272" w:type="dxa"/>
            <w:vMerge w:val="continue"/>
            <w:shd w:val="clear" w:color="auto" w:fill="auto"/>
            <w:noWrap/>
            <w:vAlign w:val="center"/>
          </w:tcPr>
          <w:p w14:paraId="28F5A638">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5145" w:type="dxa"/>
            <w:shd w:val="clear" w:color="auto" w:fill="auto"/>
            <w:noWrap/>
            <w:vAlign w:val="center"/>
          </w:tcPr>
          <w:p w14:paraId="14EB35BF">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针对上游新增字段或字段长度变更的情况，系统支持自动同步新增字段或最新字段长度信息到数据湖，并记录相关变更日志；</w:t>
            </w:r>
          </w:p>
        </w:tc>
      </w:tr>
      <w:tr w14:paraId="0413FE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2" w:hRule="atLeast"/>
        </w:trPr>
        <w:tc>
          <w:tcPr>
            <w:tcW w:w="694" w:type="dxa"/>
            <w:shd w:val="clear" w:color="auto" w:fill="auto"/>
            <w:noWrap/>
            <w:vAlign w:val="center"/>
          </w:tcPr>
          <w:p w14:paraId="6078D688">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restart"/>
            <w:shd w:val="clear" w:color="auto" w:fill="auto"/>
            <w:noWrap/>
            <w:vAlign w:val="center"/>
          </w:tcPr>
          <w:p w14:paraId="4138DFD5">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实时采集</w:t>
            </w:r>
          </w:p>
        </w:tc>
        <w:tc>
          <w:tcPr>
            <w:tcW w:w="1272" w:type="dxa"/>
            <w:vMerge w:val="restart"/>
            <w:shd w:val="clear" w:color="auto" w:fill="auto"/>
            <w:noWrap/>
            <w:vAlign w:val="center"/>
          </w:tcPr>
          <w:p w14:paraId="3295ACC7">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实时采集</w:t>
            </w:r>
          </w:p>
        </w:tc>
        <w:tc>
          <w:tcPr>
            <w:tcW w:w="5145" w:type="dxa"/>
            <w:shd w:val="clear" w:color="auto" w:fill="auto"/>
            <w:noWrap/>
            <w:vAlign w:val="center"/>
          </w:tcPr>
          <w:p w14:paraId="55D45B54">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支持</w:t>
            </w:r>
            <w:r>
              <w:rPr>
                <w:rFonts w:hint="eastAsia" w:ascii="Times New Roman" w:hAnsi="Times New Roman" w:cs="Times New Roman"/>
                <w:i w:val="0"/>
                <w:iCs w:val="0"/>
                <w:color w:val="auto"/>
                <w:kern w:val="0"/>
                <w:sz w:val="21"/>
                <w:szCs w:val="21"/>
                <w:highlight w:val="none"/>
                <w:u w:val="none"/>
                <w:lang w:val="en-US" w:eastAsia="zh-CN" w:bidi="ar"/>
              </w:rPr>
              <w:t>实时</w:t>
            </w:r>
            <w:r>
              <w:rPr>
                <w:rFonts w:hint="default" w:ascii="Times New Roman" w:hAnsi="Times New Roman" w:eastAsia="宋体" w:cs="Times New Roman"/>
                <w:i w:val="0"/>
                <w:iCs w:val="0"/>
                <w:color w:val="auto"/>
                <w:kern w:val="0"/>
                <w:sz w:val="21"/>
                <w:szCs w:val="21"/>
                <w:highlight w:val="none"/>
                <w:u w:val="none"/>
                <w:lang w:val="en-US" w:eastAsia="zh-CN" w:bidi="ar"/>
              </w:rPr>
              <w:t>采</w:t>
            </w:r>
            <w:r>
              <w:rPr>
                <w:rFonts w:hint="default" w:ascii="Times New Roman" w:hAnsi="Times New Roman" w:eastAsia="宋体" w:cs="Times New Roman"/>
                <w:i w:val="0"/>
                <w:iCs w:val="0"/>
                <w:caps/>
                <w:smallCaps w:val="0"/>
                <w:color w:val="auto"/>
                <w:kern w:val="0"/>
                <w:sz w:val="21"/>
                <w:szCs w:val="21"/>
                <w:highlight w:val="none"/>
                <w:u w:val="none"/>
                <w:lang w:val="en-US" w:eastAsia="zh-CN" w:bidi="ar"/>
              </w:rPr>
              <w:t>集关系型数据库</w:t>
            </w:r>
            <w:r>
              <w:rPr>
                <w:rFonts w:hint="eastAsia" w:ascii="Times New Roman" w:hAnsi="Times New Roman" w:cs="Times New Roman"/>
                <w:i w:val="0"/>
                <w:iCs w:val="0"/>
                <w:caps/>
                <w:smallCaps w:val="0"/>
                <w:color w:val="auto"/>
                <w:kern w:val="0"/>
                <w:sz w:val="21"/>
                <w:szCs w:val="21"/>
                <w:highlight w:val="none"/>
                <w:u w:val="none"/>
                <w:lang w:val="en-US" w:eastAsia="zh-CN" w:bidi="ar"/>
              </w:rPr>
              <w:t>的</w:t>
            </w:r>
            <w:r>
              <w:rPr>
                <w:rFonts w:hint="default" w:ascii="Times New Roman" w:hAnsi="Times New Roman" w:eastAsia="宋体" w:cs="Times New Roman"/>
                <w:i w:val="0"/>
                <w:iCs w:val="0"/>
                <w:caps/>
                <w:smallCaps w:val="0"/>
                <w:color w:val="auto"/>
                <w:kern w:val="0"/>
                <w:sz w:val="21"/>
                <w:szCs w:val="21"/>
                <w:highlight w:val="none"/>
                <w:u w:val="none"/>
                <w:lang w:val="en-US" w:eastAsia="zh-CN" w:bidi="ar"/>
              </w:rPr>
              <w:t>binlog</w:t>
            </w:r>
            <w:r>
              <w:rPr>
                <w:rFonts w:hint="eastAsia" w:ascii="Times New Roman" w:hAnsi="Times New Roman" w:cs="Times New Roman"/>
                <w:i w:val="0"/>
                <w:iCs w:val="0"/>
                <w:caps/>
                <w:smallCaps w:val="0"/>
                <w:color w:val="auto"/>
                <w:kern w:val="0"/>
                <w:sz w:val="21"/>
                <w:szCs w:val="21"/>
                <w:highlight w:val="none"/>
                <w:u w:val="none"/>
                <w:lang w:val="en-US" w:eastAsia="zh-CN" w:bidi="ar"/>
              </w:rPr>
              <w:t>日志或</w:t>
            </w:r>
            <w:r>
              <w:rPr>
                <w:rFonts w:hint="default" w:ascii="Times New Roman" w:hAnsi="Times New Roman" w:eastAsia="宋体" w:cs="Times New Roman"/>
                <w:i w:val="0"/>
                <w:iCs w:val="0"/>
                <w:caps/>
                <w:smallCaps w:val="0"/>
                <w:color w:val="auto"/>
                <w:kern w:val="0"/>
                <w:sz w:val="21"/>
                <w:szCs w:val="21"/>
                <w:highlight w:val="none"/>
                <w:u w:val="none"/>
                <w:lang w:val="en-US" w:eastAsia="zh-CN" w:bidi="ar"/>
              </w:rPr>
              <w:t>归档日志</w:t>
            </w:r>
            <w:r>
              <w:rPr>
                <w:rFonts w:hint="eastAsia" w:ascii="Times New Roman" w:hAnsi="Times New Roman" w:cs="Times New Roman"/>
                <w:i w:val="0"/>
                <w:iCs w:val="0"/>
                <w:caps/>
                <w:smallCaps w:val="0"/>
                <w:color w:val="auto"/>
                <w:kern w:val="0"/>
                <w:sz w:val="21"/>
                <w:szCs w:val="21"/>
                <w:highlight w:val="none"/>
                <w:u w:val="none"/>
                <w:lang w:val="en-US" w:eastAsia="zh-CN" w:bidi="ar"/>
              </w:rPr>
              <w:t>以及消息队列的消息如</w:t>
            </w:r>
            <w:r>
              <w:rPr>
                <w:rFonts w:hint="default" w:ascii="Times New Roman" w:hAnsi="Times New Roman" w:eastAsia="宋体" w:cs="Times New Roman"/>
                <w:i w:val="0"/>
                <w:iCs w:val="0"/>
                <w:caps/>
                <w:smallCaps w:val="0"/>
                <w:color w:val="auto"/>
                <w:kern w:val="0"/>
                <w:sz w:val="21"/>
                <w:szCs w:val="21"/>
                <w:highlight w:val="none"/>
                <w:u w:val="none"/>
                <w:lang w:val="en-US" w:eastAsia="zh-CN" w:bidi="ar"/>
              </w:rPr>
              <w:t>Kafka</w:t>
            </w:r>
            <w:r>
              <w:rPr>
                <w:rFonts w:hint="eastAsia" w:ascii="Times New Roman" w:hAnsi="Times New Roman" w:cs="Times New Roman"/>
                <w:i w:val="0"/>
                <w:iCs w:val="0"/>
                <w:caps/>
                <w:smallCaps w:val="0"/>
                <w:color w:val="auto"/>
                <w:kern w:val="0"/>
                <w:sz w:val="21"/>
                <w:szCs w:val="21"/>
                <w:highlight w:val="none"/>
                <w:u w:val="none"/>
                <w:lang w:val="en-US" w:eastAsia="zh-CN" w:bidi="ar"/>
              </w:rPr>
              <w:t>等</w:t>
            </w:r>
            <w:r>
              <w:rPr>
                <w:rFonts w:hint="default" w:ascii="Times New Roman" w:hAnsi="Times New Roman" w:eastAsia="宋体" w:cs="Times New Roman"/>
                <w:i w:val="0"/>
                <w:iCs w:val="0"/>
                <w:caps/>
                <w:smallCaps w:val="0"/>
                <w:color w:val="auto"/>
                <w:kern w:val="0"/>
                <w:sz w:val="21"/>
                <w:szCs w:val="21"/>
                <w:highlight w:val="none"/>
                <w:u w:val="none"/>
                <w:lang w:val="en-US" w:eastAsia="zh-CN" w:bidi="ar"/>
              </w:rPr>
              <w:t>，</w:t>
            </w:r>
            <w:r>
              <w:rPr>
                <w:rFonts w:hint="eastAsia" w:ascii="Times New Roman" w:hAnsi="Times New Roman" w:cs="Times New Roman"/>
                <w:i w:val="0"/>
                <w:iCs w:val="0"/>
                <w:caps/>
                <w:smallCaps w:val="0"/>
                <w:color w:val="auto"/>
                <w:kern w:val="0"/>
                <w:sz w:val="21"/>
                <w:szCs w:val="21"/>
                <w:highlight w:val="none"/>
                <w:u w:val="none"/>
                <w:lang w:val="en-US" w:eastAsia="zh-CN" w:bidi="ar"/>
              </w:rPr>
              <w:t>其中</w:t>
            </w:r>
            <w:r>
              <w:rPr>
                <w:rFonts w:hint="default" w:ascii="Times New Roman" w:hAnsi="Times New Roman" w:eastAsia="宋体" w:cs="Times New Roman"/>
                <w:i w:val="0"/>
                <w:iCs w:val="0"/>
                <w:caps/>
                <w:smallCaps w:val="0"/>
                <w:color w:val="auto"/>
                <w:kern w:val="0"/>
                <w:sz w:val="21"/>
                <w:szCs w:val="21"/>
                <w:highlight w:val="none"/>
                <w:u w:val="none"/>
                <w:lang w:val="en-US" w:eastAsia="zh-CN" w:bidi="ar"/>
              </w:rPr>
              <w:t>数据库类型包括但不限于OceanBase、达梦、TDSQL、Oracle、Mysql；</w:t>
            </w:r>
          </w:p>
        </w:tc>
      </w:tr>
      <w:tr w14:paraId="1F6C25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282" w:hRule="atLeast"/>
        </w:trPr>
        <w:tc>
          <w:tcPr>
            <w:tcW w:w="694" w:type="dxa"/>
            <w:shd w:val="clear" w:color="auto" w:fill="auto"/>
            <w:noWrap/>
            <w:vAlign w:val="center"/>
          </w:tcPr>
          <w:p w14:paraId="49F17E3F">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continue"/>
            <w:shd w:val="clear" w:color="auto" w:fill="auto"/>
            <w:noWrap/>
            <w:vAlign w:val="center"/>
          </w:tcPr>
          <w:p w14:paraId="06941494">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1272" w:type="dxa"/>
            <w:vMerge w:val="continue"/>
            <w:shd w:val="clear" w:color="auto" w:fill="auto"/>
            <w:noWrap/>
            <w:vAlign w:val="center"/>
          </w:tcPr>
          <w:p w14:paraId="47C61706">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5145" w:type="dxa"/>
            <w:shd w:val="clear" w:color="auto" w:fill="auto"/>
            <w:noWrap/>
            <w:vAlign w:val="center"/>
          </w:tcPr>
          <w:p w14:paraId="7DC7D557">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支持实时采集LOB大字段；</w:t>
            </w:r>
          </w:p>
        </w:tc>
      </w:tr>
      <w:tr w14:paraId="772FD9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282" w:hRule="atLeast"/>
        </w:trPr>
        <w:tc>
          <w:tcPr>
            <w:tcW w:w="694" w:type="dxa"/>
            <w:shd w:val="clear" w:color="auto" w:fill="auto"/>
            <w:noWrap/>
            <w:vAlign w:val="center"/>
          </w:tcPr>
          <w:p w14:paraId="41FBF65B">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continue"/>
            <w:shd w:val="clear" w:color="auto" w:fill="auto"/>
            <w:noWrap/>
            <w:vAlign w:val="center"/>
          </w:tcPr>
          <w:p w14:paraId="0F2DC309">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1272" w:type="dxa"/>
            <w:vMerge w:val="continue"/>
            <w:shd w:val="clear" w:color="auto" w:fill="auto"/>
            <w:noWrap/>
            <w:vAlign w:val="center"/>
          </w:tcPr>
          <w:p w14:paraId="643A52A4">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5145" w:type="dxa"/>
            <w:shd w:val="clear" w:color="auto" w:fill="auto"/>
            <w:noWrap/>
            <w:vAlign w:val="center"/>
          </w:tcPr>
          <w:p w14:paraId="616D5554">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支持多种实时采集方式，包括但不限于仅增量、仅全量、先全量再增量及按时间范围筛选；</w:t>
            </w:r>
          </w:p>
        </w:tc>
      </w:tr>
      <w:tr w14:paraId="53AC78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282" w:hRule="atLeast"/>
        </w:trPr>
        <w:tc>
          <w:tcPr>
            <w:tcW w:w="694" w:type="dxa"/>
            <w:shd w:val="clear" w:color="auto" w:fill="auto"/>
            <w:noWrap/>
            <w:vAlign w:val="center"/>
          </w:tcPr>
          <w:p w14:paraId="555D2E0C">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continue"/>
            <w:shd w:val="clear" w:color="auto" w:fill="auto"/>
            <w:noWrap/>
            <w:vAlign w:val="center"/>
          </w:tcPr>
          <w:p w14:paraId="4373EBF1">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1272" w:type="dxa"/>
            <w:vMerge w:val="continue"/>
            <w:shd w:val="clear" w:color="auto" w:fill="auto"/>
            <w:noWrap/>
            <w:vAlign w:val="center"/>
          </w:tcPr>
          <w:p w14:paraId="707592FD">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5145" w:type="dxa"/>
            <w:shd w:val="clear" w:color="auto" w:fill="auto"/>
            <w:noWrap/>
            <w:vAlign w:val="center"/>
          </w:tcPr>
          <w:p w14:paraId="613E15D1">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支持多种实时数据目标源，</w:t>
            </w:r>
            <w:r>
              <w:rPr>
                <w:rFonts w:hint="default" w:ascii="Times New Roman" w:hAnsi="Times New Roman" w:eastAsia="宋体" w:cs="Times New Roman"/>
                <w:i w:val="0"/>
                <w:iCs w:val="0"/>
                <w:caps/>
                <w:smallCaps w:val="0"/>
                <w:color w:val="auto"/>
                <w:kern w:val="0"/>
                <w:sz w:val="21"/>
                <w:szCs w:val="21"/>
                <w:highlight w:val="none"/>
                <w:u w:val="none"/>
                <w:lang w:val="en-US" w:eastAsia="zh-CN" w:bidi="ar"/>
              </w:rPr>
              <w:t>包括但不限于Hive、ClickHouse、Hbase、Kafka、ElasticSearch、Hudi；</w:t>
            </w:r>
          </w:p>
        </w:tc>
      </w:tr>
      <w:tr w14:paraId="7DB455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282" w:hRule="atLeast"/>
        </w:trPr>
        <w:tc>
          <w:tcPr>
            <w:tcW w:w="694" w:type="dxa"/>
            <w:shd w:val="clear" w:color="auto" w:fill="auto"/>
            <w:noWrap/>
            <w:vAlign w:val="center"/>
          </w:tcPr>
          <w:p w14:paraId="6CBE0DD0">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restart"/>
            <w:shd w:val="clear" w:color="auto" w:fill="auto"/>
            <w:noWrap/>
            <w:vAlign w:val="center"/>
          </w:tcPr>
          <w:p w14:paraId="21EC5CD7">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数据建模</w:t>
            </w:r>
          </w:p>
        </w:tc>
        <w:tc>
          <w:tcPr>
            <w:tcW w:w="1272" w:type="dxa"/>
            <w:vMerge w:val="restart"/>
            <w:shd w:val="clear" w:color="auto" w:fill="auto"/>
            <w:noWrap/>
            <w:vAlign w:val="center"/>
          </w:tcPr>
          <w:p w14:paraId="3A511855">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数据建模</w:t>
            </w:r>
          </w:p>
        </w:tc>
        <w:tc>
          <w:tcPr>
            <w:tcW w:w="5145" w:type="dxa"/>
            <w:shd w:val="clear" w:color="auto" w:fill="auto"/>
            <w:noWrap/>
            <w:vAlign w:val="center"/>
          </w:tcPr>
          <w:p w14:paraId="4A6A612C">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支持通过可视化、图形化的方式进行数据模型设计，并可选择不同的数据库类型自动化生成对应的物理模型；</w:t>
            </w:r>
          </w:p>
        </w:tc>
      </w:tr>
      <w:tr w14:paraId="334773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2" w:hRule="atLeast"/>
        </w:trPr>
        <w:tc>
          <w:tcPr>
            <w:tcW w:w="694" w:type="dxa"/>
            <w:shd w:val="clear" w:color="auto" w:fill="auto"/>
            <w:noWrap/>
            <w:vAlign w:val="center"/>
          </w:tcPr>
          <w:p w14:paraId="0F8E171C">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continue"/>
            <w:shd w:val="clear" w:color="auto" w:fill="auto"/>
            <w:noWrap/>
            <w:vAlign w:val="center"/>
          </w:tcPr>
          <w:p w14:paraId="2A6F9BAE">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1272" w:type="dxa"/>
            <w:vMerge w:val="continue"/>
            <w:shd w:val="clear" w:color="auto" w:fill="auto"/>
            <w:noWrap/>
            <w:vAlign w:val="center"/>
          </w:tcPr>
          <w:p w14:paraId="5BB5A3AA">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5145" w:type="dxa"/>
            <w:shd w:val="clear" w:color="auto" w:fill="auto"/>
            <w:noWrap/>
            <w:vAlign w:val="center"/>
          </w:tcPr>
          <w:p w14:paraId="3DA69A0F">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自动化</w:t>
            </w:r>
            <w:r>
              <w:rPr>
                <w:rFonts w:hint="default" w:ascii="Times New Roman" w:hAnsi="Times New Roman" w:eastAsia="宋体" w:cs="Times New Roman"/>
                <w:i w:val="0"/>
                <w:iCs w:val="0"/>
                <w:caps/>
                <w:smallCaps w:val="0"/>
                <w:color w:val="auto"/>
                <w:kern w:val="0"/>
                <w:sz w:val="21"/>
                <w:szCs w:val="21"/>
                <w:highlight w:val="none"/>
                <w:u w:val="none"/>
                <w:lang w:val="en-US" w:eastAsia="zh-CN" w:bidi="ar"/>
              </w:rPr>
              <w:t>生成物理模型时，</w:t>
            </w:r>
            <w:r>
              <w:rPr>
                <w:rFonts w:hint="eastAsia" w:ascii="Times New Roman" w:hAnsi="Times New Roman" w:cs="Times New Roman"/>
                <w:i w:val="0"/>
                <w:iCs w:val="0"/>
                <w:caps/>
                <w:smallCaps w:val="0"/>
                <w:color w:val="auto"/>
                <w:kern w:val="0"/>
                <w:sz w:val="21"/>
                <w:szCs w:val="21"/>
                <w:highlight w:val="none"/>
                <w:u w:val="none"/>
                <w:lang w:val="en-US" w:eastAsia="zh-CN" w:bidi="ar"/>
              </w:rPr>
              <w:t>除适配湖仓一体底座外，还需</w:t>
            </w:r>
            <w:r>
              <w:rPr>
                <w:rFonts w:hint="default" w:ascii="Times New Roman" w:hAnsi="Times New Roman" w:eastAsia="宋体" w:cs="Times New Roman"/>
                <w:i w:val="0"/>
                <w:iCs w:val="0"/>
                <w:caps/>
                <w:smallCaps w:val="0"/>
                <w:color w:val="auto"/>
                <w:kern w:val="0"/>
                <w:sz w:val="21"/>
                <w:szCs w:val="21"/>
                <w:highlight w:val="none"/>
                <w:u w:val="none"/>
                <w:lang w:val="en-US" w:eastAsia="zh-CN" w:bidi="ar"/>
              </w:rPr>
              <w:t>支持多种数据库类型，包括但不限于Oracle、Hive、Hudi、OceanBase、ClickHouse、TDSQL、达梦及Mysql</w:t>
            </w:r>
            <w:r>
              <w:rPr>
                <w:rFonts w:hint="eastAsia" w:ascii="Times New Roman" w:hAnsi="Times New Roman" w:cs="Times New Roman"/>
                <w:i w:val="0"/>
                <w:iCs w:val="0"/>
                <w:caps/>
                <w:smallCaps w:val="0"/>
                <w:color w:val="auto"/>
                <w:kern w:val="0"/>
                <w:sz w:val="21"/>
                <w:szCs w:val="21"/>
                <w:highlight w:val="none"/>
                <w:u w:val="none"/>
                <w:lang w:val="en-US" w:eastAsia="zh-CN" w:bidi="ar"/>
              </w:rPr>
              <w:t>；</w:t>
            </w:r>
          </w:p>
        </w:tc>
      </w:tr>
      <w:tr w14:paraId="1C39C6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282" w:hRule="atLeast"/>
        </w:trPr>
        <w:tc>
          <w:tcPr>
            <w:tcW w:w="694" w:type="dxa"/>
            <w:shd w:val="clear" w:color="auto" w:fill="auto"/>
            <w:noWrap/>
            <w:vAlign w:val="center"/>
          </w:tcPr>
          <w:p w14:paraId="2C1691E4">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continue"/>
            <w:shd w:val="clear" w:color="auto" w:fill="auto"/>
            <w:noWrap/>
            <w:vAlign w:val="center"/>
          </w:tcPr>
          <w:p w14:paraId="2E4020A9">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1272" w:type="dxa"/>
            <w:vMerge w:val="continue"/>
            <w:shd w:val="clear" w:color="auto" w:fill="auto"/>
            <w:noWrap/>
            <w:vAlign w:val="center"/>
          </w:tcPr>
          <w:p w14:paraId="066B4319">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5145" w:type="dxa"/>
            <w:shd w:val="clear" w:color="auto" w:fill="auto"/>
            <w:noWrap/>
            <w:vAlign w:val="center"/>
          </w:tcPr>
          <w:p w14:paraId="67D8A26A">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支持模型资产图可视化查询展示；</w:t>
            </w:r>
          </w:p>
        </w:tc>
      </w:tr>
      <w:tr w14:paraId="315146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282" w:hRule="atLeast"/>
        </w:trPr>
        <w:tc>
          <w:tcPr>
            <w:tcW w:w="694" w:type="dxa"/>
            <w:shd w:val="clear" w:color="auto" w:fill="auto"/>
            <w:noWrap/>
            <w:vAlign w:val="center"/>
          </w:tcPr>
          <w:p w14:paraId="57376F29">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continue"/>
            <w:shd w:val="clear" w:color="auto" w:fill="auto"/>
            <w:noWrap/>
            <w:vAlign w:val="center"/>
          </w:tcPr>
          <w:p w14:paraId="69F02A2B">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1272" w:type="dxa"/>
            <w:vMerge w:val="continue"/>
            <w:shd w:val="clear" w:color="auto" w:fill="auto"/>
            <w:noWrap/>
            <w:vAlign w:val="center"/>
          </w:tcPr>
          <w:p w14:paraId="4D81B949">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5145" w:type="dxa"/>
            <w:shd w:val="clear" w:color="auto" w:fill="auto"/>
            <w:noWrap/>
            <w:vAlign w:val="center"/>
          </w:tcPr>
          <w:p w14:paraId="2A8444AB">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支持建模后生成完善、详尽的数据治理落标检测报告；</w:t>
            </w:r>
          </w:p>
        </w:tc>
      </w:tr>
      <w:tr w14:paraId="26B839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282" w:hRule="atLeast"/>
        </w:trPr>
        <w:tc>
          <w:tcPr>
            <w:tcW w:w="694" w:type="dxa"/>
            <w:shd w:val="clear" w:color="auto" w:fill="auto"/>
            <w:noWrap/>
            <w:vAlign w:val="center"/>
          </w:tcPr>
          <w:p w14:paraId="376EA2E4">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continue"/>
            <w:shd w:val="clear" w:color="auto" w:fill="auto"/>
            <w:noWrap/>
            <w:vAlign w:val="center"/>
          </w:tcPr>
          <w:p w14:paraId="365BE3DC">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1272" w:type="dxa"/>
            <w:vMerge w:val="continue"/>
            <w:shd w:val="clear" w:color="auto" w:fill="auto"/>
            <w:noWrap/>
            <w:vAlign w:val="center"/>
          </w:tcPr>
          <w:p w14:paraId="5B4F1B93">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5145" w:type="dxa"/>
            <w:shd w:val="clear" w:color="auto" w:fill="auto"/>
            <w:noWrap/>
            <w:vAlign w:val="center"/>
          </w:tcPr>
          <w:p w14:paraId="737EC7E2">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支持可视化的查询和展示库表、字段、任务间的血缘关系，支持上下钻，提供统一的查询服务；</w:t>
            </w:r>
          </w:p>
        </w:tc>
      </w:tr>
      <w:tr w14:paraId="303267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2" w:hRule="atLeast"/>
        </w:trPr>
        <w:tc>
          <w:tcPr>
            <w:tcW w:w="694" w:type="dxa"/>
            <w:shd w:val="clear" w:color="auto" w:fill="auto"/>
            <w:noWrap/>
            <w:vAlign w:val="center"/>
          </w:tcPr>
          <w:p w14:paraId="45FC502C">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continue"/>
            <w:shd w:val="clear" w:color="auto" w:fill="auto"/>
            <w:noWrap/>
            <w:vAlign w:val="center"/>
          </w:tcPr>
          <w:p w14:paraId="6E62709C">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1272" w:type="dxa"/>
            <w:vMerge w:val="continue"/>
            <w:shd w:val="clear" w:color="auto" w:fill="auto"/>
            <w:noWrap/>
            <w:vAlign w:val="center"/>
          </w:tcPr>
          <w:p w14:paraId="56BC1B1D">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5145" w:type="dxa"/>
            <w:shd w:val="clear" w:color="auto" w:fill="auto"/>
            <w:noWrap/>
            <w:vAlign w:val="center"/>
          </w:tcPr>
          <w:p w14:paraId="153BD48E">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支持在建模时进行数据标准引用、校验；</w:t>
            </w:r>
          </w:p>
        </w:tc>
      </w:tr>
      <w:tr w14:paraId="527C56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2" w:hRule="atLeast"/>
        </w:trPr>
        <w:tc>
          <w:tcPr>
            <w:tcW w:w="694" w:type="dxa"/>
            <w:shd w:val="clear" w:color="auto" w:fill="auto"/>
            <w:noWrap/>
            <w:vAlign w:val="center"/>
          </w:tcPr>
          <w:p w14:paraId="36BBF384">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continue"/>
            <w:shd w:val="clear" w:color="auto" w:fill="auto"/>
            <w:noWrap/>
            <w:vAlign w:val="center"/>
          </w:tcPr>
          <w:p w14:paraId="6246BB8C">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1272" w:type="dxa"/>
            <w:vMerge w:val="continue"/>
            <w:shd w:val="clear" w:color="auto" w:fill="auto"/>
            <w:noWrap/>
            <w:vAlign w:val="center"/>
          </w:tcPr>
          <w:p w14:paraId="6EDADE78">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5145" w:type="dxa"/>
            <w:shd w:val="clear" w:color="auto" w:fill="auto"/>
            <w:noWrap/>
            <w:vAlign w:val="center"/>
          </w:tcPr>
          <w:p w14:paraId="74E56D14">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支持词根维护、词根翻译、词根引用和词根校验；</w:t>
            </w:r>
          </w:p>
        </w:tc>
      </w:tr>
      <w:tr w14:paraId="009E15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2" w:hRule="atLeast"/>
        </w:trPr>
        <w:tc>
          <w:tcPr>
            <w:tcW w:w="694" w:type="dxa"/>
            <w:shd w:val="clear" w:color="auto" w:fill="auto"/>
            <w:noWrap/>
            <w:vAlign w:val="center"/>
          </w:tcPr>
          <w:p w14:paraId="441F12E3">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continue"/>
            <w:shd w:val="clear" w:color="auto" w:fill="auto"/>
            <w:noWrap/>
            <w:vAlign w:val="center"/>
          </w:tcPr>
          <w:p w14:paraId="0339DB08">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1272" w:type="dxa"/>
            <w:vMerge w:val="continue"/>
            <w:shd w:val="clear" w:color="auto" w:fill="auto"/>
            <w:noWrap/>
            <w:vAlign w:val="center"/>
          </w:tcPr>
          <w:p w14:paraId="65C44E33">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5145" w:type="dxa"/>
            <w:shd w:val="clear" w:color="auto" w:fill="auto"/>
            <w:noWrap/>
            <w:vAlign w:val="center"/>
          </w:tcPr>
          <w:p w14:paraId="0FD25D5F">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支持模型资产、脚本任务、逻辑模型、物理模型导出发布、上线审批发布等功能及流程管控机制；</w:t>
            </w:r>
          </w:p>
        </w:tc>
      </w:tr>
      <w:tr w14:paraId="2A7689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282" w:hRule="atLeast"/>
        </w:trPr>
        <w:tc>
          <w:tcPr>
            <w:tcW w:w="694" w:type="dxa"/>
            <w:shd w:val="clear" w:color="auto" w:fill="auto"/>
            <w:noWrap/>
            <w:vAlign w:val="center"/>
          </w:tcPr>
          <w:p w14:paraId="283E6261">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continue"/>
            <w:shd w:val="clear" w:color="auto" w:fill="auto"/>
            <w:noWrap/>
            <w:vAlign w:val="center"/>
          </w:tcPr>
          <w:p w14:paraId="319B1547">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1272" w:type="dxa"/>
            <w:vMerge w:val="continue"/>
            <w:shd w:val="clear" w:color="auto" w:fill="auto"/>
            <w:noWrap/>
            <w:vAlign w:val="center"/>
          </w:tcPr>
          <w:p w14:paraId="710E4FAB">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5145" w:type="dxa"/>
            <w:shd w:val="clear" w:color="auto" w:fill="auto"/>
            <w:noWrap/>
            <w:vAlign w:val="center"/>
          </w:tcPr>
          <w:p w14:paraId="68BFFE47">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支持直连数据库进行逆向建模；</w:t>
            </w:r>
          </w:p>
        </w:tc>
      </w:tr>
      <w:tr w14:paraId="72380D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282" w:hRule="atLeast"/>
        </w:trPr>
        <w:tc>
          <w:tcPr>
            <w:tcW w:w="694" w:type="dxa"/>
            <w:shd w:val="clear" w:color="auto" w:fill="auto"/>
            <w:noWrap/>
            <w:vAlign w:val="center"/>
          </w:tcPr>
          <w:p w14:paraId="63BFA9B7">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restart"/>
            <w:shd w:val="clear" w:color="auto" w:fill="auto"/>
            <w:noWrap/>
            <w:vAlign w:val="center"/>
          </w:tcPr>
          <w:p w14:paraId="22B02518">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数据开发</w:t>
            </w:r>
          </w:p>
        </w:tc>
        <w:tc>
          <w:tcPr>
            <w:tcW w:w="1272" w:type="dxa"/>
            <w:vMerge w:val="restart"/>
            <w:shd w:val="clear" w:color="auto" w:fill="auto"/>
            <w:noWrap/>
            <w:vAlign w:val="center"/>
          </w:tcPr>
          <w:p w14:paraId="5DAC57E1">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基础功能</w:t>
            </w:r>
          </w:p>
        </w:tc>
        <w:tc>
          <w:tcPr>
            <w:tcW w:w="5145" w:type="dxa"/>
            <w:shd w:val="clear" w:color="auto" w:fill="auto"/>
            <w:noWrap/>
            <w:vAlign w:val="center"/>
          </w:tcPr>
          <w:p w14:paraId="7C78A65D">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支持通过操作体验良好的可视化界面进行数据即席查询分析、实时计算等数据开发任务；</w:t>
            </w:r>
          </w:p>
        </w:tc>
      </w:tr>
      <w:tr w14:paraId="32245F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282" w:hRule="atLeast"/>
        </w:trPr>
        <w:tc>
          <w:tcPr>
            <w:tcW w:w="694" w:type="dxa"/>
            <w:shd w:val="clear" w:color="auto" w:fill="auto"/>
            <w:noWrap/>
            <w:vAlign w:val="center"/>
          </w:tcPr>
          <w:p w14:paraId="1F0F1987">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continue"/>
            <w:shd w:val="clear" w:color="auto" w:fill="auto"/>
            <w:noWrap/>
            <w:vAlign w:val="center"/>
          </w:tcPr>
          <w:p w14:paraId="515B10BD">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1272" w:type="dxa"/>
            <w:vMerge w:val="continue"/>
            <w:shd w:val="clear" w:color="auto" w:fill="auto"/>
            <w:noWrap/>
            <w:vAlign w:val="center"/>
          </w:tcPr>
          <w:p w14:paraId="0FB1B38D">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5145" w:type="dxa"/>
            <w:shd w:val="clear" w:color="auto" w:fill="auto"/>
            <w:noWrap/>
            <w:vAlign w:val="center"/>
          </w:tcPr>
          <w:p w14:paraId="2517B035">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支持丰富的AI辅助开发功能，包括但不限于通过自然语言生成SQL脚本、血缘智能解析等；</w:t>
            </w:r>
          </w:p>
        </w:tc>
      </w:tr>
      <w:tr w14:paraId="340764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282" w:hRule="atLeast"/>
        </w:trPr>
        <w:tc>
          <w:tcPr>
            <w:tcW w:w="694" w:type="dxa"/>
            <w:shd w:val="clear" w:color="auto" w:fill="auto"/>
            <w:noWrap/>
            <w:vAlign w:val="center"/>
          </w:tcPr>
          <w:p w14:paraId="07079775">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continue"/>
            <w:shd w:val="clear" w:color="auto" w:fill="auto"/>
            <w:noWrap/>
            <w:vAlign w:val="center"/>
          </w:tcPr>
          <w:p w14:paraId="6A014737">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1272" w:type="dxa"/>
            <w:vMerge w:val="continue"/>
            <w:shd w:val="clear" w:color="auto" w:fill="auto"/>
            <w:noWrap/>
            <w:vAlign w:val="center"/>
          </w:tcPr>
          <w:p w14:paraId="56270C3F">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5145" w:type="dxa"/>
            <w:shd w:val="clear" w:color="auto" w:fill="auto"/>
            <w:noWrap/>
            <w:vAlign w:val="center"/>
          </w:tcPr>
          <w:p w14:paraId="6D2E71CE">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支持对接行内私有部署的大模型或支持接入行外第三方大模型；</w:t>
            </w:r>
          </w:p>
        </w:tc>
      </w:tr>
      <w:tr w14:paraId="712C13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282" w:hRule="atLeast"/>
        </w:trPr>
        <w:tc>
          <w:tcPr>
            <w:tcW w:w="694" w:type="dxa"/>
            <w:shd w:val="clear" w:color="auto" w:fill="auto"/>
            <w:noWrap/>
            <w:vAlign w:val="center"/>
          </w:tcPr>
          <w:p w14:paraId="6A1A6724">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continue"/>
            <w:shd w:val="clear" w:color="auto" w:fill="auto"/>
            <w:noWrap/>
            <w:vAlign w:val="center"/>
          </w:tcPr>
          <w:p w14:paraId="540F0A4C">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1272" w:type="dxa"/>
            <w:vMerge w:val="continue"/>
            <w:shd w:val="clear" w:color="auto" w:fill="auto"/>
            <w:noWrap/>
            <w:vAlign w:val="center"/>
          </w:tcPr>
          <w:p w14:paraId="64699E6E">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5145" w:type="dxa"/>
            <w:shd w:val="clear" w:color="auto" w:fill="auto"/>
            <w:noWrap/>
            <w:vAlign w:val="center"/>
          </w:tcPr>
          <w:p w14:paraId="0EECAE0B">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支持多种脚本任务的开发、配置，包括但不限于PERL、PYTHON、SHELL、ORACLESQL、HIVESQL、SPARKSQL、FLINKSQL等；</w:t>
            </w:r>
          </w:p>
        </w:tc>
      </w:tr>
      <w:tr w14:paraId="016DA4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2" w:hRule="atLeast"/>
        </w:trPr>
        <w:tc>
          <w:tcPr>
            <w:tcW w:w="694" w:type="dxa"/>
            <w:shd w:val="clear" w:color="auto" w:fill="auto"/>
            <w:noWrap/>
            <w:vAlign w:val="center"/>
          </w:tcPr>
          <w:p w14:paraId="376058D7">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continue"/>
            <w:shd w:val="clear" w:color="auto" w:fill="auto"/>
            <w:noWrap/>
            <w:vAlign w:val="center"/>
          </w:tcPr>
          <w:p w14:paraId="5747D07D">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1272" w:type="dxa"/>
            <w:vMerge w:val="continue"/>
            <w:shd w:val="clear" w:color="auto" w:fill="auto"/>
            <w:noWrap/>
            <w:vAlign w:val="center"/>
          </w:tcPr>
          <w:p w14:paraId="24883847">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5145" w:type="dxa"/>
            <w:shd w:val="clear" w:color="auto" w:fill="auto"/>
            <w:noWrap/>
            <w:vAlign w:val="center"/>
          </w:tcPr>
          <w:p w14:paraId="08440794">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可视化界面支持脚本格式化、关键字提示、语法校验（支持自定义配置校验规则）、查询结果及日志查询导出下载、主题风格设置、执行引擎设置等；</w:t>
            </w:r>
          </w:p>
        </w:tc>
      </w:tr>
      <w:tr w14:paraId="49EDA9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282" w:hRule="atLeast"/>
        </w:trPr>
        <w:tc>
          <w:tcPr>
            <w:tcW w:w="694" w:type="dxa"/>
            <w:shd w:val="clear" w:color="auto" w:fill="auto"/>
            <w:noWrap/>
            <w:vAlign w:val="center"/>
          </w:tcPr>
          <w:p w14:paraId="271C8B5D">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continue"/>
            <w:shd w:val="clear" w:color="auto" w:fill="auto"/>
            <w:noWrap/>
            <w:vAlign w:val="center"/>
          </w:tcPr>
          <w:p w14:paraId="2E30A093">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1272" w:type="dxa"/>
            <w:vMerge w:val="continue"/>
            <w:shd w:val="clear" w:color="auto" w:fill="auto"/>
            <w:noWrap/>
            <w:vAlign w:val="center"/>
          </w:tcPr>
          <w:p w14:paraId="2335022F">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5145" w:type="dxa"/>
            <w:shd w:val="clear" w:color="auto" w:fill="auto"/>
            <w:noWrap/>
            <w:vAlign w:val="center"/>
          </w:tcPr>
          <w:p w14:paraId="27735223">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支持数据开发任务脚本版本管理（支持对接SVN、</w:t>
            </w:r>
            <w:r>
              <w:rPr>
                <w:rFonts w:hint="default" w:ascii="Times New Roman" w:hAnsi="Times New Roman" w:eastAsia="宋体" w:cs="Times New Roman"/>
                <w:i w:val="0"/>
                <w:iCs w:val="0"/>
                <w:caps/>
                <w:smallCaps w:val="0"/>
                <w:color w:val="auto"/>
                <w:kern w:val="0"/>
                <w:sz w:val="21"/>
                <w:szCs w:val="21"/>
                <w:highlight w:val="none"/>
                <w:u w:val="none"/>
                <w:lang w:val="en-US" w:eastAsia="zh-CN" w:bidi="ar"/>
              </w:rPr>
              <w:t>gitlab</w:t>
            </w:r>
            <w:r>
              <w:rPr>
                <w:rFonts w:hint="default" w:ascii="Times New Roman" w:hAnsi="Times New Roman" w:eastAsia="宋体" w:cs="Times New Roman"/>
                <w:i w:val="0"/>
                <w:iCs w:val="0"/>
                <w:color w:val="auto"/>
                <w:kern w:val="0"/>
                <w:sz w:val="21"/>
                <w:szCs w:val="21"/>
                <w:highlight w:val="none"/>
                <w:u w:val="none"/>
                <w:lang w:val="en-US" w:eastAsia="zh-CN" w:bidi="ar"/>
              </w:rPr>
              <w:t>等版本管理工具），可对历史版本进行版本对比或回溯，并记录详细版本操作日志包含以供查询和审计；</w:t>
            </w:r>
          </w:p>
        </w:tc>
      </w:tr>
      <w:tr w14:paraId="25A34D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282" w:hRule="atLeast"/>
        </w:trPr>
        <w:tc>
          <w:tcPr>
            <w:tcW w:w="694" w:type="dxa"/>
            <w:shd w:val="clear" w:color="auto" w:fill="auto"/>
            <w:noWrap/>
            <w:vAlign w:val="center"/>
          </w:tcPr>
          <w:p w14:paraId="0714B8D3">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continue"/>
            <w:shd w:val="clear" w:color="auto" w:fill="auto"/>
            <w:noWrap/>
            <w:vAlign w:val="center"/>
          </w:tcPr>
          <w:p w14:paraId="230932AF">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1272" w:type="dxa"/>
            <w:vMerge w:val="continue"/>
            <w:shd w:val="clear" w:color="auto" w:fill="auto"/>
            <w:noWrap/>
            <w:vAlign w:val="center"/>
          </w:tcPr>
          <w:p w14:paraId="4D758F65">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5145" w:type="dxa"/>
            <w:shd w:val="clear" w:color="auto" w:fill="auto"/>
            <w:noWrap/>
            <w:vAlign w:val="center"/>
          </w:tcPr>
          <w:p w14:paraId="63F6869E">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color w:val="auto"/>
                <w:highlight w:val="none"/>
                <w:lang w:val="en-US" w:eastAsia="zh-CN"/>
              </w:rPr>
            </w:pPr>
            <w:r>
              <w:rPr>
                <w:rFonts w:hint="eastAsia" w:ascii="Times New Roman" w:hAnsi="Times New Roman" w:eastAsia="宋体" w:cs="Times New Roman"/>
                <w:i w:val="0"/>
                <w:iCs w:val="0"/>
                <w:color w:val="auto"/>
                <w:kern w:val="0"/>
                <w:sz w:val="21"/>
                <w:szCs w:val="21"/>
                <w:highlight w:val="none"/>
                <w:u w:val="none"/>
                <w:lang w:val="en-US" w:eastAsia="zh-CN" w:bidi="ar"/>
              </w:rPr>
              <w:t>支持数据开发过程资料如需求分析说明书、设计文档、上线包、程序包等对接版本管理工具，如SVN、</w:t>
            </w:r>
            <w:r>
              <w:rPr>
                <w:rFonts w:hint="default" w:ascii="Times New Roman" w:hAnsi="Times New Roman" w:eastAsia="宋体" w:cs="Times New Roman"/>
                <w:i w:val="0"/>
                <w:iCs w:val="0"/>
                <w:color w:val="auto"/>
                <w:kern w:val="0"/>
                <w:sz w:val="21"/>
                <w:szCs w:val="21"/>
                <w:highlight w:val="none"/>
                <w:u w:val="none"/>
                <w:lang w:val="en-US" w:eastAsia="zh-CN" w:bidi="ar"/>
              </w:rPr>
              <w:t>gitlab</w:t>
            </w:r>
            <w:r>
              <w:rPr>
                <w:rFonts w:hint="eastAsia" w:ascii="Times New Roman" w:hAnsi="Times New Roman" w:eastAsia="宋体" w:cs="Times New Roman"/>
                <w:i w:val="0"/>
                <w:iCs w:val="0"/>
                <w:color w:val="auto"/>
                <w:kern w:val="0"/>
                <w:sz w:val="21"/>
                <w:szCs w:val="21"/>
                <w:highlight w:val="none"/>
                <w:u w:val="none"/>
                <w:lang w:val="en-US" w:eastAsia="zh-CN" w:bidi="ar"/>
              </w:rPr>
              <w:t>等；</w:t>
            </w:r>
          </w:p>
        </w:tc>
      </w:tr>
      <w:tr w14:paraId="218FBF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2" w:hRule="atLeast"/>
        </w:trPr>
        <w:tc>
          <w:tcPr>
            <w:tcW w:w="694" w:type="dxa"/>
            <w:shd w:val="clear" w:color="auto" w:fill="auto"/>
            <w:noWrap/>
            <w:vAlign w:val="center"/>
          </w:tcPr>
          <w:p w14:paraId="409F3B9A">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continue"/>
            <w:shd w:val="clear" w:color="auto" w:fill="auto"/>
            <w:noWrap/>
            <w:vAlign w:val="center"/>
          </w:tcPr>
          <w:p w14:paraId="25ACEA8B">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1272" w:type="dxa"/>
            <w:vMerge w:val="continue"/>
            <w:shd w:val="clear" w:color="auto" w:fill="auto"/>
            <w:noWrap/>
            <w:vAlign w:val="center"/>
          </w:tcPr>
          <w:p w14:paraId="36CE4EDE">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5145" w:type="dxa"/>
            <w:shd w:val="clear" w:color="auto" w:fill="auto"/>
            <w:noWrap/>
            <w:vAlign w:val="center"/>
          </w:tcPr>
          <w:p w14:paraId="46FBEAA7">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支持数据开发任务详细记录包括但不限于任务创建人、创建日期、任务类型等元数据信息；</w:t>
            </w:r>
          </w:p>
        </w:tc>
      </w:tr>
      <w:tr w14:paraId="186359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282" w:hRule="atLeast"/>
        </w:trPr>
        <w:tc>
          <w:tcPr>
            <w:tcW w:w="694" w:type="dxa"/>
            <w:shd w:val="clear" w:color="auto" w:fill="auto"/>
            <w:noWrap/>
            <w:vAlign w:val="center"/>
          </w:tcPr>
          <w:p w14:paraId="7D76E76A">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continue"/>
            <w:shd w:val="clear" w:color="auto" w:fill="auto"/>
            <w:noWrap/>
            <w:vAlign w:val="center"/>
          </w:tcPr>
          <w:p w14:paraId="0834A23B">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1272" w:type="dxa"/>
            <w:vMerge w:val="continue"/>
            <w:shd w:val="clear" w:color="auto" w:fill="auto"/>
            <w:noWrap/>
            <w:vAlign w:val="center"/>
          </w:tcPr>
          <w:p w14:paraId="3A883A9E">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5145" w:type="dxa"/>
            <w:shd w:val="clear" w:color="auto" w:fill="auto"/>
            <w:noWrap/>
            <w:vAlign w:val="center"/>
          </w:tcPr>
          <w:p w14:paraId="3975BB57">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支持数据任务协同开发、共享机制，多人同时编辑同一个脚本时，需要根据先后顺序进行编辑，对脚本编辑状态进行锁定，待编辑提交后方可查询并编辑；</w:t>
            </w:r>
          </w:p>
        </w:tc>
      </w:tr>
      <w:tr w14:paraId="648DC0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282" w:hRule="atLeast"/>
        </w:trPr>
        <w:tc>
          <w:tcPr>
            <w:tcW w:w="694" w:type="dxa"/>
            <w:shd w:val="clear" w:color="auto" w:fill="auto"/>
            <w:noWrap/>
            <w:vAlign w:val="center"/>
          </w:tcPr>
          <w:p w14:paraId="4EB37039">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continue"/>
            <w:shd w:val="clear" w:color="auto" w:fill="auto"/>
            <w:noWrap/>
            <w:vAlign w:val="center"/>
          </w:tcPr>
          <w:p w14:paraId="69E07EB8">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1272" w:type="dxa"/>
            <w:vMerge w:val="continue"/>
            <w:shd w:val="clear" w:color="auto" w:fill="auto"/>
            <w:noWrap/>
            <w:vAlign w:val="center"/>
          </w:tcPr>
          <w:p w14:paraId="0BB67518">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5145" w:type="dxa"/>
            <w:shd w:val="clear" w:color="auto" w:fill="auto"/>
            <w:noWrap/>
            <w:vAlign w:val="center"/>
          </w:tcPr>
          <w:p w14:paraId="5E1BE261">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支持将数据开发规范、数据标准接入和配置，并在数据开发过程中引用，对命名、代码、数据标准及其他开发规范进行强制校验；</w:t>
            </w:r>
          </w:p>
        </w:tc>
      </w:tr>
      <w:tr w14:paraId="430F47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282" w:hRule="atLeast"/>
        </w:trPr>
        <w:tc>
          <w:tcPr>
            <w:tcW w:w="694" w:type="dxa"/>
            <w:shd w:val="clear" w:color="auto" w:fill="auto"/>
            <w:noWrap/>
            <w:vAlign w:val="center"/>
          </w:tcPr>
          <w:p w14:paraId="6BF62267">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continue"/>
            <w:shd w:val="clear" w:color="auto" w:fill="auto"/>
            <w:noWrap/>
            <w:vAlign w:val="center"/>
          </w:tcPr>
          <w:p w14:paraId="2BBE99B2">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1272" w:type="dxa"/>
            <w:vMerge w:val="continue"/>
            <w:shd w:val="clear" w:color="auto" w:fill="auto"/>
            <w:noWrap/>
            <w:vAlign w:val="center"/>
          </w:tcPr>
          <w:p w14:paraId="746490F2">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5145" w:type="dxa"/>
            <w:shd w:val="clear" w:color="auto" w:fill="auto"/>
            <w:noWrap/>
            <w:vAlign w:val="center"/>
          </w:tcPr>
          <w:p w14:paraId="1893A422">
            <w:pPr>
              <w:pStyle w:val="10"/>
              <w:keepNext w:val="0"/>
              <w:keepLines w:val="0"/>
              <w:pageBreakBefore w:val="0"/>
              <w:widowControl w:val="0"/>
              <w:kinsoku/>
              <w:wordWrap/>
              <w:overflowPunct/>
              <w:topLinePunct w:val="0"/>
              <w:autoSpaceDE w:val="0"/>
              <w:autoSpaceDN w:val="0"/>
              <w:bidi w:val="0"/>
              <w:adjustRightInd/>
              <w:snapToGrid/>
              <w:spacing w:line="400" w:lineRule="exact"/>
              <w:ind w:left="0" w:leftChars="0" w:firstLine="0" w:firstLineChars="0"/>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数仓整体血缘关系可查询，如通过供数时的某个字段能够查询得到整体血缘关系</w:t>
            </w:r>
            <w:r>
              <w:rPr>
                <w:rFonts w:hint="eastAsia" w:ascii="Times New Roman" w:hAnsi="Times New Roman" w:cs="Times New Roman"/>
                <w:i w:val="0"/>
                <w:iCs w:val="0"/>
                <w:color w:val="auto"/>
                <w:kern w:val="0"/>
                <w:sz w:val="21"/>
                <w:szCs w:val="21"/>
                <w:highlight w:val="none"/>
                <w:u w:val="none"/>
                <w:lang w:val="en-US" w:eastAsia="zh-CN" w:bidi="ar"/>
              </w:rPr>
              <w:t>；</w:t>
            </w:r>
          </w:p>
        </w:tc>
      </w:tr>
      <w:tr w14:paraId="22543E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282" w:hRule="atLeast"/>
        </w:trPr>
        <w:tc>
          <w:tcPr>
            <w:tcW w:w="694" w:type="dxa"/>
            <w:shd w:val="clear" w:color="auto" w:fill="auto"/>
            <w:noWrap/>
            <w:vAlign w:val="center"/>
          </w:tcPr>
          <w:p w14:paraId="467F8A8F">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continue"/>
            <w:shd w:val="clear" w:color="auto" w:fill="auto"/>
            <w:noWrap/>
            <w:vAlign w:val="center"/>
          </w:tcPr>
          <w:p w14:paraId="2A381B60">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1272" w:type="dxa"/>
            <w:vMerge w:val="continue"/>
            <w:shd w:val="clear" w:color="auto" w:fill="auto"/>
            <w:noWrap/>
            <w:vAlign w:val="center"/>
          </w:tcPr>
          <w:p w14:paraId="1B22534D">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5145" w:type="dxa"/>
            <w:shd w:val="clear" w:color="auto" w:fill="auto"/>
            <w:noWrap/>
            <w:vAlign w:val="center"/>
          </w:tcPr>
          <w:p w14:paraId="3EB376FD">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支持通过批量导入文件的方式生成任务，导入时可以按照目录结构生成对应的工作流及任务；</w:t>
            </w:r>
          </w:p>
        </w:tc>
      </w:tr>
      <w:tr w14:paraId="381E7D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282" w:hRule="atLeast"/>
        </w:trPr>
        <w:tc>
          <w:tcPr>
            <w:tcW w:w="694" w:type="dxa"/>
            <w:shd w:val="clear" w:color="auto" w:fill="auto"/>
            <w:noWrap/>
            <w:vAlign w:val="center"/>
          </w:tcPr>
          <w:p w14:paraId="593ED5C9">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continue"/>
            <w:shd w:val="clear" w:color="auto" w:fill="auto"/>
            <w:noWrap/>
            <w:vAlign w:val="center"/>
          </w:tcPr>
          <w:p w14:paraId="4F98BE3A">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1272" w:type="dxa"/>
            <w:vMerge w:val="continue"/>
            <w:shd w:val="clear" w:color="auto" w:fill="auto"/>
            <w:noWrap/>
            <w:vAlign w:val="center"/>
          </w:tcPr>
          <w:p w14:paraId="0C967EE4">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5145" w:type="dxa"/>
            <w:shd w:val="clear" w:color="auto" w:fill="auto"/>
            <w:noWrap/>
            <w:vAlign w:val="center"/>
          </w:tcPr>
          <w:p w14:paraId="2994C24D">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支持任务上下游依赖的上下钻，能够完整的展示任务级、表级、字段级的上下游依赖关系信息；</w:t>
            </w:r>
          </w:p>
        </w:tc>
      </w:tr>
      <w:tr w14:paraId="110B0C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282" w:hRule="atLeast"/>
        </w:trPr>
        <w:tc>
          <w:tcPr>
            <w:tcW w:w="694" w:type="dxa"/>
            <w:shd w:val="clear" w:color="auto" w:fill="auto"/>
            <w:noWrap/>
            <w:vAlign w:val="center"/>
          </w:tcPr>
          <w:p w14:paraId="2360E12F">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continue"/>
            <w:shd w:val="clear" w:color="auto" w:fill="auto"/>
            <w:noWrap/>
            <w:vAlign w:val="center"/>
          </w:tcPr>
          <w:p w14:paraId="6BE32FF5">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1272" w:type="dxa"/>
            <w:vMerge w:val="continue"/>
            <w:shd w:val="clear" w:color="auto" w:fill="auto"/>
            <w:noWrap/>
            <w:vAlign w:val="center"/>
          </w:tcPr>
          <w:p w14:paraId="1D1C1EB9">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5145" w:type="dxa"/>
            <w:shd w:val="clear" w:color="auto" w:fill="auto"/>
            <w:noWrap/>
            <w:vAlign w:val="center"/>
          </w:tcPr>
          <w:p w14:paraId="0380DD44">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支持统一设置不同层级或不同用途表的表名前缀和后缀；</w:t>
            </w:r>
          </w:p>
        </w:tc>
      </w:tr>
      <w:tr w14:paraId="7EACF9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2" w:hRule="atLeast"/>
        </w:trPr>
        <w:tc>
          <w:tcPr>
            <w:tcW w:w="694" w:type="dxa"/>
            <w:shd w:val="clear" w:color="auto" w:fill="auto"/>
            <w:noWrap/>
            <w:vAlign w:val="center"/>
          </w:tcPr>
          <w:p w14:paraId="34AD8271">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continue"/>
            <w:shd w:val="clear" w:color="auto" w:fill="auto"/>
            <w:noWrap/>
            <w:vAlign w:val="center"/>
          </w:tcPr>
          <w:p w14:paraId="012C5B8E">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1272" w:type="dxa"/>
            <w:vMerge w:val="continue"/>
            <w:shd w:val="clear" w:color="auto" w:fill="auto"/>
            <w:noWrap/>
            <w:vAlign w:val="center"/>
          </w:tcPr>
          <w:p w14:paraId="7669CAD1">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5145" w:type="dxa"/>
            <w:shd w:val="clear" w:color="auto" w:fill="auto"/>
            <w:noWrap/>
            <w:vAlign w:val="center"/>
          </w:tcPr>
          <w:p w14:paraId="67781EC6">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支持任务信息的打包导出，且针对同网络环境，支持任务发布的审批机制，可选择对应的责任人进行任务审批，审批后方可发布上线；针对非同种网络环境，支持将开发内容进行打包导出，包括脚本、任务配置等信息，并支持导入其他环境，并具有完善的版本管理机制；</w:t>
            </w:r>
          </w:p>
        </w:tc>
      </w:tr>
      <w:tr w14:paraId="72F436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282" w:hRule="atLeast"/>
        </w:trPr>
        <w:tc>
          <w:tcPr>
            <w:tcW w:w="694" w:type="dxa"/>
            <w:shd w:val="clear" w:color="auto" w:fill="auto"/>
            <w:noWrap/>
            <w:vAlign w:val="center"/>
          </w:tcPr>
          <w:p w14:paraId="7B62F923">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continue"/>
            <w:shd w:val="clear" w:color="auto" w:fill="auto"/>
            <w:noWrap/>
            <w:vAlign w:val="center"/>
          </w:tcPr>
          <w:p w14:paraId="739D65FF">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1272" w:type="dxa"/>
            <w:vMerge w:val="restart"/>
            <w:shd w:val="clear" w:color="auto" w:fill="auto"/>
            <w:noWrap/>
            <w:vAlign w:val="center"/>
          </w:tcPr>
          <w:p w14:paraId="053FAB85">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实时数据开发</w:t>
            </w:r>
          </w:p>
        </w:tc>
        <w:tc>
          <w:tcPr>
            <w:tcW w:w="5145" w:type="dxa"/>
            <w:shd w:val="clear" w:color="auto" w:fill="auto"/>
            <w:noWrap/>
            <w:vAlign w:val="center"/>
          </w:tcPr>
          <w:p w14:paraId="2511C6C8">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支持通过操作体验良好的可视化界面对实时计算任务的开发（如FLINK SQL）；</w:t>
            </w:r>
          </w:p>
        </w:tc>
      </w:tr>
      <w:tr w14:paraId="08203A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2" w:hRule="atLeast"/>
        </w:trPr>
        <w:tc>
          <w:tcPr>
            <w:tcW w:w="694" w:type="dxa"/>
            <w:shd w:val="clear" w:color="auto" w:fill="auto"/>
            <w:noWrap/>
            <w:vAlign w:val="center"/>
          </w:tcPr>
          <w:p w14:paraId="343FD757">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continue"/>
            <w:shd w:val="clear" w:color="auto" w:fill="auto"/>
            <w:noWrap/>
            <w:vAlign w:val="center"/>
          </w:tcPr>
          <w:p w14:paraId="6D3640B9">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1272" w:type="dxa"/>
            <w:vMerge w:val="continue"/>
            <w:shd w:val="clear" w:color="auto" w:fill="auto"/>
            <w:noWrap/>
            <w:vAlign w:val="center"/>
          </w:tcPr>
          <w:p w14:paraId="17208A68">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5145" w:type="dxa"/>
            <w:shd w:val="clear" w:color="auto" w:fill="auto"/>
            <w:noWrap/>
            <w:vAlign w:val="center"/>
          </w:tcPr>
          <w:p w14:paraId="6AE99007">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提供丰富的内置算子函数，包括常用的字符串处理、时间、窗口统计等各类内置函数；</w:t>
            </w:r>
          </w:p>
        </w:tc>
      </w:tr>
      <w:tr w14:paraId="4C8B91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2" w:hRule="atLeast"/>
        </w:trPr>
        <w:tc>
          <w:tcPr>
            <w:tcW w:w="694" w:type="dxa"/>
            <w:shd w:val="clear" w:color="auto" w:fill="auto"/>
            <w:noWrap/>
            <w:vAlign w:val="center"/>
          </w:tcPr>
          <w:p w14:paraId="2A2652EB">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continue"/>
            <w:shd w:val="clear" w:color="auto" w:fill="auto"/>
            <w:noWrap/>
            <w:vAlign w:val="center"/>
          </w:tcPr>
          <w:p w14:paraId="0C6B4574">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1272" w:type="dxa"/>
            <w:vMerge w:val="continue"/>
            <w:shd w:val="clear" w:color="auto" w:fill="auto"/>
            <w:noWrap/>
            <w:vAlign w:val="center"/>
          </w:tcPr>
          <w:p w14:paraId="49282E12">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5145" w:type="dxa"/>
            <w:shd w:val="clear" w:color="auto" w:fill="auto"/>
            <w:noWrap/>
            <w:vAlign w:val="center"/>
          </w:tcPr>
          <w:p w14:paraId="4B7BF834">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支持用户自定义函数（UDF）的导入、注册和引用，包括SCALAR（标量函数）、AGGREGATE（聚合函数）、TABLE（表函数）等；</w:t>
            </w:r>
          </w:p>
        </w:tc>
      </w:tr>
      <w:tr w14:paraId="33BA57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282" w:hRule="atLeast"/>
        </w:trPr>
        <w:tc>
          <w:tcPr>
            <w:tcW w:w="694" w:type="dxa"/>
            <w:shd w:val="clear" w:color="auto" w:fill="auto"/>
            <w:noWrap/>
            <w:vAlign w:val="center"/>
          </w:tcPr>
          <w:p w14:paraId="2C38E363">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continue"/>
            <w:shd w:val="clear" w:color="auto" w:fill="auto"/>
            <w:noWrap/>
            <w:vAlign w:val="center"/>
          </w:tcPr>
          <w:p w14:paraId="714D5309">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1272" w:type="dxa"/>
            <w:vMerge w:val="continue"/>
            <w:shd w:val="clear" w:color="auto" w:fill="auto"/>
            <w:noWrap/>
            <w:vAlign w:val="center"/>
          </w:tcPr>
          <w:p w14:paraId="0D4BB870">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5145" w:type="dxa"/>
            <w:shd w:val="clear" w:color="auto" w:fill="auto"/>
            <w:noWrap/>
            <w:vAlign w:val="center"/>
          </w:tcPr>
          <w:p w14:paraId="7C1DCF0E">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支持实时计算任务对应队列（集群）设置、任务版本管理、调度方式（FLINK ON K8S或ON YARN）设置、并行度、内存、CPU、CHECKPOINT保存时间间隔设置等；</w:t>
            </w:r>
          </w:p>
        </w:tc>
      </w:tr>
      <w:tr w14:paraId="696134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2" w:hRule="atLeast"/>
        </w:trPr>
        <w:tc>
          <w:tcPr>
            <w:tcW w:w="694" w:type="dxa"/>
            <w:shd w:val="clear" w:color="auto" w:fill="auto"/>
            <w:noWrap/>
            <w:vAlign w:val="center"/>
          </w:tcPr>
          <w:p w14:paraId="52AC5150">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continue"/>
            <w:shd w:val="clear" w:color="auto" w:fill="auto"/>
            <w:noWrap/>
            <w:vAlign w:val="center"/>
          </w:tcPr>
          <w:p w14:paraId="4AEFEFBC">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1272" w:type="dxa"/>
            <w:vMerge w:val="continue"/>
            <w:shd w:val="clear" w:color="auto" w:fill="auto"/>
            <w:noWrap/>
            <w:vAlign w:val="center"/>
          </w:tcPr>
          <w:p w14:paraId="3415BFF3">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5145" w:type="dxa"/>
            <w:shd w:val="clear" w:color="auto" w:fill="auto"/>
            <w:noWrap/>
            <w:vAlign w:val="center"/>
          </w:tcPr>
          <w:p w14:paraId="4A48D8F0">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支持JAR、SQL等多种类型的实时计算任务信息（包括脚本、配置等信息）的打包导入导出，并支持对任务进行版本管理且针对同网络环境，完成审批后可直接发布到指定环境；</w:t>
            </w:r>
          </w:p>
        </w:tc>
      </w:tr>
      <w:tr w14:paraId="647B25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2" w:hRule="atLeast"/>
        </w:trPr>
        <w:tc>
          <w:tcPr>
            <w:tcW w:w="694" w:type="dxa"/>
            <w:shd w:val="clear" w:color="auto" w:fill="auto"/>
            <w:noWrap/>
            <w:vAlign w:val="center"/>
          </w:tcPr>
          <w:p w14:paraId="663BC4FE">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continue"/>
            <w:shd w:val="clear" w:color="auto" w:fill="auto"/>
            <w:noWrap/>
            <w:vAlign w:val="center"/>
          </w:tcPr>
          <w:p w14:paraId="2D27988B">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1272" w:type="dxa"/>
            <w:vMerge w:val="continue"/>
            <w:shd w:val="clear" w:color="auto" w:fill="auto"/>
            <w:noWrap/>
            <w:vAlign w:val="center"/>
          </w:tcPr>
          <w:p w14:paraId="673B1366">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5145" w:type="dxa"/>
            <w:shd w:val="clear" w:color="auto" w:fill="auto"/>
            <w:noWrap/>
            <w:vAlign w:val="center"/>
          </w:tcPr>
          <w:p w14:paraId="3C92D9A7">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支持对作业运行时的多个运行指标进行采集，包括Task Man</w:t>
            </w:r>
            <w:r>
              <w:rPr>
                <w:rFonts w:hint="eastAsia" w:ascii="Times New Roman" w:hAnsi="Times New Roman" w:eastAsia="宋体" w:cs="Times New Roman"/>
                <w:i w:val="0"/>
                <w:iCs w:val="0"/>
                <w:color w:val="auto"/>
                <w:kern w:val="0"/>
                <w:sz w:val="21"/>
                <w:szCs w:val="21"/>
                <w:highlight w:val="none"/>
                <w:u w:val="none"/>
                <w:lang w:val="en-US" w:eastAsia="zh-CN" w:bidi="ar"/>
              </w:rPr>
              <w:t>a</w:t>
            </w:r>
            <w:r>
              <w:rPr>
                <w:rFonts w:hint="default" w:ascii="Times New Roman" w:hAnsi="Times New Roman" w:eastAsia="宋体" w:cs="Times New Roman"/>
                <w:i w:val="0"/>
                <w:iCs w:val="0"/>
                <w:color w:val="auto"/>
                <w:kern w:val="0"/>
                <w:sz w:val="21"/>
                <w:szCs w:val="21"/>
                <w:highlight w:val="none"/>
                <w:u w:val="none"/>
                <w:lang w:val="en-US" w:eastAsia="zh-CN" w:bidi="ar"/>
              </w:rPr>
              <w:t>ger、Job Manager的内存I/O和CPU以及快照信息等，并支持可视化展示；</w:t>
            </w:r>
          </w:p>
        </w:tc>
      </w:tr>
      <w:tr w14:paraId="614ED4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2" w:hRule="atLeast"/>
        </w:trPr>
        <w:tc>
          <w:tcPr>
            <w:tcW w:w="694" w:type="dxa"/>
            <w:shd w:val="clear" w:color="auto" w:fill="auto"/>
            <w:noWrap/>
            <w:vAlign w:val="center"/>
          </w:tcPr>
          <w:p w14:paraId="4E0C7837">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restart"/>
            <w:shd w:val="clear" w:color="auto" w:fill="auto"/>
            <w:noWrap/>
            <w:vAlign w:val="center"/>
          </w:tcPr>
          <w:p w14:paraId="5B59BE4D">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数据服务</w:t>
            </w:r>
          </w:p>
        </w:tc>
        <w:tc>
          <w:tcPr>
            <w:tcW w:w="1272" w:type="dxa"/>
            <w:vMerge w:val="restart"/>
            <w:shd w:val="clear" w:color="auto" w:fill="auto"/>
            <w:noWrap/>
            <w:vAlign w:val="center"/>
          </w:tcPr>
          <w:p w14:paraId="484B262A">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文件服务</w:t>
            </w:r>
          </w:p>
        </w:tc>
        <w:tc>
          <w:tcPr>
            <w:tcW w:w="5145" w:type="dxa"/>
            <w:shd w:val="clear" w:color="auto" w:fill="auto"/>
            <w:noWrap/>
            <w:vAlign w:val="center"/>
          </w:tcPr>
          <w:p w14:paraId="08403BCE">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支持数据库与文件系统之间相互数据集成交换（数据库到文件系统、文件系统到数据库、数据库到数据库），包含但不限于达梦、ORACLE、MYSQL、OCEANBASE、TDSQL、HDFS体系组件（HIVE、HBASE）、CLICKHOUSE、ELASTICSEARCH、共享存储NAS、对象存储等；</w:t>
            </w:r>
          </w:p>
        </w:tc>
      </w:tr>
      <w:tr w14:paraId="0FCF95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2" w:hRule="atLeast"/>
        </w:trPr>
        <w:tc>
          <w:tcPr>
            <w:tcW w:w="694" w:type="dxa"/>
            <w:shd w:val="clear" w:color="auto" w:fill="auto"/>
            <w:noWrap/>
            <w:vAlign w:val="center"/>
          </w:tcPr>
          <w:p w14:paraId="6CEC8C24">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continue"/>
            <w:shd w:val="clear" w:color="auto" w:fill="auto"/>
            <w:noWrap/>
            <w:vAlign w:val="center"/>
          </w:tcPr>
          <w:p w14:paraId="7DC85A18">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1272" w:type="dxa"/>
            <w:vMerge w:val="continue"/>
            <w:shd w:val="clear" w:color="auto" w:fill="auto"/>
            <w:noWrap/>
            <w:vAlign w:val="center"/>
          </w:tcPr>
          <w:p w14:paraId="2E68DB65">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5145" w:type="dxa"/>
            <w:shd w:val="clear" w:color="auto" w:fill="auto"/>
            <w:noWrap/>
            <w:vAlign w:val="center"/>
          </w:tcPr>
          <w:p w14:paraId="27460FFF">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以文件卸数时，支持可指定文件目录、文件名称、分隔符、编码、是否包含表头、是否包含校验文件、校验文件内容格式、任务执行周期频率、字段（动态选择或自定义脚本）等参数；</w:t>
            </w:r>
          </w:p>
        </w:tc>
      </w:tr>
      <w:tr w14:paraId="541EBB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282" w:hRule="atLeast"/>
        </w:trPr>
        <w:tc>
          <w:tcPr>
            <w:tcW w:w="694" w:type="dxa"/>
            <w:shd w:val="clear" w:color="auto" w:fill="auto"/>
            <w:noWrap/>
            <w:vAlign w:val="center"/>
          </w:tcPr>
          <w:p w14:paraId="1110C13D">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continue"/>
            <w:shd w:val="clear" w:color="auto" w:fill="auto"/>
            <w:noWrap/>
            <w:vAlign w:val="center"/>
          </w:tcPr>
          <w:p w14:paraId="7A3F43E7">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1272" w:type="dxa"/>
            <w:vMerge w:val="continue"/>
            <w:shd w:val="clear" w:color="auto" w:fill="auto"/>
            <w:noWrap/>
            <w:vAlign w:val="center"/>
          </w:tcPr>
          <w:p w14:paraId="18AD3228">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5145" w:type="dxa"/>
            <w:shd w:val="clear" w:color="auto" w:fill="auto"/>
            <w:noWrap/>
            <w:vAlign w:val="center"/>
          </w:tcPr>
          <w:p w14:paraId="328322AB">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通过文件方式卸数时支持通过可视化界面选择对应源表、字段、目标系统、供数频率等参数后，自动生成相关作业及调度任务；</w:t>
            </w:r>
          </w:p>
        </w:tc>
      </w:tr>
      <w:tr w14:paraId="34926B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282" w:hRule="atLeast"/>
        </w:trPr>
        <w:tc>
          <w:tcPr>
            <w:tcW w:w="694" w:type="dxa"/>
            <w:shd w:val="clear" w:color="auto" w:fill="auto"/>
            <w:noWrap/>
            <w:vAlign w:val="center"/>
          </w:tcPr>
          <w:p w14:paraId="1D2A431D">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continue"/>
            <w:shd w:val="clear" w:color="auto" w:fill="auto"/>
            <w:noWrap/>
            <w:vAlign w:val="center"/>
          </w:tcPr>
          <w:p w14:paraId="6BD56B7A">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1272" w:type="dxa"/>
            <w:vMerge w:val="restart"/>
            <w:shd w:val="clear" w:color="auto" w:fill="auto"/>
            <w:noWrap/>
            <w:vAlign w:val="center"/>
          </w:tcPr>
          <w:p w14:paraId="21F2B35E">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API服务</w:t>
            </w:r>
          </w:p>
        </w:tc>
        <w:tc>
          <w:tcPr>
            <w:tcW w:w="5145" w:type="dxa"/>
            <w:shd w:val="clear" w:color="auto" w:fill="auto"/>
            <w:noWrap/>
            <w:vAlign w:val="center"/>
          </w:tcPr>
          <w:p w14:paraId="62A5BE92">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支持可视化、配置化、低代码、零代码等多种方式快速将物理表、复杂逻辑发布成数据服务，形式包括但不限于API接口、文件接口、消息队列等服务；</w:t>
            </w:r>
          </w:p>
        </w:tc>
      </w:tr>
      <w:tr w14:paraId="5C81D0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282" w:hRule="atLeast"/>
        </w:trPr>
        <w:tc>
          <w:tcPr>
            <w:tcW w:w="694" w:type="dxa"/>
            <w:shd w:val="clear" w:color="auto" w:fill="auto"/>
            <w:noWrap/>
            <w:vAlign w:val="center"/>
          </w:tcPr>
          <w:p w14:paraId="4A73D6D1">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continue"/>
            <w:shd w:val="clear" w:color="auto" w:fill="auto"/>
            <w:noWrap/>
            <w:vAlign w:val="center"/>
          </w:tcPr>
          <w:p w14:paraId="31B47306">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1272" w:type="dxa"/>
            <w:vMerge w:val="continue"/>
            <w:shd w:val="clear" w:color="auto" w:fill="auto"/>
            <w:noWrap/>
            <w:vAlign w:val="center"/>
          </w:tcPr>
          <w:p w14:paraId="18BF898C">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5145" w:type="dxa"/>
            <w:shd w:val="clear" w:color="auto" w:fill="auto"/>
            <w:noWrap/>
            <w:vAlign w:val="center"/>
          </w:tcPr>
          <w:p w14:paraId="5F92EB51">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提供不同粒度数据权限和访问认证安全管控，支持传输报文加密，保证服务的数据安全；</w:t>
            </w:r>
          </w:p>
        </w:tc>
      </w:tr>
      <w:tr w14:paraId="256B8A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282" w:hRule="atLeast"/>
        </w:trPr>
        <w:tc>
          <w:tcPr>
            <w:tcW w:w="694" w:type="dxa"/>
            <w:shd w:val="clear" w:color="auto" w:fill="auto"/>
            <w:noWrap/>
            <w:vAlign w:val="center"/>
          </w:tcPr>
          <w:p w14:paraId="44D41CCA">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continue"/>
            <w:shd w:val="clear" w:color="auto" w:fill="auto"/>
            <w:noWrap/>
            <w:vAlign w:val="center"/>
          </w:tcPr>
          <w:p w14:paraId="5DE9F928">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1272" w:type="dxa"/>
            <w:vMerge w:val="continue"/>
            <w:shd w:val="clear" w:color="auto" w:fill="auto"/>
            <w:noWrap/>
            <w:vAlign w:val="center"/>
          </w:tcPr>
          <w:p w14:paraId="6A1BD724">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5145" w:type="dxa"/>
            <w:shd w:val="clear" w:color="auto" w:fill="auto"/>
            <w:noWrap/>
            <w:vAlign w:val="center"/>
          </w:tcPr>
          <w:p w14:paraId="6BCBDB83">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API接口报文格式支持JSON和XML；</w:t>
            </w:r>
          </w:p>
        </w:tc>
      </w:tr>
      <w:tr w14:paraId="73BA7B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2" w:hRule="atLeast"/>
        </w:trPr>
        <w:tc>
          <w:tcPr>
            <w:tcW w:w="694" w:type="dxa"/>
            <w:shd w:val="clear" w:color="auto" w:fill="auto"/>
            <w:noWrap/>
            <w:vAlign w:val="center"/>
          </w:tcPr>
          <w:p w14:paraId="0710E85C">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continue"/>
            <w:shd w:val="clear" w:color="auto" w:fill="auto"/>
            <w:noWrap/>
            <w:vAlign w:val="center"/>
          </w:tcPr>
          <w:p w14:paraId="7DF7F0C2">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1272" w:type="dxa"/>
            <w:vMerge w:val="continue"/>
            <w:shd w:val="clear" w:color="auto" w:fill="auto"/>
            <w:noWrap/>
            <w:vAlign w:val="center"/>
          </w:tcPr>
          <w:p w14:paraId="60348EAE">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5145" w:type="dxa"/>
            <w:shd w:val="clear" w:color="auto" w:fill="auto"/>
            <w:noWrap/>
            <w:vAlign w:val="center"/>
          </w:tcPr>
          <w:p w14:paraId="1FB6314E">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支持数据服务运营管理分析能力。如对API接口调用权限、调用方、调用量、响应情况统计分析，提供可视化查询分析服务；</w:t>
            </w:r>
          </w:p>
        </w:tc>
      </w:tr>
      <w:tr w14:paraId="1CDB2E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282" w:hRule="atLeast"/>
        </w:trPr>
        <w:tc>
          <w:tcPr>
            <w:tcW w:w="694" w:type="dxa"/>
            <w:shd w:val="clear" w:color="auto" w:fill="auto"/>
            <w:noWrap/>
            <w:vAlign w:val="center"/>
          </w:tcPr>
          <w:p w14:paraId="74A49638">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continue"/>
            <w:shd w:val="clear" w:color="auto" w:fill="auto"/>
            <w:noWrap/>
            <w:vAlign w:val="center"/>
          </w:tcPr>
          <w:p w14:paraId="1D999B32">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1272" w:type="dxa"/>
            <w:vMerge w:val="continue"/>
            <w:shd w:val="clear" w:color="auto" w:fill="auto"/>
            <w:noWrap/>
            <w:vAlign w:val="center"/>
          </w:tcPr>
          <w:p w14:paraId="154EB787">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5145" w:type="dxa"/>
            <w:shd w:val="clear" w:color="auto" w:fill="auto"/>
            <w:noWrap/>
            <w:vAlign w:val="center"/>
          </w:tcPr>
          <w:p w14:paraId="3A69FD1B">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API接口支持挡板数据的配置；</w:t>
            </w:r>
          </w:p>
        </w:tc>
      </w:tr>
      <w:tr w14:paraId="689086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282" w:hRule="atLeast"/>
        </w:trPr>
        <w:tc>
          <w:tcPr>
            <w:tcW w:w="694" w:type="dxa"/>
            <w:shd w:val="clear" w:color="auto" w:fill="auto"/>
            <w:noWrap/>
            <w:vAlign w:val="center"/>
          </w:tcPr>
          <w:p w14:paraId="3B1A0CD3">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continue"/>
            <w:shd w:val="clear" w:color="auto" w:fill="auto"/>
            <w:noWrap/>
            <w:vAlign w:val="center"/>
          </w:tcPr>
          <w:p w14:paraId="654B380A">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1272" w:type="dxa"/>
            <w:vMerge w:val="continue"/>
            <w:shd w:val="clear" w:color="auto" w:fill="auto"/>
            <w:noWrap/>
            <w:vAlign w:val="center"/>
          </w:tcPr>
          <w:p w14:paraId="7FF1BB04">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5145" w:type="dxa"/>
            <w:shd w:val="clear" w:color="auto" w:fill="auto"/>
            <w:noWrap/>
            <w:vAlign w:val="center"/>
          </w:tcPr>
          <w:p w14:paraId="2589F15B">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API接口直接单条和批量数据查询（例如客户画像接口传入10个客户号，一次性返回10个客户的标签信息）；</w:t>
            </w:r>
          </w:p>
        </w:tc>
      </w:tr>
      <w:tr w14:paraId="7B873E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2" w:hRule="atLeast"/>
        </w:trPr>
        <w:tc>
          <w:tcPr>
            <w:tcW w:w="694" w:type="dxa"/>
            <w:shd w:val="clear" w:color="auto" w:fill="auto"/>
            <w:noWrap/>
            <w:vAlign w:val="center"/>
          </w:tcPr>
          <w:p w14:paraId="4F821F27">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continue"/>
            <w:shd w:val="clear" w:color="auto" w:fill="auto"/>
            <w:noWrap/>
            <w:vAlign w:val="center"/>
          </w:tcPr>
          <w:p w14:paraId="1985FB4C">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1272" w:type="dxa"/>
            <w:vMerge w:val="continue"/>
            <w:shd w:val="clear" w:color="auto" w:fill="auto"/>
            <w:noWrap/>
            <w:vAlign w:val="center"/>
          </w:tcPr>
          <w:p w14:paraId="36ABD86E">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5145" w:type="dxa"/>
            <w:shd w:val="clear" w:color="auto" w:fill="auto"/>
            <w:noWrap/>
            <w:vAlign w:val="center"/>
          </w:tcPr>
          <w:p w14:paraId="3B03E4A6">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API接口需具备丰富的配置选项，包括参数配置、调用方管理、调用次数限制、分页查询、打包查询（将所有查询内容打包到一个文件中返回）等，其中参数配置需具备根据数据类型选择不同的参数设置（如字段类型是数值，可支持按数值区间进行筛选；字段类型是字符，可支持精准匹配和模糊匹配）</w:t>
            </w:r>
          </w:p>
        </w:tc>
      </w:tr>
      <w:tr w14:paraId="293636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8" w:hRule="atLeast"/>
        </w:trPr>
        <w:tc>
          <w:tcPr>
            <w:tcW w:w="694" w:type="dxa"/>
            <w:shd w:val="clear" w:color="auto" w:fill="auto"/>
            <w:noWrap/>
            <w:vAlign w:val="center"/>
          </w:tcPr>
          <w:p w14:paraId="7C4D0FF8">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restart"/>
            <w:shd w:val="clear" w:color="auto" w:fill="auto"/>
            <w:noWrap/>
            <w:vAlign w:val="center"/>
          </w:tcPr>
          <w:p w14:paraId="5349316F">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任务调度</w:t>
            </w:r>
          </w:p>
        </w:tc>
        <w:tc>
          <w:tcPr>
            <w:tcW w:w="1272" w:type="dxa"/>
            <w:vMerge w:val="restart"/>
            <w:shd w:val="clear" w:color="auto" w:fill="auto"/>
            <w:noWrap/>
            <w:vAlign w:val="center"/>
          </w:tcPr>
          <w:p w14:paraId="6B4DF563">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调度配置</w:t>
            </w:r>
          </w:p>
        </w:tc>
        <w:tc>
          <w:tcPr>
            <w:tcW w:w="5145" w:type="dxa"/>
            <w:shd w:val="clear" w:color="auto" w:fill="auto"/>
            <w:noWrap/>
            <w:vAlign w:val="center"/>
          </w:tcPr>
          <w:p w14:paraId="5BD4D82C">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支持多种调度策略，包括但不限于微批调度、实时任务调度、事件触发调度、定时调度及手动调度；</w:t>
            </w:r>
          </w:p>
        </w:tc>
      </w:tr>
      <w:tr w14:paraId="581B59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282" w:hRule="atLeast"/>
        </w:trPr>
        <w:tc>
          <w:tcPr>
            <w:tcW w:w="694" w:type="dxa"/>
            <w:shd w:val="clear" w:color="auto" w:fill="auto"/>
            <w:noWrap/>
            <w:vAlign w:val="center"/>
          </w:tcPr>
          <w:p w14:paraId="2653ABD2">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continue"/>
            <w:shd w:val="clear" w:color="auto" w:fill="auto"/>
            <w:noWrap/>
            <w:vAlign w:val="center"/>
          </w:tcPr>
          <w:p w14:paraId="3040E033">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1272" w:type="dxa"/>
            <w:vMerge w:val="continue"/>
            <w:shd w:val="clear" w:color="auto" w:fill="auto"/>
            <w:noWrap/>
            <w:vAlign w:val="center"/>
          </w:tcPr>
          <w:p w14:paraId="413150CE">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5145" w:type="dxa"/>
            <w:shd w:val="clear" w:color="auto" w:fill="auto"/>
            <w:noWrap/>
            <w:vAlign w:val="center"/>
          </w:tcPr>
          <w:p w14:paraId="69222A21">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支持可视化的参数配置如调度策略、事件、依赖、命令等；</w:t>
            </w:r>
          </w:p>
        </w:tc>
      </w:tr>
      <w:tr w14:paraId="72C256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282" w:hRule="atLeast"/>
        </w:trPr>
        <w:tc>
          <w:tcPr>
            <w:tcW w:w="694" w:type="dxa"/>
            <w:shd w:val="clear" w:color="auto" w:fill="auto"/>
            <w:noWrap/>
            <w:vAlign w:val="center"/>
          </w:tcPr>
          <w:p w14:paraId="2226A368">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continue"/>
            <w:shd w:val="clear" w:color="auto" w:fill="auto"/>
            <w:noWrap/>
            <w:vAlign w:val="center"/>
          </w:tcPr>
          <w:p w14:paraId="3584F8C5">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1272" w:type="dxa"/>
            <w:vMerge w:val="continue"/>
            <w:shd w:val="clear" w:color="auto" w:fill="auto"/>
            <w:noWrap/>
            <w:vAlign w:val="center"/>
          </w:tcPr>
          <w:p w14:paraId="5A4DFF8D">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5145" w:type="dxa"/>
            <w:shd w:val="clear" w:color="auto" w:fill="auto"/>
            <w:noWrap/>
            <w:vAlign w:val="center"/>
          </w:tcPr>
          <w:p w14:paraId="2FE43BE4">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支持通过导入Excel的方式批量配置调度任务；</w:t>
            </w:r>
          </w:p>
        </w:tc>
      </w:tr>
      <w:tr w14:paraId="2065C4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282" w:hRule="atLeast"/>
        </w:trPr>
        <w:tc>
          <w:tcPr>
            <w:tcW w:w="694" w:type="dxa"/>
            <w:shd w:val="clear" w:color="auto" w:fill="auto"/>
            <w:noWrap/>
            <w:vAlign w:val="center"/>
          </w:tcPr>
          <w:p w14:paraId="2E0B0047">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continue"/>
            <w:shd w:val="clear" w:color="auto" w:fill="auto"/>
            <w:noWrap/>
            <w:vAlign w:val="center"/>
          </w:tcPr>
          <w:p w14:paraId="0D8FE6F0">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1272" w:type="dxa"/>
            <w:vMerge w:val="continue"/>
            <w:shd w:val="clear" w:color="auto" w:fill="auto"/>
            <w:noWrap/>
            <w:vAlign w:val="center"/>
          </w:tcPr>
          <w:p w14:paraId="64C3A9B5">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5145" w:type="dxa"/>
            <w:shd w:val="clear" w:color="auto" w:fill="auto"/>
            <w:noWrap/>
            <w:vAlign w:val="center"/>
          </w:tcPr>
          <w:p w14:paraId="30AC4158">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调度服务支持的任务类型包括但不限于SQL脚本类（ORACLE SQL、SPARK SQL、HIVE SQL等）、JAR、PYTHON、PERL、SHELL等；</w:t>
            </w:r>
          </w:p>
        </w:tc>
      </w:tr>
      <w:tr w14:paraId="7CA39C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282" w:hRule="atLeast"/>
        </w:trPr>
        <w:tc>
          <w:tcPr>
            <w:tcW w:w="694" w:type="dxa"/>
            <w:shd w:val="clear" w:color="auto" w:fill="auto"/>
            <w:noWrap/>
            <w:vAlign w:val="center"/>
          </w:tcPr>
          <w:p w14:paraId="6F2EEBC5">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continue"/>
            <w:shd w:val="clear" w:color="auto" w:fill="auto"/>
            <w:noWrap/>
            <w:vAlign w:val="center"/>
          </w:tcPr>
          <w:p w14:paraId="32A33A2D">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1272" w:type="dxa"/>
            <w:vMerge w:val="continue"/>
            <w:shd w:val="clear" w:color="auto" w:fill="auto"/>
            <w:noWrap/>
            <w:vAlign w:val="center"/>
          </w:tcPr>
          <w:p w14:paraId="528C350B">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5145" w:type="dxa"/>
            <w:shd w:val="clear" w:color="auto" w:fill="auto"/>
            <w:noWrap/>
            <w:vAlign w:val="center"/>
          </w:tcPr>
          <w:p w14:paraId="0135945C">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支持配置自动翻牌机制，例如配置切日时间，调起新的作业批次，且新批次不影响旧批次未运行完成的任务；</w:t>
            </w:r>
          </w:p>
        </w:tc>
      </w:tr>
      <w:tr w14:paraId="00E65E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2" w:hRule="atLeast"/>
        </w:trPr>
        <w:tc>
          <w:tcPr>
            <w:tcW w:w="694" w:type="dxa"/>
            <w:shd w:val="clear" w:color="auto" w:fill="auto"/>
            <w:noWrap/>
            <w:vAlign w:val="center"/>
          </w:tcPr>
          <w:p w14:paraId="4F4DD7DD">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continue"/>
            <w:shd w:val="clear" w:color="auto" w:fill="auto"/>
            <w:noWrap/>
            <w:vAlign w:val="center"/>
          </w:tcPr>
          <w:p w14:paraId="6C01A292">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1272" w:type="dxa"/>
            <w:vMerge w:val="continue"/>
            <w:shd w:val="clear" w:color="auto" w:fill="auto"/>
            <w:noWrap/>
            <w:vAlign w:val="center"/>
          </w:tcPr>
          <w:p w14:paraId="1CD5517B">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5145" w:type="dxa"/>
            <w:shd w:val="clear" w:color="auto" w:fill="auto"/>
            <w:noWrap/>
            <w:vAlign w:val="center"/>
          </w:tcPr>
          <w:p w14:paraId="15DF8706">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支持配置调度任务执行器的并发度</w:t>
            </w:r>
            <w:r>
              <w:rPr>
                <w:rFonts w:hint="eastAsia" w:ascii="Times New Roman" w:hAnsi="Times New Roman" w:cs="Times New Roman"/>
                <w:i w:val="0"/>
                <w:iCs w:val="0"/>
                <w:color w:val="auto"/>
                <w:kern w:val="0"/>
                <w:sz w:val="21"/>
                <w:szCs w:val="21"/>
                <w:highlight w:val="none"/>
                <w:u w:val="none"/>
                <w:lang w:val="en-US" w:eastAsia="zh-CN" w:bidi="ar"/>
              </w:rPr>
              <w:t>、最大作业数、CPU或内存阈值、同类作业的最大并发数</w:t>
            </w:r>
            <w:r>
              <w:rPr>
                <w:rFonts w:hint="default" w:ascii="Times New Roman" w:hAnsi="Times New Roman" w:eastAsia="宋体" w:cs="Times New Roman"/>
                <w:i w:val="0"/>
                <w:iCs w:val="0"/>
                <w:color w:val="auto"/>
                <w:kern w:val="0"/>
                <w:sz w:val="21"/>
                <w:szCs w:val="21"/>
                <w:highlight w:val="none"/>
                <w:u w:val="none"/>
                <w:lang w:val="en-US" w:eastAsia="zh-CN" w:bidi="ar"/>
              </w:rPr>
              <w:t>；支持设置调度作业的优先级；</w:t>
            </w:r>
          </w:p>
        </w:tc>
      </w:tr>
      <w:tr w14:paraId="6A0B6D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282" w:hRule="atLeast"/>
        </w:trPr>
        <w:tc>
          <w:tcPr>
            <w:tcW w:w="694" w:type="dxa"/>
            <w:shd w:val="clear" w:color="auto" w:fill="auto"/>
            <w:noWrap/>
            <w:vAlign w:val="center"/>
          </w:tcPr>
          <w:p w14:paraId="55488F77">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continue"/>
            <w:shd w:val="clear" w:color="auto" w:fill="auto"/>
            <w:noWrap/>
            <w:vAlign w:val="center"/>
          </w:tcPr>
          <w:p w14:paraId="570300D2">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1272" w:type="dxa"/>
            <w:vMerge w:val="continue"/>
            <w:shd w:val="clear" w:color="auto" w:fill="auto"/>
            <w:noWrap/>
            <w:vAlign w:val="center"/>
          </w:tcPr>
          <w:p w14:paraId="3F5B241D">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5145" w:type="dxa"/>
            <w:shd w:val="clear" w:color="auto" w:fill="auto"/>
            <w:noWrap/>
            <w:vAlign w:val="center"/>
          </w:tcPr>
          <w:p w14:paraId="139CE6CF">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支持设置任务失败或超时后重试的次数及间隔时间；</w:t>
            </w:r>
          </w:p>
        </w:tc>
      </w:tr>
      <w:tr w14:paraId="619544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282" w:hRule="atLeast"/>
        </w:trPr>
        <w:tc>
          <w:tcPr>
            <w:tcW w:w="694" w:type="dxa"/>
            <w:shd w:val="clear" w:color="auto" w:fill="auto"/>
            <w:noWrap/>
            <w:vAlign w:val="center"/>
          </w:tcPr>
          <w:p w14:paraId="22990B3F">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continue"/>
            <w:shd w:val="clear" w:color="auto" w:fill="auto"/>
            <w:noWrap/>
            <w:vAlign w:val="center"/>
          </w:tcPr>
          <w:p w14:paraId="2A719D84">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1272" w:type="dxa"/>
            <w:vMerge w:val="continue"/>
            <w:shd w:val="clear" w:color="auto" w:fill="auto"/>
            <w:noWrap/>
            <w:vAlign w:val="center"/>
          </w:tcPr>
          <w:p w14:paraId="0EE8463D">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5145" w:type="dxa"/>
            <w:shd w:val="clear" w:color="auto" w:fill="auto"/>
            <w:noWrap/>
            <w:vAlign w:val="center"/>
          </w:tcPr>
          <w:p w14:paraId="0CA48CD4">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支持多种特殊调度日期配置，如</w:t>
            </w:r>
            <w:r>
              <w:rPr>
                <w:rFonts w:hint="eastAsia" w:ascii="Times New Roman" w:hAnsi="Times New Roman" w:cs="Times New Roman"/>
                <w:i w:val="0"/>
                <w:iCs w:val="0"/>
                <w:color w:val="auto"/>
                <w:kern w:val="0"/>
                <w:sz w:val="21"/>
                <w:szCs w:val="21"/>
                <w:highlight w:val="none"/>
                <w:u w:val="none"/>
                <w:lang w:val="en-US" w:eastAsia="zh-CN" w:bidi="ar"/>
              </w:rPr>
              <w:t>仅工作日（同步国家法定节假日）、</w:t>
            </w:r>
            <w:r>
              <w:rPr>
                <w:rFonts w:hint="default" w:ascii="Times New Roman" w:hAnsi="Times New Roman" w:eastAsia="宋体" w:cs="Times New Roman"/>
                <w:i w:val="0"/>
                <w:iCs w:val="0"/>
                <w:color w:val="auto"/>
                <w:kern w:val="0"/>
                <w:sz w:val="21"/>
                <w:szCs w:val="21"/>
                <w:highlight w:val="none"/>
                <w:u w:val="none"/>
                <w:lang w:val="en-US" w:eastAsia="zh-CN" w:bidi="ar"/>
              </w:rPr>
              <w:t>月初、每周第几天、月底、每月开始第几天、每月结束第几天、年初、季初、年末、季末等；</w:t>
            </w:r>
          </w:p>
        </w:tc>
      </w:tr>
      <w:tr w14:paraId="52E4CF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282" w:hRule="atLeast"/>
        </w:trPr>
        <w:tc>
          <w:tcPr>
            <w:tcW w:w="694" w:type="dxa"/>
            <w:shd w:val="clear" w:color="auto" w:fill="auto"/>
            <w:noWrap/>
            <w:vAlign w:val="center"/>
          </w:tcPr>
          <w:p w14:paraId="7C4AF967">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continue"/>
            <w:shd w:val="clear" w:color="auto" w:fill="auto"/>
            <w:noWrap/>
            <w:vAlign w:val="center"/>
          </w:tcPr>
          <w:p w14:paraId="0AFFDA46">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1272" w:type="dxa"/>
            <w:vMerge w:val="continue"/>
            <w:shd w:val="clear" w:color="auto" w:fill="auto"/>
            <w:noWrap/>
            <w:vAlign w:val="center"/>
          </w:tcPr>
          <w:p w14:paraId="68E94DA1">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5145" w:type="dxa"/>
            <w:shd w:val="clear" w:color="auto" w:fill="auto"/>
            <w:noWrap/>
            <w:vAlign w:val="center"/>
          </w:tcPr>
          <w:p w14:paraId="0A8DEA93">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支持在结束任务实例的同时将后台的运行任务进程同步结束；</w:t>
            </w:r>
          </w:p>
        </w:tc>
      </w:tr>
      <w:tr w14:paraId="26A856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2" w:hRule="atLeast"/>
        </w:trPr>
        <w:tc>
          <w:tcPr>
            <w:tcW w:w="694" w:type="dxa"/>
            <w:shd w:val="clear" w:color="auto" w:fill="auto"/>
            <w:noWrap/>
            <w:vAlign w:val="center"/>
          </w:tcPr>
          <w:p w14:paraId="04A5D251">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continue"/>
            <w:shd w:val="clear" w:color="auto" w:fill="auto"/>
            <w:noWrap/>
            <w:vAlign w:val="center"/>
          </w:tcPr>
          <w:p w14:paraId="19E82F1D">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1272" w:type="dxa"/>
            <w:vMerge w:val="continue"/>
            <w:shd w:val="clear" w:color="auto" w:fill="auto"/>
            <w:noWrap/>
            <w:vAlign w:val="center"/>
          </w:tcPr>
          <w:p w14:paraId="3C803B4A">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5145" w:type="dxa"/>
            <w:shd w:val="clear" w:color="auto" w:fill="auto"/>
            <w:noWrap/>
            <w:vAlign w:val="center"/>
          </w:tcPr>
          <w:p w14:paraId="3493BF21">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支持调度任务上下游依赖个性化配置并记录任务的元数据信息和关联关系；</w:t>
            </w:r>
          </w:p>
        </w:tc>
      </w:tr>
      <w:tr w14:paraId="3F9A23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282" w:hRule="atLeast"/>
        </w:trPr>
        <w:tc>
          <w:tcPr>
            <w:tcW w:w="694" w:type="dxa"/>
            <w:shd w:val="clear" w:color="auto" w:fill="auto"/>
            <w:noWrap/>
            <w:vAlign w:val="center"/>
          </w:tcPr>
          <w:p w14:paraId="2FF924A1">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continue"/>
            <w:shd w:val="clear" w:color="auto" w:fill="auto"/>
            <w:noWrap/>
            <w:vAlign w:val="center"/>
          </w:tcPr>
          <w:p w14:paraId="67500ED6">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1272" w:type="dxa"/>
            <w:vMerge w:val="continue"/>
            <w:shd w:val="clear" w:color="auto" w:fill="auto"/>
            <w:noWrap/>
            <w:vAlign w:val="center"/>
          </w:tcPr>
          <w:p w14:paraId="2C08B8C7">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5145" w:type="dxa"/>
            <w:shd w:val="clear" w:color="auto" w:fill="auto"/>
            <w:noWrap/>
            <w:vAlign w:val="center"/>
          </w:tcPr>
          <w:p w14:paraId="60DC12F3">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支持可针对项目配置任务实例、运行日志保留周期；</w:t>
            </w:r>
          </w:p>
        </w:tc>
      </w:tr>
      <w:tr w14:paraId="757A48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282" w:hRule="atLeast"/>
        </w:trPr>
        <w:tc>
          <w:tcPr>
            <w:tcW w:w="694" w:type="dxa"/>
            <w:shd w:val="clear" w:color="auto" w:fill="auto"/>
            <w:noWrap/>
            <w:vAlign w:val="center"/>
          </w:tcPr>
          <w:p w14:paraId="27865708">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continue"/>
            <w:shd w:val="clear" w:color="auto" w:fill="auto"/>
            <w:noWrap/>
            <w:vAlign w:val="center"/>
          </w:tcPr>
          <w:p w14:paraId="416A856E">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1272" w:type="dxa"/>
            <w:vMerge w:val="continue"/>
            <w:shd w:val="clear" w:color="auto" w:fill="auto"/>
            <w:noWrap/>
            <w:vAlign w:val="center"/>
          </w:tcPr>
          <w:p w14:paraId="103E2F14">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5145" w:type="dxa"/>
            <w:shd w:val="clear" w:color="auto" w:fill="auto"/>
            <w:noWrap/>
            <w:vAlign w:val="center"/>
          </w:tcPr>
          <w:p w14:paraId="720C1BED">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支持作业失败自动转移至其他节点继续执行；</w:t>
            </w:r>
          </w:p>
        </w:tc>
      </w:tr>
      <w:tr w14:paraId="1D5257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2" w:hRule="atLeast"/>
        </w:trPr>
        <w:tc>
          <w:tcPr>
            <w:tcW w:w="694" w:type="dxa"/>
            <w:shd w:val="clear" w:color="auto" w:fill="auto"/>
            <w:noWrap/>
            <w:vAlign w:val="center"/>
          </w:tcPr>
          <w:p w14:paraId="5416512D">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continue"/>
            <w:shd w:val="clear" w:color="auto" w:fill="auto"/>
            <w:noWrap/>
            <w:vAlign w:val="center"/>
          </w:tcPr>
          <w:p w14:paraId="201DD2A4">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1272" w:type="dxa"/>
            <w:vMerge w:val="continue"/>
            <w:shd w:val="clear" w:color="auto" w:fill="auto"/>
            <w:noWrap/>
            <w:vAlign w:val="center"/>
          </w:tcPr>
          <w:p w14:paraId="5EBEBB8C">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5145" w:type="dxa"/>
            <w:shd w:val="clear" w:color="auto" w:fill="auto"/>
            <w:noWrap/>
            <w:vAlign w:val="center"/>
          </w:tcPr>
          <w:p w14:paraId="004F417C">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支持可视化的长周期追数和任务实例管理，支持按系统、时间跨度、日历周期等灵活配置，不影响已有的数据处理任务，提升整个数据处理和调度服务的效率；</w:t>
            </w:r>
          </w:p>
        </w:tc>
      </w:tr>
      <w:tr w14:paraId="5D3BE1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318" w:hRule="atLeast"/>
        </w:trPr>
        <w:tc>
          <w:tcPr>
            <w:tcW w:w="694" w:type="dxa"/>
            <w:shd w:val="clear" w:color="auto" w:fill="auto"/>
            <w:noWrap/>
            <w:vAlign w:val="center"/>
          </w:tcPr>
          <w:p w14:paraId="39BA1D2A">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continue"/>
            <w:shd w:val="clear" w:color="auto" w:fill="auto"/>
            <w:noWrap/>
            <w:vAlign w:val="center"/>
          </w:tcPr>
          <w:p w14:paraId="459B88DA">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1272" w:type="dxa"/>
            <w:vMerge w:val="restart"/>
            <w:shd w:val="clear" w:color="auto" w:fill="auto"/>
            <w:noWrap/>
            <w:vAlign w:val="center"/>
          </w:tcPr>
          <w:p w14:paraId="626E8DE7">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运营管理</w:t>
            </w:r>
          </w:p>
        </w:tc>
        <w:tc>
          <w:tcPr>
            <w:tcW w:w="5145" w:type="dxa"/>
            <w:shd w:val="clear" w:color="auto" w:fill="auto"/>
            <w:noWrap/>
            <w:vAlign w:val="center"/>
          </w:tcPr>
          <w:p w14:paraId="559C7EA2">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支持调度作业按照数仓层级进行分组、查看、批量导入导出等；</w:t>
            </w:r>
          </w:p>
        </w:tc>
      </w:tr>
      <w:tr w14:paraId="240E2F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2" w:hRule="atLeast"/>
        </w:trPr>
        <w:tc>
          <w:tcPr>
            <w:tcW w:w="694" w:type="dxa"/>
            <w:shd w:val="clear" w:color="auto" w:fill="auto"/>
            <w:noWrap/>
            <w:vAlign w:val="center"/>
          </w:tcPr>
          <w:p w14:paraId="0FBEE0AD">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continue"/>
            <w:shd w:val="clear" w:color="auto" w:fill="auto"/>
            <w:noWrap/>
            <w:vAlign w:val="center"/>
          </w:tcPr>
          <w:p w14:paraId="5A8F791A">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1272" w:type="dxa"/>
            <w:vMerge w:val="continue"/>
            <w:shd w:val="clear" w:color="auto" w:fill="auto"/>
            <w:noWrap/>
            <w:vAlign w:val="center"/>
          </w:tcPr>
          <w:p w14:paraId="6C4DD854">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5145" w:type="dxa"/>
            <w:shd w:val="clear" w:color="auto" w:fill="auto"/>
            <w:noWrap/>
            <w:vAlign w:val="center"/>
          </w:tcPr>
          <w:p w14:paraId="02951B78">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支持按照树形结构查看调度作业实例列表，并支持对实例进行新建、删除、导入、导出、重命名；</w:t>
            </w:r>
          </w:p>
        </w:tc>
      </w:tr>
      <w:tr w14:paraId="57DF9C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2" w:hRule="atLeast"/>
        </w:trPr>
        <w:tc>
          <w:tcPr>
            <w:tcW w:w="694" w:type="dxa"/>
            <w:shd w:val="clear" w:color="auto" w:fill="auto"/>
            <w:noWrap/>
            <w:vAlign w:val="center"/>
          </w:tcPr>
          <w:p w14:paraId="476D6910">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continue"/>
            <w:shd w:val="clear" w:color="auto" w:fill="auto"/>
            <w:noWrap/>
            <w:vAlign w:val="center"/>
          </w:tcPr>
          <w:p w14:paraId="2E47E336">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1272" w:type="dxa"/>
            <w:vMerge w:val="continue"/>
            <w:shd w:val="clear" w:color="auto" w:fill="auto"/>
            <w:noWrap/>
            <w:vAlign w:val="center"/>
          </w:tcPr>
          <w:p w14:paraId="57FD77DA">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5145" w:type="dxa"/>
            <w:shd w:val="clear" w:color="auto" w:fill="auto"/>
            <w:noWrap/>
            <w:vAlign w:val="center"/>
          </w:tcPr>
          <w:p w14:paraId="710DB694">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支持可视化展示调度任务和实例的完整血缘关系图，并支持上下钻；</w:t>
            </w:r>
          </w:p>
        </w:tc>
      </w:tr>
      <w:tr w14:paraId="7AD225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282" w:hRule="atLeast"/>
        </w:trPr>
        <w:tc>
          <w:tcPr>
            <w:tcW w:w="694" w:type="dxa"/>
            <w:shd w:val="clear" w:color="auto" w:fill="auto"/>
            <w:noWrap/>
            <w:vAlign w:val="center"/>
          </w:tcPr>
          <w:p w14:paraId="48F9852C">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continue"/>
            <w:shd w:val="clear" w:color="auto" w:fill="auto"/>
            <w:noWrap/>
            <w:vAlign w:val="center"/>
          </w:tcPr>
          <w:p w14:paraId="4C62087B">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1272" w:type="dxa"/>
            <w:vMerge w:val="continue"/>
            <w:shd w:val="clear" w:color="auto" w:fill="auto"/>
            <w:noWrap/>
            <w:vAlign w:val="center"/>
          </w:tcPr>
          <w:p w14:paraId="3CC0F5E8">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5145" w:type="dxa"/>
            <w:shd w:val="clear" w:color="auto" w:fill="auto"/>
            <w:noWrap/>
            <w:vAlign w:val="center"/>
          </w:tcPr>
          <w:p w14:paraId="7A4342C1">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支持任务实例执行进度监控查询、资源使用情况监控查询、任务内容查询、上下游依赖任务实例执行状态查询；</w:t>
            </w:r>
          </w:p>
        </w:tc>
      </w:tr>
      <w:tr w14:paraId="12CAF4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282" w:hRule="atLeast"/>
        </w:trPr>
        <w:tc>
          <w:tcPr>
            <w:tcW w:w="694" w:type="dxa"/>
            <w:shd w:val="clear" w:color="auto" w:fill="auto"/>
            <w:noWrap/>
            <w:vAlign w:val="center"/>
          </w:tcPr>
          <w:p w14:paraId="6D6A8DE5">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continue"/>
            <w:shd w:val="clear" w:color="auto" w:fill="auto"/>
            <w:noWrap/>
            <w:vAlign w:val="center"/>
          </w:tcPr>
          <w:p w14:paraId="3984AC6A">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1272" w:type="dxa"/>
            <w:vMerge w:val="continue"/>
            <w:shd w:val="clear" w:color="auto" w:fill="auto"/>
            <w:noWrap/>
            <w:vAlign w:val="center"/>
          </w:tcPr>
          <w:p w14:paraId="44DE691B">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5145" w:type="dxa"/>
            <w:shd w:val="clear" w:color="auto" w:fill="auto"/>
            <w:noWrap/>
            <w:vAlign w:val="center"/>
          </w:tcPr>
          <w:p w14:paraId="522A99DA">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支持在各个功能页面能够实现复杂多样的筛选、搜索功能；</w:t>
            </w:r>
          </w:p>
        </w:tc>
      </w:tr>
      <w:tr w14:paraId="78B786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282" w:hRule="atLeast"/>
        </w:trPr>
        <w:tc>
          <w:tcPr>
            <w:tcW w:w="694" w:type="dxa"/>
            <w:shd w:val="clear" w:color="auto" w:fill="auto"/>
            <w:noWrap/>
            <w:vAlign w:val="center"/>
          </w:tcPr>
          <w:p w14:paraId="1E0B7EE4">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continue"/>
            <w:shd w:val="clear" w:color="auto" w:fill="auto"/>
            <w:noWrap/>
            <w:vAlign w:val="center"/>
          </w:tcPr>
          <w:p w14:paraId="6CE11425">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1272" w:type="dxa"/>
            <w:vMerge w:val="continue"/>
            <w:shd w:val="clear" w:color="auto" w:fill="auto"/>
            <w:noWrap/>
            <w:vAlign w:val="center"/>
          </w:tcPr>
          <w:p w14:paraId="34959643">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5145" w:type="dxa"/>
            <w:shd w:val="clear" w:color="auto" w:fill="auto"/>
            <w:noWrap/>
            <w:vAlign w:val="center"/>
          </w:tcPr>
          <w:p w14:paraId="07E8E331">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支持调度日志查询，包含执行日志、手工操作日志等；</w:t>
            </w:r>
          </w:p>
        </w:tc>
      </w:tr>
      <w:tr w14:paraId="767F23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2" w:hRule="atLeast"/>
        </w:trPr>
        <w:tc>
          <w:tcPr>
            <w:tcW w:w="694" w:type="dxa"/>
            <w:shd w:val="clear" w:color="auto" w:fill="auto"/>
            <w:noWrap/>
            <w:vAlign w:val="center"/>
          </w:tcPr>
          <w:p w14:paraId="6C8D0B62">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continue"/>
            <w:shd w:val="clear" w:color="auto" w:fill="auto"/>
            <w:noWrap/>
            <w:vAlign w:val="center"/>
          </w:tcPr>
          <w:p w14:paraId="07B2423D">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1272" w:type="dxa"/>
            <w:vMerge w:val="continue"/>
            <w:shd w:val="clear" w:color="auto" w:fill="auto"/>
            <w:noWrap/>
            <w:vAlign w:val="center"/>
          </w:tcPr>
          <w:p w14:paraId="4A199A05">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5145" w:type="dxa"/>
            <w:shd w:val="clear" w:color="auto" w:fill="auto"/>
            <w:noWrap/>
            <w:vAlign w:val="center"/>
          </w:tcPr>
          <w:p w14:paraId="5CDC28FB">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支持记录任务的不同运行状态，并支持可视化快速筛选出不同运行状态的全部任务实例，包括但不限于调度中、运行中、已暂停、已完成、等待中、已失败及已停止；</w:t>
            </w:r>
          </w:p>
        </w:tc>
      </w:tr>
      <w:tr w14:paraId="0CE444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282" w:hRule="atLeast"/>
        </w:trPr>
        <w:tc>
          <w:tcPr>
            <w:tcW w:w="694" w:type="dxa"/>
            <w:shd w:val="clear" w:color="auto" w:fill="auto"/>
            <w:noWrap/>
            <w:vAlign w:val="center"/>
          </w:tcPr>
          <w:p w14:paraId="17A514D7">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continue"/>
            <w:shd w:val="clear" w:color="auto" w:fill="auto"/>
            <w:noWrap/>
            <w:vAlign w:val="center"/>
          </w:tcPr>
          <w:p w14:paraId="3C9C3377">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1272" w:type="dxa"/>
            <w:vMerge w:val="continue"/>
            <w:shd w:val="clear" w:color="auto" w:fill="auto"/>
            <w:noWrap/>
            <w:vAlign w:val="center"/>
          </w:tcPr>
          <w:p w14:paraId="67783395">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5145" w:type="dxa"/>
            <w:shd w:val="clear" w:color="auto" w:fill="auto"/>
            <w:noWrap/>
            <w:vAlign w:val="center"/>
          </w:tcPr>
          <w:p w14:paraId="601D4537">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支持统一查询展示统计指标包括任务实例状态分布、任务类型分布、运行时长排行（当日、指定周期）等丰富的任务监控运营指标；</w:t>
            </w:r>
          </w:p>
        </w:tc>
      </w:tr>
      <w:tr w14:paraId="7A31BC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8" w:hRule="atLeast"/>
        </w:trPr>
        <w:tc>
          <w:tcPr>
            <w:tcW w:w="694" w:type="dxa"/>
            <w:shd w:val="clear" w:color="auto" w:fill="auto"/>
            <w:noWrap/>
            <w:vAlign w:val="center"/>
          </w:tcPr>
          <w:p w14:paraId="13DC2DD4">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continue"/>
            <w:shd w:val="clear" w:color="auto" w:fill="auto"/>
            <w:noWrap/>
            <w:vAlign w:val="center"/>
          </w:tcPr>
          <w:p w14:paraId="03F8C2C6">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1272" w:type="dxa"/>
            <w:vMerge w:val="restart"/>
            <w:shd w:val="clear" w:color="auto" w:fill="auto"/>
            <w:noWrap/>
            <w:vAlign w:val="center"/>
          </w:tcPr>
          <w:p w14:paraId="6B84C591">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任务监控</w:t>
            </w:r>
          </w:p>
        </w:tc>
        <w:tc>
          <w:tcPr>
            <w:tcW w:w="5145" w:type="dxa"/>
            <w:shd w:val="clear" w:color="auto" w:fill="auto"/>
            <w:noWrap/>
            <w:vAlign w:val="center"/>
          </w:tcPr>
          <w:p w14:paraId="3A811747">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支持根据任务错误级别配置个性化、多种级别、多种方式的任务监控告警。如针对任务失败、实时计算任务突然终止、长时间未运行设计较高级别的告警；</w:t>
            </w:r>
          </w:p>
        </w:tc>
      </w:tr>
      <w:tr w14:paraId="38EF73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282" w:hRule="atLeast"/>
        </w:trPr>
        <w:tc>
          <w:tcPr>
            <w:tcW w:w="694" w:type="dxa"/>
            <w:shd w:val="clear" w:color="auto" w:fill="auto"/>
            <w:noWrap/>
            <w:vAlign w:val="center"/>
          </w:tcPr>
          <w:p w14:paraId="534309E8">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continue"/>
            <w:shd w:val="clear" w:color="auto" w:fill="auto"/>
            <w:noWrap/>
            <w:vAlign w:val="center"/>
          </w:tcPr>
          <w:p w14:paraId="36AA89EB">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1272" w:type="dxa"/>
            <w:vMerge w:val="continue"/>
            <w:shd w:val="clear" w:color="auto" w:fill="auto"/>
            <w:noWrap/>
            <w:vAlign w:val="center"/>
          </w:tcPr>
          <w:p w14:paraId="3D2F2886">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5145" w:type="dxa"/>
            <w:shd w:val="clear" w:color="auto" w:fill="auto"/>
            <w:noWrap/>
            <w:vAlign w:val="center"/>
          </w:tcPr>
          <w:p w14:paraId="4D7099EE">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支持设置关键任务的告警，如针对某批量任务设置指定时间或前置时间完成，未在规定时间完成则告警；</w:t>
            </w:r>
          </w:p>
        </w:tc>
      </w:tr>
      <w:tr w14:paraId="2D47DF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282" w:hRule="atLeast"/>
        </w:trPr>
        <w:tc>
          <w:tcPr>
            <w:tcW w:w="694" w:type="dxa"/>
            <w:shd w:val="clear" w:color="auto" w:fill="auto"/>
            <w:noWrap/>
            <w:vAlign w:val="center"/>
          </w:tcPr>
          <w:p w14:paraId="6D950A5B">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continue"/>
            <w:shd w:val="clear" w:color="auto" w:fill="auto"/>
            <w:noWrap/>
            <w:vAlign w:val="center"/>
          </w:tcPr>
          <w:p w14:paraId="2A5549E3">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1272" w:type="dxa"/>
            <w:vMerge w:val="continue"/>
            <w:shd w:val="clear" w:color="auto" w:fill="auto"/>
            <w:noWrap/>
            <w:vAlign w:val="center"/>
          </w:tcPr>
          <w:p w14:paraId="56824E53">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5145" w:type="dxa"/>
            <w:shd w:val="clear" w:color="auto" w:fill="auto"/>
            <w:noWrap/>
            <w:vAlign w:val="center"/>
          </w:tcPr>
          <w:p w14:paraId="7EF9D357">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支持对指定项目下所有告警、异常触发事件实例展示和搜索，包括事件名称、告警方式、告警时间等；</w:t>
            </w:r>
          </w:p>
        </w:tc>
      </w:tr>
      <w:tr w14:paraId="5D6EB8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2" w:hRule="atLeast"/>
        </w:trPr>
        <w:tc>
          <w:tcPr>
            <w:tcW w:w="694" w:type="dxa"/>
            <w:shd w:val="clear" w:color="auto" w:fill="auto"/>
            <w:noWrap/>
            <w:vAlign w:val="center"/>
          </w:tcPr>
          <w:p w14:paraId="1A39C577">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continue"/>
            <w:shd w:val="clear" w:color="auto" w:fill="auto"/>
            <w:noWrap/>
            <w:vAlign w:val="center"/>
          </w:tcPr>
          <w:p w14:paraId="54BF3EEA">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1272" w:type="dxa"/>
            <w:vMerge w:val="continue"/>
            <w:shd w:val="clear" w:color="auto" w:fill="auto"/>
            <w:noWrap/>
            <w:vAlign w:val="center"/>
          </w:tcPr>
          <w:p w14:paraId="38E15B7D">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5145" w:type="dxa"/>
            <w:shd w:val="clear" w:color="auto" w:fill="auto"/>
            <w:noWrap/>
            <w:vAlign w:val="center"/>
          </w:tcPr>
          <w:p w14:paraId="4D943D7F">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平台需支持设置任务实例执行时间阈值，超过则告警；</w:t>
            </w:r>
          </w:p>
        </w:tc>
      </w:tr>
      <w:tr w14:paraId="419A35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2" w:hRule="atLeast"/>
        </w:trPr>
        <w:tc>
          <w:tcPr>
            <w:tcW w:w="694" w:type="dxa"/>
            <w:shd w:val="clear" w:color="auto" w:fill="auto"/>
            <w:noWrap/>
            <w:vAlign w:val="center"/>
          </w:tcPr>
          <w:p w14:paraId="60A741B9">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continue"/>
            <w:shd w:val="clear" w:color="auto" w:fill="auto"/>
            <w:noWrap/>
            <w:vAlign w:val="center"/>
          </w:tcPr>
          <w:p w14:paraId="52387B0F">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1272" w:type="dxa"/>
            <w:vMerge w:val="continue"/>
            <w:shd w:val="clear" w:color="auto" w:fill="auto"/>
            <w:noWrap/>
            <w:vAlign w:val="center"/>
          </w:tcPr>
          <w:p w14:paraId="06D52ECF">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5145" w:type="dxa"/>
            <w:shd w:val="clear" w:color="auto" w:fill="auto"/>
            <w:noWrap/>
            <w:vAlign w:val="center"/>
          </w:tcPr>
          <w:p w14:paraId="47404BF8">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支持任务执行状态消息通知订阅，实现复杂定制化需求；</w:t>
            </w:r>
          </w:p>
        </w:tc>
      </w:tr>
      <w:tr w14:paraId="354A31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2" w:hRule="atLeast"/>
        </w:trPr>
        <w:tc>
          <w:tcPr>
            <w:tcW w:w="694" w:type="dxa"/>
            <w:shd w:val="clear" w:color="auto" w:fill="auto"/>
            <w:noWrap/>
            <w:vAlign w:val="center"/>
          </w:tcPr>
          <w:p w14:paraId="52F325A5">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continue"/>
            <w:shd w:val="clear" w:color="auto" w:fill="auto"/>
            <w:noWrap/>
            <w:vAlign w:val="center"/>
          </w:tcPr>
          <w:p w14:paraId="3DF24A17">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1272" w:type="dxa"/>
            <w:vMerge w:val="continue"/>
            <w:shd w:val="clear" w:color="auto" w:fill="auto"/>
            <w:noWrap/>
            <w:vAlign w:val="center"/>
          </w:tcPr>
          <w:p w14:paraId="45000D72">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5145" w:type="dxa"/>
            <w:shd w:val="clear" w:color="auto" w:fill="auto"/>
            <w:noWrap/>
            <w:vAlign w:val="center"/>
          </w:tcPr>
          <w:p w14:paraId="0C6DD78B">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任务告警支持通过短信、邮件、企业微信、OA统一消息服务对接等多种方式；</w:t>
            </w:r>
          </w:p>
        </w:tc>
      </w:tr>
      <w:tr w14:paraId="372421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318" w:hRule="atLeast"/>
        </w:trPr>
        <w:tc>
          <w:tcPr>
            <w:tcW w:w="694" w:type="dxa"/>
            <w:shd w:val="clear" w:color="auto" w:fill="auto"/>
            <w:noWrap/>
            <w:vAlign w:val="center"/>
          </w:tcPr>
          <w:p w14:paraId="09F970C1">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restart"/>
            <w:shd w:val="clear" w:color="auto" w:fill="auto"/>
            <w:noWrap/>
            <w:vAlign w:val="center"/>
          </w:tcPr>
          <w:p w14:paraId="723F86CD">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平台管理</w:t>
            </w:r>
          </w:p>
        </w:tc>
        <w:tc>
          <w:tcPr>
            <w:tcW w:w="1272" w:type="dxa"/>
            <w:vMerge w:val="restart"/>
            <w:shd w:val="clear" w:color="auto" w:fill="auto"/>
            <w:noWrap/>
            <w:vAlign w:val="center"/>
          </w:tcPr>
          <w:p w14:paraId="0B72D7E4">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租户和项目管理</w:t>
            </w:r>
          </w:p>
        </w:tc>
        <w:tc>
          <w:tcPr>
            <w:tcW w:w="5145" w:type="dxa"/>
            <w:shd w:val="clear" w:color="auto" w:fill="auto"/>
            <w:noWrap/>
            <w:vAlign w:val="center"/>
          </w:tcPr>
          <w:p w14:paraId="0E948D11">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支持租户/项目的创建、参数调整、销毁等生命周期管理；</w:t>
            </w:r>
          </w:p>
        </w:tc>
      </w:tr>
      <w:tr w14:paraId="479D6F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282" w:hRule="atLeast"/>
        </w:trPr>
        <w:tc>
          <w:tcPr>
            <w:tcW w:w="694" w:type="dxa"/>
            <w:shd w:val="clear" w:color="auto" w:fill="auto"/>
            <w:noWrap/>
            <w:vAlign w:val="center"/>
          </w:tcPr>
          <w:p w14:paraId="5ADAFCD2">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continue"/>
            <w:shd w:val="clear" w:color="auto" w:fill="auto"/>
            <w:noWrap/>
            <w:vAlign w:val="center"/>
          </w:tcPr>
          <w:p w14:paraId="14EC20A7">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1272" w:type="dxa"/>
            <w:vMerge w:val="continue"/>
            <w:shd w:val="clear" w:color="auto" w:fill="auto"/>
            <w:noWrap/>
            <w:vAlign w:val="center"/>
          </w:tcPr>
          <w:p w14:paraId="1B2F5E80">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5145" w:type="dxa"/>
            <w:shd w:val="clear" w:color="auto" w:fill="auto"/>
            <w:noWrap/>
            <w:vAlign w:val="center"/>
          </w:tcPr>
          <w:p w14:paraId="5DF452EE">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支持项目的成员管理、租户管理以及对项目所需存储与计算资源的配置；</w:t>
            </w:r>
          </w:p>
        </w:tc>
      </w:tr>
      <w:tr w14:paraId="68433E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282" w:hRule="atLeast"/>
        </w:trPr>
        <w:tc>
          <w:tcPr>
            <w:tcW w:w="694" w:type="dxa"/>
            <w:shd w:val="clear" w:color="auto" w:fill="auto"/>
            <w:noWrap/>
            <w:vAlign w:val="center"/>
          </w:tcPr>
          <w:p w14:paraId="27289E23">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continue"/>
            <w:shd w:val="clear" w:color="auto" w:fill="auto"/>
            <w:noWrap/>
            <w:vAlign w:val="center"/>
          </w:tcPr>
          <w:p w14:paraId="3B3DB550">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1272" w:type="dxa"/>
            <w:vMerge w:val="continue"/>
            <w:shd w:val="clear" w:color="auto" w:fill="auto"/>
            <w:noWrap/>
            <w:vAlign w:val="center"/>
          </w:tcPr>
          <w:p w14:paraId="173E0969">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5145" w:type="dxa"/>
            <w:shd w:val="clear" w:color="auto" w:fill="auto"/>
            <w:noWrap/>
            <w:vAlign w:val="center"/>
          </w:tcPr>
          <w:p w14:paraId="7C69643F">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支持对项目/租户进行资源和数据权限管控；</w:t>
            </w:r>
          </w:p>
        </w:tc>
      </w:tr>
      <w:tr w14:paraId="5696E0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282" w:hRule="atLeast"/>
        </w:trPr>
        <w:tc>
          <w:tcPr>
            <w:tcW w:w="694" w:type="dxa"/>
            <w:shd w:val="clear" w:color="auto" w:fill="auto"/>
            <w:noWrap/>
            <w:vAlign w:val="center"/>
          </w:tcPr>
          <w:p w14:paraId="035A2734">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continue"/>
            <w:shd w:val="clear" w:color="auto" w:fill="auto"/>
            <w:noWrap/>
            <w:vAlign w:val="center"/>
          </w:tcPr>
          <w:p w14:paraId="52B5F67D">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1272" w:type="dxa"/>
            <w:vMerge w:val="continue"/>
            <w:shd w:val="clear" w:color="auto" w:fill="auto"/>
            <w:noWrap/>
            <w:vAlign w:val="center"/>
          </w:tcPr>
          <w:p w14:paraId="758E869C">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5145" w:type="dxa"/>
            <w:shd w:val="clear" w:color="auto" w:fill="auto"/>
            <w:noWrap/>
            <w:vAlign w:val="center"/>
          </w:tcPr>
          <w:p w14:paraId="6D1D014C">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支持对租户内的用户、用户组、角色、部门等内容的个性化管理，满足不同业务场景对人员组织结构多样化管控的需求；</w:t>
            </w:r>
          </w:p>
        </w:tc>
      </w:tr>
      <w:tr w14:paraId="4897BA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318" w:hRule="atLeast"/>
        </w:trPr>
        <w:tc>
          <w:tcPr>
            <w:tcW w:w="694" w:type="dxa"/>
            <w:shd w:val="clear" w:color="auto" w:fill="auto"/>
            <w:noWrap/>
            <w:vAlign w:val="center"/>
          </w:tcPr>
          <w:p w14:paraId="7A2C36BB">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continue"/>
            <w:shd w:val="clear" w:color="auto" w:fill="auto"/>
            <w:noWrap/>
            <w:vAlign w:val="center"/>
          </w:tcPr>
          <w:p w14:paraId="5F3AAEE1">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1272" w:type="dxa"/>
            <w:vMerge w:val="restart"/>
            <w:shd w:val="clear" w:color="auto" w:fill="auto"/>
            <w:noWrap/>
            <w:vAlign w:val="center"/>
          </w:tcPr>
          <w:p w14:paraId="08E94B16">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流程与权限管控</w:t>
            </w:r>
          </w:p>
        </w:tc>
        <w:tc>
          <w:tcPr>
            <w:tcW w:w="5145" w:type="dxa"/>
            <w:shd w:val="clear" w:color="auto" w:fill="auto"/>
            <w:noWrap/>
            <w:vAlign w:val="center"/>
          </w:tcPr>
          <w:p w14:paraId="1D5DCA79">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支持基于项目对数据权限、任务权限、发布权限、数据服务权限等进行隔离与管控；</w:t>
            </w:r>
          </w:p>
        </w:tc>
      </w:tr>
      <w:tr w14:paraId="5E788E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2" w:hRule="atLeast"/>
        </w:trPr>
        <w:tc>
          <w:tcPr>
            <w:tcW w:w="694" w:type="dxa"/>
            <w:shd w:val="clear" w:color="auto" w:fill="auto"/>
            <w:noWrap/>
            <w:vAlign w:val="center"/>
          </w:tcPr>
          <w:p w14:paraId="77A9F9F7">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continue"/>
            <w:shd w:val="clear" w:color="auto" w:fill="auto"/>
            <w:noWrap/>
            <w:vAlign w:val="center"/>
          </w:tcPr>
          <w:p w14:paraId="49383A66">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1272" w:type="dxa"/>
            <w:vMerge w:val="continue"/>
            <w:shd w:val="clear" w:color="auto" w:fill="auto"/>
            <w:noWrap/>
            <w:vAlign w:val="center"/>
          </w:tcPr>
          <w:p w14:paraId="4B101082">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5145" w:type="dxa"/>
            <w:shd w:val="clear" w:color="auto" w:fill="auto"/>
            <w:noWrap/>
            <w:vAlign w:val="center"/>
          </w:tcPr>
          <w:p w14:paraId="626A1683">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支持建立项目管理员、数据人员、运营人员等不同的平台预设角色并进行自定义的权限和资源管控；</w:t>
            </w:r>
          </w:p>
        </w:tc>
      </w:tr>
      <w:tr w14:paraId="76878D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2" w:hRule="atLeast"/>
        </w:trPr>
        <w:tc>
          <w:tcPr>
            <w:tcW w:w="694" w:type="dxa"/>
            <w:shd w:val="clear" w:color="auto" w:fill="auto"/>
            <w:noWrap/>
            <w:vAlign w:val="center"/>
          </w:tcPr>
          <w:p w14:paraId="56471A40">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continue"/>
            <w:shd w:val="clear" w:color="auto" w:fill="auto"/>
            <w:noWrap/>
            <w:vAlign w:val="center"/>
          </w:tcPr>
          <w:p w14:paraId="51A7777B">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1272" w:type="dxa"/>
            <w:vMerge w:val="continue"/>
            <w:shd w:val="clear" w:color="auto" w:fill="auto"/>
            <w:noWrap/>
            <w:vAlign w:val="center"/>
          </w:tcPr>
          <w:p w14:paraId="595AD5CA">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5145" w:type="dxa"/>
            <w:shd w:val="clear" w:color="auto" w:fill="auto"/>
            <w:noWrap/>
            <w:vAlign w:val="center"/>
          </w:tcPr>
          <w:p w14:paraId="47512B07">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平台需自带可自定流程节点的流程引擎，具有完善的流程管控机制，对关键节点、关键操作（可由项目管理员自行配置）设置审批流程管控，如数据导出、任务发布等；</w:t>
            </w:r>
          </w:p>
        </w:tc>
      </w:tr>
      <w:tr w14:paraId="10A87F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282" w:hRule="atLeast"/>
        </w:trPr>
        <w:tc>
          <w:tcPr>
            <w:tcW w:w="694" w:type="dxa"/>
            <w:shd w:val="clear" w:color="auto" w:fill="auto"/>
            <w:noWrap/>
            <w:vAlign w:val="center"/>
          </w:tcPr>
          <w:p w14:paraId="32E0AB21">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continue"/>
            <w:shd w:val="clear" w:color="auto" w:fill="auto"/>
            <w:noWrap/>
            <w:vAlign w:val="center"/>
          </w:tcPr>
          <w:p w14:paraId="7CC98320">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1272" w:type="dxa"/>
            <w:vMerge w:val="continue"/>
            <w:shd w:val="clear" w:color="auto" w:fill="auto"/>
            <w:noWrap/>
            <w:vAlign w:val="center"/>
          </w:tcPr>
          <w:p w14:paraId="4168304C">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5145" w:type="dxa"/>
            <w:shd w:val="clear" w:color="auto" w:fill="auto"/>
            <w:noWrap/>
            <w:vAlign w:val="center"/>
          </w:tcPr>
          <w:p w14:paraId="2AB8783A">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平台需支持根据不同的访问网段进行功能模块屏蔽；</w:t>
            </w:r>
          </w:p>
        </w:tc>
      </w:tr>
      <w:tr w14:paraId="74A326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282" w:hRule="atLeast"/>
        </w:trPr>
        <w:tc>
          <w:tcPr>
            <w:tcW w:w="694" w:type="dxa"/>
            <w:shd w:val="clear" w:color="auto" w:fill="auto"/>
            <w:noWrap/>
            <w:vAlign w:val="center"/>
          </w:tcPr>
          <w:p w14:paraId="78230F3A">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continue"/>
            <w:shd w:val="clear" w:color="auto" w:fill="auto"/>
            <w:noWrap/>
            <w:vAlign w:val="center"/>
          </w:tcPr>
          <w:p w14:paraId="22687889">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1272" w:type="dxa"/>
            <w:vMerge w:val="continue"/>
            <w:shd w:val="clear" w:color="auto" w:fill="auto"/>
            <w:noWrap/>
            <w:vAlign w:val="center"/>
          </w:tcPr>
          <w:p w14:paraId="10A91950">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5145" w:type="dxa"/>
            <w:shd w:val="clear" w:color="auto" w:fill="auto"/>
            <w:noWrap/>
            <w:vAlign w:val="center"/>
          </w:tcPr>
          <w:p w14:paraId="2880C8A0">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平台需支持与OA系统、项目管理平台进行流程对接；</w:t>
            </w:r>
          </w:p>
        </w:tc>
      </w:tr>
      <w:tr w14:paraId="6AC35C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282" w:hRule="atLeast"/>
        </w:trPr>
        <w:tc>
          <w:tcPr>
            <w:tcW w:w="694" w:type="dxa"/>
            <w:shd w:val="clear" w:color="auto" w:fill="auto"/>
            <w:noWrap/>
            <w:vAlign w:val="center"/>
          </w:tcPr>
          <w:p w14:paraId="17DDC11C">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continue"/>
            <w:shd w:val="clear" w:color="auto" w:fill="auto"/>
            <w:noWrap/>
            <w:vAlign w:val="center"/>
          </w:tcPr>
          <w:p w14:paraId="0228AD4C">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1272" w:type="dxa"/>
            <w:vMerge w:val="continue"/>
            <w:shd w:val="clear" w:color="auto" w:fill="auto"/>
            <w:noWrap/>
            <w:vAlign w:val="center"/>
          </w:tcPr>
          <w:p w14:paraId="2F71F03C">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5145" w:type="dxa"/>
            <w:shd w:val="clear" w:color="auto" w:fill="auto"/>
            <w:noWrap/>
            <w:vAlign w:val="center"/>
          </w:tcPr>
          <w:p w14:paraId="6C550A09">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平台所有流程需支持在移动端进行查看与处理；</w:t>
            </w:r>
          </w:p>
        </w:tc>
      </w:tr>
      <w:tr w14:paraId="58624F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8" w:hRule="atLeast"/>
        </w:trPr>
        <w:tc>
          <w:tcPr>
            <w:tcW w:w="694" w:type="dxa"/>
            <w:shd w:val="clear" w:color="auto" w:fill="auto"/>
            <w:noWrap/>
            <w:vAlign w:val="center"/>
          </w:tcPr>
          <w:p w14:paraId="2324BC3D">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continue"/>
            <w:shd w:val="clear" w:color="auto" w:fill="auto"/>
            <w:noWrap/>
            <w:vAlign w:val="center"/>
          </w:tcPr>
          <w:p w14:paraId="67547C81">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1272" w:type="dxa"/>
            <w:vMerge w:val="restart"/>
            <w:shd w:val="clear" w:color="auto" w:fill="auto"/>
            <w:noWrap/>
            <w:vAlign w:val="center"/>
          </w:tcPr>
          <w:p w14:paraId="215F690E">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平台监控与运营</w:t>
            </w:r>
          </w:p>
        </w:tc>
        <w:tc>
          <w:tcPr>
            <w:tcW w:w="5145" w:type="dxa"/>
            <w:shd w:val="clear" w:color="auto" w:fill="auto"/>
            <w:noWrap/>
            <w:vAlign w:val="center"/>
          </w:tcPr>
          <w:p w14:paraId="708521C9">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支持查看项目下的所有工作流列表，包括工作流名称、文件夹、责任人、任务树、状态、首次/最后提交时间等信息；</w:t>
            </w:r>
          </w:p>
        </w:tc>
      </w:tr>
      <w:tr w14:paraId="068017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282" w:hRule="atLeast"/>
        </w:trPr>
        <w:tc>
          <w:tcPr>
            <w:tcW w:w="694" w:type="dxa"/>
            <w:shd w:val="clear" w:color="auto" w:fill="auto"/>
            <w:noWrap/>
            <w:vAlign w:val="center"/>
          </w:tcPr>
          <w:p w14:paraId="62AE8C41">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continue"/>
            <w:shd w:val="clear" w:color="auto" w:fill="auto"/>
            <w:noWrap/>
            <w:vAlign w:val="center"/>
          </w:tcPr>
          <w:p w14:paraId="66A77A9E">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1272" w:type="dxa"/>
            <w:vMerge w:val="continue"/>
            <w:shd w:val="clear" w:color="auto" w:fill="auto"/>
            <w:noWrap/>
            <w:vAlign w:val="center"/>
          </w:tcPr>
          <w:p w14:paraId="41A842B2">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5145" w:type="dxa"/>
            <w:shd w:val="clear" w:color="auto" w:fill="auto"/>
            <w:noWrap/>
            <w:vAlign w:val="center"/>
          </w:tcPr>
          <w:p w14:paraId="2E562FE2">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支持搜索和展示任务所有渠道的告警信息，支持查看告警详情，包括基本信息和告警发送状态；</w:t>
            </w:r>
          </w:p>
        </w:tc>
      </w:tr>
      <w:tr w14:paraId="35541C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282" w:hRule="atLeast"/>
        </w:trPr>
        <w:tc>
          <w:tcPr>
            <w:tcW w:w="694" w:type="dxa"/>
            <w:shd w:val="clear" w:color="auto" w:fill="auto"/>
            <w:noWrap/>
            <w:vAlign w:val="center"/>
          </w:tcPr>
          <w:p w14:paraId="0E81C164">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continue"/>
            <w:shd w:val="clear" w:color="auto" w:fill="auto"/>
            <w:noWrap/>
            <w:vAlign w:val="center"/>
          </w:tcPr>
          <w:p w14:paraId="4F0791CE">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1272" w:type="dxa"/>
            <w:vMerge w:val="continue"/>
            <w:shd w:val="clear" w:color="auto" w:fill="auto"/>
            <w:noWrap/>
            <w:vAlign w:val="center"/>
          </w:tcPr>
          <w:p w14:paraId="644A3DB2">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5145" w:type="dxa"/>
            <w:shd w:val="clear" w:color="auto" w:fill="auto"/>
            <w:noWrap/>
            <w:vAlign w:val="center"/>
          </w:tcPr>
          <w:p w14:paraId="44A22E80">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支持按照工作流粒度进行运营操作，包括任务启动、停止、暂停、置成功、重跑、查看日志、DAG图、修改责任人、删除、工作流开发和补录数据等；</w:t>
            </w:r>
          </w:p>
        </w:tc>
      </w:tr>
      <w:tr w14:paraId="7FA0D0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2" w:hRule="atLeast"/>
        </w:trPr>
        <w:tc>
          <w:tcPr>
            <w:tcW w:w="694" w:type="dxa"/>
            <w:shd w:val="clear" w:color="auto" w:fill="auto"/>
            <w:noWrap/>
            <w:vAlign w:val="center"/>
          </w:tcPr>
          <w:p w14:paraId="3EC13028">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continue"/>
            <w:shd w:val="clear" w:color="auto" w:fill="auto"/>
            <w:noWrap/>
            <w:vAlign w:val="center"/>
          </w:tcPr>
          <w:p w14:paraId="147DEA63">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1272" w:type="dxa"/>
            <w:vMerge w:val="continue"/>
            <w:shd w:val="clear" w:color="auto" w:fill="auto"/>
            <w:noWrap/>
            <w:vAlign w:val="center"/>
          </w:tcPr>
          <w:p w14:paraId="593641ED">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5145" w:type="dxa"/>
            <w:shd w:val="clear" w:color="auto" w:fill="auto"/>
            <w:noWrap/>
            <w:vAlign w:val="center"/>
          </w:tcPr>
          <w:p w14:paraId="11BAF3F9">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需与我行统一监控平台进行对接打通，实现指标传递；</w:t>
            </w:r>
          </w:p>
        </w:tc>
      </w:tr>
      <w:tr w14:paraId="3699B1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282" w:hRule="atLeast"/>
        </w:trPr>
        <w:tc>
          <w:tcPr>
            <w:tcW w:w="694" w:type="dxa"/>
            <w:shd w:val="clear" w:color="auto" w:fill="auto"/>
            <w:noWrap/>
            <w:vAlign w:val="center"/>
          </w:tcPr>
          <w:p w14:paraId="208D4CE8">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continue"/>
            <w:shd w:val="clear" w:color="auto" w:fill="auto"/>
            <w:noWrap/>
            <w:vAlign w:val="center"/>
          </w:tcPr>
          <w:p w14:paraId="4121DAF3">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1272" w:type="dxa"/>
            <w:vMerge w:val="continue"/>
            <w:shd w:val="clear" w:color="auto" w:fill="auto"/>
            <w:noWrap/>
            <w:vAlign w:val="center"/>
          </w:tcPr>
          <w:p w14:paraId="491CBF5F">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5145" w:type="dxa"/>
            <w:shd w:val="clear" w:color="auto" w:fill="auto"/>
            <w:noWrap/>
            <w:vAlign w:val="center"/>
          </w:tcPr>
          <w:p w14:paraId="25851BAB">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支持上线时双人复核功能；</w:t>
            </w:r>
          </w:p>
        </w:tc>
      </w:tr>
      <w:tr w14:paraId="1D0702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282" w:hRule="atLeast"/>
        </w:trPr>
        <w:tc>
          <w:tcPr>
            <w:tcW w:w="694" w:type="dxa"/>
            <w:shd w:val="clear" w:color="auto" w:fill="auto"/>
            <w:noWrap/>
            <w:vAlign w:val="center"/>
          </w:tcPr>
          <w:p w14:paraId="58C95F88">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continue"/>
            <w:shd w:val="clear" w:color="auto" w:fill="auto"/>
            <w:noWrap/>
            <w:vAlign w:val="center"/>
          </w:tcPr>
          <w:p w14:paraId="7F0458B1">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1272" w:type="dxa"/>
            <w:vMerge w:val="continue"/>
            <w:shd w:val="clear" w:color="auto" w:fill="auto"/>
            <w:noWrap/>
            <w:vAlign w:val="center"/>
          </w:tcPr>
          <w:p w14:paraId="750FF8BC">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5145" w:type="dxa"/>
            <w:shd w:val="clear" w:color="auto" w:fill="auto"/>
            <w:noWrap/>
            <w:vAlign w:val="center"/>
          </w:tcPr>
          <w:p w14:paraId="6EE651E2">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支持任务列表可视化查询和多维度筛选，包括任务名称、工作流、文件夹、责任人、任务树、状态、首次/最后提交时间等；</w:t>
            </w:r>
          </w:p>
        </w:tc>
      </w:tr>
      <w:tr w14:paraId="3E975B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2" w:hRule="atLeast"/>
        </w:trPr>
        <w:tc>
          <w:tcPr>
            <w:tcW w:w="694" w:type="dxa"/>
            <w:shd w:val="clear" w:color="auto" w:fill="auto"/>
            <w:noWrap/>
            <w:vAlign w:val="center"/>
          </w:tcPr>
          <w:p w14:paraId="46AD3964">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continue"/>
            <w:shd w:val="clear" w:color="auto" w:fill="auto"/>
            <w:noWrap/>
            <w:vAlign w:val="center"/>
          </w:tcPr>
          <w:p w14:paraId="08A27F09">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1272" w:type="dxa"/>
            <w:vMerge w:val="continue"/>
            <w:shd w:val="clear" w:color="auto" w:fill="auto"/>
            <w:noWrap/>
            <w:vAlign w:val="center"/>
          </w:tcPr>
          <w:p w14:paraId="6CD7B514">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5145" w:type="dxa"/>
            <w:shd w:val="clear" w:color="auto" w:fill="auto"/>
            <w:noWrap/>
            <w:vAlign w:val="center"/>
          </w:tcPr>
          <w:p w14:paraId="68850097">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支持统一的平台系统服务预警、告警服务，包括监控配置、监控图表展示、时间筛选等功能，主机指标、组件服务指标、作业指标等多类型指标监控；如集群负载、服务状态、内存、CPU、IO、网络等情况；</w:t>
            </w:r>
          </w:p>
        </w:tc>
      </w:tr>
      <w:tr w14:paraId="32BF6A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2" w:hRule="atLeast"/>
        </w:trPr>
        <w:tc>
          <w:tcPr>
            <w:tcW w:w="694" w:type="dxa"/>
            <w:shd w:val="clear" w:color="auto" w:fill="auto"/>
            <w:noWrap/>
            <w:vAlign w:val="center"/>
          </w:tcPr>
          <w:p w14:paraId="58F06A52">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continue"/>
            <w:shd w:val="clear" w:color="auto" w:fill="auto"/>
            <w:noWrap/>
            <w:vAlign w:val="center"/>
          </w:tcPr>
          <w:p w14:paraId="3460E387">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1272" w:type="dxa"/>
            <w:vMerge w:val="restart"/>
            <w:shd w:val="clear" w:color="auto" w:fill="auto"/>
            <w:noWrap/>
            <w:vAlign w:val="center"/>
          </w:tcPr>
          <w:p w14:paraId="32BA0878">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数据管理</w:t>
            </w:r>
          </w:p>
        </w:tc>
        <w:tc>
          <w:tcPr>
            <w:tcW w:w="5145" w:type="dxa"/>
            <w:shd w:val="clear" w:color="auto" w:fill="auto"/>
            <w:noWrap/>
            <w:vAlign w:val="center"/>
          </w:tcPr>
          <w:p w14:paraId="3E874F19">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支持通过数据分级标准（如是否敏感数据、数据安全分级等）配置数据安全管控策略，包括展示样例数据、加密、表字段权限控制等；</w:t>
            </w:r>
          </w:p>
        </w:tc>
      </w:tr>
      <w:tr w14:paraId="334A5D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282" w:hRule="atLeast"/>
        </w:trPr>
        <w:tc>
          <w:tcPr>
            <w:tcW w:w="694" w:type="dxa"/>
            <w:shd w:val="clear" w:color="auto" w:fill="auto"/>
            <w:noWrap/>
            <w:vAlign w:val="center"/>
          </w:tcPr>
          <w:p w14:paraId="4B172793">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continue"/>
            <w:shd w:val="clear" w:color="auto" w:fill="auto"/>
            <w:noWrap/>
            <w:vAlign w:val="center"/>
          </w:tcPr>
          <w:p w14:paraId="249809F5">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1272" w:type="dxa"/>
            <w:vMerge w:val="continue"/>
            <w:shd w:val="clear" w:color="auto" w:fill="auto"/>
            <w:noWrap/>
            <w:vAlign w:val="center"/>
          </w:tcPr>
          <w:p w14:paraId="71F4A96C">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5145" w:type="dxa"/>
            <w:shd w:val="clear" w:color="auto" w:fill="auto"/>
            <w:noWrap/>
            <w:vAlign w:val="center"/>
          </w:tcPr>
          <w:p w14:paraId="320932E1">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针对敏感的数据项，产品需支持在资源查看或导出时对敏感数据进行脱敏，且可针对不同的敏感项设置不同的脱敏规则</w:t>
            </w:r>
            <w:r>
              <w:rPr>
                <w:rFonts w:hint="eastAsia" w:ascii="Times New Roman" w:hAnsi="Times New Roman" w:cs="Times New Roman"/>
                <w:i w:val="0"/>
                <w:iCs w:val="0"/>
                <w:color w:val="auto"/>
                <w:kern w:val="0"/>
                <w:sz w:val="21"/>
                <w:szCs w:val="21"/>
                <w:highlight w:val="none"/>
                <w:u w:val="none"/>
                <w:lang w:val="en-US" w:eastAsia="zh-CN" w:bidi="ar"/>
              </w:rPr>
              <w:t>；</w:t>
            </w:r>
          </w:p>
        </w:tc>
      </w:tr>
      <w:tr w14:paraId="01E857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2" w:hRule="atLeast"/>
        </w:trPr>
        <w:tc>
          <w:tcPr>
            <w:tcW w:w="694" w:type="dxa"/>
            <w:shd w:val="clear" w:color="auto" w:fill="auto"/>
            <w:noWrap/>
            <w:vAlign w:val="center"/>
          </w:tcPr>
          <w:p w14:paraId="2160B957">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continue"/>
            <w:shd w:val="clear" w:color="auto" w:fill="auto"/>
            <w:noWrap/>
            <w:vAlign w:val="center"/>
          </w:tcPr>
          <w:p w14:paraId="5B9FEE16">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1272" w:type="dxa"/>
            <w:vMerge w:val="continue"/>
            <w:shd w:val="clear" w:color="auto" w:fill="auto"/>
            <w:noWrap/>
            <w:vAlign w:val="center"/>
          </w:tcPr>
          <w:p w14:paraId="08A1246A">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5145" w:type="dxa"/>
            <w:shd w:val="clear" w:color="auto" w:fill="auto"/>
            <w:noWrap/>
            <w:vAlign w:val="center"/>
          </w:tcPr>
          <w:p w14:paraId="06C7312E">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具备完善的系统元数据、业务元数据、血缘关系的完整记录并支持可视化展示。如需将平台系统本身和接入的业务数据信息（库表、字段、关联关系）、任务信息（名称、</w:t>
            </w:r>
            <w:r>
              <w:rPr>
                <w:rFonts w:hint="eastAsia" w:ascii="Times New Roman" w:hAnsi="Times New Roman" w:cs="Times New Roman"/>
                <w:i w:val="0"/>
                <w:iCs w:val="0"/>
                <w:color w:val="auto"/>
                <w:kern w:val="0"/>
                <w:sz w:val="21"/>
                <w:szCs w:val="21"/>
                <w:highlight w:val="none"/>
                <w:u w:val="none"/>
                <w:lang w:val="en-US" w:eastAsia="zh-CN" w:bidi="ar"/>
              </w:rPr>
              <w:t>数量、</w:t>
            </w:r>
            <w:r>
              <w:rPr>
                <w:rFonts w:hint="default" w:ascii="Times New Roman" w:hAnsi="Times New Roman" w:eastAsia="宋体" w:cs="Times New Roman"/>
                <w:i w:val="0"/>
                <w:iCs w:val="0"/>
                <w:color w:val="auto"/>
                <w:kern w:val="0"/>
                <w:sz w:val="21"/>
                <w:szCs w:val="21"/>
                <w:highlight w:val="none"/>
                <w:u w:val="none"/>
                <w:lang w:val="en-US" w:eastAsia="zh-CN" w:bidi="ar"/>
              </w:rPr>
              <w:t>关联关系等）的落库详细记录</w:t>
            </w:r>
            <w:r>
              <w:rPr>
                <w:rFonts w:hint="eastAsia" w:ascii="Times New Roman" w:hAnsi="Times New Roman" w:cs="Times New Roman"/>
                <w:i w:val="0"/>
                <w:iCs w:val="0"/>
                <w:color w:val="auto"/>
                <w:kern w:val="0"/>
                <w:sz w:val="21"/>
                <w:szCs w:val="21"/>
                <w:highlight w:val="none"/>
                <w:u w:val="none"/>
                <w:lang w:val="en-US" w:eastAsia="zh-CN" w:bidi="ar"/>
              </w:rPr>
              <w:t>和展示</w:t>
            </w:r>
            <w:r>
              <w:rPr>
                <w:rFonts w:hint="default" w:ascii="Times New Roman" w:hAnsi="Times New Roman" w:eastAsia="宋体" w:cs="Times New Roman"/>
                <w:i w:val="0"/>
                <w:iCs w:val="0"/>
                <w:color w:val="auto"/>
                <w:kern w:val="0"/>
                <w:sz w:val="21"/>
                <w:szCs w:val="21"/>
                <w:highlight w:val="none"/>
                <w:u w:val="none"/>
                <w:lang w:val="en-US" w:eastAsia="zh-CN" w:bidi="ar"/>
              </w:rPr>
              <w:t>，以便于后续的应用；</w:t>
            </w:r>
          </w:p>
        </w:tc>
      </w:tr>
      <w:tr w14:paraId="5846C6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2" w:hRule="atLeast"/>
        </w:trPr>
        <w:tc>
          <w:tcPr>
            <w:tcW w:w="694" w:type="dxa"/>
            <w:shd w:val="clear" w:color="auto" w:fill="auto"/>
            <w:noWrap/>
            <w:vAlign w:val="center"/>
          </w:tcPr>
          <w:p w14:paraId="50583320">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continue"/>
            <w:shd w:val="clear" w:color="auto" w:fill="auto"/>
            <w:noWrap/>
            <w:vAlign w:val="center"/>
          </w:tcPr>
          <w:p w14:paraId="6C8FFEA9">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1272" w:type="dxa"/>
            <w:vMerge w:val="continue"/>
            <w:shd w:val="clear" w:color="auto" w:fill="auto"/>
            <w:noWrap/>
            <w:vAlign w:val="center"/>
          </w:tcPr>
          <w:p w14:paraId="10BE50B3">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5145" w:type="dxa"/>
            <w:shd w:val="clear" w:color="auto" w:fill="auto"/>
            <w:noWrap/>
            <w:vAlign w:val="center"/>
          </w:tcPr>
          <w:p w14:paraId="000CEB2D">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支持元数据检索。包括库表、用户角色信息、数据服务（API接口服务）、脚本任务等；如在元数据目录中搜索特定的元数据（例如，特定表的字段名）；</w:t>
            </w:r>
          </w:p>
        </w:tc>
      </w:tr>
      <w:tr w14:paraId="44349F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282" w:hRule="atLeast"/>
        </w:trPr>
        <w:tc>
          <w:tcPr>
            <w:tcW w:w="694" w:type="dxa"/>
            <w:shd w:val="clear" w:color="auto" w:fill="auto"/>
            <w:noWrap/>
            <w:vAlign w:val="center"/>
          </w:tcPr>
          <w:p w14:paraId="6EC98B2B">
            <w:pPr>
              <w:keepNext w:val="0"/>
              <w:keepLines w:val="0"/>
              <w:pageBreakBefore w:val="0"/>
              <w:widowControl/>
              <w:numPr>
                <w:ilvl w:val="0"/>
                <w:numId w:val="12"/>
              </w:numPr>
              <w:suppressLineNumbers w:val="0"/>
              <w:kinsoku/>
              <w:wordWrap/>
              <w:overflowPunct/>
              <w:topLinePunct w:val="0"/>
              <w:bidi w:val="0"/>
              <w:adjustRightInd/>
              <w:snapToGrid/>
              <w:spacing w:line="400" w:lineRule="exact"/>
              <w:ind w:left="454" w:leftChars="0" w:hanging="454" w:firstLineChars="0"/>
              <w:jc w:val="center"/>
              <w:textAlignment w:val="bottom"/>
              <w:rPr>
                <w:rFonts w:hint="default" w:ascii="Times New Roman" w:hAnsi="Times New Roman" w:eastAsia="宋体" w:cs="Times New Roman"/>
                <w:i w:val="0"/>
                <w:iCs w:val="0"/>
                <w:color w:val="auto"/>
                <w:sz w:val="21"/>
                <w:szCs w:val="21"/>
                <w:highlight w:val="none"/>
                <w:u w:val="none"/>
              </w:rPr>
            </w:pPr>
          </w:p>
        </w:tc>
        <w:tc>
          <w:tcPr>
            <w:tcW w:w="1312" w:type="dxa"/>
            <w:vMerge w:val="continue"/>
            <w:shd w:val="clear" w:color="auto" w:fill="auto"/>
            <w:noWrap/>
            <w:vAlign w:val="center"/>
          </w:tcPr>
          <w:p w14:paraId="735DB182">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1272" w:type="dxa"/>
            <w:vMerge w:val="continue"/>
            <w:shd w:val="clear" w:color="auto" w:fill="auto"/>
            <w:noWrap/>
            <w:vAlign w:val="center"/>
          </w:tcPr>
          <w:p w14:paraId="20B8E55C">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sz w:val="21"/>
                <w:szCs w:val="21"/>
                <w:highlight w:val="none"/>
                <w:u w:val="none"/>
              </w:rPr>
            </w:pPr>
          </w:p>
        </w:tc>
        <w:tc>
          <w:tcPr>
            <w:tcW w:w="5145" w:type="dxa"/>
            <w:shd w:val="clear" w:color="auto" w:fill="auto"/>
            <w:noWrap/>
            <w:vAlign w:val="center"/>
          </w:tcPr>
          <w:p w14:paraId="022C95E8">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支持码值重复值检查，例如对新增的码值先自动检查当前码值表中是否有重复的码值，如果有则需审批后才可插入；</w:t>
            </w:r>
          </w:p>
        </w:tc>
      </w:tr>
    </w:tbl>
    <w:p w14:paraId="4390C496">
      <w:pPr>
        <w:pStyle w:val="4"/>
        <w:keepNext w:val="0"/>
        <w:keepLines w:val="0"/>
        <w:pageBreakBefore w:val="0"/>
        <w:widowControl w:val="0"/>
        <w:numPr>
          <w:ilvl w:val="1"/>
          <w:numId w:val="2"/>
        </w:numPr>
        <w:kinsoku/>
        <w:wordWrap/>
        <w:overflowPunct/>
        <w:topLinePunct w:val="0"/>
        <w:autoSpaceDE w:val="0"/>
        <w:autoSpaceDN w:val="0"/>
        <w:bidi w:val="0"/>
        <w:adjustRightInd/>
        <w:snapToGrid/>
        <w:ind w:left="0" w:leftChars="0" w:firstLine="482" w:firstLineChars="200"/>
        <w:textAlignment w:val="auto"/>
        <w:outlineLvl w:val="2"/>
        <w:rPr>
          <w:rFonts w:hint="default" w:ascii="Times New Roman" w:hAnsi="Times New Roman" w:cs="Times New Roman"/>
          <w:color w:val="auto"/>
          <w:highlight w:val="none"/>
          <w:lang w:val="en-US" w:eastAsia="zh-CN"/>
        </w:rPr>
      </w:pPr>
      <w:bookmarkStart w:id="51" w:name="_Toc603"/>
      <w:r>
        <w:rPr>
          <w:rFonts w:hint="eastAsia" w:ascii="Times New Roman" w:hAnsi="Times New Roman" w:cs="Times New Roman"/>
          <w:color w:val="auto"/>
          <w:highlight w:val="none"/>
          <w:lang w:val="en-US" w:eastAsia="zh-CN"/>
        </w:rPr>
        <w:t xml:space="preserve"> 项目</w:t>
      </w:r>
      <w:r>
        <w:rPr>
          <w:rFonts w:hint="default" w:ascii="Times New Roman" w:hAnsi="Times New Roman" w:cs="Times New Roman"/>
          <w:color w:val="auto"/>
          <w:highlight w:val="none"/>
          <w:lang w:val="en-US" w:eastAsia="zh-CN"/>
        </w:rPr>
        <w:t>实施</w:t>
      </w:r>
      <w:r>
        <w:rPr>
          <w:rFonts w:hint="eastAsia" w:ascii="Times New Roman" w:hAnsi="Times New Roman" w:cs="Times New Roman"/>
          <w:color w:val="auto"/>
          <w:highlight w:val="none"/>
          <w:lang w:val="en-US" w:eastAsia="zh-CN"/>
        </w:rPr>
        <w:t>和</w:t>
      </w:r>
      <w:r>
        <w:rPr>
          <w:rFonts w:hint="default" w:ascii="Times New Roman" w:hAnsi="Times New Roman" w:cs="Times New Roman"/>
          <w:color w:val="auto"/>
          <w:highlight w:val="none"/>
          <w:lang w:val="en-US" w:eastAsia="zh-CN"/>
        </w:rPr>
        <w:t>迁移</w:t>
      </w:r>
    </w:p>
    <w:p w14:paraId="79A1A72B">
      <w:pPr>
        <w:adjustRightInd w:val="0"/>
        <w:snapToGrid/>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参选人需</w:t>
      </w:r>
      <w:r>
        <w:rPr>
          <w:rFonts w:hint="default" w:ascii="Times New Roman" w:hAnsi="Times New Roman" w:cs="Times New Roman"/>
          <w:color w:val="auto"/>
          <w:highlight w:val="none"/>
        </w:rPr>
        <w:t>结合</w:t>
      </w:r>
      <w:r>
        <w:rPr>
          <w:rFonts w:hint="default" w:ascii="Times New Roman" w:hAnsi="Times New Roman" w:cs="Times New Roman"/>
          <w:color w:val="auto"/>
          <w:highlight w:val="none"/>
          <w:lang w:val="en-US" w:eastAsia="zh-CN"/>
        </w:rPr>
        <w:t>比选人</w:t>
      </w:r>
      <w:r>
        <w:rPr>
          <w:rFonts w:hint="default" w:ascii="Times New Roman" w:hAnsi="Times New Roman" w:cs="Times New Roman"/>
          <w:color w:val="auto"/>
          <w:highlight w:val="none"/>
        </w:rPr>
        <w:t>IT规划和</w:t>
      </w:r>
      <w:r>
        <w:rPr>
          <w:rFonts w:hint="default" w:ascii="Times New Roman" w:hAnsi="Times New Roman" w:cs="Times New Roman"/>
          <w:color w:val="auto"/>
          <w:highlight w:val="none"/>
          <w:lang w:val="en-US" w:eastAsia="zh-CN"/>
        </w:rPr>
        <w:t>未来业务发展需要</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在完成湖仓一体底座和数据作业平台的部署与集成后，在此基础上</w:t>
      </w:r>
      <w:r>
        <w:rPr>
          <w:rFonts w:hint="default" w:ascii="Times New Roman" w:hAnsi="Times New Roman" w:cs="Times New Roman"/>
          <w:color w:val="auto"/>
          <w:highlight w:val="none"/>
        </w:rPr>
        <w:t>将现有数据仓库、大数据平台</w:t>
      </w:r>
      <w:r>
        <w:rPr>
          <w:rFonts w:hint="default" w:ascii="Times New Roman" w:hAnsi="Times New Roman" w:cs="Times New Roman"/>
          <w:color w:val="auto"/>
          <w:highlight w:val="none"/>
          <w:lang w:val="en-US" w:eastAsia="zh-CN"/>
        </w:rPr>
        <w:t>的各类数据、模型、应用和服</w:t>
      </w:r>
      <w:r>
        <w:rPr>
          <w:rFonts w:hint="default" w:ascii="Times New Roman" w:hAnsi="Times New Roman" w:cs="Times New Roman"/>
          <w:color w:val="auto"/>
          <w:highlight w:val="none"/>
        </w:rPr>
        <w:t>务</w:t>
      </w:r>
      <w:r>
        <w:rPr>
          <w:rFonts w:hint="default" w:ascii="Times New Roman" w:hAnsi="Times New Roman" w:cs="Times New Roman"/>
          <w:color w:val="auto"/>
          <w:highlight w:val="none"/>
          <w:lang w:val="en-US" w:eastAsia="zh-CN"/>
        </w:rPr>
        <w:t>等</w:t>
      </w:r>
      <w:r>
        <w:rPr>
          <w:rFonts w:hint="default" w:ascii="Times New Roman" w:hAnsi="Times New Roman" w:cs="Times New Roman"/>
          <w:color w:val="auto"/>
          <w:highlight w:val="none"/>
        </w:rPr>
        <w:t>进行迁移</w:t>
      </w:r>
      <w:r>
        <w:rPr>
          <w:rFonts w:hint="default" w:ascii="Times New Roman" w:hAnsi="Times New Roman" w:cs="Times New Roman"/>
          <w:color w:val="auto"/>
          <w:highlight w:val="none"/>
          <w:lang w:val="en-US" w:eastAsia="zh-CN"/>
        </w:rPr>
        <w:t>并按照新架构进行重构改造</w:t>
      </w:r>
      <w:r>
        <w:rPr>
          <w:rFonts w:hint="default" w:ascii="Times New Roman" w:hAnsi="Times New Roman" w:cs="Times New Roman"/>
          <w:color w:val="auto"/>
          <w:highlight w:val="none"/>
        </w:rPr>
        <w:t>，保障整个数据平台业务的连续</w:t>
      </w:r>
      <w:r>
        <w:rPr>
          <w:rFonts w:hint="default" w:ascii="Times New Roman" w:hAnsi="Times New Roman" w:cs="Times New Roman"/>
          <w:color w:val="auto"/>
          <w:highlight w:val="none"/>
          <w:lang w:val="en-US" w:eastAsia="zh-CN"/>
        </w:rPr>
        <w:t>性和服务切换的平滑性</w:t>
      </w:r>
      <w:r>
        <w:rPr>
          <w:rFonts w:hint="default" w:ascii="Times New Roman" w:hAnsi="Times New Roman" w:cs="Times New Roman"/>
          <w:color w:val="auto"/>
          <w:highlight w:val="none"/>
          <w:lang w:eastAsia="zh-CN"/>
        </w:rPr>
        <w:t>。</w:t>
      </w:r>
    </w:p>
    <w:p w14:paraId="0596E8E8">
      <w:pPr>
        <w:pStyle w:val="5"/>
        <w:keepNext w:val="0"/>
        <w:keepLines w:val="0"/>
        <w:pageBreakBefore w:val="0"/>
        <w:widowControl w:val="0"/>
        <w:numPr>
          <w:ilvl w:val="2"/>
          <w:numId w:val="2"/>
        </w:numPr>
        <w:kinsoku/>
        <w:wordWrap/>
        <w:overflowPunct/>
        <w:topLinePunct w:val="0"/>
        <w:autoSpaceDE w:val="0"/>
        <w:autoSpaceDN w:val="0"/>
        <w:bidi w:val="0"/>
        <w:adjustRightInd/>
        <w:snapToGrid/>
        <w:ind w:left="0" w:leftChars="0" w:firstLine="482" w:firstLineChars="200"/>
        <w:textAlignment w:val="auto"/>
        <w:outlineLvl w:val="3"/>
        <w:rPr>
          <w:rFonts w:hint="eastAsia" w:ascii="Times New Roman" w:hAnsi="Times New Roman" w:cs="Times New Roman"/>
          <w:b/>
          <w:bCs w:val="0"/>
          <w:color w:val="auto"/>
          <w:highlight w:val="none"/>
          <w:lang w:val="en-US" w:eastAsia="zh-CN"/>
        </w:rPr>
      </w:pPr>
      <w:r>
        <w:rPr>
          <w:rFonts w:hint="eastAsia" w:ascii="Times New Roman" w:hAnsi="Times New Roman" w:cs="Times New Roman"/>
          <w:b/>
          <w:bCs w:val="0"/>
          <w:color w:val="auto"/>
          <w:highlight w:val="none"/>
          <w:lang w:val="en-US" w:eastAsia="zh-CN"/>
        </w:rPr>
        <w:t xml:space="preserve"> 数据标准化建设</w:t>
      </w:r>
    </w:p>
    <w:p w14:paraId="595F52A9">
      <w:pPr>
        <w:keepNext w:val="0"/>
        <w:keepLines w:val="0"/>
        <w:widowControl/>
        <w:suppressLineNumbers w:val="0"/>
        <w:jc w:val="left"/>
        <w:rPr>
          <w:rFonts w:hint="eastAsia" w:ascii="Times New Roman" w:hAnsi="Times New Roman" w:cs="Times New Roman"/>
          <w:color w:val="auto"/>
          <w:highlight w:val="none"/>
          <w:lang w:val="en-US" w:eastAsia="zh-CN"/>
        </w:rPr>
      </w:pPr>
      <w:r>
        <w:rPr>
          <w:rFonts w:hint="default" w:ascii="Times New Roman" w:hAnsi="Times New Roman" w:cs="Times New Roman"/>
          <w:color w:val="auto"/>
          <w:szCs w:val="24"/>
          <w:highlight w:val="none"/>
          <w:lang w:val="en-US" w:eastAsia="zh-CN"/>
        </w:rPr>
        <w:t>为确保实施过程中的数据质量和一致性，</w:t>
      </w:r>
      <w:r>
        <w:rPr>
          <w:rFonts w:hint="eastAsia" w:ascii="Times New Roman" w:hAnsi="Times New Roman" w:cs="Times New Roman"/>
          <w:color w:val="auto"/>
          <w:szCs w:val="24"/>
          <w:highlight w:val="none"/>
          <w:lang w:val="en-US" w:eastAsia="zh-CN"/>
        </w:rPr>
        <w:t>切实做到“标准先行”，</w:t>
      </w:r>
      <w:r>
        <w:rPr>
          <w:rFonts w:hint="default" w:ascii="Times New Roman" w:hAnsi="Times New Roman" w:cs="Times New Roman"/>
          <w:color w:val="auto"/>
          <w:highlight w:val="none"/>
          <w:lang w:val="en-US" w:eastAsia="zh-CN"/>
        </w:rPr>
        <w:t>参选人</w:t>
      </w:r>
      <w:r>
        <w:rPr>
          <w:rFonts w:hint="eastAsia" w:ascii="Times New Roman" w:hAnsi="Times New Roman" w:cs="Times New Roman"/>
          <w:color w:val="auto"/>
          <w:highlight w:val="none"/>
          <w:lang w:val="en-US" w:eastAsia="zh-CN"/>
        </w:rPr>
        <w:t>需根据比选人当前数据治理相关工作情况，结合行业最佳实践，为比选人完善数据治理工作方案，并在实施过程中严格按照方案进行落地。具体要求包括但不限于：</w:t>
      </w:r>
    </w:p>
    <w:p w14:paraId="10ECF50A">
      <w:pPr>
        <w:keepNext w:val="0"/>
        <w:keepLines w:val="0"/>
        <w:widowControl/>
        <w:suppressLineNumbers w:val="0"/>
        <w:jc w:val="left"/>
        <w:rPr>
          <w:rFonts w:hint="default" w:ascii="Times New Roman" w:hAnsi="Times New Roman" w:cs="Times New Roman"/>
          <w:color w:val="auto"/>
          <w:szCs w:val="24"/>
          <w:highlight w:val="none"/>
          <w:lang w:val="en-US" w:eastAsia="zh-CN"/>
        </w:rPr>
      </w:pPr>
      <w:r>
        <w:rPr>
          <w:rFonts w:hint="eastAsia" w:ascii="Times New Roman" w:hAnsi="Times New Roman" w:cs="Times New Roman"/>
          <w:color w:val="auto"/>
          <w:szCs w:val="24"/>
          <w:highlight w:val="none"/>
          <w:lang w:val="en-US" w:eastAsia="zh-CN"/>
        </w:rPr>
        <w:t>（1）需提供一整套行业通用的数据标准，包括但不限于码值标准、词根标准、命名标准、元数据标准、指标标准等，并按照比选人实际情况对标准进行适配，形成一套适合比选人的数据标准并进行落地，且要求实施完成后标准层及以上</w:t>
      </w:r>
      <w:r>
        <w:rPr>
          <w:rFonts w:hint="default" w:ascii="Times New Roman" w:hAnsi="Times New Roman" w:cs="Times New Roman"/>
          <w:color w:val="auto"/>
          <w:szCs w:val="24"/>
          <w:highlight w:val="none"/>
          <w:lang w:val="en-US" w:eastAsia="zh-CN"/>
        </w:rPr>
        <w:t>落标率不得低于98%</w:t>
      </w:r>
      <w:r>
        <w:rPr>
          <w:rFonts w:hint="eastAsia" w:ascii="Times New Roman" w:hAnsi="Times New Roman" w:cs="Times New Roman"/>
          <w:color w:val="auto"/>
          <w:szCs w:val="24"/>
          <w:highlight w:val="none"/>
          <w:lang w:val="en-US" w:eastAsia="zh-CN"/>
        </w:rPr>
        <w:t>；</w:t>
      </w:r>
    </w:p>
    <w:p w14:paraId="4F1BE504">
      <w:pPr>
        <w:keepNext w:val="0"/>
        <w:keepLines w:val="0"/>
        <w:widowControl/>
        <w:suppressLineNumbers w:val="0"/>
        <w:jc w:val="left"/>
        <w:rPr>
          <w:rFonts w:hint="default" w:ascii="Times New Roman" w:hAnsi="Times New Roman" w:cs="Times New Roman"/>
          <w:color w:val="auto"/>
          <w:szCs w:val="24"/>
          <w:highlight w:val="none"/>
          <w:lang w:val="en-US" w:eastAsia="zh-CN"/>
        </w:rPr>
      </w:pPr>
      <w:r>
        <w:rPr>
          <w:rFonts w:hint="eastAsia" w:ascii="Times New Roman" w:hAnsi="Times New Roman" w:cs="Times New Roman"/>
          <w:color w:val="auto"/>
          <w:szCs w:val="24"/>
          <w:highlight w:val="none"/>
          <w:lang w:val="en-US" w:eastAsia="zh-CN"/>
        </w:rPr>
        <w:t>（2）参选人需根据行业最佳实践，考虑新一代数据中台技术架构特点，为比选人形成一套完善的数据质量检核规则，并落实检核工作，且数据质量</w:t>
      </w:r>
      <w:r>
        <w:rPr>
          <w:rFonts w:hint="default" w:ascii="Times New Roman" w:hAnsi="Times New Roman" w:cs="Times New Roman"/>
          <w:color w:val="auto"/>
          <w:szCs w:val="24"/>
          <w:highlight w:val="none"/>
          <w:lang w:val="en-US" w:eastAsia="zh-CN"/>
        </w:rPr>
        <w:t>检核</w:t>
      </w:r>
      <w:r>
        <w:rPr>
          <w:rFonts w:hint="eastAsia" w:ascii="Times New Roman" w:hAnsi="Times New Roman" w:cs="Times New Roman"/>
          <w:color w:val="auto"/>
          <w:szCs w:val="24"/>
          <w:highlight w:val="none"/>
          <w:lang w:val="en-US" w:eastAsia="zh-CN"/>
        </w:rPr>
        <w:t>通过率不得低于98%（因客观、外部原因无法解决的仅进行记录但不纳入通过率计算范围）；</w:t>
      </w:r>
    </w:p>
    <w:p w14:paraId="1A6C732E">
      <w:pPr>
        <w:keepNext w:val="0"/>
        <w:keepLines w:val="0"/>
        <w:widowControl/>
        <w:suppressLineNumbers w:val="0"/>
        <w:jc w:val="left"/>
        <w:rPr>
          <w:rFonts w:hint="default" w:ascii="Times New Roman" w:hAnsi="Times New Roman" w:cs="Times New Roman"/>
          <w:color w:val="auto"/>
          <w:szCs w:val="24"/>
          <w:highlight w:val="none"/>
          <w:lang w:val="en-US" w:eastAsia="zh-CN"/>
        </w:rPr>
      </w:pPr>
      <w:r>
        <w:rPr>
          <w:rFonts w:hint="eastAsia" w:ascii="Times New Roman" w:hAnsi="Times New Roman" w:cs="Times New Roman"/>
          <w:color w:val="auto"/>
          <w:szCs w:val="24"/>
          <w:highlight w:val="none"/>
          <w:lang w:val="en-US" w:eastAsia="zh-CN"/>
        </w:rPr>
        <w:t>（3）充分借鉴行业数据安全管控的最佳实践，结合法律法规、监管要求、国家标准和行业标准，并按照比选人实际情况和要求，制定</w:t>
      </w:r>
      <w:r>
        <w:rPr>
          <w:rFonts w:hint="default" w:ascii="Times New Roman" w:hAnsi="Times New Roman" w:cs="Times New Roman"/>
          <w:color w:val="auto"/>
          <w:szCs w:val="24"/>
          <w:highlight w:val="none"/>
          <w:lang w:val="en-US" w:eastAsia="zh-CN"/>
        </w:rPr>
        <w:t>数据建设全流程的数据安全管控</w:t>
      </w:r>
      <w:r>
        <w:rPr>
          <w:rFonts w:hint="eastAsia" w:ascii="Times New Roman" w:hAnsi="Times New Roman" w:cs="Times New Roman"/>
          <w:color w:val="auto"/>
          <w:szCs w:val="24"/>
          <w:highlight w:val="none"/>
          <w:lang w:val="en-US" w:eastAsia="zh-CN"/>
        </w:rPr>
        <w:t>方案。在实施过程中应严格遵守数据安全管控方案，</w:t>
      </w:r>
      <w:r>
        <w:rPr>
          <w:rFonts w:hint="default" w:ascii="Times New Roman" w:hAnsi="Times New Roman" w:cs="Times New Roman"/>
          <w:color w:val="auto"/>
          <w:szCs w:val="24"/>
          <w:highlight w:val="none"/>
          <w:lang w:val="en-US" w:eastAsia="zh-CN"/>
        </w:rPr>
        <w:t>满足</w:t>
      </w:r>
      <w:r>
        <w:rPr>
          <w:rFonts w:hint="eastAsia" w:ascii="Times New Roman" w:hAnsi="Times New Roman" w:cs="Times New Roman"/>
          <w:color w:val="auto"/>
          <w:szCs w:val="24"/>
          <w:highlight w:val="none"/>
          <w:lang w:val="en-US" w:eastAsia="zh-CN"/>
        </w:rPr>
        <w:t>数据采集到应用</w:t>
      </w:r>
      <w:r>
        <w:rPr>
          <w:rFonts w:hint="default" w:ascii="Times New Roman" w:hAnsi="Times New Roman" w:cs="Times New Roman"/>
          <w:color w:val="auto"/>
          <w:szCs w:val="24"/>
          <w:highlight w:val="none"/>
          <w:lang w:val="en-US" w:eastAsia="zh-CN"/>
        </w:rPr>
        <w:t>全流程的数据安全管控</w:t>
      </w:r>
      <w:r>
        <w:rPr>
          <w:rFonts w:hint="eastAsia" w:ascii="Times New Roman" w:hAnsi="Times New Roman" w:cs="Times New Roman"/>
          <w:color w:val="auto"/>
          <w:szCs w:val="24"/>
          <w:highlight w:val="none"/>
          <w:lang w:val="en-US" w:eastAsia="zh-CN"/>
        </w:rPr>
        <w:t>要求</w:t>
      </w:r>
      <w:r>
        <w:rPr>
          <w:rFonts w:hint="default" w:ascii="Times New Roman" w:hAnsi="Times New Roman" w:cs="Times New Roman"/>
          <w:color w:val="auto"/>
          <w:szCs w:val="24"/>
          <w:highlight w:val="none"/>
          <w:lang w:val="en-US" w:eastAsia="zh-CN"/>
        </w:rPr>
        <w:t>；</w:t>
      </w:r>
    </w:p>
    <w:p w14:paraId="6B66AE66">
      <w:pPr>
        <w:keepNext w:val="0"/>
        <w:keepLines w:val="0"/>
        <w:widowControl/>
        <w:suppressLineNumbers w:val="0"/>
        <w:jc w:val="left"/>
        <w:rPr>
          <w:rFonts w:hint="default" w:ascii="Times New Roman" w:hAnsi="Times New Roman" w:cs="Times New Roman"/>
          <w:color w:val="auto"/>
          <w:szCs w:val="24"/>
          <w:highlight w:val="none"/>
          <w:lang w:val="en-US" w:eastAsia="zh-CN"/>
        </w:rPr>
      </w:pPr>
      <w:r>
        <w:rPr>
          <w:rFonts w:hint="eastAsia" w:ascii="Times New Roman" w:hAnsi="Times New Roman" w:cs="Times New Roman"/>
          <w:color w:val="auto"/>
          <w:szCs w:val="24"/>
          <w:highlight w:val="none"/>
          <w:lang w:val="en-US" w:eastAsia="zh-CN"/>
        </w:rPr>
        <w:t>（4）</w:t>
      </w:r>
      <w:r>
        <w:rPr>
          <w:rFonts w:hint="default" w:ascii="Times New Roman" w:hAnsi="Times New Roman" w:cs="Times New Roman"/>
          <w:color w:val="auto"/>
          <w:szCs w:val="24"/>
          <w:highlight w:val="none"/>
          <w:lang w:val="en-US" w:eastAsia="zh-CN"/>
        </w:rPr>
        <w:t>构建常用词根表和码表，在不同层级和维度上保持数据的统一和连贯，具有相同含义的字段如客户名称、客户号等，在不同的表中命名必须相同；</w:t>
      </w:r>
    </w:p>
    <w:p w14:paraId="41DDA3B9">
      <w:pPr>
        <w:keepNext w:val="0"/>
        <w:keepLines w:val="0"/>
        <w:widowControl/>
        <w:suppressLineNumbers w:val="0"/>
        <w:jc w:val="left"/>
        <w:rPr>
          <w:rFonts w:hint="default" w:ascii="Times New Roman" w:hAnsi="Times New Roman" w:cs="Times New Roman"/>
          <w:color w:val="auto"/>
          <w:szCs w:val="24"/>
          <w:highlight w:val="none"/>
          <w:lang w:val="en-US" w:eastAsia="zh-CN"/>
        </w:rPr>
      </w:pPr>
      <w:r>
        <w:rPr>
          <w:rFonts w:hint="eastAsia" w:ascii="Times New Roman" w:hAnsi="Times New Roman" w:cs="Times New Roman"/>
          <w:color w:val="auto"/>
          <w:szCs w:val="24"/>
          <w:highlight w:val="none"/>
          <w:lang w:val="en-US" w:eastAsia="zh-CN"/>
        </w:rPr>
        <w:t>（5）参选人在实施过程中需全量收集各类数据信息，包括但不限于行内数据库表及表结构信息、行内外接口信息等，形成体系化的数据清单。</w:t>
      </w:r>
    </w:p>
    <w:p w14:paraId="33727615">
      <w:pPr>
        <w:pStyle w:val="5"/>
        <w:keepNext w:val="0"/>
        <w:keepLines w:val="0"/>
        <w:pageBreakBefore w:val="0"/>
        <w:widowControl w:val="0"/>
        <w:numPr>
          <w:ilvl w:val="2"/>
          <w:numId w:val="2"/>
        </w:numPr>
        <w:kinsoku/>
        <w:wordWrap/>
        <w:overflowPunct/>
        <w:topLinePunct w:val="0"/>
        <w:autoSpaceDE w:val="0"/>
        <w:autoSpaceDN w:val="0"/>
        <w:bidi w:val="0"/>
        <w:adjustRightInd/>
        <w:snapToGrid/>
        <w:ind w:left="0" w:leftChars="0" w:firstLine="482" w:firstLineChars="200"/>
        <w:textAlignment w:val="auto"/>
        <w:outlineLvl w:val="3"/>
        <w:rPr>
          <w:rFonts w:hint="default" w:ascii="Times New Roman" w:hAnsi="Times New Roman" w:cs="Times New Roman"/>
          <w:b/>
          <w:bCs w:val="0"/>
          <w:color w:val="auto"/>
          <w:highlight w:val="none"/>
          <w:lang w:val="en-US" w:eastAsia="zh-CN"/>
        </w:rPr>
      </w:pPr>
      <w:r>
        <w:rPr>
          <w:rFonts w:hint="default" w:ascii="Times New Roman" w:hAnsi="Times New Roman" w:cs="Times New Roman"/>
          <w:b/>
          <w:bCs w:val="0"/>
          <w:color w:val="auto"/>
          <w:highlight w:val="none"/>
          <w:lang w:val="en-US" w:eastAsia="zh-CN"/>
        </w:rPr>
        <w:t xml:space="preserve"> 数据采集</w:t>
      </w:r>
      <w:r>
        <w:rPr>
          <w:rFonts w:hint="eastAsia" w:ascii="Times New Roman" w:hAnsi="Times New Roman" w:cs="Times New Roman"/>
          <w:b/>
          <w:bCs w:val="0"/>
          <w:color w:val="auto"/>
          <w:highlight w:val="none"/>
          <w:lang w:val="en-US" w:eastAsia="zh-CN"/>
        </w:rPr>
        <w:t>版块</w:t>
      </w:r>
      <w:r>
        <w:rPr>
          <w:rFonts w:hint="default" w:ascii="Times New Roman" w:hAnsi="Times New Roman" w:cs="Times New Roman"/>
          <w:b/>
          <w:bCs w:val="0"/>
          <w:color w:val="auto"/>
          <w:highlight w:val="none"/>
          <w:lang w:val="en-US" w:eastAsia="zh-CN"/>
        </w:rPr>
        <w:t>建设</w:t>
      </w:r>
    </w:p>
    <w:p w14:paraId="1DB0A9AC">
      <w:pPr>
        <w:keepNext w:val="0"/>
        <w:keepLines w:val="0"/>
        <w:widowControl/>
        <w:suppressLineNumbers w:val="0"/>
        <w:jc w:val="left"/>
        <w:rPr>
          <w:rFonts w:hint="default" w:ascii="Times New Roman" w:hAnsi="Times New Roman" w:cs="Times New Roman"/>
          <w:color w:val="auto"/>
          <w:szCs w:val="24"/>
          <w:highlight w:val="none"/>
          <w:lang w:val="en-US" w:eastAsia="zh-CN"/>
        </w:rPr>
      </w:pPr>
      <w:r>
        <w:rPr>
          <w:rFonts w:hint="default" w:ascii="Times New Roman" w:hAnsi="Times New Roman" w:cs="Times New Roman"/>
          <w:color w:val="auto"/>
          <w:szCs w:val="24"/>
          <w:highlight w:val="none"/>
          <w:lang w:val="en-US" w:eastAsia="zh-CN"/>
        </w:rPr>
        <w:t>参选人需使用新建的数据作业平台设计批量和实时采集任务，采集行内和行外各类型数据，</w:t>
      </w:r>
      <w:r>
        <w:rPr>
          <w:rFonts w:hint="default" w:ascii="Times New Roman" w:hAnsi="Times New Roman" w:cs="Times New Roman"/>
          <w:color w:val="auto"/>
          <w:szCs w:val="24"/>
          <w:highlight w:val="none"/>
          <w:lang w:val="zh-CN"/>
        </w:rPr>
        <w:t>对</w:t>
      </w:r>
      <w:r>
        <w:rPr>
          <w:rFonts w:hint="default" w:ascii="Times New Roman" w:hAnsi="Times New Roman" w:cs="Times New Roman"/>
          <w:color w:val="auto"/>
          <w:szCs w:val="24"/>
          <w:highlight w:val="none"/>
        </w:rPr>
        <w:t>行内外</w:t>
      </w:r>
      <w:r>
        <w:rPr>
          <w:rFonts w:hint="default" w:ascii="Times New Roman" w:hAnsi="Times New Roman" w:cs="Times New Roman"/>
          <w:color w:val="auto"/>
          <w:szCs w:val="24"/>
          <w:highlight w:val="none"/>
          <w:lang w:val="zh-CN"/>
        </w:rPr>
        <w:t>数据进行统一存储。</w:t>
      </w:r>
      <w:r>
        <w:rPr>
          <w:rFonts w:hint="default" w:ascii="Times New Roman" w:hAnsi="Times New Roman" w:cs="Times New Roman"/>
          <w:color w:val="auto"/>
          <w:szCs w:val="24"/>
          <w:highlight w:val="none"/>
        </w:rPr>
        <w:t>行内数据</w:t>
      </w:r>
      <w:r>
        <w:rPr>
          <w:rFonts w:hint="default" w:ascii="Times New Roman" w:hAnsi="Times New Roman" w:cs="Times New Roman"/>
          <w:color w:val="auto"/>
          <w:szCs w:val="24"/>
          <w:highlight w:val="none"/>
          <w:lang w:val="en-US" w:eastAsia="zh-CN"/>
        </w:rPr>
        <w:t>包括但不限于</w:t>
      </w:r>
      <w:r>
        <w:rPr>
          <w:rFonts w:hint="default" w:ascii="Times New Roman" w:hAnsi="Times New Roman" w:cs="Times New Roman"/>
          <w:color w:val="auto"/>
          <w:szCs w:val="24"/>
          <w:highlight w:val="none"/>
        </w:rPr>
        <w:t>如存款、贷款、渠道等业务系统数据</w:t>
      </w:r>
      <w:r>
        <w:rPr>
          <w:rFonts w:hint="default" w:ascii="Times New Roman" w:hAnsi="Times New Roman" w:cs="Times New Roman"/>
          <w:color w:val="auto"/>
          <w:szCs w:val="24"/>
          <w:highlight w:val="none"/>
          <w:lang w:val="zh-CN"/>
        </w:rPr>
        <w:t>，</w:t>
      </w:r>
      <w:r>
        <w:rPr>
          <w:rFonts w:hint="default" w:ascii="Times New Roman" w:hAnsi="Times New Roman" w:cs="Times New Roman"/>
          <w:color w:val="auto"/>
          <w:szCs w:val="24"/>
          <w:highlight w:val="none"/>
          <w:lang w:val="en-US" w:eastAsia="zh-CN"/>
        </w:rPr>
        <w:t>含</w:t>
      </w:r>
      <w:r>
        <w:rPr>
          <w:rFonts w:hint="default" w:ascii="Times New Roman" w:hAnsi="Times New Roman" w:cs="Times New Roman"/>
          <w:color w:val="auto"/>
          <w:szCs w:val="24"/>
          <w:highlight w:val="none"/>
        </w:rPr>
        <w:t>实时数据和日间批量数据</w:t>
      </w:r>
      <w:r>
        <w:rPr>
          <w:rFonts w:hint="default" w:ascii="Times New Roman" w:hAnsi="Times New Roman" w:cs="Times New Roman"/>
          <w:color w:val="auto"/>
          <w:szCs w:val="24"/>
          <w:highlight w:val="none"/>
          <w:lang w:eastAsia="zh-CN"/>
        </w:rPr>
        <w:t>；</w:t>
      </w:r>
      <w:r>
        <w:rPr>
          <w:rFonts w:hint="default" w:ascii="Times New Roman" w:hAnsi="Times New Roman" w:cs="Times New Roman"/>
          <w:color w:val="auto"/>
          <w:szCs w:val="24"/>
          <w:highlight w:val="none"/>
        </w:rPr>
        <w:t>行外数据</w:t>
      </w:r>
      <w:r>
        <w:rPr>
          <w:rFonts w:hint="default" w:ascii="Times New Roman" w:hAnsi="Times New Roman" w:cs="Times New Roman"/>
          <w:color w:val="auto"/>
          <w:szCs w:val="24"/>
          <w:highlight w:val="none"/>
          <w:lang w:val="en-US" w:eastAsia="zh-CN"/>
        </w:rPr>
        <w:t>包括但不限于</w:t>
      </w:r>
      <w:r>
        <w:rPr>
          <w:rFonts w:hint="default" w:ascii="Times New Roman" w:hAnsi="Times New Roman" w:cs="Times New Roman"/>
          <w:color w:val="auto"/>
          <w:szCs w:val="24"/>
          <w:highlight w:val="none"/>
        </w:rPr>
        <w:t>如征信、司法、工商等数据</w:t>
      </w:r>
      <w:r>
        <w:rPr>
          <w:rFonts w:hint="default" w:ascii="Times New Roman" w:hAnsi="Times New Roman" w:cs="Times New Roman"/>
          <w:color w:val="auto"/>
          <w:szCs w:val="24"/>
          <w:highlight w:val="none"/>
          <w:lang w:eastAsia="zh-CN"/>
        </w:rPr>
        <w:t>。</w:t>
      </w:r>
      <w:r>
        <w:rPr>
          <w:rFonts w:hint="default" w:ascii="Times New Roman" w:hAnsi="Times New Roman" w:cs="Times New Roman"/>
          <w:color w:val="auto"/>
          <w:szCs w:val="24"/>
          <w:highlight w:val="none"/>
          <w:lang w:val="en-US" w:eastAsia="zh-CN"/>
        </w:rPr>
        <w:t>参选人在进行数据采集建设时需满足</w:t>
      </w:r>
      <w:r>
        <w:rPr>
          <w:rFonts w:hint="eastAsia" w:ascii="Times New Roman" w:hAnsi="Times New Roman" w:cs="Times New Roman"/>
          <w:color w:val="auto"/>
          <w:szCs w:val="24"/>
          <w:highlight w:val="none"/>
          <w:lang w:val="en-US" w:eastAsia="zh-CN"/>
        </w:rPr>
        <w:t>的要求包括但不限于</w:t>
      </w:r>
      <w:r>
        <w:rPr>
          <w:rFonts w:hint="default" w:ascii="Times New Roman" w:hAnsi="Times New Roman" w:cs="Times New Roman"/>
          <w:color w:val="auto"/>
          <w:szCs w:val="24"/>
          <w:highlight w:val="none"/>
          <w:lang w:val="en-US" w:eastAsia="zh-CN"/>
        </w:rPr>
        <w:t>：</w:t>
      </w:r>
    </w:p>
    <w:p w14:paraId="0C5B0B4F">
      <w:pPr>
        <w:keepNext w:val="0"/>
        <w:keepLines w:val="0"/>
        <w:widowControl/>
        <w:suppressLineNumbers w:val="0"/>
        <w:jc w:val="left"/>
        <w:rPr>
          <w:rFonts w:hint="default" w:ascii="Times New Roman" w:hAnsi="Times New Roman" w:cs="Times New Roman"/>
          <w:color w:val="auto"/>
          <w:szCs w:val="24"/>
          <w:highlight w:val="none"/>
          <w:lang w:val="en-US" w:eastAsia="zh-CN"/>
        </w:rPr>
      </w:pPr>
      <w:r>
        <w:rPr>
          <w:rFonts w:hint="eastAsia" w:ascii="Times New Roman" w:hAnsi="Times New Roman" w:cs="Times New Roman"/>
          <w:color w:val="auto"/>
          <w:szCs w:val="24"/>
          <w:highlight w:val="none"/>
          <w:lang w:val="zh-CN" w:eastAsia="zh-CN"/>
        </w:rPr>
        <w:t>（</w:t>
      </w:r>
      <w:r>
        <w:rPr>
          <w:rFonts w:hint="eastAsia" w:ascii="Times New Roman" w:hAnsi="Times New Roman" w:cs="Times New Roman"/>
          <w:color w:val="auto"/>
          <w:szCs w:val="24"/>
          <w:highlight w:val="none"/>
          <w:lang w:val="en-US" w:eastAsia="zh-CN"/>
        </w:rPr>
        <w:t>1</w:t>
      </w:r>
      <w:r>
        <w:rPr>
          <w:rFonts w:hint="eastAsia" w:ascii="Times New Roman" w:hAnsi="Times New Roman" w:cs="Times New Roman"/>
          <w:color w:val="auto"/>
          <w:szCs w:val="24"/>
          <w:highlight w:val="none"/>
          <w:lang w:val="zh-CN" w:eastAsia="zh-CN"/>
        </w:rPr>
        <w:t>）</w:t>
      </w:r>
      <w:r>
        <w:rPr>
          <w:rFonts w:hint="default" w:ascii="Times New Roman" w:hAnsi="Times New Roman" w:cs="Times New Roman"/>
          <w:color w:val="auto"/>
          <w:szCs w:val="24"/>
          <w:highlight w:val="none"/>
          <w:lang w:val="zh-CN" w:eastAsia="zh-CN"/>
        </w:rPr>
        <w:t>数据采集建设</w:t>
      </w:r>
      <w:r>
        <w:rPr>
          <w:rFonts w:hint="default" w:ascii="Times New Roman" w:hAnsi="Times New Roman" w:cs="Times New Roman"/>
          <w:color w:val="auto"/>
          <w:szCs w:val="24"/>
          <w:highlight w:val="none"/>
          <w:lang w:val="en-US" w:eastAsia="zh-CN"/>
        </w:rPr>
        <w:t>需采取应接尽接的原则，满足各类型数据包括结构化数据、半结构化数据、非结构化数据的采集需求</w:t>
      </w:r>
      <w:r>
        <w:rPr>
          <w:rFonts w:hint="eastAsia" w:ascii="Times New Roman" w:hAnsi="Times New Roman" w:cs="Times New Roman"/>
          <w:color w:val="auto"/>
          <w:szCs w:val="24"/>
          <w:highlight w:val="none"/>
          <w:lang w:val="en-US" w:eastAsia="zh-CN"/>
        </w:rPr>
        <w:t>，完成比选人所有内、外部数据的接入</w:t>
      </w:r>
      <w:r>
        <w:rPr>
          <w:rFonts w:hint="default" w:ascii="Times New Roman" w:hAnsi="Times New Roman" w:cs="Times New Roman"/>
          <w:color w:val="auto"/>
          <w:szCs w:val="24"/>
          <w:highlight w:val="none"/>
          <w:lang w:val="en-US" w:eastAsia="zh-CN"/>
        </w:rPr>
        <w:t>；</w:t>
      </w:r>
    </w:p>
    <w:p w14:paraId="4B98F928">
      <w:pPr>
        <w:keepNext w:val="0"/>
        <w:keepLines w:val="0"/>
        <w:widowControl/>
        <w:suppressLineNumbers w:val="0"/>
        <w:jc w:val="left"/>
        <w:rPr>
          <w:rFonts w:hint="default" w:ascii="Times New Roman" w:hAnsi="Times New Roman" w:cs="Times New Roman"/>
          <w:color w:val="auto"/>
          <w:szCs w:val="24"/>
          <w:highlight w:val="none"/>
          <w:lang w:val="en-US" w:eastAsia="zh-CN"/>
        </w:rPr>
      </w:pPr>
      <w:r>
        <w:rPr>
          <w:rFonts w:hint="eastAsia" w:ascii="Times New Roman" w:hAnsi="Times New Roman" w:cs="Times New Roman"/>
          <w:color w:val="auto"/>
          <w:szCs w:val="24"/>
          <w:highlight w:val="none"/>
          <w:lang w:val="en-US" w:eastAsia="zh-CN"/>
        </w:rPr>
        <w:t>（2）数据采集建设需满足比选人实时数仓的建设要求；</w:t>
      </w:r>
    </w:p>
    <w:p w14:paraId="6DC4A666">
      <w:pPr>
        <w:keepNext w:val="0"/>
        <w:keepLines w:val="0"/>
        <w:widowControl/>
        <w:suppressLineNumbers w:val="0"/>
        <w:jc w:val="left"/>
        <w:rPr>
          <w:rFonts w:hint="default" w:ascii="Times New Roman" w:hAnsi="Times New Roman" w:cs="Times New Roman"/>
          <w:color w:val="auto"/>
          <w:szCs w:val="24"/>
          <w:highlight w:val="none"/>
          <w:lang w:val="en-US" w:eastAsia="zh-CN"/>
        </w:rPr>
      </w:pPr>
      <w:r>
        <w:rPr>
          <w:rFonts w:hint="eastAsia" w:ascii="Times New Roman" w:hAnsi="Times New Roman" w:cs="Times New Roman"/>
          <w:color w:val="auto"/>
          <w:szCs w:val="24"/>
          <w:highlight w:val="none"/>
          <w:lang w:val="en-US" w:eastAsia="zh-CN"/>
        </w:rPr>
        <w:t>（3）在数据采集时</w:t>
      </w:r>
      <w:r>
        <w:rPr>
          <w:rFonts w:hint="default" w:ascii="Times New Roman" w:hAnsi="Times New Roman" w:cs="Times New Roman"/>
          <w:color w:val="auto"/>
          <w:szCs w:val="24"/>
          <w:highlight w:val="none"/>
          <w:lang w:val="en-US" w:eastAsia="zh-CN"/>
        </w:rPr>
        <w:t>针对</w:t>
      </w:r>
      <w:r>
        <w:rPr>
          <w:rFonts w:hint="eastAsia" w:ascii="Times New Roman" w:hAnsi="Times New Roman" w:cs="Times New Roman"/>
          <w:color w:val="auto"/>
          <w:szCs w:val="24"/>
          <w:highlight w:val="none"/>
          <w:lang w:val="en-US" w:eastAsia="zh-CN"/>
        </w:rPr>
        <w:t>不同类型数据选择合适的存储结构</w:t>
      </w:r>
      <w:r>
        <w:rPr>
          <w:rFonts w:hint="default" w:ascii="Times New Roman" w:hAnsi="Times New Roman" w:cs="Times New Roman"/>
          <w:color w:val="auto"/>
          <w:szCs w:val="24"/>
          <w:highlight w:val="none"/>
          <w:lang w:val="en-US" w:eastAsia="zh-CN"/>
        </w:rPr>
        <w:t>，有效提升存储效率的同时提高不同场景下的查询效率。</w:t>
      </w:r>
    </w:p>
    <w:p w14:paraId="2BC390DA">
      <w:pPr>
        <w:pStyle w:val="5"/>
        <w:keepNext w:val="0"/>
        <w:keepLines w:val="0"/>
        <w:pageBreakBefore w:val="0"/>
        <w:widowControl w:val="0"/>
        <w:numPr>
          <w:ilvl w:val="2"/>
          <w:numId w:val="2"/>
        </w:numPr>
        <w:kinsoku/>
        <w:wordWrap/>
        <w:overflowPunct/>
        <w:topLinePunct w:val="0"/>
        <w:autoSpaceDE w:val="0"/>
        <w:autoSpaceDN w:val="0"/>
        <w:bidi w:val="0"/>
        <w:adjustRightInd/>
        <w:snapToGrid/>
        <w:ind w:left="0" w:leftChars="0" w:firstLine="482" w:firstLineChars="200"/>
        <w:textAlignment w:val="auto"/>
        <w:outlineLvl w:val="3"/>
        <w:rPr>
          <w:rFonts w:hint="default" w:ascii="Times New Roman" w:hAnsi="Times New Roman" w:cs="Times New Roman"/>
          <w:b/>
          <w:bCs w:val="0"/>
          <w:color w:val="auto"/>
          <w:highlight w:val="none"/>
          <w:lang w:val="en-US" w:eastAsia="zh-CN"/>
        </w:rPr>
      </w:pPr>
      <w:r>
        <w:rPr>
          <w:rFonts w:hint="default" w:ascii="Times New Roman" w:hAnsi="Times New Roman" w:cs="Times New Roman"/>
          <w:b/>
          <w:bCs w:val="0"/>
          <w:color w:val="auto"/>
          <w:highlight w:val="none"/>
          <w:lang w:val="en-US" w:eastAsia="zh-CN"/>
        </w:rPr>
        <w:t xml:space="preserve"> 主题模型</w:t>
      </w:r>
      <w:r>
        <w:rPr>
          <w:rFonts w:hint="eastAsia" w:ascii="Times New Roman" w:hAnsi="Times New Roman" w:cs="Times New Roman"/>
          <w:b/>
          <w:bCs w:val="0"/>
          <w:color w:val="auto"/>
          <w:highlight w:val="none"/>
          <w:lang w:val="en-US" w:eastAsia="zh-CN"/>
        </w:rPr>
        <w:t>版块</w:t>
      </w:r>
      <w:r>
        <w:rPr>
          <w:rFonts w:hint="default" w:ascii="Times New Roman" w:hAnsi="Times New Roman" w:cs="Times New Roman"/>
          <w:b/>
          <w:bCs w:val="0"/>
          <w:color w:val="auto"/>
          <w:highlight w:val="none"/>
          <w:lang w:val="en-US" w:eastAsia="zh-CN"/>
        </w:rPr>
        <w:t>建设</w:t>
      </w:r>
    </w:p>
    <w:p w14:paraId="22CD1B6A">
      <w:pPr>
        <w:ind w:left="0" w:firstLine="480" w:firstLineChars="200"/>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lang w:val="en-US" w:eastAsia="zh-CN"/>
        </w:rPr>
        <w:t>参选人需</w:t>
      </w:r>
      <w:r>
        <w:rPr>
          <w:rFonts w:hint="default" w:ascii="Times New Roman" w:hAnsi="Times New Roman" w:cs="Times New Roman"/>
          <w:color w:val="auto"/>
          <w:szCs w:val="24"/>
          <w:highlight w:val="none"/>
          <w:lang w:val="zh-CN" w:eastAsia="zh-CN"/>
        </w:rPr>
        <w:t>调研</w:t>
      </w:r>
      <w:r>
        <w:rPr>
          <w:rFonts w:hint="default" w:ascii="Times New Roman" w:hAnsi="Times New Roman" w:cs="Times New Roman"/>
          <w:color w:val="auto"/>
          <w:szCs w:val="24"/>
          <w:highlight w:val="none"/>
          <w:lang w:val="en-US" w:eastAsia="zh-CN"/>
        </w:rPr>
        <w:t>包括但不限于现有报表、下游供数、客户集市、近三年提数任务、日常运营、领导驾驶舱等需求，采用维度建模方法论新建</w:t>
      </w:r>
      <w:r>
        <w:rPr>
          <w:rFonts w:hint="default" w:ascii="Times New Roman" w:hAnsi="Times New Roman" w:cs="Times New Roman"/>
          <w:color w:val="auto"/>
          <w:szCs w:val="24"/>
          <w:highlight w:val="none"/>
          <w:lang w:val="zh-CN" w:eastAsia="zh-CN"/>
        </w:rPr>
        <w:t>金融行业级</w:t>
      </w:r>
      <w:r>
        <w:rPr>
          <w:rFonts w:hint="default" w:ascii="Times New Roman" w:hAnsi="Times New Roman" w:cs="Times New Roman"/>
          <w:color w:val="auto"/>
          <w:szCs w:val="24"/>
          <w:highlight w:val="none"/>
          <w:lang w:val="en-US" w:eastAsia="zh-CN"/>
        </w:rPr>
        <w:t>模型，</w:t>
      </w:r>
      <w:r>
        <w:rPr>
          <w:rFonts w:hint="default" w:ascii="Times New Roman" w:hAnsi="Times New Roman" w:cs="Times New Roman"/>
          <w:color w:val="auto"/>
          <w:szCs w:val="24"/>
          <w:highlight w:val="none"/>
          <w:lang w:val="zh-CN" w:eastAsia="zh-CN"/>
        </w:rPr>
        <w:t>完成</w:t>
      </w:r>
      <w:r>
        <w:rPr>
          <w:rFonts w:hint="default" w:ascii="Times New Roman" w:hAnsi="Times New Roman" w:cs="Times New Roman"/>
          <w:color w:val="auto"/>
          <w:szCs w:val="24"/>
          <w:highlight w:val="none"/>
          <w:lang w:val="en-US" w:eastAsia="zh-CN"/>
        </w:rPr>
        <w:t>包括但不限于</w:t>
      </w:r>
      <w:r>
        <w:rPr>
          <w:rFonts w:hint="default" w:ascii="Times New Roman" w:hAnsi="Times New Roman" w:cs="Times New Roman"/>
          <w:color w:val="auto"/>
          <w:szCs w:val="24"/>
          <w:highlight w:val="none"/>
          <w:lang w:val="zh-CN" w:eastAsia="zh-CN"/>
        </w:rPr>
        <w:t>逻辑模型设计、数据映射、物理模型</w:t>
      </w:r>
      <w:r>
        <w:rPr>
          <w:rFonts w:hint="default" w:ascii="Times New Roman" w:hAnsi="Times New Roman" w:cs="Times New Roman"/>
          <w:color w:val="auto"/>
          <w:szCs w:val="24"/>
          <w:highlight w:val="none"/>
          <w:lang w:val="en-US" w:eastAsia="zh-CN"/>
        </w:rPr>
        <w:t>等设计工作</w:t>
      </w:r>
      <w:r>
        <w:rPr>
          <w:rFonts w:hint="default" w:ascii="Times New Roman" w:hAnsi="Times New Roman" w:cs="Times New Roman"/>
          <w:color w:val="auto"/>
          <w:szCs w:val="24"/>
          <w:highlight w:val="none"/>
          <w:lang w:val="zh-CN" w:eastAsia="zh-CN"/>
        </w:rPr>
        <w:t>。</w:t>
      </w:r>
      <w:r>
        <w:rPr>
          <w:rFonts w:hint="default" w:ascii="Times New Roman" w:hAnsi="Times New Roman" w:cs="Times New Roman"/>
          <w:color w:val="auto"/>
          <w:szCs w:val="24"/>
          <w:highlight w:val="none"/>
          <w:lang w:val="en-US" w:eastAsia="zh-CN"/>
        </w:rPr>
        <w:t>主题模型需覆盖我行全部业务范围以支撑各下游系统的数据需求，并满足后续各应用系统及数据集市的使用。主题模型建设要求应包括但不限于：</w:t>
      </w:r>
    </w:p>
    <w:p w14:paraId="0B271DC5">
      <w:pPr>
        <w:keepNext w:val="0"/>
        <w:keepLines w:val="0"/>
        <w:widowControl/>
        <w:numPr>
          <w:ilvl w:val="0"/>
          <w:numId w:val="13"/>
        </w:numPr>
        <w:suppressLineNumbers w:val="0"/>
        <w:jc w:val="left"/>
        <w:rPr>
          <w:rFonts w:hint="default" w:ascii="Times New Roman" w:hAnsi="Times New Roman" w:cs="Times New Roman"/>
          <w:color w:val="auto"/>
          <w:szCs w:val="24"/>
          <w:highlight w:val="none"/>
          <w:lang w:val="en-US" w:eastAsia="zh-CN"/>
        </w:rPr>
      </w:pPr>
      <w:r>
        <w:rPr>
          <w:rFonts w:hint="default" w:ascii="Times New Roman" w:hAnsi="Times New Roman" w:cs="Times New Roman"/>
          <w:color w:val="auto"/>
          <w:szCs w:val="24"/>
          <w:highlight w:val="none"/>
          <w:lang w:val="en-US" w:eastAsia="zh-CN"/>
        </w:rPr>
        <w:t>模型需参照行内数据治理提供的十大主题模型分类进行建设，即当事人、产品、协议、事件、资产、财务、机构、地域、营销、渠道。每个主题的内容如下，但具体建设的模型分类和数量以实际建设内容为准：</w:t>
      </w:r>
    </w:p>
    <w:p w14:paraId="05CBECFC">
      <w:pPr>
        <w:ind w:left="0" w:firstLine="480" w:firstLineChars="200"/>
        <w:rPr>
          <w:rFonts w:hint="default" w:ascii="Times New Roman" w:hAnsi="Times New Roman" w:eastAsia="宋体" w:cs="Times New Roman"/>
          <w:color w:val="auto"/>
          <w:szCs w:val="24"/>
          <w:highlight w:val="none"/>
          <w:lang w:val="en-US" w:eastAsia="zh-CN"/>
        </w:rPr>
      </w:pPr>
      <w:r>
        <w:rPr>
          <w:rFonts w:hint="default" w:ascii="Times New Roman" w:hAnsi="Times New Roman" w:cs="Times New Roman"/>
          <w:color w:val="auto"/>
          <w:szCs w:val="24"/>
          <w:highlight w:val="none"/>
          <w:lang w:val="en-US" w:eastAsia="zh-CN"/>
        </w:rPr>
        <w:t>当事人主题：包含比选人所服务的和感兴趣进行分析的任意对象，如</w:t>
      </w:r>
      <w:r>
        <w:rPr>
          <w:rFonts w:hint="default" w:ascii="Times New Roman" w:hAnsi="Times New Roman" w:cs="Times New Roman"/>
          <w:color w:val="auto"/>
          <w:highlight w:val="none"/>
        </w:rPr>
        <w:t>登记注册开立账户的单位、个人客户</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业务往来的其他金融机构</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行内员工</w:t>
      </w:r>
      <w:r>
        <w:rPr>
          <w:rFonts w:hint="default" w:ascii="Times New Roman" w:hAnsi="Times New Roman" w:cs="Times New Roman"/>
          <w:color w:val="auto"/>
          <w:highlight w:val="none"/>
          <w:lang w:val="en-US" w:eastAsia="zh-CN"/>
        </w:rPr>
        <w:t>等；</w:t>
      </w:r>
    </w:p>
    <w:p w14:paraId="385FD8C1">
      <w:pPr>
        <w:ind w:left="0" w:firstLine="480" w:firstLineChars="200"/>
        <w:rPr>
          <w:rFonts w:hint="default" w:ascii="Times New Roman" w:hAnsi="Times New Roman" w:eastAsia="宋体" w:cs="Times New Roman"/>
          <w:color w:val="auto"/>
          <w:szCs w:val="24"/>
          <w:highlight w:val="none"/>
          <w:lang w:val="en-US" w:eastAsia="zh-CN"/>
        </w:rPr>
      </w:pPr>
      <w:r>
        <w:rPr>
          <w:rFonts w:hint="default" w:ascii="Times New Roman" w:hAnsi="Times New Roman" w:cs="Times New Roman"/>
          <w:color w:val="auto"/>
          <w:szCs w:val="24"/>
          <w:highlight w:val="none"/>
          <w:lang w:val="en-US" w:eastAsia="zh-CN"/>
        </w:rPr>
        <w:t>产品主题：包含比选人向用户销售的或提供给客户所使用的各类金融产品和服务，如存款、贷款、理财、贵金属、债券等；</w:t>
      </w:r>
    </w:p>
    <w:p w14:paraId="52CD8CD6">
      <w:pPr>
        <w:ind w:left="0" w:firstLine="480" w:firstLineChars="200"/>
        <w:rPr>
          <w:rFonts w:hint="default" w:ascii="Times New Roman" w:hAnsi="Times New Roman" w:eastAsia="宋体" w:cs="Times New Roman"/>
          <w:color w:val="auto"/>
          <w:szCs w:val="24"/>
          <w:highlight w:val="none"/>
          <w:lang w:val="en-US" w:eastAsia="zh-CN"/>
        </w:rPr>
      </w:pPr>
      <w:r>
        <w:rPr>
          <w:rFonts w:hint="default" w:ascii="Times New Roman" w:hAnsi="Times New Roman" w:cs="Times New Roman"/>
          <w:color w:val="auto"/>
          <w:szCs w:val="24"/>
          <w:highlight w:val="none"/>
          <w:lang w:val="en-US" w:eastAsia="zh-CN"/>
        </w:rPr>
        <w:t>协议主题：包含比选人与客户签订的各种形式的协议，如分户账、贷款账户、内部账户、贷款合同与借据、存款账户、理财账户、</w:t>
      </w:r>
      <w:r>
        <w:rPr>
          <w:rFonts w:hint="default" w:ascii="Times New Roman" w:hAnsi="Times New Roman" w:cs="Times New Roman"/>
          <w:color w:val="auto"/>
          <w:szCs w:val="24"/>
          <w:highlight w:val="none"/>
        </w:rPr>
        <w:t>债券交易、同业拆借协议</w:t>
      </w:r>
      <w:r>
        <w:rPr>
          <w:rFonts w:hint="default" w:ascii="Times New Roman" w:hAnsi="Times New Roman" w:cs="Times New Roman"/>
          <w:color w:val="auto"/>
          <w:szCs w:val="24"/>
          <w:highlight w:val="none"/>
          <w:lang w:val="en-US" w:eastAsia="zh-CN"/>
        </w:rPr>
        <w:t>等；</w:t>
      </w:r>
    </w:p>
    <w:p w14:paraId="7392331C">
      <w:pPr>
        <w:ind w:left="0" w:firstLine="480" w:firstLineChars="200"/>
        <w:rPr>
          <w:rFonts w:hint="default" w:ascii="Times New Roman" w:hAnsi="Times New Roman" w:eastAsia="宋体" w:cs="Times New Roman"/>
          <w:color w:val="auto"/>
          <w:szCs w:val="24"/>
          <w:highlight w:val="none"/>
          <w:lang w:val="en-US" w:eastAsia="zh-CN"/>
        </w:rPr>
      </w:pPr>
      <w:r>
        <w:rPr>
          <w:rFonts w:hint="default" w:ascii="Times New Roman" w:hAnsi="Times New Roman" w:cs="Times New Roman"/>
          <w:color w:val="auto"/>
          <w:szCs w:val="24"/>
          <w:highlight w:val="none"/>
          <w:lang w:val="en-US" w:eastAsia="zh-CN"/>
        </w:rPr>
        <w:t>事件主题：</w:t>
      </w:r>
      <w:r>
        <w:rPr>
          <w:rFonts w:hint="default" w:ascii="Times New Roman" w:hAnsi="Times New Roman" w:cs="Times New Roman"/>
          <w:color w:val="auto"/>
          <w:highlight w:val="none"/>
        </w:rPr>
        <w:t>包含</w:t>
      </w:r>
      <w:r>
        <w:rPr>
          <w:rFonts w:hint="default" w:ascii="Times New Roman" w:hAnsi="Times New Roman" w:cs="Times New Roman"/>
          <w:color w:val="auto"/>
          <w:highlight w:val="none"/>
          <w:lang w:val="en-US" w:eastAsia="zh-CN"/>
        </w:rPr>
        <w:t>比选人跟业务开展</w:t>
      </w:r>
      <w:r>
        <w:rPr>
          <w:rFonts w:hint="default" w:ascii="Times New Roman" w:hAnsi="Times New Roman" w:cs="Times New Roman"/>
          <w:color w:val="auto"/>
          <w:highlight w:val="none"/>
        </w:rPr>
        <w:t>相关的任何动作的记录</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如存款交易</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贷款交易、业务查询交易等；</w:t>
      </w:r>
    </w:p>
    <w:p w14:paraId="10366963">
      <w:pPr>
        <w:ind w:left="0" w:firstLine="480" w:firstLineChars="200"/>
        <w:rPr>
          <w:rFonts w:hint="default" w:ascii="Times New Roman" w:hAnsi="Times New Roman" w:cs="Times New Roman"/>
          <w:color w:val="auto"/>
          <w:szCs w:val="24"/>
          <w:highlight w:val="none"/>
          <w:lang w:val="en-US" w:eastAsia="zh-CN"/>
        </w:rPr>
      </w:pPr>
      <w:r>
        <w:rPr>
          <w:rFonts w:hint="default" w:ascii="Times New Roman" w:hAnsi="Times New Roman" w:cs="Times New Roman"/>
          <w:color w:val="auto"/>
          <w:szCs w:val="24"/>
          <w:highlight w:val="none"/>
          <w:lang w:val="en-US" w:eastAsia="zh-CN"/>
        </w:rPr>
        <w:t>资产主题：包含比选人所有客户的各类资产信息，如客户的存款信息、贷款信息、理财信息、贵金属持有信息等；</w:t>
      </w:r>
    </w:p>
    <w:p w14:paraId="385E5979">
      <w:pPr>
        <w:ind w:left="0" w:firstLine="480" w:firstLineChars="200"/>
        <w:rPr>
          <w:rFonts w:hint="default" w:ascii="Times New Roman" w:hAnsi="Times New Roman" w:cs="Times New Roman"/>
          <w:color w:val="auto"/>
          <w:szCs w:val="24"/>
          <w:highlight w:val="none"/>
          <w:lang w:val="en-US" w:eastAsia="zh-CN"/>
        </w:rPr>
      </w:pPr>
      <w:r>
        <w:rPr>
          <w:rFonts w:hint="default" w:ascii="Times New Roman" w:hAnsi="Times New Roman" w:cs="Times New Roman"/>
          <w:color w:val="auto"/>
          <w:szCs w:val="24"/>
          <w:highlight w:val="none"/>
          <w:lang w:val="en-US" w:eastAsia="zh-CN"/>
        </w:rPr>
        <w:t>财务主题：包含全行的财务相关信息，收集并整合科目组织、控制、内部核算等银行核心科目账务以及预算管理有关内容；</w:t>
      </w:r>
    </w:p>
    <w:p w14:paraId="017D8141">
      <w:pPr>
        <w:ind w:left="0" w:firstLine="480" w:firstLineChars="200"/>
        <w:rPr>
          <w:rFonts w:hint="default" w:ascii="Times New Roman" w:hAnsi="Times New Roman" w:cs="Times New Roman"/>
          <w:color w:val="auto"/>
          <w:szCs w:val="24"/>
          <w:highlight w:val="none"/>
          <w:lang w:val="en-US" w:eastAsia="zh-CN"/>
        </w:rPr>
      </w:pPr>
      <w:r>
        <w:rPr>
          <w:rFonts w:hint="default" w:ascii="Times New Roman" w:hAnsi="Times New Roman" w:cs="Times New Roman"/>
          <w:color w:val="auto"/>
          <w:szCs w:val="24"/>
          <w:highlight w:val="none"/>
          <w:lang w:val="en-US" w:eastAsia="zh-CN"/>
        </w:rPr>
        <w:t>机构主题：包括全行的内部组织和业务单元，如分行、支行、部门等账务机构和管理机构、各业务系统出于统计分析或管理目的设立的虚拟机构等；</w:t>
      </w:r>
    </w:p>
    <w:p w14:paraId="0BA1D52F">
      <w:pPr>
        <w:ind w:left="0" w:firstLine="480" w:firstLineChars="200"/>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szCs w:val="24"/>
          <w:highlight w:val="none"/>
          <w:lang w:val="en-US" w:eastAsia="zh-CN"/>
        </w:rPr>
        <w:t>地域主题：包括比选人</w:t>
      </w:r>
      <w:r>
        <w:rPr>
          <w:rFonts w:hint="default" w:ascii="Times New Roman" w:hAnsi="Times New Roman" w:cs="Times New Roman"/>
          <w:color w:val="auto"/>
          <w:highlight w:val="none"/>
        </w:rPr>
        <w:t>希望观察和分析的任何区域</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如</w:t>
      </w:r>
      <w:r>
        <w:rPr>
          <w:rFonts w:hint="default" w:ascii="Times New Roman" w:hAnsi="Times New Roman" w:cs="Times New Roman"/>
          <w:color w:val="auto"/>
          <w:highlight w:val="none"/>
        </w:rPr>
        <w:t>传统类型的地址信息（如国家、地区、城市、区县、街道等）</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电子地址、邮箱等信息</w:t>
      </w:r>
      <w:r>
        <w:rPr>
          <w:rFonts w:hint="default" w:ascii="Times New Roman" w:hAnsi="Times New Roman" w:cs="Times New Roman"/>
          <w:color w:val="auto"/>
          <w:highlight w:val="none"/>
          <w:lang w:eastAsia="zh-CN"/>
        </w:rPr>
        <w:t>；</w:t>
      </w:r>
    </w:p>
    <w:p w14:paraId="7259F608">
      <w:pPr>
        <w:ind w:left="0" w:firstLine="480" w:firstLineChars="200"/>
        <w:rPr>
          <w:rFonts w:hint="default" w:ascii="Times New Roman" w:hAnsi="Times New Roman" w:eastAsia="宋体" w:cs="Times New Roman"/>
          <w:color w:val="auto"/>
          <w:szCs w:val="24"/>
          <w:highlight w:val="none"/>
          <w:lang w:val="en-US" w:eastAsia="zh-CN"/>
        </w:rPr>
      </w:pPr>
      <w:r>
        <w:rPr>
          <w:rFonts w:hint="default" w:ascii="Times New Roman" w:hAnsi="Times New Roman" w:cs="Times New Roman"/>
          <w:color w:val="auto"/>
          <w:szCs w:val="24"/>
          <w:highlight w:val="none"/>
          <w:lang w:val="en-US" w:eastAsia="zh-CN"/>
        </w:rPr>
        <w:t>营销主题：包括用于记录针对客户所做的宣传、促销等活动的相关信息，如</w:t>
      </w:r>
      <w:r>
        <w:rPr>
          <w:rFonts w:hint="default" w:ascii="Times New Roman" w:hAnsi="Times New Roman" w:cs="Times New Roman"/>
          <w:color w:val="auto"/>
          <w:highlight w:val="none"/>
        </w:rPr>
        <w:t>营销计划、营销活动</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实施信息</w:t>
      </w:r>
      <w:r>
        <w:rPr>
          <w:rFonts w:hint="default" w:ascii="Times New Roman" w:hAnsi="Times New Roman" w:cs="Times New Roman"/>
          <w:color w:val="auto"/>
          <w:highlight w:val="none"/>
          <w:lang w:val="en-US" w:eastAsia="zh-CN"/>
        </w:rPr>
        <w:t>和营销结果等；</w:t>
      </w:r>
    </w:p>
    <w:p w14:paraId="588A2E16">
      <w:pPr>
        <w:ind w:left="0" w:firstLine="480" w:firstLineChars="200"/>
        <w:rPr>
          <w:rFonts w:hint="default" w:ascii="Times New Roman" w:hAnsi="Times New Roman" w:cs="Times New Roman"/>
          <w:color w:val="auto"/>
          <w:szCs w:val="24"/>
          <w:highlight w:val="none"/>
          <w:lang w:val="en-US" w:eastAsia="zh-CN"/>
        </w:rPr>
      </w:pPr>
      <w:r>
        <w:rPr>
          <w:rFonts w:hint="default" w:ascii="Times New Roman" w:hAnsi="Times New Roman" w:cs="Times New Roman"/>
          <w:color w:val="auto"/>
          <w:szCs w:val="24"/>
          <w:highlight w:val="none"/>
          <w:lang w:val="en-US" w:eastAsia="zh-CN"/>
        </w:rPr>
        <w:t>渠道主题：包括客户通过与银行进行接触、购买产品、使用服务并交流信息的所有渠道，如ATM、柜面、电话、个人网银、企业网银、手机银行等；</w:t>
      </w:r>
    </w:p>
    <w:p w14:paraId="2A090261">
      <w:pPr>
        <w:keepNext w:val="0"/>
        <w:keepLines w:val="0"/>
        <w:widowControl/>
        <w:numPr>
          <w:ilvl w:val="0"/>
          <w:numId w:val="13"/>
        </w:numPr>
        <w:suppressLineNumbers w:val="0"/>
        <w:jc w:val="left"/>
        <w:rPr>
          <w:rFonts w:hint="default" w:ascii="Times New Roman" w:hAnsi="Times New Roman" w:cs="Times New Roman"/>
          <w:color w:val="auto"/>
          <w:szCs w:val="24"/>
          <w:highlight w:val="none"/>
          <w:lang w:val="en-US" w:eastAsia="zh-CN"/>
        </w:rPr>
      </w:pPr>
      <w:r>
        <w:rPr>
          <w:rFonts w:hint="default" w:ascii="Times New Roman" w:hAnsi="Times New Roman" w:cs="Times New Roman"/>
          <w:color w:val="auto"/>
          <w:szCs w:val="24"/>
          <w:highlight w:val="none"/>
          <w:lang w:val="en-US" w:eastAsia="zh-CN"/>
        </w:rPr>
        <w:t>模型需精准反映业务的真实状况，指标口径明确、数据准确；</w:t>
      </w:r>
    </w:p>
    <w:p w14:paraId="35586A87">
      <w:pPr>
        <w:keepNext w:val="0"/>
        <w:keepLines w:val="0"/>
        <w:widowControl/>
        <w:numPr>
          <w:ilvl w:val="0"/>
          <w:numId w:val="13"/>
        </w:numPr>
        <w:suppressLineNumbers w:val="0"/>
        <w:jc w:val="left"/>
        <w:rPr>
          <w:rFonts w:hint="default" w:ascii="Times New Roman" w:hAnsi="Times New Roman" w:cs="Times New Roman"/>
          <w:color w:val="auto"/>
          <w:szCs w:val="24"/>
          <w:highlight w:val="none"/>
          <w:lang w:val="en-US" w:eastAsia="zh-CN"/>
        </w:rPr>
      </w:pPr>
      <w:r>
        <w:rPr>
          <w:rFonts w:hint="default" w:ascii="Times New Roman" w:hAnsi="Times New Roman" w:cs="Times New Roman"/>
          <w:color w:val="auto"/>
          <w:szCs w:val="24"/>
          <w:highlight w:val="none"/>
          <w:lang w:val="en-US" w:eastAsia="zh-CN"/>
        </w:rPr>
        <w:t>模型需严格按照数据治理要求进行落标，实现包括但不限于性别、国籍、行业等所有码值的标准化落地；</w:t>
      </w:r>
    </w:p>
    <w:p w14:paraId="7AD4DF64">
      <w:pPr>
        <w:keepNext w:val="0"/>
        <w:keepLines w:val="0"/>
        <w:widowControl/>
        <w:numPr>
          <w:ilvl w:val="0"/>
          <w:numId w:val="13"/>
        </w:numPr>
        <w:suppressLineNumbers w:val="0"/>
        <w:jc w:val="left"/>
        <w:rPr>
          <w:rFonts w:hint="default" w:ascii="Times New Roman" w:hAnsi="Times New Roman" w:cs="Times New Roman"/>
          <w:color w:val="auto"/>
          <w:szCs w:val="24"/>
          <w:highlight w:val="none"/>
          <w:lang w:val="en-US" w:eastAsia="zh-CN"/>
        </w:rPr>
      </w:pPr>
      <w:r>
        <w:rPr>
          <w:rFonts w:hint="default" w:ascii="Times New Roman" w:hAnsi="Times New Roman" w:cs="Times New Roman"/>
          <w:color w:val="auto"/>
          <w:szCs w:val="24"/>
          <w:highlight w:val="none"/>
          <w:lang w:val="en-US" w:eastAsia="zh-CN"/>
        </w:rPr>
        <w:t>支持模型任务重跑，在不同时间多次运行的结果不变；</w:t>
      </w:r>
    </w:p>
    <w:p w14:paraId="3972988F">
      <w:pPr>
        <w:keepNext w:val="0"/>
        <w:keepLines w:val="0"/>
        <w:widowControl/>
        <w:numPr>
          <w:ilvl w:val="0"/>
          <w:numId w:val="13"/>
        </w:numPr>
        <w:suppressLineNumbers w:val="0"/>
        <w:jc w:val="left"/>
        <w:rPr>
          <w:rFonts w:hint="default" w:ascii="Times New Roman" w:hAnsi="Times New Roman" w:cs="Times New Roman"/>
          <w:color w:val="auto"/>
          <w:szCs w:val="24"/>
          <w:highlight w:val="none"/>
          <w:lang w:val="en-US" w:eastAsia="zh-CN"/>
        </w:rPr>
      </w:pPr>
      <w:r>
        <w:rPr>
          <w:rFonts w:hint="default" w:ascii="Times New Roman" w:hAnsi="Times New Roman" w:cs="Times New Roman"/>
          <w:color w:val="auto"/>
          <w:szCs w:val="24"/>
          <w:highlight w:val="none"/>
          <w:lang w:val="en-US" w:eastAsia="zh-CN"/>
        </w:rPr>
        <w:t>能够灵活适应业务发展变化和规模增长，建立核心模型和扩展模型体系。核心模型字段支持常用的核心业务，扩展模型字段支持个性化或者少量应用的需要，确保核心模型的简洁性和可维护性，扩展模型的便捷性；</w:t>
      </w:r>
    </w:p>
    <w:p w14:paraId="739984C4">
      <w:pPr>
        <w:keepNext w:val="0"/>
        <w:keepLines w:val="0"/>
        <w:widowControl/>
        <w:numPr>
          <w:ilvl w:val="0"/>
          <w:numId w:val="13"/>
        </w:numPr>
        <w:suppressLineNumbers w:val="0"/>
        <w:jc w:val="left"/>
        <w:rPr>
          <w:rFonts w:hint="default" w:ascii="Times New Roman" w:hAnsi="Times New Roman" w:cs="Times New Roman"/>
          <w:color w:val="auto"/>
          <w:szCs w:val="24"/>
          <w:highlight w:val="none"/>
          <w:lang w:val="en-US" w:eastAsia="zh-CN"/>
        </w:rPr>
      </w:pPr>
      <w:r>
        <w:rPr>
          <w:rFonts w:hint="default" w:ascii="Times New Roman" w:hAnsi="Times New Roman" w:cs="Times New Roman"/>
          <w:color w:val="auto"/>
          <w:szCs w:val="24"/>
          <w:highlight w:val="none"/>
          <w:lang w:val="en-US" w:eastAsia="zh-CN"/>
        </w:rPr>
        <w:t>模型具备清晰的结构和易于理解的逻辑、合理的层次划分，命名清晰、可理解，将复杂的业务概念转化为简洁明了的模型术语，易于数据消费者理解和使用；</w:t>
      </w:r>
    </w:p>
    <w:p w14:paraId="3543B5B1">
      <w:pPr>
        <w:keepNext w:val="0"/>
        <w:keepLines w:val="0"/>
        <w:widowControl/>
        <w:numPr>
          <w:ilvl w:val="0"/>
          <w:numId w:val="13"/>
        </w:numPr>
        <w:suppressLineNumbers w:val="0"/>
        <w:jc w:val="left"/>
        <w:rPr>
          <w:rFonts w:hint="default" w:ascii="Times New Roman" w:hAnsi="Times New Roman" w:cs="Times New Roman"/>
          <w:color w:val="auto"/>
          <w:szCs w:val="24"/>
          <w:highlight w:val="none"/>
          <w:lang w:val="en-US" w:eastAsia="zh-CN"/>
        </w:rPr>
      </w:pPr>
      <w:r>
        <w:rPr>
          <w:rFonts w:hint="default" w:ascii="Times New Roman" w:hAnsi="Times New Roman" w:cs="Times New Roman"/>
          <w:color w:val="auto"/>
          <w:szCs w:val="24"/>
          <w:highlight w:val="none"/>
          <w:lang w:val="en-US" w:eastAsia="zh-CN"/>
        </w:rPr>
        <w:t>模型设计要充分考虑数据的存储和查询效率，通过合理建立索引、分区表等技术手段，优化数据的组织和存储方式，提高数据查询效率；</w:t>
      </w:r>
    </w:p>
    <w:p w14:paraId="0224F168">
      <w:pPr>
        <w:keepNext w:val="0"/>
        <w:keepLines w:val="0"/>
        <w:widowControl/>
        <w:numPr>
          <w:ilvl w:val="0"/>
          <w:numId w:val="13"/>
        </w:numPr>
        <w:suppressLineNumbers w:val="0"/>
        <w:jc w:val="left"/>
        <w:rPr>
          <w:rFonts w:hint="default" w:ascii="Times New Roman" w:hAnsi="Times New Roman" w:cs="Times New Roman"/>
          <w:color w:val="auto"/>
          <w:szCs w:val="24"/>
          <w:highlight w:val="none"/>
          <w:lang w:val="en-US" w:eastAsia="zh-CN"/>
        </w:rPr>
      </w:pPr>
      <w:r>
        <w:rPr>
          <w:rFonts w:hint="default" w:ascii="Times New Roman" w:hAnsi="Times New Roman" w:cs="Times New Roman"/>
          <w:color w:val="auto"/>
          <w:szCs w:val="24"/>
          <w:highlight w:val="none"/>
          <w:lang w:val="en-US" w:eastAsia="zh-CN"/>
        </w:rPr>
        <w:t>建立数据质量的监控和治理机制，确保模型中的数据符合比选人数据质量要求，对重复数据、缺失值、异常值等进行检测和处理。</w:t>
      </w:r>
    </w:p>
    <w:p w14:paraId="1A54242D">
      <w:pPr>
        <w:pStyle w:val="5"/>
        <w:keepNext w:val="0"/>
        <w:keepLines w:val="0"/>
        <w:pageBreakBefore w:val="0"/>
        <w:widowControl w:val="0"/>
        <w:numPr>
          <w:ilvl w:val="2"/>
          <w:numId w:val="2"/>
        </w:numPr>
        <w:kinsoku/>
        <w:wordWrap/>
        <w:overflowPunct/>
        <w:topLinePunct w:val="0"/>
        <w:autoSpaceDE w:val="0"/>
        <w:autoSpaceDN w:val="0"/>
        <w:bidi w:val="0"/>
        <w:adjustRightInd/>
        <w:snapToGrid/>
        <w:ind w:left="0" w:leftChars="0" w:firstLine="482" w:firstLineChars="200"/>
        <w:textAlignment w:val="auto"/>
        <w:outlineLvl w:val="3"/>
        <w:rPr>
          <w:rFonts w:hint="default" w:ascii="Times New Roman" w:hAnsi="Times New Roman" w:cs="Times New Roman"/>
          <w:b/>
          <w:bCs w:val="0"/>
          <w:color w:val="auto"/>
          <w:highlight w:val="none"/>
          <w:lang w:val="en-US" w:eastAsia="zh-CN"/>
        </w:rPr>
      </w:pPr>
      <w:r>
        <w:rPr>
          <w:rFonts w:hint="default" w:ascii="Times New Roman" w:hAnsi="Times New Roman" w:cs="Times New Roman"/>
          <w:b/>
          <w:bCs w:val="0"/>
          <w:color w:val="auto"/>
          <w:highlight w:val="none"/>
          <w:lang w:val="en-US" w:eastAsia="zh-CN"/>
        </w:rPr>
        <w:t xml:space="preserve"> 应用集市</w:t>
      </w:r>
      <w:r>
        <w:rPr>
          <w:rFonts w:hint="eastAsia" w:ascii="Times New Roman" w:hAnsi="Times New Roman" w:cs="Times New Roman"/>
          <w:b/>
          <w:bCs w:val="0"/>
          <w:color w:val="auto"/>
          <w:highlight w:val="none"/>
          <w:lang w:val="en-US" w:eastAsia="zh-CN"/>
        </w:rPr>
        <w:t>版块</w:t>
      </w:r>
      <w:r>
        <w:rPr>
          <w:rFonts w:hint="default" w:ascii="Times New Roman" w:hAnsi="Times New Roman" w:cs="Times New Roman"/>
          <w:b/>
          <w:bCs w:val="0"/>
          <w:color w:val="auto"/>
          <w:highlight w:val="none"/>
          <w:lang w:val="en-US" w:eastAsia="zh-CN"/>
        </w:rPr>
        <w:t>建设</w:t>
      </w:r>
    </w:p>
    <w:p w14:paraId="17FA5C9A">
      <w:pPr>
        <w:numPr>
          <w:ilvl w:val="0"/>
          <w:numId w:val="0"/>
        </w:numPr>
        <w:ind w:left="0" w:leftChars="0" w:firstLine="480" w:firstLineChars="200"/>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lang w:val="en-US" w:eastAsia="zh-CN"/>
        </w:rPr>
        <w:t>参选人</w:t>
      </w:r>
      <w:r>
        <w:rPr>
          <w:rFonts w:hint="eastAsia" w:ascii="Times New Roman" w:hAnsi="Times New Roman" w:cs="Times New Roman"/>
          <w:color w:val="auto"/>
          <w:szCs w:val="24"/>
          <w:highlight w:val="none"/>
          <w:lang w:val="en-US" w:eastAsia="zh-CN"/>
        </w:rPr>
        <w:t>需参考业务应用集市建设的最佳实践并结合</w:t>
      </w:r>
      <w:r>
        <w:rPr>
          <w:rFonts w:hint="default" w:ascii="Times New Roman" w:hAnsi="Times New Roman" w:cs="Times New Roman"/>
          <w:color w:val="auto"/>
          <w:szCs w:val="24"/>
          <w:highlight w:val="none"/>
          <w:lang w:val="en-US" w:eastAsia="zh-CN"/>
        </w:rPr>
        <w:t>比选人</w:t>
      </w:r>
      <w:r>
        <w:rPr>
          <w:rFonts w:hint="eastAsia" w:ascii="Times New Roman" w:hAnsi="Times New Roman" w:cs="Times New Roman"/>
          <w:color w:val="auto"/>
          <w:szCs w:val="24"/>
          <w:highlight w:val="none"/>
          <w:lang w:val="en-US" w:eastAsia="zh-CN"/>
        </w:rPr>
        <w:t>实际业务需求</w:t>
      </w:r>
      <w:r>
        <w:rPr>
          <w:rFonts w:hint="default" w:ascii="Times New Roman" w:hAnsi="Times New Roman" w:cs="Times New Roman"/>
          <w:color w:val="auto"/>
          <w:szCs w:val="24"/>
          <w:highlight w:val="none"/>
        </w:rPr>
        <w:t>建立</w:t>
      </w:r>
      <w:r>
        <w:rPr>
          <w:rFonts w:hint="default" w:ascii="Times New Roman" w:hAnsi="Times New Roman" w:cs="Times New Roman"/>
          <w:color w:val="auto"/>
          <w:szCs w:val="24"/>
          <w:highlight w:val="none"/>
          <w:lang w:val="en-US" w:eastAsia="zh-CN"/>
        </w:rPr>
        <w:t>常用集市</w:t>
      </w:r>
      <w:r>
        <w:rPr>
          <w:rFonts w:hint="default" w:ascii="Times New Roman" w:hAnsi="Times New Roman" w:cs="Times New Roman"/>
          <w:color w:val="auto"/>
          <w:szCs w:val="24"/>
          <w:highlight w:val="none"/>
        </w:rPr>
        <w:t>，为特定数据使用人群及</w:t>
      </w:r>
      <w:r>
        <w:rPr>
          <w:rFonts w:hint="default" w:ascii="Times New Roman" w:hAnsi="Times New Roman" w:cs="Times New Roman"/>
          <w:color w:val="auto"/>
          <w:szCs w:val="24"/>
          <w:highlight w:val="none"/>
          <w:lang w:val="en-US" w:eastAsia="zh-CN"/>
        </w:rPr>
        <w:t>下游</w:t>
      </w:r>
      <w:r>
        <w:rPr>
          <w:rFonts w:hint="default" w:ascii="Times New Roman" w:hAnsi="Times New Roman" w:cs="Times New Roman"/>
          <w:color w:val="auto"/>
          <w:szCs w:val="24"/>
          <w:highlight w:val="none"/>
        </w:rPr>
        <w:t>应用提供快速、灵活的数据服务。</w:t>
      </w:r>
      <w:r>
        <w:rPr>
          <w:rFonts w:hint="eastAsia" w:ascii="Times New Roman" w:hAnsi="Times New Roman" w:cs="Times New Roman"/>
          <w:color w:val="auto"/>
          <w:szCs w:val="24"/>
          <w:highlight w:val="none"/>
          <w:lang w:val="en-US" w:eastAsia="zh-CN"/>
        </w:rPr>
        <w:t>参选人应建设的应用集市包括如下内容，但具体集市名称、划分和建设内容以项目实际调研情况和业务需求为准</w:t>
      </w:r>
      <w:r>
        <w:rPr>
          <w:rFonts w:hint="default" w:ascii="Times New Roman" w:hAnsi="Times New Roman" w:cs="Times New Roman"/>
          <w:color w:val="auto"/>
          <w:szCs w:val="24"/>
          <w:highlight w:val="none"/>
        </w:rPr>
        <w:t>：</w:t>
      </w:r>
    </w:p>
    <w:p w14:paraId="475E0682">
      <w:pPr>
        <w:keepNext w:val="0"/>
        <w:keepLines w:val="0"/>
        <w:widowControl/>
        <w:numPr>
          <w:ilvl w:val="0"/>
          <w:numId w:val="0"/>
        </w:numPr>
        <w:suppressLineNumbers w:val="0"/>
        <w:ind w:firstLine="482" w:firstLineChars="200"/>
        <w:jc w:val="left"/>
        <w:rPr>
          <w:rFonts w:hint="default" w:ascii="Times New Roman" w:hAnsi="Times New Roman" w:cs="Times New Roman"/>
          <w:b/>
          <w:bCs/>
          <w:color w:val="auto"/>
          <w:szCs w:val="24"/>
          <w:highlight w:val="none"/>
          <w:lang w:val="en-US" w:eastAsia="zh-CN"/>
        </w:rPr>
      </w:pPr>
      <w:r>
        <w:rPr>
          <w:rFonts w:hint="eastAsia" w:ascii="Times New Roman" w:hAnsi="Times New Roman" w:cs="Times New Roman"/>
          <w:b/>
          <w:bCs/>
          <w:color w:val="auto"/>
          <w:szCs w:val="24"/>
          <w:highlight w:val="none"/>
          <w:lang w:val="en-US" w:eastAsia="zh-CN"/>
        </w:rPr>
        <w:t>（1）查询分析相关集市</w:t>
      </w:r>
    </w:p>
    <w:p w14:paraId="3D1ACA9A">
      <w:pPr>
        <w:keepNext w:val="0"/>
        <w:keepLines w:val="0"/>
        <w:widowControl/>
        <w:numPr>
          <w:ilvl w:val="0"/>
          <w:numId w:val="0"/>
        </w:numPr>
        <w:suppressLineNumbers w:val="0"/>
        <w:ind w:firstLine="480" w:firstLineChars="200"/>
        <w:jc w:val="left"/>
        <w:rPr>
          <w:rFonts w:hint="eastAsia" w:ascii="Times New Roman" w:hAnsi="Times New Roman" w:cs="Times New Roman"/>
          <w:color w:val="auto"/>
          <w:szCs w:val="24"/>
          <w:highlight w:val="none"/>
          <w:lang w:val="en-US" w:eastAsia="zh-CN"/>
        </w:rPr>
      </w:pPr>
      <w:r>
        <w:rPr>
          <w:rFonts w:hint="eastAsia" w:ascii="Times New Roman" w:hAnsi="Times New Roman" w:cs="Times New Roman"/>
          <w:color w:val="auto"/>
          <w:szCs w:val="24"/>
          <w:highlight w:val="none"/>
          <w:lang w:val="en-US" w:eastAsia="zh-CN"/>
        </w:rPr>
        <w:t>1）驾驶舱集市</w:t>
      </w:r>
    </w:p>
    <w:p w14:paraId="412DCEC3">
      <w:pPr>
        <w:keepNext w:val="0"/>
        <w:keepLines w:val="0"/>
        <w:widowControl/>
        <w:numPr>
          <w:ilvl w:val="0"/>
          <w:numId w:val="0"/>
        </w:numPr>
        <w:suppressLineNumbers w:val="0"/>
        <w:ind w:firstLine="480" w:firstLineChars="200"/>
        <w:jc w:val="left"/>
        <w:rPr>
          <w:rFonts w:hint="eastAsia" w:ascii="Times New Roman" w:hAnsi="Times New Roman" w:cs="Times New Roman"/>
          <w:color w:val="auto"/>
          <w:szCs w:val="24"/>
          <w:highlight w:val="none"/>
          <w:lang w:val="en-US" w:eastAsia="zh-CN"/>
        </w:rPr>
      </w:pPr>
      <w:r>
        <w:rPr>
          <w:rFonts w:hint="eastAsia" w:ascii="Times New Roman" w:hAnsi="Times New Roman" w:cs="Times New Roman"/>
          <w:color w:val="auto"/>
          <w:szCs w:val="24"/>
          <w:highlight w:val="none"/>
          <w:lang w:val="en-US" w:eastAsia="zh-CN"/>
        </w:rPr>
        <w:t>驾驶舱集市需将内部及外部的关键业务指标进行统一加工整合，实现数据实时采集、加工、计算，如总体业务状况、经营效益情况、业务条线经营情况、同业经营状况等，服务于领导驾驶舱、贷后管理驾驶舱等数据应用，便于管理层更精准、迅速地洞悉全行的运营状况和市场动态，从而指导业务经营。</w:t>
      </w:r>
    </w:p>
    <w:p w14:paraId="1F068F64">
      <w:pPr>
        <w:keepNext w:val="0"/>
        <w:keepLines w:val="0"/>
        <w:widowControl/>
        <w:numPr>
          <w:ilvl w:val="0"/>
          <w:numId w:val="0"/>
        </w:numPr>
        <w:suppressLineNumbers w:val="0"/>
        <w:ind w:firstLine="480" w:firstLineChars="200"/>
        <w:jc w:val="left"/>
        <w:rPr>
          <w:rFonts w:hint="default" w:ascii="Times New Roman" w:hAnsi="Times New Roman" w:cs="Times New Roman"/>
          <w:color w:val="auto"/>
          <w:szCs w:val="24"/>
          <w:highlight w:val="none"/>
          <w:lang w:val="en-US" w:eastAsia="zh-CN"/>
        </w:rPr>
      </w:pPr>
      <w:r>
        <w:rPr>
          <w:rFonts w:hint="eastAsia" w:ascii="Times New Roman" w:hAnsi="Times New Roman" w:cs="Times New Roman"/>
          <w:color w:val="auto"/>
          <w:szCs w:val="24"/>
          <w:highlight w:val="none"/>
          <w:lang w:val="en-US" w:eastAsia="zh-CN"/>
        </w:rPr>
        <w:t>2）报表集市</w:t>
      </w:r>
    </w:p>
    <w:p w14:paraId="1AA4409D">
      <w:pPr>
        <w:keepNext w:val="0"/>
        <w:keepLines w:val="0"/>
        <w:widowControl/>
        <w:numPr>
          <w:ilvl w:val="0"/>
          <w:numId w:val="0"/>
        </w:numPr>
        <w:suppressLineNumbers w:val="0"/>
        <w:ind w:firstLine="480" w:firstLineChars="200"/>
        <w:jc w:val="left"/>
        <w:rPr>
          <w:rFonts w:hint="eastAsia" w:ascii="Times New Roman" w:hAnsi="Times New Roman" w:cs="Times New Roman"/>
          <w:color w:val="auto"/>
          <w:szCs w:val="24"/>
          <w:highlight w:val="none"/>
          <w:lang w:val="en-US" w:eastAsia="zh-CN"/>
        </w:rPr>
      </w:pPr>
      <w:r>
        <w:rPr>
          <w:rFonts w:hint="default" w:ascii="Times New Roman" w:hAnsi="Times New Roman" w:cs="Times New Roman"/>
          <w:color w:val="auto"/>
          <w:szCs w:val="24"/>
          <w:highlight w:val="none"/>
          <w:lang w:val="en-US" w:eastAsia="zh-CN"/>
        </w:rPr>
        <w:t>针</w:t>
      </w:r>
      <w:r>
        <w:rPr>
          <w:rFonts w:hint="eastAsia" w:ascii="Times New Roman" w:hAnsi="Times New Roman" w:cs="Times New Roman"/>
          <w:color w:val="auto"/>
          <w:szCs w:val="24"/>
          <w:highlight w:val="none"/>
          <w:lang w:val="en-US" w:eastAsia="zh-CN"/>
        </w:rPr>
        <w:t>对</w:t>
      </w:r>
      <w:r>
        <w:rPr>
          <w:rFonts w:hint="default" w:ascii="Times New Roman" w:hAnsi="Times New Roman" w:cs="Times New Roman"/>
          <w:color w:val="auto"/>
          <w:szCs w:val="24"/>
          <w:highlight w:val="none"/>
          <w:lang w:val="en-US" w:eastAsia="zh-CN"/>
        </w:rPr>
        <w:t>业务报表</w:t>
      </w:r>
      <w:r>
        <w:rPr>
          <w:rFonts w:hint="eastAsia" w:ascii="Times New Roman" w:hAnsi="Times New Roman" w:cs="Times New Roman"/>
          <w:color w:val="auto"/>
          <w:szCs w:val="24"/>
          <w:highlight w:val="none"/>
          <w:lang w:val="en-US" w:eastAsia="zh-CN"/>
        </w:rPr>
        <w:t>、数据提取等需求</w:t>
      </w:r>
      <w:r>
        <w:rPr>
          <w:rFonts w:hint="default" w:ascii="Times New Roman" w:hAnsi="Times New Roman" w:cs="Times New Roman"/>
          <w:color w:val="auto"/>
          <w:szCs w:val="24"/>
          <w:highlight w:val="none"/>
          <w:lang w:val="en-US" w:eastAsia="zh-CN"/>
        </w:rPr>
        <w:t>涉及到的业务范围、业务数据等方面进行全面梳理分析，</w:t>
      </w:r>
      <w:r>
        <w:rPr>
          <w:rFonts w:hint="eastAsia" w:ascii="Times New Roman" w:hAnsi="Times New Roman" w:cs="Times New Roman"/>
          <w:color w:val="auto"/>
          <w:szCs w:val="24"/>
          <w:highlight w:val="none"/>
          <w:lang w:val="en-US" w:eastAsia="zh-CN"/>
        </w:rPr>
        <w:t>完成</w:t>
      </w:r>
      <w:r>
        <w:rPr>
          <w:rFonts w:hint="default" w:ascii="Times New Roman" w:hAnsi="Times New Roman" w:cs="Times New Roman"/>
          <w:color w:val="auto"/>
          <w:szCs w:val="24"/>
          <w:highlight w:val="none"/>
          <w:lang w:val="en-US" w:eastAsia="zh-CN"/>
        </w:rPr>
        <w:t>维度和度量设计，建立报表常用指标体系</w:t>
      </w:r>
      <w:r>
        <w:rPr>
          <w:rFonts w:hint="eastAsia" w:ascii="Times New Roman" w:hAnsi="Times New Roman" w:cs="Times New Roman"/>
          <w:color w:val="auto"/>
          <w:szCs w:val="24"/>
          <w:highlight w:val="none"/>
          <w:lang w:val="en-US" w:eastAsia="zh-CN"/>
        </w:rPr>
        <w:t>，</w:t>
      </w:r>
      <w:r>
        <w:rPr>
          <w:rFonts w:hint="default" w:ascii="Times New Roman" w:hAnsi="Times New Roman" w:cs="Times New Roman"/>
          <w:color w:val="auto"/>
          <w:szCs w:val="24"/>
          <w:highlight w:val="none"/>
          <w:lang w:val="en-US" w:eastAsia="zh-CN"/>
        </w:rPr>
        <w:t>构建</w:t>
      </w:r>
      <w:r>
        <w:rPr>
          <w:rFonts w:hint="eastAsia" w:ascii="Times New Roman" w:hAnsi="Times New Roman" w:cs="Times New Roman"/>
          <w:color w:val="auto"/>
          <w:szCs w:val="24"/>
          <w:highlight w:val="none"/>
          <w:lang w:val="en-US" w:eastAsia="zh-CN"/>
        </w:rPr>
        <w:t>包括存款、贷款、客户、理财、产品、机构、信用风险、反洗钱等主题的</w:t>
      </w:r>
      <w:r>
        <w:rPr>
          <w:rFonts w:hint="default" w:ascii="Times New Roman" w:hAnsi="Times New Roman" w:cs="Times New Roman"/>
          <w:color w:val="auto"/>
          <w:szCs w:val="24"/>
          <w:highlight w:val="none"/>
          <w:lang w:val="en-US" w:eastAsia="zh-CN"/>
        </w:rPr>
        <w:t>多维数据模型以支持报表查询</w:t>
      </w:r>
      <w:r>
        <w:rPr>
          <w:rFonts w:hint="eastAsia" w:ascii="Times New Roman" w:hAnsi="Times New Roman" w:cs="Times New Roman"/>
          <w:color w:val="auto"/>
          <w:szCs w:val="24"/>
          <w:highlight w:val="none"/>
          <w:lang w:val="en-US" w:eastAsia="zh-CN"/>
        </w:rPr>
        <w:t>、大屏展示和</w:t>
      </w:r>
      <w:r>
        <w:rPr>
          <w:rFonts w:hint="default" w:ascii="Times New Roman" w:hAnsi="Times New Roman" w:cs="Times New Roman"/>
          <w:color w:val="auto"/>
          <w:szCs w:val="24"/>
          <w:highlight w:val="none"/>
          <w:lang w:val="en-US" w:eastAsia="zh-CN"/>
        </w:rPr>
        <w:t>业务自助分析</w:t>
      </w:r>
      <w:r>
        <w:rPr>
          <w:rFonts w:hint="eastAsia" w:ascii="Times New Roman" w:hAnsi="Times New Roman" w:cs="Times New Roman"/>
          <w:color w:val="auto"/>
          <w:szCs w:val="24"/>
          <w:highlight w:val="none"/>
          <w:lang w:val="en-US" w:eastAsia="zh-CN"/>
        </w:rPr>
        <w:t>。</w:t>
      </w:r>
    </w:p>
    <w:p w14:paraId="497C2CC0">
      <w:pPr>
        <w:keepNext w:val="0"/>
        <w:keepLines w:val="0"/>
        <w:widowControl/>
        <w:numPr>
          <w:ilvl w:val="0"/>
          <w:numId w:val="0"/>
        </w:numPr>
        <w:suppressLineNumbers w:val="0"/>
        <w:ind w:firstLine="482" w:firstLineChars="200"/>
        <w:jc w:val="left"/>
        <w:rPr>
          <w:rFonts w:hint="default" w:ascii="Times New Roman" w:hAnsi="Times New Roman" w:cs="Times New Roman"/>
          <w:b/>
          <w:bCs/>
          <w:color w:val="auto"/>
          <w:szCs w:val="24"/>
          <w:highlight w:val="none"/>
          <w:lang w:val="en-US" w:eastAsia="zh-CN"/>
        </w:rPr>
      </w:pPr>
      <w:r>
        <w:rPr>
          <w:rFonts w:hint="eastAsia" w:ascii="Times New Roman" w:hAnsi="Times New Roman" w:eastAsia="宋体" w:cs="Times New Roman"/>
          <w:b/>
          <w:bCs/>
          <w:color w:val="auto"/>
          <w:kern w:val="2"/>
          <w:sz w:val="24"/>
          <w:szCs w:val="24"/>
          <w:highlight w:val="none"/>
          <w:lang w:val="en-US" w:eastAsia="zh-CN" w:bidi="ar-SA"/>
        </w:rPr>
        <w:t>（2）</w:t>
      </w:r>
      <w:r>
        <w:rPr>
          <w:rFonts w:hint="eastAsia" w:ascii="Times New Roman" w:hAnsi="Times New Roman" w:cs="Times New Roman"/>
          <w:b/>
          <w:bCs/>
          <w:color w:val="auto"/>
          <w:szCs w:val="24"/>
          <w:highlight w:val="none"/>
          <w:lang w:val="en-US" w:eastAsia="zh-CN"/>
        </w:rPr>
        <w:t>客户营销相关集市</w:t>
      </w:r>
    </w:p>
    <w:p w14:paraId="4A2E7E5C">
      <w:pPr>
        <w:keepNext w:val="0"/>
        <w:keepLines w:val="0"/>
        <w:widowControl/>
        <w:numPr>
          <w:ilvl w:val="0"/>
          <w:numId w:val="0"/>
        </w:numPr>
        <w:suppressLineNumbers w:val="0"/>
        <w:ind w:firstLine="480" w:firstLineChars="200"/>
        <w:jc w:val="left"/>
        <w:rPr>
          <w:rFonts w:hint="eastAsia" w:ascii="Times New Roman" w:hAnsi="Times New Roman" w:cs="Times New Roman"/>
          <w:b w:val="0"/>
          <w:bCs w:val="0"/>
          <w:color w:val="auto"/>
          <w:szCs w:val="24"/>
          <w:highlight w:val="none"/>
          <w:lang w:val="en-US" w:eastAsia="zh-CN"/>
        </w:rPr>
      </w:pPr>
      <w:r>
        <w:rPr>
          <w:rFonts w:hint="eastAsia" w:ascii="Times New Roman" w:hAnsi="Times New Roman" w:cs="Times New Roman"/>
          <w:b w:val="0"/>
          <w:bCs w:val="0"/>
          <w:color w:val="auto"/>
          <w:szCs w:val="24"/>
          <w:highlight w:val="none"/>
          <w:lang w:val="en-US" w:eastAsia="zh-CN"/>
        </w:rPr>
        <w:t>1）零售客户营销集市</w:t>
      </w:r>
    </w:p>
    <w:p w14:paraId="509BFAB4">
      <w:pPr>
        <w:keepNext w:val="0"/>
        <w:keepLines w:val="0"/>
        <w:widowControl/>
        <w:suppressLineNumbers w:val="0"/>
        <w:jc w:val="left"/>
        <w:rPr>
          <w:rFonts w:hint="default" w:ascii="Times New Roman" w:hAnsi="Times New Roman" w:cs="Times New Roman"/>
          <w:b/>
          <w:bCs/>
          <w:color w:val="auto"/>
          <w:szCs w:val="24"/>
          <w:highlight w:val="none"/>
          <w:lang w:val="en-US" w:eastAsia="zh-CN"/>
        </w:rPr>
      </w:pPr>
      <w:r>
        <w:rPr>
          <w:rFonts w:hint="eastAsia" w:ascii="Times New Roman" w:hAnsi="Times New Roman" w:cs="Times New Roman"/>
          <w:color w:val="auto"/>
          <w:szCs w:val="24"/>
          <w:highlight w:val="none"/>
          <w:lang w:val="en-US" w:eastAsia="zh-CN"/>
        </w:rPr>
        <w:t>零售客户营销集市根据业务提供的指标与口径，整合来自不同渠道的零售客户数据，以零售客户为维度形成一个全面的零售客户营销数据视图，如基本信息、存贷款信息、交易信息、营销信息等，提供准确、一致和可靠的零售客户数据。集市建设需满足包括但不限于标签管理平台、个人客户数字营销平台等系统对零售客户信息管理、客户分析、营销支持、客户互动与服务等数据需求。</w:t>
      </w:r>
    </w:p>
    <w:p w14:paraId="33533B60">
      <w:pPr>
        <w:keepNext w:val="0"/>
        <w:keepLines w:val="0"/>
        <w:pageBreakBefore w:val="0"/>
        <w:widowControl/>
        <w:numPr>
          <w:ilvl w:val="0"/>
          <w:numId w:val="0"/>
        </w:numPr>
        <w:suppressLineNumbers w:val="0"/>
        <w:kinsoku/>
        <w:wordWrap/>
        <w:overflowPunct/>
        <w:topLinePunct w:val="0"/>
        <w:autoSpaceDE w:val="0"/>
        <w:autoSpaceDN w:val="0"/>
        <w:bidi w:val="0"/>
        <w:adjustRightInd/>
        <w:snapToGrid/>
        <w:ind w:left="0" w:leftChars="0" w:firstLine="480" w:firstLineChars="200"/>
        <w:jc w:val="left"/>
        <w:textAlignment w:val="auto"/>
        <w:rPr>
          <w:rFonts w:hint="eastAsia" w:ascii="Times New Roman" w:hAnsi="Times New Roman" w:cs="Times New Roman"/>
          <w:b w:val="0"/>
          <w:bCs w:val="0"/>
          <w:color w:val="auto"/>
          <w:szCs w:val="24"/>
          <w:highlight w:val="none"/>
          <w:lang w:val="en-US" w:eastAsia="zh-CN"/>
        </w:rPr>
      </w:pPr>
      <w:r>
        <w:rPr>
          <w:rFonts w:hint="eastAsia" w:ascii="Times New Roman" w:hAnsi="Times New Roman" w:cs="Times New Roman"/>
          <w:b w:val="0"/>
          <w:bCs w:val="0"/>
          <w:color w:val="auto"/>
          <w:kern w:val="2"/>
          <w:sz w:val="24"/>
          <w:szCs w:val="24"/>
          <w:highlight w:val="none"/>
          <w:lang w:val="en-US" w:eastAsia="zh-CN" w:bidi="ar-SA"/>
        </w:rPr>
        <w:t>2</w:t>
      </w:r>
      <w:r>
        <w:rPr>
          <w:rFonts w:hint="eastAsia" w:ascii="Times New Roman" w:hAnsi="Times New Roman" w:eastAsia="宋体" w:cs="Times New Roman"/>
          <w:b w:val="0"/>
          <w:bCs w:val="0"/>
          <w:color w:val="auto"/>
          <w:kern w:val="2"/>
          <w:sz w:val="24"/>
          <w:szCs w:val="24"/>
          <w:highlight w:val="none"/>
          <w:lang w:val="en-US" w:eastAsia="zh-CN" w:bidi="ar-SA"/>
        </w:rPr>
        <w:t>）</w:t>
      </w:r>
      <w:r>
        <w:rPr>
          <w:rFonts w:hint="eastAsia" w:ascii="Times New Roman" w:hAnsi="Times New Roman" w:cs="Times New Roman"/>
          <w:b w:val="0"/>
          <w:bCs w:val="0"/>
          <w:color w:val="auto"/>
          <w:szCs w:val="24"/>
          <w:highlight w:val="none"/>
          <w:lang w:val="en-US" w:eastAsia="zh-CN"/>
        </w:rPr>
        <w:t>对公客户营销集市</w:t>
      </w:r>
    </w:p>
    <w:p w14:paraId="101594E4">
      <w:pPr>
        <w:keepNext w:val="0"/>
        <w:keepLines w:val="0"/>
        <w:widowControl/>
        <w:suppressLineNumbers w:val="0"/>
        <w:jc w:val="left"/>
        <w:rPr>
          <w:rFonts w:hint="default" w:ascii="Times New Roman" w:hAnsi="Times New Roman" w:cs="Times New Roman"/>
          <w:color w:val="auto"/>
          <w:szCs w:val="24"/>
          <w:highlight w:val="none"/>
          <w:lang w:val="en-US" w:eastAsia="zh-CN"/>
        </w:rPr>
      </w:pPr>
      <w:r>
        <w:rPr>
          <w:rFonts w:hint="eastAsia" w:ascii="Times New Roman" w:hAnsi="Times New Roman" w:cs="Times New Roman"/>
          <w:color w:val="auto"/>
          <w:szCs w:val="24"/>
          <w:highlight w:val="none"/>
          <w:lang w:val="en-US" w:eastAsia="zh-CN"/>
        </w:rPr>
        <w:t>对公客户营销集市需整合全行公司客户相关的包括账户、产品持有、风险评级、财务信息、资金交易等行内外数据，建设全行对公类应用及服务的基础数据集市，服务于公司条线的营销、风控、运营管理等领域。集市建设需梳理加工对公业务指标体系，确保数据的全面性和准确性，支撑标签管理平台、阵地营销平台等系统，为其提供基础数据和加工数据支持。</w:t>
      </w:r>
    </w:p>
    <w:p w14:paraId="757153C0">
      <w:pPr>
        <w:keepNext w:val="0"/>
        <w:keepLines w:val="0"/>
        <w:widowControl/>
        <w:numPr>
          <w:ilvl w:val="0"/>
          <w:numId w:val="0"/>
        </w:numPr>
        <w:suppressLineNumbers w:val="0"/>
        <w:ind w:firstLine="480" w:firstLineChars="200"/>
        <w:jc w:val="left"/>
        <w:rPr>
          <w:rFonts w:hint="default" w:ascii="Times New Roman" w:hAnsi="Times New Roman" w:cs="Times New Roman"/>
          <w:b w:val="0"/>
          <w:bCs w:val="0"/>
          <w:color w:val="auto"/>
          <w:szCs w:val="24"/>
          <w:highlight w:val="none"/>
          <w:lang w:val="en-US" w:eastAsia="zh-CN"/>
        </w:rPr>
      </w:pPr>
      <w:r>
        <w:rPr>
          <w:rFonts w:hint="eastAsia" w:ascii="Times New Roman" w:hAnsi="Times New Roman" w:cs="Times New Roman"/>
          <w:b w:val="0"/>
          <w:bCs w:val="0"/>
          <w:color w:val="auto"/>
          <w:szCs w:val="24"/>
          <w:highlight w:val="none"/>
          <w:lang w:val="en-US" w:eastAsia="zh-CN"/>
        </w:rPr>
        <w:t>3）商户客户营销集市</w:t>
      </w:r>
    </w:p>
    <w:p w14:paraId="295BC035">
      <w:pPr>
        <w:keepNext w:val="0"/>
        <w:keepLines w:val="0"/>
        <w:widowControl/>
        <w:suppressLineNumbers w:val="0"/>
        <w:jc w:val="left"/>
        <w:rPr>
          <w:rFonts w:hint="eastAsia" w:ascii="Times New Roman" w:hAnsi="Times New Roman" w:cs="Times New Roman"/>
          <w:color w:val="auto"/>
          <w:szCs w:val="24"/>
          <w:highlight w:val="none"/>
          <w:lang w:val="en-US" w:eastAsia="zh-CN"/>
        </w:rPr>
      </w:pPr>
      <w:r>
        <w:rPr>
          <w:rFonts w:hint="eastAsia" w:ascii="Times New Roman" w:hAnsi="Times New Roman" w:cs="Times New Roman"/>
          <w:color w:val="auto"/>
          <w:szCs w:val="24"/>
          <w:highlight w:val="none"/>
          <w:lang w:val="en-US" w:eastAsia="zh-CN"/>
        </w:rPr>
        <w:t>商户客户营销集市需整合全行所有收单商户的内外部数据，包括但不限于商户基础信息、交易流水、产品持有信息等，形成以商户为主维度的营销集市。集市建设需满足商户管理驾驶舱、标签管理平台等系统的展示、运营、分析以及营销的用数需求。</w:t>
      </w:r>
    </w:p>
    <w:p w14:paraId="0E809591">
      <w:pPr>
        <w:keepNext w:val="0"/>
        <w:keepLines w:val="0"/>
        <w:widowControl/>
        <w:numPr>
          <w:ilvl w:val="0"/>
          <w:numId w:val="0"/>
        </w:numPr>
        <w:suppressLineNumbers w:val="0"/>
        <w:ind w:firstLine="482" w:firstLineChars="200"/>
        <w:jc w:val="left"/>
        <w:rPr>
          <w:rFonts w:hint="default" w:ascii="Times New Roman" w:hAnsi="Times New Roman" w:cs="Times New Roman"/>
          <w:b/>
          <w:bCs/>
          <w:color w:val="auto"/>
          <w:szCs w:val="24"/>
          <w:highlight w:val="none"/>
          <w:lang w:val="en-US" w:eastAsia="zh-CN"/>
        </w:rPr>
      </w:pPr>
      <w:r>
        <w:rPr>
          <w:rFonts w:hint="eastAsia" w:ascii="Times New Roman" w:hAnsi="Times New Roman" w:cs="Times New Roman"/>
          <w:b/>
          <w:bCs/>
          <w:color w:val="auto"/>
          <w:szCs w:val="24"/>
          <w:highlight w:val="none"/>
          <w:lang w:val="en-US" w:eastAsia="zh-CN"/>
        </w:rPr>
        <w:t>（3）风险管理相关集市</w:t>
      </w:r>
    </w:p>
    <w:p w14:paraId="552A1763">
      <w:pPr>
        <w:keepNext w:val="0"/>
        <w:keepLines w:val="0"/>
        <w:widowControl/>
        <w:numPr>
          <w:ilvl w:val="0"/>
          <w:numId w:val="0"/>
        </w:numPr>
        <w:suppressLineNumbers w:val="0"/>
        <w:ind w:firstLine="480" w:firstLineChars="200"/>
        <w:jc w:val="left"/>
        <w:rPr>
          <w:rFonts w:hint="default" w:ascii="Times New Roman" w:hAnsi="Times New Roman" w:cs="Times New Roman"/>
          <w:b w:val="0"/>
          <w:bCs w:val="0"/>
          <w:color w:val="auto"/>
          <w:szCs w:val="24"/>
          <w:highlight w:val="none"/>
          <w:lang w:val="en-US" w:eastAsia="zh-CN"/>
        </w:rPr>
      </w:pPr>
      <w:r>
        <w:rPr>
          <w:rFonts w:hint="eastAsia" w:ascii="Times New Roman" w:hAnsi="Times New Roman" w:cs="Times New Roman"/>
          <w:b w:val="0"/>
          <w:bCs w:val="0"/>
          <w:color w:val="auto"/>
          <w:szCs w:val="24"/>
          <w:highlight w:val="none"/>
          <w:lang w:val="en-US" w:eastAsia="zh-CN"/>
        </w:rPr>
        <w:t>1）操作</w:t>
      </w:r>
      <w:r>
        <w:rPr>
          <w:rFonts w:hint="default" w:ascii="Times New Roman" w:hAnsi="Times New Roman" w:cs="Times New Roman"/>
          <w:b w:val="0"/>
          <w:bCs w:val="0"/>
          <w:color w:val="auto"/>
          <w:szCs w:val="24"/>
          <w:highlight w:val="none"/>
          <w:lang w:val="en-US" w:eastAsia="zh-CN"/>
        </w:rPr>
        <w:t>风险集市</w:t>
      </w:r>
    </w:p>
    <w:p w14:paraId="7C32932A">
      <w:pPr>
        <w:keepNext w:val="0"/>
        <w:keepLines w:val="0"/>
        <w:widowControl/>
        <w:suppressLineNumbers w:val="0"/>
        <w:jc w:val="left"/>
        <w:rPr>
          <w:rFonts w:hint="eastAsia" w:ascii="Times New Roman" w:hAnsi="Times New Roman" w:cs="Times New Roman"/>
          <w:color w:val="auto"/>
          <w:szCs w:val="24"/>
          <w:highlight w:val="none"/>
          <w:lang w:val="en-US" w:eastAsia="zh-CN"/>
        </w:rPr>
      </w:pPr>
      <w:r>
        <w:rPr>
          <w:rFonts w:hint="eastAsia" w:ascii="Times New Roman" w:hAnsi="Times New Roman" w:cs="Times New Roman"/>
          <w:color w:val="auto"/>
          <w:szCs w:val="24"/>
          <w:highlight w:val="none"/>
          <w:lang w:val="en-US" w:eastAsia="zh-CN"/>
        </w:rPr>
        <w:t>操作风险集市</w:t>
      </w:r>
      <w:r>
        <w:rPr>
          <w:rFonts w:hint="default" w:ascii="Times New Roman" w:hAnsi="Times New Roman" w:cs="Times New Roman"/>
          <w:color w:val="auto"/>
          <w:szCs w:val="24"/>
          <w:highlight w:val="none"/>
          <w:lang w:val="en-US" w:eastAsia="zh-CN"/>
        </w:rPr>
        <w:t>聚焦于</w:t>
      </w:r>
      <w:r>
        <w:rPr>
          <w:rFonts w:hint="eastAsia" w:ascii="Times New Roman" w:hAnsi="Times New Roman" w:cs="Times New Roman"/>
          <w:color w:val="auto"/>
          <w:szCs w:val="24"/>
          <w:highlight w:val="none"/>
          <w:lang w:val="en-US" w:eastAsia="zh-CN"/>
        </w:rPr>
        <w:t>操作</w:t>
      </w:r>
      <w:r>
        <w:rPr>
          <w:rFonts w:hint="default" w:ascii="Times New Roman" w:hAnsi="Times New Roman" w:cs="Times New Roman"/>
          <w:color w:val="auto"/>
          <w:szCs w:val="24"/>
          <w:highlight w:val="none"/>
          <w:lang w:val="en-US" w:eastAsia="zh-CN"/>
        </w:rPr>
        <w:t>风险相关的数据，</w:t>
      </w:r>
      <w:r>
        <w:rPr>
          <w:rFonts w:hint="eastAsia" w:ascii="Times New Roman" w:hAnsi="Times New Roman" w:cs="Times New Roman"/>
          <w:color w:val="auto"/>
          <w:szCs w:val="24"/>
          <w:highlight w:val="none"/>
          <w:lang w:val="en-US" w:eastAsia="zh-CN"/>
        </w:rPr>
        <w:t>需将现有操作风险相关指标进行梳理</w:t>
      </w:r>
      <w:r>
        <w:rPr>
          <w:rFonts w:hint="default" w:ascii="Times New Roman" w:hAnsi="Times New Roman" w:cs="Times New Roman"/>
          <w:color w:val="auto"/>
          <w:szCs w:val="24"/>
          <w:highlight w:val="none"/>
          <w:lang w:val="en-US" w:eastAsia="zh-CN"/>
        </w:rPr>
        <w:t>整合</w:t>
      </w:r>
      <w:r>
        <w:rPr>
          <w:rFonts w:hint="eastAsia" w:ascii="Times New Roman" w:hAnsi="Times New Roman" w:cs="Times New Roman"/>
          <w:color w:val="auto"/>
          <w:szCs w:val="24"/>
          <w:highlight w:val="none"/>
          <w:lang w:val="en-US" w:eastAsia="zh-CN"/>
        </w:rPr>
        <w:t>，包括但不限于信贷系统、金融产品代销平台、行内理财销售管理系统、运维管理平台、项目管理平台等系统的操作风险指标，同时结合业务实际需求建立操作风险管理专用集市</w:t>
      </w:r>
      <w:r>
        <w:rPr>
          <w:rFonts w:hint="default" w:ascii="Times New Roman" w:hAnsi="Times New Roman" w:cs="Times New Roman"/>
          <w:color w:val="auto"/>
          <w:szCs w:val="24"/>
          <w:highlight w:val="none"/>
          <w:lang w:val="en-US" w:eastAsia="zh-CN"/>
        </w:rPr>
        <w:t>，</w:t>
      </w:r>
      <w:r>
        <w:rPr>
          <w:rFonts w:hint="eastAsia" w:ascii="Times New Roman" w:hAnsi="Times New Roman" w:cs="Times New Roman"/>
          <w:color w:val="auto"/>
          <w:szCs w:val="24"/>
          <w:highlight w:val="none"/>
          <w:lang w:val="en-US" w:eastAsia="zh-CN"/>
        </w:rPr>
        <w:t>满足操作风险系统高效精准的用数需求，</w:t>
      </w:r>
      <w:r>
        <w:rPr>
          <w:rFonts w:hint="default" w:ascii="Times New Roman" w:hAnsi="Times New Roman" w:cs="Times New Roman"/>
          <w:color w:val="auto"/>
          <w:szCs w:val="24"/>
          <w:highlight w:val="none"/>
          <w:lang w:val="en-US" w:eastAsia="zh-CN"/>
        </w:rPr>
        <w:t>助力相关部门及时掌握</w:t>
      </w:r>
      <w:r>
        <w:rPr>
          <w:rFonts w:hint="eastAsia" w:ascii="Times New Roman" w:hAnsi="Times New Roman" w:cs="Times New Roman"/>
          <w:color w:val="auto"/>
          <w:szCs w:val="24"/>
          <w:highlight w:val="none"/>
          <w:lang w:val="en-US" w:eastAsia="zh-CN"/>
        </w:rPr>
        <w:t>操作</w:t>
      </w:r>
      <w:r>
        <w:rPr>
          <w:rFonts w:hint="default" w:ascii="Times New Roman" w:hAnsi="Times New Roman" w:cs="Times New Roman"/>
          <w:color w:val="auto"/>
          <w:szCs w:val="24"/>
          <w:highlight w:val="none"/>
          <w:lang w:val="en-US" w:eastAsia="zh-CN"/>
        </w:rPr>
        <w:t>风险情况</w:t>
      </w:r>
      <w:r>
        <w:rPr>
          <w:rFonts w:hint="eastAsia" w:ascii="Times New Roman" w:hAnsi="Times New Roman" w:cs="Times New Roman"/>
          <w:color w:val="auto"/>
          <w:szCs w:val="24"/>
          <w:highlight w:val="none"/>
          <w:lang w:val="en-US" w:eastAsia="zh-CN"/>
        </w:rPr>
        <w:t>。</w:t>
      </w:r>
    </w:p>
    <w:p w14:paraId="5851271B">
      <w:pPr>
        <w:keepNext w:val="0"/>
        <w:keepLines w:val="0"/>
        <w:widowControl/>
        <w:suppressLineNumbers w:val="0"/>
        <w:jc w:val="left"/>
        <w:rPr>
          <w:rFonts w:hint="eastAsia" w:ascii="Times New Roman" w:hAnsi="Times New Roman" w:cs="Times New Roman"/>
          <w:color w:val="auto"/>
          <w:szCs w:val="24"/>
          <w:highlight w:val="none"/>
          <w:lang w:val="en-US" w:eastAsia="zh-CN"/>
        </w:rPr>
      </w:pPr>
      <w:r>
        <w:rPr>
          <w:rFonts w:hint="eastAsia" w:ascii="Times New Roman" w:hAnsi="Times New Roman" w:cs="Times New Roman"/>
          <w:color w:val="auto"/>
          <w:szCs w:val="24"/>
          <w:highlight w:val="none"/>
          <w:lang w:val="en-US" w:eastAsia="zh-CN"/>
        </w:rPr>
        <w:t>2）大数据风控集市</w:t>
      </w:r>
    </w:p>
    <w:p w14:paraId="5212AB88">
      <w:pPr>
        <w:keepNext w:val="0"/>
        <w:keepLines w:val="0"/>
        <w:widowControl/>
        <w:suppressLineNumbers w:val="0"/>
        <w:jc w:val="left"/>
        <w:rPr>
          <w:rFonts w:hint="default" w:ascii="Times New Roman" w:hAnsi="Times New Roman" w:cs="Times New Roman"/>
          <w:color w:val="auto"/>
          <w:szCs w:val="24"/>
          <w:highlight w:val="none"/>
          <w:lang w:val="en-US" w:eastAsia="zh-CN"/>
        </w:rPr>
      </w:pPr>
      <w:r>
        <w:rPr>
          <w:rFonts w:hint="eastAsia" w:ascii="Times New Roman" w:hAnsi="Times New Roman" w:cs="Times New Roman"/>
          <w:color w:val="auto"/>
          <w:szCs w:val="24"/>
          <w:highlight w:val="none"/>
          <w:lang w:val="en-US" w:eastAsia="zh-CN"/>
        </w:rPr>
        <w:t>大数据风控集市需将现有风控变量、贷后预警等指标进行梳理</w:t>
      </w:r>
      <w:r>
        <w:rPr>
          <w:rFonts w:hint="default" w:ascii="Times New Roman" w:hAnsi="Times New Roman" w:cs="Times New Roman"/>
          <w:color w:val="auto"/>
          <w:szCs w:val="24"/>
          <w:highlight w:val="none"/>
          <w:lang w:val="en-US" w:eastAsia="zh-CN"/>
        </w:rPr>
        <w:t>整合</w:t>
      </w:r>
      <w:r>
        <w:rPr>
          <w:rFonts w:hint="eastAsia" w:ascii="Times New Roman" w:hAnsi="Times New Roman" w:cs="Times New Roman"/>
          <w:color w:val="auto"/>
          <w:szCs w:val="24"/>
          <w:highlight w:val="none"/>
          <w:lang w:val="en-US" w:eastAsia="zh-CN"/>
        </w:rPr>
        <w:t>，接入并整合贷款业务的内外部数据，包括但不限于客户信息、申请信息、放款信息、还款信息、逾期信息等行内数据，以及征信、工商等外部数据信息，满足智能信贷风控平台、授信业务管理系统等系统风险控制的用数需求。</w:t>
      </w:r>
    </w:p>
    <w:p w14:paraId="4073AA70">
      <w:pPr>
        <w:keepNext w:val="0"/>
        <w:keepLines w:val="0"/>
        <w:widowControl/>
        <w:numPr>
          <w:ilvl w:val="0"/>
          <w:numId w:val="0"/>
        </w:numPr>
        <w:suppressLineNumbers w:val="0"/>
        <w:ind w:firstLine="482" w:firstLineChars="200"/>
        <w:jc w:val="left"/>
        <w:rPr>
          <w:rFonts w:hint="default" w:ascii="Times New Roman" w:hAnsi="Times New Roman" w:cs="Times New Roman"/>
          <w:b/>
          <w:bCs/>
          <w:color w:val="auto"/>
          <w:szCs w:val="24"/>
          <w:highlight w:val="none"/>
          <w:lang w:val="en-US" w:eastAsia="zh-CN"/>
        </w:rPr>
      </w:pPr>
      <w:r>
        <w:rPr>
          <w:rFonts w:hint="eastAsia" w:ascii="Times New Roman" w:hAnsi="Times New Roman" w:cs="Times New Roman"/>
          <w:b/>
          <w:bCs/>
          <w:color w:val="auto"/>
          <w:szCs w:val="24"/>
          <w:highlight w:val="none"/>
          <w:lang w:val="en-US" w:eastAsia="zh-CN"/>
        </w:rPr>
        <w:t>（4）运营分析相关集市</w:t>
      </w:r>
    </w:p>
    <w:p w14:paraId="4874AE1D">
      <w:pPr>
        <w:keepNext w:val="0"/>
        <w:keepLines w:val="0"/>
        <w:widowControl/>
        <w:numPr>
          <w:ilvl w:val="0"/>
          <w:numId w:val="0"/>
        </w:numPr>
        <w:suppressLineNumbers w:val="0"/>
        <w:ind w:firstLine="480" w:firstLineChars="200"/>
        <w:jc w:val="left"/>
        <w:rPr>
          <w:rFonts w:hint="eastAsia" w:ascii="Times New Roman" w:hAnsi="Times New Roman" w:cs="Times New Roman"/>
          <w:b w:val="0"/>
          <w:bCs w:val="0"/>
          <w:color w:val="auto"/>
          <w:szCs w:val="24"/>
          <w:highlight w:val="none"/>
          <w:lang w:val="en-US" w:eastAsia="zh-CN"/>
        </w:rPr>
      </w:pPr>
      <w:r>
        <w:rPr>
          <w:rFonts w:hint="eastAsia" w:ascii="Times New Roman" w:hAnsi="Times New Roman" w:cs="Times New Roman"/>
          <w:b w:val="0"/>
          <w:bCs w:val="0"/>
          <w:color w:val="auto"/>
          <w:szCs w:val="24"/>
          <w:highlight w:val="none"/>
          <w:lang w:val="en-US" w:eastAsia="zh-CN"/>
        </w:rPr>
        <w:t>1）结算运营集市</w:t>
      </w:r>
    </w:p>
    <w:p w14:paraId="795E30E4">
      <w:pPr>
        <w:keepNext w:val="0"/>
        <w:keepLines w:val="0"/>
        <w:widowControl/>
        <w:suppressLineNumbers w:val="0"/>
        <w:jc w:val="left"/>
        <w:rPr>
          <w:rFonts w:hint="default" w:ascii="Times New Roman" w:hAnsi="Times New Roman" w:cs="Times New Roman"/>
          <w:color w:val="auto"/>
          <w:szCs w:val="24"/>
          <w:highlight w:val="none"/>
          <w:lang w:val="en-US" w:eastAsia="zh-CN"/>
        </w:rPr>
      </w:pPr>
      <w:r>
        <w:rPr>
          <w:rFonts w:hint="eastAsia" w:ascii="Times New Roman" w:hAnsi="Times New Roman" w:cs="Times New Roman"/>
          <w:b w:val="0"/>
          <w:bCs w:val="0"/>
          <w:color w:val="auto"/>
          <w:szCs w:val="24"/>
          <w:highlight w:val="none"/>
          <w:lang w:val="en-US" w:eastAsia="zh-CN"/>
        </w:rPr>
        <w:t>结算运营</w:t>
      </w:r>
      <w:r>
        <w:rPr>
          <w:rFonts w:hint="eastAsia" w:ascii="Times New Roman" w:hAnsi="Times New Roman" w:cs="Times New Roman"/>
          <w:color w:val="auto"/>
          <w:szCs w:val="24"/>
          <w:highlight w:val="none"/>
          <w:lang w:val="en-US" w:eastAsia="zh-CN"/>
        </w:rPr>
        <w:t>集市需从运营管理相关报表、提数作业等需求出发，全面归纳业务运营指标，整合行内各业务系统的数据，按机构、员工、设备、客户、账户等维度加工形成一系列关于</w:t>
      </w:r>
      <w:r>
        <w:rPr>
          <w:rFonts w:hint="eastAsia" w:ascii="Times New Roman" w:hAnsi="Times New Roman" w:cs="Times New Roman"/>
          <w:b w:val="0"/>
          <w:bCs w:val="0"/>
          <w:color w:val="auto"/>
          <w:szCs w:val="24"/>
          <w:highlight w:val="none"/>
          <w:lang w:val="en-US" w:eastAsia="zh-CN"/>
        </w:rPr>
        <w:t>结算运营</w:t>
      </w:r>
      <w:r>
        <w:rPr>
          <w:rFonts w:hint="eastAsia" w:ascii="Times New Roman" w:hAnsi="Times New Roman" w:cs="Times New Roman"/>
          <w:color w:val="auto"/>
          <w:szCs w:val="24"/>
          <w:highlight w:val="none"/>
          <w:lang w:val="en-US" w:eastAsia="zh-CN"/>
        </w:rPr>
        <w:t>的指标，帮助运营管理条线自助分析日常业务运营的基本情况。</w:t>
      </w:r>
    </w:p>
    <w:p w14:paraId="75FC1174">
      <w:pPr>
        <w:keepNext w:val="0"/>
        <w:keepLines w:val="0"/>
        <w:widowControl/>
        <w:numPr>
          <w:ilvl w:val="0"/>
          <w:numId w:val="0"/>
        </w:numPr>
        <w:suppressLineNumbers w:val="0"/>
        <w:ind w:firstLine="480" w:firstLineChars="200"/>
        <w:jc w:val="left"/>
        <w:rPr>
          <w:rFonts w:hint="default" w:ascii="Times New Roman" w:hAnsi="Times New Roman" w:cs="Times New Roman"/>
          <w:b w:val="0"/>
          <w:bCs w:val="0"/>
          <w:color w:val="auto"/>
          <w:szCs w:val="24"/>
          <w:highlight w:val="none"/>
          <w:lang w:val="en-US" w:eastAsia="zh-CN"/>
        </w:rPr>
      </w:pPr>
      <w:r>
        <w:rPr>
          <w:rFonts w:hint="eastAsia" w:ascii="Times New Roman" w:hAnsi="Times New Roman" w:cs="Times New Roman"/>
          <w:b w:val="0"/>
          <w:bCs w:val="0"/>
          <w:color w:val="auto"/>
          <w:szCs w:val="24"/>
          <w:highlight w:val="none"/>
          <w:lang w:val="en-US" w:eastAsia="zh-CN"/>
        </w:rPr>
        <w:t>2）产品</w:t>
      </w:r>
      <w:r>
        <w:rPr>
          <w:rFonts w:hint="default" w:ascii="Times New Roman" w:hAnsi="Times New Roman" w:cs="Times New Roman"/>
          <w:b w:val="0"/>
          <w:bCs w:val="0"/>
          <w:color w:val="auto"/>
          <w:szCs w:val="24"/>
          <w:highlight w:val="none"/>
          <w:lang w:val="en-US" w:eastAsia="zh-CN"/>
        </w:rPr>
        <w:t>运营集市</w:t>
      </w:r>
    </w:p>
    <w:p w14:paraId="54540BFE">
      <w:pPr>
        <w:keepNext w:val="0"/>
        <w:keepLines w:val="0"/>
        <w:widowControl/>
        <w:suppressLineNumbers w:val="0"/>
        <w:jc w:val="left"/>
        <w:rPr>
          <w:rFonts w:hint="eastAsia" w:ascii="Times New Roman" w:hAnsi="Times New Roman" w:cs="Times New Roman"/>
          <w:color w:val="auto"/>
          <w:szCs w:val="24"/>
          <w:highlight w:val="none"/>
          <w:lang w:val="en-US" w:eastAsia="zh-CN"/>
        </w:rPr>
      </w:pPr>
      <w:r>
        <w:rPr>
          <w:rFonts w:hint="eastAsia" w:ascii="Times New Roman" w:hAnsi="Times New Roman" w:cs="Times New Roman"/>
          <w:color w:val="auto"/>
          <w:szCs w:val="24"/>
          <w:highlight w:val="none"/>
          <w:lang w:val="en-US" w:eastAsia="zh-CN"/>
        </w:rPr>
        <w:t>产品运营集市需全面梳理产品运营相关报表、提数、业务台账等需求，对行内不同的产品按时间、机构等维度</w:t>
      </w:r>
      <w:r>
        <w:rPr>
          <w:rFonts w:hint="default" w:ascii="Times New Roman" w:hAnsi="Times New Roman" w:cs="Times New Roman"/>
          <w:color w:val="auto"/>
          <w:szCs w:val="24"/>
          <w:highlight w:val="none"/>
          <w:lang w:val="en-US" w:eastAsia="zh-CN"/>
        </w:rPr>
        <w:t>加工关键运营指标数据</w:t>
      </w:r>
      <w:r>
        <w:rPr>
          <w:rFonts w:hint="eastAsia" w:ascii="Times New Roman" w:hAnsi="Times New Roman" w:cs="Times New Roman"/>
          <w:color w:val="auto"/>
          <w:szCs w:val="24"/>
          <w:highlight w:val="none"/>
          <w:lang w:val="en-US" w:eastAsia="zh-CN"/>
        </w:rPr>
        <w:t>，如产品销售情况、产品余额情况、产品到期情况等</w:t>
      </w:r>
      <w:r>
        <w:rPr>
          <w:rFonts w:hint="default" w:ascii="Times New Roman" w:hAnsi="Times New Roman" w:cs="Times New Roman"/>
          <w:color w:val="auto"/>
          <w:szCs w:val="24"/>
          <w:highlight w:val="none"/>
          <w:lang w:val="en-US" w:eastAsia="zh-CN"/>
        </w:rPr>
        <w:t>，为</w:t>
      </w:r>
      <w:r>
        <w:rPr>
          <w:rFonts w:hint="eastAsia" w:ascii="Times New Roman" w:hAnsi="Times New Roman" w:cs="Times New Roman"/>
          <w:color w:val="auto"/>
          <w:szCs w:val="24"/>
          <w:highlight w:val="none"/>
          <w:lang w:val="en-US" w:eastAsia="zh-CN"/>
        </w:rPr>
        <w:t>比选人各条线日常产品运营及业务自助分析</w:t>
      </w:r>
      <w:r>
        <w:rPr>
          <w:rFonts w:hint="default" w:ascii="Times New Roman" w:hAnsi="Times New Roman" w:cs="Times New Roman"/>
          <w:color w:val="auto"/>
          <w:szCs w:val="24"/>
          <w:highlight w:val="none"/>
          <w:lang w:val="en-US" w:eastAsia="zh-CN"/>
        </w:rPr>
        <w:t>提供及时</w:t>
      </w:r>
      <w:r>
        <w:rPr>
          <w:rFonts w:hint="eastAsia" w:ascii="Times New Roman" w:hAnsi="Times New Roman" w:cs="Times New Roman"/>
          <w:color w:val="auto"/>
          <w:szCs w:val="24"/>
          <w:highlight w:val="none"/>
          <w:lang w:val="en-US" w:eastAsia="zh-CN"/>
        </w:rPr>
        <w:t>、精准的</w:t>
      </w:r>
      <w:r>
        <w:rPr>
          <w:rFonts w:hint="default" w:ascii="Times New Roman" w:hAnsi="Times New Roman" w:cs="Times New Roman"/>
          <w:color w:val="auto"/>
          <w:szCs w:val="24"/>
          <w:highlight w:val="none"/>
          <w:lang w:val="en-US" w:eastAsia="zh-CN"/>
        </w:rPr>
        <w:t>数据</w:t>
      </w:r>
      <w:r>
        <w:rPr>
          <w:rFonts w:hint="eastAsia" w:ascii="Times New Roman" w:hAnsi="Times New Roman" w:cs="Times New Roman"/>
          <w:color w:val="auto"/>
          <w:szCs w:val="24"/>
          <w:highlight w:val="none"/>
          <w:lang w:val="en-US" w:eastAsia="zh-CN"/>
        </w:rPr>
        <w:t>支撑。</w:t>
      </w:r>
    </w:p>
    <w:p w14:paraId="3C079260">
      <w:pPr>
        <w:keepNext w:val="0"/>
        <w:keepLines w:val="0"/>
        <w:widowControl/>
        <w:numPr>
          <w:ilvl w:val="0"/>
          <w:numId w:val="0"/>
        </w:numPr>
        <w:suppressLineNumbers w:val="0"/>
        <w:ind w:firstLine="482" w:firstLineChars="200"/>
        <w:jc w:val="left"/>
        <w:rPr>
          <w:rFonts w:hint="eastAsia" w:ascii="Times New Roman" w:hAnsi="Times New Roman" w:cs="Times New Roman"/>
          <w:b/>
          <w:bCs/>
          <w:color w:val="auto"/>
          <w:szCs w:val="24"/>
          <w:highlight w:val="none"/>
          <w:lang w:val="en-US" w:eastAsia="zh-CN"/>
        </w:rPr>
      </w:pPr>
      <w:r>
        <w:rPr>
          <w:rFonts w:hint="eastAsia" w:ascii="Times New Roman" w:hAnsi="Times New Roman" w:cs="Times New Roman"/>
          <w:b/>
          <w:bCs/>
          <w:color w:val="auto"/>
          <w:szCs w:val="24"/>
          <w:highlight w:val="none"/>
          <w:lang w:val="en-US" w:eastAsia="zh-CN"/>
        </w:rPr>
        <w:t>（5）业务条线相关集市</w:t>
      </w:r>
    </w:p>
    <w:p w14:paraId="4E66755A">
      <w:pPr>
        <w:keepNext w:val="0"/>
        <w:keepLines w:val="0"/>
        <w:widowControl/>
        <w:numPr>
          <w:ilvl w:val="0"/>
          <w:numId w:val="0"/>
        </w:numPr>
        <w:suppressLineNumbers w:val="0"/>
        <w:ind w:left="0" w:leftChars="0" w:firstLine="480" w:firstLineChars="200"/>
        <w:jc w:val="left"/>
        <w:rPr>
          <w:rFonts w:hint="eastAsia" w:ascii="Times New Roman" w:hAnsi="Times New Roman" w:cs="Times New Roman"/>
          <w:color w:val="auto"/>
          <w:szCs w:val="24"/>
          <w:highlight w:val="none"/>
          <w:lang w:val="en-US" w:eastAsia="zh-CN"/>
        </w:rPr>
      </w:pPr>
      <w:r>
        <w:rPr>
          <w:rFonts w:hint="eastAsia" w:ascii="Times New Roman" w:hAnsi="Times New Roman" w:cs="Times New Roman"/>
          <w:color w:val="auto"/>
          <w:kern w:val="2"/>
          <w:sz w:val="24"/>
          <w:szCs w:val="24"/>
          <w:highlight w:val="none"/>
          <w:lang w:val="en-US" w:eastAsia="zh-CN" w:bidi="ar-SA"/>
        </w:rPr>
        <w:t>1</w:t>
      </w:r>
      <w:r>
        <w:rPr>
          <w:rFonts w:hint="eastAsia" w:ascii="Times New Roman" w:hAnsi="Times New Roman" w:eastAsia="宋体" w:cs="Times New Roman"/>
          <w:color w:val="auto"/>
          <w:kern w:val="2"/>
          <w:sz w:val="24"/>
          <w:szCs w:val="24"/>
          <w:highlight w:val="none"/>
          <w:lang w:val="en-US" w:eastAsia="zh-CN" w:bidi="ar-SA"/>
        </w:rPr>
        <w:t>）</w:t>
      </w:r>
      <w:r>
        <w:rPr>
          <w:rFonts w:hint="eastAsia" w:ascii="Times New Roman" w:hAnsi="Times New Roman" w:cs="Times New Roman"/>
          <w:color w:val="auto"/>
          <w:kern w:val="2"/>
          <w:sz w:val="24"/>
          <w:szCs w:val="24"/>
          <w:highlight w:val="none"/>
          <w:lang w:val="en-US" w:eastAsia="zh-CN" w:bidi="ar-SA"/>
        </w:rPr>
        <w:t>普惠金融</w:t>
      </w:r>
      <w:r>
        <w:rPr>
          <w:rFonts w:hint="eastAsia" w:ascii="Times New Roman" w:hAnsi="Times New Roman" w:cs="Times New Roman"/>
          <w:color w:val="auto"/>
          <w:szCs w:val="24"/>
          <w:highlight w:val="none"/>
          <w:lang w:val="en-US" w:eastAsia="zh-CN"/>
        </w:rPr>
        <w:t>集市</w:t>
      </w:r>
    </w:p>
    <w:p w14:paraId="349DED63">
      <w:pPr>
        <w:keepNext w:val="0"/>
        <w:keepLines w:val="0"/>
        <w:widowControl/>
        <w:suppressLineNumbers w:val="0"/>
        <w:jc w:val="left"/>
        <w:rPr>
          <w:rFonts w:hint="default" w:ascii="Times New Roman" w:hAnsi="Times New Roman" w:cs="Times New Roman"/>
          <w:color w:val="auto"/>
          <w:szCs w:val="24"/>
          <w:highlight w:val="none"/>
          <w:lang w:val="en-US" w:eastAsia="zh-CN"/>
        </w:rPr>
      </w:pPr>
      <w:r>
        <w:rPr>
          <w:rFonts w:hint="eastAsia" w:ascii="Times New Roman" w:hAnsi="Times New Roman" w:cs="Times New Roman"/>
          <w:color w:val="auto"/>
          <w:szCs w:val="24"/>
          <w:highlight w:val="none"/>
          <w:lang w:val="en-US" w:eastAsia="zh-CN"/>
        </w:rPr>
        <w:t>普惠金融</w:t>
      </w:r>
      <w:r>
        <w:rPr>
          <w:rFonts w:hint="default" w:ascii="Times New Roman" w:hAnsi="Times New Roman" w:cs="Times New Roman"/>
          <w:color w:val="auto"/>
          <w:szCs w:val="24"/>
          <w:highlight w:val="none"/>
          <w:lang w:val="en-US" w:eastAsia="zh-CN"/>
        </w:rPr>
        <w:t>集市</w:t>
      </w:r>
      <w:r>
        <w:rPr>
          <w:rFonts w:hint="eastAsia" w:ascii="Times New Roman" w:hAnsi="Times New Roman" w:cs="Times New Roman"/>
          <w:color w:val="auto"/>
          <w:szCs w:val="24"/>
          <w:highlight w:val="none"/>
          <w:lang w:val="en-US" w:eastAsia="zh-CN"/>
        </w:rPr>
        <w:t>需按照普惠金融口径</w:t>
      </w:r>
      <w:r>
        <w:rPr>
          <w:rFonts w:hint="default" w:ascii="Times New Roman" w:hAnsi="Times New Roman" w:cs="Times New Roman"/>
          <w:color w:val="auto"/>
          <w:szCs w:val="24"/>
          <w:highlight w:val="none"/>
          <w:lang w:val="en-US" w:eastAsia="zh-CN"/>
        </w:rPr>
        <w:t>整合全行</w:t>
      </w:r>
      <w:r>
        <w:rPr>
          <w:rFonts w:hint="eastAsia" w:ascii="Times New Roman" w:hAnsi="Times New Roman" w:cs="Times New Roman"/>
          <w:color w:val="auto"/>
          <w:szCs w:val="24"/>
          <w:highlight w:val="none"/>
          <w:lang w:val="en-US" w:eastAsia="zh-CN"/>
        </w:rPr>
        <w:t>普惠</w:t>
      </w:r>
      <w:r>
        <w:rPr>
          <w:rFonts w:hint="default" w:ascii="Times New Roman" w:hAnsi="Times New Roman" w:cs="Times New Roman"/>
          <w:color w:val="auto"/>
          <w:szCs w:val="24"/>
          <w:highlight w:val="none"/>
          <w:lang w:val="en-US" w:eastAsia="zh-CN"/>
        </w:rPr>
        <w:t>客户信息及相关业务信息，包括账户、产品持有、风险评级、资金交易等行内外数据，集中加工计算、统一管理服务，支撑</w:t>
      </w:r>
      <w:r>
        <w:rPr>
          <w:rFonts w:hint="eastAsia" w:ascii="Times New Roman" w:hAnsi="Times New Roman" w:cs="Times New Roman"/>
          <w:color w:val="auto"/>
          <w:szCs w:val="24"/>
          <w:highlight w:val="none"/>
          <w:lang w:val="en-US" w:eastAsia="zh-CN"/>
        </w:rPr>
        <w:t>普惠业务营销、</w:t>
      </w:r>
      <w:r>
        <w:rPr>
          <w:rFonts w:hint="default" w:ascii="Times New Roman" w:hAnsi="Times New Roman" w:cs="Times New Roman"/>
          <w:color w:val="auto"/>
          <w:szCs w:val="24"/>
          <w:highlight w:val="none"/>
          <w:lang w:val="en-US" w:eastAsia="zh-CN"/>
        </w:rPr>
        <w:t>风</w:t>
      </w:r>
      <w:r>
        <w:rPr>
          <w:rFonts w:hint="eastAsia" w:ascii="Times New Roman" w:hAnsi="Times New Roman" w:cs="Times New Roman"/>
          <w:color w:val="auto"/>
          <w:szCs w:val="24"/>
          <w:highlight w:val="none"/>
          <w:lang w:val="en-US" w:eastAsia="zh-CN"/>
        </w:rPr>
        <w:t>控</w:t>
      </w:r>
      <w:r>
        <w:rPr>
          <w:rFonts w:hint="default" w:ascii="Times New Roman" w:hAnsi="Times New Roman" w:cs="Times New Roman"/>
          <w:color w:val="auto"/>
          <w:szCs w:val="24"/>
          <w:highlight w:val="none"/>
          <w:lang w:val="en-US" w:eastAsia="zh-CN"/>
        </w:rPr>
        <w:t>变量加工等应用，为</w:t>
      </w:r>
      <w:r>
        <w:rPr>
          <w:rFonts w:hint="eastAsia" w:ascii="Times New Roman" w:hAnsi="Times New Roman" w:cs="Times New Roman"/>
          <w:color w:val="auto"/>
          <w:szCs w:val="24"/>
          <w:highlight w:val="none"/>
          <w:lang w:val="en-US" w:eastAsia="zh-CN"/>
        </w:rPr>
        <w:t>其</w:t>
      </w:r>
      <w:r>
        <w:rPr>
          <w:rFonts w:hint="default" w:ascii="Times New Roman" w:hAnsi="Times New Roman" w:cs="Times New Roman"/>
          <w:color w:val="auto"/>
          <w:szCs w:val="24"/>
          <w:highlight w:val="none"/>
          <w:lang w:val="en-US" w:eastAsia="zh-CN"/>
        </w:rPr>
        <w:t>提供基础数据和指标数据的支持。</w:t>
      </w:r>
    </w:p>
    <w:p w14:paraId="683BB43F">
      <w:pPr>
        <w:keepNext w:val="0"/>
        <w:keepLines w:val="0"/>
        <w:widowControl/>
        <w:numPr>
          <w:ilvl w:val="0"/>
          <w:numId w:val="0"/>
        </w:numPr>
        <w:suppressLineNumbers w:val="0"/>
        <w:ind w:left="0" w:leftChars="0" w:firstLine="480" w:firstLineChars="200"/>
        <w:jc w:val="left"/>
        <w:rPr>
          <w:rFonts w:hint="eastAsia" w:ascii="Times New Roman" w:hAnsi="Times New Roman" w:cs="Times New Roman"/>
          <w:color w:val="auto"/>
          <w:szCs w:val="24"/>
          <w:highlight w:val="none"/>
          <w:lang w:val="en-US" w:eastAsia="zh-CN"/>
        </w:rPr>
      </w:pPr>
      <w:r>
        <w:rPr>
          <w:rFonts w:hint="eastAsia" w:ascii="Times New Roman" w:hAnsi="Times New Roman" w:cs="Times New Roman"/>
          <w:color w:val="auto"/>
          <w:szCs w:val="24"/>
          <w:highlight w:val="none"/>
          <w:lang w:val="en-US" w:eastAsia="zh-CN"/>
        </w:rPr>
        <w:t>2）绿色金融集市</w:t>
      </w:r>
    </w:p>
    <w:p w14:paraId="14940C10">
      <w:pPr>
        <w:keepNext w:val="0"/>
        <w:keepLines w:val="0"/>
        <w:widowControl/>
        <w:numPr>
          <w:ilvl w:val="0"/>
          <w:numId w:val="0"/>
        </w:numPr>
        <w:suppressLineNumbers w:val="0"/>
        <w:ind w:left="0" w:leftChars="0" w:firstLine="480" w:firstLineChars="200"/>
        <w:jc w:val="left"/>
        <w:rPr>
          <w:rFonts w:hint="eastAsia" w:ascii="Times New Roman" w:hAnsi="Times New Roman" w:cs="Times New Roman"/>
          <w:color w:val="auto"/>
          <w:szCs w:val="24"/>
          <w:highlight w:val="none"/>
          <w:lang w:val="en-US" w:eastAsia="zh-CN"/>
        </w:rPr>
      </w:pPr>
      <w:r>
        <w:rPr>
          <w:rFonts w:hint="eastAsia" w:ascii="Times New Roman" w:hAnsi="Times New Roman" w:cs="Times New Roman"/>
          <w:color w:val="auto"/>
          <w:szCs w:val="24"/>
          <w:highlight w:val="none"/>
          <w:lang w:val="en-US" w:eastAsia="zh-CN"/>
        </w:rPr>
        <w:t>绿色金融集市需按照绿色金融口径整合相关业务信息，包括绿色金融客户信息、绿色贷款信息等，统计加工绿色金融相关数据，为绿色金融管理系统提供基础数据支持。</w:t>
      </w:r>
    </w:p>
    <w:p w14:paraId="34D45BCB">
      <w:pPr>
        <w:keepNext w:val="0"/>
        <w:keepLines w:val="0"/>
        <w:widowControl/>
        <w:numPr>
          <w:ilvl w:val="0"/>
          <w:numId w:val="0"/>
        </w:numPr>
        <w:suppressLineNumbers w:val="0"/>
        <w:ind w:left="0" w:leftChars="0" w:firstLine="480" w:firstLineChars="200"/>
        <w:jc w:val="left"/>
        <w:rPr>
          <w:rFonts w:hint="eastAsia" w:ascii="Times New Roman" w:hAnsi="Times New Roman" w:cs="Times New Roman"/>
          <w:color w:val="auto"/>
          <w:szCs w:val="24"/>
          <w:highlight w:val="none"/>
          <w:lang w:val="en-US" w:eastAsia="zh-CN"/>
        </w:rPr>
      </w:pPr>
      <w:r>
        <w:rPr>
          <w:rFonts w:hint="eastAsia" w:ascii="Times New Roman" w:hAnsi="Times New Roman" w:cs="Times New Roman"/>
          <w:color w:val="auto"/>
          <w:szCs w:val="24"/>
          <w:highlight w:val="none"/>
          <w:lang w:val="en-US" w:eastAsia="zh-CN"/>
        </w:rPr>
        <w:t>3）财务管理集市</w:t>
      </w:r>
    </w:p>
    <w:p w14:paraId="2B90B4A2">
      <w:pPr>
        <w:keepNext w:val="0"/>
        <w:keepLines w:val="0"/>
        <w:widowControl/>
        <w:numPr>
          <w:ilvl w:val="0"/>
          <w:numId w:val="0"/>
        </w:numPr>
        <w:suppressLineNumbers w:val="0"/>
        <w:ind w:left="0" w:leftChars="0" w:firstLine="480" w:firstLineChars="200"/>
        <w:jc w:val="left"/>
        <w:rPr>
          <w:rFonts w:hint="eastAsia" w:ascii="Times New Roman" w:hAnsi="Times New Roman" w:cs="Times New Roman"/>
          <w:color w:val="auto"/>
          <w:szCs w:val="24"/>
          <w:highlight w:val="none"/>
          <w:lang w:val="en-US" w:eastAsia="zh-CN"/>
        </w:rPr>
      </w:pPr>
      <w:r>
        <w:rPr>
          <w:rFonts w:hint="eastAsia" w:ascii="Times New Roman" w:hAnsi="Times New Roman" w:cs="Times New Roman"/>
          <w:color w:val="auto"/>
          <w:szCs w:val="24"/>
          <w:highlight w:val="none"/>
          <w:lang w:val="en-US" w:eastAsia="zh-CN"/>
        </w:rPr>
        <w:t>财务管理集市需汇总包括交易、账户、客户、机构、产品、渠道、科目等多层级多维度的财务数据及指标，为财务条线日常决策分析、经营分析等诸多日常分析应用需求提供统一的数据出口。</w:t>
      </w:r>
    </w:p>
    <w:p w14:paraId="3E0372CB">
      <w:pPr>
        <w:keepNext w:val="0"/>
        <w:keepLines w:val="0"/>
        <w:widowControl/>
        <w:numPr>
          <w:ilvl w:val="0"/>
          <w:numId w:val="0"/>
        </w:numPr>
        <w:suppressLineNumbers w:val="0"/>
        <w:ind w:left="0" w:leftChars="0" w:firstLine="480" w:firstLineChars="200"/>
        <w:jc w:val="left"/>
        <w:rPr>
          <w:rFonts w:hint="eastAsia" w:ascii="Times New Roman" w:hAnsi="Times New Roman" w:cs="Times New Roman"/>
          <w:color w:val="auto"/>
          <w:szCs w:val="24"/>
          <w:highlight w:val="none"/>
          <w:lang w:val="en-US" w:eastAsia="zh-CN"/>
        </w:rPr>
      </w:pPr>
      <w:r>
        <w:rPr>
          <w:rFonts w:hint="eastAsia" w:ascii="Times New Roman" w:hAnsi="Times New Roman" w:cs="Times New Roman"/>
          <w:color w:val="auto"/>
          <w:szCs w:val="24"/>
          <w:highlight w:val="none"/>
          <w:lang w:val="en-US" w:eastAsia="zh-CN"/>
        </w:rPr>
        <w:t>4）国际结算集市</w:t>
      </w:r>
    </w:p>
    <w:p w14:paraId="712B7B40">
      <w:pPr>
        <w:keepNext w:val="0"/>
        <w:keepLines w:val="0"/>
        <w:widowControl/>
        <w:numPr>
          <w:ilvl w:val="0"/>
          <w:numId w:val="0"/>
        </w:numPr>
        <w:suppressLineNumbers w:val="0"/>
        <w:ind w:left="0" w:leftChars="0" w:firstLine="480" w:firstLineChars="200"/>
        <w:jc w:val="left"/>
        <w:rPr>
          <w:rFonts w:hint="eastAsia" w:ascii="Times New Roman" w:hAnsi="Times New Roman" w:cs="Times New Roman"/>
          <w:color w:val="auto"/>
          <w:szCs w:val="24"/>
          <w:highlight w:val="none"/>
          <w:lang w:val="en-US" w:eastAsia="zh-CN"/>
        </w:rPr>
      </w:pPr>
      <w:r>
        <w:rPr>
          <w:rFonts w:hint="eastAsia" w:ascii="Times New Roman" w:hAnsi="Times New Roman" w:cs="Times New Roman"/>
          <w:color w:val="auto"/>
          <w:szCs w:val="24"/>
          <w:highlight w:val="none"/>
          <w:lang w:val="en-US" w:eastAsia="zh-CN"/>
        </w:rPr>
        <w:t>国际结算集市需对现有加工的国际结算的数据进行归纳整合，形成统一、规范的数据集市，为国际结算系统提供加工数据支持。</w:t>
      </w:r>
    </w:p>
    <w:p w14:paraId="649D3B28">
      <w:pPr>
        <w:keepNext w:val="0"/>
        <w:keepLines w:val="0"/>
        <w:widowControl/>
        <w:numPr>
          <w:ilvl w:val="0"/>
          <w:numId w:val="0"/>
        </w:numPr>
        <w:suppressLineNumbers w:val="0"/>
        <w:ind w:left="0" w:leftChars="0" w:firstLine="480" w:firstLineChars="200"/>
        <w:jc w:val="left"/>
        <w:rPr>
          <w:rFonts w:hint="eastAsia" w:ascii="Times New Roman" w:hAnsi="Times New Roman" w:cs="Times New Roman"/>
          <w:color w:val="auto"/>
          <w:szCs w:val="24"/>
          <w:highlight w:val="none"/>
          <w:lang w:val="en-US" w:eastAsia="zh-CN"/>
        </w:rPr>
      </w:pPr>
      <w:r>
        <w:rPr>
          <w:rFonts w:hint="eastAsia" w:ascii="Times New Roman" w:hAnsi="Times New Roman" w:cs="Times New Roman"/>
          <w:color w:val="auto"/>
          <w:szCs w:val="24"/>
          <w:highlight w:val="none"/>
          <w:lang w:val="en-US" w:eastAsia="zh-CN"/>
        </w:rPr>
        <w:t>5）稽核审计集市</w:t>
      </w:r>
    </w:p>
    <w:p w14:paraId="7A224005">
      <w:pPr>
        <w:keepNext w:val="0"/>
        <w:keepLines w:val="0"/>
        <w:widowControl/>
        <w:numPr>
          <w:ilvl w:val="0"/>
          <w:numId w:val="0"/>
        </w:numPr>
        <w:suppressLineNumbers w:val="0"/>
        <w:ind w:left="0" w:leftChars="0" w:firstLine="480" w:firstLineChars="200"/>
        <w:jc w:val="left"/>
        <w:rPr>
          <w:rFonts w:hint="eastAsia" w:ascii="Times New Roman" w:hAnsi="Times New Roman" w:cs="Times New Roman"/>
          <w:color w:val="auto"/>
          <w:szCs w:val="24"/>
          <w:highlight w:val="none"/>
          <w:lang w:val="en-US" w:eastAsia="zh-CN"/>
        </w:rPr>
      </w:pPr>
      <w:r>
        <w:rPr>
          <w:rFonts w:hint="eastAsia" w:ascii="Times New Roman" w:hAnsi="Times New Roman" w:cs="Times New Roman"/>
          <w:color w:val="auto"/>
          <w:szCs w:val="24"/>
          <w:highlight w:val="none"/>
          <w:lang w:val="en-US" w:eastAsia="zh-CN"/>
        </w:rPr>
        <w:t>稽核审计集市需按照集市统一规范进行管理，将核心系统、信贷系统、金融产品销售平台、项目管理平台、运维管理平台、科技风险监测系统等各系统的数据按需加载到对应数据库中，为稽核审计系统提供数据支持。</w:t>
      </w:r>
    </w:p>
    <w:p w14:paraId="495C8868">
      <w:pPr>
        <w:keepNext w:val="0"/>
        <w:keepLines w:val="0"/>
        <w:widowControl/>
        <w:numPr>
          <w:ilvl w:val="0"/>
          <w:numId w:val="0"/>
        </w:numPr>
        <w:suppressLineNumbers w:val="0"/>
        <w:ind w:left="0" w:leftChars="0" w:firstLine="480" w:firstLineChars="200"/>
        <w:jc w:val="left"/>
        <w:rPr>
          <w:rFonts w:hint="eastAsia" w:ascii="Times New Roman" w:hAnsi="Times New Roman" w:cs="Times New Roman"/>
          <w:color w:val="auto"/>
          <w:szCs w:val="24"/>
          <w:highlight w:val="none"/>
          <w:lang w:val="en-US" w:eastAsia="zh-CN"/>
        </w:rPr>
      </w:pPr>
      <w:r>
        <w:rPr>
          <w:rFonts w:hint="eastAsia" w:ascii="Times New Roman" w:hAnsi="Times New Roman" w:cs="Times New Roman"/>
          <w:color w:val="auto"/>
          <w:szCs w:val="24"/>
          <w:highlight w:val="none"/>
          <w:lang w:val="en-US" w:eastAsia="zh-CN"/>
        </w:rPr>
        <w:t>6）监管集市</w:t>
      </w:r>
    </w:p>
    <w:p w14:paraId="48D3E61C">
      <w:pPr>
        <w:keepNext w:val="0"/>
        <w:keepLines w:val="0"/>
        <w:widowControl/>
        <w:numPr>
          <w:ilvl w:val="0"/>
          <w:numId w:val="0"/>
        </w:numPr>
        <w:suppressLineNumbers w:val="0"/>
        <w:ind w:left="0" w:leftChars="0" w:firstLine="480" w:firstLineChars="200"/>
        <w:jc w:val="left"/>
        <w:rPr>
          <w:rFonts w:hint="eastAsia" w:ascii="Times New Roman" w:hAnsi="Times New Roman" w:cs="Times New Roman"/>
          <w:color w:val="auto"/>
          <w:szCs w:val="24"/>
          <w:highlight w:val="none"/>
          <w:lang w:val="en-US" w:eastAsia="zh-CN"/>
        </w:rPr>
      </w:pPr>
      <w:r>
        <w:rPr>
          <w:rFonts w:hint="eastAsia" w:ascii="Times New Roman" w:hAnsi="Times New Roman" w:cs="Times New Roman"/>
          <w:color w:val="auto"/>
          <w:szCs w:val="24"/>
          <w:highlight w:val="none"/>
          <w:lang w:val="en-US" w:eastAsia="zh-CN"/>
        </w:rPr>
        <w:t>监管集市需按照集市统一规范进行管理，将核心系统、信贷系统、金融产品销售平台等各业务系统的数据和通用数据模型如存款、贷款等主题模型，按需加载到对应数据库中，为监管报送提供数据支持。</w:t>
      </w:r>
    </w:p>
    <w:p w14:paraId="5EA52B35">
      <w:pPr>
        <w:keepNext w:val="0"/>
        <w:keepLines w:val="0"/>
        <w:widowControl/>
        <w:numPr>
          <w:ilvl w:val="0"/>
          <w:numId w:val="0"/>
        </w:numPr>
        <w:suppressLineNumbers w:val="0"/>
        <w:ind w:firstLine="482" w:firstLineChars="200"/>
        <w:jc w:val="left"/>
        <w:rPr>
          <w:rFonts w:hint="default" w:ascii="Times New Roman" w:hAnsi="Times New Roman" w:cs="Times New Roman"/>
          <w:b/>
          <w:bCs/>
          <w:color w:val="auto"/>
          <w:szCs w:val="24"/>
          <w:highlight w:val="none"/>
          <w:lang w:val="en-US" w:eastAsia="zh-CN"/>
        </w:rPr>
      </w:pPr>
      <w:r>
        <w:rPr>
          <w:rFonts w:hint="eastAsia" w:ascii="Times New Roman" w:hAnsi="Times New Roman" w:cs="Times New Roman"/>
          <w:b/>
          <w:bCs/>
          <w:color w:val="auto"/>
          <w:szCs w:val="24"/>
          <w:highlight w:val="none"/>
          <w:lang w:val="en-US" w:eastAsia="zh-CN"/>
        </w:rPr>
        <w:t>（6）下游供数相关集市</w:t>
      </w:r>
    </w:p>
    <w:p w14:paraId="76E14045">
      <w:pPr>
        <w:keepNext w:val="0"/>
        <w:keepLines w:val="0"/>
        <w:widowControl/>
        <w:numPr>
          <w:ilvl w:val="0"/>
          <w:numId w:val="0"/>
        </w:numPr>
        <w:suppressLineNumbers w:val="0"/>
        <w:ind w:left="0" w:leftChars="0" w:firstLine="480" w:firstLineChars="200"/>
        <w:jc w:val="left"/>
        <w:rPr>
          <w:rFonts w:hint="default" w:ascii="Times New Roman" w:hAnsi="Times New Roman" w:cs="Times New Roman"/>
          <w:color w:val="auto"/>
          <w:szCs w:val="24"/>
          <w:highlight w:val="none"/>
          <w:lang w:val="en-US" w:eastAsia="zh-CN"/>
        </w:rPr>
      </w:pPr>
      <w:r>
        <w:rPr>
          <w:rFonts w:hint="eastAsia" w:ascii="Times New Roman" w:hAnsi="Times New Roman" w:cs="Times New Roman"/>
          <w:b w:val="0"/>
          <w:bCs w:val="0"/>
          <w:color w:val="auto"/>
          <w:szCs w:val="24"/>
          <w:highlight w:val="none"/>
          <w:lang w:val="en-US" w:eastAsia="zh-CN"/>
        </w:rPr>
        <w:t>下游供数</w:t>
      </w:r>
      <w:r>
        <w:rPr>
          <w:rFonts w:hint="eastAsia" w:ascii="Times New Roman" w:hAnsi="Times New Roman" w:cs="Times New Roman"/>
          <w:color w:val="auto"/>
          <w:szCs w:val="24"/>
          <w:highlight w:val="none"/>
          <w:lang w:val="en-US" w:eastAsia="zh-CN"/>
        </w:rPr>
        <w:t>相关集市的建设数量与内容需根据所有下游系统供数的情况进行梳理并进行归类提炼，最终形成供数相关集市，确保下游供数由供数相关集市进行统一处理和加工，保证各下游系统供数的统一性、标准性和完整性。</w:t>
      </w:r>
    </w:p>
    <w:p w14:paraId="3E426D7E">
      <w:pPr>
        <w:pStyle w:val="5"/>
        <w:keepNext w:val="0"/>
        <w:keepLines w:val="0"/>
        <w:pageBreakBefore w:val="0"/>
        <w:widowControl w:val="0"/>
        <w:numPr>
          <w:ilvl w:val="2"/>
          <w:numId w:val="2"/>
        </w:numPr>
        <w:kinsoku/>
        <w:wordWrap/>
        <w:overflowPunct/>
        <w:topLinePunct w:val="0"/>
        <w:autoSpaceDE w:val="0"/>
        <w:autoSpaceDN w:val="0"/>
        <w:bidi w:val="0"/>
        <w:adjustRightInd/>
        <w:snapToGrid/>
        <w:ind w:left="0" w:leftChars="0" w:firstLine="482" w:firstLineChars="200"/>
        <w:textAlignment w:val="auto"/>
        <w:outlineLvl w:val="3"/>
        <w:rPr>
          <w:rFonts w:hint="default" w:ascii="Times New Roman" w:hAnsi="Times New Roman" w:cs="Times New Roman"/>
          <w:b/>
          <w:bCs w:val="0"/>
          <w:color w:val="auto"/>
          <w:highlight w:val="none"/>
          <w:lang w:val="en-US" w:eastAsia="zh-CN"/>
        </w:rPr>
      </w:pPr>
      <w:r>
        <w:rPr>
          <w:rFonts w:hint="default" w:ascii="Times New Roman" w:hAnsi="Times New Roman" w:cs="Times New Roman"/>
          <w:b/>
          <w:bCs w:val="0"/>
          <w:color w:val="auto"/>
          <w:highlight w:val="none"/>
          <w:lang w:val="en-US" w:eastAsia="zh-CN"/>
        </w:rPr>
        <w:t xml:space="preserve"> 数据服务</w:t>
      </w:r>
      <w:r>
        <w:rPr>
          <w:rFonts w:hint="eastAsia" w:ascii="Times New Roman" w:hAnsi="Times New Roman" w:cs="Times New Roman"/>
          <w:b/>
          <w:bCs w:val="0"/>
          <w:color w:val="auto"/>
          <w:highlight w:val="none"/>
          <w:lang w:val="en-US" w:eastAsia="zh-CN"/>
        </w:rPr>
        <w:t>版块</w:t>
      </w:r>
      <w:r>
        <w:rPr>
          <w:rFonts w:hint="default" w:ascii="Times New Roman" w:hAnsi="Times New Roman" w:cs="Times New Roman"/>
          <w:b/>
          <w:bCs w:val="0"/>
          <w:color w:val="auto"/>
          <w:highlight w:val="none"/>
          <w:lang w:val="en-US" w:eastAsia="zh-CN"/>
        </w:rPr>
        <w:t>建设</w:t>
      </w:r>
    </w:p>
    <w:p w14:paraId="6E94D4C3">
      <w:pPr>
        <w:ind w:left="0" w:firstLine="480" w:firstLineChars="200"/>
        <w:rPr>
          <w:rFonts w:hint="default" w:ascii="Times New Roman" w:hAnsi="Times New Roman" w:eastAsia="宋体" w:cs="Times New Roman"/>
          <w:color w:val="auto"/>
          <w:szCs w:val="24"/>
          <w:highlight w:val="none"/>
          <w:lang w:val="en-US" w:eastAsia="zh-CN"/>
        </w:rPr>
      </w:pPr>
      <w:r>
        <w:rPr>
          <w:rFonts w:hint="default" w:ascii="Times New Roman" w:hAnsi="Times New Roman" w:cs="Times New Roman"/>
          <w:color w:val="auto"/>
          <w:szCs w:val="24"/>
          <w:highlight w:val="none"/>
          <w:lang w:val="en-US" w:eastAsia="zh-CN"/>
        </w:rPr>
        <w:t>参选人需为比选人建设全行</w:t>
      </w:r>
      <w:r>
        <w:rPr>
          <w:rFonts w:hint="default" w:ascii="Times New Roman" w:hAnsi="Times New Roman" w:cs="Times New Roman"/>
          <w:color w:val="auto"/>
          <w:szCs w:val="24"/>
          <w:highlight w:val="none"/>
        </w:rPr>
        <w:t>统一的数据服务</w:t>
      </w:r>
      <w:r>
        <w:rPr>
          <w:rFonts w:hint="eastAsia" w:ascii="Times New Roman" w:hAnsi="Times New Roman" w:cs="Times New Roman"/>
          <w:color w:val="auto"/>
          <w:szCs w:val="24"/>
          <w:highlight w:val="none"/>
          <w:lang w:val="en-US" w:eastAsia="zh-CN"/>
        </w:rPr>
        <w:t>版块</w:t>
      </w:r>
      <w:r>
        <w:rPr>
          <w:rFonts w:hint="default" w:ascii="Times New Roman" w:hAnsi="Times New Roman" w:cs="Times New Roman"/>
          <w:color w:val="auto"/>
          <w:szCs w:val="24"/>
          <w:highlight w:val="none"/>
        </w:rPr>
        <w:t>，补全数据应用最后一公里，确保数据在业务层的全域流通，</w:t>
      </w:r>
      <w:r>
        <w:rPr>
          <w:rFonts w:hint="eastAsia" w:ascii="Times New Roman" w:hAnsi="Times New Roman" w:cs="Times New Roman"/>
          <w:color w:val="auto"/>
          <w:szCs w:val="24"/>
          <w:highlight w:val="none"/>
          <w:lang w:val="en-US" w:eastAsia="zh-CN"/>
        </w:rPr>
        <w:t>减少</w:t>
      </w:r>
      <w:r>
        <w:rPr>
          <w:rFonts w:hint="default" w:ascii="Times New Roman" w:hAnsi="Times New Roman" w:cs="Times New Roman"/>
          <w:color w:val="auto"/>
          <w:szCs w:val="24"/>
          <w:highlight w:val="none"/>
        </w:rPr>
        <w:t>数据接口重复建设，保障</w:t>
      </w:r>
      <w:r>
        <w:rPr>
          <w:rFonts w:hint="eastAsia" w:ascii="Times New Roman" w:hAnsi="Times New Roman" w:cs="Times New Roman"/>
          <w:color w:val="auto"/>
          <w:szCs w:val="24"/>
          <w:highlight w:val="none"/>
          <w:lang w:val="en-US" w:eastAsia="zh-CN"/>
        </w:rPr>
        <w:t>业务侧</w:t>
      </w:r>
      <w:r>
        <w:rPr>
          <w:rFonts w:hint="default" w:ascii="Times New Roman" w:hAnsi="Times New Roman" w:cs="Times New Roman"/>
          <w:color w:val="auto"/>
          <w:szCs w:val="24"/>
          <w:highlight w:val="none"/>
        </w:rPr>
        <w:t>数据获取的及时</w:t>
      </w:r>
      <w:r>
        <w:rPr>
          <w:rFonts w:hint="eastAsia" w:ascii="Times New Roman" w:hAnsi="Times New Roman" w:cs="Times New Roman"/>
          <w:color w:val="auto"/>
          <w:szCs w:val="24"/>
          <w:highlight w:val="none"/>
          <w:lang w:val="en-US" w:eastAsia="zh-CN"/>
        </w:rPr>
        <w:t>性</w:t>
      </w:r>
      <w:r>
        <w:rPr>
          <w:rFonts w:hint="default" w:ascii="Times New Roman" w:hAnsi="Times New Roman" w:cs="Times New Roman"/>
          <w:color w:val="auto"/>
          <w:szCs w:val="24"/>
          <w:highlight w:val="none"/>
        </w:rPr>
        <w:t>和稳定高效</w:t>
      </w:r>
      <w:r>
        <w:rPr>
          <w:rFonts w:hint="default" w:ascii="Times New Roman" w:hAnsi="Times New Roman" w:cs="Times New Roman"/>
          <w:color w:val="auto"/>
          <w:szCs w:val="24"/>
          <w:highlight w:val="none"/>
          <w:lang w:eastAsia="zh-CN"/>
        </w:rPr>
        <w:t>。</w:t>
      </w:r>
      <w:r>
        <w:rPr>
          <w:rFonts w:hint="eastAsia" w:ascii="Times New Roman" w:hAnsi="Times New Roman" w:cs="Times New Roman"/>
          <w:color w:val="auto"/>
          <w:szCs w:val="24"/>
          <w:highlight w:val="none"/>
          <w:lang w:val="en-US" w:eastAsia="zh-CN"/>
        </w:rPr>
        <w:t>版块</w:t>
      </w:r>
      <w:r>
        <w:rPr>
          <w:rFonts w:hint="default" w:ascii="Times New Roman" w:hAnsi="Times New Roman" w:cs="Times New Roman"/>
          <w:color w:val="auto"/>
          <w:szCs w:val="24"/>
          <w:highlight w:val="none"/>
        </w:rPr>
        <w:t>通过对</w:t>
      </w:r>
      <w:r>
        <w:rPr>
          <w:rFonts w:hint="default" w:ascii="Times New Roman" w:hAnsi="Times New Roman" w:cs="Times New Roman"/>
          <w:color w:val="auto"/>
          <w:szCs w:val="24"/>
          <w:highlight w:val="none"/>
          <w:lang w:val="en-US" w:eastAsia="zh-CN"/>
        </w:rPr>
        <w:t>包括但不限于</w:t>
      </w:r>
      <w:r>
        <w:rPr>
          <w:rFonts w:hint="default" w:ascii="Times New Roman" w:hAnsi="Times New Roman" w:cs="Times New Roman"/>
          <w:color w:val="auto"/>
          <w:szCs w:val="24"/>
          <w:highlight w:val="none"/>
        </w:rPr>
        <w:t>基础数据、标签画像、指标数据、模型和算法等</w:t>
      </w:r>
      <w:r>
        <w:rPr>
          <w:rFonts w:hint="default" w:ascii="Times New Roman" w:hAnsi="Times New Roman" w:cs="Times New Roman"/>
          <w:color w:val="auto"/>
          <w:szCs w:val="24"/>
          <w:highlight w:val="none"/>
          <w:lang w:val="en-US" w:eastAsia="zh-CN"/>
        </w:rPr>
        <w:t>进行</w:t>
      </w:r>
      <w:r>
        <w:rPr>
          <w:rFonts w:hint="default" w:ascii="Times New Roman" w:hAnsi="Times New Roman" w:cs="Times New Roman"/>
          <w:color w:val="auto"/>
          <w:szCs w:val="24"/>
          <w:highlight w:val="none"/>
        </w:rPr>
        <w:t>封装，实现批量</w:t>
      </w:r>
      <w:r>
        <w:rPr>
          <w:rFonts w:hint="default" w:ascii="Times New Roman" w:hAnsi="Times New Roman" w:cs="Times New Roman"/>
          <w:color w:val="auto"/>
          <w:szCs w:val="24"/>
          <w:highlight w:val="none"/>
          <w:lang w:val="en-US" w:eastAsia="zh-CN"/>
        </w:rPr>
        <w:t>文件</w:t>
      </w:r>
      <w:r>
        <w:rPr>
          <w:rFonts w:hint="default" w:ascii="Times New Roman" w:hAnsi="Times New Roman" w:cs="Times New Roman"/>
          <w:color w:val="auto"/>
          <w:szCs w:val="24"/>
          <w:highlight w:val="none"/>
        </w:rPr>
        <w:t>及</w:t>
      </w:r>
      <w:r>
        <w:rPr>
          <w:rFonts w:hint="default" w:ascii="Times New Roman" w:hAnsi="Times New Roman" w:cs="Times New Roman"/>
          <w:color w:val="auto"/>
          <w:szCs w:val="24"/>
          <w:highlight w:val="none"/>
          <w:lang w:val="en-US" w:eastAsia="zh-CN"/>
        </w:rPr>
        <w:t>API</w:t>
      </w:r>
      <w:r>
        <w:rPr>
          <w:rFonts w:hint="default" w:ascii="Times New Roman" w:hAnsi="Times New Roman" w:cs="Times New Roman"/>
          <w:color w:val="auto"/>
          <w:szCs w:val="24"/>
          <w:highlight w:val="none"/>
        </w:rPr>
        <w:t>接口发布</w:t>
      </w:r>
      <w:r>
        <w:rPr>
          <w:rFonts w:hint="default" w:ascii="Times New Roman" w:hAnsi="Times New Roman" w:cs="Times New Roman"/>
          <w:color w:val="auto"/>
          <w:szCs w:val="24"/>
          <w:highlight w:val="none"/>
          <w:lang w:eastAsia="zh-CN"/>
        </w:rPr>
        <w:t>，</w:t>
      </w:r>
      <w:r>
        <w:rPr>
          <w:rFonts w:hint="default" w:ascii="Times New Roman" w:hAnsi="Times New Roman" w:cs="Times New Roman"/>
          <w:color w:val="auto"/>
          <w:szCs w:val="24"/>
          <w:highlight w:val="none"/>
        </w:rPr>
        <w:t>供其他系统进行查询、订阅</w:t>
      </w:r>
      <w:r>
        <w:rPr>
          <w:rFonts w:hint="eastAsia" w:ascii="Times New Roman" w:hAnsi="Times New Roman" w:cs="Times New Roman"/>
          <w:color w:val="auto"/>
          <w:szCs w:val="24"/>
          <w:highlight w:val="none"/>
          <w:lang w:val="en-US" w:eastAsia="zh-CN"/>
        </w:rPr>
        <w:t>和</w:t>
      </w:r>
      <w:r>
        <w:rPr>
          <w:rFonts w:hint="default" w:ascii="Times New Roman" w:hAnsi="Times New Roman" w:cs="Times New Roman"/>
          <w:color w:val="auto"/>
          <w:szCs w:val="24"/>
          <w:highlight w:val="none"/>
        </w:rPr>
        <w:t>取数等。</w:t>
      </w:r>
      <w:r>
        <w:rPr>
          <w:rFonts w:hint="default" w:ascii="Times New Roman" w:hAnsi="Times New Roman" w:cs="Times New Roman"/>
          <w:color w:val="auto"/>
          <w:szCs w:val="24"/>
          <w:highlight w:val="none"/>
          <w:lang w:val="en-US" w:eastAsia="zh-CN"/>
        </w:rPr>
        <w:t>数据服务建设应满足</w:t>
      </w:r>
      <w:r>
        <w:rPr>
          <w:rFonts w:hint="eastAsia" w:ascii="Times New Roman" w:hAnsi="Times New Roman" w:cs="Times New Roman"/>
          <w:color w:val="auto"/>
          <w:szCs w:val="24"/>
          <w:highlight w:val="none"/>
          <w:lang w:val="en-US" w:eastAsia="zh-CN"/>
        </w:rPr>
        <w:t>的要求</w:t>
      </w:r>
      <w:r>
        <w:rPr>
          <w:rFonts w:hint="default" w:ascii="Times New Roman" w:hAnsi="Times New Roman" w:cs="Times New Roman"/>
          <w:color w:val="auto"/>
          <w:szCs w:val="24"/>
          <w:highlight w:val="none"/>
          <w:lang w:val="en-US" w:eastAsia="zh-CN"/>
        </w:rPr>
        <w:t>包括但不限于：</w:t>
      </w:r>
    </w:p>
    <w:p w14:paraId="2D51F698">
      <w:pPr>
        <w:numPr>
          <w:ilvl w:val="0"/>
          <w:numId w:val="0"/>
        </w:numPr>
        <w:ind w:left="0" w:leftChars="0" w:firstLine="480" w:firstLineChars="200"/>
        <w:rPr>
          <w:rFonts w:hint="default" w:ascii="Times New Roman" w:hAnsi="Times New Roman" w:cs="Times New Roman"/>
          <w:color w:val="auto"/>
          <w:highlight w:val="none"/>
        </w:rPr>
      </w:pPr>
      <w:r>
        <w:rPr>
          <w:rFonts w:hint="eastAsia" w:ascii="Times New Roman" w:hAnsi="Times New Roman" w:cs="Times New Roman"/>
          <w:color w:val="auto"/>
          <w:szCs w:val="24"/>
          <w:highlight w:val="none"/>
          <w:lang w:eastAsia="zh-CN"/>
        </w:rPr>
        <w:t>（</w:t>
      </w:r>
      <w:r>
        <w:rPr>
          <w:rFonts w:hint="eastAsia" w:ascii="Times New Roman" w:hAnsi="Times New Roman" w:cs="Times New Roman"/>
          <w:color w:val="auto"/>
          <w:szCs w:val="24"/>
          <w:highlight w:val="none"/>
          <w:lang w:val="en-US" w:eastAsia="zh-CN"/>
        </w:rPr>
        <w:t>1</w:t>
      </w:r>
      <w:r>
        <w:rPr>
          <w:rFonts w:hint="eastAsia" w:ascii="Times New Roman" w:hAnsi="Times New Roman" w:cs="Times New Roman"/>
          <w:color w:val="auto"/>
          <w:szCs w:val="24"/>
          <w:highlight w:val="none"/>
          <w:lang w:eastAsia="zh-CN"/>
        </w:rPr>
        <w:t>）</w:t>
      </w:r>
      <w:r>
        <w:rPr>
          <w:rFonts w:hint="default" w:ascii="Times New Roman" w:hAnsi="Times New Roman" w:cs="Times New Roman"/>
          <w:color w:val="auto"/>
          <w:szCs w:val="24"/>
          <w:highlight w:val="none"/>
        </w:rPr>
        <w:t>数据服务</w:t>
      </w:r>
      <w:r>
        <w:rPr>
          <w:rFonts w:hint="eastAsia" w:ascii="Times New Roman" w:hAnsi="Times New Roman" w:cs="Times New Roman"/>
          <w:color w:val="auto"/>
          <w:szCs w:val="24"/>
          <w:highlight w:val="none"/>
          <w:lang w:val="en-US" w:eastAsia="zh-CN"/>
        </w:rPr>
        <w:t>版块</w:t>
      </w:r>
      <w:r>
        <w:rPr>
          <w:rFonts w:hint="default" w:ascii="Times New Roman" w:hAnsi="Times New Roman" w:cs="Times New Roman"/>
          <w:color w:val="auto"/>
          <w:szCs w:val="24"/>
          <w:highlight w:val="none"/>
        </w:rPr>
        <w:t>作为全行数据集成服务的</w:t>
      </w:r>
      <w:r>
        <w:rPr>
          <w:rFonts w:hint="eastAsia" w:ascii="Times New Roman" w:hAnsi="Times New Roman" w:cs="Times New Roman"/>
          <w:color w:val="auto"/>
          <w:szCs w:val="24"/>
          <w:highlight w:val="none"/>
          <w:lang w:val="en-US" w:eastAsia="zh-CN"/>
        </w:rPr>
        <w:t>出口</w:t>
      </w:r>
      <w:r>
        <w:rPr>
          <w:rFonts w:hint="default" w:ascii="Times New Roman" w:hAnsi="Times New Roman" w:cs="Times New Roman"/>
          <w:color w:val="auto"/>
          <w:szCs w:val="24"/>
          <w:highlight w:val="none"/>
        </w:rPr>
        <w:t>，应采用开放</w:t>
      </w:r>
      <w:r>
        <w:rPr>
          <w:rFonts w:hint="eastAsia" w:ascii="Times New Roman" w:hAnsi="Times New Roman" w:cs="Times New Roman"/>
          <w:color w:val="auto"/>
          <w:szCs w:val="24"/>
          <w:highlight w:val="none"/>
          <w:lang w:val="en-US" w:eastAsia="zh-CN"/>
        </w:rPr>
        <w:t>灵活</w:t>
      </w:r>
      <w:r>
        <w:rPr>
          <w:rFonts w:hint="default" w:ascii="Times New Roman" w:hAnsi="Times New Roman" w:cs="Times New Roman"/>
          <w:color w:val="auto"/>
          <w:szCs w:val="24"/>
          <w:highlight w:val="none"/>
        </w:rPr>
        <w:t>的方式实现数据的发布、共享、交互等服务</w:t>
      </w:r>
      <w:r>
        <w:rPr>
          <w:rFonts w:hint="default" w:ascii="Times New Roman" w:hAnsi="Times New Roman" w:cs="Times New Roman"/>
          <w:color w:val="auto"/>
          <w:szCs w:val="24"/>
          <w:highlight w:val="none"/>
          <w:lang w:eastAsia="zh-CN"/>
        </w:rPr>
        <w:t>；</w:t>
      </w:r>
    </w:p>
    <w:p w14:paraId="787576CE">
      <w:pPr>
        <w:numPr>
          <w:ilvl w:val="0"/>
          <w:numId w:val="0"/>
        </w:numPr>
        <w:ind w:left="0" w:leftChars="0" w:firstLine="480" w:firstLineChars="200"/>
        <w:rPr>
          <w:rFonts w:hint="default" w:ascii="Times New Roman" w:hAnsi="Times New Roman" w:cs="Times New Roman"/>
          <w:color w:val="auto"/>
          <w:szCs w:val="24"/>
          <w:highlight w:val="none"/>
          <w:lang w:val="en-US" w:eastAsia="zh-CN"/>
        </w:rPr>
      </w:pPr>
      <w:r>
        <w:rPr>
          <w:rFonts w:hint="eastAsia" w:ascii="Times New Roman" w:hAnsi="Times New Roman" w:cs="Times New Roman"/>
          <w:color w:val="auto"/>
          <w:szCs w:val="24"/>
          <w:highlight w:val="none"/>
          <w:lang w:val="en-US" w:eastAsia="zh-CN"/>
        </w:rPr>
        <w:t>（2）参选人需对数据中台与上层应用系统的接口进行集成设计，并完成联调测试工作；</w:t>
      </w:r>
    </w:p>
    <w:p w14:paraId="147838C9">
      <w:pPr>
        <w:numPr>
          <w:ilvl w:val="0"/>
          <w:numId w:val="0"/>
        </w:numPr>
        <w:ind w:left="0" w:leftChars="0" w:firstLine="480" w:firstLineChars="200"/>
        <w:rPr>
          <w:rFonts w:hint="default" w:ascii="Times New Roman" w:hAnsi="Times New Roman" w:cs="Times New Roman"/>
          <w:color w:val="auto"/>
          <w:highlight w:val="none"/>
          <w:lang w:val="zh-CN"/>
        </w:rPr>
      </w:pPr>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lang w:val="en-US" w:eastAsia="zh-CN"/>
        </w:rPr>
        <w:t>数据服务应具备实用性，</w:t>
      </w:r>
      <w:r>
        <w:rPr>
          <w:rFonts w:hint="eastAsia" w:ascii="Times New Roman" w:hAnsi="Times New Roman" w:cs="Times New Roman"/>
          <w:color w:val="auto"/>
          <w:highlight w:val="none"/>
          <w:lang w:val="en-US" w:eastAsia="zh-CN"/>
        </w:rPr>
        <w:t>且具备良好的</w:t>
      </w:r>
      <w:r>
        <w:rPr>
          <w:rFonts w:hint="default" w:ascii="Times New Roman" w:hAnsi="Times New Roman" w:cs="Times New Roman"/>
          <w:color w:val="auto"/>
          <w:highlight w:val="none"/>
          <w:lang w:val="en-US" w:eastAsia="zh-CN"/>
        </w:rPr>
        <w:t>易读性、易用性、稳定性和可扩展性，并提供规范和易理解的数据服务文档。</w:t>
      </w:r>
    </w:p>
    <w:p w14:paraId="6ECD7AAF">
      <w:pPr>
        <w:pStyle w:val="5"/>
        <w:keepNext w:val="0"/>
        <w:keepLines w:val="0"/>
        <w:pageBreakBefore w:val="0"/>
        <w:widowControl w:val="0"/>
        <w:numPr>
          <w:ilvl w:val="2"/>
          <w:numId w:val="2"/>
        </w:numPr>
        <w:kinsoku/>
        <w:wordWrap/>
        <w:overflowPunct/>
        <w:topLinePunct w:val="0"/>
        <w:autoSpaceDE w:val="0"/>
        <w:autoSpaceDN w:val="0"/>
        <w:bidi w:val="0"/>
        <w:adjustRightInd/>
        <w:snapToGrid/>
        <w:ind w:left="0" w:leftChars="0" w:firstLine="482" w:firstLineChars="200"/>
        <w:textAlignment w:val="auto"/>
        <w:outlineLvl w:val="3"/>
        <w:rPr>
          <w:rFonts w:hint="default" w:ascii="Times New Roman" w:hAnsi="Times New Roman" w:cs="Times New Roman"/>
          <w:b/>
          <w:bCs w:val="0"/>
          <w:color w:val="auto"/>
          <w:highlight w:val="none"/>
          <w:lang w:val="en-US" w:eastAsia="zh-CN"/>
        </w:rPr>
      </w:pPr>
      <w:r>
        <w:rPr>
          <w:rFonts w:hint="default" w:ascii="Times New Roman" w:hAnsi="Times New Roman" w:cs="Times New Roman"/>
          <w:b/>
          <w:bCs w:val="0"/>
          <w:color w:val="auto"/>
          <w:highlight w:val="none"/>
          <w:lang w:val="en-US" w:eastAsia="zh-CN"/>
        </w:rPr>
        <w:t xml:space="preserve"> 实时数仓</w:t>
      </w:r>
      <w:r>
        <w:rPr>
          <w:rFonts w:hint="eastAsia" w:ascii="Times New Roman" w:hAnsi="Times New Roman" w:cs="Times New Roman"/>
          <w:b/>
          <w:bCs w:val="0"/>
          <w:color w:val="auto"/>
          <w:highlight w:val="none"/>
          <w:lang w:val="en-US" w:eastAsia="zh-CN"/>
        </w:rPr>
        <w:t>版块</w:t>
      </w:r>
      <w:r>
        <w:rPr>
          <w:rFonts w:hint="default" w:ascii="Times New Roman" w:hAnsi="Times New Roman" w:cs="Times New Roman"/>
          <w:b/>
          <w:bCs w:val="0"/>
          <w:color w:val="auto"/>
          <w:highlight w:val="none"/>
          <w:lang w:val="en-US" w:eastAsia="zh-CN"/>
        </w:rPr>
        <w:t>建设</w:t>
      </w:r>
    </w:p>
    <w:p w14:paraId="27D37187">
      <w:pPr>
        <w:rPr>
          <w:rFonts w:hint="default" w:eastAsia="宋体"/>
          <w:color w:val="auto"/>
          <w:highlight w:val="none"/>
          <w:lang w:val="en-US" w:eastAsia="zh-CN"/>
        </w:rPr>
      </w:pPr>
      <w:r>
        <w:rPr>
          <w:rFonts w:hint="eastAsia"/>
          <w:color w:val="auto"/>
          <w:highlight w:val="none"/>
          <w:lang w:val="en-US" w:eastAsia="zh-CN"/>
        </w:rPr>
        <w:t>为提高业务决策效率，满足客户营销、风险管控等场景的实时数据需求，更好地支持业务创新，参选人需完成实时数仓的建设，具体建设要求包括但不限于：</w:t>
      </w:r>
    </w:p>
    <w:p w14:paraId="78053DE6">
      <w:pPr>
        <w:ind w:left="0" w:firstLine="480" w:firstLineChars="200"/>
        <w:rPr>
          <w:rFonts w:hint="default" w:ascii="Times New Roman" w:hAnsi="Times New Roman" w:cs="Times New Roman"/>
          <w:color w:val="auto"/>
          <w:szCs w:val="24"/>
          <w:highlight w:val="none"/>
          <w:shd w:val="clear" w:color="auto" w:fill="FFFFFF"/>
          <w:lang w:val="en-US" w:eastAsia="zh-CN"/>
        </w:rPr>
      </w:pP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1）参选人需</w:t>
      </w:r>
      <w:r>
        <w:rPr>
          <w:rFonts w:hint="default" w:ascii="Times New Roman" w:hAnsi="Times New Roman" w:cs="Times New Roman"/>
          <w:color w:val="auto"/>
          <w:szCs w:val="24"/>
          <w:highlight w:val="none"/>
          <w:shd w:val="clear" w:color="auto" w:fill="FFFFFF"/>
          <w:lang w:val="en-US" w:eastAsia="zh-CN"/>
        </w:rPr>
        <w:t>在湖仓一体的架构基础上构建批流融合的实时数据处理服务，形成实时数仓、批流融合的能力；</w:t>
      </w:r>
    </w:p>
    <w:p w14:paraId="2BAC1433">
      <w:pPr>
        <w:ind w:left="0" w:firstLine="480" w:firstLineChars="200"/>
        <w:rPr>
          <w:rFonts w:hint="default" w:ascii="Times New Roman" w:hAnsi="Times New Roman" w:cs="Times New Roman"/>
          <w:color w:val="auto"/>
          <w:szCs w:val="24"/>
          <w:highlight w:val="none"/>
          <w:shd w:val="clear" w:color="auto" w:fill="FFFFFF"/>
          <w:lang w:val="en-US" w:eastAsia="zh-CN"/>
        </w:rPr>
      </w:pPr>
      <w:r>
        <w:rPr>
          <w:rFonts w:hint="eastAsia" w:ascii="Times New Roman" w:hAnsi="Times New Roman" w:cs="Times New Roman"/>
          <w:color w:val="auto"/>
          <w:szCs w:val="24"/>
          <w:highlight w:val="none"/>
          <w:shd w:val="clear" w:color="auto" w:fill="FFFFFF"/>
          <w:lang w:val="en-US" w:eastAsia="zh-CN"/>
        </w:rPr>
        <w:t>（</w:t>
      </w:r>
      <w:r>
        <w:rPr>
          <w:rFonts w:hint="default" w:ascii="Times New Roman" w:hAnsi="Times New Roman" w:cs="Times New Roman"/>
          <w:color w:val="auto"/>
          <w:szCs w:val="24"/>
          <w:highlight w:val="none"/>
          <w:shd w:val="clear" w:color="auto" w:fill="FFFFFF"/>
          <w:lang w:val="en-US" w:eastAsia="zh-CN"/>
        </w:rPr>
        <w:t>2）参选人按照比选人要求，</w:t>
      </w:r>
      <w:r>
        <w:rPr>
          <w:rFonts w:hint="eastAsia" w:ascii="Times New Roman" w:hAnsi="Times New Roman" w:cs="Times New Roman"/>
          <w:color w:val="auto"/>
          <w:szCs w:val="24"/>
          <w:highlight w:val="none"/>
          <w:shd w:val="clear" w:color="auto" w:fill="FFFFFF"/>
          <w:lang w:val="en-US" w:eastAsia="zh-CN"/>
        </w:rPr>
        <w:t>新增</w:t>
      </w:r>
      <w:r>
        <w:rPr>
          <w:rFonts w:hint="default" w:ascii="Times New Roman" w:hAnsi="Times New Roman" w:cs="Times New Roman"/>
          <w:color w:val="auto"/>
          <w:szCs w:val="24"/>
          <w:highlight w:val="none"/>
          <w:shd w:val="clear" w:color="auto" w:fill="FFFFFF"/>
          <w:lang w:val="en-US" w:eastAsia="zh-CN"/>
        </w:rPr>
        <w:t>落地不少于</w:t>
      </w:r>
      <w:r>
        <w:rPr>
          <w:rFonts w:hint="eastAsia" w:ascii="Times New Roman" w:hAnsi="Times New Roman" w:cs="Times New Roman"/>
          <w:color w:val="auto"/>
          <w:szCs w:val="24"/>
          <w:highlight w:val="none"/>
          <w:shd w:val="clear" w:color="auto" w:fill="FFFFFF"/>
          <w:lang w:val="en-US" w:eastAsia="zh-CN"/>
        </w:rPr>
        <w:t>10</w:t>
      </w:r>
      <w:r>
        <w:rPr>
          <w:rFonts w:hint="default" w:ascii="Times New Roman" w:hAnsi="Times New Roman" w:cs="Times New Roman"/>
          <w:color w:val="auto"/>
          <w:szCs w:val="24"/>
          <w:highlight w:val="none"/>
          <w:shd w:val="clear" w:color="auto" w:fill="FFFFFF"/>
          <w:lang w:val="en-US" w:eastAsia="zh-CN"/>
        </w:rPr>
        <w:t>个实时业务应用场景，</w:t>
      </w:r>
      <w:r>
        <w:rPr>
          <w:rFonts w:hint="eastAsia" w:ascii="Times New Roman" w:hAnsi="Times New Roman" w:cs="Times New Roman"/>
          <w:color w:val="auto"/>
          <w:szCs w:val="24"/>
          <w:highlight w:val="none"/>
          <w:shd w:val="clear" w:color="auto" w:fill="FFFFFF"/>
          <w:lang w:val="en-US" w:eastAsia="zh-CN"/>
        </w:rPr>
        <w:t>包括但不限于大额动账实时提醒、手机银行理财深度浏览实时提醒、手机银行客户历史余额实时查询等，</w:t>
      </w:r>
      <w:r>
        <w:rPr>
          <w:rFonts w:hint="default" w:ascii="Times New Roman" w:hAnsi="Times New Roman" w:cs="Times New Roman"/>
          <w:color w:val="auto"/>
          <w:szCs w:val="24"/>
          <w:highlight w:val="none"/>
          <w:shd w:val="clear" w:color="auto" w:fill="FFFFFF"/>
          <w:lang w:val="en-US" w:eastAsia="zh-CN"/>
        </w:rPr>
        <w:t>具体场景以比选人实际要求为准</w:t>
      </w:r>
      <w:r>
        <w:rPr>
          <w:rFonts w:hint="eastAsia" w:ascii="Times New Roman" w:hAnsi="Times New Roman" w:cs="Times New Roman"/>
          <w:color w:val="auto"/>
          <w:szCs w:val="24"/>
          <w:highlight w:val="none"/>
          <w:shd w:val="clear" w:color="auto" w:fill="FFFFFF"/>
          <w:lang w:val="en-US" w:eastAsia="zh-CN"/>
        </w:rPr>
        <w:t>。实施内容包括但不限于</w:t>
      </w:r>
      <w:r>
        <w:rPr>
          <w:rFonts w:ascii="Times New Roman" w:hAnsi="Times New Roman" w:cs="Times New Roman"/>
          <w:color w:val="auto"/>
          <w:highlight w:val="none"/>
          <w:lang w:val="zh-CN"/>
        </w:rPr>
        <w:t>实时</w:t>
      </w:r>
      <w:r>
        <w:rPr>
          <w:rFonts w:hint="eastAsia" w:ascii="Times New Roman" w:hAnsi="Times New Roman" w:cs="Times New Roman"/>
          <w:color w:val="auto"/>
          <w:highlight w:val="none"/>
          <w:lang w:val="en-US" w:eastAsia="zh-CN"/>
        </w:rPr>
        <w:t>数据</w:t>
      </w:r>
      <w:r>
        <w:rPr>
          <w:rFonts w:ascii="Times New Roman" w:hAnsi="Times New Roman" w:cs="Times New Roman"/>
          <w:color w:val="auto"/>
          <w:highlight w:val="none"/>
          <w:lang w:val="zh-CN"/>
        </w:rPr>
        <w:t>接入</w:t>
      </w:r>
      <w:r>
        <w:rPr>
          <w:rFonts w:hint="eastAsia" w:ascii="Times New Roman" w:hAnsi="Times New Roman" w:cs="Times New Roman"/>
          <w:color w:val="auto"/>
          <w:highlight w:val="none"/>
          <w:lang w:val="zh-CN"/>
        </w:rPr>
        <w:t>、</w:t>
      </w:r>
      <w:r>
        <w:rPr>
          <w:rFonts w:ascii="Times New Roman" w:hAnsi="Times New Roman" w:cs="Times New Roman"/>
          <w:color w:val="auto"/>
          <w:highlight w:val="none"/>
          <w:lang w:val="zh-CN"/>
        </w:rPr>
        <w:t>实时指标</w:t>
      </w:r>
      <w:r>
        <w:rPr>
          <w:rFonts w:hint="eastAsia" w:ascii="Times New Roman" w:hAnsi="Times New Roman" w:cs="Times New Roman"/>
          <w:color w:val="auto"/>
          <w:highlight w:val="none"/>
          <w:lang w:val="en-US" w:eastAsia="zh-CN"/>
        </w:rPr>
        <w:t>标签</w:t>
      </w:r>
      <w:r>
        <w:rPr>
          <w:rFonts w:ascii="Times New Roman" w:hAnsi="Times New Roman" w:cs="Times New Roman"/>
          <w:color w:val="auto"/>
          <w:highlight w:val="none"/>
          <w:lang w:val="zh-CN"/>
        </w:rPr>
        <w:t>开发</w:t>
      </w:r>
      <w:r>
        <w:rPr>
          <w:rFonts w:hint="eastAsia" w:ascii="Times New Roman" w:hAnsi="Times New Roman" w:cs="Times New Roman"/>
          <w:color w:val="auto"/>
          <w:highlight w:val="none"/>
          <w:lang w:val="zh-CN"/>
        </w:rPr>
        <w:t>、</w:t>
      </w:r>
      <w:r>
        <w:rPr>
          <w:rFonts w:hint="eastAsia" w:ascii="Times New Roman" w:hAnsi="Times New Roman" w:cs="Times New Roman"/>
          <w:color w:val="auto"/>
          <w:highlight w:val="none"/>
          <w:lang w:val="en-US" w:eastAsia="zh-CN"/>
        </w:rPr>
        <w:t>实时数据服务开发等</w:t>
      </w:r>
      <w:r>
        <w:rPr>
          <w:rFonts w:hint="default" w:ascii="Times New Roman" w:hAnsi="Times New Roman" w:cs="Times New Roman"/>
          <w:color w:val="auto"/>
          <w:szCs w:val="24"/>
          <w:highlight w:val="none"/>
          <w:shd w:val="clear" w:color="auto" w:fill="FFFFFF"/>
          <w:lang w:val="en-US" w:eastAsia="zh-CN"/>
        </w:rPr>
        <w:t>。</w:t>
      </w:r>
    </w:p>
    <w:p w14:paraId="5E2EF51C">
      <w:pPr>
        <w:pStyle w:val="5"/>
        <w:keepNext w:val="0"/>
        <w:keepLines w:val="0"/>
        <w:pageBreakBefore w:val="0"/>
        <w:widowControl w:val="0"/>
        <w:numPr>
          <w:ilvl w:val="2"/>
          <w:numId w:val="2"/>
        </w:numPr>
        <w:kinsoku/>
        <w:wordWrap/>
        <w:overflowPunct/>
        <w:topLinePunct w:val="0"/>
        <w:autoSpaceDE w:val="0"/>
        <w:autoSpaceDN w:val="0"/>
        <w:bidi w:val="0"/>
        <w:adjustRightInd/>
        <w:snapToGrid/>
        <w:ind w:left="0" w:leftChars="0" w:firstLine="482" w:firstLineChars="200"/>
        <w:textAlignment w:val="auto"/>
        <w:outlineLvl w:val="3"/>
        <w:rPr>
          <w:rFonts w:hint="default" w:ascii="Times New Roman" w:hAnsi="Times New Roman" w:cs="Times New Roman"/>
          <w:b/>
          <w:bCs w:val="0"/>
          <w:color w:val="auto"/>
          <w:highlight w:val="none"/>
          <w:lang w:val="en-US" w:eastAsia="zh-CN"/>
        </w:rPr>
      </w:pPr>
      <w:r>
        <w:rPr>
          <w:rFonts w:hint="default" w:ascii="Times New Roman" w:hAnsi="Times New Roman" w:cs="Times New Roman"/>
          <w:b/>
          <w:bCs w:val="0"/>
          <w:color w:val="auto"/>
          <w:highlight w:val="none"/>
          <w:lang w:val="en-US" w:eastAsia="zh-CN"/>
        </w:rPr>
        <w:t xml:space="preserve"> 数据迁移</w:t>
      </w:r>
      <w:r>
        <w:rPr>
          <w:rFonts w:hint="eastAsia" w:ascii="Times New Roman" w:hAnsi="Times New Roman" w:cs="Times New Roman"/>
          <w:b/>
          <w:bCs w:val="0"/>
          <w:color w:val="auto"/>
          <w:highlight w:val="none"/>
          <w:lang w:val="en-US" w:eastAsia="zh-CN"/>
        </w:rPr>
        <w:t>整合</w:t>
      </w:r>
    </w:p>
    <w:p w14:paraId="202A5DCA">
      <w:pPr>
        <w:keepNext w:val="0"/>
        <w:keepLines w:val="0"/>
        <w:widowControl/>
        <w:suppressLineNumbers w:val="0"/>
        <w:jc w:val="left"/>
        <w:rPr>
          <w:rFonts w:hint="default" w:ascii="Times New Roman" w:hAnsi="Times New Roman" w:eastAsia="宋体" w:cs="Times New Roman"/>
          <w:color w:val="auto"/>
          <w:szCs w:val="24"/>
          <w:highlight w:val="none"/>
          <w:lang w:val="en-US" w:eastAsia="zh-CN"/>
        </w:rPr>
      </w:pPr>
      <w:r>
        <w:rPr>
          <w:rFonts w:hint="default" w:ascii="Times New Roman" w:hAnsi="Times New Roman" w:cs="Times New Roman"/>
          <w:color w:val="auto"/>
          <w:szCs w:val="24"/>
          <w:highlight w:val="none"/>
          <w:lang w:val="en-US" w:eastAsia="zh-CN"/>
        </w:rPr>
        <w:t>参选人需根据数据仓库和大数据平台的现状调研结果，按照数据中台</w:t>
      </w:r>
      <w:r>
        <w:rPr>
          <w:rFonts w:hint="eastAsia" w:ascii="Times New Roman" w:hAnsi="Times New Roman" w:cs="Times New Roman"/>
          <w:color w:val="auto"/>
          <w:szCs w:val="24"/>
          <w:highlight w:val="none"/>
          <w:lang w:val="en-US" w:eastAsia="zh-CN"/>
        </w:rPr>
        <w:t>实施和迁移方案进行数据</w:t>
      </w:r>
      <w:r>
        <w:rPr>
          <w:rFonts w:hint="default" w:ascii="Times New Roman" w:hAnsi="Times New Roman" w:cs="Times New Roman"/>
          <w:color w:val="auto"/>
          <w:szCs w:val="24"/>
          <w:highlight w:val="none"/>
          <w:lang w:val="en-US" w:eastAsia="zh-CN"/>
        </w:rPr>
        <w:t>迁移整合，</w:t>
      </w:r>
      <w:r>
        <w:rPr>
          <w:rFonts w:hint="default" w:ascii="Times New Roman" w:hAnsi="Times New Roman" w:cs="Times New Roman"/>
          <w:color w:val="auto"/>
          <w:szCs w:val="24"/>
          <w:highlight w:val="none"/>
        </w:rPr>
        <w:t>保障</w:t>
      </w:r>
      <w:r>
        <w:rPr>
          <w:rFonts w:hint="default" w:ascii="Times New Roman" w:hAnsi="Times New Roman" w:cs="Times New Roman"/>
          <w:color w:val="auto"/>
          <w:szCs w:val="24"/>
          <w:highlight w:val="none"/>
          <w:lang w:val="zh-CN"/>
        </w:rPr>
        <w:t>数据的完整性、准确性、一致性和安全性</w:t>
      </w:r>
      <w:r>
        <w:rPr>
          <w:rFonts w:hint="default" w:ascii="Times New Roman" w:hAnsi="Times New Roman" w:cs="Times New Roman"/>
          <w:color w:val="auto"/>
          <w:szCs w:val="24"/>
          <w:highlight w:val="none"/>
          <w:lang w:val="en-US" w:eastAsia="zh-CN"/>
        </w:rPr>
        <w:t>。</w:t>
      </w:r>
      <w:r>
        <w:rPr>
          <w:rFonts w:hint="default" w:ascii="Times New Roman" w:hAnsi="Times New Roman" w:cs="Times New Roman"/>
          <w:color w:val="auto"/>
          <w:szCs w:val="24"/>
          <w:highlight w:val="none"/>
          <w:lang w:val="zh-CN"/>
        </w:rPr>
        <w:t>在数据迁移</w:t>
      </w:r>
      <w:r>
        <w:rPr>
          <w:rFonts w:hint="default" w:ascii="Times New Roman" w:hAnsi="Times New Roman" w:cs="Times New Roman"/>
          <w:color w:val="auto"/>
          <w:szCs w:val="24"/>
          <w:highlight w:val="none"/>
        </w:rPr>
        <w:t>时</w:t>
      </w:r>
      <w:r>
        <w:rPr>
          <w:rFonts w:hint="default" w:ascii="Times New Roman" w:hAnsi="Times New Roman" w:cs="Times New Roman"/>
          <w:color w:val="auto"/>
          <w:szCs w:val="24"/>
          <w:highlight w:val="none"/>
          <w:lang w:val="zh-CN"/>
        </w:rPr>
        <w:t>，需</w:t>
      </w:r>
      <w:r>
        <w:rPr>
          <w:rFonts w:hint="default" w:ascii="Times New Roman" w:hAnsi="Times New Roman" w:cs="Times New Roman"/>
          <w:color w:val="auto"/>
          <w:szCs w:val="24"/>
          <w:highlight w:val="none"/>
          <w:lang w:val="en-US" w:eastAsia="zh-CN"/>
        </w:rPr>
        <w:t>结合新一代数据中台的架构</w:t>
      </w:r>
      <w:r>
        <w:rPr>
          <w:rFonts w:hint="eastAsia" w:ascii="Times New Roman" w:hAnsi="Times New Roman" w:cs="Times New Roman"/>
          <w:color w:val="auto"/>
          <w:szCs w:val="24"/>
          <w:highlight w:val="none"/>
          <w:lang w:val="en-US" w:eastAsia="zh-CN"/>
        </w:rPr>
        <w:t>设计</w:t>
      </w:r>
      <w:r>
        <w:rPr>
          <w:rFonts w:hint="default" w:ascii="Times New Roman" w:hAnsi="Times New Roman" w:cs="Times New Roman"/>
          <w:color w:val="auto"/>
          <w:szCs w:val="24"/>
          <w:highlight w:val="none"/>
          <w:lang w:val="zh-CN"/>
        </w:rPr>
        <w:t>进行</w:t>
      </w:r>
      <w:r>
        <w:rPr>
          <w:rFonts w:hint="default" w:ascii="Times New Roman" w:hAnsi="Times New Roman" w:cs="Times New Roman"/>
          <w:color w:val="auto"/>
          <w:szCs w:val="24"/>
          <w:highlight w:val="none"/>
          <w:lang w:val="en-US" w:eastAsia="zh-CN"/>
        </w:rPr>
        <w:t>相应的</w:t>
      </w:r>
      <w:r>
        <w:rPr>
          <w:rFonts w:hint="default" w:ascii="Times New Roman" w:hAnsi="Times New Roman" w:cs="Times New Roman"/>
          <w:color w:val="auto"/>
          <w:szCs w:val="24"/>
          <w:highlight w:val="none"/>
          <w:lang w:val="zh-CN"/>
        </w:rPr>
        <w:t>数据整合</w:t>
      </w:r>
      <w:r>
        <w:rPr>
          <w:rFonts w:hint="eastAsia" w:ascii="Times New Roman" w:hAnsi="Times New Roman" w:cs="Times New Roman"/>
          <w:color w:val="auto"/>
          <w:szCs w:val="24"/>
          <w:highlight w:val="none"/>
          <w:lang w:val="en-US" w:eastAsia="zh-CN"/>
        </w:rPr>
        <w:t>和转换</w:t>
      </w:r>
      <w:r>
        <w:rPr>
          <w:rFonts w:hint="default" w:ascii="Times New Roman" w:hAnsi="Times New Roman" w:cs="Times New Roman"/>
          <w:color w:val="auto"/>
          <w:szCs w:val="24"/>
          <w:highlight w:val="none"/>
          <w:lang w:val="zh-CN"/>
        </w:rPr>
        <w:t>工作，</w:t>
      </w:r>
      <w:r>
        <w:rPr>
          <w:rFonts w:hint="eastAsia" w:ascii="Times New Roman" w:hAnsi="Times New Roman" w:cs="Times New Roman"/>
          <w:color w:val="auto"/>
          <w:szCs w:val="24"/>
          <w:highlight w:val="none"/>
          <w:lang w:val="en-US" w:eastAsia="zh-CN"/>
        </w:rPr>
        <w:t>如</w:t>
      </w:r>
      <w:r>
        <w:rPr>
          <w:rFonts w:hint="default" w:ascii="Times New Roman" w:hAnsi="Times New Roman" w:cs="Times New Roman"/>
          <w:color w:val="auto"/>
          <w:szCs w:val="24"/>
          <w:highlight w:val="none"/>
          <w:lang w:val="zh-CN"/>
        </w:rPr>
        <w:t>数据清洗、数据转换、数据合并</w:t>
      </w:r>
      <w:r>
        <w:rPr>
          <w:rFonts w:hint="eastAsia" w:ascii="Times New Roman" w:hAnsi="Times New Roman" w:cs="Times New Roman"/>
          <w:color w:val="auto"/>
          <w:szCs w:val="24"/>
          <w:highlight w:val="none"/>
          <w:lang w:val="en-US" w:eastAsia="zh-CN"/>
        </w:rPr>
        <w:t>等</w:t>
      </w:r>
      <w:r>
        <w:rPr>
          <w:rFonts w:hint="default" w:ascii="Times New Roman" w:hAnsi="Times New Roman" w:cs="Times New Roman"/>
          <w:color w:val="auto"/>
          <w:szCs w:val="24"/>
          <w:highlight w:val="none"/>
          <w:lang w:val="zh-CN"/>
        </w:rPr>
        <w:t>。</w:t>
      </w:r>
      <w:r>
        <w:rPr>
          <w:rFonts w:hint="eastAsia" w:ascii="Times New Roman" w:hAnsi="Times New Roman" w:cs="Times New Roman"/>
          <w:color w:val="auto"/>
          <w:szCs w:val="24"/>
          <w:highlight w:val="none"/>
          <w:lang w:val="en-US" w:eastAsia="zh-CN"/>
        </w:rPr>
        <w:t>具体迁移内容</w:t>
      </w:r>
      <w:r>
        <w:rPr>
          <w:rFonts w:hint="default" w:ascii="Times New Roman" w:hAnsi="Times New Roman" w:cs="Times New Roman"/>
          <w:color w:val="auto"/>
          <w:szCs w:val="24"/>
          <w:highlight w:val="none"/>
          <w:lang w:val="en-US" w:eastAsia="zh-CN"/>
        </w:rPr>
        <w:t>包括但不限于：</w:t>
      </w:r>
    </w:p>
    <w:p w14:paraId="729F5408">
      <w:pPr>
        <w:numPr>
          <w:ilvl w:val="0"/>
          <w:numId w:val="0"/>
        </w:numPr>
        <w:ind w:left="0" w:leftChars="0" w:firstLine="480" w:firstLineChars="200"/>
        <w:rPr>
          <w:rFonts w:hint="default" w:ascii="Times New Roman" w:hAnsi="Times New Roman" w:cs="Times New Roman"/>
          <w:color w:val="auto"/>
          <w:highlight w:val="none"/>
          <w:lang w:val="en-US" w:eastAsia="zh-CN"/>
        </w:rPr>
      </w:pPr>
      <w:r>
        <w:rPr>
          <w:rFonts w:hint="eastAsia" w:ascii="Times New Roman" w:hAnsi="Times New Roman" w:cs="Times New Roman"/>
          <w:color w:val="auto"/>
          <w:szCs w:val="24"/>
          <w:highlight w:val="none"/>
          <w:shd w:val="clear" w:color="auto" w:fill="FFFFFF"/>
          <w:lang w:val="en-US" w:eastAsia="zh-CN"/>
        </w:rPr>
        <w:t>（1）</w:t>
      </w:r>
      <w:r>
        <w:rPr>
          <w:rFonts w:hint="default" w:ascii="Times New Roman" w:hAnsi="Times New Roman" w:cs="Times New Roman"/>
          <w:color w:val="auto"/>
          <w:szCs w:val="24"/>
          <w:highlight w:val="none"/>
          <w:shd w:val="clear" w:color="auto" w:fill="FFFFFF"/>
          <w:lang w:val="en-US" w:eastAsia="zh-CN"/>
        </w:rPr>
        <w:t>现有大数据平台、数据仓库中历史数据迁移整合，包括但不限于业务系统数据、外部数据、行为设备数据</w:t>
      </w:r>
      <w:r>
        <w:rPr>
          <w:rFonts w:hint="eastAsia" w:ascii="Times New Roman" w:hAnsi="Times New Roman" w:cs="Times New Roman"/>
          <w:color w:val="auto"/>
          <w:szCs w:val="24"/>
          <w:highlight w:val="none"/>
          <w:shd w:val="clear" w:color="auto" w:fill="FFFFFF"/>
          <w:lang w:val="en-US" w:eastAsia="zh-CN"/>
        </w:rPr>
        <w:t>、应用集市数据</w:t>
      </w:r>
      <w:r>
        <w:rPr>
          <w:rFonts w:hint="default" w:ascii="Times New Roman" w:hAnsi="Times New Roman" w:cs="Times New Roman"/>
          <w:color w:val="auto"/>
          <w:szCs w:val="24"/>
          <w:highlight w:val="none"/>
          <w:shd w:val="clear" w:color="auto" w:fill="FFFFFF"/>
          <w:lang w:val="en-US" w:eastAsia="zh-CN"/>
        </w:rPr>
        <w:t>等；</w:t>
      </w:r>
    </w:p>
    <w:p w14:paraId="04E7B24C">
      <w:pPr>
        <w:numPr>
          <w:ilvl w:val="0"/>
          <w:numId w:val="0"/>
        </w:numPr>
        <w:ind w:left="0" w:leftChars="0" w:firstLine="480" w:firstLineChars="200"/>
        <w:rPr>
          <w:rFonts w:hint="default" w:ascii="Times New Roman" w:hAnsi="Times New Roman" w:cs="Times New Roman"/>
          <w:color w:val="auto"/>
          <w:szCs w:val="24"/>
          <w:highlight w:val="none"/>
          <w:shd w:val="clear" w:color="auto" w:fill="FFFFFF"/>
          <w:lang w:val="en-US" w:eastAsia="zh-CN"/>
        </w:rPr>
      </w:pPr>
      <w:r>
        <w:rPr>
          <w:rFonts w:hint="eastAsia" w:ascii="Times New Roman" w:hAnsi="Times New Roman" w:cs="Times New Roman"/>
          <w:color w:val="auto"/>
          <w:szCs w:val="24"/>
          <w:highlight w:val="none"/>
          <w:shd w:val="clear" w:color="auto" w:fill="FFFFFF"/>
          <w:lang w:val="en-US" w:eastAsia="zh-CN"/>
        </w:rPr>
        <w:t>（2）</w:t>
      </w:r>
      <w:r>
        <w:rPr>
          <w:rFonts w:hint="default" w:ascii="Times New Roman" w:hAnsi="Times New Roman" w:cs="Times New Roman"/>
          <w:color w:val="auto"/>
          <w:szCs w:val="24"/>
          <w:highlight w:val="none"/>
          <w:shd w:val="clear" w:color="auto" w:fill="FFFFFF"/>
          <w:lang w:val="en-US" w:eastAsia="zh-CN"/>
        </w:rPr>
        <w:t>现有业务报表迁移</w:t>
      </w:r>
      <w:r>
        <w:rPr>
          <w:rFonts w:hint="eastAsia" w:ascii="Times New Roman" w:hAnsi="Times New Roman" w:cs="Times New Roman"/>
          <w:color w:val="auto"/>
          <w:szCs w:val="24"/>
          <w:highlight w:val="none"/>
          <w:shd w:val="clear" w:color="auto" w:fill="FFFFFF"/>
          <w:lang w:val="en-US" w:eastAsia="zh-CN"/>
        </w:rPr>
        <w:t>重构</w:t>
      </w:r>
      <w:r>
        <w:rPr>
          <w:rFonts w:hint="default" w:ascii="Times New Roman" w:hAnsi="Times New Roman" w:cs="Times New Roman"/>
          <w:color w:val="auto"/>
          <w:szCs w:val="24"/>
          <w:highlight w:val="none"/>
          <w:shd w:val="clear" w:color="auto" w:fill="FFFFFF"/>
          <w:lang w:val="en-US" w:eastAsia="zh-CN"/>
        </w:rPr>
        <w:t>，参选人除需对报表数据进行整合迁移外，还需使用新报表工具设计报表的外观和格式，包括选择合适的图表、颜色、字体等，确定报表的布局和交互方式，满足电脑端、移动端报表数据快速查询需求</w:t>
      </w:r>
      <w:r>
        <w:rPr>
          <w:rFonts w:hint="eastAsia" w:ascii="Times New Roman" w:hAnsi="Times New Roman" w:cs="Times New Roman"/>
          <w:color w:val="auto"/>
          <w:szCs w:val="24"/>
          <w:highlight w:val="none"/>
          <w:shd w:val="clear" w:color="auto" w:fill="FFFFFF"/>
          <w:lang w:val="en-US" w:eastAsia="zh-CN"/>
        </w:rPr>
        <w:t>。本项目落地的报表数量不得少于450张（其中实时报表不得少于10张），包括但不限于存量迁移重构的报表和实施过程中新增需求产生的报表；</w:t>
      </w:r>
    </w:p>
    <w:p w14:paraId="20A3D142">
      <w:pPr>
        <w:numPr>
          <w:ilvl w:val="0"/>
          <w:numId w:val="0"/>
        </w:numPr>
        <w:ind w:left="0" w:leftChars="0" w:firstLine="480" w:firstLineChars="200"/>
        <w:rPr>
          <w:rFonts w:hint="default" w:ascii="Times New Roman" w:hAnsi="Times New Roman" w:cs="Times New Roman"/>
          <w:color w:val="auto"/>
          <w:szCs w:val="24"/>
          <w:highlight w:val="none"/>
          <w:shd w:val="clear" w:color="auto" w:fill="FFFFFF"/>
          <w:lang w:val="en-US" w:eastAsia="zh-CN"/>
        </w:rPr>
      </w:pPr>
      <w:r>
        <w:rPr>
          <w:rFonts w:hint="eastAsia" w:ascii="Times New Roman" w:hAnsi="Times New Roman" w:cs="Times New Roman"/>
          <w:color w:val="auto"/>
          <w:szCs w:val="24"/>
          <w:highlight w:val="none"/>
          <w:shd w:val="clear" w:color="auto" w:fill="FFFFFF"/>
          <w:lang w:val="en-US" w:eastAsia="zh-CN"/>
        </w:rPr>
        <w:t>（3）</w:t>
      </w:r>
      <w:r>
        <w:rPr>
          <w:rFonts w:hint="default" w:ascii="Times New Roman" w:hAnsi="Times New Roman" w:cs="Times New Roman"/>
          <w:color w:val="auto"/>
          <w:szCs w:val="24"/>
          <w:highlight w:val="none"/>
          <w:shd w:val="clear" w:color="auto" w:fill="FFFFFF"/>
          <w:lang w:val="en-US" w:eastAsia="zh-CN"/>
        </w:rPr>
        <w:t>大数据平台的实时计算任务迁移</w:t>
      </w:r>
      <w:r>
        <w:rPr>
          <w:rFonts w:hint="eastAsia" w:ascii="Times New Roman" w:hAnsi="Times New Roman" w:cs="Times New Roman"/>
          <w:color w:val="auto"/>
          <w:szCs w:val="24"/>
          <w:highlight w:val="none"/>
          <w:shd w:val="clear" w:color="auto" w:fill="FFFFFF"/>
          <w:lang w:val="en-US" w:eastAsia="zh-CN"/>
        </w:rPr>
        <w:t>重构；</w:t>
      </w:r>
    </w:p>
    <w:p w14:paraId="09AEB4B3">
      <w:pPr>
        <w:numPr>
          <w:ilvl w:val="0"/>
          <w:numId w:val="0"/>
        </w:numPr>
        <w:ind w:left="0" w:leftChars="0" w:firstLine="480" w:firstLineChars="200"/>
        <w:rPr>
          <w:rFonts w:hint="default" w:ascii="Times New Roman" w:hAnsi="Times New Roman" w:cs="Times New Roman"/>
          <w:color w:val="auto"/>
          <w:szCs w:val="24"/>
          <w:highlight w:val="none"/>
          <w:shd w:val="clear" w:color="auto" w:fill="FFFFFF"/>
          <w:lang w:val="en-US" w:eastAsia="zh-CN"/>
        </w:rPr>
      </w:pPr>
      <w:r>
        <w:rPr>
          <w:rFonts w:hint="eastAsia" w:ascii="Times New Roman" w:hAnsi="Times New Roman" w:cs="Times New Roman"/>
          <w:color w:val="auto"/>
          <w:szCs w:val="24"/>
          <w:highlight w:val="none"/>
          <w:shd w:val="clear" w:color="auto" w:fill="FFFFFF"/>
          <w:lang w:val="en-US" w:eastAsia="zh-CN"/>
        </w:rPr>
        <w:t>（4）</w:t>
      </w:r>
      <w:r>
        <w:rPr>
          <w:rFonts w:hint="default" w:ascii="Times New Roman" w:hAnsi="Times New Roman" w:cs="Times New Roman"/>
          <w:color w:val="auto"/>
          <w:szCs w:val="24"/>
          <w:highlight w:val="none"/>
          <w:shd w:val="clear" w:color="auto" w:fill="FFFFFF"/>
          <w:lang w:val="en-US" w:eastAsia="zh-CN"/>
        </w:rPr>
        <w:t>现有数据平台的数据服务迁移</w:t>
      </w:r>
      <w:r>
        <w:rPr>
          <w:rFonts w:hint="eastAsia" w:ascii="Times New Roman" w:hAnsi="Times New Roman" w:cs="Times New Roman"/>
          <w:color w:val="auto"/>
          <w:szCs w:val="24"/>
          <w:highlight w:val="none"/>
          <w:shd w:val="clear" w:color="auto" w:fill="FFFFFF"/>
          <w:lang w:val="en-US" w:eastAsia="zh-CN"/>
        </w:rPr>
        <w:t>重构</w:t>
      </w:r>
      <w:r>
        <w:rPr>
          <w:rFonts w:hint="default" w:ascii="Times New Roman" w:hAnsi="Times New Roman" w:cs="Times New Roman"/>
          <w:color w:val="auto"/>
          <w:szCs w:val="24"/>
          <w:highlight w:val="none"/>
          <w:shd w:val="clear" w:color="auto" w:fill="FFFFFF"/>
          <w:lang w:val="en-US" w:eastAsia="zh-CN"/>
        </w:rPr>
        <w:t>，包括</w:t>
      </w:r>
      <w:r>
        <w:rPr>
          <w:rFonts w:hint="eastAsia" w:ascii="Times New Roman" w:hAnsi="Times New Roman" w:cs="Times New Roman"/>
          <w:color w:val="auto"/>
          <w:szCs w:val="24"/>
          <w:highlight w:val="none"/>
          <w:shd w:val="clear" w:color="auto" w:fill="FFFFFF"/>
          <w:lang w:val="en-US" w:eastAsia="zh-CN"/>
        </w:rPr>
        <w:t>给近40个下游系统提供的</w:t>
      </w:r>
      <w:r>
        <w:rPr>
          <w:rFonts w:hint="default" w:ascii="Times New Roman" w:hAnsi="Times New Roman" w:cs="Times New Roman"/>
          <w:color w:val="auto"/>
          <w:szCs w:val="24"/>
          <w:highlight w:val="none"/>
          <w:shd w:val="clear" w:color="auto" w:fill="FFFFFF"/>
          <w:lang w:val="en-US" w:eastAsia="zh-CN"/>
        </w:rPr>
        <w:t>数据文件和API接口</w:t>
      </w:r>
      <w:r>
        <w:rPr>
          <w:rFonts w:hint="eastAsia" w:ascii="Times New Roman" w:hAnsi="Times New Roman" w:cs="Times New Roman"/>
          <w:color w:val="auto"/>
          <w:szCs w:val="24"/>
          <w:highlight w:val="none"/>
          <w:shd w:val="clear" w:color="auto" w:fill="FFFFFF"/>
          <w:lang w:val="en-US" w:eastAsia="zh-CN"/>
        </w:rPr>
        <w:t>等服务，并完成与各下游系统的对接和联调</w:t>
      </w:r>
      <w:r>
        <w:rPr>
          <w:rFonts w:hint="default" w:ascii="Times New Roman" w:hAnsi="Times New Roman" w:cs="Times New Roman"/>
          <w:color w:val="auto"/>
          <w:szCs w:val="24"/>
          <w:highlight w:val="none"/>
          <w:shd w:val="clear" w:color="auto" w:fill="FFFFFF"/>
          <w:lang w:val="en-US" w:eastAsia="zh-CN"/>
        </w:rPr>
        <w:t>。</w:t>
      </w:r>
    </w:p>
    <w:p w14:paraId="53964B29">
      <w:pPr>
        <w:pStyle w:val="5"/>
        <w:keepNext w:val="0"/>
        <w:keepLines w:val="0"/>
        <w:pageBreakBefore w:val="0"/>
        <w:widowControl w:val="0"/>
        <w:numPr>
          <w:ilvl w:val="2"/>
          <w:numId w:val="2"/>
        </w:numPr>
        <w:kinsoku/>
        <w:wordWrap/>
        <w:overflowPunct/>
        <w:topLinePunct w:val="0"/>
        <w:autoSpaceDE w:val="0"/>
        <w:autoSpaceDN w:val="0"/>
        <w:bidi w:val="0"/>
        <w:adjustRightInd/>
        <w:snapToGrid/>
        <w:ind w:left="0" w:leftChars="0" w:firstLine="482" w:firstLineChars="200"/>
        <w:textAlignment w:val="auto"/>
        <w:outlineLvl w:val="3"/>
        <w:rPr>
          <w:rFonts w:hint="default" w:ascii="Times New Roman" w:hAnsi="Times New Roman" w:cs="Times New Roman"/>
          <w:b/>
          <w:bCs w:val="0"/>
          <w:color w:val="auto"/>
          <w:highlight w:val="none"/>
          <w:lang w:val="en-US" w:eastAsia="zh-CN"/>
        </w:rPr>
      </w:pPr>
      <w:r>
        <w:rPr>
          <w:rFonts w:hint="default" w:ascii="Times New Roman" w:hAnsi="Times New Roman" w:cs="Times New Roman"/>
          <w:b/>
          <w:bCs w:val="0"/>
          <w:color w:val="auto"/>
          <w:highlight w:val="none"/>
          <w:lang w:val="en-US" w:eastAsia="zh-CN"/>
        </w:rPr>
        <w:t xml:space="preserve"> 数据实验区建设</w:t>
      </w:r>
    </w:p>
    <w:p w14:paraId="411B4C5F">
      <w:pPr>
        <w:ind w:left="0" w:firstLine="480" w:firstLineChars="200"/>
        <w:rPr>
          <w:rFonts w:hint="default" w:ascii="Times New Roman" w:hAnsi="Times New Roman" w:cs="Times New Roman"/>
          <w:color w:val="auto"/>
          <w:szCs w:val="24"/>
          <w:highlight w:val="none"/>
          <w:shd w:val="clear" w:color="auto" w:fill="FFFFFF"/>
          <w:lang w:val="en-US" w:eastAsia="zh-CN"/>
        </w:rPr>
      </w:pPr>
      <w:r>
        <w:rPr>
          <w:rFonts w:hint="default" w:ascii="Times New Roman" w:hAnsi="Times New Roman" w:cs="Times New Roman"/>
          <w:color w:val="auto"/>
          <w:szCs w:val="24"/>
          <w:highlight w:val="none"/>
          <w:shd w:val="clear" w:color="auto" w:fill="FFFFFF"/>
          <w:lang w:val="en-US" w:eastAsia="zh-CN"/>
        </w:rPr>
        <w:t>参选人需为比选人搭建</w:t>
      </w:r>
      <w:r>
        <w:rPr>
          <w:rFonts w:hint="eastAsia" w:ascii="Times New Roman" w:hAnsi="Times New Roman" w:cs="Times New Roman"/>
          <w:color w:val="auto"/>
          <w:szCs w:val="24"/>
          <w:highlight w:val="none"/>
          <w:shd w:val="clear" w:color="auto" w:fill="FFFFFF"/>
          <w:lang w:val="en-US" w:eastAsia="zh-CN"/>
        </w:rPr>
        <w:t>两</w:t>
      </w:r>
      <w:r>
        <w:rPr>
          <w:rFonts w:hint="default" w:ascii="Times New Roman" w:hAnsi="Times New Roman" w:cs="Times New Roman"/>
          <w:color w:val="auto"/>
          <w:szCs w:val="24"/>
          <w:highlight w:val="none"/>
          <w:shd w:val="clear" w:color="auto" w:fill="FFFFFF"/>
          <w:lang w:val="en-US" w:eastAsia="zh-CN"/>
        </w:rPr>
        <w:t>套数据实验区</w:t>
      </w:r>
      <w:r>
        <w:rPr>
          <w:rFonts w:hint="eastAsia" w:ascii="Times New Roman" w:hAnsi="Times New Roman" w:cs="Times New Roman"/>
          <w:color w:val="auto"/>
          <w:szCs w:val="24"/>
          <w:highlight w:val="none"/>
          <w:shd w:val="clear" w:color="auto" w:fill="FFFFFF"/>
          <w:lang w:val="en-US" w:eastAsia="zh-CN"/>
        </w:rPr>
        <w:t>，</w:t>
      </w:r>
      <w:r>
        <w:rPr>
          <w:rFonts w:hint="default" w:ascii="Times New Roman" w:hAnsi="Times New Roman" w:cs="Times New Roman"/>
          <w:color w:val="auto"/>
          <w:szCs w:val="24"/>
          <w:highlight w:val="none"/>
          <w:shd w:val="clear" w:color="auto" w:fill="FFFFFF"/>
          <w:lang w:val="en-US" w:eastAsia="zh-CN"/>
        </w:rPr>
        <w:t>其主要作用是提供一个安全的数据实验环境，供业务、技术人员进行数据探索和分析使用，使用的数据是经过审批并进行数据安全处理的，且不会对生产数据库产生影响。</w:t>
      </w:r>
    </w:p>
    <w:p w14:paraId="3B046DFD">
      <w:pPr>
        <w:ind w:left="0" w:firstLine="480" w:firstLineChars="200"/>
        <w:rPr>
          <w:rFonts w:hint="default" w:ascii="Times New Roman" w:hAnsi="Times New Roman" w:cs="Times New Roman"/>
          <w:color w:val="auto"/>
          <w:szCs w:val="24"/>
          <w:highlight w:val="none"/>
          <w:shd w:val="clear" w:color="auto" w:fill="FFFFFF"/>
          <w:lang w:val="en-US" w:eastAsia="zh-CN"/>
        </w:rPr>
      </w:pPr>
      <w:r>
        <w:rPr>
          <w:rFonts w:hint="eastAsia" w:ascii="Times New Roman" w:hAnsi="Times New Roman" w:cs="Times New Roman"/>
          <w:color w:val="auto"/>
          <w:szCs w:val="24"/>
          <w:highlight w:val="none"/>
          <w:shd w:val="clear" w:color="auto" w:fill="FFFFFF"/>
          <w:lang w:val="en-US" w:eastAsia="zh-CN"/>
        </w:rPr>
        <w:t>两套实验区分别是探索区和验证区</w:t>
      </w:r>
      <w:r>
        <w:rPr>
          <w:rFonts w:hint="default" w:ascii="Times New Roman" w:hAnsi="Times New Roman" w:cs="Times New Roman"/>
          <w:color w:val="auto"/>
          <w:szCs w:val="24"/>
          <w:highlight w:val="none"/>
          <w:shd w:val="clear" w:color="auto" w:fill="FFFFFF"/>
          <w:lang w:val="en-US" w:eastAsia="zh-CN"/>
        </w:rPr>
        <w:t>，</w:t>
      </w:r>
      <w:r>
        <w:rPr>
          <w:rFonts w:hint="eastAsia" w:ascii="Times New Roman" w:hAnsi="Times New Roman" w:cs="Times New Roman"/>
          <w:color w:val="auto"/>
          <w:szCs w:val="24"/>
          <w:highlight w:val="none"/>
          <w:shd w:val="clear" w:color="auto" w:fill="FFFFFF"/>
          <w:lang w:val="en-US" w:eastAsia="zh-CN"/>
        </w:rPr>
        <w:t>其中探索区主要用作风控人员、数据人员等技术人员进行数据分析探索、变量试算和机器学习算法训练等；验证区主要用作业务人员进行报表数据验证、实时数据验证等。</w:t>
      </w:r>
      <w:r>
        <w:rPr>
          <w:rFonts w:hint="default" w:ascii="Times New Roman" w:hAnsi="Times New Roman" w:cs="Times New Roman"/>
          <w:color w:val="auto"/>
          <w:szCs w:val="24"/>
          <w:highlight w:val="none"/>
          <w:shd w:val="clear" w:color="auto" w:fill="FFFFFF"/>
          <w:lang w:val="en-US" w:eastAsia="zh-CN"/>
        </w:rPr>
        <w:t>数据实验区具体要求应包</w:t>
      </w:r>
      <w:r>
        <w:rPr>
          <w:rFonts w:hint="eastAsia" w:ascii="Times New Roman" w:hAnsi="Times New Roman" w:cs="Times New Roman"/>
          <w:color w:val="auto"/>
          <w:szCs w:val="24"/>
          <w:highlight w:val="none"/>
          <w:shd w:val="clear" w:color="auto" w:fill="FFFFFF"/>
          <w:lang w:val="en-US" w:eastAsia="zh-CN"/>
        </w:rPr>
        <w:t>括</w:t>
      </w:r>
      <w:r>
        <w:rPr>
          <w:rFonts w:hint="default" w:ascii="Times New Roman" w:hAnsi="Times New Roman" w:cs="Times New Roman"/>
          <w:color w:val="auto"/>
          <w:szCs w:val="24"/>
          <w:highlight w:val="none"/>
          <w:shd w:val="clear" w:color="auto" w:fill="FFFFFF"/>
          <w:lang w:val="en-US" w:eastAsia="zh-CN"/>
        </w:rPr>
        <w:t>但不限于：</w:t>
      </w:r>
    </w:p>
    <w:p w14:paraId="0943F4A2">
      <w:pPr>
        <w:ind w:left="0" w:firstLine="480" w:firstLineChars="200"/>
        <w:rPr>
          <w:rFonts w:hint="default" w:ascii="Times New Roman" w:hAnsi="Times New Roman" w:cs="Times New Roman"/>
          <w:color w:val="auto"/>
          <w:szCs w:val="24"/>
          <w:highlight w:val="none"/>
          <w:shd w:val="clear" w:color="auto" w:fill="FFFFFF"/>
          <w:lang w:val="en-US" w:eastAsia="zh-CN"/>
        </w:rPr>
      </w:pPr>
      <w:r>
        <w:rPr>
          <w:rFonts w:hint="eastAsia" w:ascii="Times New Roman" w:hAnsi="Times New Roman" w:cs="Times New Roman"/>
          <w:color w:val="auto"/>
          <w:szCs w:val="24"/>
          <w:highlight w:val="none"/>
          <w:shd w:val="clear" w:color="auto" w:fill="FFFFFF"/>
          <w:lang w:val="en-US" w:eastAsia="zh-CN"/>
        </w:rPr>
        <w:t>（1）</w:t>
      </w:r>
      <w:r>
        <w:rPr>
          <w:rFonts w:hint="default" w:ascii="Times New Roman" w:hAnsi="Times New Roman" w:cs="Times New Roman"/>
          <w:color w:val="auto"/>
          <w:szCs w:val="24"/>
          <w:highlight w:val="none"/>
          <w:shd w:val="clear" w:color="auto" w:fill="FFFFFF"/>
          <w:lang w:val="en-US" w:eastAsia="zh-CN"/>
        </w:rPr>
        <w:t>安全保障：数据实验室提供的数据均需要进行事前审批，且需要进行</w:t>
      </w:r>
      <w:r>
        <w:rPr>
          <w:rFonts w:hint="eastAsia" w:ascii="Times New Roman" w:hAnsi="Times New Roman" w:cs="Times New Roman"/>
          <w:color w:val="auto"/>
          <w:szCs w:val="24"/>
          <w:highlight w:val="none"/>
          <w:shd w:val="clear" w:color="auto" w:fill="FFFFFF"/>
          <w:lang w:val="en-US" w:eastAsia="zh-CN"/>
        </w:rPr>
        <w:t>脱敏</w:t>
      </w:r>
      <w:r>
        <w:rPr>
          <w:rFonts w:hint="default" w:ascii="Times New Roman" w:hAnsi="Times New Roman" w:cs="Times New Roman"/>
          <w:color w:val="auto"/>
          <w:szCs w:val="24"/>
          <w:highlight w:val="none"/>
          <w:shd w:val="clear" w:color="auto" w:fill="FFFFFF"/>
          <w:lang w:val="en-US" w:eastAsia="zh-CN"/>
        </w:rPr>
        <w:t>处理；</w:t>
      </w:r>
    </w:p>
    <w:p w14:paraId="2F380AE1">
      <w:pPr>
        <w:numPr>
          <w:ilvl w:val="0"/>
          <w:numId w:val="0"/>
        </w:numPr>
        <w:ind w:left="0" w:leftChars="0" w:firstLine="480" w:firstLineChars="200"/>
        <w:rPr>
          <w:rFonts w:hint="default" w:ascii="Times New Roman" w:hAnsi="Times New Roman" w:cs="Times New Roman"/>
          <w:color w:val="auto"/>
          <w:szCs w:val="24"/>
          <w:highlight w:val="none"/>
          <w:shd w:val="clear" w:color="auto" w:fill="FFFFFF"/>
          <w:lang w:val="en-US" w:eastAsia="zh-CN"/>
        </w:rPr>
      </w:pPr>
      <w:r>
        <w:rPr>
          <w:rFonts w:hint="eastAsia" w:ascii="Times New Roman" w:hAnsi="Times New Roman" w:cs="Times New Roman"/>
          <w:color w:val="auto"/>
          <w:szCs w:val="24"/>
          <w:highlight w:val="none"/>
          <w:shd w:val="clear" w:color="auto" w:fill="FFFFFF"/>
          <w:lang w:val="en-US" w:eastAsia="zh-CN"/>
        </w:rPr>
        <w:t>（2）</w:t>
      </w:r>
      <w:r>
        <w:rPr>
          <w:rFonts w:hint="default" w:ascii="Times New Roman" w:hAnsi="Times New Roman" w:cs="Times New Roman"/>
          <w:color w:val="auto"/>
          <w:szCs w:val="24"/>
          <w:highlight w:val="none"/>
          <w:shd w:val="clear" w:color="auto" w:fill="FFFFFF"/>
          <w:lang w:val="en-US" w:eastAsia="zh-CN"/>
        </w:rPr>
        <w:t>规范要求：制定数据实验区数据申请、使用规范，提供数据的生命周期、数据范围等；</w:t>
      </w:r>
    </w:p>
    <w:p w14:paraId="51B33D95">
      <w:pPr>
        <w:numPr>
          <w:ilvl w:val="0"/>
          <w:numId w:val="0"/>
        </w:numPr>
        <w:ind w:left="0" w:leftChars="0" w:firstLine="480" w:firstLineChars="200"/>
        <w:rPr>
          <w:rFonts w:hint="default" w:ascii="Times New Roman" w:hAnsi="Times New Roman" w:cs="Times New Roman"/>
          <w:color w:val="auto"/>
          <w:szCs w:val="24"/>
          <w:highlight w:val="none"/>
          <w:shd w:val="clear" w:color="auto" w:fill="FFFFFF"/>
          <w:lang w:val="en-US" w:eastAsia="zh-CN"/>
        </w:rPr>
      </w:pPr>
      <w:r>
        <w:rPr>
          <w:rFonts w:hint="eastAsia" w:ascii="Times New Roman" w:hAnsi="Times New Roman" w:cs="Times New Roman"/>
          <w:color w:val="auto"/>
          <w:szCs w:val="24"/>
          <w:highlight w:val="none"/>
          <w:shd w:val="clear" w:color="auto" w:fill="FFFFFF"/>
          <w:lang w:val="en-US" w:eastAsia="zh-CN"/>
        </w:rPr>
        <w:t>（3）</w:t>
      </w:r>
      <w:r>
        <w:rPr>
          <w:rFonts w:hint="default" w:ascii="Times New Roman" w:hAnsi="Times New Roman" w:cs="Times New Roman"/>
          <w:color w:val="auto"/>
          <w:szCs w:val="24"/>
          <w:highlight w:val="none"/>
          <w:shd w:val="clear" w:color="auto" w:fill="FFFFFF"/>
          <w:lang w:val="en-US" w:eastAsia="zh-CN"/>
        </w:rPr>
        <w:t>资源隔离：</w:t>
      </w:r>
      <w:r>
        <w:rPr>
          <w:rFonts w:hint="eastAsia" w:ascii="Times New Roman" w:hAnsi="Times New Roman" w:cs="Times New Roman"/>
          <w:color w:val="auto"/>
          <w:szCs w:val="24"/>
          <w:highlight w:val="none"/>
          <w:shd w:val="clear" w:color="auto" w:fill="FFFFFF"/>
          <w:lang w:val="en-US" w:eastAsia="zh-CN"/>
        </w:rPr>
        <w:t>实验区使用租户进行资源隔离。</w:t>
      </w:r>
      <w:r>
        <w:rPr>
          <w:rFonts w:hint="default" w:ascii="Times New Roman" w:hAnsi="Times New Roman" w:cs="Times New Roman"/>
          <w:color w:val="auto"/>
          <w:szCs w:val="24"/>
          <w:highlight w:val="none"/>
          <w:shd w:val="clear" w:color="auto" w:fill="FFFFFF"/>
          <w:lang w:val="en-US" w:eastAsia="zh-CN"/>
        </w:rPr>
        <w:t>业务、技术人员在独立的数据实验区环境中进行数据探索</w:t>
      </w:r>
      <w:r>
        <w:rPr>
          <w:rFonts w:hint="eastAsia" w:ascii="Times New Roman" w:hAnsi="Times New Roman" w:cs="Times New Roman"/>
          <w:color w:val="auto"/>
          <w:szCs w:val="24"/>
          <w:highlight w:val="none"/>
          <w:shd w:val="clear" w:color="auto" w:fill="FFFFFF"/>
          <w:lang w:val="en-US" w:eastAsia="zh-CN"/>
        </w:rPr>
        <w:t>、</w:t>
      </w:r>
      <w:r>
        <w:rPr>
          <w:rFonts w:hint="default" w:ascii="Times New Roman" w:hAnsi="Times New Roman" w:cs="Times New Roman"/>
          <w:color w:val="auto"/>
          <w:szCs w:val="24"/>
          <w:highlight w:val="none"/>
          <w:shd w:val="clear" w:color="auto" w:fill="FFFFFF"/>
          <w:lang w:val="en-US" w:eastAsia="zh-CN"/>
        </w:rPr>
        <w:t>分析</w:t>
      </w:r>
      <w:r>
        <w:rPr>
          <w:rFonts w:hint="eastAsia" w:ascii="Times New Roman" w:hAnsi="Times New Roman" w:cs="Times New Roman"/>
          <w:color w:val="auto"/>
          <w:szCs w:val="24"/>
          <w:highlight w:val="none"/>
          <w:shd w:val="clear" w:color="auto" w:fill="FFFFFF"/>
          <w:lang w:val="en-US" w:eastAsia="zh-CN"/>
        </w:rPr>
        <w:t>和验证</w:t>
      </w:r>
      <w:r>
        <w:rPr>
          <w:rFonts w:hint="default" w:ascii="Times New Roman" w:hAnsi="Times New Roman" w:cs="Times New Roman"/>
          <w:color w:val="auto"/>
          <w:szCs w:val="24"/>
          <w:highlight w:val="none"/>
          <w:shd w:val="clear" w:color="auto" w:fill="FFFFFF"/>
          <w:lang w:val="en-US" w:eastAsia="zh-CN"/>
        </w:rPr>
        <w:t>，不会影响生产数据库中的日常批量和实时业务；</w:t>
      </w:r>
    </w:p>
    <w:p w14:paraId="0BD05B8C">
      <w:pPr>
        <w:numPr>
          <w:ilvl w:val="0"/>
          <w:numId w:val="0"/>
        </w:numPr>
        <w:ind w:left="0" w:leftChars="0" w:firstLine="480" w:firstLineChars="200"/>
        <w:rPr>
          <w:rFonts w:hint="default" w:ascii="Times New Roman" w:hAnsi="Times New Roman" w:cs="Times New Roman"/>
          <w:color w:val="auto"/>
          <w:szCs w:val="24"/>
          <w:highlight w:val="none"/>
          <w:shd w:val="clear" w:color="auto" w:fill="FFFFFF"/>
          <w:lang w:val="en-US" w:eastAsia="zh-CN"/>
        </w:rPr>
      </w:pPr>
      <w:r>
        <w:rPr>
          <w:rFonts w:hint="eastAsia" w:ascii="Times New Roman" w:hAnsi="Times New Roman" w:cs="Times New Roman"/>
          <w:color w:val="auto"/>
          <w:szCs w:val="24"/>
          <w:highlight w:val="none"/>
          <w:shd w:val="clear" w:color="auto" w:fill="FFFFFF"/>
          <w:lang w:val="en-US" w:eastAsia="zh-CN"/>
        </w:rPr>
        <w:t>（4）</w:t>
      </w:r>
      <w:r>
        <w:rPr>
          <w:rFonts w:hint="default" w:ascii="Times New Roman" w:hAnsi="Times New Roman" w:cs="Times New Roman"/>
          <w:color w:val="auto"/>
          <w:szCs w:val="24"/>
          <w:highlight w:val="none"/>
          <w:shd w:val="clear" w:color="auto" w:fill="FFFFFF"/>
          <w:lang w:val="en-US" w:eastAsia="zh-CN"/>
        </w:rPr>
        <w:t>数据隔离：业务、技术人员可以在其中进行各种数据操作，包括插入、修改和删除数据，而不会对生产数据产生任何影响。</w:t>
      </w:r>
    </w:p>
    <w:p w14:paraId="604AFF92">
      <w:pPr>
        <w:pStyle w:val="5"/>
        <w:keepNext w:val="0"/>
        <w:keepLines w:val="0"/>
        <w:pageBreakBefore w:val="0"/>
        <w:widowControl w:val="0"/>
        <w:numPr>
          <w:ilvl w:val="2"/>
          <w:numId w:val="2"/>
        </w:numPr>
        <w:kinsoku/>
        <w:wordWrap/>
        <w:overflowPunct/>
        <w:topLinePunct w:val="0"/>
        <w:autoSpaceDE w:val="0"/>
        <w:autoSpaceDN w:val="0"/>
        <w:bidi w:val="0"/>
        <w:adjustRightInd/>
        <w:snapToGrid/>
        <w:ind w:left="0" w:leftChars="0" w:firstLine="482" w:firstLineChars="200"/>
        <w:textAlignment w:val="auto"/>
        <w:outlineLvl w:val="3"/>
        <w:rPr>
          <w:rFonts w:hint="default" w:ascii="Times New Roman" w:hAnsi="Times New Roman" w:cs="Times New Roman"/>
          <w:b/>
          <w:bCs w:val="0"/>
          <w:color w:val="auto"/>
          <w:highlight w:val="none"/>
          <w:lang w:val="en-US" w:eastAsia="zh-CN"/>
        </w:rPr>
      </w:pPr>
      <w:r>
        <w:rPr>
          <w:rFonts w:hint="default" w:ascii="Times New Roman" w:hAnsi="Times New Roman" w:cs="Times New Roman"/>
          <w:b/>
          <w:bCs w:val="0"/>
          <w:color w:val="auto"/>
          <w:highlight w:val="none"/>
          <w:lang w:val="en-US" w:eastAsia="zh-CN"/>
        </w:rPr>
        <w:t xml:space="preserve"> </w:t>
      </w:r>
      <w:r>
        <w:rPr>
          <w:rFonts w:hint="eastAsia" w:ascii="Times New Roman" w:hAnsi="Times New Roman" w:cs="Times New Roman"/>
          <w:b/>
          <w:bCs w:val="0"/>
          <w:color w:val="auto"/>
          <w:highlight w:val="none"/>
          <w:lang w:val="en-US" w:eastAsia="zh-CN"/>
        </w:rPr>
        <w:t>灾备</w:t>
      </w:r>
      <w:r>
        <w:rPr>
          <w:rFonts w:hint="default" w:ascii="Times New Roman" w:hAnsi="Times New Roman" w:cs="Times New Roman"/>
          <w:b/>
          <w:bCs w:val="0"/>
          <w:color w:val="auto"/>
          <w:highlight w:val="none"/>
          <w:lang w:val="en-US" w:eastAsia="zh-CN"/>
        </w:rPr>
        <w:t>建设</w:t>
      </w:r>
    </w:p>
    <w:p w14:paraId="319584C5">
      <w:pPr>
        <w:ind w:left="0" w:firstLine="480" w:firstLineChars="200"/>
        <w:rPr>
          <w:rFonts w:hint="eastAsia" w:ascii="Times New Roman" w:hAnsi="Times New Roman" w:cs="Times New Roman"/>
          <w:color w:val="auto"/>
          <w:szCs w:val="24"/>
          <w:highlight w:val="none"/>
          <w:shd w:val="clear" w:color="auto" w:fill="FFFFFF"/>
          <w:lang w:val="en-US" w:eastAsia="zh-CN"/>
        </w:rPr>
      </w:pPr>
      <w:r>
        <w:rPr>
          <w:rFonts w:hint="eastAsia" w:ascii="Times New Roman" w:hAnsi="Times New Roman" w:cs="Times New Roman"/>
          <w:color w:val="auto"/>
          <w:szCs w:val="24"/>
          <w:highlight w:val="none"/>
          <w:shd w:val="clear" w:color="auto" w:fill="FFFFFF"/>
          <w:lang w:val="en-US" w:eastAsia="zh-CN"/>
        </w:rPr>
        <w:t>参选人需根据灾备方案完成新一代数据中台的数据服务版块和实时数仓版块的灾备建设（同城双活），保障对应版块的数据安全和业务连续性。灾备建设的具体要求包括但不限于：</w:t>
      </w:r>
    </w:p>
    <w:p w14:paraId="219898FA">
      <w:pPr>
        <w:numPr>
          <w:ilvl w:val="0"/>
          <w:numId w:val="14"/>
        </w:numPr>
        <w:ind w:left="0" w:firstLine="480" w:firstLineChars="200"/>
        <w:rPr>
          <w:rFonts w:hint="eastAsia" w:ascii="Times New Roman" w:hAnsi="Times New Roman" w:cs="Times New Roman"/>
          <w:color w:val="auto"/>
          <w:szCs w:val="24"/>
          <w:highlight w:val="none"/>
          <w:shd w:val="clear" w:color="auto" w:fill="FFFFFF"/>
          <w:lang w:val="en-US" w:eastAsia="zh-CN"/>
        </w:rPr>
      </w:pPr>
      <w:r>
        <w:rPr>
          <w:rFonts w:hint="eastAsia" w:ascii="Times New Roman" w:hAnsi="Times New Roman" w:cs="Times New Roman"/>
          <w:color w:val="auto"/>
          <w:szCs w:val="24"/>
          <w:highlight w:val="none"/>
          <w:shd w:val="clear" w:color="auto" w:fill="FFFFFF"/>
          <w:lang w:val="en-US" w:eastAsia="zh-CN"/>
        </w:rPr>
        <w:t>参选人需提供灾备环境搭建所需的各类软件工具产品；</w:t>
      </w:r>
    </w:p>
    <w:p w14:paraId="0BD8A447">
      <w:pPr>
        <w:numPr>
          <w:ilvl w:val="0"/>
          <w:numId w:val="14"/>
        </w:numPr>
        <w:ind w:left="0" w:firstLine="480" w:firstLineChars="200"/>
        <w:rPr>
          <w:rFonts w:hint="eastAsia" w:ascii="Times New Roman" w:hAnsi="Times New Roman" w:cs="Times New Roman"/>
          <w:color w:val="auto"/>
          <w:szCs w:val="24"/>
          <w:highlight w:val="none"/>
          <w:shd w:val="clear" w:color="auto" w:fill="FFFFFF"/>
          <w:lang w:val="en-US" w:eastAsia="zh-CN"/>
        </w:rPr>
      </w:pPr>
      <w:r>
        <w:rPr>
          <w:rFonts w:hint="eastAsia" w:ascii="Times New Roman" w:hAnsi="Times New Roman" w:cs="Times New Roman"/>
          <w:color w:val="auto"/>
          <w:szCs w:val="24"/>
          <w:highlight w:val="none"/>
          <w:shd w:val="clear" w:color="auto" w:fill="FFFFFF"/>
          <w:lang w:val="en-US" w:eastAsia="zh-CN"/>
        </w:rPr>
        <w:t>参选人需完成灾备环境的搭建，包括但不限于应用服务搭建、数据同步、监控预警策略配置、故障转移机制设置等；</w:t>
      </w:r>
    </w:p>
    <w:p w14:paraId="2C683F8E">
      <w:pPr>
        <w:numPr>
          <w:ilvl w:val="0"/>
          <w:numId w:val="14"/>
        </w:numPr>
        <w:ind w:left="0" w:firstLine="480" w:firstLineChars="200"/>
        <w:rPr>
          <w:rFonts w:hint="eastAsia" w:ascii="Times New Roman" w:hAnsi="Times New Roman" w:cs="Times New Roman"/>
          <w:color w:val="auto"/>
          <w:szCs w:val="24"/>
          <w:highlight w:val="none"/>
          <w:shd w:val="clear" w:color="auto" w:fill="FFFFFF"/>
          <w:lang w:val="en-US" w:eastAsia="zh-CN"/>
        </w:rPr>
      </w:pPr>
      <w:r>
        <w:rPr>
          <w:rFonts w:hint="eastAsia" w:ascii="Times New Roman" w:hAnsi="Times New Roman" w:cs="Times New Roman"/>
          <w:color w:val="auto"/>
          <w:szCs w:val="24"/>
          <w:highlight w:val="none"/>
          <w:shd w:val="clear" w:color="auto" w:fill="FFFFFF"/>
          <w:lang w:val="en-US" w:eastAsia="zh-CN"/>
        </w:rPr>
        <w:t>灾备建设需在整体业务连续性基础上，满足业务恢复时间目标不超过2分钟以及数据恢复点目标不超过2分钟的要求；</w:t>
      </w:r>
    </w:p>
    <w:p w14:paraId="4AB16E06">
      <w:pPr>
        <w:numPr>
          <w:ilvl w:val="0"/>
          <w:numId w:val="14"/>
        </w:numPr>
        <w:ind w:left="0" w:firstLine="480" w:firstLineChars="200"/>
        <w:rPr>
          <w:rFonts w:hint="default" w:ascii="Times New Roman" w:hAnsi="Times New Roman" w:cs="Times New Roman"/>
          <w:color w:val="auto"/>
          <w:szCs w:val="24"/>
          <w:highlight w:val="none"/>
          <w:shd w:val="clear" w:color="auto" w:fill="FFFFFF"/>
          <w:lang w:val="en-US" w:eastAsia="zh-CN"/>
        </w:rPr>
      </w:pPr>
      <w:r>
        <w:rPr>
          <w:rFonts w:hint="eastAsia" w:ascii="Times New Roman" w:hAnsi="Times New Roman" w:cs="Times New Roman"/>
          <w:color w:val="auto"/>
          <w:szCs w:val="24"/>
          <w:highlight w:val="none"/>
          <w:shd w:val="clear" w:color="auto" w:fill="FFFFFF"/>
          <w:lang w:val="en-US" w:eastAsia="zh-CN"/>
        </w:rPr>
        <w:t>参选人在建设完成后需进行灾备演练，确保灾备服务的可用性和稳定性。</w:t>
      </w:r>
    </w:p>
    <w:bookmarkEnd w:id="51"/>
    <w:p w14:paraId="42896124">
      <w:pPr>
        <w:pStyle w:val="4"/>
        <w:keepNext w:val="0"/>
        <w:keepLines w:val="0"/>
        <w:pageBreakBefore w:val="0"/>
        <w:widowControl w:val="0"/>
        <w:numPr>
          <w:ilvl w:val="1"/>
          <w:numId w:val="2"/>
        </w:numPr>
        <w:kinsoku/>
        <w:wordWrap/>
        <w:overflowPunct/>
        <w:topLinePunct w:val="0"/>
        <w:autoSpaceDE w:val="0"/>
        <w:autoSpaceDN w:val="0"/>
        <w:bidi w:val="0"/>
        <w:adjustRightInd/>
        <w:snapToGrid/>
        <w:ind w:left="0" w:leftChars="0" w:firstLine="482" w:firstLineChars="200"/>
        <w:textAlignment w:val="auto"/>
        <w:outlineLvl w:val="2"/>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 xml:space="preserve"> 数据管理与运营体系规划</w:t>
      </w:r>
    </w:p>
    <w:p w14:paraId="2433D907">
      <w:pPr>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参选人应根据比选人的组织架构、业务情况以及内外部监管要求等，借鉴业内先进的实践经验和成果，结合本项目的实际建设情况，为比选人规划一套完善的数据管理与运营体系，为项目实施和比选人后续规范化管理、运营提供依据和保障。</w:t>
      </w:r>
    </w:p>
    <w:p w14:paraId="137D3026">
      <w:pPr>
        <w:pStyle w:val="5"/>
        <w:keepNext w:val="0"/>
        <w:keepLines w:val="0"/>
        <w:pageBreakBefore w:val="0"/>
        <w:widowControl w:val="0"/>
        <w:numPr>
          <w:ilvl w:val="2"/>
          <w:numId w:val="2"/>
        </w:numPr>
        <w:kinsoku/>
        <w:wordWrap/>
        <w:overflowPunct/>
        <w:topLinePunct w:val="0"/>
        <w:autoSpaceDE w:val="0"/>
        <w:autoSpaceDN w:val="0"/>
        <w:bidi w:val="0"/>
        <w:adjustRightInd/>
        <w:snapToGrid/>
        <w:ind w:left="0" w:leftChars="0" w:firstLine="482" w:firstLineChars="200"/>
        <w:textAlignment w:val="auto"/>
        <w:outlineLvl w:val="3"/>
        <w:rPr>
          <w:rFonts w:hint="default" w:ascii="Times New Roman" w:hAnsi="Times New Roman" w:cs="Times New Roman"/>
          <w:b/>
          <w:bCs w:val="0"/>
          <w:color w:val="auto"/>
          <w:highlight w:val="none"/>
          <w:lang w:val="en-US" w:eastAsia="zh-CN"/>
        </w:rPr>
      </w:pPr>
      <w:r>
        <w:rPr>
          <w:rFonts w:hint="eastAsia" w:ascii="Times New Roman" w:hAnsi="Times New Roman" w:cs="Times New Roman"/>
          <w:b/>
          <w:bCs w:val="0"/>
          <w:color w:val="auto"/>
          <w:highlight w:val="none"/>
          <w:lang w:val="en-US" w:eastAsia="zh-CN"/>
        </w:rPr>
        <w:t xml:space="preserve"> 开发</w:t>
      </w:r>
      <w:r>
        <w:rPr>
          <w:rFonts w:hint="default" w:ascii="Times New Roman" w:hAnsi="Times New Roman" w:cs="Times New Roman"/>
          <w:b/>
          <w:bCs w:val="0"/>
          <w:color w:val="auto"/>
          <w:highlight w:val="none"/>
          <w:lang w:val="en-US" w:eastAsia="zh-CN"/>
        </w:rPr>
        <w:t>规范</w:t>
      </w:r>
    </w:p>
    <w:p w14:paraId="50726D63">
      <w:pP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参选人需为比选人</w:t>
      </w:r>
      <w:r>
        <w:rPr>
          <w:rFonts w:hint="default" w:ascii="Times New Roman" w:hAnsi="Times New Roman" w:cs="Times New Roman"/>
          <w:color w:val="auto"/>
          <w:highlight w:val="none"/>
          <w:lang w:val="zh-CN"/>
        </w:rPr>
        <w:t>制定一套完整、统一的规范</w:t>
      </w:r>
      <w:r>
        <w:rPr>
          <w:rFonts w:hint="default" w:ascii="Times New Roman" w:hAnsi="Times New Roman" w:cs="Times New Roman"/>
          <w:color w:val="auto"/>
          <w:highlight w:val="none"/>
          <w:lang w:val="en-US" w:eastAsia="zh-CN"/>
        </w:rPr>
        <w:t>并</w:t>
      </w:r>
      <w:r>
        <w:rPr>
          <w:rFonts w:hint="eastAsia" w:ascii="Times New Roman" w:hAnsi="Times New Roman" w:cs="Times New Roman"/>
          <w:color w:val="auto"/>
          <w:highlight w:val="none"/>
          <w:lang w:val="en-US" w:eastAsia="zh-CN"/>
        </w:rPr>
        <w:t>形成</w:t>
      </w:r>
      <w:r>
        <w:rPr>
          <w:rFonts w:hint="default" w:ascii="Times New Roman" w:hAnsi="Times New Roman" w:cs="Times New Roman"/>
          <w:color w:val="auto"/>
          <w:highlight w:val="none"/>
          <w:lang w:val="en-US" w:eastAsia="zh-CN"/>
        </w:rPr>
        <w:t>文档，为比选人后续数据开发、运营、管理</w:t>
      </w:r>
      <w:r>
        <w:rPr>
          <w:rFonts w:hint="eastAsia" w:ascii="Times New Roman" w:hAnsi="Times New Roman" w:cs="Times New Roman"/>
          <w:color w:val="auto"/>
          <w:highlight w:val="none"/>
          <w:lang w:val="en-US" w:eastAsia="zh-CN"/>
        </w:rPr>
        <w:t>和</w:t>
      </w:r>
      <w:r>
        <w:rPr>
          <w:rFonts w:hint="default" w:ascii="Times New Roman" w:hAnsi="Times New Roman" w:cs="Times New Roman"/>
          <w:color w:val="auto"/>
          <w:highlight w:val="none"/>
          <w:lang w:val="en-US" w:eastAsia="zh-CN"/>
        </w:rPr>
        <w:t>运维</w:t>
      </w:r>
      <w:r>
        <w:rPr>
          <w:rFonts w:hint="eastAsia" w:ascii="Times New Roman" w:hAnsi="Times New Roman" w:cs="Times New Roman"/>
          <w:color w:val="auto"/>
          <w:highlight w:val="none"/>
          <w:lang w:val="en-US" w:eastAsia="zh-CN"/>
        </w:rPr>
        <w:t>全流程</w:t>
      </w:r>
      <w:r>
        <w:rPr>
          <w:rFonts w:hint="default" w:ascii="Times New Roman" w:hAnsi="Times New Roman" w:cs="Times New Roman"/>
          <w:color w:val="auto"/>
          <w:highlight w:val="none"/>
          <w:lang w:val="zh-CN"/>
        </w:rPr>
        <w:t>提供明确的</w:t>
      </w:r>
      <w:r>
        <w:rPr>
          <w:rFonts w:hint="default" w:ascii="Times New Roman" w:hAnsi="Times New Roman" w:cs="Times New Roman"/>
          <w:color w:val="auto"/>
          <w:highlight w:val="none"/>
          <w:lang w:val="en-US" w:eastAsia="zh-CN"/>
        </w:rPr>
        <w:t>操作要求</w:t>
      </w:r>
      <w:r>
        <w:rPr>
          <w:rFonts w:hint="default" w:ascii="Times New Roman" w:hAnsi="Times New Roman" w:cs="Times New Roman"/>
          <w:color w:val="auto"/>
          <w:highlight w:val="none"/>
          <w:lang w:val="zh-CN"/>
        </w:rPr>
        <w:t>和标准。</w:t>
      </w:r>
      <w:r>
        <w:rPr>
          <w:rFonts w:hint="default" w:ascii="Times New Roman" w:hAnsi="Times New Roman" w:cs="Times New Roman"/>
          <w:color w:val="auto"/>
          <w:highlight w:val="none"/>
          <w:lang w:val="en-US" w:eastAsia="zh-CN"/>
        </w:rPr>
        <w:t>在制定规范时，参选人应充分参考业内先进经验，</w:t>
      </w:r>
      <w:r>
        <w:rPr>
          <w:rFonts w:hint="eastAsia" w:ascii="Times New Roman" w:hAnsi="Times New Roman" w:cs="Times New Roman"/>
          <w:color w:val="auto"/>
          <w:highlight w:val="none"/>
          <w:lang w:val="en-US" w:eastAsia="zh-CN"/>
        </w:rPr>
        <w:t>基于“DataOps”数据敏捷研发体系，将数据治理深入融合到数据开发全流程规范中。同时，开发规范需根据</w:t>
      </w:r>
      <w:r>
        <w:rPr>
          <w:rFonts w:hint="default" w:ascii="Times New Roman" w:hAnsi="Times New Roman" w:cs="Times New Roman"/>
          <w:color w:val="auto"/>
          <w:highlight w:val="none"/>
          <w:lang w:val="en-US" w:eastAsia="zh-CN"/>
        </w:rPr>
        <w:t>比选人实际情况</w:t>
      </w:r>
      <w:r>
        <w:rPr>
          <w:rFonts w:hint="eastAsia" w:ascii="Times New Roman" w:hAnsi="Times New Roman" w:cs="Times New Roman"/>
          <w:color w:val="auto"/>
          <w:highlight w:val="none"/>
          <w:lang w:val="en-US" w:eastAsia="zh-CN"/>
        </w:rPr>
        <w:t>进行规划设计</w:t>
      </w:r>
      <w:r>
        <w:rPr>
          <w:rFonts w:hint="default" w:ascii="Times New Roman" w:hAnsi="Times New Roman" w:cs="Times New Roman"/>
          <w:color w:val="auto"/>
          <w:highlight w:val="none"/>
          <w:lang w:val="en-US" w:eastAsia="zh-CN"/>
        </w:rPr>
        <w:t>，确保规范切实可行。参选人提供的</w:t>
      </w:r>
      <w:r>
        <w:rPr>
          <w:rFonts w:hint="eastAsia" w:ascii="Times New Roman" w:hAnsi="Times New Roman" w:cs="Times New Roman"/>
          <w:color w:val="auto"/>
          <w:highlight w:val="none"/>
          <w:lang w:val="en-US" w:eastAsia="zh-CN"/>
        </w:rPr>
        <w:t>开发</w:t>
      </w:r>
      <w:r>
        <w:rPr>
          <w:rFonts w:hint="default" w:ascii="Times New Roman" w:hAnsi="Times New Roman" w:cs="Times New Roman"/>
          <w:color w:val="auto"/>
          <w:highlight w:val="none"/>
          <w:lang w:val="en-US" w:eastAsia="zh-CN"/>
        </w:rPr>
        <w:t>规范应包括但不限于：数据采集规范、数据存储规范、数据建模规范、数据开发规范、数据服务规范</w:t>
      </w:r>
      <w:r>
        <w:rPr>
          <w:rFonts w:hint="eastAsia" w:ascii="Times New Roman" w:hAnsi="Times New Roman" w:cs="Times New Roman"/>
          <w:color w:val="auto"/>
          <w:highlight w:val="none"/>
          <w:lang w:val="en-US" w:eastAsia="zh-CN"/>
        </w:rPr>
        <w:t>等</w:t>
      </w:r>
      <w:r>
        <w:rPr>
          <w:rFonts w:hint="default" w:ascii="Times New Roman" w:hAnsi="Times New Roman" w:cs="Times New Roman"/>
          <w:color w:val="auto"/>
          <w:highlight w:val="none"/>
          <w:lang w:val="en-US" w:eastAsia="zh-CN"/>
        </w:rPr>
        <w:t>。</w:t>
      </w:r>
    </w:p>
    <w:p w14:paraId="7DBA14AE">
      <w:pPr>
        <w:pStyle w:val="5"/>
        <w:keepNext w:val="0"/>
        <w:keepLines w:val="0"/>
        <w:pageBreakBefore w:val="0"/>
        <w:widowControl w:val="0"/>
        <w:numPr>
          <w:ilvl w:val="2"/>
          <w:numId w:val="2"/>
        </w:numPr>
        <w:kinsoku/>
        <w:wordWrap/>
        <w:overflowPunct/>
        <w:topLinePunct w:val="0"/>
        <w:autoSpaceDE w:val="0"/>
        <w:autoSpaceDN w:val="0"/>
        <w:bidi w:val="0"/>
        <w:adjustRightInd/>
        <w:snapToGrid/>
        <w:ind w:left="0" w:leftChars="0" w:firstLine="482" w:firstLineChars="200"/>
        <w:textAlignment w:val="auto"/>
        <w:outlineLvl w:val="3"/>
        <w:rPr>
          <w:rFonts w:hint="default" w:ascii="Times New Roman" w:hAnsi="Times New Roman" w:cs="Times New Roman"/>
          <w:b/>
          <w:bCs w:val="0"/>
          <w:color w:val="auto"/>
          <w:highlight w:val="none"/>
          <w:lang w:val="en-US" w:eastAsia="zh-CN"/>
        </w:rPr>
      </w:pPr>
      <w:r>
        <w:rPr>
          <w:rFonts w:hint="eastAsia" w:ascii="Times New Roman" w:hAnsi="Times New Roman" w:cs="Times New Roman"/>
          <w:b/>
          <w:bCs w:val="0"/>
          <w:color w:val="auto"/>
          <w:highlight w:val="none"/>
          <w:lang w:val="en-US" w:eastAsia="zh-CN"/>
        </w:rPr>
        <w:t xml:space="preserve"> 管理制度</w:t>
      </w:r>
    </w:p>
    <w:p w14:paraId="08A74109">
      <w:pP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为确保</w:t>
      </w:r>
      <w:r>
        <w:rPr>
          <w:rFonts w:hint="eastAsia" w:ascii="Times New Roman" w:hAnsi="Times New Roman" w:cs="Times New Roman"/>
          <w:color w:val="auto"/>
          <w:highlight w:val="none"/>
          <w:lang w:val="en-US" w:eastAsia="zh-CN"/>
        </w:rPr>
        <w:t>本</w:t>
      </w:r>
      <w:r>
        <w:rPr>
          <w:rFonts w:hint="default" w:ascii="Times New Roman" w:hAnsi="Times New Roman" w:cs="Times New Roman"/>
          <w:color w:val="auto"/>
          <w:highlight w:val="none"/>
          <w:lang w:val="en-US" w:eastAsia="zh-CN"/>
        </w:rPr>
        <w:t>项目建成后数据中台的日常</w:t>
      </w:r>
      <w:r>
        <w:rPr>
          <w:rFonts w:hint="eastAsia" w:ascii="Times New Roman" w:hAnsi="Times New Roman" w:cs="Times New Roman"/>
          <w:color w:val="auto"/>
          <w:highlight w:val="none"/>
          <w:lang w:val="en-US" w:eastAsia="zh-CN"/>
        </w:rPr>
        <w:t>数据开发和管理</w:t>
      </w:r>
      <w:r>
        <w:rPr>
          <w:rFonts w:hint="default" w:ascii="Times New Roman" w:hAnsi="Times New Roman" w:cs="Times New Roman"/>
          <w:color w:val="auto"/>
          <w:highlight w:val="none"/>
          <w:lang w:val="en-US" w:eastAsia="zh-CN"/>
        </w:rPr>
        <w:t>有</w:t>
      </w:r>
      <w:r>
        <w:rPr>
          <w:rFonts w:hint="eastAsia" w:ascii="Times New Roman" w:hAnsi="Times New Roman" w:cs="Times New Roman"/>
          <w:color w:val="auto"/>
          <w:highlight w:val="none"/>
          <w:lang w:val="en-US" w:eastAsia="zh-CN"/>
        </w:rPr>
        <w:t>制度</w:t>
      </w:r>
      <w:r>
        <w:rPr>
          <w:rFonts w:hint="default" w:ascii="Times New Roman" w:hAnsi="Times New Roman" w:cs="Times New Roman"/>
          <w:color w:val="auto"/>
          <w:highlight w:val="none"/>
          <w:lang w:val="en-US" w:eastAsia="zh-CN"/>
        </w:rPr>
        <w:t>和</w:t>
      </w:r>
      <w:r>
        <w:rPr>
          <w:rFonts w:hint="eastAsia" w:ascii="Times New Roman" w:hAnsi="Times New Roman" w:cs="Times New Roman"/>
          <w:color w:val="auto"/>
          <w:highlight w:val="none"/>
          <w:lang w:val="en-US" w:eastAsia="zh-CN"/>
        </w:rPr>
        <w:t>流程</w:t>
      </w:r>
      <w:r>
        <w:rPr>
          <w:rFonts w:hint="default" w:ascii="Times New Roman" w:hAnsi="Times New Roman" w:cs="Times New Roman"/>
          <w:color w:val="auto"/>
          <w:highlight w:val="none"/>
          <w:lang w:val="en-US" w:eastAsia="zh-CN"/>
        </w:rPr>
        <w:t>依据，参选人需根据监管要求及行内规章</w:t>
      </w:r>
      <w:r>
        <w:rPr>
          <w:rFonts w:hint="eastAsia" w:ascii="Times New Roman" w:hAnsi="Times New Roman" w:cs="Times New Roman"/>
          <w:color w:val="auto"/>
          <w:highlight w:val="none"/>
          <w:lang w:val="en-US" w:eastAsia="zh-CN"/>
        </w:rPr>
        <w:t>制度</w:t>
      </w:r>
      <w:r>
        <w:rPr>
          <w:rFonts w:hint="default" w:ascii="Times New Roman" w:hAnsi="Times New Roman" w:cs="Times New Roman"/>
          <w:color w:val="auto"/>
          <w:highlight w:val="none"/>
          <w:lang w:val="en-US" w:eastAsia="zh-CN"/>
        </w:rPr>
        <w:t>要求等，按照行内规章制度编写规范，撰写全新的相关配套的规章制度以及优化修改现有制度内容以适应新数据中台的架构设计</w:t>
      </w:r>
      <w:r>
        <w:rPr>
          <w:rFonts w:hint="eastAsia" w:ascii="Times New Roman" w:hAnsi="Times New Roman" w:cs="Times New Roman"/>
          <w:color w:val="auto"/>
          <w:highlight w:val="none"/>
          <w:lang w:val="en-US" w:eastAsia="zh-CN"/>
        </w:rPr>
        <w:t>，同时设计</w:t>
      </w:r>
      <w:r>
        <w:rPr>
          <w:rFonts w:hint="default" w:ascii="Times New Roman" w:hAnsi="Times New Roman" w:cs="Times New Roman"/>
          <w:color w:val="auto"/>
          <w:highlight w:val="none"/>
          <w:lang w:val="en-US" w:eastAsia="zh-CN"/>
        </w:rPr>
        <w:t>一整套完善的数据开发、维护、服务流程以确保数据开发活动的高效、规范和可控。参选人提供的管理</w:t>
      </w:r>
      <w:r>
        <w:rPr>
          <w:rFonts w:hint="eastAsia" w:ascii="Times New Roman" w:hAnsi="Times New Roman" w:cs="Times New Roman"/>
          <w:color w:val="auto"/>
          <w:highlight w:val="none"/>
          <w:lang w:val="en-US" w:eastAsia="zh-CN"/>
        </w:rPr>
        <w:t>制度</w:t>
      </w:r>
      <w:r>
        <w:rPr>
          <w:rFonts w:hint="default" w:ascii="Times New Roman" w:hAnsi="Times New Roman" w:cs="Times New Roman"/>
          <w:color w:val="auto"/>
          <w:highlight w:val="none"/>
          <w:lang w:val="en-US" w:eastAsia="zh-CN"/>
        </w:rPr>
        <w:t>应包括但不限于：数据</w:t>
      </w:r>
      <w:r>
        <w:rPr>
          <w:rFonts w:hint="eastAsia" w:ascii="Times New Roman" w:hAnsi="Times New Roman" w:cs="Times New Roman"/>
          <w:color w:val="auto"/>
          <w:highlight w:val="none"/>
          <w:lang w:val="en-US" w:eastAsia="zh-CN"/>
        </w:rPr>
        <w:t>管理相关制度及流程</w:t>
      </w:r>
      <w:r>
        <w:rPr>
          <w:rFonts w:hint="default" w:ascii="Times New Roman" w:hAnsi="Times New Roman" w:cs="Times New Roman"/>
          <w:color w:val="auto"/>
          <w:highlight w:val="none"/>
          <w:lang w:val="en-US" w:eastAsia="zh-CN"/>
        </w:rPr>
        <w:t>、数据开发</w:t>
      </w:r>
      <w:r>
        <w:rPr>
          <w:rFonts w:hint="eastAsia" w:ascii="Times New Roman" w:hAnsi="Times New Roman" w:cs="Times New Roman"/>
          <w:color w:val="auto"/>
          <w:highlight w:val="none"/>
          <w:lang w:val="en-US" w:eastAsia="zh-CN"/>
        </w:rPr>
        <w:t>相关</w:t>
      </w:r>
      <w:r>
        <w:rPr>
          <w:rFonts w:hint="default" w:ascii="Times New Roman" w:hAnsi="Times New Roman" w:cs="Times New Roman"/>
          <w:color w:val="auto"/>
          <w:highlight w:val="none"/>
          <w:lang w:val="en-US" w:eastAsia="zh-CN"/>
        </w:rPr>
        <w:t>制度</w:t>
      </w:r>
      <w:r>
        <w:rPr>
          <w:rFonts w:hint="eastAsia" w:ascii="Times New Roman" w:hAnsi="Times New Roman" w:cs="Times New Roman"/>
          <w:color w:val="auto"/>
          <w:highlight w:val="none"/>
          <w:lang w:val="en-US" w:eastAsia="zh-CN"/>
        </w:rPr>
        <w:t>及流程</w:t>
      </w:r>
      <w:r>
        <w:rPr>
          <w:rFonts w:hint="default" w:ascii="Times New Roman" w:hAnsi="Times New Roman" w:cs="Times New Roman"/>
          <w:color w:val="auto"/>
          <w:highlight w:val="none"/>
          <w:lang w:val="en-US" w:eastAsia="zh-CN"/>
        </w:rPr>
        <w:t>、数据运维</w:t>
      </w:r>
      <w:r>
        <w:rPr>
          <w:rFonts w:hint="eastAsia" w:ascii="Times New Roman" w:hAnsi="Times New Roman" w:cs="Times New Roman"/>
          <w:color w:val="auto"/>
          <w:highlight w:val="none"/>
          <w:lang w:val="en-US" w:eastAsia="zh-CN"/>
        </w:rPr>
        <w:t>相关</w:t>
      </w:r>
      <w:r>
        <w:rPr>
          <w:rFonts w:hint="default" w:ascii="Times New Roman" w:hAnsi="Times New Roman" w:cs="Times New Roman"/>
          <w:color w:val="auto"/>
          <w:highlight w:val="none"/>
          <w:lang w:val="en-US" w:eastAsia="zh-CN"/>
        </w:rPr>
        <w:t>制度</w:t>
      </w:r>
      <w:r>
        <w:rPr>
          <w:rFonts w:hint="eastAsia" w:ascii="Times New Roman" w:hAnsi="Times New Roman" w:cs="Times New Roman"/>
          <w:color w:val="auto"/>
          <w:highlight w:val="none"/>
          <w:lang w:val="en-US" w:eastAsia="zh-CN"/>
        </w:rPr>
        <w:t>及流程</w:t>
      </w:r>
      <w:r>
        <w:rPr>
          <w:rFonts w:hint="default" w:ascii="Times New Roman" w:hAnsi="Times New Roman" w:cs="Times New Roman"/>
          <w:color w:val="auto"/>
          <w:highlight w:val="none"/>
          <w:lang w:val="en-US" w:eastAsia="zh-CN"/>
        </w:rPr>
        <w:t>、数据治理</w:t>
      </w:r>
      <w:r>
        <w:rPr>
          <w:rFonts w:hint="eastAsia" w:ascii="Times New Roman" w:hAnsi="Times New Roman" w:cs="Times New Roman"/>
          <w:color w:val="auto"/>
          <w:highlight w:val="none"/>
          <w:lang w:val="en-US" w:eastAsia="zh-CN"/>
        </w:rPr>
        <w:t>相关</w:t>
      </w:r>
      <w:r>
        <w:rPr>
          <w:rFonts w:hint="default" w:ascii="Times New Roman" w:hAnsi="Times New Roman" w:cs="Times New Roman"/>
          <w:color w:val="auto"/>
          <w:highlight w:val="none"/>
          <w:lang w:val="en-US" w:eastAsia="zh-CN"/>
        </w:rPr>
        <w:t>制度</w:t>
      </w:r>
      <w:r>
        <w:rPr>
          <w:rFonts w:hint="eastAsia" w:ascii="Times New Roman" w:hAnsi="Times New Roman" w:cs="Times New Roman"/>
          <w:color w:val="auto"/>
          <w:highlight w:val="none"/>
          <w:lang w:val="en-US" w:eastAsia="zh-CN"/>
        </w:rPr>
        <w:t>及流程等</w:t>
      </w:r>
      <w:r>
        <w:rPr>
          <w:rFonts w:hint="default" w:ascii="Times New Roman" w:hAnsi="Times New Roman" w:cs="Times New Roman"/>
          <w:color w:val="auto"/>
          <w:highlight w:val="none"/>
          <w:lang w:val="en-US" w:eastAsia="zh-CN"/>
        </w:rPr>
        <w:t>。</w:t>
      </w:r>
    </w:p>
    <w:p w14:paraId="34E23606">
      <w:pPr>
        <w:pStyle w:val="5"/>
        <w:keepNext w:val="0"/>
        <w:keepLines w:val="0"/>
        <w:pageBreakBefore w:val="0"/>
        <w:widowControl w:val="0"/>
        <w:numPr>
          <w:ilvl w:val="2"/>
          <w:numId w:val="2"/>
        </w:numPr>
        <w:kinsoku/>
        <w:wordWrap/>
        <w:overflowPunct/>
        <w:topLinePunct w:val="0"/>
        <w:autoSpaceDE w:val="0"/>
        <w:autoSpaceDN w:val="0"/>
        <w:bidi w:val="0"/>
        <w:adjustRightInd/>
        <w:snapToGrid/>
        <w:ind w:left="0" w:leftChars="0" w:firstLine="482" w:firstLineChars="200"/>
        <w:textAlignment w:val="auto"/>
        <w:outlineLvl w:val="3"/>
        <w:rPr>
          <w:rFonts w:hint="default" w:ascii="Times New Roman" w:hAnsi="Times New Roman" w:cs="Times New Roman"/>
          <w:b/>
          <w:bCs w:val="0"/>
          <w:color w:val="auto"/>
          <w:highlight w:val="none"/>
          <w:lang w:val="en-US" w:eastAsia="zh-CN"/>
        </w:rPr>
      </w:pPr>
      <w:r>
        <w:rPr>
          <w:rFonts w:hint="eastAsia" w:ascii="Times New Roman" w:hAnsi="Times New Roman" w:cs="Times New Roman"/>
          <w:b/>
          <w:bCs w:val="0"/>
          <w:color w:val="auto"/>
          <w:highlight w:val="none"/>
          <w:lang w:val="en-US" w:eastAsia="zh-CN"/>
        </w:rPr>
        <w:t xml:space="preserve"> </w:t>
      </w:r>
      <w:r>
        <w:rPr>
          <w:rFonts w:hint="default" w:ascii="Times New Roman" w:hAnsi="Times New Roman" w:cs="Times New Roman"/>
          <w:b/>
          <w:bCs w:val="0"/>
          <w:color w:val="auto"/>
          <w:highlight w:val="none"/>
          <w:lang w:val="en-US" w:eastAsia="zh-CN"/>
        </w:rPr>
        <w:t>组织保障</w:t>
      </w:r>
    </w:p>
    <w:p w14:paraId="598B4DDB">
      <w:pP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新一代数据中台建设完成后，将强化其</w:t>
      </w:r>
      <w:r>
        <w:rPr>
          <w:rFonts w:hint="eastAsia" w:ascii="Times New Roman" w:hAnsi="Times New Roman" w:cs="Times New Roman"/>
          <w:color w:val="auto"/>
          <w:highlight w:val="none"/>
          <w:lang w:val="en-US" w:eastAsia="zh-CN"/>
        </w:rPr>
        <w:t>“数融一体</w:t>
      </w:r>
      <w:r>
        <w:rPr>
          <w:rFonts w:hint="default" w:ascii="Times New Roman" w:hAnsi="Times New Roman" w:cs="Times New Roman"/>
          <w:color w:val="auto"/>
          <w:highlight w:val="none"/>
          <w:lang w:val="en-US" w:eastAsia="zh-CN"/>
        </w:rPr>
        <w:t>、全面赋能</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的特点，作为全域数据的管理者、业务创新的支撑者、全面数字化的推动者，数据管理部门需要配备更先进的组织职能架构，以适应</w:t>
      </w:r>
      <w:r>
        <w:rPr>
          <w:rFonts w:hint="eastAsia" w:ascii="Times New Roman" w:hAnsi="Times New Roman" w:cs="Times New Roman"/>
          <w:color w:val="auto"/>
          <w:highlight w:val="none"/>
          <w:lang w:val="en-US" w:eastAsia="zh-CN"/>
        </w:rPr>
        <w:t>新一代</w:t>
      </w:r>
      <w:r>
        <w:rPr>
          <w:rFonts w:hint="default" w:ascii="Times New Roman" w:hAnsi="Times New Roman" w:cs="Times New Roman"/>
          <w:color w:val="auto"/>
          <w:highlight w:val="none"/>
          <w:lang w:val="en-US" w:eastAsia="zh-CN"/>
        </w:rPr>
        <w:t>数据中台的新要求。参选人需结合同业类似数据管理部门的职能架构，设计出切合比选人实际情况的数据管理组织职能架构，包括但不限于以下内容</w:t>
      </w:r>
      <w:r>
        <w:rPr>
          <w:rFonts w:hint="eastAsia" w:ascii="Times New Roman" w:hAnsi="Times New Roman" w:cs="Times New Roman"/>
          <w:color w:val="auto"/>
          <w:highlight w:val="none"/>
          <w:lang w:val="en-US" w:eastAsia="zh-CN"/>
        </w:rPr>
        <w:t>：</w:t>
      </w:r>
    </w:p>
    <w:p w14:paraId="273BCB50">
      <w:pPr>
        <w:numPr>
          <w:ilvl w:val="0"/>
          <w:numId w:val="0"/>
        </w:numPr>
        <w:ind w:firstLine="480" w:firstLineChars="20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（1）</w:t>
      </w:r>
      <w:r>
        <w:rPr>
          <w:rFonts w:hint="default" w:ascii="Times New Roman" w:hAnsi="Times New Roman" w:cs="Times New Roman"/>
          <w:color w:val="auto"/>
          <w:highlight w:val="none"/>
          <w:lang w:val="en-US" w:eastAsia="zh-CN"/>
        </w:rPr>
        <w:t>厘清数据管理部门与其他部门的在数据治理、数据开发等方面边界，建立有效的跨部门协作和信息共享机制</w:t>
      </w:r>
      <w:r>
        <w:rPr>
          <w:rFonts w:hint="eastAsia" w:ascii="Times New Roman" w:hAnsi="Times New Roman" w:cs="Times New Roman"/>
          <w:color w:val="auto"/>
          <w:highlight w:val="none"/>
          <w:lang w:val="en-US" w:eastAsia="zh-CN"/>
        </w:rPr>
        <w:t>；</w:t>
      </w:r>
    </w:p>
    <w:p w14:paraId="0980B4B3">
      <w:pPr>
        <w:numPr>
          <w:ilvl w:val="0"/>
          <w:numId w:val="0"/>
        </w:numPr>
        <w:ind w:firstLine="480" w:firstLineChars="20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lang w:val="en-US" w:eastAsia="zh-CN"/>
        </w:rPr>
        <w:t>明确数据管理部门的岗位设置和职责划分，根据日常工作内容设置相关岗位，明确各岗位的职责边界和协作关系；</w:t>
      </w:r>
    </w:p>
    <w:p w14:paraId="40B6865E">
      <w:pPr>
        <w:numPr>
          <w:ilvl w:val="0"/>
          <w:numId w:val="0"/>
        </w:numPr>
        <w:ind w:firstLine="480" w:firstLineChars="20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3</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设计规划数据管理部门的人员及团队配置，明确各类数据专业人才的需求，建立跨职能的数据治理、数据开发、数据分析等团队</w:t>
      </w:r>
      <w:r>
        <w:rPr>
          <w:rFonts w:hint="eastAsia" w:ascii="Times New Roman" w:hAnsi="Times New Roman" w:cs="Times New Roman"/>
          <w:color w:val="auto"/>
          <w:highlight w:val="none"/>
          <w:lang w:val="en-US" w:eastAsia="zh-CN"/>
        </w:rPr>
        <w:t>。</w:t>
      </w:r>
    </w:p>
    <w:p w14:paraId="66C8F5BF">
      <w:pPr>
        <w:pStyle w:val="3"/>
        <w:numPr>
          <w:ilvl w:val="0"/>
          <w:numId w:val="1"/>
        </w:numPr>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lang w:val="en-US" w:eastAsia="zh-CN"/>
        </w:rPr>
        <w:t>项目管理与实施要求</w:t>
      </w:r>
    </w:p>
    <w:p w14:paraId="3270DCBB">
      <w:pPr>
        <w:pStyle w:val="4"/>
        <w:keepNext w:val="0"/>
        <w:keepLines w:val="0"/>
        <w:pageBreakBefore w:val="0"/>
        <w:widowControl w:val="0"/>
        <w:numPr>
          <w:ilvl w:val="1"/>
          <w:numId w:val="15"/>
        </w:numPr>
        <w:tabs>
          <w:tab w:val="clear" w:pos="420"/>
        </w:tabs>
        <w:kinsoku/>
        <w:wordWrap/>
        <w:overflowPunct/>
        <w:topLinePunct w:val="0"/>
        <w:autoSpaceDE w:val="0"/>
        <w:autoSpaceDN w:val="0"/>
        <w:bidi w:val="0"/>
        <w:adjustRightInd/>
        <w:snapToGrid/>
        <w:ind w:left="0" w:leftChars="0" w:firstLine="482" w:firstLineChars="200"/>
        <w:textAlignment w:val="auto"/>
        <w:outlineLvl w:val="2"/>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 xml:space="preserve"> 项目管理要求</w:t>
      </w:r>
    </w:p>
    <w:p w14:paraId="0C12CAB1">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cs="Times New Roman"/>
          <w:color w:val="auto"/>
          <w:highlight w:val="none"/>
          <w:lang w:eastAsia="zh-CN"/>
        </w:rPr>
      </w:pP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1）</w:t>
      </w:r>
      <w:r>
        <w:rPr>
          <w:rFonts w:hint="eastAsia" w:ascii="Times New Roman" w:hAnsi="Times New Roman" w:cs="Times New Roman"/>
          <w:color w:val="auto"/>
          <w:highlight w:val="none"/>
          <w:lang w:val="en-US" w:eastAsia="zh-CN"/>
        </w:rPr>
        <w:t>参</w:t>
      </w:r>
      <w:r>
        <w:rPr>
          <w:rFonts w:hint="default" w:ascii="Times New Roman" w:hAnsi="Times New Roman" w:cs="Times New Roman"/>
          <w:color w:val="auto"/>
          <w:highlight w:val="none"/>
        </w:rPr>
        <w:t>选人须制定符合规范的项目管理制度和工作流程，定期向比选人提供项目实施进展情况报告，通过规范化的项目管理，确保本次项目的开发改造、集成对接和实施部署工作能够按照计划高质量完成。比选人将派出相应管理人员或技术人员配合项目实施，并监督项目的质量</w:t>
      </w:r>
      <w:r>
        <w:rPr>
          <w:rFonts w:hint="default" w:ascii="Times New Roman" w:hAnsi="Times New Roman" w:cs="Times New Roman"/>
          <w:color w:val="auto"/>
          <w:highlight w:val="none"/>
          <w:lang w:eastAsia="zh-CN"/>
        </w:rPr>
        <w:t>；</w:t>
      </w:r>
    </w:p>
    <w:p w14:paraId="0A7AB0B6">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cs="Times New Roman"/>
          <w:color w:val="auto"/>
          <w:highlight w:val="none"/>
          <w:lang w:eastAsia="zh-CN"/>
        </w:rPr>
      </w:pPr>
      <w:bookmarkStart w:id="52" w:name="_Toc440617080"/>
      <w:bookmarkStart w:id="53" w:name="_Toc440599793"/>
      <w:bookmarkStart w:id="54" w:name="_Toc440618791"/>
      <w:bookmarkStart w:id="55" w:name="_Toc440616947"/>
      <w:bookmarkStart w:id="56" w:name="_Toc440618281"/>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2</w:t>
      </w:r>
      <w:r>
        <w:rPr>
          <w:rFonts w:hint="default" w:ascii="Times New Roman" w:hAnsi="Times New Roman" w:eastAsia="宋体" w:cs="Times New Roman"/>
          <w:color w:val="auto"/>
          <w:highlight w:val="none"/>
          <w:lang w:val="en-US" w:eastAsia="zh-CN"/>
        </w:rPr>
        <w:t>）</w:t>
      </w:r>
      <w:r>
        <w:rPr>
          <w:rFonts w:hint="default" w:ascii="Times New Roman" w:hAnsi="Times New Roman" w:eastAsia="宋体" w:cs="Times New Roman"/>
          <w:color w:val="auto"/>
          <w:highlight w:val="none"/>
        </w:rPr>
        <w:t>在本项目实施周期内，如遇到</w:t>
      </w:r>
      <w:r>
        <w:rPr>
          <w:rFonts w:hint="default" w:ascii="Times New Roman" w:hAnsi="Times New Roman" w:cs="Times New Roman"/>
          <w:color w:val="auto"/>
          <w:highlight w:val="none"/>
          <w:lang w:val="en-US" w:eastAsia="zh-CN"/>
        </w:rPr>
        <w:t>原实施方案</w:t>
      </w:r>
      <w:r>
        <w:rPr>
          <w:rFonts w:hint="default" w:ascii="Times New Roman" w:hAnsi="Times New Roman" w:eastAsia="宋体" w:cs="Times New Roman"/>
          <w:color w:val="auto"/>
          <w:highlight w:val="none"/>
        </w:rPr>
        <w:t>与</w:t>
      </w:r>
      <w:r>
        <w:rPr>
          <w:rFonts w:hint="default" w:ascii="Times New Roman" w:hAnsi="Times New Roman" w:cs="Times New Roman"/>
          <w:color w:val="auto"/>
          <w:highlight w:val="none"/>
          <w:lang w:val="en-US" w:eastAsia="zh-CN"/>
        </w:rPr>
        <w:t>比选人</w:t>
      </w:r>
      <w:r>
        <w:rPr>
          <w:rFonts w:hint="default" w:ascii="Times New Roman" w:hAnsi="Times New Roman" w:eastAsia="宋体" w:cs="Times New Roman"/>
          <w:color w:val="auto"/>
          <w:highlight w:val="none"/>
        </w:rPr>
        <w:t>需求不符，需要及时调整实施方案，满足比选人的要求，并征得比选人同意方可变更</w:t>
      </w:r>
      <w:bookmarkEnd w:id="52"/>
      <w:bookmarkEnd w:id="53"/>
      <w:bookmarkEnd w:id="54"/>
      <w:bookmarkEnd w:id="55"/>
      <w:bookmarkEnd w:id="56"/>
      <w:r>
        <w:rPr>
          <w:rFonts w:hint="default" w:ascii="Times New Roman" w:hAnsi="Times New Roman" w:cs="Times New Roman"/>
          <w:color w:val="auto"/>
          <w:highlight w:val="none"/>
          <w:lang w:eastAsia="zh-CN"/>
        </w:rPr>
        <w:t>；</w:t>
      </w:r>
    </w:p>
    <w:p w14:paraId="114AD45A">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w:t>
      </w:r>
      <w:r>
        <w:rPr>
          <w:rFonts w:hint="default" w:ascii="Times New Roman" w:hAnsi="Times New Roman" w:eastAsia="宋体" w:cs="Times New Roman"/>
          <w:color w:val="auto"/>
          <w:highlight w:val="none"/>
          <w:lang w:val="en-US" w:eastAsia="zh-CN"/>
        </w:rPr>
        <w:t>3）</w:t>
      </w:r>
      <w:r>
        <w:rPr>
          <w:rFonts w:hint="eastAsia" w:ascii="Times New Roman" w:hAnsi="Times New Roman" w:cs="Times New Roman"/>
          <w:color w:val="auto"/>
          <w:highlight w:val="none"/>
          <w:lang w:val="en-US" w:eastAsia="zh-CN"/>
        </w:rPr>
        <w:t>参</w:t>
      </w:r>
      <w:r>
        <w:rPr>
          <w:rFonts w:hint="default" w:ascii="Times New Roman" w:hAnsi="Times New Roman" w:cs="Times New Roman"/>
          <w:color w:val="auto"/>
          <w:highlight w:val="none"/>
        </w:rPr>
        <w:t>选人</w:t>
      </w:r>
      <w:r>
        <w:rPr>
          <w:rFonts w:hint="default" w:ascii="Times New Roman" w:hAnsi="Times New Roman" w:eastAsia="宋体" w:cs="Times New Roman"/>
          <w:color w:val="auto"/>
          <w:highlight w:val="none"/>
          <w:lang w:val="en-US" w:eastAsia="zh-CN"/>
        </w:rPr>
        <w:t>项目管理人员和技术人员均应按照</w:t>
      </w:r>
      <w:r>
        <w:rPr>
          <w:rFonts w:hint="default" w:ascii="Times New Roman" w:hAnsi="Times New Roman" w:cs="Times New Roman"/>
          <w:color w:val="auto"/>
          <w:highlight w:val="none"/>
          <w:lang w:val="en-US" w:eastAsia="zh-CN"/>
        </w:rPr>
        <w:t>比选</w:t>
      </w:r>
      <w:r>
        <w:rPr>
          <w:rFonts w:hint="default" w:ascii="Times New Roman" w:hAnsi="Times New Roman" w:eastAsia="宋体" w:cs="Times New Roman"/>
          <w:color w:val="auto"/>
          <w:highlight w:val="none"/>
          <w:lang w:val="en-US" w:eastAsia="zh-CN"/>
        </w:rPr>
        <w:t>人的要求编写和审核项目过程中的</w:t>
      </w:r>
      <w:r>
        <w:rPr>
          <w:rFonts w:hint="default" w:ascii="Times New Roman" w:hAnsi="Times New Roman" w:cs="Times New Roman"/>
          <w:color w:val="auto"/>
          <w:highlight w:val="none"/>
          <w:lang w:val="en-US" w:eastAsia="zh-CN"/>
        </w:rPr>
        <w:t>所有</w:t>
      </w:r>
      <w:r>
        <w:rPr>
          <w:rFonts w:hint="default" w:ascii="Times New Roman" w:hAnsi="Times New Roman" w:eastAsia="宋体" w:cs="Times New Roman"/>
          <w:color w:val="auto"/>
          <w:highlight w:val="none"/>
          <w:lang w:val="en-US" w:eastAsia="zh-CN"/>
        </w:rPr>
        <w:t>文档，在项目的不同阶段向</w:t>
      </w:r>
      <w:r>
        <w:rPr>
          <w:rFonts w:hint="default" w:ascii="Times New Roman" w:hAnsi="Times New Roman" w:cs="Times New Roman"/>
          <w:color w:val="auto"/>
          <w:highlight w:val="none"/>
          <w:lang w:val="en-US" w:eastAsia="zh-CN"/>
        </w:rPr>
        <w:t>比选</w:t>
      </w:r>
      <w:r>
        <w:rPr>
          <w:rFonts w:hint="default" w:ascii="Times New Roman" w:hAnsi="Times New Roman" w:eastAsia="宋体" w:cs="Times New Roman"/>
          <w:color w:val="auto"/>
          <w:highlight w:val="none"/>
          <w:lang w:val="en-US" w:eastAsia="zh-CN"/>
        </w:rPr>
        <w:t>人提交相关文档，文档的编制要符合</w:t>
      </w:r>
      <w:r>
        <w:rPr>
          <w:rFonts w:hint="default" w:ascii="Times New Roman" w:hAnsi="Times New Roman" w:cs="Times New Roman"/>
          <w:color w:val="auto"/>
          <w:highlight w:val="none"/>
          <w:lang w:val="en-US" w:eastAsia="zh-CN"/>
        </w:rPr>
        <w:t>比选</w:t>
      </w:r>
      <w:r>
        <w:rPr>
          <w:rFonts w:hint="default" w:ascii="Times New Roman" w:hAnsi="Times New Roman" w:eastAsia="宋体" w:cs="Times New Roman"/>
          <w:color w:val="auto"/>
          <w:highlight w:val="none"/>
          <w:lang w:val="en-US" w:eastAsia="zh-CN"/>
        </w:rPr>
        <w:t>人的要求</w:t>
      </w:r>
      <w:r>
        <w:rPr>
          <w:rFonts w:hint="default" w:ascii="Times New Roman" w:hAnsi="Times New Roman" w:cs="Times New Roman"/>
          <w:color w:val="auto"/>
          <w:highlight w:val="none"/>
          <w:lang w:val="en-US" w:eastAsia="zh-CN"/>
        </w:rPr>
        <w:t>；</w:t>
      </w:r>
    </w:p>
    <w:p w14:paraId="4868124B">
      <w:pPr>
        <w:keepNext w:val="0"/>
        <w:keepLines w:val="0"/>
        <w:pageBreakBefore w:val="0"/>
        <w:widowControl w:val="0"/>
        <w:kinsoku/>
        <w:wordWrap/>
        <w:overflowPunct/>
        <w:topLinePunct w:val="0"/>
        <w:autoSpaceDE w:val="0"/>
        <w:autoSpaceDN w:val="0"/>
        <w:bidi w:val="0"/>
        <w:adjustRightInd/>
        <w:snapToGrid/>
        <w:spacing w:beforeAutospacing="0" w:afterAutospacing="0" w:line="600" w:lineRule="exact"/>
        <w:textAlignment w:val="auto"/>
        <w:rPr>
          <w:rFonts w:hint="eastAsia" w:ascii="Times New Roman" w:hAnsi="Times New Roman" w:cs="Times New Roman"/>
          <w:color w:val="auto"/>
          <w:highlight w:val="none"/>
          <w:lang w:eastAsia="zh-CN"/>
        </w:rPr>
      </w:pP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4</w:t>
      </w:r>
      <w:r>
        <w:rPr>
          <w:rFonts w:hint="default" w:ascii="Times New Roman" w:hAnsi="Times New Roman" w:eastAsia="宋体" w:cs="Times New Roman"/>
          <w:color w:val="auto"/>
          <w:highlight w:val="none"/>
          <w:lang w:val="en-US" w:eastAsia="zh-CN"/>
        </w:rPr>
        <w:t>）</w:t>
      </w:r>
      <w:r>
        <w:rPr>
          <w:rFonts w:hint="default" w:ascii="Times New Roman" w:hAnsi="Times New Roman" w:eastAsia="宋体" w:cs="Times New Roman"/>
          <w:color w:val="auto"/>
          <w:highlight w:val="none"/>
        </w:rPr>
        <w:t>本项目为现场开发，原则上不允许远程开发模式，除非得到比选人的明确认可和授权</w:t>
      </w:r>
      <w:r>
        <w:rPr>
          <w:rFonts w:hint="eastAsia" w:ascii="Times New Roman" w:hAnsi="Times New Roman" w:cs="Times New Roman"/>
          <w:color w:val="auto"/>
          <w:highlight w:val="none"/>
          <w:lang w:eastAsia="zh-CN"/>
        </w:rPr>
        <w:t>；</w:t>
      </w:r>
    </w:p>
    <w:p w14:paraId="202283F6">
      <w:pPr>
        <w:keepNext w:val="0"/>
        <w:keepLines w:val="0"/>
        <w:pageBreakBefore w:val="0"/>
        <w:widowControl w:val="0"/>
        <w:kinsoku/>
        <w:wordWrap/>
        <w:overflowPunct/>
        <w:topLinePunct w:val="0"/>
        <w:autoSpaceDE w:val="0"/>
        <w:autoSpaceDN w:val="0"/>
        <w:bidi w:val="0"/>
        <w:adjustRightInd/>
        <w:snapToGrid/>
        <w:spacing w:beforeAutospacing="0" w:afterAutospacing="0" w:line="600" w:lineRule="exact"/>
        <w:textAlignment w:val="auto"/>
        <w:rPr>
          <w:rFonts w:hint="default" w:ascii="Times New Roman" w:hAnsi="Times New Roman" w:eastAsia="宋体" w:cs="Times New Roman"/>
          <w:color w:val="auto"/>
          <w:highlight w:val="none"/>
          <w:lang w:eastAsia="zh-CN"/>
        </w:rPr>
      </w:pPr>
      <w:r>
        <w:rPr>
          <w:rFonts w:hint="eastAsia" w:ascii="Times New Roman" w:hAnsi="Times New Roman" w:cs="Times New Roman"/>
          <w:color w:val="auto"/>
          <w:highlight w:val="none"/>
          <w:lang w:val="en-US" w:eastAsia="zh-CN"/>
        </w:rPr>
        <w:t>（5）</w:t>
      </w:r>
      <w:r>
        <w:rPr>
          <w:rFonts w:hint="default" w:ascii="Times New Roman" w:hAnsi="Times New Roman" w:eastAsia="宋体" w:cs="Times New Roman"/>
          <w:color w:val="auto"/>
          <w:highlight w:val="none"/>
          <w:lang w:eastAsia="zh-CN"/>
        </w:rPr>
        <w:t>项目实施过程中，所使用的软件、工具、文档等（包括但不限于）均不</w:t>
      </w:r>
      <w:r>
        <w:rPr>
          <w:rFonts w:hint="eastAsia" w:ascii="Times New Roman" w:hAnsi="Times New Roman" w:cs="Times New Roman"/>
          <w:color w:val="auto"/>
          <w:highlight w:val="none"/>
          <w:lang w:val="en-US" w:eastAsia="zh-CN"/>
        </w:rPr>
        <w:t>得</w:t>
      </w:r>
      <w:r>
        <w:rPr>
          <w:rFonts w:hint="default" w:ascii="Times New Roman" w:hAnsi="Times New Roman" w:eastAsia="宋体" w:cs="Times New Roman"/>
          <w:color w:val="auto"/>
          <w:highlight w:val="none"/>
          <w:lang w:eastAsia="zh-CN"/>
        </w:rPr>
        <w:t>侵犯第三方合法权益、知识产权、专利</w:t>
      </w:r>
      <w:r>
        <w:rPr>
          <w:rFonts w:hint="eastAsia" w:ascii="Times New Roman" w:hAnsi="Times New Roman" w:cs="Times New Roman"/>
          <w:color w:val="auto"/>
          <w:highlight w:val="none"/>
          <w:lang w:val="en-US" w:eastAsia="zh-CN"/>
        </w:rPr>
        <w:t>等</w:t>
      </w:r>
      <w:r>
        <w:rPr>
          <w:rFonts w:hint="eastAsia" w:ascii="Times New Roman" w:hAnsi="Times New Roman" w:cs="Times New Roman"/>
          <w:color w:val="auto"/>
          <w:highlight w:val="none"/>
          <w:lang w:eastAsia="zh-CN"/>
        </w:rPr>
        <w:t>。</w:t>
      </w:r>
    </w:p>
    <w:p w14:paraId="413F3BDF">
      <w:pPr>
        <w:pStyle w:val="4"/>
        <w:keepNext w:val="0"/>
        <w:keepLines w:val="0"/>
        <w:pageBreakBefore w:val="0"/>
        <w:widowControl w:val="0"/>
        <w:numPr>
          <w:ilvl w:val="1"/>
          <w:numId w:val="15"/>
        </w:numPr>
        <w:tabs>
          <w:tab w:val="clear" w:pos="420"/>
        </w:tabs>
        <w:kinsoku/>
        <w:wordWrap/>
        <w:overflowPunct/>
        <w:topLinePunct w:val="0"/>
        <w:autoSpaceDE w:val="0"/>
        <w:autoSpaceDN w:val="0"/>
        <w:bidi w:val="0"/>
        <w:adjustRightInd/>
        <w:snapToGrid/>
        <w:ind w:left="0" w:leftChars="0" w:firstLine="482" w:firstLineChars="200"/>
        <w:textAlignment w:val="auto"/>
        <w:outlineLvl w:val="2"/>
        <w:rPr>
          <w:rFonts w:hint="eastAsia"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 xml:space="preserve"> </w:t>
      </w:r>
      <w:r>
        <w:rPr>
          <w:rFonts w:hint="eastAsia" w:ascii="Times New Roman" w:hAnsi="Times New Roman" w:cs="Times New Roman"/>
          <w:color w:val="auto"/>
          <w:highlight w:val="none"/>
          <w:lang w:val="en-US" w:eastAsia="zh-CN"/>
        </w:rPr>
        <w:t>项目实施要求</w:t>
      </w:r>
    </w:p>
    <w:p w14:paraId="2FFC5D60">
      <w:pPr>
        <w:keepNext w:val="0"/>
        <w:keepLines w:val="0"/>
        <w:widowControl/>
        <w:suppressLineNumbers w:val="0"/>
        <w:jc w:val="left"/>
        <w:rPr>
          <w:rFonts w:hint="eastAsia"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本项目作为比选人数字化转型的重要项目，也是数据体系建设的重要环节，</w:t>
      </w:r>
      <w:r>
        <w:rPr>
          <w:rFonts w:hint="eastAsia" w:ascii="Times New Roman" w:hAnsi="Times New Roman" w:cs="Times New Roman"/>
          <w:color w:val="auto"/>
          <w:highlight w:val="none"/>
          <w:lang w:val="en-US" w:eastAsia="zh-CN"/>
        </w:rPr>
        <w:t>参选人作为项目的实施方，在实施过程中应满足的要求包括但不限于：</w:t>
      </w:r>
    </w:p>
    <w:p w14:paraId="7AB7C2BF">
      <w:pPr>
        <w:keepNext w:val="0"/>
        <w:keepLines w:val="0"/>
        <w:widowControl/>
        <w:numPr>
          <w:ilvl w:val="0"/>
          <w:numId w:val="0"/>
        </w:numPr>
        <w:suppressLineNumbers w:val="0"/>
        <w:ind w:firstLine="480" w:firstLineChars="200"/>
        <w:jc w:val="left"/>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（1）</w:t>
      </w:r>
      <w:r>
        <w:rPr>
          <w:rFonts w:hint="default" w:ascii="Times New Roman" w:hAnsi="Times New Roman" w:cs="Times New Roman"/>
          <w:color w:val="auto"/>
          <w:highlight w:val="none"/>
          <w:lang w:val="en-US" w:eastAsia="zh-CN"/>
        </w:rPr>
        <w:t>在项目实施和免费维保期间，需</w:t>
      </w:r>
      <w:r>
        <w:rPr>
          <w:rFonts w:hint="eastAsia" w:ascii="Times New Roman" w:hAnsi="Times New Roman" w:cs="Times New Roman"/>
          <w:color w:val="auto"/>
          <w:highlight w:val="none"/>
          <w:lang w:val="en-US" w:eastAsia="zh-CN"/>
        </w:rPr>
        <w:t>免费</w:t>
      </w:r>
      <w:r>
        <w:rPr>
          <w:rFonts w:hint="default" w:ascii="Times New Roman" w:hAnsi="Times New Roman" w:cs="Times New Roman"/>
          <w:color w:val="auto"/>
          <w:highlight w:val="none"/>
          <w:lang w:val="en-US" w:eastAsia="zh-CN"/>
        </w:rPr>
        <w:t>为比选人</w:t>
      </w:r>
      <w:r>
        <w:rPr>
          <w:rFonts w:hint="eastAsia" w:ascii="Times New Roman" w:hAnsi="Times New Roman" w:cs="Times New Roman"/>
          <w:color w:val="auto"/>
          <w:highlight w:val="none"/>
          <w:lang w:val="en-US" w:eastAsia="zh-CN"/>
        </w:rPr>
        <w:t>新一代数据中台项目后续期次的其他</w:t>
      </w:r>
      <w:r>
        <w:rPr>
          <w:rFonts w:hint="default" w:ascii="Times New Roman" w:hAnsi="Times New Roman" w:cs="Times New Roman"/>
          <w:color w:val="auto"/>
          <w:highlight w:val="none"/>
          <w:lang w:val="en-US" w:eastAsia="zh-CN"/>
        </w:rPr>
        <w:t>应用建设提供必要的技术支持</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服务适配</w:t>
      </w:r>
      <w:r>
        <w:rPr>
          <w:rFonts w:hint="eastAsia" w:ascii="Times New Roman" w:hAnsi="Times New Roman" w:cs="Times New Roman"/>
          <w:color w:val="auto"/>
          <w:highlight w:val="none"/>
          <w:lang w:val="en-US" w:eastAsia="zh-CN"/>
        </w:rPr>
        <w:t>改造、模型适配改造等，</w:t>
      </w:r>
      <w:r>
        <w:rPr>
          <w:rFonts w:hint="default" w:ascii="Times New Roman" w:hAnsi="Times New Roman" w:cs="Times New Roman"/>
          <w:color w:val="auto"/>
          <w:highlight w:val="none"/>
          <w:lang w:val="en-US" w:eastAsia="zh-CN"/>
        </w:rPr>
        <w:t>包括但不限于BI智能分析平台、指标管理平台、标签管理平台、数据资产管理平台、数据应用服务、行内其他业务或管理系统</w:t>
      </w:r>
      <w:r>
        <w:rPr>
          <w:rFonts w:hint="eastAsia" w:ascii="Times New Roman" w:hAnsi="Times New Roman" w:cs="Times New Roman"/>
          <w:color w:val="auto"/>
          <w:highlight w:val="none"/>
          <w:lang w:val="en-US" w:eastAsia="zh-CN"/>
        </w:rPr>
        <w:t>；</w:t>
      </w:r>
    </w:p>
    <w:p w14:paraId="78B1985E">
      <w:pPr>
        <w:keepNext w:val="0"/>
        <w:keepLines w:val="0"/>
        <w:widowControl/>
        <w:numPr>
          <w:ilvl w:val="0"/>
          <w:numId w:val="0"/>
        </w:numPr>
        <w:suppressLineNumbers w:val="0"/>
        <w:ind w:firstLine="480" w:firstLineChars="200"/>
        <w:jc w:val="left"/>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（2）在项目实施过程中，如有新增或改造的业务系统，参选人需免费进行适配并完成数据采集，且需根据比选人要求完成主题模型和应用集市的改造适配；</w:t>
      </w:r>
    </w:p>
    <w:p w14:paraId="57C204E7">
      <w:pPr>
        <w:keepNext w:val="0"/>
        <w:keepLines w:val="0"/>
        <w:widowControl/>
        <w:numPr>
          <w:ilvl w:val="0"/>
          <w:numId w:val="0"/>
        </w:numPr>
        <w:suppressLineNumbers w:val="0"/>
        <w:ind w:firstLine="480" w:firstLineChars="200"/>
        <w:jc w:val="left"/>
        <w:rPr>
          <w:rFonts w:hint="default"/>
          <w:color w:val="auto"/>
          <w:highlight w:val="none"/>
          <w:lang w:val="en-US" w:eastAsia="zh-CN"/>
        </w:rPr>
      </w:pPr>
      <w:r>
        <w:rPr>
          <w:rFonts w:hint="eastAsia" w:ascii="Times New Roman" w:hAnsi="Times New Roman" w:cs="Times New Roman"/>
          <w:color w:val="auto"/>
          <w:highlight w:val="none"/>
          <w:lang w:val="en-US" w:eastAsia="zh-CN"/>
        </w:rPr>
        <w:t>（3）针对项目建设过程中可能产生的新增需求，如报表、数据加工等，参选人应预留不少于12个人月的工作量用于对新增需求进行分析、评估、分解和落地实施，不得影响项目整体实施进度和效果。</w:t>
      </w:r>
      <w:r>
        <w:rPr>
          <w:rFonts w:hint="default" w:ascii="Times New Roman" w:hAnsi="Times New Roman" w:cs="Times New Roman"/>
          <w:color w:val="auto"/>
          <w:highlight w:val="none"/>
          <w:lang w:val="en-US" w:eastAsia="zh-CN"/>
        </w:rPr>
        <w:t xml:space="preserve"> </w:t>
      </w:r>
    </w:p>
    <w:p w14:paraId="790605CA">
      <w:pPr>
        <w:pStyle w:val="4"/>
        <w:keepNext w:val="0"/>
        <w:keepLines w:val="0"/>
        <w:pageBreakBefore w:val="0"/>
        <w:widowControl w:val="0"/>
        <w:numPr>
          <w:ilvl w:val="1"/>
          <w:numId w:val="15"/>
        </w:numPr>
        <w:tabs>
          <w:tab w:val="clear" w:pos="420"/>
        </w:tabs>
        <w:kinsoku/>
        <w:wordWrap/>
        <w:overflowPunct/>
        <w:topLinePunct w:val="0"/>
        <w:autoSpaceDE w:val="0"/>
        <w:autoSpaceDN w:val="0"/>
        <w:bidi w:val="0"/>
        <w:adjustRightInd/>
        <w:snapToGrid/>
        <w:ind w:left="0" w:leftChars="0" w:firstLine="482" w:firstLineChars="200"/>
        <w:textAlignment w:val="auto"/>
        <w:outlineLvl w:val="2"/>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lang w:val="en-US" w:eastAsia="zh-CN"/>
        </w:rPr>
        <w:t>测试要求</w:t>
      </w:r>
    </w:p>
    <w:p w14:paraId="56E678F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cs="Times New Roman"/>
          <w:color w:val="auto"/>
          <w:szCs w:val="24"/>
          <w:highlight w:val="none"/>
          <w:lang w:val="en-US" w:eastAsia="zh-CN"/>
        </w:rPr>
      </w:pPr>
      <w:r>
        <w:rPr>
          <w:rFonts w:hint="eastAsia" w:ascii="Times New Roman" w:hAnsi="Times New Roman" w:cs="Times New Roman"/>
          <w:color w:val="auto"/>
          <w:szCs w:val="24"/>
          <w:highlight w:val="none"/>
          <w:lang w:val="en-US" w:eastAsia="zh-CN"/>
        </w:rPr>
        <w:t>为保障项目实施质量，参选人负责本项目的测试工作，具体要求包括但不限于：</w:t>
      </w:r>
    </w:p>
    <w:p w14:paraId="4760C44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Times New Roman" w:hAnsi="Times New Roman" w:cs="Times New Roman"/>
          <w:color w:val="auto"/>
          <w:szCs w:val="24"/>
          <w:highlight w:val="none"/>
          <w:lang w:val="en-US" w:eastAsia="zh-CN"/>
        </w:rPr>
      </w:pPr>
      <w:r>
        <w:rPr>
          <w:rFonts w:hint="eastAsia" w:ascii="Times New Roman" w:hAnsi="Times New Roman" w:cs="Times New Roman"/>
          <w:color w:val="auto"/>
          <w:szCs w:val="24"/>
          <w:highlight w:val="none"/>
          <w:lang w:eastAsia="zh-CN"/>
        </w:rPr>
        <w:t>（</w:t>
      </w:r>
      <w:r>
        <w:rPr>
          <w:rFonts w:hint="default" w:ascii="Times New Roman" w:hAnsi="Times New Roman" w:cs="Times New Roman"/>
          <w:color w:val="auto"/>
          <w:szCs w:val="24"/>
          <w:highlight w:val="none"/>
        </w:rPr>
        <w:t>1）参选人应负责</w:t>
      </w:r>
      <w:r>
        <w:rPr>
          <w:rFonts w:hint="eastAsia" w:ascii="Times New Roman" w:hAnsi="Times New Roman" w:cs="Times New Roman"/>
          <w:color w:val="auto"/>
          <w:szCs w:val="24"/>
          <w:highlight w:val="none"/>
          <w:lang w:val="en-US" w:eastAsia="zh-CN"/>
        </w:rPr>
        <w:t>产品和数据</w:t>
      </w:r>
      <w:r>
        <w:rPr>
          <w:rFonts w:hint="default" w:ascii="Times New Roman" w:hAnsi="Times New Roman" w:cs="Times New Roman"/>
          <w:color w:val="auto"/>
          <w:szCs w:val="24"/>
          <w:highlight w:val="none"/>
        </w:rPr>
        <w:t>测试</w:t>
      </w:r>
      <w:r>
        <w:rPr>
          <w:rFonts w:hint="eastAsia" w:ascii="Times New Roman" w:hAnsi="Times New Roman" w:cs="Times New Roman"/>
          <w:color w:val="auto"/>
          <w:szCs w:val="24"/>
          <w:highlight w:val="none"/>
          <w:lang w:val="en-US" w:eastAsia="zh-CN"/>
        </w:rPr>
        <w:t>并</w:t>
      </w:r>
      <w:r>
        <w:rPr>
          <w:rFonts w:hint="default" w:ascii="Times New Roman" w:hAnsi="Times New Roman" w:cs="Times New Roman"/>
          <w:color w:val="auto"/>
          <w:szCs w:val="24"/>
          <w:highlight w:val="none"/>
        </w:rPr>
        <w:t>提交完整的测试案例</w:t>
      </w:r>
      <w:r>
        <w:rPr>
          <w:rFonts w:hint="eastAsia" w:ascii="Times New Roman" w:hAnsi="Times New Roman" w:cs="Times New Roman"/>
          <w:color w:val="auto"/>
          <w:szCs w:val="24"/>
          <w:highlight w:val="none"/>
          <w:lang w:eastAsia="zh-CN"/>
        </w:rPr>
        <w:t>，</w:t>
      </w:r>
      <w:r>
        <w:rPr>
          <w:rFonts w:hint="eastAsia" w:ascii="Times New Roman" w:hAnsi="Times New Roman" w:cs="Times New Roman"/>
          <w:color w:val="auto"/>
          <w:szCs w:val="24"/>
          <w:highlight w:val="none"/>
          <w:lang w:val="en-US" w:eastAsia="zh-CN"/>
        </w:rPr>
        <w:t>且相关软件与方案需由参选人提供，并出具对应的测试报告。测试内容包括但不限于：</w:t>
      </w:r>
    </w:p>
    <w:p w14:paraId="4896893C">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Times New Roman" w:hAnsi="Times New Roman" w:cs="Times New Roman"/>
          <w:color w:val="auto"/>
          <w:szCs w:val="24"/>
          <w:highlight w:val="none"/>
          <w:lang w:val="en-US" w:eastAsia="zh-CN"/>
        </w:rPr>
      </w:pPr>
      <w:r>
        <w:rPr>
          <w:rFonts w:hint="eastAsia" w:ascii="Times New Roman" w:hAnsi="Times New Roman" w:cs="Times New Roman"/>
          <w:color w:val="auto"/>
          <w:szCs w:val="24"/>
          <w:highlight w:val="none"/>
          <w:lang w:val="en-US" w:eastAsia="zh-CN"/>
        </w:rPr>
        <w:t>1）产品测试：产品的功能、性能以及压力测试，且性能和压力测试的；</w:t>
      </w:r>
    </w:p>
    <w:p w14:paraId="06B07B0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cs="Times New Roman"/>
          <w:color w:val="auto"/>
          <w:szCs w:val="24"/>
          <w:highlight w:val="none"/>
          <w:lang w:val="en-US" w:eastAsia="zh-CN"/>
        </w:rPr>
      </w:pPr>
      <w:r>
        <w:rPr>
          <w:rFonts w:hint="eastAsia" w:ascii="Times New Roman" w:hAnsi="Times New Roman" w:cs="Times New Roman"/>
          <w:color w:val="auto"/>
          <w:szCs w:val="24"/>
          <w:highlight w:val="none"/>
          <w:lang w:val="en-US" w:eastAsia="zh-CN"/>
        </w:rPr>
        <w:t>2）数据测试：本项目中涉及的所有数据采集、加工及服务的数据测试工作，如模型数据测试、应用集市数据测试、报表数据测试等；</w:t>
      </w:r>
    </w:p>
    <w:p w14:paraId="1759032D">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cs="Times New Roman"/>
          <w:color w:val="auto"/>
          <w:szCs w:val="24"/>
          <w:highlight w:val="none"/>
        </w:rPr>
      </w:pPr>
      <w:r>
        <w:rPr>
          <w:rFonts w:hint="eastAsia" w:ascii="Times New Roman" w:hAnsi="Times New Roman" w:cs="Times New Roman"/>
          <w:color w:val="auto"/>
          <w:szCs w:val="24"/>
          <w:highlight w:val="none"/>
          <w:lang w:eastAsia="zh-CN"/>
        </w:rPr>
        <w:t>（</w:t>
      </w:r>
      <w:r>
        <w:rPr>
          <w:rFonts w:hint="default" w:ascii="Times New Roman" w:hAnsi="Times New Roman" w:cs="Times New Roman"/>
          <w:color w:val="auto"/>
          <w:szCs w:val="24"/>
          <w:highlight w:val="none"/>
        </w:rPr>
        <w:t>2）参选人应提供专职的测试人员进行</w:t>
      </w:r>
      <w:r>
        <w:rPr>
          <w:rFonts w:hint="eastAsia" w:ascii="Times New Roman" w:hAnsi="Times New Roman" w:cs="Times New Roman"/>
          <w:color w:val="auto"/>
          <w:szCs w:val="24"/>
          <w:highlight w:val="none"/>
          <w:lang w:val="en-US" w:eastAsia="zh-CN"/>
        </w:rPr>
        <w:t>产品</w:t>
      </w:r>
      <w:r>
        <w:rPr>
          <w:rFonts w:hint="default" w:ascii="Times New Roman" w:hAnsi="Times New Roman" w:cs="Times New Roman"/>
          <w:color w:val="auto"/>
          <w:szCs w:val="24"/>
          <w:highlight w:val="none"/>
        </w:rPr>
        <w:t>的性能</w:t>
      </w:r>
      <w:r>
        <w:rPr>
          <w:rFonts w:hint="eastAsia" w:ascii="Times New Roman" w:hAnsi="Times New Roman" w:cs="Times New Roman"/>
          <w:color w:val="auto"/>
          <w:szCs w:val="24"/>
          <w:highlight w:val="none"/>
          <w:lang w:val="en-US" w:eastAsia="zh-CN"/>
        </w:rPr>
        <w:t>和功能</w:t>
      </w:r>
      <w:r>
        <w:rPr>
          <w:rFonts w:hint="default" w:ascii="Times New Roman" w:hAnsi="Times New Roman" w:cs="Times New Roman"/>
          <w:color w:val="auto"/>
          <w:szCs w:val="24"/>
          <w:highlight w:val="none"/>
        </w:rPr>
        <w:t>测试，提交满足</w:t>
      </w:r>
      <w:r>
        <w:rPr>
          <w:rFonts w:hint="eastAsia" w:ascii="Times New Roman" w:hAnsi="Times New Roman" w:cs="Times New Roman"/>
          <w:color w:val="auto"/>
          <w:szCs w:val="24"/>
          <w:highlight w:val="none"/>
          <w:lang w:val="en-US" w:eastAsia="zh-CN"/>
        </w:rPr>
        <w:t>准出条件的各类</w:t>
      </w:r>
      <w:r>
        <w:rPr>
          <w:rFonts w:hint="default" w:ascii="Times New Roman" w:hAnsi="Times New Roman" w:cs="Times New Roman"/>
          <w:color w:val="auto"/>
          <w:szCs w:val="24"/>
          <w:highlight w:val="none"/>
        </w:rPr>
        <w:t>测试报告</w:t>
      </w:r>
      <w:r>
        <w:rPr>
          <w:rFonts w:hint="eastAsia" w:ascii="Times New Roman" w:hAnsi="Times New Roman" w:cs="Times New Roman"/>
          <w:color w:val="auto"/>
          <w:szCs w:val="24"/>
          <w:highlight w:val="none"/>
          <w:lang w:eastAsia="zh-CN"/>
        </w:rPr>
        <w:t>，</w:t>
      </w:r>
      <w:r>
        <w:rPr>
          <w:rFonts w:hint="eastAsia" w:ascii="Times New Roman" w:hAnsi="Times New Roman" w:cs="Times New Roman"/>
          <w:color w:val="auto"/>
          <w:szCs w:val="24"/>
          <w:highlight w:val="none"/>
          <w:lang w:val="en-US" w:eastAsia="zh-CN"/>
        </w:rPr>
        <w:t>详细标准</w:t>
      </w:r>
      <w:r>
        <w:rPr>
          <w:rFonts w:hint="default" w:ascii="Times New Roman" w:hAnsi="Times New Roman" w:cs="Times New Roman"/>
          <w:color w:val="auto"/>
          <w:szCs w:val="24"/>
          <w:highlight w:val="none"/>
        </w:rPr>
        <w:t>参照</w:t>
      </w:r>
      <w:r>
        <w:rPr>
          <w:rFonts w:hint="eastAsia" w:ascii="Times New Roman" w:hAnsi="Times New Roman" w:cs="Times New Roman"/>
          <w:color w:val="auto"/>
          <w:szCs w:val="24"/>
          <w:highlight w:val="none"/>
          <w:lang w:val="en-US" w:eastAsia="zh-CN"/>
        </w:rPr>
        <w:t>表3-7</w:t>
      </w:r>
      <w:r>
        <w:rPr>
          <w:rFonts w:hint="default" w:ascii="Times New Roman" w:hAnsi="Times New Roman" w:cs="Times New Roman"/>
          <w:color w:val="auto"/>
          <w:szCs w:val="24"/>
          <w:highlight w:val="none"/>
        </w:rPr>
        <w:t>。</w:t>
      </w:r>
    </w:p>
    <w:p w14:paraId="7458AF3B">
      <w:pPr>
        <w:pStyle w:val="9"/>
        <w:keepNext w:val="0"/>
        <w:keepLines w:val="0"/>
        <w:pageBreakBefore w:val="0"/>
        <w:widowControl w:val="0"/>
        <w:kinsoku/>
        <w:wordWrap/>
        <w:overflowPunct/>
        <w:topLinePunct w:val="0"/>
        <w:autoSpaceDE w:val="0"/>
        <w:autoSpaceDN w:val="0"/>
        <w:bidi w:val="0"/>
        <w:adjustRightInd/>
        <w:snapToGrid/>
        <w:spacing w:beforeLines="0"/>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表</w:t>
      </w:r>
      <w:r>
        <w:rPr>
          <w:rFonts w:hint="eastAsia" w:cs="Times New Roman"/>
          <w:color w:val="auto"/>
          <w:sz w:val="21"/>
          <w:szCs w:val="21"/>
          <w:highlight w:val="none"/>
          <w:lang w:val="en-US" w:eastAsia="zh-CN"/>
        </w:rPr>
        <w:t>3-7</w:t>
      </w:r>
      <w:r>
        <w:rPr>
          <w:rFonts w:hint="default" w:ascii="Times New Roman" w:hAnsi="Times New Roman" w:cs="Times New Roman"/>
          <w:color w:val="auto"/>
          <w:sz w:val="21"/>
          <w:szCs w:val="21"/>
          <w:highlight w:val="none"/>
          <w:lang w:val="en-US" w:eastAsia="zh-CN"/>
        </w:rPr>
        <w:t xml:space="preserve"> 测试准入</w:t>
      </w:r>
      <w:r>
        <w:rPr>
          <w:rFonts w:hint="eastAsia" w:cs="Times New Roman"/>
          <w:color w:val="auto"/>
          <w:sz w:val="21"/>
          <w:szCs w:val="21"/>
          <w:highlight w:val="none"/>
          <w:lang w:val="en-US" w:eastAsia="zh-CN"/>
        </w:rPr>
        <w:t>准</w:t>
      </w:r>
      <w:r>
        <w:rPr>
          <w:rFonts w:hint="default" w:ascii="Times New Roman" w:hAnsi="Times New Roman" w:cs="Times New Roman"/>
          <w:color w:val="auto"/>
          <w:sz w:val="21"/>
          <w:szCs w:val="21"/>
          <w:highlight w:val="none"/>
          <w:lang w:val="en-US" w:eastAsia="zh-CN"/>
        </w:rPr>
        <w:t>出标准</w:t>
      </w:r>
    </w:p>
    <w:tbl>
      <w:tblPr>
        <w:tblStyle w:val="22"/>
        <w:tblW w:w="4950" w:type="pct"/>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2002"/>
        <w:gridCol w:w="6435"/>
      </w:tblGrid>
      <w:tr w14:paraId="62915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8437" w:type="dxa"/>
            <w:gridSpan w:val="2"/>
            <w:shd w:val="clear" w:color="auto" w:fill="BEBEBE" w:themeFill="background1" w:themeFillShade="BF"/>
            <w:vAlign w:val="center"/>
          </w:tcPr>
          <w:p w14:paraId="758AE0E1">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shd w:val="clear"/>
              </w:rPr>
              <w:t>测试准入准出标准</w:t>
            </w:r>
          </w:p>
        </w:tc>
      </w:tr>
      <w:tr w14:paraId="19149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8437" w:type="dxa"/>
            <w:gridSpan w:val="2"/>
            <w:shd w:val="clear" w:color="auto" w:fill="auto"/>
            <w:vAlign w:val="center"/>
          </w:tcPr>
          <w:p w14:paraId="08830665">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一、测试准入标准</w:t>
            </w:r>
          </w:p>
        </w:tc>
      </w:tr>
      <w:tr w14:paraId="292D3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02" w:type="dxa"/>
            <w:shd w:val="clear" w:color="auto" w:fill="auto"/>
            <w:vAlign w:val="center"/>
          </w:tcPr>
          <w:p w14:paraId="5697CBFD">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阶段</w:t>
            </w:r>
          </w:p>
        </w:tc>
        <w:tc>
          <w:tcPr>
            <w:tcW w:w="6435" w:type="dxa"/>
            <w:shd w:val="clear" w:color="auto" w:fill="auto"/>
            <w:vAlign w:val="center"/>
          </w:tcPr>
          <w:p w14:paraId="1B499C89">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准入条件</w:t>
            </w:r>
          </w:p>
        </w:tc>
      </w:tr>
      <w:tr w14:paraId="5DB09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02" w:type="dxa"/>
            <w:vMerge w:val="restart"/>
            <w:shd w:val="clear" w:color="auto" w:fill="auto"/>
            <w:vAlign w:val="center"/>
          </w:tcPr>
          <w:p w14:paraId="62094A80">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计划阶段</w:t>
            </w:r>
          </w:p>
        </w:tc>
        <w:tc>
          <w:tcPr>
            <w:tcW w:w="6435" w:type="dxa"/>
            <w:shd w:val="clear" w:color="auto" w:fill="auto"/>
            <w:vAlign w:val="center"/>
          </w:tcPr>
          <w:p w14:paraId="43B2BE06">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项目在立项之初应提交纸质测试服务申请单给</w:t>
            </w:r>
            <w:r>
              <w:rPr>
                <w:rFonts w:hint="eastAsia" w:ascii="Times New Roman" w:hAnsi="Times New Roman" w:cs="Times New Roman"/>
                <w:color w:val="auto"/>
                <w:sz w:val="21"/>
                <w:szCs w:val="21"/>
                <w:highlight w:val="none"/>
                <w:lang w:val="en-US" w:eastAsia="zh-CN"/>
              </w:rPr>
              <w:t>项目组</w:t>
            </w:r>
          </w:p>
        </w:tc>
      </w:tr>
      <w:tr w14:paraId="7286A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2002" w:type="dxa"/>
            <w:vMerge w:val="continue"/>
            <w:shd w:val="clear" w:color="auto" w:fill="auto"/>
            <w:vAlign w:val="center"/>
          </w:tcPr>
          <w:p w14:paraId="2974C7DB">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default" w:ascii="Times New Roman" w:hAnsi="Times New Roman" w:eastAsia="宋体" w:cs="Times New Roman"/>
                <w:color w:val="auto"/>
                <w:sz w:val="21"/>
                <w:szCs w:val="21"/>
                <w:highlight w:val="none"/>
              </w:rPr>
            </w:pPr>
          </w:p>
        </w:tc>
        <w:tc>
          <w:tcPr>
            <w:tcW w:w="6435" w:type="dxa"/>
            <w:shd w:val="clear" w:color="auto" w:fill="auto"/>
            <w:vAlign w:val="center"/>
          </w:tcPr>
          <w:p w14:paraId="4739124B">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项目整体项目计划必须包含测试计划或测试计划时间</w:t>
            </w:r>
          </w:p>
        </w:tc>
      </w:tr>
      <w:tr w14:paraId="2F090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2002" w:type="dxa"/>
            <w:vMerge w:val="continue"/>
            <w:shd w:val="clear" w:color="auto" w:fill="auto"/>
            <w:vAlign w:val="center"/>
          </w:tcPr>
          <w:p w14:paraId="47650D35">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default" w:ascii="Times New Roman" w:hAnsi="Times New Roman" w:eastAsia="宋体" w:cs="Times New Roman"/>
                <w:color w:val="auto"/>
                <w:sz w:val="21"/>
                <w:szCs w:val="21"/>
                <w:highlight w:val="none"/>
              </w:rPr>
            </w:pPr>
          </w:p>
        </w:tc>
        <w:tc>
          <w:tcPr>
            <w:tcW w:w="6435" w:type="dxa"/>
            <w:shd w:val="clear" w:color="auto" w:fill="auto"/>
            <w:vAlign w:val="center"/>
          </w:tcPr>
          <w:p w14:paraId="3C9819CC">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测试方要求的需求说明书及相关说明书已经通过评审，并形成终稿；文档包括但不限于：业务需求、需求说明书、概要设计（可选）、用户手册（可选）</w:t>
            </w:r>
          </w:p>
        </w:tc>
      </w:tr>
      <w:tr w14:paraId="51275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2002" w:type="dxa"/>
            <w:vMerge w:val="restart"/>
            <w:shd w:val="clear" w:color="auto" w:fill="auto"/>
            <w:vAlign w:val="center"/>
          </w:tcPr>
          <w:p w14:paraId="6C7F5865">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执行阶段</w:t>
            </w:r>
          </w:p>
        </w:tc>
        <w:tc>
          <w:tcPr>
            <w:tcW w:w="6435" w:type="dxa"/>
            <w:shd w:val="clear" w:color="auto" w:fill="auto"/>
            <w:vAlign w:val="center"/>
          </w:tcPr>
          <w:p w14:paraId="05EF6065">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提交的产品经过了开发自测</w:t>
            </w:r>
            <w:r>
              <w:rPr>
                <w:rFonts w:hint="eastAsia" w:ascii="Times New Roman" w:hAnsi="Times New Roman"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单元及集成测试），并提交了测试案例与测试报告，案例需求覆盖度100%，无致命及严重遗留问题</w:t>
            </w:r>
          </w:p>
        </w:tc>
      </w:tr>
      <w:tr w14:paraId="7B6CD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42" w:hRule="atLeast"/>
        </w:trPr>
        <w:tc>
          <w:tcPr>
            <w:tcW w:w="2002" w:type="dxa"/>
            <w:vMerge w:val="continue"/>
            <w:shd w:val="clear" w:color="auto" w:fill="auto"/>
            <w:vAlign w:val="center"/>
          </w:tcPr>
          <w:p w14:paraId="3A5CA235">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default" w:ascii="Times New Roman" w:hAnsi="Times New Roman" w:eastAsia="宋体" w:cs="Times New Roman"/>
                <w:color w:val="auto"/>
                <w:sz w:val="21"/>
                <w:szCs w:val="21"/>
                <w:highlight w:val="none"/>
              </w:rPr>
            </w:pPr>
          </w:p>
        </w:tc>
        <w:tc>
          <w:tcPr>
            <w:tcW w:w="6435" w:type="dxa"/>
            <w:shd w:val="clear" w:color="auto" w:fill="auto"/>
            <w:vAlign w:val="center"/>
          </w:tcPr>
          <w:p w14:paraId="387176F7">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测试案例准备就绪</w:t>
            </w:r>
          </w:p>
        </w:tc>
      </w:tr>
      <w:tr w14:paraId="28368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42" w:hRule="atLeast"/>
        </w:trPr>
        <w:tc>
          <w:tcPr>
            <w:tcW w:w="2002" w:type="dxa"/>
            <w:vMerge w:val="continue"/>
            <w:shd w:val="clear" w:color="auto" w:fill="auto"/>
            <w:vAlign w:val="center"/>
          </w:tcPr>
          <w:p w14:paraId="2801F305">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default" w:ascii="Times New Roman" w:hAnsi="Times New Roman" w:eastAsia="宋体" w:cs="Times New Roman"/>
                <w:color w:val="auto"/>
                <w:sz w:val="21"/>
                <w:szCs w:val="21"/>
                <w:highlight w:val="none"/>
              </w:rPr>
            </w:pPr>
          </w:p>
        </w:tc>
        <w:tc>
          <w:tcPr>
            <w:tcW w:w="6435" w:type="dxa"/>
            <w:shd w:val="clear" w:color="auto" w:fill="auto"/>
            <w:vAlign w:val="center"/>
          </w:tcPr>
          <w:p w14:paraId="13023B4B">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测试环境准备就绪</w:t>
            </w:r>
          </w:p>
        </w:tc>
      </w:tr>
      <w:tr w14:paraId="64BB8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02" w:type="dxa"/>
            <w:vMerge w:val="continue"/>
            <w:shd w:val="clear" w:color="auto" w:fill="auto"/>
            <w:vAlign w:val="center"/>
          </w:tcPr>
          <w:p w14:paraId="4D0F86B2">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default" w:ascii="Times New Roman" w:hAnsi="Times New Roman" w:eastAsia="宋体" w:cs="Times New Roman"/>
                <w:color w:val="auto"/>
                <w:sz w:val="21"/>
                <w:szCs w:val="21"/>
                <w:highlight w:val="none"/>
              </w:rPr>
            </w:pPr>
          </w:p>
        </w:tc>
        <w:tc>
          <w:tcPr>
            <w:tcW w:w="6435" w:type="dxa"/>
            <w:shd w:val="clear" w:color="auto" w:fill="auto"/>
            <w:vAlign w:val="center"/>
          </w:tcPr>
          <w:p w14:paraId="70190970">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测试版本能够成功部署到测试环境。（如果测试和开发处于同一环境，则在测试开始前应该按照开发提交的版本重新部署）</w:t>
            </w:r>
          </w:p>
        </w:tc>
      </w:tr>
      <w:tr w14:paraId="5D2D6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02" w:type="dxa"/>
            <w:vMerge w:val="continue"/>
            <w:shd w:val="clear" w:color="auto" w:fill="auto"/>
            <w:vAlign w:val="center"/>
          </w:tcPr>
          <w:p w14:paraId="00771332">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default" w:ascii="Times New Roman" w:hAnsi="Times New Roman" w:eastAsia="宋体" w:cs="Times New Roman"/>
                <w:color w:val="auto"/>
                <w:sz w:val="21"/>
                <w:szCs w:val="21"/>
                <w:highlight w:val="none"/>
              </w:rPr>
            </w:pPr>
          </w:p>
        </w:tc>
        <w:tc>
          <w:tcPr>
            <w:tcW w:w="6435" w:type="dxa"/>
            <w:shd w:val="clear" w:color="auto" w:fill="auto"/>
            <w:vAlign w:val="center"/>
          </w:tcPr>
          <w:p w14:paraId="21A5F0F4">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冒烟测试达到通过标准（冒烟测试案例通过率大于90%，有效缺陷率不高于10%）</w:t>
            </w:r>
          </w:p>
        </w:tc>
      </w:tr>
      <w:tr w14:paraId="4FBB0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437" w:type="dxa"/>
            <w:gridSpan w:val="2"/>
            <w:shd w:val="clear" w:color="auto" w:fill="auto"/>
            <w:vAlign w:val="center"/>
          </w:tcPr>
          <w:p w14:paraId="29A0EB58">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二、暂停/继续标准：满足下列之一的条件并由项目组审核同意，测试可以暂停</w:t>
            </w:r>
          </w:p>
        </w:tc>
      </w:tr>
      <w:tr w14:paraId="0A99E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2002" w:type="dxa"/>
            <w:shd w:val="clear" w:color="auto" w:fill="auto"/>
            <w:vAlign w:val="center"/>
          </w:tcPr>
          <w:p w14:paraId="1702BE05">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序号</w:t>
            </w:r>
          </w:p>
        </w:tc>
        <w:tc>
          <w:tcPr>
            <w:tcW w:w="6435" w:type="dxa"/>
            <w:shd w:val="clear" w:color="auto" w:fill="auto"/>
            <w:vAlign w:val="center"/>
          </w:tcPr>
          <w:p w14:paraId="6BC63E99">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暂停条件</w:t>
            </w:r>
          </w:p>
        </w:tc>
      </w:tr>
      <w:tr w14:paraId="45B6F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2002" w:type="dxa"/>
            <w:shd w:val="clear" w:color="auto" w:fill="auto"/>
            <w:vAlign w:val="center"/>
          </w:tcPr>
          <w:p w14:paraId="736F50C9">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6435" w:type="dxa"/>
            <w:shd w:val="clear" w:color="auto" w:fill="auto"/>
            <w:vAlign w:val="center"/>
          </w:tcPr>
          <w:p w14:paraId="2121399A">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由于程序、环境原因导致测试无法进行</w:t>
            </w:r>
          </w:p>
        </w:tc>
      </w:tr>
      <w:tr w14:paraId="6ADC8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2002" w:type="dxa"/>
            <w:shd w:val="clear" w:color="auto" w:fill="auto"/>
            <w:vAlign w:val="center"/>
          </w:tcPr>
          <w:p w14:paraId="0216CB42">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c>
          <w:tcPr>
            <w:tcW w:w="6435" w:type="dxa"/>
            <w:shd w:val="clear" w:color="auto" w:fill="auto"/>
            <w:vAlign w:val="center"/>
          </w:tcPr>
          <w:p w14:paraId="566CF14C">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项目暂停，已无测试必要</w:t>
            </w:r>
          </w:p>
        </w:tc>
      </w:tr>
      <w:tr w14:paraId="4F4AF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02" w:type="dxa"/>
            <w:shd w:val="clear" w:color="auto" w:fill="auto"/>
            <w:vAlign w:val="center"/>
          </w:tcPr>
          <w:p w14:paraId="77BAE07A">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c>
          <w:tcPr>
            <w:tcW w:w="6435" w:type="dxa"/>
            <w:shd w:val="clear" w:color="auto" w:fill="auto"/>
            <w:vAlign w:val="center"/>
          </w:tcPr>
          <w:p w14:paraId="7E30F285">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测试需求稳定指数小于70%，则暂停测试执行</w:t>
            </w:r>
          </w:p>
        </w:tc>
      </w:tr>
      <w:tr w14:paraId="61B4A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2002" w:type="dxa"/>
            <w:shd w:val="clear" w:color="auto" w:fill="auto"/>
            <w:vAlign w:val="center"/>
          </w:tcPr>
          <w:p w14:paraId="110211A5">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w:t>
            </w:r>
          </w:p>
        </w:tc>
        <w:tc>
          <w:tcPr>
            <w:tcW w:w="6435" w:type="dxa"/>
            <w:shd w:val="clear" w:color="auto" w:fill="auto"/>
            <w:vAlign w:val="center"/>
          </w:tcPr>
          <w:p w14:paraId="2A4AF98B">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每个里程碑节点或执行轮次案例执行通过率低于60%，则暂停测试执行</w:t>
            </w:r>
          </w:p>
        </w:tc>
      </w:tr>
      <w:tr w14:paraId="77871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2002" w:type="dxa"/>
            <w:shd w:val="clear" w:color="auto" w:fill="auto"/>
            <w:vAlign w:val="center"/>
          </w:tcPr>
          <w:p w14:paraId="7764CA4E">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w:t>
            </w:r>
          </w:p>
        </w:tc>
        <w:tc>
          <w:tcPr>
            <w:tcW w:w="6435" w:type="dxa"/>
            <w:shd w:val="clear" w:color="auto" w:fill="auto"/>
            <w:vAlign w:val="center"/>
          </w:tcPr>
          <w:p w14:paraId="052D87ED">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每个里程碑节点或执行轮次缺陷解决率低于50%，则暂停测试执行</w:t>
            </w:r>
          </w:p>
        </w:tc>
      </w:tr>
      <w:tr w14:paraId="2D0F8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2002" w:type="dxa"/>
            <w:shd w:val="clear" w:color="auto" w:fill="auto"/>
            <w:vAlign w:val="center"/>
          </w:tcPr>
          <w:p w14:paraId="782B8856">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w:t>
            </w:r>
          </w:p>
        </w:tc>
        <w:tc>
          <w:tcPr>
            <w:tcW w:w="6435" w:type="dxa"/>
            <w:shd w:val="clear" w:color="auto" w:fill="auto"/>
            <w:vAlign w:val="center"/>
          </w:tcPr>
          <w:p w14:paraId="36730179">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每个里程碑节点或执行轮次缺陷的案例命中率大于25%，则暂停测试执行</w:t>
            </w:r>
          </w:p>
        </w:tc>
      </w:tr>
      <w:tr w14:paraId="37D36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2002" w:type="dxa"/>
            <w:shd w:val="clear" w:color="auto" w:fill="auto"/>
            <w:vAlign w:val="center"/>
          </w:tcPr>
          <w:p w14:paraId="0BE5F56E">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w:t>
            </w:r>
          </w:p>
        </w:tc>
        <w:tc>
          <w:tcPr>
            <w:tcW w:w="6435" w:type="dxa"/>
            <w:shd w:val="clear" w:color="auto" w:fill="auto"/>
            <w:vAlign w:val="center"/>
          </w:tcPr>
          <w:p w14:paraId="22C12C26">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每个里程碑节点或执行轮次严重以上缺陷占比大于35%，则暂停测试执行</w:t>
            </w:r>
          </w:p>
        </w:tc>
      </w:tr>
      <w:tr w14:paraId="00675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2002" w:type="dxa"/>
            <w:shd w:val="clear" w:color="auto" w:fill="auto"/>
            <w:vAlign w:val="center"/>
          </w:tcPr>
          <w:p w14:paraId="4DA48817">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w:t>
            </w:r>
          </w:p>
        </w:tc>
        <w:tc>
          <w:tcPr>
            <w:tcW w:w="6435" w:type="dxa"/>
            <w:shd w:val="clear" w:color="auto" w:fill="auto"/>
            <w:vAlign w:val="center"/>
          </w:tcPr>
          <w:p w14:paraId="38C7B060">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测试环境、测试数据、测试人员等测试必备条件不再具备或发生变化导致测试不能进行，则暂停测试执行</w:t>
            </w:r>
          </w:p>
        </w:tc>
      </w:tr>
      <w:tr w14:paraId="1080D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2002" w:type="dxa"/>
            <w:shd w:val="clear" w:color="auto" w:fill="auto"/>
            <w:vAlign w:val="center"/>
          </w:tcPr>
          <w:p w14:paraId="2E5B6B8C">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w:t>
            </w:r>
          </w:p>
        </w:tc>
        <w:tc>
          <w:tcPr>
            <w:tcW w:w="6435" w:type="dxa"/>
            <w:shd w:val="clear" w:color="auto" w:fill="auto"/>
            <w:vAlign w:val="center"/>
          </w:tcPr>
          <w:p w14:paraId="3F3360F7">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项目组确定的可以暂停的其他条件</w:t>
            </w:r>
          </w:p>
        </w:tc>
      </w:tr>
      <w:tr w14:paraId="5CE59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2002" w:type="dxa"/>
            <w:shd w:val="clear" w:color="auto" w:fill="auto"/>
            <w:vAlign w:val="center"/>
          </w:tcPr>
          <w:p w14:paraId="31ECC705">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w:t>
            </w:r>
          </w:p>
        </w:tc>
        <w:tc>
          <w:tcPr>
            <w:tcW w:w="6435" w:type="dxa"/>
            <w:shd w:val="clear" w:color="auto" w:fill="auto"/>
            <w:vAlign w:val="center"/>
          </w:tcPr>
          <w:p w14:paraId="0C87CBB0">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恢复以上的条件并由项目组审核同意，测试可以继续</w:t>
            </w:r>
          </w:p>
        </w:tc>
      </w:tr>
      <w:tr w14:paraId="603F0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8437" w:type="dxa"/>
            <w:gridSpan w:val="2"/>
            <w:shd w:val="clear" w:color="auto" w:fill="auto"/>
            <w:vAlign w:val="center"/>
          </w:tcPr>
          <w:p w14:paraId="1C5B0896">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三、测试准出标准：同时满足以下条件，测试完成</w:t>
            </w:r>
          </w:p>
        </w:tc>
      </w:tr>
      <w:tr w14:paraId="181DA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2002" w:type="dxa"/>
            <w:shd w:val="clear" w:color="auto" w:fill="auto"/>
            <w:vAlign w:val="center"/>
          </w:tcPr>
          <w:p w14:paraId="44C878A3">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序号</w:t>
            </w:r>
          </w:p>
        </w:tc>
        <w:tc>
          <w:tcPr>
            <w:tcW w:w="6435" w:type="dxa"/>
            <w:shd w:val="clear" w:color="auto" w:fill="auto"/>
            <w:vAlign w:val="center"/>
          </w:tcPr>
          <w:p w14:paraId="539E71F8">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准出条件</w:t>
            </w:r>
          </w:p>
        </w:tc>
      </w:tr>
      <w:tr w14:paraId="4BBF5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02" w:type="dxa"/>
            <w:shd w:val="clear" w:color="auto" w:fill="auto"/>
            <w:vAlign w:val="center"/>
          </w:tcPr>
          <w:p w14:paraId="150144F3">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6435" w:type="dxa"/>
            <w:shd w:val="clear" w:color="auto" w:fill="auto"/>
            <w:vAlign w:val="center"/>
          </w:tcPr>
          <w:p w14:paraId="43B14625">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测试需求覆盖率达到100%，测试案例覆盖度100%</w:t>
            </w:r>
          </w:p>
        </w:tc>
      </w:tr>
      <w:tr w14:paraId="5C470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2002" w:type="dxa"/>
            <w:shd w:val="clear" w:color="auto" w:fill="auto"/>
            <w:vAlign w:val="center"/>
          </w:tcPr>
          <w:p w14:paraId="7B7A37E4">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c>
          <w:tcPr>
            <w:tcW w:w="6435" w:type="dxa"/>
            <w:shd w:val="clear" w:color="auto" w:fill="auto"/>
            <w:vAlign w:val="center"/>
          </w:tcPr>
          <w:p w14:paraId="228E7D59">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测试案例执行率达到100%，测试通过率95%</w:t>
            </w:r>
          </w:p>
        </w:tc>
      </w:tr>
      <w:tr w14:paraId="1E1FD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02" w:type="dxa"/>
            <w:shd w:val="clear" w:color="auto" w:fill="auto"/>
            <w:vAlign w:val="center"/>
          </w:tcPr>
          <w:p w14:paraId="090F4C81">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c>
          <w:tcPr>
            <w:tcW w:w="6435" w:type="dxa"/>
            <w:shd w:val="clear" w:color="auto" w:fill="auto"/>
            <w:vAlign w:val="center"/>
          </w:tcPr>
          <w:p w14:paraId="5AE9A5A4">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缺陷修复率达到95%</w:t>
            </w:r>
          </w:p>
        </w:tc>
      </w:tr>
      <w:tr w14:paraId="56804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02" w:type="dxa"/>
            <w:shd w:val="clear" w:color="auto" w:fill="auto"/>
            <w:vAlign w:val="center"/>
          </w:tcPr>
          <w:p w14:paraId="2DE07F4A">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c>
          <w:tcPr>
            <w:tcW w:w="6435" w:type="dxa"/>
            <w:shd w:val="clear" w:color="auto" w:fill="auto"/>
            <w:vAlign w:val="center"/>
          </w:tcPr>
          <w:p w14:paraId="309DF7C5">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致命缺陷、严重缺陷解决率达到100%</w:t>
            </w:r>
          </w:p>
        </w:tc>
      </w:tr>
      <w:tr w14:paraId="215D0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02" w:type="dxa"/>
            <w:shd w:val="clear" w:color="auto" w:fill="auto"/>
            <w:vAlign w:val="center"/>
          </w:tcPr>
          <w:p w14:paraId="37DB1F4A">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w:t>
            </w:r>
          </w:p>
        </w:tc>
        <w:tc>
          <w:tcPr>
            <w:tcW w:w="6435" w:type="dxa"/>
            <w:shd w:val="clear" w:color="auto" w:fill="auto"/>
            <w:vAlign w:val="center"/>
          </w:tcPr>
          <w:p w14:paraId="20F51671">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一般缺陷、微小缺陷解决率达到90%以上，建议缺陷解决率达到80%以上，且未解决缺陷得项目组认可</w:t>
            </w:r>
          </w:p>
        </w:tc>
      </w:tr>
      <w:tr w14:paraId="37BE7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2002" w:type="dxa"/>
            <w:shd w:val="clear" w:color="auto" w:fill="auto"/>
            <w:vAlign w:val="center"/>
          </w:tcPr>
          <w:p w14:paraId="14ADAC6C">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w:t>
            </w:r>
          </w:p>
        </w:tc>
        <w:tc>
          <w:tcPr>
            <w:tcW w:w="6435" w:type="dxa"/>
            <w:shd w:val="clear" w:color="auto" w:fill="auto"/>
            <w:vAlign w:val="center"/>
          </w:tcPr>
          <w:p w14:paraId="389C26A2">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提交测试报告及通过评审</w:t>
            </w:r>
          </w:p>
        </w:tc>
      </w:tr>
      <w:tr w14:paraId="08FB1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437" w:type="dxa"/>
            <w:gridSpan w:val="2"/>
            <w:shd w:val="clear" w:color="auto" w:fill="auto"/>
            <w:vAlign w:val="center"/>
          </w:tcPr>
          <w:p w14:paraId="19CA4E48">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四、测试指标公式附录</w:t>
            </w:r>
          </w:p>
        </w:tc>
      </w:tr>
      <w:tr w14:paraId="0D29A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2002" w:type="dxa"/>
            <w:shd w:val="clear" w:color="auto" w:fill="auto"/>
            <w:vAlign w:val="center"/>
          </w:tcPr>
          <w:p w14:paraId="267366D4">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TPI</w:t>
            </w:r>
          </w:p>
        </w:tc>
        <w:tc>
          <w:tcPr>
            <w:tcW w:w="6435" w:type="dxa"/>
            <w:shd w:val="clear" w:color="auto" w:fill="auto"/>
            <w:vAlign w:val="center"/>
          </w:tcPr>
          <w:p w14:paraId="2EAAC66D">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公式</w:t>
            </w:r>
          </w:p>
        </w:tc>
      </w:tr>
      <w:tr w14:paraId="31BEC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02" w:type="dxa"/>
            <w:shd w:val="clear" w:color="auto" w:fill="auto"/>
            <w:vAlign w:val="center"/>
          </w:tcPr>
          <w:p w14:paraId="3053CE84">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测试需求覆盖率</w:t>
            </w:r>
          </w:p>
        </w:tc>
        <w:tc>
          <w:tcPr>
            <w:tcW w:w="6435" w:type="dxa"/>
            <w:shd w:val="clear" w:color="auto" w:fill="auto"/>
            <w:vAlign w:val="center"/>
          </w:tcPr>
          <w:p w14:paraId="05D0A6A4">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测试需求覆盖点/软件需求功能点</w:t>
            </w:r>
          </w:p>
        </w:tc>
      </w:tr>
      <w:tr w14:paraId="25C23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2002" w:type="dxa"/>
            <w:shd w:val="clear" w:color="auto" w:fill="auto"/>
            <w:vAlign w:val="center"/>
          </w:tcPr>
          <w:p w14:paraId="5670C6B6">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有效案例总数</w:t>
            </w:r>
          </w:p>
        </w:tc>
        <w:tc>
          <w:tcPr>
            <w:tcW w:w="6435" w:type="dxa"/>
            <w:shd w:val="clear" w:color="auto" w:fill="auto"/>
            <w:vAlign w:val="center"/>
          </w:tcPr>
          <w:p w14:paraId="2FAE596C">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案例总数-无效案例总数</w:t>
            </w:r>
          </w:p>
        </w:tc>
      </w:tr>
      <w:tr w14:paraId="73158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02" w:type="dxa"/>
            <w:shd w:val="clear" w:color="auto" w:fill="auto"/>
            <w:vAlign w:val="center"/>
          </w:tcPr>
          <w:p w14:paraId="1DC774A5">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有效缺陷总数</w:t>
            </w:r>
          </w:p>
        </w:tc>
        <w:tc>
          <w:tcPr>
            <w:tcW w:w="6435" w:type="dxa"/>
            <w:shd w:val="clear" w:color="auto" w:fill="auto"/>
            <w:vAlign w:val="center"/>
          </w:tcPr>
          <w:p w14:paraId="3019CCAB">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缺陷总数-无效缺陷总数-伪缺陷总数</w:t>
            </w:r>
          </w:p>
        </w:tc>
      </w:tr>
      <w:tr w14:paraId="44620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02" w:type="dxa"/>
            <w:shd w:val="clear" w:color="auto" w:fill="auto"/>
            <w:vAlign w:val="center"/>
          </w:tcPr>
          <w:p w14:paraId="4A3716BE">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严重以上缺陷总数</w:t>
            </w:r>
          </w:p>
        </w:tc>
        <w:tc>
          <w:tcPr>
            <w:tcW w:w="6435" w:type="dxa"/>
            <w:shd w:val="clear" w:color="auto" w:fill="auto"/>
            <w:vAlign w:val="center"/>
          </w:tcPr>
          <w:p w14:paraId="2BD7CA34">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严重及致命缺陷总数-无效的严重及致命缺陷总数</w:t>
            </w:r>
          </w:p>
        </w:tc>
      </w:tr>
      <w:tr w14:paraId="01878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2002" w:type="dxa"/>
            <w:shd w:val="clear" w:color="auto" w:fill="auto"/>
            <w:vAlign w:val="center"/>
          </w:tcPr>
          <w:p w14:paraId="1BDFA81D">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案例执行率</w:t>
            </w:r>
          </w:p>
        </w:tc>
        <w:tc>
          <w:tcPr>
            <w:tcW w:w="6435" w:type="dxa"/>
            <w:shd w:val="clear" w:color="auto" w:fill="auto"/>
            <w:vAlign w:val="center"/>
          </w:tcPr>
          <w:p w14:paraId="6A7B739D">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每轮执行案例数/每轮计划执行的案例个数</w:t>
            </w:r>
          </w:p>
        </w:tc>
      </w:tr>
      <w:tr w14:paraId="323F2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2002" w:type="dxa"/>
            <w:shd w:val="clear" w:color="auto" w:fill="auto"/>
            <w:vAlign w:val="center"/>
          </w:tcPr>
          <w:p w14:paraId="6D518E25">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需求稳定指数</w:t>
            </w:r>
          </w:p>
        </w:tc>
        <w:tc>
          <w:tcPr>
            <w:tcW w:w="6435" w:type="dxa"/>
            <w:shd w:val="clear" w:color="auto" w:fill="auto"/>
            <w:vAlign w:val="center"/>
          </w:tcPr>
          <w:p w14:paraId="2089AEB0">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（测试需求分析中规则数量-业务需求因素引起变更的测试需求规则数-开发因素引起变更的测试需求规则数）/测试需求分析中规则数量</w:t>
            </w:r>
          </w:p>
        </w:tc>
      </w:tr>
      <w:tr w14:paraId="55E6A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02" w:type="dxa"/>
            <w:shd w:val="clear" w:color="auto" w:fill="auto"/>
            <w:vAlign w:val="center"/>
          </w:tcPr>
          <w:p w14:paraId="1F53611E">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案例执行通过率</w:t>
            </w:r>
          </w:p>
        </w:tc>
        <w:tc>
          <w:tcPr>
            <w:tcW w:w="6435" w:type="dxa"/>
            <w:shd w:val="clear" w:color="auto" w:fill="auto"/>
            <w:vAlign w:val="center"/>
          </w:tcPr>
          <w:p w14:paraId="71CCBAD4">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每轮执行通过的案例个数/每轮执行案例数</w:t>
            </w:r>
          </w:p>
        </w:tc>
      </w:tr>
      <w:tr w14:paraId="5D24C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2002" w:type="dxa"/>
            <w:shd w:val="clear" w:color="auto" w:fill="auto"/>
            <w:vAlign w:val="bottom"/>
          </w:tcPr>
          <w:p w14:paraId="3EB7E5BB">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缺陷的案例命中率</w:t>
            </w:r>
          </w:p>
        </w:tc>
        <w:tc>
          <w:tcPr>
            <w:tcW w:w="6435" w:type="dxa"/>
            <w:shd w:val="clear" w:color="auto" w:fill="auto"/>
            <w:vAlign w:val="bottom"/>
          </w:tcPr>
          <w:p w14:paraId="02190748">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有效缺陷总数/有效案例总数</w:t>
            </w:r>
          </w:p>
        </w:tc>
      </w:tr>
      <w:tr w14:paraId="79EE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2002" w:type="dxa"/>
            <w:shd w:val="clear" w:color="auto" w:fill="auto"/>
            <w:vAlign w:val="bottom"/>
          </w:tcPr>
          <w:p w14:paraId="542EBF93">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严重以上缺陷占比</w:t>
            </w:r>
          </w:p>
        </w:tc>
        <w:tc>
          <w:tcPr>
            <w:tcW w:w="6435" w:type="dxa"/>
            <w:shd w:val="clear" w:color="auto" w:fill="auto"/>
            <w:vAlign w:val="bottom"/>
          </w:tcPr>
          <w:p w14:paraId="11D37151">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严重以上缺陷总数/有效缺陷总数</w:t>
            </w:r>
          </w:p>
        </w:tc>
      </w:tr>
      <w:tr w14:paraId="70B2B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2002" w:type="dxa"/>
            <w:shd w:val="clear" w:color="auto" w:fill="auto"/>
            <w:vAlign w:val="bottom"/>
          </w:tcPr>
          <w:p w14:paraId="6D49CD59">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缺陷解决率</w:t>
            </w:r>
          </w:p>
        </w:tc>
        <w:tc>
          <w:tcPr>
            <w:tcW w:w="6435" w:type="dxa"/>
            <w:shd w:val="clear" w:color="auto" w:fill="auto"/>
            <w:vAlign w:val="bottom"/>
          </w:tcPr>
          <w:p w14:paraId="2D666B48">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关闭缺陷总数/有效缺陷总数</w:t>
            </w:r>
          </w:p>
        </w:tc>
      </w:tr>
    </w:tbl>
    <w:p w14:paraId="01C5C9BF">
      <w:pPr>
        <w:pStyle w:val="4"/>
        <w:keepNext w:val="0"/>
        <w:keepLines w:val="0"/>
        <w:pageBreakBefore w:val="0"/>
        <w:widowControl w:val="0"/>
        <w:numPr>
          <w:ilvl w:val="1"/>
          <w:numId w:val="15"/>
        </w:numPr>
        <w:tabs>
          <w:tab w:val="clear" w:pos="420"/>
        </w:tabs>
        <w:kinsoku/>
        <w:wordWrap/>
        <w:overflowPunct/>
        <w:topLinePunct w:val="0"/>
        <w:autoSpaceDE w:val="0"/>
        <w:autoSpaceDN w:val="0"/>
        <w:bidi w:val="0"/>
        <w:adjustRightInd/>
        <w:snapToGrid/>
        <w:ind w:left="0" w:leftChars="0" w:firstLine="482" w:firstLineChars="200"/>
        <w:textAlignment w:val="auto"/>
        <w:outlineLvl w:val="2"/>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lang w:val="en-US" w:eastAsia="zh-CN"/>
        </w:rPr>
        <w:t>人员要求</w:t>
      </w:r>
    </w:p>
    <w:p w14:paraId="7772A853">
      <w:pPr>
        <w:keepNext w:val="0"/>
        <w:keepLines w:val="0"/>
        <w:pageBreakBefore w:val="0"/>
        <w:widowControl w:val="0"/>
        <w:kinsoku/>
        <w:wordWrap/>
        <w:overflowPunct/>
        <w:topLinePunct w:val="0"/>
        <w:autoSpaceDE w:val="0"/>
        <w:autoSpaceDN w:val="0"/>
        <w:bidi w:val="0"/>
        <w:adjustRightInd/>
        <w:snapToGrid w:val="0"/>
        <w:spacing w:line="600" w:lineRule="exact"/>
        <w:textAlignment w:val="auto"/>
        <w:rPr>
          <w:rFonts w:hint="default" w:ascii="Times New Roman" w:hAnsi="Times New Roman" w:cs="Times New Roman"/>
          <w:color w:val="auto"/>
          <w:highlight w:val="none"/>
        </w:rPr>
      </w:pPr>
      <w:bookmarkStart w:id="57" w:name="_Toc89675142"/>
      <w:r>
        <w:rPr>
          <w:rFonts w:hint="default" w:ascii="Times New Roman" w:hAnsi="Times New Roman" w:cs="Times New Roman"/>
          <w:color w:val="auto"/>
          <w:highlight w:val="none"/>
        </w:rPr>
        <w:t>为了确保有序、高效、顺利地进行项目实施，</w:t>
      </w:r>
      <w:r>
        <w:rPr>
          <w:rFonts w:hint="default" w:ascii="Times New Roman" w:hAnsi="Times New Roman" w:cs="Times New Roman"/>
          <w:color w:val="auto"/>
          <w:highlight w:val="none"/>
          <w:lang w:val="en-US" w:eastAsia="zh-CN"/>
        </w:rPr>
        <w:t>参选人</w:t>
      </w:r>
      <w:r>
        <w:rPr>
          <w:rFonts w:hint="default" w:ascii="Times New Roman" w:hAnsi="Times New Roman" w:cs="Times New Roman"/>
          <w:color w:val="auto"/>
          <w:highlight w:val="none"/>
        </w:rPr>
        <w:t>需提供本项目在整个项目周期的不同阶段投入的人力和资源。本项目对项目</w:t>
      </w:r>
      <w:r>
        <w:rPr>
          <w:rFonts w:hint="default" w:ascii="Times New Roman" w:hAnsi="Times New Roman" w:cs="Times New Roman"/>
          <w:color w:val="auto"/>
          <w:highlight w:val="none"/>
          <w:lang w:val="en-US" w:eastAsia="zh-CN"/>
        </w:rPr>
        <w:t>组</w:t>
      </w:r>
      <w:r>
        <w:rPr>
          <w:rFonts w:hint="default" w:ascii="Times New Roman" w:hAnsi="Times New Roman" w:cs="Times New Roman"/>
          <w:color w:val="auto"/>
          <w:highlight w:val="none"/>
        </w:rPr>
        <w:t>人员</w:t>
      </w:r>
      <w:r>
        <w:rPr>
          <w:rFonts w:hint="default" w:ascii="Times New Roman" w:hAnsi="Times New Roman" w:cs="Times New Roman"/>
          <w:color w:val="auto"/>
          <w:highlight w:val="none"/>
          <w:lang w:val="en-US" w:eastAsia="zh-CN"/>
        </w:rPr>
        <w:t>的要求包括但不限于：</w:t>
      </w:r>
    </w:p>
    <w:p w14:paraId="471D2B2D">
      <w:pPr>
        <w:pStyle w:val="43"/>
        <w:numPr>
          <w:ilvl w:val="0"/>
          <w:numId w:val="0"/>
        </w:numPr>
        <w:tabs>
          <w:tab w:val="left" w:pos="0"/>
        </w:tabs>
        <w:spacing w:before="0" w:after="0" w:line="600" w:lineRule="exact"/>
        <w:ind w:firstLine="480" w:firstLineChars="200"/>
        <w:rPr>
          <w:rFonts w:hint="default" w:ascii="Times New Roman" w:hAnsi="Times New Roman" w:cs="Times New Roman"/>
          <w:color w:val="auto"/>
          <w:szCs w:val="24"/>
          <w:highlight w:val="none"/>
          <w:shd w:val="clear" w:color="auto" w:fill="FFFFFF"/>
          <w:lang w:val="en-US" w:eastAsia="zh-CN"/>
        </w:rPr>
      </w:pPr>
      <w:r>
        <w:rPr>
          <w:rFonts w:hint="eastAsia" w:ascii="Times New Roman" w:hAnsi="Times New Roman" w:cs="Times New Roman"/>
          <w:color w:val="auto"/>
          <w:szCs w:val="24"/>
          <w:highlight w:val="none"/>
          <w:shd w:val="clear" w:color="auto" w:fill="FFFFFF"/>
          <w:lang w:val="en-US" w:eastAsia="zh-CN"/>
        </w:rPr>
        <w:t>（1）</w:t>
      </w:r>
      <w:r>
        <w:rPr>
          <w:rFonts w:hint="default" w:ascii="Times New Roman" w:hAnsi="Times New Roman" w:cs="Times New Roman"/>
          <w:color w:val="auto"/>
          <w:szCs w:val="24"/>
          <w:highlight w:val="none"/>
          <w:shd w:val="clear" w:color="auto" w:fill="FFFFFF"/>
          <w:lang w:val="en-US" w:eastAsia="zh-CN"/>
        </w:rPr>
        <w:t>参选人项目组成员均需提供简历信息并加盖单位公章，同时，比选人将对所提供的人员进行</w:t>
      </w:r>
      <w:r>
        <w:rPr>
          <w:rFonts w:hint="eastAsia" w:ascii="Times New Roman" w:hAnsi="Times New Roman" w:cs="Times New Roman"/>
          <w:color w:val="auto"/>
          <w:szCs w:val="24"/>
          <w:highlight w:val="none"/>
          <w:shd w:val="clear" w:color="auto" w:fill="FFFFFF"/>
          <w:lang w:val="en-US" w:eastAsia="zh-CN"/>
        </w:rPr>
        <w:t>面试</w:t>
      </w:r>
      <w:r>
        <w:rPr>
          <w:rFonts w:hint="default" w:ascii="Times New Roman" w:hAnsi="Times New Roman" w:cs="Times New Roman"/>
          <w:color w:val="auto"/>
          <w:szCs w:val="24"/>
          <w:highlight w:val="none"/>
          <w:shd w:val="clear" w:color="auto" w:fill="FFFFFF"/>
          <w:lang w:val="en-US" w:eastAsia="zh-CN"/>
        </w:rPr>
        <w:t>，达不到比选人要求的将要求替换，面试</w:t>
      </w:r>
      <w:r>
        <w:rPr>
          <w:rFonts w:hint="eastAsia" w:ascii="Times New Roman" w:hAnsi="Times New Roman" w:cs="Times New Roman"/>
          <w:color w:val="auto"/>
          <w:szCs w:val="24"/>
          <w:highlight w:val="none"/>
          <w:shd w:val="clear" w:color="auto" w:fill="FFFFFF"/>
          <w:lang w:val="en-US" w:eastAsia="zh-CN"/>
        </w:rPr>
        <w:t>通过的</w:t>
      </w:r>
      <w:r>
        <w:rPr>
          <w:rFonts w:hint="default" w:ascii="Times New Roman" w:hAnsi="Times New Roman" w:cs="Times New Roman"/>
          <w:color w:val="auto"/>
          <w:szCs w:val="24"/>
          <w:highlight w:val="none"/>
          <w:shd w:val="clear" w:color="auto" w:fill="FFFFFF"/>
          <w:lang w:val="en-US" w:eastAsia="zh-CN"/>
        </w:rPr>
        <w:t>人员在合同签订时不得进行更换；</w:t>
      </w:r>
      <w:r>
        <w:rPr>
          <w:rFonts w:hint="eastAsia" w:ascii="Times New Roman" w:hAnsi="Times New Roman" w:cs="Times New Roman"/>
          <w:color w:val="auto"/>
          <w:szCs w:val="24"/>
          <w:highlight w:val="none"/>
          <w:shd w:val="clear" w:color="auto" w:fill="FFFFFF"/>
          <w:lang w:val="en-US" w:eastAsia="zh-CN"/>
        </w:rPr>
        <w:t>【提供项目组成员简历信息】</w:t>
      </w:r>
    </w:p>
    <w:p w14:paraId="3D8713ED">
      <w:pPr>
        <w:pStyle w:val="43"/>
        <w:numPr>
          <w:ilvl w:val="0"/>
          <w:numId w:val="0"/>
        </w:numPr>
        <w:tabs>
          <w:tab w:val="left" w:pos="0"/>
        </w:tabs>
        <w:spacing w:before="0" w:after="0" w:line="600" w:lineRule="exact"/>
        <w:ind w:firstLine="480" w:firstLineChars="200"/>
        <w:rPr>
          <w:rFonts w:hint="default" w:ascii="Times New Roman" w:hAnsi="Times New Roman" w:cs="Times New Roman"/>
          <w:color w:val="auto"/>
          <w:szCs w:val="24"/>
          <w:highlight w:val="none"/>
          <w:shd w:val="clear" w:color="auto" w:fill="FFFFFF"/>
          <w:lang w:val="en-US" w:eastAsia="zh-CN"/>
        </w:rPr>
      </w:pPr>
      <w:r>
        <w:rPr>
          <w:rFonts w:hint="eastAsia" w:ascii="Times New Roman" w:hAnsi="Times New Roman" w:cs="Times New Roman"/>
          <w:color w:val="auto"/>
          <w:szCs w:val="24"/>
          <w:highlight w:val="none"/>
          <w:shd w:val="clear" w:color="auto" w:fill="FFFFFF"/>
          <w:lang w:val="en-US" w:eastAsia="zh-CN"/>
        </w:rPr>
        <w:t>（2）</w:t>
      </w:r>
      <w:r>
        <w:rPr>
          <w:rFonts w:hint="default" w:ascii="Times New Roman" w:hAnsi="Times New Roman" w:cs="Times New Roman"/>
          <w:color w:val="auto"/>
          <w:szCs w:val="24"/>
          <w:highlight w:val="none"/>
          <w:shd w:val="clear" w:color="auto" w:fill="FFFFFF"/>
          <w:lang w:val="en-US" w:eastAsia="zh-CN"/>
        </w:rPr>
        <w:t>参选人应承诺未征得我行书面同意的情况下不得更换项目成员，更换人员的级别不能低于原人员级别</w:t>
      </w:r>
      <w:bookmarkEnd w:id="57"/>
      <w:r>
        <w:rPr>
          <w:rFonts w:hint="default" w:ascii="Times New Roman" w:hAnsi="Times New Roman" w:cs="Times New Roman"/>
          <w:color w:val="auto"/>
          <w:szCs w:val="24"/>
          <w:highlight w:val="none"/>
          <w:shd w:val="clear" w:color="auto" w:fill="FFFFFF"/>
          <w:lang w:val="en-US" w:eastAsia="zh-CN"/>
        </w:rPr>
        <w:t>；</w:t>
      </w:r>
    </w:p>
    <w:p w14:paraId="46BE8E6A">
      <w:pPr>
        <w:pStyle w:val="43"/>
        <w:numPr>
          <w:ilvl w:val="0"/>
          <w:numId w:val="0"/>
        </w:numPr>
        <w:tabs>
          <w:tab w:val="left" w:pos="0"/>
        </w:tabs>
        <w:spacing w:before="0" w:after="0" w:line="600" w:lineRule="exact"/>
        <w:ind w:firstLine="480" w:firstLineChars="200"/>
        <w:rPr>
          <w:rFonts w:hint="default" w:ascii="Times New Roman" w:hAnsi="Times New Roman" w:cs="Times New Roman"/>
          <w:color w:val="auto"/>
          <w:szCs w:val="24"/>
          <w:highlight w:val="none"/>
          <w:shd w:val="clear" w:color="auto" w:fill="FFFFFF"/>
          <w:lang w:val="en-US" w:eastAsia="zh-CN"/>
        </w:rPr>
      </w:pPr>
      <w:r>
        <w:rPr>
          <w:rFonts w:hint="eastAsia" w:ascii="Times New Roman" w:hAnsi="Times New Roman" w:cs="Times New Roman"/>
          <w:color w:val="auto"/>
          <w:szCs w:val="24"/>
          <w:highlight w:val="none"/>
          <w:shd w:val="clear" w:color="auto" w:fill="FFFFFF"/>
          <w:lang w:val="en-US" w:eastAsia="zh-CN"/>
        </w:rPr>
        <w:t>（3）</w:t>
      </w:r>
      <w:r>
        <w:rPr>
          <w:rFonts w:hint="default" w:ascii="Times New Roman" w:hAnsi="Times New Roman" w:cs="Times New Roman"/>
          <w:color w:val="auto"/>
          <w:szCs w:val="24"/>
          <w:highlight w:val="none"/>
          <w:shd w:val="clear" w:color="auto" w:fill="FFFFFF"/>
          <w:lang w:val="en-US" w:eastAsia="zh-CN"/>
        </w:rPr>
        <w:t>如参选人提供的项目组成员态度与能力不符合项目要求</w:t>
      </w:r>
      <w:r>
        <w:rPr>
          <w:rFonts w:hint="eastAsia" w:ascii="Times New Roman" w:hAnsi="Times New Roman" w:cs="Times New Roman"/>
          <w:color w:val="auto"/>
          <w:szCs w:val="24"/>
          <w:highlight w:val="none"/>
          <w:shd w:val="clear" w:color="auto" w:fill="FFFFFF"/>
          <w:lang w:val="en-US" w:eastAsia="zh-CN"/>
        </w:rPr>
        <w:t>时</w:t>
      </w:r>
      <w:r>
        <w:rPr>
          <w:rFonts w:hint="default" w:ascii="Times New Roman" w:hAnsi="Times New Roman" w:cs="Times New Roman"/>
          <w:color w:val="auto"/>
          <w:szCs w:val="24"/>
          <w:highlight w:val="none"/>
          <w:shd w:val="clear" w:color="auto" w:fill="FFFFFF"/>
          <w:lang w:val="en-US" w:eastAsia="zh-CN"/>
        </w:rPr>
        <w:t>，比选人有权提出更换，</w:t>
      </w:r>
      <w:r>
        <w:rPr>
          <w:rFonts w:hint="eastAsia" w:ascii="Times New Roman" w:hAnsi="Times New Roman" w:cs="Times New Roman"/>
          <w:color w:val="auto"/>
          <w:highlight w:val="none"/>
          <w:lang w:val="en-US" w:eastAsia="zh-CN"/>
        </w:rPr>
        <w:t>参</w:t>
      </w:r>
      <w:r>
        <w:rPr>
          <w:rFonts w:hint="default" w:ascii="Times New Roman" w:hAnsi="Times New Roman" w:cs="Times New Roman"/>
          <w:color w:val="auto"/>
          <w:highlight w:val="none"/>
        </w:rPr>
        <w:t>选人</w:t>
      </w:r>
      <w:r>
        <w:rPr>
          <w:rFonts w:hint="default" w:ascii="Times New Roman" w:hAnsi="Times New Roman" w:cs="Times New Roman"/>
          <w:color w:val="auto"/>
          <w:szCs w:val="24"/>
          <w:highlight w:val="none"/>
          <w:shd w:val="clear" w:color="auto" w:fill="FFFFFF"/>
          <w:lang w:val="en-US" w:eastAsia="zh-CN"/>
        </w:rPr>
        <w:t>必须在10个工作日内解决，并对因此而延误的项目工期负责；</w:t>
      </w:r>
    </w:p>
    <w:p w14:paraId="2B3E2D0A">
      <w:pPr>
        <w:pStyle w:val="43"/>
        <w:numPr>
          <w:ilvl w:val="0"/>
          <w:numId w:val="0"/>
        </w:numPr>
        <w:tabs>
          <w:tab w:val="left" w:pos="0"/>
        </w:tabs>
        <w:spacing w:before="0" w:after="0" w:line="600" w:lineRule="exact"/>
        <w:ind w:firstLine="480" w:firstLineChars="200"/>
        <w:rPr>
          <w:rFonts w:hint="default" w:ascii="Times New Roman" w:hAnsi="Times New Roman" w:cs="Times New Roman"/>
          <w:color w:val="auto"/>
          <w:szCs w:val="24"/>
          <w:highlight w:val="none"/>
          <w:shd w:val="clear" w:color="auto" w:fill="FFFFFF"/>
          <w:lang w:val="en-US" w:eastAsia="zh-CN"/>
        </w:rPr>
      </w:pPr>
      <w:r>
        <w:rPr>
          <w:rFonts w:hint="eastAsia" w:ascii="Times New Roman" w:hAnsi="Times New Roman" w:cs="Times New Roman"/>
          <w:color w:val="auto"/>
          <w:szCs w:val="24"/>
          <w:highlight w:val="none"/>
          <w:shd w:val="clear" w:color="auto" w:fill="FFFFFF"/>
          <w:lang w:val="en-US" w:eastAsia="zh-CN"/>
        </w:rPr>
        <w:t>（4）</w:t>
      </w:r>
      <w:r>
        <w:rPr>
          <w:rFonts w:hint="default" w:ascii="Times New Roman" w:hAnsi="Times New Roman" w:cs="Times New Roman"/>
          <w:color w:val="auto"/>
          <w:szCs w:val="24"/>
          <w:highlight w:val="none"/>
          <w:shd w:val="clear" w:color="auto" w:fill="FFFFFF"/>
          <w:lang w:val="en-US" w:eastAsia="zh-CN"/>
        </w:rPr>
        <w:t>除产品实施的人员</w:t>
      </w:r>
      <w:r>
        <w:rPr>
          <w:rFonts w:hint="eastAsia" w:ascii="Times New Roman" w:hAnsi="Times New Roman" w:cs="Times New Roman"/>
          <w:color w:val="auto"/>
          <w:szCs w:val="24"/>
          <w:highlight w:val="none"/>
          <w:shd w:val="clear" w:color="auto" w:fill="FFFFFF"/>
          <w:lang w:val="en-US" w:eastAsia="zh-CN"/>
        </w:rPr>
        <w:t>和架构师</w:t>
      </w:r>
      <w:r>
        <w:rPr>
          <w:rFonts w:hint="default" w:ascii="Times New Roman" w:hAnsi="Times New Roman" w:cs="Times New Roman"/>
          <w:color w:val="auto"/>
          <w:szCs w:val="24"/>
          <w:highlight w:val="none"/>
          <w:shd w:val="clear" w:color="auto" w:fill="FFFFFF"/>
          <w:lang w:val="en-US" w:eastAsia="zh-CN"/>
        </w:rPr>
        <w:t>外，其余所有参与项目实施的成员必须为参选人单位员工</w:t>
      </w:r>
      <w:r>
        <w:rPr>
          <w:rFonts w:hint="eastAsia" w:ascii="Times New Roman" w:hAnsi="Times New Roman" w:cs="Times New Roman"/>
          <w:color w:val="auto"/>
          <w:szCs w:val="24"/>
          <w:highlight w:val="none"/>
          <w:shd w:val="clear" w:color="auto" w:fill="FFFFFF"/>
          <w:lang w:val="en-US" w:eastAsia="zh-CN"/>
        </w:rPr>
        <w:t>；</w:t>
      </w:r>
    </w:p>
    <w:p w14:paraId="0B851DFC">
      <w:pPr>
        <w:pStyle w:val="43"/>
        <w:numPr>
          <w:ilvl w:val="0"/>
          <w:numId w:val="0"/>
        </w:numPr>
        <w:tabs>
          <w:tab w:val="left" w:pos="0"/>
        </w:tabs>
        <w:spacing w:before="0" w:after="0" w:line="600" w:lineRule="exact"/>
        <w:ind w:firstLine="480" w:firstLineChars="200"/>
        <w:rPr>
          <w:rFonts w:hint="default" w:ascii="Times New Roman" w:hAnsi="Times New Roman" w:cs="Times New Roman"/>
          <w:color w:val="auto"/>
          <w:szCs w:val="24"/>
          <w:highlight w:val="none"/>
          <w:shd w:val="clear" w:color="auto" w:fill="FFFFFF"/>
          <w:lang w:val="en-US" w:eastAsia="zh-CN"/>
        </w:rPr>
      </w:pPr>
      <w:r>
        <w:rPr>
          <w:rFonts w:hint="eastAsia" w:ascii="Times New Roman" w:hAnsi="Times New Roman" w:cs="Times New Roman"/>
          <w:color w:val="auto"/>
          <w:szCs w:val="24"/>
          <w:highlight w:val="none"/>
          <w:shd w:val="clear" w:color="auto" w:fill="FFFFFF"/>
          <w:lang w:val="en-US" w:eastAsia="zh-CN"/>
        </w:rPr>
        <w:t>（5）如项目关键阶段需要补充人员，</w:t>
      </w:r>
      <w:r>
        <w:rPr>
          <w:rFonts w:hint="eastAsia" w:ascii="Times New Roman" w:hAnsi="Times New Roman" w:cs="Times New Roman"/>
          <w:color w:val="auto"/>
          <w:highlight w:val="none"/>
          <w:lang w:val="en-US" w:eastAsia="zh-CN"/>
        </w:rPr>
        <w:t>参</w:t>
      </w:r>
      <w:r>
        <w:rPr>
          <w:rFonts w:hint="default" w:ascii="Times New Roman" w:hAnsi="Times New Roman" w:cs="Times New Roman"/>
          <w:color w:val="auto"/>
          <w:highlight w:val="none"/>
        </w:rPr>
        <w:t>选人</w:t>
      </w:r>
      <w:r>
        <w:rPr>
          <w:rFonts w:hint="eastAsia" w:ascii="Times New Roman" w:hAnsi="Times New Roman" w:cs="Times New Roman"/>
          <w:color w:val="auto"/>
          <w:szCs w:val="24"/>
          <w:highlight w:val="none"/>
          <w:shd w:val="clear" w:color="auto" w:fill="FFFFFF"/>
          <w:lang w:val="en-US" w:eastAsia="zh-CN"/>
        </w:rPr>
        <w:t>必须及时保障人力补充，确保项目按计划交付；</w:t>
      </w:r>
    </w:p>
    <w:p w14:paraId="12EB3C16">
      <w:pPr>
        <w:pStyle w:val="43"/>
        <w:numPr>
          <w:ilvl w:val="0"/>
          <w:numId w:val="0"/>
        </w:numPr>
        <w:tabs>
          <w:tab w:val="left" w:pos="0"/>
        </w:tabs>
        <w:spacing w:before="0" w:after="0" w:line="600" w:lineRule="exact"/>
        <w:ind w:firstLine="480" w:firstLineChars="200"/>
        <w:rPr>
          <w:rFonts w:hint="default" w:ascii="Times New Roman" w:hAnsi="Times New Roman" w:cs="Times New Roman"/>
          <w:snapToGrid w:val="0"/>
          <w:color w:val="auto"/>
          <w:kern w:val="0"/>
          <w:highlight w:val="none"/>
        </w:rPr>
      </w:pPr>
      <w:r>
        <w:rPr>
          <w:rFonts w:hint="eastAsia" w:ascii="Times New Roman" w:hAnsi="Times New Roman" w:cs="Times New Roman"/>
          <w:snapToGrid w:val="0"/>
          <w:color w:val="auto"/>
          <w:kern w:val="0"/>
          <w:highlight w:val="none"/>
          <w:lang w:val="en-US" w:eastAsia="zh-CN"/>
        </w:rPr>
        <w:t>（6）</w:t>
      </w:r>
      <w:r>
        <w:rPr>
          <w:rFonts w:hint="default" w:ascii="Times New Roman" w:hAnsi="Times New Roman" w:cs="Times New Roman"/>
          <w:snapToGrid w:val="0"/>
          <w:color w:val="auto"/>
          <w:kern w:val="0"/>
          <w:highlight w:val="none"/>
          <w:lang w:val="en-US" w:eastAsia="zh-CN"/>
        </w:rPr>
        <w:t>参选人的</w:t>
      </w:r>
      <w:r>
        <w:rPr>
          <w:rFonts w:hint="default" w:ascii="Times New Roman" w:hAnsi="Times New Roman" w:cs="Times New Roman"/>
          <w:snapToGrid w:val="0"/>
          <w:color w:val="auto"/>
          <w:kern w:val="0"/>
          <w:highlight w:val="none"/>
        </w:rPr>
        <w:t>实施团队各角色资质</w:t>
      </w:r>
      <w:r>
        <w:rPr>
          <w:rFonts w:hint="default" w:ascii="Times New Roman" w:hAnsi="Times New Roman" w:cs="Times New Roman"/>
          <w:snapToGrid w:val="0"/>
          <w:color w:val="auto"/>
          <w:kern w:val="0"/>
          <w:highlight w:val="none"/>
          <w:lang w:val="en-US" w:eastAsia="zh-CN"/>
        </w:rPr>
        <w:t>要求</w:t>
      </w:r>
      <w:r>
        <w:rPr>
          <w:rFonts w:hint="default" w:ascii="Times New Roman" w:hAnsi="Times New Roman" w:cs="Times New Roman"/>
          <w:snapToGrid w:val="0"/>
          <w:color w:val="auto"/>
          <w:kern w:val="0"/>
          <w:highlight w:val="none"/>
        </w:rPr>
        <w:t>如</w:t>
      </w:r>
      <w:r>
        <w:rPr>
          <w:rFonts w:hint="default" w:ascii="Times New Roman" w:hAnsi="Times New Roman" w:cs="Times New Roman"/>
          <w:snapToGrid w:val="0"/>
          <w:color w:val="auto"/>
          <w:kern w:val="0"/>
          <w:highlight w:val="none"/>
          <w:lang w:val="en-US" w:eastAsia="zh-CN"/>
        </w:rPr>
        <w:t>表3-</w:t>
      </w:r>
      <w:r>
        <w:rPr>
          <w:rFonts w:hint="eastAsia" w:ascii="Times New Roman" w:hAnsi="Times New Roman" w:cs="Times New Roman"/>
          <w:snapToGrid w:val="0"/>
          <w:color w:val="auto"/>
          <w:kern w:val="0"/>
          <w:highlight w:val="none"/>
          <w:lang w:val="en-US" w:eastAsia="zh-CN"/>
        </w:rPr>
        <w:t>8</w:t>
      </w:r>
      <w:r>
        <w:rPr>
          <w:rFonts w:hint="default" w:ascii="Times New Roman" w:hAnsi="Times New Roman" w:cs="Times New Roman"/>
          <w:snapToGrid w:val="0"/>
          <w:color w:val="auto"/>
          <w:kern w:val="0"/>
          <w:highlight w:val="none"/>
        </w:rPr>
        <w:t>所示：</w:t>
      </w:r>
    </w:p>
    <w:p w14:paraId="53DEC22A">
      <w:pPr>
        <w:keepNext w:val="0"/>
        <w:keepLines w:val="0"/>
        <w:pageBreakBefore w:val="0"/>
        <w:widowControl w:val="0"/>
        <w:kinsoku/>
        <w:wordWrap/>
        <w:overflowPunct/>
        <w:topLinePunct w:val="0"/>
        <w:autoSpaceDE w:val="0"/>
        <w:autoSpaceDN w:val="0"/>
        <w:bidi w:val="0"/>
        <w:adjustRightInd/>
        <w:snapToGrid/>
        <w:spacing w:line="600" w:lineRule="exact"/>
        <w:ind w:firstLine="0" w:firstLineChars="0"/>
        <w:jc w:val="center"/>
        <w:textAlignment w:val="auto"/>
        <w:rPr>
          <w:rFonts w:hint="default" w:ascii="Times New Roman" w:hAnsi="Times New Roman" w:eastAsia="宋体" w:cs="Times New Roman"/>
          <w:snapToGrid w:val="0"/>
          <w:color w:val="auto"/>
          <w:kern w:val="0"/>
          <w:highlight w:val="none"/>
          <w:lang w:val="en-US" w:eastAsia="zh-CN"/>
        </w:rPr>
      </w:pPr>
      <w:r>
        <w:rPr>
          <w:rFonts w:hint="default" w:ascii="Times New Roman" w:hAnsi="Times New Roman" w:eastAsia="宋体" w:cs="Times New Roman"/>
          <w:color w:val="auto"/>
          <w:sz w:val="21"/>
          <w:szCs w:val="21"/>
          <w:highlight w:val="none"/>
        </w:rPr>
        <w:t>表3-</w:t>
      </w:r>
      <w:r>
        <w:rPr>
          <w:rFonts w:hint="eastAsia" w:ascii="Times New Roman" w:hAnsi="Times New Roman" w:cs="Times New Roman"/>
          <w:color w:val="auto"/>
          <w:sz w:val="21"/>
          <w:szCs w:val="21"/>
          <w:highlight w:val="none"/>
          <w:lang w:val="en-US" w:eastAsia="zh-CN"/>
        </w:rPr>
        <w:t>8</w:t>
      </w:r>
      <w:r>
        <w:rPr>
          <w:rFonts w:hint="default"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rPr>
        <w:t>新一代数据中台项目（一期）</w:t>
      </w:r>
      <w:r>
        <w:rPr>
          <w:rFonts w:hint="default" w:ascii="Times New Roman" w:hAnsi="Times New Roman" w:eastAsia="宋体" w:cs="Times New Roman"/>
          <w:color w:val="auto"/>
          <w:sz w:val="21"/>
          <w:szCs w:val="21"/>
          <w:highlight w:val="none"/>
          <w:lang w:val="en-US" w:eastAsia="zh-CN"/>
        </w:rPr>
        <w:t>项目组成员要求表</w:t>
      </w:r>
    </w:p>
    <w:tbl>
      <w:tblPr>
        <w:tblStyle w:val="22"/>
        <w:tblW w:w="9249" w:type="dxa"/>
        <w:tblInd w:w="-4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2106"/>
        <w:gridCol w:w="3515"/>
        <w:gridCol w:w="2083"/>
      </w:tblGrid>
      <w:tr w14:paraId="2BF61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shd w:val="clear" w:color="FFFFFF" w:fill="D8D8D8"/>
            <w:vAlign w:val="center"/>
          </w:tcPr>
          <w:p w14:paraId="6F36B96A">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b/>
                <w:bCs/>
                <w:snapToGrid w:val="0"/>
                <w:color w:val="auto"/>
                <w:kern w:val="0"/>
                <w:sz w:val="21"/>
                <w:szCs w:val="21"/>
                <w:highlight w:val="none"/>
              </w:rPr>
            </w:pPr>
            <w:r>
              <w:rPr>
                <w:rFonts w:hint="default" w:ascii="Times New Roman" w:hAnsi="Times New Roman" w:eastAsia="宋体" w:cs="Times New Roman"/>
                <w:b/>
                <w:bCs/>
                <w:snapToGrid w:val="0"/>
                <w:color w:val="auto"/>
                <w:kern w:val="0"/>
                <w:sz w:val="21"/>
                <w:szCs w:val="21"/>
                <w:highlight w:val="none"/>
              </w:rPr>
              <w:t>成员角色</w:t>
            </w:r>
          </w:p>
        </w:tc>
        <w:tc>
          <w:tcPr>
            <w:tcW w:w="2106" w:type="dxa"/>
            <w:shd w:val="clear" w:color="FFFFFF" w:fill="D8D8D8"/>
            <w:vAlign w:val="center"/>
          </w:tcPr>
          <w:p w14:paraId="703C0D76">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b/>
                <w:bCs/>
                <w:snapToGrid w:val="0"/>
                <w:color w:val="auto"/>
                <w:kern w:val="0"/>
                <w:sz w:val="21"/>
                <w:szCs w:val="21"/>
                <w:highlight w:val="none"/>
                <w:lang w:val="en-US" w:eastAsia="zh-CN"/>
              </w:rPr>
            </w:pPr>
            <w:r>
              <w:rPr>
                <w:rFonts w:hint="default" w:ascii="Times New Roman" w:hAnsi="Times New Roman" w:eastAsia="宋体" w:cs="Times New Roman"/>
                <w:b/>
                <w:bCs/>
                <w:snapToGrid w:val="0"/>
                <w:color w:val="auto"/>
                <w:kern w:val="0"/>
                <w:sz w:val="21"/>
                <w:szCs w:val="21"/>
                <w:highlight w:val="none"/>
                <w:lang w:val="en-US" w:eastAsia="zh-CN"/>
              </w:rPr>
              <w:t>角色职责</w:t>
            </w:r>
          </w:p>
        </w:tc>
        <w:tc>
          <w:tcPr>
            <w:tcW w:w="3515" w:type="dxa"/>
            <w:shd w:val="clear" w:color="FFFFFF" w:fill="D8D8D8"/>
            <w:vAlign w:val="center"/>
          </w:tcPr>
          <w:p w14:paraId="333C19BF">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b/>
                <w:bCs/>
                <w:snapToGrid w:val="0"/>
                <w:color w:val="auto"/>
                <w:kern w:val="0"/>
                <w:sz w:val="21"/>
                <w:szCs w:val="21"/>
                <w:highlight w:val="none"/>
                <w:lang w:val="en-US" w:eastAsia="zh-CN"/>
              </w:rPr>
            </w:pPr>
            <w:r>
              <w:rPr>
                <w:rFonts w:hint="default" w:ascii="Times New Roman" w:hAnsi="Times New Roman" w:eastAsia="宋体" w:cs="Times New Roman"/>
                <w:b/>
                <w:bCs/>
                <w:snapToGrid w:val="0"/>
                <w:color w:val="auto"/>
                <w:kern w:val="0"/>
                <w:sz w:val="21"/>
                <w:szCs w:val="21"/>
                <w:highlight w:val="none"/>
                <w:lang w:val="en-US" w:eastAsia="zh-CN"/>
              </w:rPr>
              <w:t>资质要求</w:t>
            </w:r>
          </w:p>
        </w:tc>
        <w:tc>
          <w:tcPr>
            <w:tcW w:w="2083" w:type="dxa"/>
            <w:shd w:val="clear" w:color="FFFFFF" w:fill="D8D8D8"/>
            <w:vAlign w:val="center"/>
          </w:tcPr>
          <w:p w14:paraId="6C967C9B">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b/>
                <w:bCs/>
                <w:snapToGrid w:val="0"/>
                <w:color w:val="auto"/>
                <w:kern w:val="0"/>
                <w:sz w:val="21"/>
                <w:szCs w:val="21"/>
                <w:highlight w:val="none"/>
                <w:lang w:val="en-US" w:eastAsia="zh-CN"/>
              </w:rPr>
            </w:pPr>
            <w:r>
              <w:rPr>
                <w:rFonts w:hint="eastAsia" w:ascii="Times New Roman" w:hAnsi="Times New Roman" w:eastAsia="宋体" w:cs="Times New Roman"/>
                <w:b/>
                <w:bCs/>
                <w:snapToGrid w:val="0"/>
                <w:color w:val="auto"/>
                <w:kern w:val="0"/>
                <w:sz w:val="21"/>
                <w:szCs w:val="21"/>
                <w:highlight w:val="none"/>
                <w:lang w:val="en-US" w:eastAsia="zh-CN"/>
              </w:rPr>
              <w:t>驻场要求</w:t>
            </w:r>
          </w:p>
        </w:tc>
      </w:tr>
      <w:tr w14:paraId="79190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vAlign w:val="center"/>
          </w:tcPr>
          <w:p w14:paraId="30733071">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snapToGrid w:val="0"/>
                <w:color w:val="auto"/>
                <w:kern w:val="0"/>
                <w:sz w:val="21"/>
                <w:szCs w:val="21"/>
                <w:highlight w:val="none"/>
                <w:lang w:val="en-US" w:eastAsia="zh-CN"/>
              </w:rPr>
            </w:pPr>
            <w:r>
              <w:rPr>
                <w:rFonts w:hint="default" w:ascii="Times New Roman" w:hAnsi="Times New Roman" w:eastAsia="宋体" w:cs="Times New Roman"/>
                <w:snapToGrid w:val="0"/>
                <w:color w:val="auto"/>
                <w:kern w:val="0"/>
                <w:sz w:val="21"/>
                <w:szCs w:val="21"/>
                <w:highlight w:val="none"/>
                <w:lang w:val="en-US" w:eastAsia="zh-CN"/>
              </w:rPr>
              <w:t>项目经理</w:t>
            </w:r>
          </w:p>
          <w:p w14:paraId="33C4E978">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snapToGrid w:val="0"/>
                <w:color w:val="auto"/>
                <w:kern w:val="0"/>
                <w:sz w:val="21"/>
                <w:szCs w:val="21"/>
                <w:highlight w:val="none"/>
                <w:lang w:val="en-US" w:eastAsia="zh-CN"/>
              </w:rPr>
            </w:pPr>
            <w:r>
              <w:rPr>
                <w:rFonts w:hint="default" w:ascii="Times New Roman" w:hAnsi="Times New Roman" w:eastAsia="宋体" w:cs="Times New Roman"/>
                <w:snapToGrid w:val="0"/>
                <w:color w:val="auto"/>
                <w:kern w:val="0"/>
                <w:sz w:val="21"/>
                <w:szCs w:val="21"/>
                <w:highlight w:val="none"/>
                <w:lang w:val="en-US" w:eastAsia="zh-CN"/>
              </w:rPr>
              <w:t>（至少1人）</w:t>
            </w:r>
          </w:p>
        </w:tc>
        <w:tc>
          <w:tcPr>
            <w:tcW w:w="2106" w:type="dxa"/>
            <w:tcBorders>
              <w:left w:val="single" w:color="auto" w:sz="4" w:space="0"/>
            </w:tcBorders>
            <w:vAlign w:val="center"/>
          </w:tcPr>
          <w:p w14:paraId="1D013708">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Autospacing="0" w:line="400" w:lineRule="exact"/>
              <w:ind w:firstLine="0" w:firstLineChars="0"/>
              <w:jc w:val="both"/>
              <w:textAlignment w:val="auto"/>
              <w:rPr>
                <w:rFonts w:hint="default" w:ascii="Times New Roman" w:hAnsi="Times New Roman" w:eastAsia="宋体" w:cs="Times New Roman"/>
                <w:snapToGrid w:val="0"/>
                <w:color w:val="auto"/>
                <w:kern w:val="0"/>
                <w:sz w:val="21"/>
                <w:szCs w:val="21"/>
                <w:highlight w:val="none"/>
              </w:rPr>
            </w:pPr>
            <w:r>
              <w:rPr>
                <w:rFonts w:hint="default" w:ascii="Times New Roman" w:hAnsi="Times New Roman" w:eastAsia="宋体" w:cs="Times New Roman"/>
                <w:color w:val="auto"/>
                <w:sz w:val="21"/>
                <w:szCs w:val="21"/>
                <w:highlight w:val="none"/>
              </w:rPr>
              <w:t>负责本项目的计划、组织、实施、协调、人员配置并监督工作情况及进度等工作，负责各方的沟通联系，对项目领导</w:t>
            </w:r>
            <w:r>
              <w:rPr>
                <w:rFonts w:hint="default" w:ascii="Times New Roman" w:hAnsi="Times New Roman" w:eastAsia="宋体" w:cs="Times New Roman"/>
                <w:color w:val="auto"/>
                <w:sz w:val="21"/>
                <w:szCs w:val="21"/>
                <w:highlight w:val="none"/>
                <w:lang w:val="en-US" w:eastAsia="zh-CN"/>
              </w:rPr>
              <w:t>小</w:t>
            </w:r>
            <w:r>
              <w:rPr>
                <w:rFonts w:hint="default" w:ascii="Times New Roman" w:hAnsi="Times New Roman" w:eastAsia="宋体" w:cs="Times New Roman"/>
                <w:color w:val="auto"/>
                <w:sz w:val="21"/>
                <w:szCs w:val="21"/>
                <w:highlight w:val="none"/>
              </w:rPr>
              <w:t>组负责。</w:t>
            </w:r>
          </w:p>
        </w:tc>
        <w:tc>
          <w:tcPr>
            <w:tcW w:w="3515" w:type="dxa"/>
            <w:tcBorders>
              <w:left w:val="single" w:color="auto" w:sz="4" w:space="0"/>
            </w:tcBorders>
            <w:vAlign w:val="center"/>
          </w:tcPr>
          <w:p w14:paraId="69AFD600">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Autospacing="0" w:line="400" w:lineRule="exact"/>
              <w:ind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具</w:t>
            </w:r>
            <w:r>
              <w:rPr>
                <w:rFonts w:hint="eastAsia" w:ascii="Times New Roman" w:hAnsi="Times New Roman" w:cs="Times New Roman"/>
                <w:color w:val="auto"/>
                <w:sz w:val="21"/>
                <w:szCs w:val="21"/>
                <w:highlight w:val="none"/>
                <w:lang w:val="en-US" w:eastAsia="zh-CN"/>
              </w:rPr>
              <w:t>备8</w:t>
            </w:r>
            <w:r>
              <w:rPr>
                <w:rFonts w:hint="default" w:ascii="Times New Roman" w:hAnsi="Times New Roman" w:eastAsia="宋体" w:cs="Times New Roman"/>
                <w:color w:val="auto"/>
                <w:sz w:val="21"/>
                <w:szCs w:val="21"/>
                <w:highlight w:val="none"/>
              </w:rPr>
              <w:t>年及以上同类项目管理经验，5个及以上银行业相关项目管理实施经验；具有丰富的实施项目经验和较强的沟通协调能力；具有预见和应对项目风险能力</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熟悉银行业务，熟悉数据仓库、大数据平台、湖仓一体实施方法论，具备丰富的数据仓库、大数据平台、湖仓一体实施经验。</w:t>
            </w:r>
          </w:p>
        </w:tc>
        <w:tc>
          <w:tcPr>
            <w:tcW w:w="2083" w:type="dxa"/>
            <w:tcBorders>
              <w:left w:val="single" w:color="auto" w:sz="4" w:space="0"/>
            </w:tcBorders>
            <w:vAlign w:val="center"/>
          </w:tcPr>
          <w:p w14:paraId="6A66F097">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Autospacing="0" w:line="400" w:lineRule="exact"/>
              <w:ind w:firstLine="0" w:firstLineChars="0"/>
              <w:jc w:val="both"/>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需全程驻场</w:t>
            </w:r>
            <w:r>
              <w:rPr>
                <w:rFonts w:hint="eastAsia" w:ascii="Times New Roman" w:hAnsi="Times New Roman" w:cs="Times New Roman"/>
                <w:color w:val="auto"/>
                <w:sz w:val="21"/>
                <w:szCs w:val="21"/>
                <w:highlight w:val="none"/>
                <w:lang w:val="en-US" w:eastAsia="zh-CN"/>
              </w:rPr>
              <w:t>，且非比选人要求中途不得随意更换。</w:t>
            </w:r>
          </w:p>
        </w:tc>
      </w:tr>
      <w:tr w14:paraId="59331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vAlign w:val="center"/>
          </w:tcPr>
          <w:p w14:paraId="63E7FF39">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snapToGrid w:val="0"/>
                <w:color w:val="auto"/>
                <w:kern w:val="0"/>
                <w:sz w:val="21"/>
                <w:szCs w:val="21"/>
                <w:highlight w:val="none"/>
                <w:lang w:val="en-US" w:eastAsia="zh-CN"/>
              </w:rPr>
            </w:pPr>
            <w:r>
              <w:rPr>
                <w:rFonts w:hint="default" w:ascii="Times New Roman" w:hAnsi="Times New Roman" w:eastAsia="宋体" w:cs="Times New Roman"/>
                <w:snapToGrid w:val="0"/>
                <w:color w:val="auto"/>
                <w:kern w:val="0"/>
                <w:sz w:val="21"/>
                <w:szCs w:val="21"/>
                <w:highlight w:val="none"/>
                <w:lang w:val="en-US" w:eastAsia="zh-CN"/>
              </w:rPr>
              <w:t>PMO</w:t>
            </w:r>
          </w:p>
          <w:p w14:paraId="3F82DC1A">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snapToGrid w:val="0"/>
                <w:color w:val="auto"/>
                <w:kern w:val="0"/>
                <w:sz w:val="21"/>
                <w:szCs w:val="21"/>
                <w:highlight w:val="none"/>
                <w:lang w:val="en-US" w:eastAsia="zh-CN"/>
              </w:rPr>
              <w:t>（至少</w:t>
            </w:r>
            <w:r>
              <w:rPr>
                <w:rFonts w:hint="eastAsia" w:ascii="Times New Roman" w:hAnsi="Times New Roman" w:eastAsia="宋体" w:cs="Times New Roman"/>
                <w:snapToGrid w:val="0"/>
                <w:color w:val="auto"/>
                <w:kern w:val="0"/>
                <w:sz w:val="21"/>
                <w:szCs w:val="21"/>
                <w:highlight w:val="none"/>
                <w:lang w:val="en-US" w:eastAsia="zh-CN"/>
              </w:rPr>
              <w:t>2</w:t>
            </w:r>
            <w:r>
              <w:rPr>
                <w:rFonts w:hint="default" w:ascii="Times New Roman" w:hAnsi="Times New Roman" w:eastAsia="宋体" w:cs="Times New Roman"/>
                <w:snapToGrid w:val="0"/>
                <w:color w:val="auto"/>
                <w:kern w:val="0"/>
                <w:sz w:val="21"/>
                <w:szCs w:val="21"/>
                <w:highlight w:val="none"/>
                <w:lang w:val="en-US" w:eastAsia="zh-CN"/>
              </w:rPr>
              <w:t>人）</w:t>
            </w:r>
          </w:p>
        </w:tc>
        <w:tc>
          <w:tcPr>
            <w:tcW w:w="2106" w:type="dxa"/>
            <w:tcBorders>
              <w:left w:val="single" w:color="auto" w:sz="4" w:space="0"/>
            </w:tcBorders>
            <w:vAlign w:val="center"/>
          </w:tcPr>
          <w:p w14:paraId="174D8E3F">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400" w:lineRule="exact"/>
              <w:ind w:firstLine="0" w:firstLineChars="0"/>
              <w:jc w:val="both"/>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负责整体项目</w:t>
            </w:r>
            <w:r>
              <w:rPr>
                <w:rFonts w:hint="eastAsia" w:ascii="Times New Roman" w:hAnsi="Times New Roman" w:cs="Times New Roman"/>
                <w:color w:val="auto"/>
                <w:sz w:val="21"/>
                <w:szCs w:val="21"/>
                <w:highlight w:val="none"/>
                <w:lang w:val="en-US" w:eastAsia="zh-CN"/>
              </w:rPr>
              <w:t>的建设进度和质量把控，定期向</w:t>
            </w:r>
            <w:r>
              <w:rPr>
                <w:rFonts w:hint="default" w:ascii="Times New Roman" w:hAnsi="Times New Roman" w:eastAsia="宋体" w:cs="Times New Roman"/>
                <w:color w:val="auto"/>
                <w:sz w:val="21"/>
                <w:szCs w:val="21"/>
                <w:highlight w:val="none"/>
              </w:rPr>
              <w:t>项目领导</w:t>
            </w:r>
            <w:r>
              <w:rPr>
                <w:rFonts w:hint="default" w:ascii="Times New Roman" w:hAnsi="Times New Roman" w:eastAsia="宋体" w:cs="Times New Roman"/>
                <w:color w:val="auto"/>
                <w:sz w:val="21"/>
                <w:szCs w:val="21"/>
                <w:highlight w:val="none"/>
                <w:lang w:val="en-US" w:eastAsia="zh-CN"/>
              </w:rPr>
              <w:t>小</w:t>
            </w:r>
            <w:r>
              <w:rPr>
                <w:rFonts w:hint="default" w:ascii="Times New Roman" w:hAnsi="Times New Roman" w:eastAsia="宋体" w:cs="Times New Roman"/>
                <w:color w:val="auto"/>
                <w:sz w:val="21"/>
                <w:szCs w:val="21"/>
                <w:highlight w:val="none"/>
              </w:rPr>
              <w:t>组</w:t>
            </w:r>
            <w:r>
              <w:rPr>
                <w:rFonts w:hint="eastAsia" w:ascii="Times New Roman" w:hAnsi="Times New Roman" w:cs="Times New Roman"/>
                <w:color w:val="auto"/>
                <w:sz w:val="21"/>
                <w:szCs w:val="21"/>
                <w:highlight w:val="none"/>
                <w:lang w:val="en-US" w:eastAsia="zh-CN"/>
              </w:rPr>
              <w:t>汇报进度、问题等。</w:t>
            </w:r>
          </w:p>
        </w:tc>
        <w:tc>
          <w:tcPr>
            <w:tcW w:w="3515" w:type="dxa"/>
            <w:tcBorders>
              <w:left w:val="single" w:color="auto" w:sz="4" w:space="0"/>
            </w:tcBorders>
            <w:vAlign w:val="center"/>
          </w:tcPr>
          <w:p w14:paraId="241CB3C5">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400" w:lineRule="exact"/>
              <w:ind w:firstLine="0" w:firstLineChars="0"/>
              <w:jc w:val="both"/>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具</w:t>
            </w:r>
            <w:r>
              <w:rPr>
                <w:rFonts w:hint="eastAsia" w:ascii="Times New Roman" w:hAnsi="Times New Roman" w:cs="Times New Roman"/>
                <w:color w:val="auto"/>
                <w:sz w:val="21"/>
                <w:szCs w:val="21"/>
                <w:highlight w:val="none"/>
                <w:lang w:val="en-US" w:eastAsia="zh-CN"/>
              </w:rPr>
              <w:t>备</w:t>
            </w:r>
            <w:r>
              <w:rPr>
                <w:rFonts w:hint="default" w:ascii="Times New Roman" w:hAnsi="Times New Roman" w:eastAsia="宋体" w:cs="Times New Roman"/>
                <w:color w:val="auto"/>
                <w:sz w:val="21"/>
                <w:szCs w:val="21"/>
                <w:highlight w:val="none"/>
                <w:lang w:val="en-US" w:eastAsia="zh-CN"/>
              </w:rPr>
              <w:t>5年以上的项目管理经验</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熟悉项目管理方法论和工具</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具有</w:t>
            </w:r>
            <w:r>
              <w:rPr>
                <w:rFonts w:hint="eastAsia" w:ascii="Times New Roman" w:hAnsi="Times New Roman"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个及以上银行业相关项目管理实施经验</w:t>
            </w:r>
            <w:r>
              <w:rPr>
                <w:rFonts w:hint="eastAsia" w:ascii="Times New Roman" w:hAnsi="Times New Roman" w:cs="Times New Roman"/>
                <w:color w:val="auto"/>
                <w:sz w:val="21"/>
                <w:szCs w:val="21"/>
                <w:highlight w:val="none"/>
                <w:lang w:eastAsia="zh-CN"/>
              </w:rPr>
              <w:t>；具有良好的沟通和协调能力，能有效协调跨部门、跨团队的资源；有较强的文档撰写和汇报技能。</w:t>
            </w:r>
          </w:p>
        </w:tc>
        <w:tc>
          <w:tcPr>
            <w:tcW w:w="2083" w:type="dxa"/>
            <w:tcBorders>
              <w:left w:val="single" w:color="auto" w:sz="4" w:space="0"/>
            </w:tcBorders>
            <w:vAlign w:val="center"/>
          </w:tcPr>
          <w:p w14:paraId="7B57A790">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400" w:lineRule="exact"/>
              <w:ind w:firstLine="0" w:firstLineChars="0"/>
              <w:jc w:val="both"/>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其中1人</w:t>
            </w:r>
            <w:r>
              <w:rPr>
                <w:rFonts w:hint="eastAsia" w:ascii="Times New Roman" w:hAnsi="Times New Roman" w:eastAsia="宋体" w:cs="Times New Roman"/>
                <w:color w:val="auto"/>
                <w:sz w:val="21"/>
                <w:szCs w:val="21"/>
                <w:highlight w:val="none"/>
                <w:lang w:val="en-US" w:eastAsia="zh-CN"/>
              </w:rPr>
              <w:t>需全程驻场</w:t>
            </w:r>
            <w:r>
              <w:rPr>
                <w:rFonts w:hint="eastAsia" w:ascii="Times New Roman" w:hAnsi="Times New Roman" w:cs="Times New Roman"/>
                <w:color w:val="auto"/>
                <w:sz w:val="21"/>
                <w:szCs w:val="21"/>
                <w:highlight w:val="none"/>
                <w:lang w:val="en-US" w:eastAsia="zh-CN"/>
              </w:rPr>
              <w:t>，另1人可根据项目进度按比选人要求阶段性提供现场支持，且非比选人要求中途不得随意更换。</w:t>
            </w:r>
          </w:p>
        </w:tc>
      </w:tr>
      <w:tr w14:paraId="0E100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vAlign w:val="center"/>
          </w:tcPr>
          <w:p w14:paraId="5E01851F">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架构师</w:t>
            </w:r>
          </w:p>
          <w:p w14:paraId="58DBAD51">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snapToGrid w:val="0"/>
                <w:color w:val="auto"/>
                <w:kern w:val="0"/>
                <w:sz w:val="21"/>
                <w:szCs w:val="21"/>
                <w:highlight w:val="none"/>
                <w:lang w:val="en-US" w:eastAsia="zh-CN"/>
              </w:rPr>
            </w:pP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lang w:val="en-US" w:eastAsia="zh-CN"/>
              </w:rPr>
              <w:t>至少</w:t>
            </w:r>
            <w:r>
              <w:rPr>
                <w:rFonts w:hint="eastAsia" w:ascii="Times New Roman" w:hAnsi="Times New Roman" w:cs="Times New Roman"/>
                <w:bCs/>
                <w:color w:val="auto"/>
                <w:sz w:val="21"/>
                <w:szCs w:val="21"/>
                <w:highlight w:val="none"/>
                <w:lang w:val="en-US" w:eastAsia="zh-CN"/>
              </w:rPr>
              <w:t>2</w:t>
            </w:r>
            <w:r>
              <w:rPr>
                <w:rFonts w:hint="default" w:ascii="Times New Roman" w:hAnsi="Times New Roman" w:eastAsia="宋体" w:cs="Times New Roman"/>
                <w:bCs/>
                <w:color w:val="auto"/>
                <w:sz w:val="21"/>
                <w:szCs w:val="21"/>
                <w:highlight w:val="none"/>
                <w:lang w:val="en-US" w:eastAsia="zh-CN"/>
              </w:rPr>
              <w:t>人）</w:t>
            </w:r>
          </w:p>
        </w:tc>
        <w:tc>
          <w:tcPr>
            <w:tcW w:w="2106" w:type="dxa"/>
            <w:tcBorders>
              <w:left w:val="single" w:color="auto" w:sz="4" w:space="0"/>
            </w:tcBorders>
            <w:vAlign w:val="center"/>
          </w:tcPr>
          <w:p w14:paraId="4345D46C">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400" w:lineRule="exact"/>
              <w:ind w:firstLine="0" w:firstLineChars="0"/>
              <w:jc w:val="both"/>
              <w:textAlignment w:val="auto"/>
              <w:rPr>
                <w:rFonts w:hint="default" w:ascii="Times New Roman" w:hAnsi="Times New Roman" w:eastAsia="宋体" w:cs="Times New Roman"/>
                <w:snapToGrid w:val="0"/>
                <w:color w:val="auto"/>
                <w:kern w:val="0"/>
                <w:sz w:val="21"/>
                <w:szCs w:val="21"/>
                <w:highlight w:val="none"/>
              </w:rPr>
            </w:pPr>
            <w:r>
              <w:rPr>
                <w:rFonts w:hint="default" w:ascii="Times New Roman" w:hAnsi="Times New Roman" w:eastAsia="宋体" w:cs="Times New Roman"/>
                <w:snapToGrid w:val="0"/>
                <w:color w:val="auto"/>
                <w:kern w:val="0"/>
                <w:sz w:val="21"/>
                <w:szCs w:val="21"/>
                <w:highlight w:val="none"/>
              </w:rPr>
              <w:t>负责本项目架构调研、规划和设计，并指导现场人员实施落地。</w:t>
            </w:r>
          </w:p>
        </w:tc>
        <w:tc>
          <w:tcPr>
            <w:tcW w:w="3515" w:type="dxa"/>
            <w:tcBorders>
              <w:left w:val="single" w:color="auto" w:sz="4" w:space="0"/>
            </w:tcBorders>
            <w:vAlign w:val="center"/>
          </w:tcPr>
          <w:p w14:paraId="22446445">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400" w:lineRule="exact"/>
              <w:ind w:firstLine="0" w:firstLineChars="0"/>
              <w:jc w:val="both"/>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具备</w:t>
            </w:r>
            <w:r>
              <w:rPr>
                <w:rFonts w:hint="eastAsia" w:ascii="Times New Roman" w:hAnsi="Times New Roman" w:cs="Times New Roman"/>
                <w:color w:val="auto"/>
                <w:sz w:val="21"/>
                <w:szCs w:val="21"/>
                <w:highlight w:val="none"/>
                <w:lang w:val="en-US" w:eastAsia="zh-CN"/>
              </w:rPr>
              <w:t>10</w:t>
            </w:r>
            <w:r>
              <w:rPr>
                <w:rFonts w:hint="default" w:ascii="Times New Roman" w:hAnsi="Times New Roman" w:eastAsia="宋体" w:cs="Times New Roman"/>
                <w:color w:val="auto"/>
                <w:sz w:val="21"/>
                <w:szCs w:val="21"/>
                <w:highlight w:val="none"/>
                <w:lang w:val="en-US" w:eastAsia="zh-CN"/>
              </w:rPr>
              <w:t>年</w:t>
            </w:r>
            <w:r>
              <w:rPr>
                <w:rFonts w:hint="eastAsia" w:ascii="Times New Roman" w:hAnsi="Times New Roman" w:cs="Times New Roman"/>
                <w:color w:val="auto"/>
                <w:sz w:val="21"/>
                <w:szCs w:val="21"/>
                <w:highlight w:val="none"/>
                <w:lang w:val="en-US" w:eastAsia="zh-CN"/>
              </w:rPr>
              <w:t>及</w:t>
            </w:r>
            <w:r>
              <w:rPr>
                <w:rFonts w:hint="default" w:ascii="Times New Roman" w:hAnsi="Times New Roman" w:eastAsia="宋体" w:cs="Times New Roman"/>
                <w:color w:val="auto"/>
                <w:sz w:val="21"/>
                <w:szCs w:val="21"/>
                <w:highlight w:val="none"/>
                <w:lang w:val="en-US" w:eastAsia="zh-CN"/>
              </w:rPr>
              <w:t>以上银行业大数据平台、数据中台、数据仓库、湖仓一体、数据集成等架构经验和实施经验</w:t>
            </w:r>
            <w:r>
              <w:rPr>
                <w:rFonts w:hint="eastAsia" w:ascii="Times New Roman" w:hAnsi="Times New Roman"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具有5个及以上银行大数据平台、数据中台、数据仓库、湖仓一体、数据集成等项目架构设计经验。</w:t>
            </w:r>
          </w:p>
        </w:tc>
        <w:tc>
          <w:tcPr>
            <w:tcW w:w="2083" w:type="dxa"/>
            <w:tcBorders>
              <w:left w:val="single" w:color="auto" w:sz="4" w:space="0"/>
            </w:tcBorders>
            <w:vAlign w:val="center"/>
          </w:tcPr>
          <w:p w14:paraId="26099B3B">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400" w:lineRule="exact"/>
              <w:ind w:firstLine="0" w:firstLineChars="0"/>
              <w:jc w:val="both"/>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现状调研、架构和方案设计阶段需全程驻场，其余阶段按比选人要求需阶段性进行现场支持</w:t>
            </w:r>
            <w:r>
              <w:rPr>
                <w:rFonts w:hint="eastAsia" w:ascii="Times New Roman" w:hAnsi="Times New Roman" w:cs="Times New Roman"/>
                <w:color w:val="auto"/>
                <w:sz w:val="21"/>
                <w:szCs w:val="21"/>
                <w:highlight w:val="none"/>
                <w:lang w:val="en-US" w:eastAsia="zh-CN"/>
              </w:rPr>
              <w:t>，其中至少1人需为湖仓一体底座产品供应商原厂人员。</w:t>
            </w:r>
          </w:p>
        </w:tc>
      </w:tr>
      <w:tr w14:paraId="36460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vAlign w:val="center"/>
          </w:tcPr>
          <w:p w14:paraId="6ACFCA15">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snapToGrid w:val="0"/>
                <w:color w:val="auto"/>
                <w:kern w:val="0"/>
                <w:sz w:val="21"/>
                <w:szCs w:val="21"/>
                <w:highlight w:val="none"/>
                <w:lang w:val="en-US" w:eastAsia="zh-CN"/>
              </w:rPr>
            </w:pPr>
            <w:r>
              <w:rPr>
                <w:rFonts w:hint="default" w:ascii="Times New Roman" w:hAnsi="Times New Roman" w:eastAsia="宋体" w:cs="Times New Roman"/>
                <w:snapToGrid w:val="0"/>
                <w:color w:val="auto"/>
                <w:kern w:val="0"/>
                <w:sz w:val="21"/>
                <w:szCs w:val="21"/>
                <w:highlight w:val="none"/>
                <w:lang w:val="en-US" w:eastAsia="zh-CN"/>
              </w:rPr>
              <w:t>咨询专家</w:t>
            </w:r>
          </w:p>
          <w:p w14:paraId="53A272A9">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snapToGrid w:val="0"/>
                <w:color w:val="auto"/>
                <w:kern w:val="0"/>
                <w:sz w:val="21"/>
                <w:szCs w:val="21"/>
                <w:highlight w:val="none"/>
                <w:lang w:val="en-US" w:eastAsia="zh-CN"/>
              </w:rPr>
              <w:t>（至少1人）</w:t>
            </w:r>
          </w:p>
        </w:tc>
        <w:tc>
          <w:tcPr>
            <w:tcW w:w="2106" w:type="dxa"/>
            <w:tcBorders>
              <w:left w:val="single" w:color="auto" w:sz="4" w:space="0"/>
            </w:tcBorders>
            <w:vAlign w:val="center"/>
          </w:tcPr>
          <w:p w14:paraId="090D15D9">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400" w:lineRule="exact"/>
              <w:ind w:firstLine="0" w:firstLineChars="0"/>
              <w:jc w:val="both"/>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负责整个项目的实施方案设计。</w:t>
            </w:r>
          </w:p>
        </w:tc>
        <w:tc>
          <w:tcPr>
            <w:tcW w:w="3515" w:type="dxa"/>
            <w:tcBorders>
              <w:left w:val="single" w:color="auto" w:sz="4" w:space="0"/>
            </w:tcBorders>
            <w:vAlign w:val="center"/>
          </w:tcPr>
          <w:p w14:paraId="03291CAF">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400" w:lineRule="exact"/>
              <w:ind w:firstLine="0" w:firstLineChars="0"/>
              <w:jc w:val="both"/>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具备</w:t>
            </w:r>
            <w:r>
              <w:rPr>
                <w:rFonts w:hint="eastAsia" w:ascii="Times New Roman" w:hAnsi="Times New Roman" w:cs="Times New Roman"/>
                <w:color w:val="auto"/>
                <w:sz w:val="21"/>
                <w:szCs w:val="21"/>
                <w:highlight w:val="none"/>
                <w:lang w:val="en-US" w:eastAsia="zh-CN"/>
              </w:rPr>
              <w:t>10</w:t>
            </w:r>
            <w:r>
              <w:rPr>
                <w:rFonts w:hint="default" w:ascii="Times New Roman" w:hAnsi="Times New Roman" w:eastAsia="宋体" w:cs="Times New Roman"/>
                <w:color w:val="auto"/>
                <w:sz w:val="21"/>
                <w:szCs w:val="21"/>
                <w:highlight w:val="none"/>
                <w:lang w:val="en-US" w:eastAsia="zh-CN"/>
              </w:rPr>
              <w:t>年以上银行业大数据平台、数据中台、数据仓库、湖仓一体、数据集成等实施经验</w:t>
            </w:r>
            <w:r>
              <w:rPr>
                <w:rFonts w:hint="eastAsia" w:ascii="Times New Roman" w:hAnsi="Times New Roman"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具有5个及以上银行大数据平台、数据中台、数据仓库、湖仓一体、数据集成等项目</w:t>
            </w:r>
            <w:r>
              <w:rPr>
                <w:rFonts w:hint="eastAsia" w:ascii="Times New Roman" w:hAnsi="Times New Roman" w:cs="Times New Roman"/>
                <w:color w:val="auto"/>
                <w:sz w:val="21"/>
                <w:szCs w:val="21"/>
                <w:highlight w:val="none"/>
                <w:lang w:val="en-US" w:eastAsia="zh-CN"/>
              </w:rPr>
              <w:t>方案设计</w:t>
            </w:r>
            <w:r>
              <w:rPr>
                <w:rFonts w:hint="default" w:ascii="Times New Roman" w:hAnsi="Times New Roman" w:eastAsia="宋体" w:cs="Times New Roman"/>
                <w:color w:val="auto"/>
                <w:sz w:val="21"/>
                <w:szCs w:val="21"/>
                <w:highlight w:val="none"/>
                <w:lang w:val="en-US" w:eastAsia="zh-CN"/>
              </w:rPr>
              <w:t>经验。</w:t>
            </w:r>
          </w:p>
        </w:tc>
        <w:tc>
          <w:tcPr>
            <w:tcW w:w="2083" w:type="dxa"/>
            <w:tcBorders>
              <w:left w:val="single" w:color="auto" w:sz="4" w:space="0"/>
            </w:tcBorders>
            <w:vAlign w:val="center"/>
          </w:tcPr>
          <w:p w14:paraId="213E2109">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400" w:lineRule="exact"/>
              <w:ind w:firstLine="0" w:firstLineChars="0"/>
              <w:jc w:val="both"/>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现状调研、架构和方案设计阶段需全程驻场</w:t>
            </w:r>
            <w:r>
              <w:rPr>
                <w:rFonts w:hint="eastAsia" w:ascii="Times New Roman" w:hAnsi="Times New Roman"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其余阶段按比选人要求需阶段性进行现场支持。</w:t>
            </w:r>
          </w:p>
        </w:tc>
      </w:tr>
      <w:tr w14:paraId="16C36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vAlign w:val="center"/>
          </w:tcPr>
          <w:p w14:paraId="3D156A92">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400" w:lineRule="exact"/>
              <w:ind w:firstLine="0" w:firstLineChars="0"/>
              <w:jc w:val="center"/>
              <w:textAlignment w:val="auto"/>
              <w:rPr>
                <w:rFonts w:hint="eastAsia" w:ascii="Times New Roman" w:hAnsi="Times New Roman" w:cs="Times New Roman"/>
                <w:snapToGrid w:val="0"/>
                <w:color w:val="auto"/>
                <w:kern w:val="0"/>
                <w:sz w:val="21"/>
                <w:szCs w:val="21"/>
                <w:highlight w:val="none"/>
                <w:lang w:val="en-US" w:eastAsia="zh-CN"/>
              </w:rPr>
            </w:pPr>
            <w:r>
              <w:rPr>
                <w:rFonts w:hint="eastAsia" w:ascii="Times New Roman" w:hAnsi="Times New Roman" w:cs="Times New Roman"/>
                <w:snapToGrid w:val="0"/>
                <w:color w:val="auto"/>
                <w:kern w:val="0"/>
                <w:sz w:val="21"/>
                <w:szCs w:val="21"/>
                <w:highlight w:val="none"/>
                <w:lang w:val="en-US" w:eastAsia="zh-CN"/>
              </w:rPr>
              <w:t>需求分析师</w:t>
            </w:r>
          </w:p>
          <w:p w14:paraId="7C32F60F">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cs="Times New Roman"/>
                <w:snapToGrid w:val="0"/>
                <w:color w:val="auto"/>
                <w:kern w:val="0"/>
                <w:sz w:val="21"/>
                <w:szCs w:val="21"/>
                <w:highlight w:val="none"/>
                <w:lang w:val="en-US" w:eastAsia="zh-CN"/>
              </w:rPr>
            </w:pPr>
            <w:r>
              <w:rPr>
                <w:rFonts w:hint="eastAsia" w:ascii="Times New Roman" w:hAnsi="Times New Roman" w:cs="Times New Roman"/>
                <w:snapToGrid w:val="0"/>
                <w:color w:val="auto"/>
                <w:kern w:val="0"/>
                <w:sz w:val="21"/>
                <w:szCs w:val="21"/>
                <w:highlight w:val="none"/>
                <w:lang w:val="en-US" w:eastAsia="zh-CN"/>
              </w:rPr>
              <w:t>（至少3人）</w:t>
            </w:r>
          </w:p>
        </w:tc>
        <w:tc>
          <w:tcPr>
            <w:tcW w:w="2106" w:type="dxa"/>
            <w:tcBorders>
              <w:left w:val="single" w:color="auto" w:sz="4" w:space="0"/>
            </w:tcBorders>
            <w:vAlign w:val="center"/>
          </w:tcPr>
          <w:p w14:paraId="15084CD2">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收集</w:t>
            </w:r>
            <w:r>
              <w:rPr>
                <w:rFonts w:hint="eastAsia" w:ascii="Times New Roman" w:hAnsi="Times New Roman" w:cs="Times New Roman"/>
                <w:color w:val="auto"/>
                <w:sz w:val="21"/>
                <w:szCs w:val="21"/>
                <w:highlight w:val="none"/>
                <w:lang w:val="en-US" w:eastAsia="zh-CN"/>
              </w:rPr>
              <w:t>并</w:t>
            </w:r>
            <w:r>
              <w:rPr>
                <w:rFonts w:hint="default" w:ascii="Times New Roman" w:hAnsi="Times New Roman" w:eastAsia="宋体" w:cs="Times New Roman"/>
                <w:color w:val="auto"/>
                <w:sz w:val="21"/>
                <w:szCs w:val="21"/>
                <w:highlight w:val="none"/>
                <w:lang w:val="en-US" w:eastAsia="zh-CN"/>
              </w:rPr>
              <w:t>分析需求的合理性、可行性和优先级</w:t>
            </w:r>
            <w:r>
              <w:rPr>
                <w:rFonts w:hint="eastAsia" w:ascii="Times New Roman" w:hAnsi="Times New Roman" w:cs="Times New Roman"/>
                <w:color w:val="auto"/>
                <w:sz w:val="21"/>
                <w:szCs w:val="21"/>
                <w:highlight w:val="none"/>
                <w:lang w:val="en-US" w:eastAsia="zh-CN"/>
              </w:rPr>
              <w:t>，跟踪需求变更并及时评估影响。</w:t>
            </w:r>
          </w:p>
        </w:tc>
        <w:tc>
          <w:tcPr>
            <w:tcW w:w="3515" w:type="dxa"/>
            <w:tcBorders>
              <w:left w:val="single" w:color="auto" w:sz="4" w:space="0"/>
            </w:tcBorders>
            <w:vAlign w:val="center"/>
          </w:tcPr>
          <w:p w14:paraId="691F3685">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400" w:lineRule="exact"/>
              <w:ind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具备</w:t>
            </w:r>
            <w:r>
              <w:rPr>
                <w:rFonts w:hint="eastAsia" w:ascii="Times New Roman" w:hAnsi="Times New Roman"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lang w:val="en-US" w:eastAsia="zh-CN"/>
              </w:rPr>
              <w:t>年以上银行业大数据平台、数据中台、数据仓库、湖仓一体、数据集成等实施经验</w:t>
            </w:r>
            <w:r>
              <w:rPr>
                <w:rFonts w:hint="eastAsia" w:ascii="Times New Roman" w:hAnsi="Times New Roman"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具有</w:t>
            </w:r>
            <w:r>
              <w:rPr>
                <w:rFonts w:hint="eastAsia" w:ascii="Times New Roman" w:hAnsi="Times New Roman"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lang w:val="en-US" w:eastAsia="zh-CN"/>
              </w:rPr>
              <w:t>个及以上银行大数据平台、数据中台、数据仓库、湖仓一体、数据集成等</w:t>
            </w:r>
            <w:r>
              <w:rPr>
                <w:rFonts w:hint="eastAsia" w:ascii="Times New Roman" w:hAnsi="Times New Roman" w:cs="Times New Roman"/>
                <w:color w:val="auto"/>
                <w:sz w:val="21"/>
                <w:szCs w:val="21"/>
                <w:highlight w:val="none"/>
                <w:lang w:val="en-US" w:eastAsia="zh-CN"/>
              </w:rPr>
              <w:t>需求分析</w:t>
            </w:r>
            <w:r>
              <w:rPr>
                <w:rFonts w:hint="default" w:ascii="Times New Roman" w:hAnsi="Times New Roman" w:eastAsia="宋体" w:cs="Times New Roman"/>
                <w:color w:val="auto"/>
                <w:sz w:val="21"/>
                <w:szCs w:val="21"/>
                <w:highlight w:val="none"/>
                <w:lang w:val="en-US" w:eastAsia="zh-CN"/>
              </w:rPr>
              <w:t>经验。</w:t>
            </w:r>
          </w:p>
        </w:tc>
        <w:tc>
          <w:tcPr>
            <w:tcW w:w="2083" w:type="dxa"/>
            <w:tcBorders>
              <w:left w:val="single" w:color="auto" w:sz="4" w:space="0"/>
            </w:tcBorders>
            <w:vAlign w:val="center"/>
          </w:tcPr>
          <w:p w14:paraId="1E516A5E">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400" w:lineRule="exact"/>
              <w:ind w:firstLine="0" w:firstLineChars="0"/>
              <w:jc w:val="both"/>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其中2人</w:t>
            </w:r>
            <w:r>
              <w:rPr>
                <w:rFonts w:hint="eastAsia" w:ascii="Times New Roman" w:hAnsi="Times New Roman" w:eastAsia="宋体" w:cs="Times New Roman"/>
                <w:color w:val="auto"/>
                <w:sz w:val="21"/>
                <w:szCs w:val="21"/>
                <w:highlight w:val="none"/>
                <w:lang w:val="en-US" w:eastAsia="zh-CN"/>
              </w:rPr>
              <w:t>需全程驻场</w:t>
            </w:r>
            <w:r>
              <w:rPr>
                <w:rFonts w:hint="eastAsia" w:ascii="Times New Roman" w:hAnsi="Times New Roman" w:cs="Times New Roman"/>
                <w:color w:val="auto"/>
                <w:sz w:val="21"/>
                <w:szCs w:val="21"/>
                <w:highlight w:val="none"/>
                <w:lang w:val="en-US" w:eastAsia="zh-CN"/>
              </w:rPr>
              <w:t>，另1人可根据项目进度按比选人要求阶段性提供现场支持，且非比选人要求中途不得随意更换。</w:t>
            </w:r>
          </w:p>
        </w:tc>
      </w:tr>
      <w:tr w14:paraId="4891F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vAlign w:val="center"/>
          </w:tcPr>
          <w:p w14:paraId="35B036D8">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eastAsia="zh-CN"/>
              </w:rPr>
              <w:t>模型设计师（至少2人）</w:t>
            </w:r>
          </w:p>
          <w:p w14:paraId="70877A92">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snapToGrid w:val="0"/>
                <w:color w:val="auto"/>
                <w:kern w:val="0"/>
                <w:sz w:val="21"/>
                <w:szCs w:val="21"/>
                <w:highlight w:val="none"/>
              </w:rPr>
            </w:pPr>
          </w:p>
        </w:tc>
        <w:tc>
          <w:tcPr>
            <w:tcW w:w="2106" w:type="dxa"/>
            <w:tcBorders>
              <w:left w:val="single" w:color="auto" w:sz="4" w:space="0"/>
            </w:tcBorders>
            <w:vAlign w:val="center"/>
          </w:tcPr>
          <w:p w14:paraId="7C72EC6E">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400" w:lineRule="exact"/>
              <w:ind w:firstLine="0" w:firstLineChars="0"/>
              <w:jc w:val="both"/>
              <w:textAlignment w:val="auto"/>
              <w:rPr>
                <w:rFonts w:hint="default" w:ascii="Times New Roman" w:hAnsi="Times New Roman" w:eastAsia="宋体" w:cs="Times New Roman"/>
                <w:snapToGrid w:val="0"/>
                <w:color w:val="auto"/>
                <w:kern w:val="0"/>
                <w:sz w:val="21"/>
                <w:szCs w:val="21"/>
                <w:highlight w:val="none"/>
              </w:rPr>
            </w:pPr>
            <w:r>
              <w:rPr>
                <w:rFonts w:hint="default" w:ascii="Times New Roman" w:hAnsi="Times New Roman" w:eastAsia="宋体" w:cs="Times New Roman"/>
                <w:color w:val="auto"/>
                <w:sz w:val="21"/>
                <w:szCs w:val="21"/>
                <w:highlight w:val="none"/>
              </w:rPr>
              <w:t>负责本项目数据模型设计，包括数据湖、数据仓库、数据集市的概念模型、逻辑模型、物理模型设计。</w:t>
            </w:r>
          </w:p>
        </w:tc>
        <w:tc>
          <w:tcPr>
            <w:tcW w:w="3515" w:type="dxa"/>
            <w:tcBorders>
              <w:left w:val="single" w:color="auto" w:sz="4" w:space="0"/>
            </w:tcBorders>
            <w:vAlign w:val="center"/>
          </w:tcPr>
          <w:p w14:paraId="3F063BB6">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400" w:lineRule="exact"/>
              <w:ind w:firstLine="0" w:firstLineChars="0"/>
              <w:jc w:val="both"/>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必须熟悉银行业务，熟悉银行各条线业务数据，精通维度模型的设计</w:t>
            </w:r>
            <w:r>
              <w:rPr>
                <w:rFonts w:hint="eastAsia" w:ascii="Times New Roman" w:hAnsi="Times New Roman"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具</w:t>
            </w:r>
            <w:r>
              <w:rPr>
                <w:rFonts w:hint="eastAsia" w:ascii="Times New Roman" w:hAnsi="Times New Roman" w:cs="Times New Roman"/>
                <w:color w:val="auto"/>
                <w:sz w:val="21"/>
                <w:szCs w:val="21"/>
                <w:highlight w:val="none"/>
                <w:lang w:val="en-US" w:eastAsia="zh-CN"/>
              </w:rPr>
              <w:t>备5</w:t>
            </w:r>
            <w:r>
              <w:rPr>
                <w:rFonts w:hint="default" w:ascii="Times New Roman" w:hAnsi="Times New Roman" w:eastAsia="宋体" w:cs="Times New Roman"/>
                <w:color w:val="auto"/>
                <w:sz w:val="21"/>
                <w:szCs w:val="21"/>
                <w:highlight w:val="none"/>
              </w:rPr>
              <w:t>年</w:t>
            </w:r>
            <w:r>
              <w:rPr>
                <w:rFonts w:hint="eastAsia" w:ascii="Times New Roman" w:hAnsi="Times New Roman" w:cs="Times New Roman"/>
                <w:color w:val="auto"/>
                <w:sz w:val="21"/>
                <w:szCs w:val="21"/>
                <w:highlight w:val="none"/>
                <w:lang w:val="en-US" w:eastAsia="zh-CN"/>
              </w:rPr>
              <w:t>及</w:t>
            </w:r>
            <w:r>
              <w:rPr>
                <w:rFonts w:hint="default" w:ascii="Times New Roman" w:hAnsi="Times New Roman" w:eastAsia="宋体" w:cs="Times New Roman"/>
                <w:color w:val="auto"/>
                <w:sz w:val="21"/>
                <w:szCs w:val="21"/>
                <w:highlight w:val="none"/>
              </w:rPr>
              <w:t>以上相关模型设计经验</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具备3个及以上数据</w:t>
            </w:r>
            <w:r>
              <w:rPr>
                <w:rFonts w:hint="default" w:ascii="Times New Roman" w:hAnsi="Times New Roman" w:eastAsia="宋体" w:cs="Times New Roman"/>
                <w:color w:val="auto"/>
                <w:sz w:val="21"/>
                <w:szCs w:val="21"/>
                <w:highlight w:val="none"/>
                <w:lang w:val="en-US" w:eastAsia="zh-CN"/>
              </w:rPr>
              <w:t>大数据平台、数据中台、数据仓库、湖仓一体、数据集成等项目</w:t>
            </w:r>
            <w:r>
              <w:rPr>
                <w:rFonts w:hint="eastAsia" w:ascii="Times New Roman" w:hAnsi="Times New Roman" w:cs="Times New Roman"/>
                <w:color w:val="auto"/>
                <w:sz w:val="21"/>
                <w:szCs w:val="21"/>
                <w:highlight w:val="none"/>
                <w:lang w:val="en-US" w:eastAsia="zh-CN"/>
              </w:rPr>
              <w:t>模型设计经验。</w:t>
            </w:r>
          </w:p>
        </w:tc>
        <w:tc>
          <w:tcPr>
            <w:tcW w:w="2083" w:type="dxa"/>
            <w:tcBorders>
              <w:left w:val="single" w:color="auto" w:sz="4" w:space="0"/>
            </w:tcBorders>
            <w:vAlign w:val="center"/>
          </w:tcPr>
          <w:p w14:paraId="3A1391A3">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400" w:lineRule="exact"/>
              <w:ind w:firstLine="0" w:firstLineChars="0"/>
              <w:jc w:val="both"/>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需全程驻场</w:t>
            </w:r>
            <w:r>
              <w:rPr>
                <w:rFonts w:hint="eastAsia" w:ascii="Times New Roman" w:hAnsi="Times New Roman" w:cs="Times New Roman"/>
                <w:color w:val="auto"/>
                <w:sz w:val="21"/>
                <w:szCs w:val="21"/>
                <w:highlight w:val="none"/>
                <w:lang w:val="en-US" w:eastAsia="zh-CN"/>
              </w:rPr>
              <w:t>，且非比选人要求中途不得随意更换。</w:t>
            </w:r>
          </w:p>
        </w:tc>
      </w:tr>
      <w:tr w14:paraId="624CD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vAlign w:val="center"/>
          </w:tcPr>
          <w:p w14:paraId="46DD84DA">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400" w:lineRule="exact"/>
              <w:ind w:firstLine="0" w:firstLineChars="0"/>
              <w:jc w:val="center"/>
              <w:textAlignment w:val="auto"/>
              <w:rPr>
                <w:rFonts w:hint="eastAsia" w:ascii="Times New Roman" w:hAnsi="Times New Roman" w:eastAsia="宋体" w:cs="Times New Roman"/>
                <w:b w:val="0"/>
                <w:bCs w:val="0"/>
                <w:snapToGrid/>
                <w:color w:val="auto"/>
                <w:kern w:val="2"/>
                <w:sz w:val="21"/>
                <w:szCs w:val="21"/>
                <w:highlight w:val="none"/>
                <w:lang w:val="en-US" w:eastAsia="zh-CN" w:bidi="ar-SA"/>
              </w:rPr>
            </w:pPr>
            <w:r>
              <w:rPr>
                <w:rFonts w:hint="eastAsia" w:ascii="Times New Roman" w:hAnsi="Times New Roman" w:eastAsia="宋体" w:cs="Times New Roman"/>
                <w:b w:val="0"/>
                <w:bCs w:val="0"/>
                <w:snapToGrid/>
                <w:color w:val="auto"/>
                <w:kern w:val="2"/>
                <w:sz w:val="21"/>
                <w:szCs w:val="21"/>
                <w:highlight w:val="none"/>
                <w:lang w:val="en-US" w:eastAsia="zh-CN" w:bidi="ar-SA"/>
              </w:rPr>
              <w:t>数据治理人员</w:t>
            </w:r>
          </w:p>
          <w:p w14:paraId="6EFE7B9B">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400" w:lineRule="exact"/>
              <w:ind w:firstLine="0" w:firstLineChars="0"/>
              <w:jc w:val="center"/>
              <w:textAlignment w:val="auto"/>
              <w:rPr>
                <w:rFonts w:hint="default"/>
                <w:color w:val="auto"/>
                <w:highlight w:val="none"/>
                <w:lang w:val="en-US" w:eastAsia="zh-CN"/>
              </w:rPr>
            </w:pPr>
            <w:r>
              <w:rPr>
                <w:rFonts w:hint="eastAsia" w:ascii="Times New Roman" w:hAnsi="Times New Roman" w:eastAsia="宋体" w:cs="Times New Roman"/>
                <w:b w:val="0"/>
                <w:bCs w:val="0"/>
                <w:snapToGrid/>
                <w:color w:val="auto"/>
                <w:kern w:val="2"/>
                <w:sz w:val="21"/>
                <w:szCs w:val="21"/>
                <w:highlight w:val="none"/>
                <w:lang w:val="en-US" w:eastAsia="zh-CN" w:bidi="ar-SA"/>
              </w:rPr>
              <w:t>（至少2人）</w:t>
            </w:r>
          </w:p>
        </w:tc>
        <w:tc>
          <w:tcPr>
            <w:tcW w:w="2106" w:type="dxa"/>
            <w:tcBorders>
              <w:left w:val="single" w:color="auto" w:sz="4" w:space="0"/>
            </w:tcBorders>
            <w:vAlign w:val="center"/>
          </w:tcPr>
          <w:p w14:paraId="5AA4E94F">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400" w:lineRule="exact"/>
              <w:ind w:firstLine="0" w:firstLineChars="0"/>
              <w:jc w:val="both"/>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负责数据治理方案和标准的制定和落地检查等数据治理相关工作。</w:t>
            </w:r>
          </w:p>
        </w:tc>
        <w:tc>
          <w:tcPr>
            <w:tcW w:w="3515" w:type="dxa"/>
            <w:tcBorders>
              <w:left w:val="single" w:color="auto" w:sz="4" w:space="0"/>
            </w:tcBorders>
            <w:vAlign w:val="center"/>
          </w:tcPr>
          <w:p w14:paraId="59B9826C">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400" w:lineRule="exact"/>
              <w:ind w:firstLine="0" w:firstLineChars="0"/>
              <w:jc w:val="both"/>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必须熟悉银行业务，熟悉银行各条线业务数据</w:t>
            </w:r>
            <w:r>
              <w:rPr>
                <w:rFonts w:hint="eastAsia" w:ascii="Times New Roman" w:hAnsi="Times New Roman"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具</w:t>
            </w:r>
            <w:r>
              <w:rPr>
                <w:rFonts w:hint="eastAsia" w:ascii="Times New Roman" w:hAnsi="Times New Roman" w:cs="Times New Roman"/>
                <w:color w:val="auto"/>
                <w:sz w:val="21"/>
                <w:szCs w:val="21"/>
                <w:highlight w:val="none"/>
                <w:lang w:val="en-US" w:eastAsia="zh-CN"/>
              </w:rPr>
              <w:t>备5年以上数据治理工作经验；</w:t>
            </w:r>
            <w:r>
              <w:rPr>
                <w:rFonts w:hint="default" w:ascii="Times New Roman" w:hAnsi="Times New Roman" w:eastAsia="宋体" w:cs="Times New Roman"/>
                <w:color w:val="auto"/>
                <w:sz w:val="21"/>
                <w:szCs w:val="21"/>
                <w:highlight w:val="none"/>
              </w:rPr>
              <w:t>具</w:t>
            </w:r>
            <w:r>
              <w:rPr>
                <w:rFonts w:hint="eastAsia" w:ascii="Times New Roman" w:hAnsi="Times New Roman" w:cs="Times New Roman"/>
                <w:color w:val="auto"/>
                <w:sz w:val="21"/>
                <w:szCs w:val="21"/>
                <w:highlight w:val="none"/>
                <w:lang w:val="en-US" w:eastAsia="zh-CN"/>
              </w:rPr>
              <w:t>备3</w:t>
            </w:r>
            <w:r>
              <w:rPr>
                <w:rFonts w:hint="default" w:ascii="Times New Roman" w:hAnsi="Times New Roman" w:eastAsia="宋体" w:cs="Times New Roman"/>
                <w:color w:val="auto"/>
                <w:sz w:val="21"/>
                <w:szCs w:val="21"/>
                <w:highlight w:val="none"/>
                <w:lang w:val="en-US" w:eastAsia="zh-CN"/>
              </w:rPr>
              <w:t>个</w:t>
            </w:r>
            <w:r>
              <w:rPr>
                <w:rFonts w:hint="eastAsia" w:ascii="Times New Roman" w:hAnsi="Times New Roman" w:cs="Times New Roman"/>
                <w:color w:val="auto"/>
                <w:sz w:val="21"/>
                <w:szCs w:val="21"/>
                <w:highlight w:val="none"/>
                <w:lang w:val="en-US" w:eastAsia="zh-CN"/>
              </w:rPr>
              <w:t>及以上数据</w:t>
            </w:r>
            <w:r>
              <w:rPr>
                <w:rFonts w:hint="default" w:ascii="Times New Roman" w:hAnsi="Times New Roman" w:eastAsia="宋体" w:cs="Times New Roman"/>
                <w:color w:val="auto"/>
                <w:sz w:val="21"/>
                <w:szCs w:val="21"/>
                <w:highlight w:val="none"/>
                <w:lang w:val="en-US" w:eastAsia="zh-CN"/>
              </w:rPr>
              <w:t>大数据平台、数据中台、数据仓库、湖仓一体、数据集成等项目</w:t>
            </w:r>
            <w:r>
              <w:rPr>
                <w:rFonts w:hint="eastAsia" w:ascii="Times New Roman" w:hAnsi="Times New Roman" w:cs="Times New Roman"/>
                <w:color w:val="auto"/>
                <w:sz w:val="21"/>
                <w:szCs w:val="21"/>
                <w:highlight w:val="none"/>
                <w:lang w:val="en-US" w:eastAsia="zh-CN"/>
              </w:rPr>
              <w:t>数据治理经验；至少1人具备CDGP或CDMP证书。</w:t>
            </w:r>
          </w:p>
        </w:tc>
        <w:tc>
          <w:tcPr>
            <w:tcW w:w="2083" w:type="dxa"/>
            <w:tcBorders>
              <w:left w:val="single" w:color="auto" w:sz="4" w:space="0"/>
            </w:tcBorders>
            <w:vAlign w:val="center"/>
          </w:tcPr>
          <w:p w14:paraId="157EE2EB">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400" w:lineRule="exact"/>
              <w:ind w:firstLine="0" w:firstLineChars="0"/>
              <w:jc w:val="both"/>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数据建模工作完成之前需全程驻场，</w:t>
            </w:r>
            <w:r>
              <w:rPr>
                <w:rFonts w:hint="eastAsia" w:ascii="Times New Roman" w:hAnsi="Times New Roman" w:eastAsia="宋体" w:cs="Times New Roman"/>
                <w:color w:val="auto"/>
                <w:sz w:val="21"/>
                <w:szCs w:val="21"/>
                <w:highlight w:val="none"/>
                <w:lang w:val="en-US" w:eastAsia="zh-CN"/>
              </w:rPr>
              <w:t>其余阶段按比选人要求需阶段性进行现场支持</w:t>
            </w:r>
            <w:r>
              <w:rPr>
                <w:rFonts w:hint="eastAsia" w:ascii="Times New Roman" w:hAnsi="Times New Roman" w:cs="Times New Roman"/>
                <w:color w:val="auto"/>
                <w:sz w:val="21"/>
                <w:szCs w:val="21"/>
                <w:highlight w:val="none"/>
                <w:lang w:val="en-US" w:eastAsia="zh-CN"/>
              </w:rPr>
              <w:t>。</w:t>
            </w:r>
          </w:p>
        </w:tc>
      </w:tr>
      <w:tr w14:paraId="303DA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vAlign w:val="center"/>
          </w:tcPr>
          <w:p w14:paraId="4EBD049A">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400" w:lineRule="exact"/>
              <w:ind w:firstLine="0" w:firstLineChars="0"/>
              <w:jc w:val="center"/>
              <w:textAlignment w:val="auto"/>
              <w:rPr>
                <w:rFonts w:hint="eastAsia" w:ascii="Times New Roman" w:hAnsi="Times New Roman" w:cs="Times New Roman"/>
                <w:snapToGrid w:val="0"/>
                <w:color w:val="auto"/>
                <w:kern w:val="0"/>
                <w:sz w:val="21"/>
                <w:szCs w:val="21"/>
                <w:highlight w:val="none"/>
                <w:lang w:val="en-US" w:eastAsia="zh-CN"/>
              </w:rPr>
            </w:pPr>
            <w:r>
              <w:rPr>
                <w:rFonts w:hint="eastAsia" w:ascii="Times New Roman" w:hAnsi="Times New Roman" w:cs="Times New Roman"/>
                <w:snapToGrid w:val="0"/>
                <w:color w:val="auto"/>
                <w:kern w:val="0"/>
                <w:sz w:val="21"/>
                <w:szCs w:val="21"/>
                <w:highlight w:val="none"/>
                <w:lang w:val="en-US" w:eastAsia="zh-CN"/>
              </w:rPr>
              <w:t>产品开发</w:t>
            </w:r>
          </w:p>
          <w:p w14:paraId="666CA23A">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400" w:lineRule="exact"/>
              <w:ind w:firstLine="0" w:firstLineChars="0"/>
              <w:jc w:val="center"/>
              <w:textAlignment w:val="auto"/>
              <w:rPr>
                <w:rFonts w:hint="default"/>
                <w:color w:val="auto"/>
                <w:highlight w:val="none"/>
                <w:lang w:val="en-US" w:eastAsia="zh-CN"/>
              </w:rPr>
            </w:pPr>
            <w:r>
              <w:rPr>
                <w:rFonts w:hint="eastAsia" w:ascii="Times New Roman" w:hAnsi="Times New Roman" w:eastAsia="宋体" w:cs="Times New Roman"/>
                <w:b w:val="0"/>
                <w:bCs w:val="0"/>
                <w:snapToGrid/>
                <w:color w:val="auto"/>
                <w:kern w:val="2"/>
                <w:sz w:val="21"/>
                <w:szCs w:val="21"/>
                <w:highlight w:val="none"/>
                <w:lang w:val="en-US" w:eastAsia="zh-CN" w:bidi="ar-SA"/>
              </w:rPr>
              <w:t>（至少</w:t>
            </w:r>
            <w:r>
              <w:rPr>
                <w:rFonts w:hint="eastAsia" w:ascii="Times New Roman" w:hAnsi="Times New Roman" w:cs="Times New Roman"/>
                <w:b w:val="0"/>
                <w:bCs w:val="0"/>
                <w:snapToGrid/>
                <w:color w:val="auto"/>
                <w:kern w:val="2"/>
                <w:sz w:val="21"/>
                <w:szCs w:val="21"/>
                <w:highlight w:val="none"/>
                <w:lang w:val="en-US" w:eastAsia="zh-CN" w:bidi="ar-SA"/>
              </w:rPr>
              <w:t>4人</w:t>
            </w:r>
            <w:r>
              <w:rPr>
                <w:rFonts w:hint="eastAsia" w:ascii="Times New Roman" w:hAnsi="Times New Roman" w:eastAsia="宋体" w:cs="Times New Roman"/>
                <w:b w:val="0"/>
                <w:bCs w:val="0"/>
                <w:snapToGrid/>
                <w:color w:val="auto"/>
                <w:kern w:val="2"/>
                <w:sz w:val="21"/>
                <w:szCs w:val="21"/>
                <w:highlight w:val="none"/>
                <w:lang w:val="en-US" w:eastAsia="zh-CN" w:bidi="ar-SA"/>
              </w:rPr>
              <w:t>）</w:t>
            </w:r>
          </w:p>
        </w:tc>
        <w:tc>
          <w:tcPr>
            <w:tcW w:w="2106" w:type="dxa"/>
            <w:tcBorders>
              <w:left w:val="single" w:color="auto" w:sz="4" w:space="0"/>
            </w:tcBorders>
            <w:vAlign w:val="center"/>
          </w:tcPr>
          <w:p w14:paraId="2D0B1942">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400" w:lineRule="exact"/>
              <w:ind w:firstLine="0" w:firstLineChars="0"/>
              <w:jc w:val="both"/>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负责湖仓一体底座和数据作业平台的部署、集成、调试、定制化开发及上线工作。</w:t>
            </w:r>
          </w:p>
        </w:tc>
        <w:tc>
          <w:tcPr>
            <w:tcW w:w="3515" w:type="dxa"/>
            <w:tcBorders>
              <w:left w:val="single" w:color="auto" w:sz="4" w:space="0"/>
            </w:tcBorders>
            <w:vAlign w:val="center"/>
          </w:tcPr>
          <w:p w14:paraId="6FFECC3F">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400" w:lineRule="exact"/>
              <w:ind w:firstLine="0" w:firstLineChars="0"/>
              <w:jc w:val="both"/>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至少主导过3次</w:t>
            </w:r>
            <w:r>
              <w:rPr>
                <w:rFonts w:hint="eastAsia" w:ascii="Times New Roman" w:hAnsi="Times New Roman" w:cs="Times New Roman"/>
                <w:color w:val="auto"/>
                <w:sz w:val="21"/>
                <w:szCs w:val="21"/>
                <w:highlight w:val="none"/>
                <w:lang w:val="en-US" w:eastAsia="zh-CN"/>
              </w:rPr>
              <w:t>对应</w:t>
            </w:r>
            <w:r>
              <w:rPr>
                <w:rFonts w:hint="default" w:ascii="Times New Roman" w:hAnsi="Times New Roman" w:eastAsia="宋体" w:cs="Times New Roman"/>
                <w:color w:val="auto"/>
                <w:sz w:val="21"/>
                <w:szCs w:val="21"/>
                <w:highlight w:val="none"/>
              </w:rPr>
              <w:t>产品的部署</w:t>
            </w:r>
            <w:r>
              <w:rPr>
                <w:rFonts w:hint="eastAsia" w:ascii="Times New Roman" w:hAnsi="Times New Roman" w:cs="Times New Roman"/>
                <w:color w:val="auto"/>
                <w:sz w:val="21"/>
                <w:szCs w:val="21"/>
                <w:highlight w:val="none"/>
                <w:lang w:val="en-US" w:eastAsia="zh-CN"/>
              </w:rPr>
              <w:t>集成</w:t>
            </w:r>
            <w:r>
              <w:rPr>
                <w:rFonts w:hint="default" w:ascii="Times New Roman" w:hAnsi="Times New Roman" w:eastAsia="宋体" w:cs="Times New Roman"/>
                <w:color w:val="auto"/>
                <w:sz w:val="21"/>
                <w:szCs w:val="21"/>
                <w:highlight w:val="none"/>
              </w:rPr>
              <w:t>工作，能独立解决部署过程中的相关问题</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能熟练完成对应产品的集成、调优和定制化开发工作。</w:t>
            </w:r>
          </w:p>
        </w:tc>
        <w:tc>
          <w:tcPr>
            <w:tcW w:w="2083" w:type="dxa"/>
            <w:tcBorders>
              <w:left w:val="single" w:color="auto" w:sz="4" w:space="0"/>
            </w:tcBorders>
            <w:vAlign w:val="center"/>
          </w:tcPr>
          <w:p w14:paraId="3779518B">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400" w:lineRule="exact"/>
              <w:ind w:firstLine="0" w:firstLineChars="0"/>
              <w:jc w:val="both"/>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需为产品提供商的原厂人员</w:t>
            </w:r>
            <w:r>
              <w:rPr>
                <w:rFonts w:hint="default" w:ascii="Times New Roman" w:hAnsi="Times New Roman" w:cs="Times New Roman"/>
                <w:color w:val="auto"/>
                <w:sz w:val="21"/>
                <w:szCs w:val="21"/>
                <w:highlight w:val="none"/>
                <w:lang w:val="en-US" w:eastAsia="zh-CN"/>
              </w:rPr>
              <w:t>（需提供相关证明）</w:t>
            </w:r>
            <w:r>
              <w:rPr>
                <w:rFonts w:hint="eastAsia" w:ascii="Times New Roman" w:hAnsi="Times New Roman" w:cs="Times New Roman"/>
                <w:color w:val="auto"/>
                <w:sz w:val="21"/>
                <w:szCs w:val="21"/>
                <w:highlight w:val="none"/>
                <w:lang w:val="en-US" w:eastAsia="zh-CN"/>
              </w:rPr>
              <w:t>，在产品成功上线试运行前需全程驻场，</w:t>
            </w:r>
            <w:r>
              <w:rPr>
                <w:rFonts w:hint="eastAsia" w:ascii="Times New Roman" w:hAnsi="Times New Roman" w:eastAsia="宋体" w:cs="Times New Roman"/>
                <w:color w:val="auto"/>
                <w:sz w:val="21"/>
                <w:szCs w:val="21"/>
                <w:highlight w:val="none"/>
                <w:lang w:val="en-US" w:eastAsia="zh-CN"/>
              </w:rPr>
              <w:t>其余阶段按比选人要求需阶段性进行现场支持。</w:t>
            </w:r>
          </w:p>
        </w:tc>
      </w:tr>
      <w:tr w14:paraId="39056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vAlign w:val="center"/>
          </w:tcPr>
          <w:p w14:paraId="0D06B21E">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snapToGrid w:val="0"/>
                <w:color w:val="auto"/>
                <w:kern w:val="0"/>
                <w:sz w:val="21"/>
                <w:szCs w:val="21"/>
                <w:highlight w:val="none"/>
                <w:lang w:val="en-US" w:eastAsia="zh-CN"/>
              </w:rPr>
            </w:pPr>
            <w:r>
              <w:rPr>
                <w:rFonts w:hint="default" w:ascii="Times New Roman" w:hAnsi="Times New Roman" w:eastAsia="宋体" w:cs="Times New Roman"/>
                <w:snapToGrid w:val="0"/>
                <w:color w:val="auto"/>
                <w:kern w:val="0"/>
                <w:sz w:val="21"/>
                <w:szCs w:val="21"/>
                <w:highlight w:val="none"/>
                <w:lang w:val="en-US" w:eastAsia="zh-CN"/>
              </w:rPr>
              <w:t>数据</w:t>
            </w:r>
            <w:r>
              <w:rPr>
                <w:rFonts w:hint="eastAsia" w:ascii="Times New Roman" w:hAnsi="Times New Roman" w:eastAsia="宋体" w:cs="Times New Roman"/>
                <w:snapToGrid w:val="0"/>
                <w:color w:val="auto"/>
                <w:kern w:val="0"/>
                <w:sz w:val="21"/>
                <w:szCs w:val="21"/>
                <w:highlight w:val="none"/>
                <w:lang w:val="en-US" w:eastAsia="zh-CN"/>
              </w:rPr>
              <w:t>开发</w:t>
            </w:r>
          </w:p>
          <w:p w14:paraId="4F669BC5">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snapToGrid w:val="0"/>
                <w:color w:val="auto"/>
                <w:kern w:val="0"/>
                <w:sz w:val="21"/>
                <w:szCs w:val="21"/>
                <w:highlight w:val="none"/>
                <w:lang w:val="en-US" w:eastAsia="zh-CN"/>
              </w:rPr>
            </w:pPr>
            <w:r>
              <w:rPr>
                <w:rFonts w:hint="default" w:ascii="Times New Roman" w:hAnsi="Times New Roman" w:eastAsia="宋体" w:cs="Times New Roman"/>
                <w:snapToGrid w:val="0"/>
                <w:color w:val="auto"/>
                <w:kern w:val="0"/>
                <w:sz w:val="21"/>
                <w:szCs w:val="21"/>
                <w:highlight w:val="none"/>
                <w:lang w:val="en-US" w:eastAsia="zh-CN"/>
              </w:rPr>
              <w:t>（至少1</w:t>
            </w:r>
            <w:r>
              <w:rPr>
                <w:rFonts w:hint="eastAsia" w:ascii="Times New Roman" w:hAnsi="Times New Roman" w:cs="Times New Roman"/>
                <w:snapToGrid w:val="0"/>
                <w:color w:val="auto"/>
                <w:kern w:val="0"/>
                <w:sz w:val="21"/>
                <w:szCs w:val="21"/>
                <w:highlight w:val="none"/>
                <w:lang w:val="en-US" w:eastAsia="zh-CN"/>
              </w:rPr>
              <w:t>2</w:t>
            </w:r>
            <w:r>
              <w:rPr>
                <w:rFonts w:hint="default" w:ascii="Times New Roman" w:hAnsi="Times New Roman" w:eastAsia="宋体" w:cs="Times New Roman"/>
                <w:snapToGrid w:val="0"/>
                <w:color w:val="auto"/>
                <w:kern w:val="0"/>
                <w:sz w:val="21"/>
                <w:szCs w:val="21"/>
                <w:highlight w:val="none"/>
                <w:lang w:val="en-US" w:eastAsia="zh-CN"/>
              </w:rPr>
              <w:t>人）</w:t>
            </w:r>
          </w:p>
        </w:tc>
        <w:tc>
          <w:tcPr>
            <w:tcW w:w="2106" w:type="dxa"/>
            <w:tcBorders>
              <w:left w:val="single" w:color="auto" w:sz="4" w:space="0"/>
            </w:tcBorders>
            <w:vAlign w:val="center"/>
          </w:tcPr>
          <w:p w14:paraId="2505B04B">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400" w:lineRule="exact"/>
              <w:ind w:firstLine="0" w:firstLineChars="0"/>
              <w:jc w:val="both"/>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负责数据中台项目的具体</w:t>
            </w:r>
            <w:r>
              <w:rPr>
                <w:rFonts w:hint="eastAsia" w:ascii="Times New Roman" w:hAnsi="Times New Roman" w:cs="Times New Roman"/>
                <w:color w:val="auto"/>
                <w:sz w:val="21"/>
                <w:szCs w:val="21"/>
                <w:highlight w:val="none"/>
                <w:lang w:val="en-US" w:eastAsia="zh-CN"/>
              </w:rPr>
              <w:t>实施</w:t>
            </w:r>
            <w:r>
              <w:rPr>
                <w:rFonts w:hint="default" w:ascii="Times New Roman" w:hAnsi="Times New Roman" w:eastAsia="宋体" w:cs="Times New Roman"/>
                <w:color w:val="auto"/>
                <w:sz w:val="21"/>
                <w:szCs w:val="21"/>
                <w:highlight w:val="none"/>
                <w:lang w:val="en-US" w:eastAsia="zh-CN"/>
              </w:rPr>
              <w:t>工作。</w:t>
            </w:r>
          </w:p>
        </w:tc>
        <w:tc>
          <w:tcPr>
            <w:tcW w:w="3515" w:type="dxa"/>
            <w:tcBorders>
              <w:left w:val="single" w:color="auto" w:sz="4" w:space="0"/>
            </w:tcBorders>
            <w:vAlign w:val="center"/>
          </w:tcPr>
          <w:p w14:paraId="1B820D8B">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400" w:lineRule="exact"/>
              <w:ind w:firstLine="0" w:firstLineChars="0"/>
              <w:jc w:val="both"/>
              <w:textAlignment w:val="auto"/>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具备5年</w:t>
            </w:r>
            <w:r>
              <w:rPr>
                <w:rFonts w:hint="eastAsia" w:ascii="Times New Roman" w:hAnsi="Times New Roman" w:cs="Times New Roman"/>
                <w:color w:val="auto"/>
                <w:sz w:val="21"/>
                <w:szCs w:val="21"/>
                <w:highlight w:val="none"/>
                <w:lang w:val="en-US" w:eastAsia="zh-CN"/>
              </w:rPr>
              <w:t>及</w:t>
            </w:r>
            <w:r>
              <w:rPr>
                <w:rFonts w:hint="default" w:ascii="Times New Roman" w:hAnsi="Times New Roman" w:eastAsia="宋体" w:cs="Times New Roman"/>
                <w:color w:val="auto"/>
                <w:sz w:val="21"/>
                <w:szCs w:val="21"/>
                <w:highlight w:val="none"/>
              </w:rPr>
              <w:t>以上银行业数据仓库、大数据平台、湖仓一体等基础数据类项目实施经验</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在系统研发、实施、上线等方面具备丰富经验；熟悉银行业务，熟悉基础数据平台类项目相关概念和建设过程，能够对应用架构、技术架构、数据架构以及相关系统集成等提出专业化建议，具有较强的性能分析、调优、异常排查能力；具有较好的沟通能力</w:t>
            </w:r>
            <w:r>
              <w:rPr>
                <w:rFonts w:hint="eastAsia" w:ascii="Times New Roman" w:hAnsi="Times New Roman" w:cs="Times New Roman"/>
                <w:color w:val="auto"/>
                <w:sz w:val="21"/>
                <w:szCs w:val="21"/>
                <w:highlight w:val="none"/>
                <w:lang w:eastAsia="zh-CN"/>
              </w:rPr>
              <w:t>。</w:t>
            </w:r>
          </w:p>
        </w:tc>
        <w:tc>
          <w:tcPr>
            <w:tcW w:w="2083" w:type="dxa"/>
            <w:tcBorders>
              <w:left w:val="single" w:color="auto" w:sz="4" w:space="0"/>
            </w:tcBorders>
            <w:vAlign w:val="center"/>
          </w:tcPr>
          <w:p w14:paraId="226213ED">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400" w:lineRule="exact"/>
              <w:ind w:firstLine="0" w:firstLineChars="0"/>
              <w:jc w:val="both"/>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开发人员应尽量保持稳定，</w:t>
            </w:r>
            <w:r>
              <w:rPr>
                <w:rFonts w:hint="eastAsia" w:ascii="Times New Roman" w:hAnsi="Times New Roman" w:cs="Times New Roman"/>
                <w:color w:val="auto"/>
                <w:sz w:val="21"/>
                <w:szCs w:val="21"/>
                <w:highlight w:val="none"/>
                <w:lang w:val="en-US" w:eastAsia="zh-CN"/>
              </w:rPr>
              <w:t>除非比选人要求，否则</w:t>
            </w:r>
            <w:r>
              <w:rPr>
                <w:rFonts w:hint="eastAsia" w:ascii="Times New Roman" w:hAnsi="Times New Roman" w:eastAsia="宋体" w:cs="Times New Roman"/>
                <w:color w:val="auto"/>
                <w:sz w:val="21"/>
                <w:szCs w:val="21"/>
                <w:highlight w:val="none"/>
                <w:lang w:val="en-US" w:eastAsia="zh-CN"/>
              </w:rPr>
              <w:t>中途更换人员比例不得超过</w:t>
            </w:r>
            <w:r>
              <w:rPr>
                <w:rFonts w:hint="eastAsia" w:ascii="Times New Roman" w:hAnsi="Times New Roman" w:cs="Times New Roman"/>
                <w:color w:val="auto"/>
                <w:sz w:val="21"/>
                <w:szCs w:val="21"/>
                <w:highlight w:val="none"/>
                <w:lang w:val="en-US" w:eastAsia="zh-CN"/>
              </w:rPr>
              <w:t>3</w:t>
            </w:r>
            <w:r>
              <w:rPr>
                <w:rFonts w:hint="eastAsia" w:ascii="Times New Roman" w:hAnsi="Times New Roman" w:eastAsia="宋体" w:cs="Times New Roman"/>
                <w:color w:val="auto"/>
                <w:sz w:val="21"/>
                <w:szCs w:val="21"/>
                <w:highlight w:val="none"/>
                <w:lang w:val="en-US" w:eastAsia="zh-CN"/>
              </w:rPr>
              <w:t>0%。</w:t>
            </w:r>
          </w:p>
        </w:tc>
      </w:tr>
      <w:tr w14:paraId="488D3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vAlign w:val="center"/>
          </w:tcPr>
          <w:p w14:paraId="06BB38E9">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400" w:lineRule="exact"/>
              <w:ind w:firstLine="0" w:firstLineChars="0"/>
              <w:jc w:val="center"/>
              <w:textAlignment w:val="auto"/>
              <w:rPr>
                <w:rFonts w:hint="eastAsia" w:ascii="Times New Roman" w:hAnsi="Times New Roman" w:cs="Times New Roman"/>
                <w:snapToGrid w:val="0"/>
                <w:color w:val="auto"/>
                <w:kern w:val="0"/>
                <w:sz w:val="21"/>
                <w:szCs w:val="21"/>
                <w:highlight w:val="none"/>
                <w:lang w:val="en-US" w:eastAsia="zh-CN"/>
              </w:rPr>
            </w:pPr>
            <w:r>
              <w:rPr>
                <w:rFonts w:hint="eastAsia" w:ascii="Times New Roman" w:hAnsi="Times New Roman" w:cs="Times New Roman"/>
                <w:snapToGrid w:val="0"/>
                <w:color w:val="auto"/>
                <w:kern w:val="0"/>
                <w:sz w:val="21"/>
                <w:szCs w:val="21"/>
                <w:highlight w:val="none"/>
                <w:lang w:val="en-US" w:eastAsia="zh-CN"/>
              </w:rPr>
              <w:t>测试人员</w:t>
            </w:r>
          </w:p>
          <w:p w14:paraId="7E0A8D33">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cs="Times New Roman"/>
                <w:snapToGrid w:val="0"/>
                <w:color w:val="auto"/>
                <w:kern w:val="0"/>
                <w:sz w:val="21"/>
                <w:szCs w:val="21"/>
                <w:highlight w:val="none"/>
                <w:lang w:val="en-US" w:eastAsia="zh-CN"/>
              </w:rPr>
            </w:pPr>
            <w:r>
              <w:rPr>
                <w:rFonts w:hint="eastAsia" w:ascii="Times New Roman" w:hAnsi="Times New Roman" w:cs="Times New Roman"/>
                <w:snapToGrid w:val="0"/>
                <w:color w:val="auto"/>
                <w:kern w:val="0"/>
                <w:sz w:val="21"/>
                <w:szCs w:val="21"/>
                <w:highlight w:val="none"/>
                <w:lang w:val="en-US" w:eastAsia="zh-CN"/>
              </w:rPr>
              <w:t>（至少2人）</w:t>
            </w:r>
          </w:p>
        </w:tc>
        <w:tc>
          <w:tcPr>
            <w:tcW w:w="2106" w:type="dxa"/>
            <w:tcBorders>
              <w:left w:val="single" w:color="auto" w:sz="4" w:space="0"/>
            </w:tcBorders>
            <w:vAlign w:val="center"/>
          </w:tcPr>
          <w:p w14:paraId="7ECD59E6">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400" w:lineRule="exact"/>
              <w:ind w:firstLine="0" w:firstLineChars="0"/>
              <w:jc w:val="both"/>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负责数据中台项目的各项系统、数据等测试工作。</w:t>
            </w:r>
          </w:p>
        </w:tc>
        <w:tc>
          <w:tcPr>
            <w:tcW w:w="3515" w:type="dxa"/>
            <w:tcBorders>
              <w:left w:val="single" w:color="auto" w:sz="4" w:space="0"/>
            </w:tcBorders>
            <w:vAlign w:val="center"/>
          </w:tcPr>
          <w:p w14:paraId="4030CCA5">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400" w:lineRule="exact"/>
              <w:ind w:firstLine="0" w:firstLineChars="0"/>
              <w:jc w:val="both"/>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具备5年</w:t>
            </w:r>
            <w:r>
              <w:rPr>
                <w:rFonts w:hint="eastAsia" w:ascii="Times New Roman" w:hAnsi="Times New Roman" w:cs="Times New Roman"/>
                <w:color w:val="auto"/>
                <w:sz w:val="21"/>
                <w:szCs w:val="21"/>
                <w:highlight w:val="none"/>
                <w:lang w:val="en-US" w:eastAsia="zh-CN"/>
              </w:rPr>
              <w:t>及</w:t>
            </w:r>
            <w:r>
              <w:rPr>
                <w:rFonts w:hint="default" w:ascii="Times New Roman" w:hAnsi="Times New Roman" w:eastAsia="宋体" w:cs="Times New Roman"/>
                <w:color w:val="auto"/>
                <w:sz w:val="21"/>
                <w:szCs w:val="21"/>
                <w:highlight w:val="none"/>
              </w:rPr>
              <w:t>以上银行业数据仓库、大数据平台、湖仓一体等</w:t>
            </w:r>
            <w:r>
              <w:rPr>
                <w:rFonts w:hint="eastAsia" w:ascii="Times New Roman" w:hAnsi="Times New Roman" w:cs="Times New Roman"/>
                <w:color w:val="auto"/>
                <w:sz w:val="21"/>
                <w:szCs w:val="21"/>
                <w:highlight w:val="none"/>
                <w:lang w:val="en-US" w:eastAsia="zh-CN"/>
              </w:rPr>
              <w:t>项目的测试经验；</w:t>
            </w:r>
            <w:r>
              <w:rPr>
                <w:rFonts w:hint="default" w:ascii="Times New Roman" w:hAnsi="Times New Roman" w:eastAsia="宋体" w:cs="Times New Roman"/>
                <w:color w:val="auto"/>
                <w:sz w:val="21"/>
                <w:szCs w:val="21"/>
                <w:highlight w:val="none"/>
              </w:rPr>
              <w:t>熟悉银行业务，熟悉基础数据平台类项目</w:t>
            </w:r>
            <w:r>
              <w:rPr>
                <w:rFonts w:hint="eastAsia" w:ascii="Times New Roman" w:hAnsi="Times New Roman" w:cs="Times New Roman"/>
                <w:color w:val="auto"/>
                <w:sz w:val="21"/>
                <w:szCs w:val="21"/>
                <w:highlight w:val="none"/>
                <w:lang w:val="en-US" w:eastAsia="zh-CN"/>
              </w:rPr>
              <w:t>的测试内容和测试流程；</w:t>
            </w:r>
            <w:r>
              <w:rPr>
                <w:rFonts w:hint="default" w:ascii="Times New Roman" w:hAnsi="Times New Roman" w:eastAsia="宋体" w:cs="Times New Roman"/>
                <w:color w:val="auto"/>
                <w:sz w:val="21"/>
                <w:szCs w:val="21"/>
                <w:highlight w:val="none"/>
              </w:rPr>
              <w:t>具有较好的沟通能力</w:t>
            </w:r>
            <w:r>
              <w:rPr>
                <w:rFonts w:hint="eastAsia" w:ascii="Times New Roman" w:hAnsi="Times New Roman" w:cs="Times New Roman"/>
                <w:color w:val="auto"/>
                <w:sz w:val="21"/>
                <w:szCs w:val="21"/>
                <w:highlight w:val="none"/>
                <w:lang w:eastAsia="zh-CN"/>
              </w:rPr>
              <w:t>。</w:t>
            </w:r>
          </w:p>
        </w:tc>
        <w:tc>
          <w:tcPr>
            <w:tcW w:w="2083" w:type="dxa"/>
            <w:tcBorders>
              <w:left w:val="single" w:color="auto" w:sz="4" w:space="0"/>
            </w:tcBorders>
            <w:vAlign w:val="center"/>
          </w:tcPr>
          <w:p w14:paraId="75055551">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400" w:lineRule="exact"/>
              <w:ind w:firstLine="0" w:firstLineChars="0"/>
              <w:jc w:val="both"/>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需全程驻场</w:t>
            </w:r>
            <w:r>
              <w:rPr>
                <w:rFonts w:hint="eastAsia" w:ascii="Times New Roman" w:hAnsi="Times New Roman" w:cs="Times New Roman"/>
                <w:color w:val="auto"/>
                <w:sz w:val="21"/>
                <w:szCs w:val="21"/>
                <w:highlight w:val="none"/>
                <w:lang w:val="en-US" w:eastAsia="zh-CN"/>
              </w:rPr>
              <w:t>，且非比选人要求中途不得随意更换。</w:t>
            </w:r>
          </w:p>
        </w:tc>
      </w:tr>
      <w:tr w14:paraId="0EB08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9" w:type="dxa"/>
            <w:gridSpan w:val="4"/>
            <w:vAlign w:val="center"/>
          </w:tcPr>
          <w:p w14:paraId="1CDD6510">
            <w:pPr>
              <w:keepNext w:val="0"/>
              <w:keepLines w:val="0"/>
              <w:pageBreakBefore w:val="0"/>
              <w:widowControl w:val="0"/>
              <w:pBdr>
                <w:top w:val="none" w:color="auto" w:sz="0" w:space="0"/>
                <w:left w:val="none" w:color="auto" w:sz="0" w:space="0"/>
                <w:bottom w:val="none" w:color="auto" w:sz="0" w:space="0"/>
                <w:right w:val="none" w:color="auto" w:sz="0" w:space="0"/>
              </w:pBdr>
              <w:tabs>
                <w:tab w:val="left" w:pos="3988"/>
              </w:tabs>
              <w:kinsoku/>
              <w:wordWrap/>
              <w:overflowPunct/>
              <w:topLinePunct w:val="0"/>
              <w:autoSpaceDE w:val="0"/>
              <w:autoSpaceDN w:val="0"/>
              <w:bidi w:val="0"/>
              <w:adjustRightInd/>
              <w:snapToGrid/>
              <w:spacing w:line="400" w:lineRule="exact"/>
              <w:ind w:firstLine="0" w:firstLineChars="0"/>
              <w:jc w:val="both"/>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b/>
                <w:bCs/>
                <w:color w:val="auto"/>
                <w:sz w:val="21"/>
                <w:szCs w:val="21"/>
                <w:highlight w:val="none"/>
                <w:lang w:val="en-US" w:eastAsia="zh-CN"/>
              </w:rPr>
              <w:t>注：</w:t>
            </w:r>
            <w:r>
              <w:rPr>
                <w:rFonts w:hint="eastAsia" w:ascii="Times New Roman" w:hAnsi="Times New Roman" w:cs="Times New Roman"/>
                <w:b w:val="0"/>
                <w:bCs w:val="0"/>
                <w:color w:val="auto"/>
                <w:sz w:val="21"/>
                <w:szCs w:val="21"/>
                <w:highlight w:val="none"/>
                <w:lang w:val="en-US" w:eastAsia="zh-CN"/>
              </w:rPr>
              <w:t>上述成员角</w:t>
            </w:r>
            <w:r>
              <w:rPr>
                <w:rFonts w:hint="eastAsia" w:ascii="Times New Roman" w:hAnsi="Times New Roman" w:cs="Times New Roman"/>
                <w:color w:val="auto"/>
                <w:sz w:val="21"/>
                <w:szCs w:val="21"/>
                <w:highlight w:val="none"/>
                <w:lang w:val="en-US" w:eastAsia="zh-CN"/>
              </w:rPr>
              <w:t>色和对应的人员数量为基本要求，参选人可根据自身情况增加成员角色和人员数量配备。</w:t>
            </w:r>
          </w:p>
        </w:tc>
      </w:tr>
    </w:tbl>
    <w:p w14:paraId="1DA873D7">
      <w:pPr>
        <w:pStyle w:val="43"/>
        <w:numPr>
          <w:ilvl w:val="0"/>
          <w:numId w:val="0"/>
        </w:numPr>
        <w:tabs>
          <w:tab w:val="left" w:pos="0"/>
        </w:tabs>
        <w:spacing w:before="0" w:after="0" w:line="600" w:lineRule="exact"/>
        <w:ind w:firstLine="480" w:firstLineChars="200"/>
        <w:rPr>
          <w:rFonts w:hint="default" w:ascii="Times New Roman" w:hAnsi="Times New Roman" w:cs="Times New Roman"/>
          <w:color w:val="auto"/>
          <w:szCs w:val="24"/>
          <w:highlight w:val="none"/>
          <w:shd w:val="clear" w:color="auto" w:fill="FFFFFF"/>
          <w:lang w:val="en-US" w:eastAsia="zh-CN"/>
        </w:rPr>
      </w:pPr>
      <w:r>
        <w:rPr>
          <w:rFonts w:hint="eastAsia" w:ascii="Times New Roman" w:hAnsi="Times New Roman" w:cs="Times New Roman"/>
          <w:color w:val="auto"/>
          <w:szCs w:val="24"/>
          <w:highlight w:val="none"/>
          <w:shd w:val="clear" w:color="auto" w:fill="FFFFFF"/>
          <w:lang w:val="en-US" w:eastAsia="zh-CN"/>
        </w:rPr>
        <w:t>（7）</w:t>
      </w:r>
      <w:r>
        <w:rPr>
          <w:rFonts w:hint="default" w:ascii="Times New Roman" w:hAnsi="Times New Roman" w:cs="Times New Roman"/>
          <w:color w:val="auto"/>
          <w:szCs w:val="24"/>
          <w:highlight w:val="none"/>
          <w:shd w:val="clear" w:color="auto" w:fill="FFFFFF"/>
          <w:lang w:val="en-US" w:eastAsia="zh-CN"/>
        </w:rPr>
        <w:t>项目组成员若有违约违规行为将由参选人承担责任</w:t>
      </w:r>
      <w:r>
        <w:rPr>
          <w:rFonts w:hint="eastAsia" w:ascii="Times New Roman" w:hAnsi="Times New Roman" w:cs="Times New Roman"/>
          <w:color w:val="auto"/>
          <w:szCs w:val="24"/>
          <w:highlight w:val="none"/>
          <w:shd w:val="clear" w:color="auto" w:fill="FFFFFF"/>
          <w:lang w:val="en-US" w:eastAsia="zh-CN"/>
        </w:rPr>
        <w:t>。</w:t>
      </w:r>
    </w:p>
    <w:p w14:paraId="0D5810A9">
      <w:pPr>
        <w:pStyle w:val="4"/>
        <w:keepNext w:val="0"/>
        <w:keepLines w:val="0"/>
        <w:pageBreakBefore w:val="0"/>
        <w:widowControl w:val="0"/>
        <w:numPr>
          <w:ilvl w:val="1"/>
          <w:numId w:val="15"/>
        </w:numPr>
        <w:tabs>
          <w:tab w:val="clear" w:pos="420"/>
        </w:tabs>
        <w:kinsoku/>
        <w:wordWrap/>
        <w:overflowPunct/>
        <w:topLinePunct w:val="0"/>
        <w:autoSpaceDE w:val="0"/>
        <w:autoSpaceDN w:val="0"/>
        <w:bidi w:val="0"/>
        <w:adjustRightInd/>
        <w:snapToGrid/>
        <w:ind w:left="0" w:leftChars="0" w:firstLine="482" w:firstLineChars="200"/>
        <w:textAlignment w:val="auto"/>
        <w:outlineLvl w:val="2"/>
        <w:rPr>
          <w:rFonts w:hint="default" w:ascii="Times New Roman" w:hAnsi="Times New Roman" w:cs="Times New Roman"/>
          <w:color w:val="auto"/>
          <w:highlight w:val="none"/>
          <w:lang w:val="en-US" w:eastAsia="zh-CN"/>
        </w:rPr>
      </w:pPr>
      <w:bookmarkStart w:id="58" w:name="_Toc15059418"/>
      <w:bookmarkStart w:id="59" w:name="_Toc89675144"/>
      <w:r>
        <w:rPr>
          <w:rFonts w:hint="eastAsia"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lang w:val="en-US" w:eastAsia="zh-CN"/>
        </w:rPr>
        <w:t>项目源代码要求</w:t>
      </w:r>
    </w:p>
    <w:p w14:paraId="1D668609">
      <w:pPr>
        <w:keepNext w:val="0"/>
        <w:keepLines w:val="0"/>
        <w:pageBreakBefore w:val="0"/>
        <w:widowControl w:val="0"/>
        <w:kinsoku/>
        <w:wordWrap/>
        <w:overflowPunct/>
        <w:topLinePunct w:val="0"/>
        <w:autoSpaceDE w:val="0"/>
        <w:autoSpaceDN w:val="0"/>
        <w:bidi w:val="0"/>
        <w:adjustRightInd/>
        <w:snapToGrid/>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的所有源代码，包括产品源代码、客户化源代码、系统平台源代码及第三方产品源代码，底层架构和通讯层的源代码，代码解析平台（若有）及源代码说明文档、源代码注释说明、基线版本号等相关内容，除确实无法获取源代码的第三方产品外，参选人应进行无保留的知识转移。客户化源代码的知识产权归比选人单独所有，其余部分归双方共有。针对共有部分，比选人拥有在比选人及其分支机构使用及后续开发的权利，参选人拥有在其公司和其他组织范围内使用的权利，但参选人使用时不得侵犯比选人利益。</w:t>
      </w:r>
    </w:p>
    <w:p w14:paraId="5A8FDE5A">
      <w:pPr>
        <w:pStyle w:val="4"/>
        <w:keepNext w:val="0"/>
        <w:keepLines w:val="0"/>
        <w:pageBreakBefore w:val="0"/>
        <w:widowControl w:val="0"/>
        <w:numPr>
          <w:ilvl w:val="1"/>
          <w:numId w:val="15"/>
        </w:numPr>
        <w:tabs>
          <w:tab w:val="clear" w:pos="420"/>
        </w:tabs>
        <w:kinsoku/>
        <w:wordWrap/>
        <w:overflowPunct/>
        <w:topLinePunct w:val="0"/>
        <w:autoSpaceDE w:val="0"/>
        <w:autoSpaceDN w:val="0"/>
        <w:bidi w:val="0"/>
        <w:adjustRightInd/>
        <w:snapToGrid/>
        <w:ind w:left="0" w:leftChars="0" w:firstLine="482" w:firstLineChars="200"/>
        <w:textAlignment w:val="auto"/>
        <w:outlineLvl w:val="2"/>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lang w:val="en-US" w:eastAsia="zh-CN"/>
        </w:rPr>
        <w:t>文档和培训</w:t>
      </w:r>
    </w:p>
    <w:p w14:paraId="20055CBE">
      <w:pPr>
        <w:pStyle w:val="5"/>
        <w:keepNext w:val="0"/>
        <w:keepLines w:val="0"/>
        <w:pageBreakBefore w:val="0"/>
        <w:widowControl w:val="0"/>
        <w:numPr>
          <w:ilvl w:val="0"/>
          <w:numId w:val="0"/>
        </w:numPr>
        <w:kinsoku/>
        <w:wordWrap/>
        <w:overflowPunct/>
        <w:topLinePunct w:val="0"/>
        <w:autoSpaceDE w:val="0"/>
        <w:autoSpaceDN w:val="0"/>
        <w:bidi w:val="0"/>
        <w:adjustRightInd/>
        <w:snapToGrid/>
        <w:ind w:leftChars="200"/>
        <w:textAlignment w:val="auto"/>
        <w:outlineLvl w:val="3"/>
        <w:rPr>
          <w:rFonts w:hint="default" w:ascii="Times New Roman" w:hAnsi="Times New Roman" w:cs="Times New Roman"/>
          <w:b/>
          <w:bCs w:val="0"/>
          <w:color w:val="auto"/>
          <w:highlight w:val="none"/>
          <w:lang w:val="en-US" w:eastAsia="zh-CN"/>
        </w:rPr>
      </w:pPr>
      <w:r>
        <w:rPr>
          <w:rFonts w:hint="eastAsia" w:ascii="Times New Roman" w:hAnsi="Times New Roman" w:cs="Times New Roman"/>
          <w:b/>
          <w:bCs w:val="0"/>
          <w:color w:val="auto"/>
          <w:highlight w:val="none"/>
          <w:lang w:val="en-US" w:eastAsia="zh-CN"/>
        </w:rPr>
        <w:t>2.6.1</w:t>
      </w:r>
      <w:r>
        <w:rPr>
          <w:rFonts w:hint="default" w:ascii="Times New Roman" w:hAnsi="Times New Roman" w:cs="Times New Roman"/>
          <w:b/>
          <w:bCs w:val="0"/>
          <w:color w:val="auto"/>
          <w:highlight w:val="none"/>
          <w:lang w:val="en-US" w:eastAsia="zh-CN"/>
        </w:rPr>
        <w:t xml:space="preserve"> 文档</w:t>
      </w:r>
    </w:p>
    <w:p w14:paraId="0B78EAFD">
      <w:pPr>
        <w:rPr>
          <w:rFonts w:hint="default" w:ascii="Times New Roman" w:hAnsi="Times New Roman" w:cs="Times New Roman"/>
          <w:b/>
          <w:bCs/>
          <w:color w:val="auto"/>
          <w:highlight w:val="none"/>
        </w:rPr>
      </w:pPr>
      <w:r>
        <w:rPr>
          <w:rFonts w:hint="eastAsia" w:ascii="Times New Roman" w:hAnsi="Times New Roman" w:cs="Times New Roman"/>
          <w:b/>
          <w:bCs/>
          <w:color w:val="auto"/>
          <w:highlight w:val="none"/>
          <w:lang w:eastAsia="zh-CN"/>
        </w:rPr>
        <w:t>（</w:t>
      </w:r>
      <w:r>
        <w:rPr>
          <w:rFonts w:hint="default" w:ascii="Times New Roman" w:hAnsi="Times New Roman" w:cs="Times New Roman"/>
          <w:b/>
          <w:bCs/>
          <w:color w:val="auto"/>
          <w:highlight w:val="none"/>
        </w:rPr>
        <w:t>1）文档范围</w:t>
      </w:r>
    </w:p>
    <w:p w14:paraId="48C136E6">
      <w:pPr>
        <w:rPr>
          <w:rFonts w:hint="default" w:ascii="Times New Roman" w:hAnsi="Times New Roman" w:cs="Times New Roman"/>
          <w:color w:val="auto"/>
          <w:highlight w:val="none"/>
        </w:rPr>
      </w:pPr>
      <w:r>
        <w:rPr>
          <w:rFonts w:hint="default" w:ascii="Times New Roman" w:hAnsi="Times New Roman" w:cs="Times New Roman"/>
          <w:color w:val="auto"/>
          <w:highlight w:val="none"/>
        </w:rPr>
        <w:t>包括</w:t>
      </w:r>
      <w:r>
        <w:rPr>
          <w:rFonts w:hint="eastAsia" w:ascii="Times New Roman" w:hAnsi="Times New Roman" w:cs="Times New Roman"/>
          <w:color w:val="auto"/>
          <w:highlight w:val="none"/>
          <w:lang w:val="en-US" w:eastAsia="zh-CN"/>
        </w:rPr>
        <w:t>参选</w:t>
      </w:r>
      <w:r>
        <w:rPr>
          <w:rFonts w:hint="default" w:ascii="Times New Roman" w:hAnsi="Times New Roman" w:cs="Times New Roman"/>
          <w:color w:val="auto"/>
          <w:highlight w:val="none"/>
        </w:rPr>
        <w:t>人收集整理的建设</w:t>
      </w:r>
      <w:r>
        <w:rPr>
          <w:rFonts w:hint="eastAsia" w:ascii="Times New Roman" w:hAnsi="Times New Roman" w:cs="Times New Roman"/>
          <w:color w:val="auto"/>
          <w:highlight w:val="none"/>
          <w:lang w:val="en-US" w:eastAsia="zh-CN"/>
        </w:rPr>
        <w:t>过程</w:t>
      </w:r>
      <w:r>
        <w:rPr>
          <w:rFonts w:hint="default" w:ascii="Times New Roman" w:hAnsi="Times New Roman" w:cs="Times New Roman"/>
          <w:color w:val="auto"/>
          <w:highlight w:val="none"/>
        </w:rPr>
        <w:t>中所形成的全部文字记载、录音和照片等，项目验收后由</w:t>
      </w:r>
      <w:r>
        <w:rPr>
          <w:rFonts w:hint="eastAsia" w:ascii="Times New Roman" w:hAnsi="Times New Roman" w:cs="Times New Roman"/>
          <w:color w:val="auto"/>
          <w:highlight w:val="none"/>
          <w:lang w:val="en-US" w:eastAsia="zh-CN"/>
        </w:rPr>
        <w:t>参选</w:t>
      </w:r>
      <w:r>
        <w:rPr>
          <w:rFonts w:hint="default" w:ascii="Times New Roman" w:hAnsi="Times New Roman" w:cs="Times New Roman"/>
          <w:color w:val="auto"/>
          <w:highlight w:val="none"/>
        </w:rPr>
        <w:t>人向比选人提供。</w:t>
      </w:r>
    </w:p>
    <w:p w14:paraId="59B3CB49">
      <w:pPr>
        <w:rPr>
          <w:rFonts w:hint="default" w:ascii="Times New Roman" w:hAnsi="Times New Roman" w:cs="Times New Roman"/>
          <w:b/>
          <w:bCs/>
          <w:color w:val="auto"/>
          <w:highlight w:val="none"/>
        </w:rPr>
      </w:pPr>
      <w:r>
        <w:rPr>
          <w:rFonts w:hint="eastAsia" w:ascii="Times New Roman" w:hAnsi="Times New Roman" w:cs="Times New Roman"/>
          <w:b/>
          <w:bCs/>
          <w:color w:val="auto"/>
          <w:highlight w:val="none"/>
          <w:lang w:eastAsia="zh-CN"/>
        </w:rPr>
        <w:t>（</w:t>
      </w:r>
      <w:r>
        <w:rPr>
          <w:rFonts w:hint="default" w:ascii="Times New Roman" w:hAnsi="Times New Roman" w:cs="Times New Roman"/>
          <w:b/>
          <w:bCs/>
          <w:color w:val="auto"/>
          <w:highlight w:val="none"/>
        </w:rPr>
        <w:t>2）文档内容</w:t>
      </w:r>
    </w:p>
    <w:p w14:paraId="639EF62A">
      <w:pPr>
        <w:rPr>
          <w:rFonts w:hint="default"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lang w:val="en-US" w:eastAsia="zh-CN"/>
        </w:rPr>
        <w:t>参选</w:t>
      </w:r>
      <w:r>
        <w:rPr>
          <w:rFonts w:hint="default" w:ascii="Times New Roman" w:hAnsi="Times New Roman" w:cs="Times New Roman"/>
          <w:color w:val="auto"/>
          <w:highlight w:val="none"/>
        </w:rPr>
        <w:t>人</w:t>
      </w:r>
      <w:r>
        <w:rPr>
          <w:rFonts w:hint="default" w:ascii="Times New Roman" w:hAnsi="Times New Roman" w:cs="Times New Roman"/>
          <w:color w:val="auto"/>
          <w:highlight w:val="none"/>
          <w:lang w:val="en-US" w:eastAsia="zh-CN"/>
        </w:rPr>
        <w:t>在项目各阶段需交付各类文档应包括但不限于：</w:t>
      </w:r>
    </w:p>
    <w:p w14:paraId="75D07098">
      <w:pPr>
        <w:keepNext w:val="0"/>
        <w:keepLines w:val="0"/>
        <w:pageBreakBefore w:val="0"/>
        <w:widowControl w:val="0"/>
        <w:numPr>
          <w:ilvl w:val="0"/>
          <w:numId w:val="16"/>
        </w:numPr>
        <w:kinsoku/>
        <w:wordWrap/>
        <w:overflowPunct/>
        <w:topLinePunct w:val="0"/>
        <w:autoSpaceDE w:val="0"/>
        <w:autoSpaceDN w:val="0"/>
        <w:bidi w:val="0"/>
        <w:adjustRightInd/>
        <w:snapToGrid/>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参选文件；</w:t>
      </w:r>
    </w:p>
    <w:p w14:paraId="4E7641EC">
      <w:pPr>
        <w:keepNext w:val="0"/>
        <w:keepLines w:val="0"/>
        <w:pageBreakBefore w:val="0"/>
        <w:widowControl w:val="0"/>
        <w:numPr>
          <w:ilvl w:val="0"/>
          <w:numId w:val="16"/>
        </w:numPr>
        <w:kinsoku/>
        <w:wordWrap/>
        <w:overflowPunct/>
        <w:topLinePunct w:val="0"/>
        <w:autoSpaceDE w:val="0"/>
        <w:autoSpaceDN w:val="0"/>
        <w:bidi w:val="0"/>
        <w:adjustRightInd/>
        <w:snapToGrid/>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各类调研分析报告；</w:t>
      </w:r>
    </w:p>
    <w:p w14:paraId="089C3987">
      <w:pPr>
        <w:keepNext w:val="0"/>
        <w:keepLines w:val="0"/>
        <w:pageBreakBefore w:val="0"/>
        <w:widowControl w:val="0"/>
        <w:numPr>
          <w:ilvl w:val="0"/>
          <w:numId w:val="16"/>
        </w:numPr>
        <w:kinsoku/>
        <w:wordWrap/>
        <w:overflowPunct/>
        <w:topLinePunct w:val="0"/>
        <w:autoSpaceDE w:val="0"/>
        <w:autoSpaceDN w:val="0"/>
        <w:bidi w:val="0"/>
        <w:adjustRightInd/>
        <w:snapToGrid/>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项目架构设计方案；</w:t>
      </w:r>
    </w:p>
    <w:p w14:paraId="3E664E51">
      <w:pPr>
        <w:keepNext w:val="0"/>
        <w:keepLines w:val="0"/>
        <w:pageBreakBefore w:val="0"/>
        <w:widowControl w:val="0"/>
        <w:numPr>
          <w:ilvl w:val="0"/>
          <w:numId w:val="16"/>
        </w:numPr>
        <w:kinsoku/>
        <w:wordWrap/>
        <w:overflowPunct/>
        <w:topLinePunct w:val="0"/>
        <w:autoSpaceDE w:val="0"/>
        <w:autoSpaceDN w:val="0"/>
        <w:bidi w:val="0"/>
        <w:adjustRightInd/>
        <w:snapToGrid/>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项目实施方案；</w:t>
      </w:r>
    </w:p>
    <w:p w14:paraId="188748F0">
      <w:pPr>
        <w:keepNext w:val="0"/>
        <w:keepLines w:val="0"/>
        <w:pageBreakBefore w:val="0"/>
        <w:widowControl w:val="0"/>
        <w:numPr>
          <w:ilvl w:val="0"/>
          <w:numId w:val="16"/>
        </w:numPr>
        <w:kinsoku/>
        <w:wordWrap/>
        <w:overflowPunct/>
        <w:topLinePunct w:val="0"/>
        <w:autoSpaceDE w:val="0"/>
        <w:autoSpaceDN w:val="0"/>
        <w:bidi w:val="0"/>
        <w:adjustRightInd/>
        <w:snapToGrid/>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各类规范、流程、标准、制度文件；</w:t>
      </w:r>
    </w:p>
    <w:p w14:paraId="0B38EBAC">
      <w:pPr>
        <w:keepNext w:val="0"/>
        <w:keepLines w:val="0"/>
        <w:pageBreakBefore w:val="0"/>
        <w:widowControl w:val="0"/>
        <w:numPr>
          <w:ilvl w:val="0"/>
          <w:numId w:val="16"/>
        </w:numPr>
        <w:kinsoku/>
        <w:wordWrap/>
        <w:overflowPunct/>
        <w:topLinePunct w:val="0"/>
        <w:autoSpaceDE w:val="0"/>
        <w:autoSpaceDN w:val="0"/>
        <w:bidi w:val="0"/>
        <w:adjustRightInd/>
        <w:snapToGrid/>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系统需求说明书；</w:t>
      </w:r>
    </w:p>
    <w:p w14:paraId="4A2CB0C0">
      <w:pPr>
        <w:keepNext w:val="0"/>
        <w:keepLines w:val="0"/>
        <w:pageBreakBefore w:val="0"/>
        <w:widowControl w:val="0"/>
        <w:numPr>
          <w:ilvl w:val="0"/>
          <w:numId w:val="16"/>
        </w:numPr>
        <w:kinsoku/>
        <w:wordWrap/>
        <w:overflowPunct/>
        <w:topLinePunct w:val="0"/>
        <w:autoSpaceDE w:val="0"/>
        <w:autoSpaceDN w:val="0"/>
        <w:bidi w:val="0"/>
        <w:adjustRightInd/>
        <w:snapToGrid/>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系统详细设计说明书；</w:t>
      </w:r>
    </w:p>
    <w:p w14:paraId="7CD16CD1">
      <w:pPr>
        <w:keepNext w:val="0"/>
        <w:keepLines w:val="0"/>
        <w:pageBreakBefore w:val="0"/>
        <w:widowControl w:val="0"/>
        <w:numPr>
          <w:ilvl w:val="0"/>
          <w:numId w:val="16"/>
        </w:numPr>
        <w:kinsoku/>
        <w:wordWrap/>
        <w:overflowPunct/>
        <w:topLinePunct w:val="0"/>
        <w:autoSpaceDE w:val="0"/>
        <w:autoSpaceDN w:val="0"/>
        <w:bidi w:val="0"/>
        <w:adjustRightInd/>
        <w:snapToGrid/>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系统源码；</w:t>
      </w:r>
    </w:p>
    <w:p w14:paraId="052BCDEA">
      <w:pPr>
        <w:keepNext w:val="0"/>
        <w:keepLines w:val="0"/>
        <w:pageBreakBefore w:val="0"/>
        <w:widowControl w:val="0"/>
        <w:numPr>
          <w:ilvl w:val="0"/>
          <w:numId w:val="16"/>
        </w:numPr>
        <w:kinsoku/>
        <w:wordWrap/>
        <w:overflowPunct/>
        <w:topLinePunct w:val="0"/>
        <w:autoSpaceDE w:val="0"/>
        <w:autoSpaceDN w:val="0"/>
        <w:bidi w:val="0"/>
        <w:adjustRightInd/>
        <w:snapToGrid/>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系统数据库设计说明书；</w:t>
      </w:r>
    </w:p>
    <w:p w14:paraId="79ACE8A0">
      <w:pPr>
        <w:keepNext w:val="0"/>
        <w:keepLines w:val="0"/>
        <w:pageBreakBefore w:val="0"/>
        <w:widowControl w:val="0"/>
        <w:numPr>
          <w:ilvl w:val="0"/>
          <w:numId w:val="16"/>
        </w:numPr>
        <w:kinsoku/>
        <w:wordWrap/>
        <w:overflowPunct/>
        <w:topLinePunct w:val="0"/>
        <w:autoSpaceDE w:val="0"/>
        <w:autoSpaceDN w:val="0"/>
        <w:bidi w:val="0"/>
        <w:adjustRightInd/>
        <w:snapToGrid/>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系统使用和操作说明书；</w:t>
      </w:r>
    </w:p>
    <w:p w14:paraId="46C91235">
      <w:pPr>
        <w:keepNext w:val="0"/>
        <w:keepLines w:val="0"/>
        <w:pageBreakBefore w:val="0"/>
        <w:widowControl w:val="0"/>
        <w:numPr>
          <w:ilvl w:val="0"/>
          <w:numId w:val="16"/>
        </w:numPr>
        <w:kinsoku/>
        <w:wordWrap/>
        <w:overflowPunct/>
        <w:topLinePunct w:val="0"/>
        <w:autoSpaceDE w:val="0"/>
        <w:autoSpaceDN w:val="0"/>
        <w:bidi w:val="0"/>
        <w:adjustRightInd/>
        <w:snapToGrid/>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系统（含子系统）测试案例、验收方案；</w:t>
      </w:r>
    </w:p>
    <w:p w14:paraId="1400FB44">
      <w:pPr>
        <w:keepNext w:val="0"/>
        <w:keepLines w:val="0"/>
        <w:pageBreakBefore w:val="0"/>
        <w:widowControl w:val="0"/>
        <w:numPr>
          <w:ilvl w:val="0"/>
          <w:numId w:val="16"/>
        </w:numPr>
        <w:kinsoku/>
        <w:wordWrap/>
        <w:overflowPunct/>
        <w:topLinePunct w:val="0"/>
        <w:autoSpaceDE w:val="0"/>
        <w:autoSpaceDN w:val="0"/>
        <w:bidi w:val="0"/>
        <w:adjustRightInd/>
        <w:snapToGrid/>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系统（含子系统）测试、验收报告；</w:t>
      </w:r>
    </w:p>
    <w:p w14:paraId="72430224">
      <w:pPr>
        <w:keepNext w:val="0"/>
        <w:keepLines w:val="0"/>
        <w:pageBreakBefore w:val="0"/>
        <w:widowControl w:val="0"/>
        <w:numPr>
          <w:ilvl w:val="0"/>
          <w:numId w:val="16"/>
        </w:numPr>
        <w:kinsoku/>
        <w:wordWrap/>
        <w:overflowPunct/>
        <w:topLinePunct w:val="0"/>
        <w:autoSpaceDE w:val="0"/>
        <w:autoSpaceDN w:val="0"/>
        <w:bidi w:val="0"/>
        <w:adjustRightInd/>
        <w:snapToGrid/>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项目上线方案；</w:t>
      </w:r>
    </w:p>
    <w:p w14:paraId="178A1246">
      <w:pPr>
        <w:keepNext w:val="0"/>
        <w:keepLines w:val="0"/>
        <w:pageBreakBefore w:val="0"/>
        <w:widowControl w:val="0"/>
        <w:numPr>
          <w:ilvl w:val="0"/>
          <w:numId w:val="16"/>
        </w:numPr>
        <w:kinsoku/>
        <w:wordWrap/>
        <w:overflowPunct/>
        <w:topLinePunct w:val="0"/>
        <w:autoSpaceDE w:val="0"/>
        <w:autoSpaceDN w:val="0"/>
        <w:bidi w:val="0"/>
        <w:adjustRightInd/>
        <w:snapToGrid/>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上线回退方案；</w:t>
      </w:r>
    </w:p>
    <w:p w14:paraId="096667A3">
      <w:pPr>
        <w:keepNext w:val="0"/>
        <w:keepLines w:val="0"/>
        <w:pageBreakBefore w:val="0"/>
        <w:widowControl w:val="0"/>
        <w:numPr>
          <w:ilvl w:val="0"/>
          <w:numId w:val="16"/>
        </w:numPr>
        <w:kinsoku/>
        <w:wordWrap/>
        <w:overflowPunct/>
        <w:topLinePunct w:val="0"/>
        <w:autoSpaceDE w:val="0"/>
        <w:autoSpaceDN w:val="0"/>
        <w:bidi w:val="0"/>
        <w:adjustRightInd/>
        <w:snapToGrid/>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应急处置预案；</w:t>
      </w:r>
    </w:p>
    <w:p w14:paraId="051F86B5">
      <w:pPr>
        <w:keepNext w:val="0"/>
        <w:keepLines w:val="0"/>
        <w:pageBreakBefore w:val="0"/>
        <w:widowControl w:val="0"/>
        <w:numPr>
          <w:ilvl w:val="0"/>
          <w:numId w:val="16"/>
        </w:numPr>
        <w:kinsoku/>
        <w:wordWrap/>
        <w:overflowPunct/>
        <w:topLinePunct w:val="0"/>
        <w:autoSpaceDE w:val="0"/>
        <w:autoSpaceDN w:val="0"/>
        <w:bidi w:val="0"/>
        <w:adjustRightInd/>
        <w:snapToGrid/>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系统试运行方案；</w:t>
      </w:r>
    </w:p>
    <w:p w14:paraId="34C1E716">
      <w:pPr>
        <w:keepNext w:val="0"/>
        <w:keepLines w:val="0"/>
        <w:pageBreakBefore w:val="0"/>
        <w:widowControl w:val="0"/>
        <w:numPr>
          <w:ilvl w:val="0"/>
          <w:numId w:val="16"/>
        </w:numPr>
        <w:kinsoku/>
        <w:wordWrap/>
        <w:overflowPunct/>
        <w:topLinePunct w:val="0"/>
        <w:autoSpaceDE w:val="0"/>
        <w:autoSpaceDN w:val="0"/>
        <w:bidi w:val="0"/>
        <w:adjustRightInd/>
        <w:snapToGrid/>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系统</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试</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运行报告；</w:t>
      </w:r>
    </w:p>
    <w:p w14:paraId="7C9C9643">
      <w:pPr>
        <w:keepNext w:val="0"/>
        <w:keepLines w:val="0"/>
        <w:pageBreakBefore w:val="0"/>
        <w:widowControl w:val="0"/>
        <w:numPr>
          <w:ilvl w:val="0"/>
          <w:numId w:val="16"/>
        </w:numPr>
        <w:kinsoku/>
        <w:wordWrap/>
        <w:overflowPunct/>
        <w:topLinePunct w:val="0"/>
        <w:autoSpaceDE w:val="0"/>
        <w:autoSpaceDN w:val="0"/>
        <w:bidi w:val="0"/>
        <w:adjustRightInd/>
        <w:snapToGrid/>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运行维护手册；</w:t>
      </w:r>
    </w:p>
    <w:p w14:paraId="4281C8A0">
      <w:pPr>
        <w:keepNext w:val="0"/>
        <w:keepLines w:val="0"/>
        <w:pageBreakBefore w:val="0"/>
        <w:widowControl w:val="0"/>
        <w:numPr>
          <w:ilvl w:val="0"/>
          <w:numId w:val="16"/>
        </w:numPr>
        <w:kinsoku/>
        <w:wordWrap/>
        <w:overflowPunct/>
        <w:topLinePunct w:val="0"/>
        <w:autoSpaceDE w:val="0"/>
        <w:autoSpaceDN w:val="0"/>
        <w:bidi w:val="0"/>
        <w:adjustRightInd/>
        <w:snapToGrid/>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系统建设的详细工程日志；</w:t>
      </w:r>
    </w:p>
    <w:p w14:paraId="6015CEDA">
      <w:pPr>
        <w:keepNext w:val="0"/>
        <w:keepLines w:val="0"/>
        <w:pageBreakBefore w:val="0"/>
        <w:widowControl w:val="0"/>
        <w:numPr>
          <w:ilvl w:val="0"/>
          <w:numId w:val="16"/>
        </w:numPr>
        <w:kinsoku/>
        <w:wordWrap/>
        <w:overflowPunct/>
        <w:topLinePunct w:val="0"/>
        <w:autoSpaceDE w:val="0"/>
        <w:autoSpaceDN w:val="0"/>
        <w:bidi w:val="0"/>
        <w:adjustRightInd/>
        <w:snapToGrid/>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系统运行质量评估报告；</w:t>
      </w:r>
    </w:p>
    <w:p w14:paraId="5031F3F7">
      <w:pPr>
        <w:keepNext w:val="0"/>
        <w:keepLines w:val="0"/>
        <w:pageBreakBefore w:val="0"/>
        <w:widowControl w:val="0"/>
        <w:numPr>
          <w:ilvl w:val="0"/>
          <w:numId w:val="16"/>
        </w:numPr>
        <w:kinsoku/>
        <w:wordWrap/>
        <w:overflowPunct/>
        <w:topLinePunct w:val="0"/>
        <w:autoSpaceDE w:val="0"/>
        <w:autoSpaceDN w:val="0"/>
        <w:bidi w:val="0"/>
        <w:adjustRightInd/>
        <w:snapToGrid/>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系统变更和补充的相关文件、协议、录音、照片等。</w:t>
      </w:r>
    </w:p>
    <w:p w14:paraId="331C9048">
      <w:pPr>
        <w:rPr>
          <w:rFonts w:hint="default" w:ascii="Times New Roman" w:hAnsi="Times New Roman" w:cs="Times New Roman"/>
          <w:b/>
          <w:bCs/>
          <w:color w:val="auto"/>
          <w:highlight w:val="none"/>
        </w:rPr>
      </w:pPr>
      <w:r>
        <w:rPr>
          <w:rFonts w:hint="eastAsia" w:ascii="Times New Roman" w:hAnsi="Times New Roman" w:cs="Times New Roman"/>
          <w:b/>
          <w:bCs/>
          <w:color w:val="auto"/>
          <w:highlight w:val="none"/>
          <w:lang w:eastAsia="zh-CN"/>
        </w:rPr>
        <w:t>（</w:t>
      </w:r>
      <w:r>
        <w:rPr>
          <w:rFonts w:hint="default" w:ascii="Times New Roman" w:hAnsi="Times New Roman" w:cs="Times New Roman"/>
          <w:b/>
          <w:bCs/>
          <w:color w:val="auto"/>
          <w:highlight w:val="none"/>
        </w:rPr>
        <w:t>3）</w:t>
      </w:r>
      <w:r>
        <w:rPr>
          <w:rFonts w:hint="eastAsia" w:ascii="Times New Roman" w:hAnsi="Times New Roman" w:cs="Times New Roman"/>
          <w:b/>
          <w:bCs/>
          <w:color w:val="auto"/>
          <w:highlight w:val="none"/>
          <w:lang w:val="en-US" w:eastAsia="zh-CN"/>
        </w:rPr>
        <w:t>文档</w:t>
      </w:r>
      <w:r>
        <w:rPr>
          <w:rFonts w:hint="default" w:ascii="Times New Roman" w:hAnsi="Times New Roman" w:cs="Times New Roman"/>
          <w:b/>
          <w:bCs/>
          <w:color w:val="auto"/>
          <w:highlight w:val="none"/>
        </w:rPr>
        <w:t>要求</w:t>
      </w:r>
    </w:p>
    <w:p w14:paraId="310032AB">
      <w:pPr>
        <w:rPr>
          <w:rFonts w:hint="default" w:ascii="Times New Roman" w:hAnsi="Times New Roman" w:cs="Times New Roman"/>
          <w:color w:val="auto"/>
          <w:highlight w:val="none"/>
        </w:rPr>
      </w:pPr>
      <w:r>
        <w:rPr>
          <w:rFonts w:hint="default" w:ascii="Times New Roman" w:hAnsi="Times New Roman" w:cs="Times New Roman"/>
          <w:color w:val="auto"/>
          <w:highlight w:val="none"/>
        </w:rPr>
        <w:t>参选人提供的文档要保持完整性和准确性。所有文档都采用简体中文（第三方产品出厂文件除外）。</w:t>
      </w:r>
    </w:p>
    <w:p w14:paraId="41C49C62">
      <w:pPr>
        <w:pStyle w:val="5"/>
        <w:keepNext w:val="0"/>
        <w:keepLines w:val="0"/>
        <w:pageBreakBefore w:val="0"/>
        <w:widowControl w:val="0"/>
        <w:kinsoku/>
        <w:wordWrap/>
        <w:overflowPunct/>
        <w:topLinePunct w:val="0"/>
        <w:autoSpaceDE w:val="0"/>
        <w:autoSpaceDN w:val="0"/>
        <w:bidi w:val="0"/>
        <w:adjustRightInd/>
        <w:snapToGrid/>
        <w:spacing w:beforeAutospacing="0" w:afterAutospacing="0"/>
        <w:textAlignment w:val="auto"/>
        <w:outlineLvl w:val="3"/>
        <w:rPr>
          <w:rFonts w:hint="default" w:ascii="Times New Roman" w:hAnsi="Times New Roman" w:cs="Times New Roman"/>
          <w:b/>
          <w:bCs w:val="0"/>
          <w:color w:val="auto"/>
          <w:highlight w:val="none"/>
          <w:lang w:val="en-US" w:eastAsia="zh-CN"/>
        </w:rPr>
      </w:pPr>
      <w:r>
        <w:rPr>
          <w:rFonts w:hint="eastAsia" w:ascii="Times New Roman" w:hAnsi="Times New Roman" w:cs="Times New Roman"/>
          <w:b/>
          <w:bCs w:val="0"/>
          <w:color w:val="auto"/>
          <w:highlight w:val="none"/>
          <w:lang w:val="en-US" w:eastAsia="zh-CN"/>
        </w:rPr>
        <w:t>2.6</w:t>
      </w:r>
      <w:r>
        <w:rPr>
          <w:rFonts w:hint="default" w:ascii="Times New Roman" w:hAnsi="Times New Roman" w:cs="Times New Roman"/>
          <w:b/>
          <w:bCs w:val="0"/>
          <w:color w:val="auto"/>
          <w:highlight w:val="none"/>
          <w:lang w:val="en-US" w:eastAsia="zh-CN"/>
        </w:rPr>
        <w:t>.2 培训</w:t>
      </w:r>
    </w:p>
    <w:p w14:paraId="59FA724F">
      <w:pPr>
        <w:pStyle w:val="10"/>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lang w:val="en-US" w:eastAsia="zh-CN"/>
        </w:rPr>
        <w:t>项目实施周期内，</w:t>
      </w:r>
      <w:r>
        <w:rPr>
          <w:rFonts w:hint="eastAsia" w:ascii="Times New Roman" w:hAnsi="Times New Roman" w:cs="Times New Roman"/>
          <w:color w:val="auto"/>
          <w:highlight w:val="none"/>
          <w:lang w:val="en-US" w:eastAsia="zh-CN"/>
        </w:rPr>
        <w:t>参选</w:t>
      </w:r>
      <w:r>
        <w:rPr>
          <w:rFonts w:hint="default" w:ascii="Times New Roman" w:hAnsi="Times New Roman" w:cs="Times New Roman"/>
          <w:color w:val="auto"/>
          <w:highlight w:val="none"/>
        </w:rPr>
        <w:t>人</w:t>
      </w:r>
      <w:r>
        <w:rPr>
          <w:rFonts w:hint="default" w:ascii="Times New Roman" w:hAnsi="Times New Roman" w:cs="Times New Roman"/>
          <w:color w:val="auto"/>
          <w:szCs w:val="24"/>
          <w:highlight w:val="none"/>
          <w:lang w:val="en-US" w:eastAsia="zh-CN"/>
        </w:rPr>
        <w:t>需完成包含业务、管理、技术和运维等相关培训和知识转移，按照比选人项目实施要求免费提供包括但不限于项目文档、平台规范、帮助文档、运维文档、开发规范文档、用户使用手册等文档</w:t>
      </w:r>
      <w:r>
        <w:rPr>
          <w:rFonts w:hint="eastAsia" w:ascii="Times New Roman" w:hAnsi="Times New Roman" w:cs="Times New Roman"/>
          <w:color w:val="auto"/>
          <w:szCs w:val="24"/>
          <w:highlight w:val="none"/>
          <w:lang w:val="en-US" w:eastAsia="zh-CN"/>
        </w:rPr>
        <w:t>。参选人需</w:t>
      </w:r>
      <w:r>
        <w:rPr>
          <w:rFonts w:hint="default" w:ascii="Times New Roman" w:hAnsi="Times New Roman" w:cs="Times New Roman"/>
          <w:color w:val="auto"/>
          <w:szCs w:val="24"/>
          <w:highlight w:val="none"/>
          <w:lang w:val="en-US" w:eastAsia="zh-CN"/>
        </w:rPr>
        <w:t>组织相关内容的学习培训完成知识转移</w:t>
      </w:r>
      <w:r>
        <w:rPr>
          <w:rFonts w:hint="eastAsia" w:ascii="Times New Roman" w:hAnsi="Times New Roman" w:cs="Times New Roman"/>
          <w:color w:val="auto"/>
          <w:szCs w:val="24"/>
          <w:highlight w:val="none"/>
          <w:lang w:val="en-US" w:eastAsia="zh-CN"/>
        </w:rPr>
        <w:t>，包括但不限于</w:t>
      </w:r>
      <w:r>
        <w:rPr>
          <w:rFonts w:hint="eastAsia"/>
          <w:color w:val="auto"/>
          <w:highlight w:val="none"/>
          <w:lang w:val="en-US" w:eastAsia="zh-CN"/>
        </w:rPr>
        <w:t>数据架构培训、湖仓技术组件使用及调优培训等，培训方式包括线下培训和线上课程培训</w:t>
      </w:r>
      <w:r>
        <w:rPr>
          <w:rFonts w:hint="default" w:ascii="Times New Roman" w:hAnsi="Times New Roman" w:cs="Times New Roman"/>
          <w:color w:val="auto"/>
          <w:szCs w:val="24"/>
          <w:highlight w:val="none"/>
          <w:lang w:val="en-US" w:eastAsia="zh-CN"/>
        </w:rPr>
        <w:t>。</w:t>
      </w:r>
      <w:r>
        <w:rPr>
          <w:rFonts w:hint="eastAsia" w:ascii="Times New Roman" w:hAnsi="Times New Roman" w:cs="Times New Roman"/>
          <w:color w:val="auto"/>
          <w:szCs w:val="24"/>
          <w:highlight w:val="none"/>
          <w:lang w:val="en-US" w:eastAsia="zh-CN"/>
        </w:rPr>
        <w:t>参选人在项目实施和免费维保期间，需开展不少于50个小时线下培训，且</w:t>
      </w:r>
      <w:r>
        <w:rPr>
          <w:rFonts w:hint="default" w:ascii="Times New Roman" w:hAnsi="Times New Roman" w:cs="Times New Roman"/>
          <w:color w:val="auto"/>
          <w:szCs w:val="24"/>
          <w:highlight w:val="none"/>
        </w:rPr>
        <w:t>培训完成后至少应达到以下效果：</w:t>
      </w:r>
    </w:p>
    <w:p w14:paraId="2E291BC8">
      <w:pPr>
        <w:pStyle w:val="10"/>
        <w:rPr>
          <w:rFonts w:hint="default" w:ascii="Times New Roman" w:hAnsi="Times New Roman" w:cs="Times New Roman"/>
          <w:color w:val="auto"/>
          <w:szCs w:val="24"/>
          <w:highlight w:val="none"/>
          <w:lang w:val="en-US" w:eastAsia="zh-CN"/>
        </w:rPr>
      </w:pPr>
      <w:r>
        <w:rPr>
          <w:rFonts w:hint="eastAsia" w:ascii="Times New Roman" w:hAnsi="Times New Roman" w:cs="Times New Roman"/>
          <w:color w:val="auto"/>
          <w:szCs w:val="24"/>
          <w:highlight w:val="none"/>
          <w:lang w:val="en-US" w:eastAsia="zh-CN"/>
        </w:rPr>
        <w:t>（1）</w:t>
      </w:r>
      <w:r>
        <w:rPr>
          <w:rFonts w:hint="default" w:ascii="Times New Roman" w:hAnsi="Times New Roman" w:cs="Times New Roman"/>
          <w:color w:val="auto"/>
          <w:szCs w:val="24"/>
          <w:highlight w:val="none"/>
          <w:lang w:val="en-US" w:eastAsia="zh-CN"/>
        </w:rPr>
        <w:t>项目管理人员：熟悉平台服务功能特点，熟练利用平台完成相关管理工作；</w:t>
      </w:r>
    </w:p>
    <w:p w14:paraId="60A94B00">
      <w:pPr>
        <w:pStyle w:val="43"/>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0" w:beforeAutospacing="0" w:after="0" w:afterAutospacing="0" w:line="600" w:lineRule="exact"/>
        <w:ind w:firstLine="480" w:firstLineChars="200"/>
        <w:textAlignment w:val="auto"/>
        <w:rPr>
          <w:rFonts w:hint="default" w:ascii="Times New Roman" w:hAnsi="Times New Roman" w:cs="Times New Roman"/>
          <w:color w:val="auto"/>
          <w:szCs w:val="24"/>
          <w:highlight w:val="none"/>
        </w:rPr>
      </w:pPr>
      <w:r>
        <w:rPr>
          <w:rFonts w:hint="eastAsia" w:ascii="Times New Roman" w:hAnsi="Times New Roman" w:cs="Times New Roman"/>
          <w:color w:val="auto"/>
          <w:szCs w:val="24"/>
          <w:highlight w:val="none"/>
          <w:lang w:eastAsia="zh-CN"/>
        </w:rPr>
        <w:t>（</w:t>
      </w:r>
      <w:r>
        <w:rPr>
          <w:rFonts w:hint="eastAsia" w:ascii="Times New Roman" w:hAnsi="Times New Roman" w:cs="Times New Roman"/>
          <w:color w:val="auto"/>
          <w:szCs w:val="24"/>
          <w:highlight w:val="none"/>
          <w:lang w:val="en-US" w:eastAsia="zh-CN"/>
        </w:rPr>
        <w:t>2</w:t>
      </w:r>
      <w:r>
        <w:rPr>
          <w:rFonts w:hint="eastAsia" w:ascii="Times New Roman" w:hAnsi="Times New Roman" w:cs="Times New Roman"/>
          <w:color w:val="auto"/>
          <w:szCs w:val="24"/>
          <w:highlight w:val="none"/>
          <w:lang w:eastAsia="zh-CN"/>
        </w:rPr>
        <w:t>）</w:t>
      </w:r>
      <w:r>
        <w:rPr>
          <w:rFonts w:hint="default" w:ascii="Times New Roman" w:hAnsi="Times New Roman" w:cs="Times New Roman"/>
          <w:color w:val="auto"/>
          <w:szCs w:val="24"/>
          <w:highlight w:val="none"/>
        </w:rPr>
        <w:t>运维</w:t>
      </w:r>
      <w:r>
        <w:rPr>
          <w:rFonts w:hint="default" w:ascii="Times New Roman" w:hAnsi="Times New Roman" w:cs="Times New Roman"/>
          <w:color w:val="auto"/>
          <w:szCs w:val="24"/>
          <w:highlight w:val="none"/>
          <w:lang w:val="en-US" w:eastAsia="zh-CN"/>
        </w:rPr>
        <w:t>运营</w:t>
      </w:r>
      <w:r>
        <w:rPr>
          <w:rFonts w:hint="default" w:ascii="Times New Roman" w:hAnsi="Times New Roman" w:cs="Times New Roman"/>
          <w:color w:val="auto"/>
          <w:szCs w:val="24"/>
          <w:highlight w:val="none"/>
        </w:rPr>
        <w:t>人员</w:t>
      </w:r>
      <w:r>
        <w:rPr>
          <w:rFonts w:hint="default" w:ascii="Times New Roman" w:hAnsi="Times New Roman" w:cs="Times New Roman"/>
          <w:color w:val="auto"/>
          <w:szCs w:val="24"/>
          <w:highlight w:val="none"/>
          <w:lang w:eastAsia="zh-CN"/>
        </w:rPr>
        <w:t>：</w:t>
      </w:r>
      <w:r>
        <w:rPr>
          <w:rFonts w:hint="default" w:ascii="Times New Roman" w:hAnsi="Times New Roman" w:cs="Times New Roman"/>
          <w:color w:val="auto"/>
          <w:szCs w:val="24"/>
          <w:highlight w:val="none"/>
        </w:rPr>
        <w:t>了解平台</w:t>
      </w:r>
      <w:r>
        <w:rPr>
          <w:rFonts w:hint="default" w:ascii="Times New Roman" w:hAnsi="Times New Roman" w:cs="Times New Roman"/>
          <w:color w:val="auto"/>
          <w:szCs w:val="24"/>
          <w:highlight w:val="none"/>
          <w:lang w:val="en-US" w:eastAsia="zh-CN"/>
        </w:rPr>
        <w:t>服务</w:t>
      </w:r>
      <w:r>
        <w:rPr>
          <w:rFonts w:hint="default" w:ascii="Times New Roman" w:hAnsi="Times New Roman" w:cs="Times New Roman"/>
          <w:color w:val="auto"/>
          <w:szCs w:val="24"/>
          <w:highlight w:val="none"/>
        </w:rPr>
        <w:t>架构，熟练查看系统日志，定位解决问题</w:t>
      </w:r>
      <w:r>
        <w:rPr>
          <w:rFonts w:hint="default" w:ascii="Times New Roman" w:hAnsi="Times New Roman" w:cs="Times New Roman"/>
          <w:color w:val="auto"/>
          <w:szCs w:val="24"/>
          <w:highlight w:val="none"/>
          <w:lang w:val="en-US" w:eastAsia="zh-CN"/>
        </w:rPr>
        <w:t>的方法，熟悉平台日常运营运维过程中的操作和监控要点</w:t>
      </w:r>
      <w:r>
        <w:rPr>
          <w:rFonts w:hint="default" w:ascii="Times New Roman" w:hAnsi="Times New Roman" w:cs="Times New Roman"/>
          <w:color w:val="auto"/>
          <w:szCs w:val="24"/>
          <w:highlight w:val="none"/>
        </w:rPr>
        <w:t>；</w:t>
      </w:r>
    </w:p>
    <w:p w14:paraId="4E63536D">
      <w:pPr>
        <w:pStyle w:val="43"/>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0" w:beforeAutospacing="0" w:after="0" w:afterAutospacing="0" w:line="600" w:lineRule="exact"/>
        <w:ind w:firstLine="480" w:firstLineChars="200"/>
        <w:textAlignment w:val="auto"/>
        <w:rPr>
          <w:rFonts w:hint="default" w:ascii="Times New Roman" w:hAnsi="Times New Roman" w:cs="Times New Roman"/>
          <w:color w:val="auto"/>
          <w:szCs w:val="24"/>
          <w:highlight w:val="none"/>
          <w:lang w:val="en-US" w:eastAsia="zh-CN"/>
        </w:rPr>
      </w:pPr>
      <w:r>
        <w:rPr>
          <w:rFonts w:hint="eastAsia" w:ascii="Times New Roman" w:hAnsi="Times New Roman" w:cs="Times New Roman"/>
          <w:color w:val="auto"/>
          <w:szCs w:val="24"/>
          <w:highlight w:val="none"/>
          <w:lang w:val="en-US" w:eastAsia="zh-CN"/>
        </w:rPr>
        <w:t>（3）</w:t>
      </w:r>
      <w:r>
        <w:rPr>
          <w:rFonts w:hint="default" w:ascii="Times New Roman" w:hAnsi="Times New Roman" w:cs="Times New Roman"/>
          <w:color w:val="auto"/>
          <w:szCs w:val="24"/>
          <w:highlight w:val="none"/>
          <w:lang w:val="en-US" w:eastAsia="zh-CN"/>
        </w:rPr>
        <w:t>开发人员：了解熟悉平台架构，熟悉各底层模块并具备对接适配的能力。</w:t>
      </w:r>
    </w:p>
    <w:p w14:paraId="4112C9C0">
      <w:pPr>
        <w:pStyle w:val="43"/>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0" w:beforeAutospacing="0" w:after="0" w:afterAutospacing="0" w:line="600" w:lineRule="exact"/>
        <w:ind w:firstLine="480" w:firstLineChars="200"/>
        <w:textAlignment w:val="auto"/>
        <w:rPr>
          <w:rFonts w:hint="default" w:ascii="Times New Roman" w:hAnsi="Times New Roman" w:cs="Times New Roman"/>
          <w:color w:val="auto"/>
          <w:szCs w:val="24"/>
          <w:highlight w:val="none"/>
          <w:lang w:val="en-US" w:eastAsia="zh-CN"/>
        </w:rPr>
      </w:pPr>
      <w:r>
        <w:rPr>
          <w:rFonts w:hint="eastAsia" w:ascii="Times New Roman" w:hAnsi="Times New Roman" w:cs="Times New Roman"/>
          <w:color w:val="auto"/>
          <w:szCs w:val="24"/>
          <w:highlight w:val="none"/>
          <w:lang w:val="en-US" w:eastAsia="zh-CN"/>
        </w:rPr>
        <w:t>【提供培训方案】</w:t>
      </w:r>
    </w:p>
    <w:p w14:paraId="778CC0A2">
      <w:pPr>
        <w:pStyle w:val="4"/>
        <w:keepNext w:val="0"/>
        <w:keepLines w:val="0"/>
        <w:pageBreakBefore w:val="0"/>
        <w:widowControl w:val="0"/>
        <w:numPr>
          <w:ilvl w:val="1"/>
          <w:numId w:val="15"/>
        </w:numPr>
        <w:tabs>
          <w:tab w:val="clear" w:pos="420"/>
        </w:tabs>
        <w:kinsoku/>
        <w:wordWrap/>
        <w:overflowPunct/>
        <w:topLinePunct w:val="0"/>
        <w:autoSpaceDE w:val="0"/>
        <w:autoSpaceDN w:val="0"/>
        <w:bidi w:val="0"/>
        <w:adjustRightInd/>
        <w:snapToGrid/>
        <w:ind w:left="0" w:leftChars="0" w:firstLine="482" w:firstLineChars="200"/>
        <w:textAlignment w:val="auto"/>
        <w:outlineLvl w:val="2"/>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lang w:val="en-US" w:eastAsia="zh-CN"/>
        </w:rPr>
        <w:t>交付周期、地点</w:t>
      </w:r>
      <w:bookmarkEnd w:id="58"/>
      <w:bookmarkEnd w:id="59"/>
    </w:p>
    <w:p w14:paraId="7870449E">
      <w:pPr>
        <w:pStyle w:val="5"/>
        <w:keepNext w:val="0"/>
        <w:keepLines w:val="0"/>
        <w:pageBreakBefore w:val="0"/>
        <w:widowControl w:val="0"/>
        <w:kinsoku/>
        <w:wordWrap/>
        <w:overflowPunct/>
        <w:topLinePunct w:val="0"/>
        <w:autoSpaceDE w:val="0"/>
        <w:autoSpaceDN w:val="0"/>
        <w:bidi w:val="0"/>
        <w:adjustRightInd/>
        <w:snapToGrid/>
        <w:spacing w:beforeAutospacing="0" w:afterAutospacing="0"/>
        <w:ind w:firstLine="482" w:firstLineChars="200"/>
        <w:textAlignment w:val="auto"/>
        <w:outlineLvl w:val="3"/>
        <w:rPr>
          <w:rFonts w:hint="default" w:ascii="Times New Roman" w:hAnsi="Times New Roman" w:cs="Times New Roman"/>
          <w:b/>
          <w:bCs w:val="0"/>
          <w:color w:val="auto"/>
          <w:highlight w:val="none"/>
          <w:lang w:val="en-US" w:eastAsia="zh-CN"/>
        </w:rPr>
      </w:pPr>
      <w:bookmarkStart w:id="60" w:name="_Toc89675146"/>
      <w:bookmarkStart w:id="61" w:name="_Toc15059420"/>
      <w:bookmarkStart w:id="62" w:name="_Toc432254881"/>
      <w:bookmarkStart w:id="63" w:name="_Toc1125"/>
      <w:bookmarkStart w:id="64" w:name="_Toc440628915"/>
      <w:bookmarkStart w:id="65" w:name="_Toc387826347"/>
      <w:r>
        <w:rPr>
          <w:rFonts w:hint="eastAsia" w:ascii="Times New Roman" w:hAnsi="Times New Roman" w:cs="Times New Roman"/>
          <w:b/>
          <w:bCs w:val="0"/>
          <w:color w:val="auto"/>
          <w:highlight w:val="none"/>
          <w:lang w:val="en-US" w:eastAsia="zh-CN"/>
        </w:rPr>
        <w:t>2.7.1</w:t>
      </w:r>
      <w:r>
        <w:rPr>
          <w:rFonts w:hint="default" w:ascii="Times New Roman" w:hAnsi="Times New Roman" w:cs="Times New Roman"/>
          <w:b/>
          <w:bCs w:val="0"/>
          <w:color w:val="auto"/>
          <w:highlight w:val="none"/>
          <w:lang w:val="en-US" w:eastAsia="zh-CN"/>
        </w:rPr>
        <w:t xml:space="preserve"> 交付时间</w:t>
      </w:r>
    </w:p>
    <w:p w14:paraId="1EF249EA">
      <w:pPr>
        <w:rPr>
          <w:rFonts w:hint="default" w:ascii="Times New Roman" w:hAnsi="Times New Roman" w:cs="Times New Roman"/>
          <w:color w:val="auto"/>
          <w:highlight w:val="none"/>
        </w:rPr>
      </w:pPr>
      <w:r>
        <w:rPr>
          <w:rFonts w:hint="default" w:ascii="Times New Roman" w:hAnsi="Times New Roman" w:cs="Times New Roman"/>
          <w:color w:val="auto"/>
          <w:highlight w:val="none"/>
        </w:rPr>
        <w:t>比选人指定时间，以项目合同为准。</w:t>
      </w:r>
    </w:p>
    <w:p w14:paraId="1C46763D">
      <w:pPr>
        <w:pStyle w:val="5"/>
        <w:keepNext w:val="0"/>
        <w:keepLines w:val="0"/>
        <w:pageBreakBefore w:val="0"/>
        <w:widowControl w:val="0"/>
        <w:kinsoku/>
        <w:wordWrap/>
        <w:overflowPunct/>
        <w:topLinePunct w:val="0"/>
        <w:autoSpaceDE w:val="0"/>
        <w:autoSpaceDN w:val="0"/>
        <w:bidi w:val="0"/>
        <w:adjustRightInd/>
        <w:snapToGrid/>
        <w:spacing w:beforeAutospacing="0" w:afterAutospacing="0"/>
        <w:ind w:firstLine="482" w:firstLineChars="200"/>
        <w:textAlignment w:val="auto"/>
        <w:outlineLvl w:val="3"/>
        <w:rPr>
          <w:rFonts w:hint="default" w:ascii="Times New Roman" w:hAnsi="Times New Roman" w:cs="Times New Roman"/>
          <w:b/>
          <w:bCs w:val="0"/>
          <w:color w:val="auto"/>
          <w:highlight w:val="none"/>
          <w:lang w:val="en-US" w:eastAsia="zh-CN"/>
        </w:rPr>
      </w:pPr>
      <w:r>
        <w:rPr>
          <w:rFonts w:hint="eastAsia" w:ascii="Times New Roman" w:hAnsi="Times New Roman" w:cs="Times New Roman"/>
          <w:b/>
          <w:bCs w:val="0"/>
          <w:color w:val="auto"/>
          <w:highlight w:val="none"/>
          <w:lang w:val="en-US" w:eastAsia="zh-CN"/>
        </w:rPr>
        <w:t>2.7.2</w:t>
      </w:r>
      <w:r>
        <w:rPr>
          <w:rFonts w:hint="default" w:ascii="Times New Roman" w:hAnsi="Times New Roman" w:cs="Times New Roman"/>
          <w:b/>
          <w:bCs w:val="0"/>
          <w:color w:val="auto"/>
          <w:highlight w:val="none"/>
          <w:lang w:val="en-US" w:eastAsia="zh-CN"/>
        </w:rPr>
        <w:t xml:space="preserve"> 实施及交付地点</w:t>
      </w:r>
    </w:p>
    <w:p w14:paraId="72869C37">
      <w:pPr>
        <w:rPr>
          <w:rFonts w:hint="default" w:ascii="Times New Roman" w:hAnsi="Times New Roman" w:cs="Times New Roman"/>
          <w:color w:val="auto"/>
          <w:highlight w:val="none"/>
        </w:rPr>
      </w:pPr>
      <w:r>
        <w:rPr>
          <w:rFonts w:hint="default" w:ascii="Times New Roman" w:hAnsi="Times New Roman" w:cs="Times New Roman"/>
          <w:color w:val="auto"/>
          <w:highlight w:val="none"/>
        </w:rPr>
        <w:t>比选人指定地点，具体以项目合同为准。</w:t>
      </w:r>
    </w:p>
    <w:p w14:paraId="6522F477">
      <w:pPr>
        <w:pStyle w:val="4"/>
        <w:keepNext w:val="0"/>
        <w:keepLines w:val="0"/>
        <w:pageBreakBefore w:val="0"/>
        <w:widowControl w:val="0"/>
        <w:numPr>
          <w:ilvl w:val="1"/>
          <w:numId w:val="15"/>
        </w:numPr>
        <w:tabs>
          <w:tab w:val="clear" w:pos="420"/>
        </w:tabs>
        <w:kinsoku/>
        <w:wordWrap/>
        <w:overflowPunct/>
        <w:topLinePunct w:val="0"/>
        <w:autoSpaceDE w:val="0"/>
        <w:autoSpaceDN w:val="0"/>
        <w:bidi w:val="0"/>
        <w:adjustRightInd/>
        <w:snapToGrid/>
        <w:ind w:left="0" w:leftChars="0" w:firstLine="482" w:firstLineChars="200"/>
        <w:textAlignment w:val="auto"/>
        <w:outlineLvl w:val="2"/>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lang w:val="en-US" w:eastAsia="zh-CN"/>
        </w:rPr>
        <w:t>项目验收</w:t>
      </w:r>
    </w:p>
    <w:p w14:paraId="107DCE46">
      <w:pPr>
        <w:pStyle w:val="5"/>
        <w:keepNext w:val="0"/>
        <w:keepLines w:val="0"/>
        <w:pageBreakBefore w:val="0"/>
        <w:widowControl w:val="0"/>
        <w:kinsoku/>
        <w:wordWrap/>
        <w:overflowPunct/>
        <w:topLinePunct w:val="0"/>
        <w:autoSpaceDE w:val="0"/>
        <w:autoSpaceDN w:val="0"/>
        <w:bidi w:val="0"/>
        <w:adjustRightInd/>
        <w:snapToGrid/>
        <w:spacing w:beforeAutospacing="0" w:afterAutospacing="0"/>
        <w:ind w:firstLine="482" w:firstLineChars="200"/>
        <w:textAlignment w:val="auto"/>
        <w:outlineLvl w:val="3"/>
        <w:rPr>
          <w:rFonts w:hint="default" w:ascii="Times New Roman" w:hAnsi="Times New Roman" w:cs="Times New Roman"/>
          <w:b/>
          <w:bCs w:val="0"/>
          <w:color w:val="auto"/>
          <w:highlight w:val="none"/>
          <w:lang w:val="en-US" w:eastAsia="zh-CN"/>
        </w:rPr>
      </w:pPr>
      <w:r>
        <w:rPr>
          <w:rFonts w:hint="eastAsia" w:ascii="Times New Roman" w:hAnsi="Times New Roman" w:cs="Times New Roman"/>
          <w:b/>
          <w:bCs w:val="0"/>
          <w:color w:val="auto"/>
          <w:highlight w:val="none"/>
          <w:lang w:val="en-US" w:eastAsia="zh-CN"/>
        </w:rPr>
        <w:t>2.8.1</w:t>
      </w:r>
      <w:r>
        <w:rPr>
          <w:rFonts w:hint="default" w:ascii="Times New Roman" w:hAnsi="Times New Roman" w:cs="Times New Roman"/>
          <w:b/>
          <w:bCs w:val="0"/>
          <w:color w:val="auto"/>
          <w:highlight w:val="none"/>
          <w:lang w:val="en-US" w:eastAsia="zh-CN"/>
        </w:rPr>
        <w:t xml:space="preserve"> 项目验收的范围</w:t>
      </w:r>
    </w:p>
    <w:p w14:paraId="5CD78544">
      <w:pP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项目验收</w:t>
      </w:r>
      <w:r>
        <w:rPr>
          <w:rFonts w:hint="default" w:ascii="Times New Roman" w:hAnsi="Times New Roman" w:cs="Times New Roman"/>
          <w:color w:val="auto"/>
          <w:highlight w:val="none"/>
        </w:rPr>
        <w:t>的范围为项目实施完毕</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上线前最终确认的所有需求。</w:t>
      </w:r>
    </w:p>
    <w:p w14:paraId="6969D84A">
      <w:pPr>
        <w:pStyle w:val="5"/>
        <w:keepNext w:val="0"/>
        <w:keepLines w:val="0"/>
        <w:pageBreakBefore w:val="0"/>
        <w:widowControl w:val="0"/>
        <w:kinsoku/>
        <w:wordWrap/>
        <w:overflowPunct/>
        <w:topLinePunct w:val="0"/>
        <w:autoSpaceDE w:val="0"/>
        <w:autoSpaceDN w:val="0"/>
        <w:bidi w:val="0"/>
        <w:adjustRightInd/>
        <w:snapToGrid/>
        <w:spacing w:beforeAutospacing="0" w:afterAutospacing="0"/>
        <w:ind w:firstLine="482" w:firstLineChars="200"/>
        <w:textAlignment w:val="auto"/>
        <w:outlineLvl w:val="3"/>
        <w:rPr>
          <w:rFonts w:hint="default" w:ascii="Times New Roman" w:hAnsi="Times New Roman" w:cs="Times New Roman"/>
          <w:b/>
          <w:bCs w:val="0"/>
          <w:color w:val="auto"/>
          <w:highlight w:val="none"/>
          <w:lang w:val="en-US" w:eastAsia="zh-CN"/>
        </w:rPr>
      </w:pPr>
      <w:r>
        <w:rPr>
          <w:rFonts w:hint="eastAsia" w:ascii="Times New Roman" w:hAnsi="Times New Roman" w:cs="Times New Roman"/>
          <w:b/>
          <w:bCs w:val="0"/>
          <w:color w:val="auto"/>
          <w:highlight w:val="none"/>
          <w:lang w:val="en-US" w:eastAsia="zh-CN"/>
        </w:rPr>
        <w:t>2.8.2</w:t>
      </w:r>
      <w:r>
        <w:rPr>
          <w:rFonts w:hint="default" w:ascii="Times New Roman" w:hAnsi="Times New Roman" w:cs="Times New Roman"/>
          <w:b/>
          <w:bCs w:val="0"/>
          <w:color w:val="auto"/>
          <w:highlight w:val="none"/>
          <w:lang w:val="en-US" w:eastAsia="zh-CN"/>
        </w:rPr>
        <w:t xml:space="preserve"> 项目验收的组织</w:t>
      </w:r>
    </w:p>
    <w:p w14:paraId="396BFEAE">
      <w:pPr>
        <w:rPr>
          <w:rFonts w:hint="default" w:ascii="Times New Roman" w:hAnsi="Times New Roman" w:eastAsia="宋体" w:cs="Times New Roman"/>
          <w:color w:val="auto"/>
          <w:highlight w:val="none"/>
          <w:lang w:eastAsia="zh-CN"/>
        </w:rPr>
      </w:pP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1）</w:t>
      </w:r>
      <w:r>
        <w:rPr>
          <w:rFonts w:hint="default" w:ascii="Times New Roman" w:hAnsi="Times New Roman" w:cs="Times New Roman"/>
          <w:color w:val="auto"/>
          <w:highlight w:val="none"/>
          <w:lang w:val="en-US" w:eastAsia="zh-CN"/>
        </w:rPr>
        <w:t>项目验收</w:t>
      </w:r>
      <w:r>
        <w:rPr>
          <w:rFonts w:hint="default" w:ascii="Times New Roman" w:hAnsi="Times New Roman" w:cs="Times New Roman"/>
          <w:color w:val="auto"/>
          <w:highlight w:val="none"/>
        </w:rPr>
        <w:t>小组由比选人有关人员组成，负责对项目建设进行验收</w:t>
      </w:r>
      <w:r>
        <w:rPr>
          <w:rFonts w:hint="default" w:ascii="Times New Roman" w:hAnsi="Times New Roman" w:cs="Times New Roman"/>
          <w:color w:val="auto"/>
          <w:highlight w:val="none"/>
          <w:lang w:eastAsia="zh-CN"/>
        </w:rPr>
        <w:t>；</w:t>
      </w:r>
    </w:p>
    <w:p w14:paraId="2D4034B3">
      <w:pPr>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rPr>
        <w:t>）在</w:t>
      </w:r>
      <w:r>
        <w:rPr>
          <w:rFonts w:hint="default" w:ascii="Times New Roman" w:hAnsi="Times New Roman" w:cs="Times New Roman"/>
          <w:color w:val="auto"/>
          <w:highlight w:val="none"/>
          <w:lang w:val="en-US" w:eastAsia="zh-CN"/>
        </w:rPr>
        <w:t>项目验收</w:t>
      </w:r>
      <w:r>
        <w:rPr>
          <w:rFonts w:hint="default" w:ascii="Times New Roman" w:hAnsi="Times New Roman" w:cs="Times New Roman"/>
          <w:color w:val="auto"/>
          <w:highlight w:val="none"/>
        </w:rPr>
        <w:t>过程中，出现严重缺陷或质量问题时，验收小组可以决定暂停所有</w:t>
      </w:r>
      <w:r>
        <w:rPr>
          <w:rFonts w:hint="eastAsia" w:ascii="Times New Roman" w:hAnsi="Times New Roman" w:cs="Times New Roman"/>
          <w:color w:val="auto"/>
          <w:highlight w:val="none"/>
          <w:lang w:val="en-US" w:eastAsia="zh-CN"/>
        </w:rPr>
        <w:t>验收</w:t>
      </w:r>
      <w:r>
        <w:rPr>
          <w:rFonts w:hint="default" w:ascii="Times New Roman" w:hAnsi="Times New Roman" w:cs="Times New Roman"/>
          <w:color w:val="auto"/>
          <w:highlight w:val="none"/>
        </w:rPr>
        <w:t>，直至缺陷和问题得到纠正。</w:t>
      </w:r>
    </w:p>
    <w:p w14:paraId="2D8650A5">
      <w:pPr>
        <w:pStyle w:val="5"/>
        <w:keepNext w:val="0"/>
        <w:keepLines w:val="0"/>
        <w:pageBreakBefore w:val="0"/>
        <w:widowControl w:val="0"/>
        <w:kinsoku/>
        <w:wordWrap/>
        <w:overflowPunct/>
        <w:topLinePunct w:val="0"/>
        <w:autoSpaceDE w:val="0"/>
        <w:autoSpaceDN w:val="0"/>
        <w:bidi w:val="0"/>
        <w:adjustRightInd/>
        <w:snapToGrid/>
        <w:spacing w:beforeAutospacing="0" w:afterAutospacing="0"/>
        <w:ind w:firstLine="482" w:firstLineChars="200"/>
        <w:textAlignment w:val="auto"/>
        <w:outlineLvl w:val="3"/>
        <w:rPr>
          <w:rFonts w:hint="default" w:ascii="Times New Roman" w:hAnsi="Times New Roman" w:cs="Times New Roman"/>
          <w:b/>
          <w:bCs w:val="0"/>
          <w:color w:val="auto"/>
          <w:highlight w:val="none"/>
          <w:lang w:val="en-US" w:eastAsia="zh-CN"/>
        </w:rPr>
      </w:pPr>
      <w:r>
        <w:rPr>
          <w:rFonts w:hint="eastAsia" w:ascii="Times New Roman" w:hAnsi="Times New Roman" w:cs="Times New Roman"/>
          <w:b/>
          <w:bCs w:val="0"/>
          <w:color w:val="auto"/>
          <w:highlight w:val="none"/>
          <w:lang w:val="en-US" w:eastAsia="zh-CN"/>
        </w:rPr>
        <w:t>2.8.3</w:t>
      </w:r>
      <w:r>
        <w:rPr>
          <w:rFonts w:hint="default" w:ascii="Times New Roman" w:hAnsi="Times New Roman" w:cs="Times New Roman"/>
          <w:b/>
          <w:bCs w:val="0"/>
          <w:color w:val="auto"/>
          <w:highlight w:val="none"/>
          <w:lang w:val="en-US" w:eastAsia="zh-CN"/>
        </w:rPr>
        <w:t xml:space="preserve"> 项目验收的程序</w:t>
      </w:r>
    </w:p>
    <w:p w14:paraId="0A092FB0">
      <w:pPr>
        <w:rPr>
          <w:rFonts w:hint="default" w:ascii="Times New Roman" w:hAnsi="Times New Roman" w:cs="Times New Roman"/>
          <w:color w:val="auto"/>
          <w:highlight w:val="none"/>
        </w:rPr>
      </w:pP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1）对各功能模块进行测试；</w:t>
      </w:r>
    </w:p>
    <w:p w14:paraId="07EC8E3F">
      <w:pPr>
        <w:rPr>
          <w:rFonts w:hint="default" w:ascii="Times New Roman" w:hAnsi="Times New Roman" w:cs="Times New Roman"/>
          <w:color w:val="auto"/>
          <w:highlight w:val="none"/>
        </w:rPr>
      </w:pP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2）在各功能模块测试合格的前提下，进行全面初验；</w:t>
      </w:r>
    </w:p>
    <w:p w14:paraId="6E9F85AE">
      <w:pPr>
        <w:rPr>
          <w:rFonts w:hint="default" w:ascii="Times New Roman" w:hAnsi="Times New Roman" w:cs="Times New Roman"/>
          <w:color w:val="auto"/>
          <w:highlight w:val="none"/>
        </w:rPr>
      </w:pP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3）验收测试合格后，进入试运行阶段；</w:t>
      </w:r>
    </w:p>
    <w:p w14:paraId="2661DB18">
      <w:pPr>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）在全行上线</w:t>
      </w:r>
      <w:r>
        <w:rPr>
          <w:rFonts w:hint="default" w:ascii="Times New Roman" w:hAnsi="Times New Roman" w:cs="Times New Roman"/>
          <w:color w:val="auto"/>
          <w:highlight w:val="none"/>
          <w:lang w:val="en-US" w:eastAsia="zh-CN"/>
        </w:rPr>
        <w:t>试</w:t>
      </w:r>
      <w:r>
        <w:rPr>
          <w:rFonts w:hint="default" w:ascii="Times New Roman" w:hAnsi="Times New Roman" w:cs="Times New Roman"/>
          <w:color w:val="auto"/>
          <w:highlight w:val="none"/>
        </w:rPr>
        <w:t>运行</w:t>
      </w:r>
      <w:r>
        <w:rPr>
          <w:rFonts w:hint="default" w:ascii="Times New Roman" w:hAnsi="Times New Roman" w:cs="Times New Roman"/>
          <w:color w:val="auto"/>
          <w:highlight w:val="none"/>
          <w:lang w:val="en-US" w:eastAsia="zh-CN"/>
        </w:rPr>
        <w:t>六</w:t>
      </w:r>
      <w:r>
        <w:rPr>
          <w:rFonts w:hint="default" w:ascii="Times New Roman" w:hAnsi="Times New Roman" w:cs="Times New Roman"/>
          <w:color w:val="auto"/>
          <w:highlight w:val="none"/>
        </w:rPr>
        <w:t>个月后，进行验收。</w:t>
      </w:r>
    </w:p>
    <w:p w14:paraId="4012FB80">
      <w:pPr>
        <w:pStyle w:val="5"/>
        <w:keepNext w:val="0"/>
        <w:keepLines w:val="0"/>
        <w:pageBreakBefore w:val="0"/>
        <w:widowControl w:val="0"/>
        <w:kinsoku/>
        <w:wordWrap/>
        <w:overflowPunct/>
        <w:topLinePunct w:val="0"/>
        <w:autoSpaceDE w:val="0"/>
        <w:autoSpaceDN w:val="0"/>
        <w:bidi w:val="0"/>
        <w:adjustRightInd/>
        <w:snapToGrid/>
        <w:spacing w:beforeAutospacing="0" w:afterAutospacing="0"/>
        <w:ind w:firstLine="482" w:firstLineChars="200"/>
        <w:textAlignment w:val="auto"/>
        <w:outlineLvl w:val="3"/>
        <w:rPr>
          <w:rFonts w:hint="default" w:ascii="Times New Roman" w:hAnsi="Times New Roman" w:cs="Times New Roman"/>
          <w:b/>
          <w:bCs w:val="0"/>
          <w:color w:val="auto"/>
          <w:highlight w:val="none"/>
          <w:lang w:val="en-US" w:eastAsia="zh-CN"/>
        </w:rPr>
      </w:pPr>
      <w:r>
        <w:rPr>
          <w:rFonts w:hint="eastAsia" w:ascii="Times New Roman" w:hAnsi="Times New Roman" w:cs="Times New Roman"/>
          <w:b/>
          <w:bCs w:val="0"/>
          <w:color w:val="auto"/>
          <w:highlight w:val="none"/>
          <w:lang w:val="en-US" w:eastAsia="zh-CN"/>
        </w:rPr>
        <w:t>2.8</w:t>
      </w:r>
      <w:r>
        <w:rPr>
          <w:rFonts w:hint="default" w:ascii="Times New Roman" w:hAnsi="Times New Roman" w:cs="Times New Roman"/>
          <w:b/>
          <w:bCs w:val="0"/>
          <w:color w:val="auto"/>
          <w:highlight w:val="none"/>
          <w:lang w:val="en-US" w:eastAsia="zh-CN"/>
        </w:rPr>
        <w:t>.4 项目验收的评定</w:t>
      </w:r>
    </w:p>
    <w:p w14:paraId="35BFA755">
      <w:pP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项目验收标准与评定参照</w:t>
      </w:r>
      <w:r>
        <w:rPr>
          <w:rFonts w:hint="eastAsia" w:ascii="Times New Roman" w:hAnsi="Times New Roman" w:cs="Times New Roman"/>
          <w:color w:val="auto"/>
          <w:highlight w:val="none"/>
          <w:lang w:val="en-US" w:eastAsia="zh-CN"/>
        </w:rPr>
        <w:t>本章</w:t>
      </w:r>
      <w:r>
        <w:rPr>
          <w:rFonts w:hint="default" w:ascii="Times New Roman" w:hAnsi="Times New Roman" w:cs="Times New Roman"/>
          <w:color w:val="auto"/>
          <w:highlight w:val="none"/>
          <w:lang w:val="en-US" w:eastAsia="zh-CN"/>
        </w:rPr>
        <w:t>附件</w:t>
      </w:r>
      <w:r>
        <w:rPr>
          <w:rFonts w:hint="eastAsia" w:ascii="Times New Roman" w:hAnsi="Times New Roman" w:cs="Times New Roman"/>
          <w:color w:val="auto"/>
          <w:highlight w:val="none"/>
          <w:lang w:val="en-US" w:eastAsia="zh-CN"/>
        </w:rPr>
        <w:t>三“</w:t>
      </w:r>
      <w:r>
        <w:rPr>
          <w:rFonts w:hint="default" w:ascii="Times New Roman" w:hAnsi="Times New Roman" w:cs="Times New Roman"/>
          <w:color w:val="auto"/>
          <w:highlight w:val="none"/>
          <w:lang w:val="en-US" w:eastAsia="zh-CN"/>
        </w:rPr>
        <w:t>新一代数据中台项目</w:t>
      </w:r>
      <w:r>
        <w:rPr>
          <w:rFonts w:hint="eastAsia" w:ascii="Times New Roman" w:hAnsi="Times New Roman" w:cs="Times New Roman"/>
          <w:color w:val="auto"/>
          <w:highlight w:val="none"/>
          <w:lang w:val="en-US" w:eastAsia="zh-CN"/>
        </w:rPr>
        <w:t>（一期）</w:t>
      </w:r>
      <w:r>
        <w:rPr>
          <w:rFonts w:hint="default" w:ascii="Times New Roman" w:hAnsi="Times New Roman" w:cs="Times New Roman"/>
          <w:color w:val="auto"/>
          <w:highlight w:val="none"/>
          <w:lang w:val="en-US" w:eastAsia="zh-CN"/>
        </w:rPr>
        <w:t>验收标准</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w:t>
      </w:r>
    </w:p>
    <w:p w14:paraId="28D84544">
      <w:pPr>
        <w:pStyle w:val="3"/>
        <w:numPr>
          <w:ilvl w:val="0"/>
          <w:numId w:val="1"/>
        </w:numPr>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 xml:space="preserve"> 售后及其他要求</w:t>
      </w:r>
    </w:p>
    <w:p w14:paraId="77F20C84">
      <w:pPr>
        <w:pStyle w:val="4"/>
        <w:keepNext w:val="0"/>
        <w:keepLines w:val="0"/>
        <w:pageBreakBefore w:val="0"/>
        <w:widowControl w:val="0"/>
        <w:kinsoku/>
        <w:wordWrap/>
        <w:overflowPunct/>
        <w:topLinePunct w:val="0"/>
        <w:autoSpaceDE w:val="0"/>
        <w:autoSpaceDN w:val="0"/>
        <w:bidi w:val="0"/>
        <w:adjustRightInd/>
        <w:snapToGrid/>
        <w:spacing w:line="600" w:lineRule="exact"/>
        <w:ind w:firstLine="482" w:firstLineChars="200"/>
        <w:jc w:val="both"/>
        <w:textAlignment w:val="auto"/>
        <w:outlineLvl w:val="2"/>
        <w:rPr>
          <w:rFonts w:hint="default" w:ascii="Times New Roman" w:hAnsi="Times New Roman" w:cs="Times New Roman"/>
          <w:b/>
          <w:bCs w:val="0"/>
          <w:color w:val="auto"/>
          <w:sz w:val="24"/>
          <w:szCs w:val="24"/>
          <w:highlight w:val="none"/>
          <w:lang w:val="en-US" w:eastAsia="zh-CN"/>
        </w:rPr>
      </w:pPr>
      <w:r>
        <w:rPr>
          <w:rFonts w:hint="eastAsia" w:ascii="Times New Roman" w:hAnsi="Times New Roman" w:cs="Times New Roman"/>
          <w:b/>
          <w:bCs w:val="0"/>
          <w:color w:val="auto"/>
          <w:sz w:val="24"/>
          <w:szCs w:val="24"/>
          <w:highlight w:val="none"/>
          <w:lang w:val="en-US" w:eastAsia="zh-CN"/>
        </w:rPr>
        <w:t xml:space="preserve">3.1 </w:t>
      </w:r>
      <w:r>
        <w:rPr>
          <w:rFonts w:hint="default" w:ascii="Times New Roman" w:hAnsi="Times New Roman" w:cs="Times New Roman"/>
          <w:b/>
          <w:bCs w:val="0"/>
          <w:color w:val="auto"/>
          <w:sz w:val="24"/>
          <w:szCs w:val="24"/>
          <w:highlight w:val="none"/>
          <w:lang w:val="en-US" w:eastAsia="zh-CN"/>
        </w:rPr>
        <w:t>售后服务和支持</w:t>
      </w:r>
    </w:p>
    <w:p w14:paraId="211AB9DD">
      <w:pPr>
        <w:numPr>
          <w:ilvl w:val="0"/>
          <w:numId w:val="0"/>
        </w:numPr>
        <w:ind w:firstLine="480" w:firstLineChars="200"/>
        <w:rPr>
          <w:rFonts w:hint="eastAsia" w:ascii="Times New Roman" w:hAnsi="Times New Roman" w:cs="Times New Roman"/>
          <w:color w:val="auto"/>
          <w:highlight w:val="none"/>
          <w:lang w:val="en-US" w:eastAsia="zh-CN"/>
        </w:rPr>
      </w:pPr>
      <w:r>
        <w:rPr>
          <w:rFonts w:hint="eastAsia" w:ascii="Times New Roman" w:hAnsi="Times New Roman" w:cs="Times New Roman"/>
          <w:color w:val="auto"/>
          <w:kern w:val="2"/>
          <w:sz w:val="24"/>
          <w:szCs w:val="20"/>
          <w:highlight w:val="none"/>
          <w:lang w:val="en-US" w:eastAsia="zh-CN" w:bidi="ar-SA"/>
        </w:rPr>
        <w:t>（</w:t>
      </w:r>
      <w:r>
        <w:rPr>
          <w:rFonts w:hint="eastAsia" w:ascii="Times New Roman" w:hAnsi="Times New Roman" w:eastAsia="宋体" w:cs="Times New Roman"/>
          <w:color w:val="auto"/>
          <w:kern w:val="2"/>
          <w:sz w:val="24"/>
          <w:szCs w:val="20"/>
          <w:highlight w:val="none"/>
          <w:lang w:val="en-US" w:eastAsia="zh-CN" w:bidi="ar-SA"/>
        </w:rPr>
        <w:t>1）</w:t>
      </w:r>
      <w:r>
        <w:rPr>
          <w:rFonts w:hint="eastAsia" w:ascii="Times New Roman" w:hAnsi="Times New Roman" w:cs="Times New Roman"/>
          <w:color w:val="auto"/>
          <w:highlight w:val="none"/>
          <w:lang w:val="en-US" w:eastAsia="zh-CN"/>
        </w:rPr>
        <w:t>本项目各子项目的免费维保期要求如下：</w:t>
      </w:r>
    </w:p>
    <w:p w14:paraId="7E63C6C6">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表3-</w:t>
      </w:r>
      <w:r>
        <w:rPr>
          <w:rFonts w:hint="eastAsia" w:ascii="Times New Roman" w:hAnsi="Times New Roman" w:cs="Times New Roman"/>
          <w:color w:val="auto"/>
          <w:sz w:val="21"/>
          <w:szCs w:val="21"/>
          <w:highlight w:val="none"/>
          <w:lang w:val="en-US" w:eastAsia="zh-CN"/>
        </w:rPr>
        <w:t>9</w:t>
      </w:r>
      <w:r>
        <w:rPr>
          <w:rFonts w:hint="default" w:ascii="Times New Roman" w:hAnsi="Times New Roman" w:cs="Times New Roman"/>
          <w:color w:val="auto"/>
          <w:sz w:val="21"/>
          <w:szCs w:val="21"/>
          <w:highlight w:val="none"/>
          <w:lang w:val="en-US" w:eastAsia="zh-CN"/>
        </w:rPr>
        <w:t xml:space="preserve"> 新一代数据中台项目（一期）</w:t>
      </w:r>
      <w:r>
        <w:rPr>
          <w:rFonts w:hint="eastAsia" w:ascii="Times New Roman" w:hAnsi="Times New Roman" w:cs="Times New Roman"/>
          <w:color w:val="auto"/>
          <w:sz w:val="21"/>
          <w:szCs w:val="21"/>
          <w:highlight w:val="none"/>
          <w:lang w:val="en-US" w:eastAsia="zh-CN"/>
        </w:rPr>
        <w:t>免费维保期要求</w:t>
      </w:r>
    </w:p>
    <w:tbl>
      <w:tblPr>
        <w:tblStyle w:val="22"/>
        <w:tblW w:w="44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4"/>
        <w:gridCol w:w="5885"/>
      </w:tblGrid>
      <w:tr w14:paraId="472B2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43" w:type="pct"/>
            <w:shd w:val="clear" w:color="auto" w:fill="D7D7D7"/>
            <w:vAlign w:val="center"/>
          </w:tcPr>
          <w:p w14:paraId="2044A17E">
            <w:pPr>
              <w:spacing w:line="400" w:lineRule="exact"/>
              <w:ind w:left="0" w:firstLine="0" w:firstLineChars="0"/>
              <w:jc w:val="center"/>
              <w:rPr>
                <w:rFonts w:hint="default" w:ascii="Times New Roman" w:hAnsi="Times New Roman" w:cs="Times New Roman"/>
                <w:b/>
                <w:bCs/>
                <w:color w:val="auto"/>
                <w:sz w:val="21"/>
                <w:szCs w:val="21"/>
                <w:highlight w:val="none"/>
                <w:vertAlign w:val="baseline"/>
                <w:lang w:val="en-US" w:eastAsia="zh-CN"/>
              </w:rPr>
            </w:pPr>
            <w:r>
              <w:rPr>
                <w:rFonts w:hint="default" w:ascii="Times New Roman" w:hAnsi="Times New Roman" w:cs="Times New Roman"/>
                <w:b/>
                <w:bCs/>
                <w:color w:val="auto"/>
                <w:sz w:val="21"/>
                <w:szCs w:val="21"/>
                <w:highlight w:val="none"/>
                <w:vertAlign w:val="baseline"/>
                <w:lang w:val="en-US" w:eastAsia="zh-CN"/>
              </w:rPr>
              <w:t>子项目名称</w:t>
            </w:r>
          </w:p>
        </w:tc>
        <w:tc>
          <w:tcPr>
            <w:tcW w:w="3856" w:type="pct"/>
            <w:shd w:val="clear" w:color="auto" w:fill="D7D7D7"/>
            <w:vAlign w:val="center"/>
          </w:tcPr>
          <w:p w14:paraId="4D89FC42">
            <w:pPr>
              <w:spacing w:line="400" w:lineRule="exact"/>
              <w:ind w:left="0" w:firstLine="0" w:firstLineChars="0"/>
              <w:jc w:val="center"/>
              <w:rPr>
                <w:rFonts w:hint="default" w:ascii="Times New Roman" w:hAnsi="Times New Roman" w:cs="Times New Roman"/>
                <w:b/>
                <w:bCs/>
                <w:color w:val="auto"/>
                <w:sz w:val="21"/>
                <w:szCs w:val="21"/>
                <w:highlight w:val="none"/>
                <w:vertAlign w:val="baseline"/>
                <w:lang w:val="en-US" w:eastAsia="zh-CN"/>
              </w:rPr>
            </w:pPr>
            <w:r>
              <w:rPr>
                <w:rFonts w:hint="eastAsia" w:ascii="Times New Roman" w:hAnsi="Times New Roman" w:cs="Times New Roman"/>
                <w:b/>
                <w:bCs/>
                <w:color w:val="auto"/>
                <w:sz w:val="21"/>
                <w:szCs w:val="21"/>
                <w:highlight w:val="none"/>
                <w:vertAlign w:val="baseline"/>
                <w:lang w:val="en-US" w:eastAsia="zh-CN"/>
              </w:rPr>
              <w:t>免费维保期</w:t>
            </w:r>
            <w:r>
              <w:rPr>
                <w:rFonts w:hint="default" w:ascii="Times New Roman" w:hAnsi="Times New Roman" w:cs="Times New Roman"/>
                <w:b/>
                <w:bCs/>
                <w:color w:val="auto"/>
                <w:sz w:val="21"/>
                <w:szCs w:val="21"/>
                <w:highlight w:val="none"/>
                <w:vertAlign w:val="baseline"/>
                <w:lang w:val="en-US" w:eastAsia="zh-CN"/>
              </w:rPr>
              <w:t>要求</w:t>
            </w:r>
          </w:p>
        </w:tc>
      </w:tr>
      <w:tr w14:paraId="4A885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43" w:type="pct"/>
            <w:vAlign w:val="center"/>
          </w:tcPr>
          <w:p w14:paraId="729D610C">
            <w:pPr>
              <w:pBdr>
                <w:top w:val="none" w:color="auto" w:sz="0" w:space="0"/>
                <w:left w:val="none" w:color="auto" w:sz="0" w:space="0"/>
                <w:bottom w:val="none" w:color="auto" w:sz="0" w:space="0"/>
                <w:right w:val="none" w:color="auto" w:sz="0" w:space="0"/>
              </w:pBdr>
              <w:spacing w:beforeAutospacing="0" w:afterAutospacing="0" w:line="400" w:lineRule="exact"/>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湖仓一体底座</w:t>
            </w:r>
          </w:p>
        </w:tc>
        <w:tc>
          <w:tcPr>
            <w:tcW w:w="3856" w:type="pct"/>
            <w:tcBorders>
              <w:left w:val="single" w:color="auto" w:sz="4" w:space="0"/>
            </w:tcBorders>
            <w:vAlign w:val="center"/>
          </w:tcPr>
          <w:p w14:paraId="79313216">
            <w:pPr>
              <w:pBdr>
                <w:top w:val="none" w:color="auto" w:sz="0" w:space="0"/>
                <w:left w:val="none" w:color="auto" w:sz="0" w:space="0"/>
                <w:bottom w:val="none" w:color="auto" w:sz="0" w:space="0"/>
                <w:right w:val="none" w:color="auto" w:sz="0" w:space="0"/>
              </w:pBdr>
              <w:spacing w:line="400" w:lineRule="exact"/>
              <w:ind w:left="0"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需至少提供</w:t>
            </w:r>
            <w:r>
              <w:rPr>
                <w:rFonts w:hint="default" w:ascii="Times New Roman" w:hAnsi="Times New Roman" w:cs="Times New Roman"/>
                <w:color w:val="auto"/>
                <w:sz w:val="21"/>
                <w:szCs w:val="21"/>
                <w:highlight w:val="none"/>
                <w:lang w:val="en-US" w:eastAsia="zh-CN"/>
              </w:rPr>
              <w:t>产品</w:t>
            </w:r>
            <w:r>
              <w:rPr>
                <w:rFonts w:hint="default" w:ascii="Times New Roman" w:hAnsi="Times New Roman" w:cs="Times New Roman"/>
                <w:color w:val="auto"/>
                <w:sz w:val="21"/>
                <w:szCs w:val="21"/>
                <w:highlight w:val="none"/>
              </w:rPr>
              <w:t>免费维保</w:t>
            </w:r>
            <w:r>
              <w:rPr>
                <w:rFonts w:hint="eastAsia" w:ascii="Times New Roman" w:hAnsi="Times New Roman" w:cs="Times New Roman"/>
                <w:color w:val="auto"/>
                <w:sz w:val="21"/>
                <w:szCs w:val="21"/>
                <w:highlight w:val="none"/>
                <w:lang w:val="en-US" w:eastAsia="zh-CN"/>
              </w:rPr>
              <w:t>三</w:t>
            </w:r>
            <w:r>
              <w:rPr>
                <w:rFonts w:hint="default" w:ascii="Times New Roman" w:hAnsi="Times New Roman" w:cs="Times New Roman"/>
                <w:color w:val="auto"/>
                <w:sz w:val="21"/>
                <w:szCs w:val="21"/>
                <w:highlight w:val="none"/>
              </w:rPr>
              <w:t>年。</w:t>
            </w:r>
          </w:p>
        </w:tc>
      </w:tr>
      <w:tr w14:paraId="2F9BE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43" w:type="pct"/>
            <w:vAlign w:val="center"/>
          </w:tcPr>
          <w:p w14:paraId="01B7FEA6">
            <w:pPr>
              <w:pBdr>
                <w:top w:val="none" w:color="auto" w:sz="0" w:space="0"/>
                <w:left w:val="none" w:color="auto" w:sz="0" w:space="0"/>
                <w:bottom w:val="none" w:color="auto" w:sz="0" w:space="0"/>
                <w:right w:val="none" w:color="auto" w:sz="0" w:space="0"/>
              </w:pBdr>
              <w:spacing w:beforeAutospacing="0" w:afterAutospacing="0" w:line="400" w:lineRule="exact"/>
              <w:ind w:firstLine="0" w:firstLineChars="0"/>
              <w:jc w:val="center"/>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数据作业平台</w:t>
            </w:r>
          </w:p>
        </w:tc>
        <w:tc>
          <w:tcPr>
            <w:tcW w:w="3856" w:type="pct"/>
            <w:tcBorders>
              <w:left w:val="single" w:color="auto" w:sz="4" w:space="0"/>
            </w:tcBorders>
            <w:vAlign w:val="center"/>
          </w:tcPr>
          <w:p w14:paraId="0BB5CA17">
            <w:pPr>
              <w:pBdr>
                <w:top w:val="none" w:color="auto" w:sz="0" w:space="0"/>
                <w:left w:val="none" w:color="auto" w:sz="0" w:space="0"/>
                <w:bottom w:val="none" w:color="auto" w:sz="0" w:space="0"/>
                <w:right w:val="none" w:color="auto" w:sz="0" w:space="0"/>
              </w:pBdr>
              <w:spacing w:line="400" w:lineRule="exact"/>
              <w:ind w:left="0"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需至少提供</w:t>
            </w:r>
            <w:r>
              <w:rPr>
                <w:rFonts w:hint="default" w:ascii="Times New Roman" w:hAnsi="Times New Roman" w:cs="Times New Roman"/>
                <w:color w:val="auto"/>
                <w:sz w:val="21"/>
                <w:szCs w:val="21"/>
                <w:highlight w:val="none"/>
                <w:lang w:val="en-US" w:eastAsia="zh-CN"/>
              </w:rPr>
              <w:t>产品</w:t>
            </w:r>
            <w:r>
              <w:rPr>
                <w:rFonts w:hint="default" w:ascii="Times New Roman" w:hAnsi="Times New Roman" w:cs="Times New Roman"/>
                <w:color w:val="auto"/>
                <w:sz w:val="21"/>
                <w:szCs w:val="21"/>
                <w:highlight w:val="none"/>
              </w:rPr>
              <w:t>免费维保</w:t>
            </w:r>
            <w:r>
              <w:rPr>
                <w:rFonts w:hint="eastAsia" w:ascii="Times New Roman" w:hAnsi="Times New Roman" w:cs="Times New Roman"/>
                <w:color w:val="auto"/>
                <w:sz w:val="21"/>
                <w:szCs w:val="21"/>
                <w:highlight w:val="none"/>
                <w:lang w:val="en-US" w:eastAsia="zh-CN"/>
              </w:rPr>
              <w:t>三</w:t>
            </w:r>
            <w:r>
              <w:rPr>
                <w:rFonts w:hint="default" w:ascii="Times New Roman" w:hAnsi="Times New Roman" w:cs="Times New Roman"/>
                <w:color w:val="auto"/>
                <w:sz w:val="21"/>
                <w:szCs w:val="21"/>
                <w:highlight w:val="none"/>
              </w:rPr>
              <w:t>年。</w:t>
            </w:r>
          </w:p>
        </w:tc>
      </w:tr>
      <w:tr w14:paraId="26B23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43" w:type="pct"/>
            <w:vAlign w:val="center"/>
          </w:tcPr>
          <w:p w14:paraId="1E92B3EE">
            <w:pPr>
              <w:pBdr>
                <w:top w:val="none" w:color="auto" w:sz="0" w:space="0"/>
                <w:left w:val="none" w:color="auto" w:sz="0" w:space="0"/>
                <w:bottom w:val="none" w:color="auto" w:sz="0" w:space="0"/>
                <w:right w:val="none" w:color="auto" w:sz="0" w:space="0"/>
              </w:pBdr>
              <w:spacing w:beforeAutospacing="0" w:afterAutospacing="0" w:line="400" w:lineRule="exact"/>
              <w:ind w:firstLine="0" w:firstLineChars="0"/>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数据实施和迁移</w:t>
            </w:r>
          </w:p>
        </w:tc>
        <w:tc>
          <w:tcPr>
            <w:tcW w:w="3856" w:type="pct"/>
            <w:tcBorders>
              <w:left w:val="single" w:color="auto" w:sz="4" w:space="0"/>
            </w:tcBorders>
            <w:vAlign w:val="center"/>
          </w:tcPr>
          <w:p w14:paraId="455ABA24">
            <w:pPr>
              <w:pBdr>
                <w:top w:val="none" w:color="auto" w:sz="0" w:space="0"/>
                <w:left w:val="none" w:color="auto" w:sz="0" w:space="0"/>
                <w:bottom w:val="none" w:color="auto" w:sz="0" w:space="0"/>
                <w:right w:val="none" w:color="auto" w:sz="0" w:space="0"/>
              </w:pBdr>
              <w:spacing w:line="400" w:lineRule="exact"/>
              <w:ind w:left="0" w:firstLine="0" w:firstLineChars="0"/>
              <w:jc w:val="left"/>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需</w:t>
            </w:r>
            <w:r>
              <w:rPr>
                <w:rFonts w:hint="default" w:ascii="Times New Roman" w:hAnsi="Times New Roman" w:cs="Times New Roman"/>
                <w:color w:val="auto"/>
                <w:sz w:val="21"/>
                <w:szCs w:val="21"/>
                <w:highlight w:val="none"/>
              </w:rPr>
              <w:t>至少</w:t>
            </w:r>
            <w:r>
              <w:rPr>
                <w:rFonts w:hint="eastAsia" w:ascii="Times New Roman" w:hAnsi="Times New Roman" w:cs="Times New Roman"/>
                <w:color w:val="auto"/>
                <w:sz w:val="21"/>
                <w:szCs w:val="21"/>
                <w:highlight w:val="none"/>
                <w:lang w:val="en-US" w:eastAsia="zh-CN"/>
              </w:rPr>
              <w:t>提供</w:t>
            </w:r>
            <w:r>
              <w:rPr>
                <w:rFonts w:hint="default" w:ascii="Times New Roman" w:hAnsi="Times New Roman" w:cs="Times New Roman"/>
                <w:color w:val="auto"/>
                <w:sz w:val="21"/>
                <w:szCs w:val="21"/>
                <w:highlight w:val="none"/>
              </w:rPr>
              <w:t>一年免费技术支持服务，</w:t>
            </w:r>
            <w:r>
              <w:rPr>
                <w:rFonts w:hint="eastAsia" w:ascii="Times New Roman" w:hAnsi="Times New Roman" w:cs="Times New Roman"/>
                <w:color w:val="auto"/>
                <w:sz w:val="21"/>
                <w:szCs w:val="21"/>
                <w:highlight w:val="none"/>
                <w:lang w:val="en-US" w:eastAsia="zh-CN"/>
              </w:rPr>
              <w:t>支持</w:t>
            </w:r>
            <w:r>
              <w:rPr>
                <w:rFonts w:hint="default" w:ascii="Times New Roman" w:hAnsi="Times New Roman" w:cs="Times New Roman"/>
                <w:color w:val="auto"/>
                <w:sz w:val="21"/>
                <w:szCs w:val="21"/>
                <w:highlight w:val="none"/>
              </w:rPr>
              <w:t>人员必须为</w:t>
            </w:r>
            <w:r>
              <w:rPr>
                <w:rFonts w:hint="eastAsia" w:ascii="Times New Roman" w:hAnsi="Times New Roman" w:cs="Times New Roman"/>
                <w:color w:val="auto"/>
                <w:sz w:val="21"/>
                <w:szCs w:val="21"/>
                <w:highlight w:val="none"/>
                <w:lang w:val="en-US" w:eastAsia="zh-CN"/>
              </w:rPr>
              <w:t>本</w:t>
            </w:r>
            <w:r>
              <w:rPr>
                <w:rFonts w:hint="default" w:ascii="Times New Roman" w:hAnsi="Times New Roman" w:cs="Times New Roman"/>
                <w:color w:val="auto"/>
                <w:sz w:val="21"/>
                <w:szCs w:val="21"/>
                <w:highlight w:val="none"/>
              </w:rPr>
              <w:t>项目</w:t>
            </w:r>
            <w:r>
              <w:rPr>
                <w:rFonts w:hint="eastAsia" w:ascii="Times New Roman" w:hAnsi="Times New Roman" w:cs="Times New Roman"/>
                <w:color w:val="auto"/>
                <w:sz w:val="21"/>
                <w:szCs w:val="21"/>
                <w:highlight w:val="none"/>
                <w:lang w:val="en-US" w:eastAsia="zh-CN"/>
              </w:rPr>
              <w:t>核心</w:t>
            </w:r>
            <w:r>
              <w:rPr>
                <w:rFonts w:hint="default" w:ascii="Times New Roman" w:hAnsi="Times New Roman" w:cs="Times New Roman"/>
                <w:color w:val="auto"/>
                <w:sz w:val="21"/>
                <w:szCs w:val="21"/>
                <w:highlight w:val="none"/>
              </w:rPr>
              <w:t>实施人员</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可由比选人指定</w:t>
            </w:r>
            <w:r>
              <w:rPr>
                <w:rFonts w:hint="eastAsia"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保证</w:t>
            </w:r>
            <w:r>
              <w:rPr>
                <w:rFonts w:hint="eastAsia" w:ascii="Times New Roman" w:hAnsi="Times New Roman" w:cs="Times New Roman"/>
                <w:color w:val="auto"/>
                <w:sz w:val="21"/>
                <w:szCs w:val="21"/>
                <w:highlight w:val="none"/>
                <w:lang w:val="en-US" w:eastAsia="zh-CN"/>
              </w:rPr>
              <w:t>中台</w:t>
            </w:r>
            <w:r>
              <w:rPr>
                <w:rFonts w:hint="default" w:ascii="Times New Roman" w:hAnsi="Times New Roman" w:cs="Times New Roman"/>
                <w:color w:val="auto"/>
                <w:sz w:val="21"/>
                <w:szCs w:val="21"/>
                <w:highlight w:val="none"/>
              </w:rPr>
              <w:t>的稳定运行</w:t>
            </w:r>
            <w:r>
              <w:rPr>
                <w:rFonts w:hint="eastAsia" w:ascii="Times New Roman" w:hAnsi="Times New Roman" w:cs="Times New Roman"/>
                <w:color w:val="auto"/>
                <w:sz w:val="21"/>
                <w:szCs w:val="21"/>
                <w:highlight w:val="none"/>
                <w:lang w:eastAsia="zh-CN"/>
              </w:rPr>
              <w:t>。</w:t>
            </w:r>
          </w:p>
        </w:tc>
      </w:tr>
      <w:tr w14:paraId="76B90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vAlign w:val="center"/>
          </w:tcPr>
          <w:p w14:paraId="1A67F70B">
            <w:pPr>
              <w:pBdr>
                <w:top w:val="none" w:color="auto" w:sz="0" w:space="0"/>
                <w:left w:val="none" w:color="auto" w:sz="0" w:space="0"/>
                <w:bottom w:val="none" w:color="auto" w:sz="0" w:space="0"/>
                <w:right w:val="none" w:color="auto" w:sz="0" w:space="0"/>
              </w:pBdr>
              <w:tabs>
                <w:tab w:val="left" w:pos="1632"/>
              </w:tabs>
              <w:spacing w:line="400" w:lineRule="exact"/>
              <w:ind w:left="0" w:firstLine="0" w:firstLineChars="0"/>
              <w:jc w:val="left"/>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b/>
                <w:bCs/>
                <w:color w:val="auto"/>
                <w:sz w:val="21"/>
                <w:szCs w:val="21"/>
                <w:highlight w:val="none"/>
                <w:lang w:val="en-US" w:eastAsia="zh-CN"/>
              </w:rPr>
              <w:t>注：</w:t>
            </w:r>
            <w:r>
              <w:rPr>
                <w:rFonts w:hint="default" w:ascii="Times New Roman" w:hAnsi="Times New Roman" w:cs="Times New Roman"/>
                <w:color w:val="auto"/>
                <w:sz w:val="21"/>
                <w:szCs w:val="21"/>
                <w:highlight w:val="none"/>
              </w:rPr>
              <w:t>免费维保期和</w:t>
            </w:r>
            <w:r>
              <w:rPr>
                <w:rFonts w:hint="eastAsia" w:ascii="Times New Roman" w:hAnsi="Times New Roman" w:cs="Times New Roman"/>
                <w:color w:val="auto"/>
                <w:sz w:val="21"/>
                <w:szCs w:val="21"/>
                <w:highlight w:val="none"/>
                <w:lang w:val="en-US" w:eastAsia="zh-CN"/>
              </w:rPr>
              <w:t>免费</w:t>
            </w:r>
            <w:r>
              <w:rPr>
                <w:rFonts w:hint="default" w:ascii="Times New Roman" w:hAnsi="Times New Roman" w:cs="Times New Roman"/>
                <w:color w:val="auto"/>
                <w:sz w:val="21"/>
                <w:szCs w:val="21"/>
                <w:highlight w:val="none"/>
              </w:rPr>
              <w:t>技术支持服务起始日为验收合格后次日，结束日需延期至到期当年的6月30日或12月31日中较近日期（即延期最长不超过半年）</w:t>
            </w:r>
            <w:r>
              <w:rPr>
                <w:rFonts w:hint="eastAsia" w:ascii="Times New Roman" w:hAnsi="Times New Roman" w:cs="Times New Roman"/>
                <w:color w:val="auto"/>
                <w:sz w:val="21"/>
                <w:szCs w:val="21"/>
                <w:highlight w:val="none"/>
                <w:lang w:eastAsia="zh-CN"/>
              </w:rPr>
              <w:t>。</w:t>
            </w:r>
          </w:p>
        </w:tc>
      </w:tr>
    </w:tbl>
    <w:p w14:paraId="3FFD5B45">
      <w:pPr>
        <w:rPr>
          <w:rFonts w:hint="default"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2）项目验收通过后两年内，针对本项目的完善性需求，包括但不限于</w:t>
      </w:r>
      <w:r>
        <w:rPr>
          <w:rFonts w:hint="default" w:ascii="Times New Roman" w:hAnsi="Times New Roman" w:eastAsia="宋体" w:cs="Times New Roman"/>
          <w:color w:val="auto"/>
          <w:highlight w:val="none"/>
        </w:rPr>
        <w:t>因监管部门规则变更、系统漏洞</w:t>
      </w:r>
      <w:r>
        <w:rPr>
          <w:rFonts w:hint="default" w:ascii="Times New Roman" w:hAnsi="Times New Roman" w:cs="Times New Roman"/>
          <w:color w:val="auto"/>
          <w:highlight w:val="none"/>
          <w:lang w:val="en-US" w:eastAsia="zh-CN"/>
        </w:rPr>
        <w:t>等安全问题导致</w:t>
      </w:r>
      <w:r>
        <w:rPr>
          <w:rFonts w:hint="default" w:ascii="Times New Roman" w:hAnsi="Times New Roman" w:eastAsia="宋体" w:cs="Times New Roman"/>
          <w:color w:val="auto"/>
          <w:highlight w:val="none"/>
        </w:rPr>
        <w:t>产品需要修改</w:t>
      </w:r>
      <w:r>
        <w:rPr>
          <w:rFonts w:hint="default" w:ascii="Times New Roman" w:hAnsi="Times New Roman" w:cs="Times New Roman"/>
          <w:color w:val="auto"/>
          <w:highlight w:val="none"/>
          <w:lang w:val="en-US" w:eastAsia="zh-CN"/>
        </w:rPr>
        <w:t>等</w:t>
      </w:r>
      <w:r>
        <w:rPr>
          <w:rFonts w:hint="default" w:ascii="Times New Roman" w:hAnsi="Times New Roman" w:eastAsia="宋体" w:cs="Times New Roman"/>
          <w:color w:val="auto"/>
          <w:highlight w:val="none"/>
        </w:rPr>
        <w:t>情况</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参选</w:t>
      </w:r>
      <w:r>
        <w:rPr>
          <w:rFonts w:hint="default" w:ascii="Times New Roman" w:hAnsi="Times New Roman" w:cs="Times New Roman"/>
          <w:color w:val="auto"/>
          <w:highlight w:val="none"/>
        </w:rPr>
        <w:t>人</w:t>
      </w:r>
      <w:r>
        <w:rPr>
          <w:rFonts w:hint="default" w:ascii="Times New Roman" w:hAnsi="Times New Roman" w:cs="Times New Roman"/>
          <w:color w:val="auto"/>
          <w:highlight w:val="none"/>
          <w:lang w:val="en-US" w:eastAsia="zh-CN"/>
        </w:rPr>
        <w:t>需免费进行开发，</w:t>
      </w:r>
      <w:r>
        <w:rPr>
          <w:rFonts w:hint="default" w:ascii="Times New Roman" w:hAnsi="Times New Roman" w:eastAsia="宋体" w:cs="Times New Roman"/>
          <w:color w:val="auto"/>
          <w:highlight w:val="none"/>
        </w:rPr>
        <w:t>不能对</w:t>
      </w:r>
      <w:r>
        <w:rPr>
          <w:rFonts w:hint="default" w:ascii="Times New Roman" w:hAnsi="Times New Roman" w:eastAsia="宋体" w:cs="Times New Roman"/>
          <w:color w:val="auto"/>
          <w:highlight w:val="none"/>
          <w:lang w:eastAsia="zh-CN"/>
        </w:rPr>
        <w:t>比选人</w:t>
      </w:r>
      <w:r>
        <w:rPr>
          <w:rFonts w:hint="default" w:ascii="Times New Roman" w:hAnsi="Times New Roman" w:eastAsia="宋体" w:cs="Times New Roman"/>
          <w:color w:val="auto"/>
          <w:highlight w:val="none"/>
        </w:rPr>
        <w:t>日常运营造成影响</w:t>
      </w:r>
      <w:r>
        <w:rPr>
          <w:rFonts w:hint="default" w:ascii="Times New Roman" w:hAnsi="Times New Roman" w:cs="Times New Roman"/>
          <w:color w:val="auto"/>
          <w:highlight w:val="none"/>
          <w:lang w:eastAsia="zh-CN"/>
        </w:rPr>
        <w:t>；</w:t>
      </w:r>
    </w:p>
    <w:p w14:paraId="42A02567">
      <w:pPr>
        <w:rPr>
          <w:rFonts w:hint="default" w:ascii="Times New Roman" w:hAnsi="Times New Roman" w:eastAsia="宋体" w:cs="Times New Roman"/>
          <w:color w:val="auto"/>
          <w:highlight w:val="none"/>
          <w:lang w:eastAsia="zh-CN"/>
        </w:rPr>
      </w:pP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3）</w:t>
      </w:r>
      <w:r>
        <w:rPr>
          <w:rFonts w:hint="default" w:ascii="Times New Roman" w:hAnsi="Times New Roman" w:eastAsia="宋体" w:cs="Times New Roman"/>
          <w:color w:val="auto"/>
          <w:highlight w:val="none"/>
        </w:rPr>
        <w:t>在免费维保期内</w:t>
      </w:r>
      <w:r>
        <w:rPr>
          <w:rFonts w:hint="eastAsia" w:ascii="Times New Roman" w:hAnsi="Times New Roman" w:cs="Times New Roman"/>
          <w:color w:val="auto"/>
          <w:highlight w:val="none"/>
          <w:lang w:val="en-US" w:eastAsia="zh-CN"/>
        </w:rPr>
        <w:t>各产品</w:t>
      </w:r>
      <w:r>
        <w:rPr>
          <w:rFonts w:hint="default" w:ascii="Times New Roman" w:hAnsi="Times New Roman" w:eastAsia="宋体" w:cs="Times New Roman"/>
          <w:color w:val="auto"/>
          <w:highlight w:val="none"/>
        </w:rPr>
        <w:t>需同步免费</w:t>
      </w:r>
      <w:r>
        <w:rPr>
          <w:rFonts w:hint="eastAsia" w:ascii="Times New Roman" w:hAnsi="Times New Roman" w:cs="Times New Roman"/>
          <w:color w:val="auto"/>
          <w:highlight w:val="none"/>
          <w:lang w:val="en-US" w:eastAsia="zh-CN"/>
        </w:rPr>
        <w:t>进行基础版本的</w:t>
      </w:r>
      <w:r>
        <w:rPr>
          <w:rFonts w:hint="default" w:ascii="Times New Roman" w:hAnsi="Times New Roman" w:eastAsia="宋体" w:cs="Times New Roman"/>
          <w:color w:val="auto"/>
          <w:highlight w:val="none"/>
        </w:rPr>
        <w:t>升级</w:t>
      </w:r>
      <w:r>
        <w:rPr>
          <w:rFonts w:hint="default" w:ascii="Times New Roman" w:hAnsi="Times New Roman" w:cs="Times New Roman"/>
          <w:color w:val="auto"/>
          <w:highlight w:val="none"/>
          <w:lang w:eastAsia="zh-CN"/>
        </w:rPr>
        <w:t>；</w:t>
      </w:r>
    </w:p>
    <w:p w14:paraId="51AC9987">
      <w:pPr>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w:t>
      </w:r>
      <w:r>
        <w:rPr>
          <w:rFonts w:hint="default" w:ascii="Times New Roman" w:hAnsi="Times New Roman" w:eastAsia="宋体" w:cs="Times New Roman"/>
          <w:color w:val="auto"/>
          <w:highlight w:val="none"/>
          <w:lang w:val="en-US" w:eastAsia="zh-CN"/>
        </w:rPr>
        <w:t>4）项目验收通过后两年内</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参选</w:t>
      </w:r>
      <w:r>
        <w:rPr>
          <w:rFonts w:hint="default" w:ascii="Times New Roman" w:hAnsi="Times New Roman" w:cs="Times New Roman"/>
          <w:color w:val="auto"/>
          <w:highlight w:val="none"/>
        </w:rPr>
        <w:t>人</w:t>
      </w:r>
      <w:r>
        <w:rPr>
          <w:rFonts w:hint="default" w:ascii="Times New Roman" w:hAnsi="Times New Roman" w:cs="Times New Roman"/>
          <w:color w:val="auto"/>
          <w:highlight w:val="none"/>
          <w:lang w:val="en-US" w:eastAsia="zh-CN"/>
        </w:rPr>
        <w:t>需配合比选人完成项目的汇报文件、专项</w:t>
      </w:r>
      <w:r>
        <w:rPr>
          <w:rFonts w:hint="eastAsia" w:ascii="Times New Roman" w:hAnsi="Times New Roman" w:cs="Times New Roman"/>
          <w:color w:val="auto"/>
          <w:highlight w:val="none"/>
          <w:lang w:val="en-US" w:eastAsia="zh-CN"/>
        </w:rPr>
        <w:t>奖项、活动</w:t>
      </w:r>
      <w:r>
        <w:rPr>
          <w:rFonts w:hint="default" w:ascii="Times New Roman" w:hAnsi="Times New Roman" w:cs="Times New Roman"/>
          <w:color w:val="auto"/>
          <w:highlight w:val="none"/>
          <w:lang w:val="en-US" w:eastAsia="zh-CN"/>
        </w:rPr>
        <w:t>的申报工作，包括但不限于申报材料的编写、修改以及相关汇报文件的编写、修改</w:t>
      </w:r>
      <w:r>
        <w:rPr>
          <w:rFonts w:hint="eastAsia" w:ascii="Times New Roman" w:hAnsi="Times New Roman" w:cs="Times New Roman"/>
          <w:color w:val="auto"/>
          <w:highlight w:val="none"/>
          <w:lang w:val="en-US" w:eastAsia="zh-CN"/>
        </w:rPr>
        <w:t>等</w:t>
      </w:r>
      <w:r>
        <w:rPr>
          <w:rFonts w:hint="default" w:ascii="Times New Roman" w:hAnsi="Times New Roman" w:cs="Times New Roman"/>
          <w:color w:val="auto"/>
          <w:highlight w:val="none"/>
          <w:lang w:val="en-US" w:eastAsia="zh-CN"/>
        </w:rPr>
        <w:t>；</w:t>
      </w:r>
    </w:p>
    <w:p w14:paraId="602FF3D8">
      <w:pP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（5）参选人需配合比选人向监管部门报送信创方案等工作，包括但不限于信创相关证明材料的准备以及按照监管要求完成信创方案的编写、修改等；</w:t>
      </w:r>
    </w:p>
    <w:p w14:paraId="106FBD5E">
      <w:pPr>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（6）参选人需配合比选人完成《信息安全技术网络安全等级保护基本要求》（GB/T22239-2019）二级保护测评，并根据测评结果完成系统整改；</w:t>
      </w:r>
    </w:p>
    <w:p w14:paraId="7600AC39">
      <w:pPr>
        <w:numPr>
          <w:ilvl w:val="0"/>
          <w:numId w:val="0"/>
        </w:numPr>
        <w:ind w:firstLine="480" w:firstLineChars="20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（7）参选人提供的产品若为Licence授权方式，需提供永久授权，后续无需再支付Licence授权费用；</w:t>
      </w:r>
    </w:p>
    <w:p w14:paraId="63BC0564">
      <w:pPr>
        <w:rPr>
          <w:rFonts w:hint="eastAsia" w:ascii="Times New Roman" w:hAnsi="Times New Roman" w:eastAsia="宋体" w:cs="Times New Roman"/>
          <w:color w:val="auto"/>
          <w:highlight w:val="none"/>
          <w:lang w:eastAsia="zh-CN"/>
        </w:rPr>
      </w:pPr>
      <w:r>
        <w:rPr>
          <w:rFonts w:hint="eastAsia" w:ascii="Times New Roman" w:hAnsi="Times New Roman" w:cs="Times New Roman"/>
          <w:color w:val="auto"/>
          <w:highlight w:val="none"/>
          <w:lang w:val="en-US" w:eastAsia="zh-CN"/>
        </w:rPr>
        <w:t>（8</w:t>
      </w:r>
      <w:r>
        <w:rPr>
          <w:rFonts w:hint="default" w:ascii="Times New Roman" w:hAnsi="Times New Roman" w:cs="Times New Roman"/>
          <w:color w:val="auto"/>
          <w:highlight w:val="none"/>
          <w:lang w:val="en-US" w:eastAsia="zh-CN"/>
        </w:rPr>
        <w:t>）</w:t>
      </w:r>
      <w:r>
        <w:rPr>
          <w:rFonts w:hint="default" w:ascii="Times New Roman" w:hAnsi="Times New Roman" w:eastAsia="宋体" w:cs="Times New Roman"/>
          <w:color w:val="auto"/>
          <w:highlight w:val="none"/>
        </w:rPr>
        <w:t>免费维护期满后，</w:t>
      </w:r>
      <w:r>
        <w:rPr>
          <w:rFonts w:hint="eastAsia" w:ascii="Times New Roman" w:hAnsi="Times New Roman" w:cs="Times New Roman"/>
          <w:color w:val="auto"/>
          <w:highlight w:val="none"/>
          <w:lang w:val="en-US" w:eastAsia="zh-CN"/>
        </w:rPr>
        <w:t>各子项目的</w:t>
      </w:r>
      <w:r>
        <w:rPr>
          <w:rFonts w:hint="default" w:ascii="Times New Roman" w:hAnsi="Times New Roman" w:eastAsia="宋体" w:cs="Times New Roman"/>
          <w:color w:val="auto"/>
          <w:highlight w:val="none"/>
        </w:rPr>
        <w:t>维护费用不</w:t>
      </w:r>
      <w:r>
        <w:rPr>
          <w:rFonts w:hint="default" w:ascii="Times New Roman" w:hAnsi="Times New Roman" w:cs="Times New Roman"/>
          <w:color w:val="auto"/>
          <w:highlight w:val="none"/>
          <w:lang w:val="en-US" w:eastAsia="zh-CN"/>
        </w:rPr>
        <w:t>得</w:t>
      </w:r>
      <w:r>
        <w:rPr>
          <w:rFonts w:hint="default" w:ascii="Times New Roman" w:hAnsi="Times New Roman" w:eastAsia="宋体" w:cs="Times New Roman"/>
          <w:color w:val="auto"/>
          <w:highlight w:val="none"/>
        </w:rPr>
        <w:t>高于</w:t>
      </w:r>
      <w:r>
        <w:rPr>
          <w:rFonts w:hint="default" w:ascii="Times New Roman" w:hAnsi="Times New Roman" w:cs="Times New Roman"/>
          <w:color w:val="auto"/>
          <w:highlight w:val="none"/>
          <w:lang w:val="en-US" w:eastAsia="zh-CN"/>
        </w:rPr>
        <w:t>对应子项目</w:t>
      </w:r>
      <w:r>
        <w:rPr>
          <w:rFonts w:hint="eastAsia" w:ascii="Times New Roman" w:hAnsi="Times New Roman" w:cs="Times New Roman"/>
          <w:color w:val="auto"/>
          <w:highlight w:val="none"/>
          <w:lang w:val="en-US" w:eastAsia="zh-CN"/>
        </w:rPr>
        <w:t>服务总</w:t>
      </w:r>
      <w:r>
        <w:rPr>
          <w:rFonts w:hint="default" w:ascii="Times New Roman" w:hAnsi="Times New Roman" w:cs="Times New Roman"/>
          <w:color w:val="auto"/>
          <w:highlight w:val="none"/>
          <w:lang w:val="en-US" w:eastAsia="zh-CN"/>
        </w:rPr>
        <w:t>价的</w:t>
      </w:r>
      <w:r>
        <w:rPr>
          <w:rFonts w:hint="default" w:ascii="Times New Roman" w:hAnsi="Times New Roman" w:eastAsia="宋体" w:cs="Times New Roman"/>
          <w:color w:val="auto"/>
          <w:highlight w:val="none"/>
        </w:rPr>
        <w:t>8%，服务标准不得低于免费维保期服务标准，具体维保费用以合同约定为准</w:t>
      </w:r>
      <w:r>
        <w:rPr>
          <w:rFonts w:hint="eastAsia" w:ascii="Times New Roman" w:hAnsi="Times New Roman" w:cs="Times New Roman"/>
          <w:color w:val="auto"/>
          <w:highlight w:val="none"/>
          <w:lang w:eastAsia="zh-CN"/>
        </w:rPr>
        <w:t>；</w:t>
      </w:r>
    </w:p>
    <w:p w14:paraId="27D6ACA1">
      <w:pPr>
        <w:rPr>
          <w:rFonts w:hint="eastAsia" w:ascii="Times New Roman" w:hAnsi="Times New Roman" w:cs="Times New Roman"/>
          <w:color w:val="auto"/>
          <w:highlight w:val="none"/>
          <w:lang w:eastAsia="zh-CN"/>
        </w:rPr>
      </w:pPr>
      <w:r>
        <w:rPr>
          <w:rFonts w:hint="eastAsia" w:ascii="Times New Roman" w:hAnsi="Times New Roman" w:cs="Times New Roman"/>
          <w:color w:val="auto"/>
          <w:highlight w:val="none"/>
          <w:lang w:val="en-US" w:eastAsia="zh-CN"/>
        </w:rPr>
        <w:t>（9</w:t>
      </w:r>
      <w:r>
        <w:rPr>
          <w:rFonts w:hint="default" w:ascii="Times New Roman" w:hAnsi="Times New Roman" w:cs="Times New Roman"/>
          <w:color w:val="auto"/>
          <w:highlight w:val="none"/>
          <w:lang w:val="en-US" w:eastAsia="zh-CN"/>
        </w:rPr>
        <w:t>）</w:t>
      </w:r>
      <w:r>
        <w:rPr>
          <w:rFonts w:hint="default" w:ascii="Times New Roman" w:hAnsi="Times New Roman" w:eastAsia="宋体" w:cs="Times New Roman"/>
          <w:color w:val="auto"/>
          <w:highlight w:val="none"/>
        </w:rPr>
        <w:t>参选人需在参选文件中详细说明在</w:t>
      </w:r>
      <w:r>
        <w:rPr>
          <w:rFonts w:hint="default" w:ascii="Times New Roman" w:hAnsi="Times New Roman" w:cs="Times New Roman"/>
          <w:color w:val="auto"/>
          <w:highlight w:val="none"/>
          <w:lang w:val="en-US" w:eastAsia="zh-CN"/>
        </w:rPr>
        <w:t>免费</w:t>
      </w:r>
      <w:r>
        <w:rPr>
          <w:rFonts w:hint="default" w:ascii="Times New Roman" w:hAnsi="Times New Roman" w:eastAsia="宋体" w:cs="Times New Roman"/>
          <w:color w:val="auto"/>
          <w:highlight w:val="none"/>
        </w:rPr>
        <w:t>维保期的具体服务内容，</w:t>
      </w:r>
      <w:r>
        <w:rPr>
          <w:rFonts w:hint="default" w:ascii="Times New Roman" w:hAnsi="Times New Roman" w:cs="Times New Roman"/>
          <w:color w:val="auto"/>
          <w:highlight w:val="none"/>
          <w:lang w:val="en-US" w:eastAsia="zh-CN"/>
        </w:rPr>
        <w:t>免费</w:t>
      </w:r>
      <w:r>
        <w:rPr>
          <w:rFonts w:hint="default" w:ascii="Times New Roman" w:hAnsi="Times New Roman" w:eastAsia="宋体" w:cs="Times New Roman"/>
          <w:color w:val="auto"/>
          <w:highlight w:val="none"/>
        </w:rPr>
        <w:t>维保期过后有偿维保的内容、价格及收取方式，若按开发量评估收取，应说明每人/月价格</w:t>
      </w:r>
      <w:r>
        <w:rPr>
          <w:rFonts w:hint="eastAsia" w:ascii="Times New Roman" w:hAnsi="Times New Roman" w:cs="Times New Roman"/>
          <w:color w:val="auto"/>
          <w:highlight w:val="none"/>
          <w:lang w:eastAsia="zh-CN"/>
        </w:rPr>
        <w:t>；</w:t>
      </w:r>
    </w:p>
    <w:p w14:paraId="42A42542">
      <w:pP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10</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在项目合同正式签订后三年内，若比选人需要将数据作业平台迁移上云，参选人需免费进行实施；</w:t>
      </w:r>
    </w:p>
    <w:p w14:paraId="22561C0B">
      <w:pP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（11）</w:t>
      </w:r>
      <w:r>
        <w:rPr>
          <w:rFonts w:hint="default" w:ascii="Times New Roman" w:hAnsi="Times New Roman" w:eastAsia="宋体" w:cs="Times New Roman"/>
          <w:color w:val="auto"/>
          <w:highlight w:val="none"/>
          <w:lang w:val="en-US" w:eastAsia="zh-CN"/>
        </w:rPr>
        <w:t>项目验收通过后两年内</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参选人需配合比选人申请相关发明专利3项并至少通过实质性审查；</w:t>
      </w:r>
    </w:p>
    <w:p w14:paraId="415A46FE">
      <w:pPr>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（12）</w:t>
      </w:r>
      <w:r>
        <w:rPr>
          <w:rFonts w:hint="default" w:ascii="Times New Roman" w:hAnsi="Times New Roman" w:eastAsia="宋体" w:cs="Times New Roman"/>
          <w:color w:val="auto"/>
          <w:highlight w:val="none"/>
          <w:lang w:val="en-US" w:eastAsia="zh-CN"/>
        </w:rPr>
        <w:t>项目验收通过后两年内</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参选人需配合比选人申请相关软件著作权3项并获取证书；</w:t>
      </w:r>
    </w:p>
    <w:p w14:paraId="10734395">
      <w:pPr>
        <w:rPr>
          <w:rFonts w:hint="default" w:ascii="Times New Roman" w:hAnsi="Times New Roman" w:eastAsia="宋体" w:cs="Times New Roman"/>
          <w:color w:val="auto"/>
          <w:highlight w:val="none"/>
        </w:rPr>
      </w:pPr>
      <w:r>
        <w:rPr>
          <w:rFonts w:hint="eastAsia" w:ascii="Times New Roman" w:hAnsi="Times New Roman" w:cs="Times New Roman"/>
          <w:color w:val="auto"/>
          <w:highlight w:val="none"/>
          <w:lang w:val="en-US" w:eastAsia="zh-CN"/>
        </w:rPr>
        <w:t>（13</w:t>
      </w:r>
      <w:r>
        <w:rPr>
          <w:rFonts w:hint="default" w:ascii="Times New Roman" w:hAnsi="Times New Roman" w:cs="Times New Roman"/>
          <w:color w:val="auto"/>
          <w:highlight w:val="none"/>
          <w:lang w:val="en-US" w:eastAsia="zh-CN"/>
        </w:rPr>
        <w:t>）</w:t>
      </w:r>
      <w:r>
        <w:rPr>
          <w:rFonts w:hint="default" w:ascii="Times New Roman" w:hAnsi="Times New Roman" w:eastAsia="宋体" w:cs="Times New Roman"/>
          <w:color w:val="auto"/>
          <w:highlight w:val="none"/>
        </w:rPr>
        <w:t>参选人在参选文件中需对以上相关内容进行阐述并作出相应</w:t>
      </w:r>
      <w:r>
        <w:rPr>
          <w:rFonts w:hint="eastAsia" w:ascii="Times New Roman" w:hAnsi="Times New Roman" w:cs="Times New Roman"/>
          <w:color w:val="auto"/>
          <w:highlight w:val="none"/>
          <w:lang w:val="en-US" w:eastAsia="zh-CN"/>
        </w:rPr>
        <w:t>响应</w:t>
      </w:r>
      <w:r>
        <w:rPr>
          <w:rFonts w:hint="default" w:ascii="Times New Roman" w:hAnsi="Times New Roman" w:eastAsia="宋体" w:cs="Times New Roman"/>
          <w:color w:val="auto"/>
          <w:highlight w:val="none"/>
        </w:rPr>
        <w:t>承诺。</w:t>
      </w:r>
    </w:p>
    <w:p w14:paraId="589D2EA1">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default" w:ascii="Times New Roman" w:hAnsi="Times New Roman" w:eastAsia="宋体" w:cs="Times New Roman"/>
          <w:color w:val="auto"/>
          <w:highlight w:val="none"/>
        </w:rPr>
      </w:pPr>
      <w:r>
        <w:rPr>
          <w:rFonts w:hint="eastAsia" w:ascii="Times New Roman" w:hAnsi="Times New Roman" w:cs="Times New Roman"/>
          <w:color w:val="auto"/>
          <w:highlight w:val="none"/>
        </w:rPr>
        <w:t>【提供</w:t>
      </w:r>
      <w:r>
        <w:rPr>
          <w:rFonts w:ascii="Times New Roman" w:hAnsi="Times New Roman" w:cs="Times New Roman"/>
          <w:color w:val="auto"/>
          <w:highlight w:val="none"/>
        </w:rPr>
        <w:t>售后服务方案</w:t>
      </w:r>
      <w:r>
        <w:rPr>
          <w:rFonts w:hint="eastAsia" w:ascii="Times New Roman" w:hAnsi="Times New Roman" w:cs="Times New Roman"/>
          <w:color w:val="auto"/>
          <w:highlight w:val="none"/>
        </w:rPr>
        <w:t>】</w:t>
      </w:r>
    </w:p>
    <w:p w14:paraId="1E172883">
      <w:pPr>
        <w:pStyle w:val="4"/>
        <w:keepNext w:val="0"/>
        <w:keepLines w:val="0"/>
        <w:pageBreakBefore w:val="0"/>
        <w:widowControl w:val="0"/>
        <w:kinsoku/>
        <w:wordWrap/>
        <w:overflowPunct/>
        <w:topLinePunct w:val="0"/>
        <w:autoSpaceDE w:val="0"/>
        <w:autoSpaceDN w:val="0"/>
        <w:bidi w:val="0"/>
        <w:adjustRightInd/>
        <w:snapToGrid/>
        <w:spacing w:line="600" w:lineRule="exact"/>
        <w:ind w:firstLine="482" w:firstLineChars="200"/>
        <w:jc w:val="both"/>
        <w:textAlignment w:val="auto"/>
        <w:outlineLvl w:val="2"/>
        <w:rPr>
          <w:rFonts w:hint="default" w:ascii="Times New Roman" w:hAnsi="Times New Roman" w:cs="Times New Roman"/>
          <w:b/>
          <w:bCs w:val="0"/>
          <w:color w:val="auto"/>
          <w:sz w:val="24"/>
          <w:szCs w:val="24"/>
          <w:highlight w:val="none"/>
          <w:lang w:val="en-US" w:eastAsia="zh-CN"/>
        </w:rPr>
      </w:pPr>
      <w:r>
        <w:rPr>
          <w:rFonts w:hint="eastAsia" w:ascii="Times New Roman" w:hAnsi="Times New Roman" w:cs="Times New Roman"/>
          <w:b/>
          <w:bCs w:val="0"/>
          <w:color w:val="auto"/>
          <w:sz w:val="24"/>
          <w:szCs w:val="24"/>
          <w:highlight w:val="none"/>
          <w:lang w:val="en-US" w:eastAsia="zh-CN"/>
        </w:rPr>
        <w:t xml:space="preserve">3.2 </w:t>
      </w:r>
      <w:r>
        <w:rPr>
          <w:rFonts w:hint="default" w:ascii="Times New Roman" w:hAnsi="Times New Roman" w:cs="Times New Roman"/>
          <w:b/>
          <w:bCs w:val="0"/>
          <w:color w:val="auto"/>
          <w:sz w:val="24"/>
          <w:szCs w:val="24"/>
          <w:highlight w:val="none"/>
          <w:lang w:val="en-US" w:eastAsia="zh-CN"/>
        </w:rPr>
        <w:t>系统维保费用</w:t>
      </w:r>
    </w:p>
    <w:p w14:paraId="0477C19F">
      <w:pPr>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本项目的</w:t>
      </w:r>
      <w:r>
        <w:rPr>
          <w:rFonts w:hint="default" w:ascii="Times New Roman" w:hAnsi="Times New Roman" w:cs="Times New Roman"/>
          <w:color w:val="auto"/>
          <w:highlight w:val="none"/>
          <w:lang w:val="en-US" w:eastAsia="zh-CN"/>
        </w:rPr>
        <w:t>涉及</w:t>
      </w:r>
      <w:r>
        <w:rPr>
          <w:rFonts w:hint="default" w:ascii="Times New Roman" w:hAnsi="Times New Roman" w:cs="Times New Roman"/>
          <w:color w:val="auto"/>
          <w:highlight w:val="none"/>
        </w:rPr>
        <w:t>维保费用</w:t>
      </w:r>
      <w:r>
        <w:rPr>
          <w:rFonts w:hint="default" w:ascii="Times New Roman" w:hAnsi="Times New Roman" w:cs="Times New Roman"/>
          <w:color w:val="auto"/>
          <w:highlight w:val="none"/>
          <w:lang w:val="en-US" w:eastAsia="zh-CN"/>
        </w:rPr>
        <w:t>的子项目有湖仓一体底座和数据作业平台，具体维保费用</w:t>
      </w:r>
      <w:r>
        <w:rPr>
          <w:rFonts w:hint="default" w:ascii="Times New Roman" w:hAnsi="Times New Roman" w:cs="Times New Roman"/>
          <w:color w:val="auto"/>
          <w:highlight w:val="none"/>
        </w:rPr>
        <w:t>要求如下表</w:t>
      </w:r>
      <w:r>
        <w:rPr>
          <w:rFonts w:hint="default" w:ascii="Times New Roman" w:hAnsi="Times New Roman" w:cs="Times New Roman"/>
          <w:color w:val="auto"/>
          <w:highlight w:val="none"/>
          <w:lang w:val="en-US" w:eastAsia="zh-CN"/>
        </w:rPr>
        <w:t>3-</w:t>
      </w:r>
      <w:r>
        <w:rPr>
          <w:rFonts w:hint="eastAsia" w:ascii="Times New Roman" w:hAnsi="Times New Roman" w:cs="Times New Roman"/>
          <w:color w:val="auto"/>
          <w:highlight w:val="none"/>
          <w:lang w:val="en-US" w:eastAsia="zh-CN"/>
        </w:rPr>
        <w:t>10</w:t>
      </w:r>
      <w:r>
        <w:rPr>
          <w:rFonts w:hint="default" w:ascii="Times New Roman" w:hAnsi="Times New Roman" w:cs="Times New Roman"/>
          <w:color w:val="auto"/>
          <w:highlight w:val="none"/>
        </w:rPr>
        <w:t>所示。</w:t>
      </w:r>
    </w:p>
    <w:p w14:paraId="2AD66A56">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表3-</w:t>
      </w:r>
      <w:r>
        <w:rPr>
          <w:rFonts w:hint="eastAsia" w:ascii="Times New Roman" w:hAnsi="Times New Roman" w:cs="Times New Roman"/>
          <w:color w:val="auto"/>
          <w:sz w:val="21"/>
          <w:szCs w:val="21"/>
          <w:highlight w:val="none"/>
          <w:lang w:val="en-US" w:eastAsia="zh-CN"/>
        </w:rPr>
        <w:t>10</w:t>
      </w:r>
      <w:r>
        <w:rPr>
          <w:rFonts w:hint="default" w:ascii="Times New Roman" w:hAnsi="Times New Roman" w:cs="Times New Roman"/>
          <w:color w:val="auto"/>
          <w:sz w:val="21"/>
          <w:szCs w:val="21"/>
          <w:highlight w:val="none"/>
          <w:lang w:val="en-US" w:eastAsia="zh-CN"/>
        </w:rPr>
        <w:t xml:space="preserve"> 新一代数据中台项目（一期）维保费用表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0"/>
        <w:gridCol w:w="6310"/>
      </w:tblGrid>
      <w:tr w14:paraId="5F1F4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0" w:type="dxa"/>
            <w:shd w:val="clear" w:color="auto" w:fill="D7D7D7"/>
            <w:vAlign w:val="center"/>
          </w:tcPr>
          <w:p w14:paraId="2D4C613A">
            <w:pPr>
              <w:spacing w:line="400" w:lineRule="exact"/>
              <w:ind w:left="0" w:firstLine="0" w:firstLineChars="0"/>
              <w:jc w:val="center"/>
              <w:rPr>
                <w:rFonts w:hint="default" w:ascii="Times New Roman" w:hAnsi="Times New Roman" w:cs="Times New Roman"/>
                <w:b/>
                <w:bCs/>
                <w:color w:val="auto"/>
                <w:sz w:val="21"/>
                <w:szCs w:val="21"/>
                <w:highlight w:val="none"/>
                <w:vertAlign w:val="baseline"/>
                <w:lang w:val="en-US" w:eastAsia="zh-CN"/>
              </w:rPr>
            </w:pPr>
            <w:r>
              <w:rPr>
                <w:rFonts w:hint="default" w:ascii="Times New Roman" w:hAnsi="Times New Roman" w:cs="Times New Roman"/>
                <w:b/>
                <w:bCs/>
                <w:color w:val="auto"/>
                <w:sz w:val="21"/>
                <w:szCs w:val="21"/>
                <w:highlight w:val="none"/>
                <w:vertAlign w:val="baseline"/>
                <w:lang w:val="en-US" w:eastAsia="zh-CN"/>
              </w:rPr>
              <w:t>子项目名称</w:t>
            </w:r>
          </w:p>
        </w:tc>
        <w:tc>
          <w:tcPr>
            <w:tcW w:w="6310" w:type="dxa"/>
            <w:shd w:val="clear" w:color="auto" w:fill="D7D7D7"/>
            <w:vAlign w:val="center"/>
          </w:tcPr>
          <w:p w14:paraId="366BBBE1">
            <w:pPr>
              <w:spacing w:line="400" w:lineRule="exact"/>
              <w:ind w:left="0" w:firstLine="0" w:firstLineChars="0"/>
              <w:jc w:val="center"/>
              <w:rPr>
                <w:rFonts w:hint="default" w:ascii="Times New Roman" w:hAnsi="Times New Roman" w:cs="Times New Roman"/>
                <w:b/>
                <w:bCs/>
                <w:color w:val="auto"/>
                <w:sz w:val="21"/>
                <w:szCs w:val="21"/>
                <w:highlight w:val="none"/>
                <w:vertAlign w:val="baseline"/>
                <w:lang w:val="en-US" w:eastAsia="zh-CN"/>
              </w:rPr>
            </w:pPr>
            <w:r>
              <w:rPr>
                <w:rFonts w:hint="default" w:ascii="Times New Roman" w:hAnsi="Times New Roman" w:cs="Times New Roman"/>
                <w:b/>
                <w:bCs/>
                <w:color w:val="auto"/>
                <w:sz w:val="21"/>
                <w:szCs w:val="21"/>
                <w:highlight w:val="none"/>
                <w:vertAlign w:val="baseline"/>
                <w:lang w:val="en-US" w:eastAsia="zh-CN"/>
              </w:rPr>
              <w:t>维保费用要求</w:t>
            </w:r>
          </w:p>
        </w:tc>
      </w:tr>
      <w:tr w14:paraId="0C9E0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2190" w:type="dxa"/>
            <w:vAlign w:val="center"/>
          </w:tcPr>
          <w:p w14:paraId="6D5DBB5C">
            <w:pPr>
              <w:pBdr>
                <w:top w:val="none" w:color="auto" w:sz="0" w:space="0"/>
                <w:left w:val="none" w:color="auto" w:sz="0" w:space="0"/>
                <w:bottom w:val="none" w:color="auto" w:sz="0" w:space="0"/>
                <w:right w:val="none" w:color="auto" w:sz="0" w:space="0"/>
              </w:pBdr>
              <w:spacing w:beforeAutospacing="0" w:afterAutospacing="0" w:line="400" w:lineRule="exact"/>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湖仓一体底座</w:t>
            </w:r>
          </w:p>
        </w:tc>
        <w:tc>
          <w:tcPr>
            <w:tcW w:w="6310" w:type="dxa"/>
            <w:tcBorders>
              <w:left w:val="single" w:color="auto" w:sz="4" w:space="0"/>
            </w:tcBorders>
            <w:vAlign w:val="center"/>
          </w:tcPr>
          <w:p w14:paraId="3017946E">
            <w:pPr>
              <w:pBdr>
                <w:top w:val="none" w:color="auto" w:sz="0" w:space="0"/>
                <w:left w:val="none" w:color="auto" w:sz="0" w:space="0"/>
                <w:bottom w:val="none" w:color="auto" w:sz="0" w:space="0"/>
                <w:right w:val="none" w:color="auto" w:sz="0" w:space="0"/>
              </w:pBdr>
              <w:spacing w:line="400" w:lineRule="exact"/>
              <w:ind w:left="0"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免费</w:t>
            </w:r>
            <w:r>
              <w:rPr>
                <w:rFonts w:hint="default" w:ascii="Times New Roman" w:hAnsi="Times New Roman" w:cs="Times New Roman"/>
                <w:color w:val="auto"/>
                <w:sz w:val="21"/>
                <w:szCs w:val="21"/>
                <w:highlight w:val="none"/>
              </w:rPr>
              <w:t>维护期满后，后续每年维保费用不超过</w:t>
            </w:r>
            <w:r>
              <w:rPr>
                <w:rFonts w:hint="default" w:ascii="Times New Roman" w:hAnsi="Times New Roman" w:cs="Times New Roman"/>
                <w:color w:val="auto"/>
                <w:sz w:val="21"/>
                <w:szCs w:val="21"/>
                <w:highlight w:val="none"/>
                <w:lang w:val="en-US" w:eastAsia="zh-CN"/>
              </w:rPr>
              <w:t>该</w:t>
            </w:r>
            <w:r>
              <w:rPr>
                <w:rFonts w:hint="default" w:ascii="Times New Roman" w:hAnsi="Times New Roman" w:cs="Times New Roman"/>
                <w:color w:val="auto"/>
                <w:sz w:val="21"/>
                <w:szCs w:val="21"/>
                <w:highlight w:val="none"/>
              </w:rPr>
              <w:t>子项目产品服务总价的8%，具体维保费用以合同约定为准。</w:t>
            </w:r>
          </w:p>
        </w:tc>
      </w:tr>
      <w:tr w14:paraId="3F135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0" w:type="dxa"/>
            <w:vAlign w:val="center"/>
          </w:tcPr>
          <w:p w14:paraId="0B179531">
            <w:pPr>
              <w:pBdr>
                <w:top w:val="none" w:color="auto" w:sz="0" w:space="0"/>
                <w:left w:val="none" w:color="auto" w:sz="0" w:space="0"/>
                <w:bottom w:val="none" w:color="auto" w:sz="0" w:space="0"/>
                <w:right w:val="none" w:color="auto" w:sz="0" w:space="0"/>
              </w:pBdr>
              <w:spacing w:beforeAutospacing="0" w:afterAutospacing="0" w:line="400" w:lineRule="exact"/>
              <w:ind w:firstLine="0" w:firstLineChars="0"/>
              <w:jc w:val="center"/>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数据作业平台</w:t>
            </w:r>
          </w:p>
        </w:tc>
        <w:tc>
          <w:tcPr>
            <w:tcW w:w="6310" w:type="dxa"/>
            <w:tcBorders>
              <w:left w:val="single" w:color="auto" w:sz="4" w:space="0"/>
            </w:tcBorders>
            <w:vAlign w:val="center"/>
          </w:tcPr>
          <w:p w14:paraId="0AF39131">
            <w:pPr>
              <w:pBdr>
                <w:top w:val="none" w:color="auto" w:sz="0" w:space="0"/>
                <w:left w:val="none" w:color="auto" w:sz="0" w:space="0"/>
                <w:bottom w:val="none" w:color="auto" w:sz="0" w:space="0"/>
                <w:right w:val="none" w:color="auto" w:sz="0" w:space="0"/>
              </w:pBdr>
              <w:spacing w:line="400" w:lineRule="exact"/>
              <w:ind w:left="0"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免费</w:t>
            </w:r>
            <w:r>
              <w:rPr>
                <w:rFonts w:hint="default" w:ascii="Times New Roman" w:hAnsi="Times New Roman" w:cs="Times New Roman"/>
                <w:color w:val="auto"/>
                <w:sz w:val="21"/>
                <w:szCs w:val="21"/>
                <w:highlight w:val="none"/>
              </w:rPr>
              <w:t>维护期满后，后续每年维保费用不超过</w:t>
            </w:r>
            <w:r>
              <w:rPr>
                <w:rFonts w:hint="default" w:ascii="Times New Roman" w:hAnsi="Times New Roman" w:cs="Times New Roman"/>
                <w:color w:val="auto"/>
                <w:sz w:val="21"/>
                <w:szCs w:val="21"/>
                <w:highlight w:val="none"/>
                <w:lang w:val="en-US" w:eastAsia="zh-CN"/>
              </w:rPr>
              <w:t>该</w:t>
            </w:r>
            <w:r>
              <w:rPr>
                <w:rFonts w:hint="default" w:ascii="Times New Roman" w:hAnsi="Times New Roman" w:cs="Times New Roman"/>
                <w:color w:val="auto"/>
                <w:sz w:val="21"/>
                <w:szCs w:val="21"/>
                <w:highlight w:val="none"/>
              </w:rPr>
              <w:t>子项目产品服务总价的8%，具体维保费用以合同约定为准。</w:t>
            </w:r>
          </w:p>
        </w:tc>
      </w:tr>
    </w:tbl>
    <w:p w14:paraId="03EB458D">
      <w:pPr>
        <w:pStyle w:val="4"/>
        <w:keepNext w:val="0"/>
        <w:keepLines w:val="0"/>
        <w:pageBreakBefore w:val="0"/>
        <w:widowControl w:val="0"/>
        <w:kinsoku/>
        <w:wordWrap/>
        <w:overflowPunct/>
        <w:topLinePunct w:val="0"/>
        <w:autoSpaceDE w:val="0"/>
        <w:autoSpaceDN w:val="0"/>
        <w:bidi w:val="0"/>
        <w:adjustRightInd/>
        <w:snapToGrid/>
        <w:spacing w:line="600" w:lineRule="exact"/>
        <w:ind w:firstLine="482" w:firstLineChars="200"/>
        <w:jc w:val="both"/>
        <w:textAlignment w:val="auto"/>
        <w:outlineLvl w:val="2"/>
        <w:rPr>
          <w:rFonts w:hint="default" w:ascii="Times New Roman" w:hAnsi="Times New Roman" w:cs="Times New Roman"/>
          <w:b/>
          <w:bCs w:val="0"/>
          <w:color w:val="auto"/>
          <w:sz w:val="24"/>
          <w:szCs w:val="24"/>
          <w:highlight w:val="none"/>
          <w:lang w:val="en-US" w:eastAsia="zh-CN"/>
        </w:rPr>
      </w:pPr>
      <w:r>
        <w:rPr>
          <w:rFonts w:hint="eastAsia" w:ascii="Times New Roman" w:hAnsi="Times New Roman" w:cs="Times New Roman"/>
          <w:b/>
          <w:bCs w:val="0"/>
          <w:color w:val="auto"/>
          <w:sz w:val="24"/>
          <w:szCs w:val="24"/>
          <w:highlight w:val="none"/>
          <w:lang w:val="en-US" w:eastAsia="zh-CN"/>
        </w:rPr>
        <w:t xml:space="preserve">3.3 </w:t>
      </w:r>
      <w:r>
        <w:rPr>
          <w:rFonts w:hint="default" w:ascii="Times New Roman" w:hAnsi="Times New Roman" w:cs="Times New Roman"/>
          <w:b/>
          <w:bCs w:val="0"/>
          <w:color w:val="auto"/>
          <w:sz w:val="24"/>
          <w:szCs w:val="24"/>
          <w:highlight w:val="none"/>
          <w:lang w:val="en-US" w:eastAsia="zh-CN"/>
        </w:rPr>
        <w:t>服务连续性预案</w:t>
      </w:r>
    </w:p>
    <w:p w14:paraId="5D270050">
      <w:pPr>
        <w:rPr>
          <w:rFonts w:hint="default" w:ascii="Times New Roman" w:hAnsi="Times New Roman" w:cs="Times New Roman"/>
          <w:color w:val="auto"/>
          <w:highlight w:val="none"/>
        </w:rPr>
      </w:pPr>
      <w:r>
        <w:rPr>
          <w:rFonts w:hint="default" w:ascii="Times New Roman" w:hAnsi="Times New Roman" w:cs="Times New Roman"/>
          <w:color w:val="auto"/>
          <w:highlight w:val="none"/>
        </w:rPr>
        <w:t>在本次比选中，参选人应在参选文件中提供服务连续性预案供比选人查看，服务连续性预案应考虑供应链风险产生的影响。【提供服务连续性预案】</w:t>
      </w:r>
    </w:p>
    <w:p w14:paraId="1887CE9D">
      <w:pPr>
        <w:pStyle w:val="4"/>
        <w:keepNext w:val="0"/>
        <w:keepLines w:val="0"/>
        <w:pageBreakBefore w:val="0"/>
        <w:widowControl w:val="0"/>
        <w:kinsoku/>
        <w:wordWrap/>
        <w:overflowPunct/>
        <w:topLinePunct w:val="0"/>
        <w:autoSpaceDE w:val="0"/>
        <w:autoSpaceDN w:val="0"/>
        <w:bidi w:val="0"/>
        <w:adjustRightInd/>
        <w:snapToGrid/>
        <w:spacing w:line="600" w:lineRule="exact"/>
        <w:ind w:firstLine="482" w:firstLineChars="200"/>
        <w:jc w:val="both"/>
        <w:textAlignment w:val="auto"/>
        <w:outlineLvl w:val="2"/>
        <w:rPr>
          <w:rFonts w:hint="default" w:ascii="Times New Roman" w:hAnsi="Times New Roman" w:cs="Times New Roman"/>
          <w:b/>
          <w:bCs w:val="0"/>
          <w:color w:val="auto"/>
          <w:sz w:val="24"/>
          <w:szCs w:val="24"/>
          <w:highlight w:val="none"/>
          <w:lang w:val="en-US" w:eastAsia="zh-CN"/>
        </w:rPr>
      </w:pPr>
      <w:r>
        <w:rPr>
          <w:rFonts w:hint="eastAsia" w:ascii="Times New Roman" w:hAnsi="Times New Roman" w:cs="Times New Roman"/>
          <w:b/>
          <w:bCs w:val="0"/>
          <w:color w:val="auto"/>
          <w:sz w:val="24"/>
          <w:szCs w:val="24"/>
          <w:highlight w:val="none"/>
          <w:lang w:val="en-US" w:eastAsia="zh-CN"/>
        </w:rPr>
        <w:t xml:space="preserve">3.4 </w:t>
      </w:r>
      <w:r>
        <w:rPr>
          <w:rFonts w:hint="default" w:ascii="Times New Roman" w:hAnsi="Times New Roman" w:cs="Times New Roman"/>
          <w:b/>
          <w:bCs w:val="0"/>
          <w:color w:val="auto"/>
          <w:sz w:val="24"/>
          <w:szCs w:val="24"/>
          <w:highlight w:val="none"/>
          <w:lang w:val="en-US" w:eastAsia="zh-CN"/>
        </w:rPr>
        <w:t>项目实施方案</w:t>
      </w:r>
    </w:p>
    <w:p w14:paraId="65D08311">
      <w:pPr>
        <w:rPr>
          <w:rFonts w:hint="eastAsia" w:ascii="Times New Roman" w:hAnsi="Times New Roman" w:cs="Times New Roman"/>
          <w:color w:val="auto"/>
          <w:highlight w:val="none"/>
          <w:lang w:val="en-US" w:eastAsia="zh-CN"/>
        </w:rPr>
      </w:pPr>
      <w:r>
        <w:rPr>
          <w:rFonts w:hint="default" w:ascii="Times New Roman" w:hAnsi="Times New Roman" w:cs="Times New Roman"/>
          <w:color w:val="auto"/>
          <w:highlight w:val="none"/>
        </w:rPr>
        <w:t>在本次比选中，参选人应在参选文件中提供项目实施方案供比选人查看</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方案</w:t>
      </w:r>
      <w:r>
        <w:rPr>
          <w:rFonts w:hint="eastAsia" w:ascii="Times New Roman" w:hAnsi="Times New Roman" w:cs="Times New Roman"/>
          <w:color w:val="auto"/>
          <w:highlight w:val="none"/>
          <w:lang w:val="en-US" w:eastAsia="zh-CN"/>
        </w:rPr>
        <w:t>应在对本项目的理解上，至少需提供如下内容：</w:t>
      </w:r>
    </w:p>
    <w:p w14:paraId="6A2D3097">
      <w:pPr>
        <w:numPr>
          <w:ilvl w:val="0"/>
          <w:numId w:val="17"/>
        </w:numPr>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产品介绍：包括湖仓一体底座和数据作业平台的产品主要功能介绍；</w:t>
      </w:r>
    </w:p>
    <w:p w14:paraId="44586076">
      <w:pPr>
        <w:numPr>
          <w:ilvl w:val="0"/>
          <w:numId w:val="17"/>
        </w:numPr>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实施和迁移方案：根据比选人对本项目的要求，阐述本项目的详细实施和迁移的方案，如进度规划、里程碑计划、各阶段提交资料内容等。</w:t>
      </w:r>
    </w:p>
    <w:bookmarkEnd w:id="60"/>
    <w:bookmarkEnd w:id="61"/>
    <w:p w14:paraId="08BDF481">
      <w:pPr>
        <w:keepNext w:val="0"/>
        <w:keepLines w:val="0"/>
        <w:pageBreakBefore w:val="0"/>
        <w:widowControl w:val="0"/>
        <w:numPr>
          <w:ilvl w:val="-1"/>
          <w:numId w:val="0"/>
        </w:numPr>
        <w:kinsoku/>
        <w:wordWrap/>
        <w:overflowPunct/>
        <w:topLinePunct w:val="0"/>
        <w:autoSpaceDE w:val="0"/>
        <w:autoSpaceDN w:val="0"/>
        <w:bidi w:val="0"/>
        <w:adjustRightInd/>
        <w:snapToGrid/>
        <w:ind w:firstLine="480" w:firstLineChars="200"/>
        <w:textAlignment w:val="auto"/>
        <w:rPr>
          <w:rFonts w:hint="default" w:ascii="Times New Roman" w:hAnsi="Times New Roman" w:cs="Times New Roman"/>
          <w:color w:val="auto"/>
          <w:highlight w:val="none"/>
          <w:lang w:val="en-US" w:eastAsia="zh-CN"/>
        </w:rPr>
      </w:pPr>
      <w:bookmarkStart w:id="66" w:name="_Toc89675148"/>
      <w:bookmarkStart w:id="67" w:name="_Toc15059422"/>
      <w:r>
        <w:rPr>
          <w:rFonts w:ascii="Times New Roman" w:hAnsi="Times New Roman" w:cs="Times New Roman"/>
          <w:color w:val="auto"/>
          <w:highlight w:val="none"/>
        </w:rPr>
        <w:t>【提供项目实施方案】</w:t>
      </w:r>
    </w:p>
    <w:p w14:paraId="022EAA6D">
      <w:pPr>
        <w:pStyle w:val="4"/>
        <w:keepNext w:val="0"/>
        <w:keepLines w:val="0"/>
        <w:pageBreakBefore w:val="0"/>
        <w:widowControl w:val="0"/>
        <w:kinsoku/>
        <w:wordWrap/>
        <w:overflowPunct/>
        <w:topLinePunct w:val="0"/>
        <w:autoSpaceDE w:val="0"/>
        <w:autoSpaceDN w:val="0"/>
        <w:bidi w:val="0"/>
        <w:adjustRightInd/>
        <w:snapToGrid/>
        <w:spacing w:line="600" w:lineRule="exact"/>
        <w:ind w:firstLine="482" w:firstLineChars="200"/>
        <w:jc w:val="both"/>
        <w:textAlignment w:val="auto"/>
        <w:outlineLvl w:val="2"/>
        <w:rPr>
          <w:rFonts w:hint="default" w:ascii="Times New Roman" w:hAnsi="Times New Roman" w:cs="Times New Roman"/>
          <w:b/>
          <w:bCs w:val="0"/>
          <w:color w:val="auto"/>
          <w:sz w:val="24"/>
          <w:szCs w:val="24"/>
          <w:highlight w:val="none"/>
          <w:lang w:val="en-US" w:eastAsia="zh-CN"/>
        </w:rPr>
      </w:pPr>
      <w:r>
        <w:rPr>
          <w:rFonts w:hint="eastAsia" w:ascii="Times New Roman" w:hAnsi="Times New Roman" w:cs="Times New Roman"/>
          <w:b/>
          <w:bCs w:val="0"/>
          <w:color w:val="auto"/>
          <w:sz w:val="24"/>
          <w:szCs w:val="24"/>
          <w:highlight w:val="none"/>
          <w:lang w:val="en-US" w:eastAsia="zh-CN"/>
        </w:rPr>
        <w:t xml:space="preserve">3.5 </w:t>
      </w:r>
      <w:r>
        <w:rPr>
          <w:rFonts w:hint="default" w:ascii="Times New Roman" w:hAnsi="Times New Roman" w:cs="Times New Roman"/>
          <w:b/>
          <w:bCs w:val="0"/>
          <w:color w:val="auto"/>
          <w:sz w:val="24"/>
          <w:szCs w:val="24"/>
          <w:highlight w:val="none"/>
          <w:lang w:val="en-US" w:eastAsia="zh-CN"/>
        </w:rPr>
        <w:t>付款方式</w:t>
      </w:r>
      <w:bookmarkEnd w:id="66"/>
      <w:bookmarkEnd w:id="67"/>
    </w:p>
    <w:p w14:paraId="0A88DA15">
      <w:pPr>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本项目产品服务</w:t>
      </w:r>
      <w:r>
        <w:rPr>
          <w:rFonts w:hint="default" w:ascii="Times New Roman" w:hAnsi="Times New Roman" w:cs="Times New Roman"/>
          <w:color w:val="auto"/>
          <w:highlight w:val="none"/>
          <w:lang w:val="en-US" w:eastAsia="zh-CN"/>
        </w:rPr>
        <w:t>及实施费用</w:t>
      </w:r>
      <w:r>
        <w:rPr>
          <w:rFonts w:hint="default" w:ascii="Times New Roman" w:hAnsi="Times New Roman" w:cs="Times New Roman"/>
          <w:color w:val="auto"/>
          <w:highlight w:val="none"/>
        </w:rPr>
        <w:t>采用分期付款方式，</w:t>
      </w:r>
      <w:r>
        <w:rPr>
          <w:rFonts w:hint="default" w:ascii="Times New Roman" w:hAnsi="Times New Roman" w:cs="Times New Roman"/>
          <w:color w:val="auto"/>
          <w:highlight w:val="none"/>
          <w:lang w:eastAsia="zh-CN"/>
        </w:rPr>
        <w:t>须严格按照合同内容开具增值税专用发票（产品增值税专用发票税率：13%；实施服务增值税专用发票税率：6%），</w:t>
      </w:r>
      <w:r>
        <w:rPr>
          <w:rFonts w:hint="default" w:ascii="Times New Roman" w:hAnsi="Times New Roman" w:cs="Times New Roman"/>
          <w:color w:val="auto"/>
          <w:highlight w:val="none"/>
          <w:lang w:val="en-US" w:eastAsia="zh-CN"/>
        </w:rPr>
        <w:t>不含税价格不因国家税率变化而变化</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若合同履行期间，如遇国家的税率调整，则价税合计应该相应调整，以开具发票的时间为准。项目实施款项</w:t>
      </w:r>
      <w:r>
        <w:rPr>
          <w:rFonts w:hint="eastAsia" w:ascii="Times New Roman" w:hAnsi="Times New Roman" w:cs="Times New Roman"/>
          <w:color w:val="auto"/>
          <w:highlight w:val="none"/>
          <w:lang w:val="en-US" w:eastAsia="zh-CN"/>
        </w:rPr>
        <w:t>拟</w:t>
      </w:r>
      <w:r>
        <w:rPr>
          <w:rFonts w:hint="default" w:ascii="Times New Roman" w:hAnsi="Times New Roman" w:cs="Times New Roman"/>
          <w:color w:val="auto"/>
          <w:highlight w:val="none"/>
          <w:lang w:val="en-US" w:eastAsia="zh-CN"/>
        </w:rPr>
        <w:t>采用</w:t>
      </w:r>
      <w:r>
        <w:rPr>
          <w:rFonts w:hint="eastAsia" w:ascii="Times New Roman" w:hAnsi="Times New Roman" w:cs="Times New Roman"/>
          <w:color w:val="auto"/>
          <w:highlight w:val="none"/>
          <w:lang w:val="en-US" w:eastAsia="zh-CN"/>
        </w:rPr>
        <w:t>如下</w:t>
      </w:r>
      <w:r>
        <w:rPr>
          <w:rFonts w:hint="default" w:ascii="Times New Roman" w:hAnsi="Times New Roman" w:cs="Times New Roman"/>
          <w:color w:val="auto"/>
          <w:highlight w:val="none"/>
          <w:lang w:val="en-US" w:eastAsia="zh-CN"/>
        </w:rPr>
        <w:t>分期付款方式，</w:t>
      </w:r>
      <w:r>
        <w:rPr>
          <w:rFonts w:hint="eastAsia" w:ascii="Times New Roman" w:hAnsi="Times New Roman" w:cs="Times New Roman"/>
          <w:color w:val="auto"/>
          <w:highlight w:val="none"/>
          <w:lang w:val="en-US" w:eastAsia="zh-CN"/>
        </w:rPr>
        <w:t>具体以项目合同为准</w:t>
      </w:r>
      <w:r>
        <w:rPr>
          <w:rFonts w:hint="default" w:ascii="Times New Roman" w:hAnsi="Times New Roman" w:cs="Times New Roman"/>
          <w:color w:val="auto"/>
          <w:highlight w:val="none"/>
        </w:rPr>
        <w:t>：</w:t>
      </w:r>
    </w:p>
    <w:p w14:paraId="382F1BB6">
      <w:pPr>
        <w:pStyle w:val="43"/>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0" w:beforeAutospacing="0" w:after="0" w:afterAutospacing="0" w:line="600" w:lineRule="exact"/>
        <w:ind w:firstLine="480" w:firstLineChars="200"/>
        <w:textAlignment w:val="auto"/>
        <w:rPr>
          <w:rFonts w:hint="default" w:ascii="Times New Roman" w:hAnsi="Times New Roman" w:cs="Times New Roman"/>
          <w:color w:val="auto"/>
          <w:szCs w:val="24"/>
          <w:highlight w:val="none"/>
          <w:lang w:val="en-US" w:eastAsia="zh-CN"/>
        </w:rPr>
      </w:pPr>
      <w:r>
        <w:rPr>
          <w:rFonts w:hint="eastAsia" w:ascii="Times New Roman" w:hAnsi="Times New Roman" w:cs="Times New Roman"/>
          <w:color w:val="auto"/>
          <w:szCs w:val="24"/>
          <w:highlight w:val="none"/>
          <w:lang w:val="en-US" w:eastAsia="zh-CN"/>
        </w:rPr>
        <w:t>（1）</w:t>
      </w:r>
      <w:r>
        <w:rPr>
          <w:rFonts w:hint="default" w:ascii="Times New Roman" w:hAnsi="Times New Roman" w:cs="Times New Roman"/>
          <w:color w:val="auto"/>
          <w:szCs w:val="24"/>
          <w:highlight w:val="none"/>
          <w:lang w:val="en-US" w:eastAsia="zh-CN"/>
        </w:rPr>
        <w:t>湖仓一体底座和数据作业平台部署完成</w:t>
      </w:r>
      <w:r>
        <w:rPr>
          <w:rFonts w:hint="eastAsia" w:ascii="Times New Roman" w:hAnsi="Times New Roman" w:cs="Times New Roman"/>
          <w:color w:val="auto"/>
          <w:szCs w:val="24"/>
          <w:highlight w:val="none"/>
          <w:lang w:val="en-US" w:eastAsia="zh-CN"/>
        </w:rPr>
        <w:t>（包括产品的客制化开发完后完成）</w:t>
      </w:r>
      <w:r>
        <w:rPr>
          <w:rFonts w:hint="default" w:ascii="Times New Roman" w:hAnsi="Times New Roman" w:cs="Times New Roman"/>
          <w:color w:val="auto"/>
          <w:szCs w:val="24"/>
          <w:highlight w:val="none"/>
          <w:lang w:val="en-US" w:eastAsia="zh-CN"/>
        </w:rPr>
        <w:t>，收到</w:t>
      </w:r>
      <w:r>
        <w:rPr>
          <w:rFonts w:hint="eastAsia" w:ascii="Times New Roman" w:hAnsi="Times New Roman" w:cs="Times New Roman"/>
          <w:color w:val="auto"/>
          <w:highlight w:val="none"/>
          <w:lang w:val="en-US" w:eastAsia="zh-CN"/>
        </w:rPr>
        <w:t>参选</w:t>
      </w:r>
      <w:r>
        <w:rPr>
          <w:rFonts w:hint="default" w:ascii="Times New Roman" w:hAnsi="Times New Roman" w:cs="Times New Roman"/>
          <w:color w:val="auto"/>
          <w:highlight w:val="none"/>
        </w:rPr>
        <w:t>人</w:t>
      </w:r>
      <w:r>
        <w:rPr>
          <w:rFonts w:hint="default" w:ascii="Times New Roman" w:hAnsi="Times New Roman" w:cs="Times New Roman"/>
          <w:color w:val="auto"/>
          <w:szCs w:val="24"/>
          <w:highlight w:val="none"/>
          <w:lang w:val="en-US" w:eastAsia="zh-CN"/>
        </w:rPr>
        <w:t>开具的正式发票30个工作日内，支付项目合同总价的</w:t>
      </w:r>
      <w:r>
        <w:rPr>
          <w:rFonts w:hint="eastAsia" w:ascii="Times New Roman" w:hAnsi="Times New Roman" w:cs="Times New Roman"/>
          <w:color w:val="auto"/>
          <w:szCs w:val="24"/>
          <w:highlight w:val="none"/>
          <w:lang w:val="en-US" w:eastAsia="zh-CN"/>
        </w:rPr>
        <w:t>3</w:t>
      </w:r>
      <w:r>
        <w:rPr>
          <w:rFonts w:hint="default" w:ascii="Times New Roman" w:hAnsi="Times New Roman" w:cs="Times New Roman"/>
          <w:color w:val="auto"/>
          <w:szCs w:val="24"/>
          <w:highlight w:val="none"/>
          <w:lang w:val="en-US" w:eastAsia="zh-CN"/>
        </w:rPr>
        <w:t>0％；</w:t>
      </w:r>
    </w:p>
    <w:p w14:paraId="6854F490">
      <w:pPr>
        <w:pStyle w:val="43"/>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0" w:beforeAutospacing="0" w:after="0" w:afterAutospacing="0" w:line="600" w:lineRule="exact"/>
        <w:ind w:firstLine="480" w:firstLineChars="200"/>
        <w:textAlignment w:val="auto"/>
        <w:rPr>
          <w:rFonts w:hint="default" w:ascii="Times New Roman" w:hAnsi="Times New Roman" w:cs="Times New Roman"/>
          <w:color w:val="auto"/>
          <w:szCs w:val="24"/>
          <w:highlight w:val="none"/>
          <w:lang w:val="en-US" w:eastAsia="zh-CN"/>
        </w:rPr>
      </w:pPr>
      <w:r>
        <w:rPr>
          <w:rFonts w:hint="eastAsia" w:ascii="Times New Roman" w:hAnsi="Times New Roman" w:cs="Times New Roman"/>
          <w:color w:val="auto"/>
          <w:szCs w:val="24"/>
          <w:highlight w:val="none"/>
          <w:lang w:val="en-US" w:eastAsia="zh-CN"/>
        </w:rPr>
        <w:t>（2）本</w:t>
      </w:r>
      <w:r>
        <w:rPr>
          <w:rFonts w:hint="default" w:ascii="Times New Roman" w:hAnsi="Times New Roman" w:cs="Times New Roman"/>
          <w:color w:val="auto"/>
          <w:szCs w:val="24"/>
          <w:highlight w:val="none"/>
          <w:lang w:val="en-US" w:eastAsia="zh-CN"/>
        </w:rPr>
        <w:t>项目实施和迁移完成并投入</w:t>
      </w:r>
      <w:r>
        <w:rPr>
          <w:rFonts w:hint="eastAsia" w:ascii="Times New Roman" w:hAnsi="Times New Roman" w:cs="Times New Roman"/>
          <w:color w:val="auto"/>
          <w:szCs w:val="24"/>
          <w:highlight w:val="none"/>
          <w:lang w:val="en-US" w:eastAsia="zh-CN"/>
        </w:rPr>
        <w:t>试运行</w:t>
      </w:r>
      <w:r>
        <w:rPr>
          <w:rFonts w:hint="default" w:ascii="Times New Roman" w:hAnsi="Times New Roman" w:cs="Times New Roman"/>
          <w:color w:val="auto"/>
          <w:szCs w:val="24"/>
          <w:highlight w:val="none"/>
          <w:lang w:val="en-US" w:eastAsia="zh-CN"/>
        </w:rPr>
        <w:t>，收到</w:t>
      </w:r>
      <w:r>
        <w:rPr>
          <w:rFonts w:hint="eastAsia" w:ascii="Times New Roman" w:hAnsi="Times New Roman" w:cs="Times New Roman"/>
          <w:color w:val="auto"/>
          <w:highlight w:val="none"/>
          <w:lang w:val="en-US" w:eastAsia="zh-CN"/>
        </w:rPr>
        <w:t>参选</w:t>
      </w:r>
      <w:r>
        <w:rPr>
          <w:rFonts w:hint="default" w:ascii="Times New Roman" w:hAnsi="Times New Roman" w:cs="Times New Roman"/>
          <w:color w:val="auto"/>
          <w:highlight w:val="none"/>
        </w:rPr>
        <w:t>人</w:t>
      </w:r>
      <w:r>
        <w:rPr>
          <w:rFonts w:hint="default" w:ascii="Times New Roman" w:hAnsi="Times New Roman" w:cs="Times New Roman"/>
          <w:color w:val="auto"/>
          <w:szCs w:val="24"/>
          <w:highlight w:val="none"/>
          <w:lang w:val="en-US" w:eastAsia="zh-CN"/>
        </w:rPr>
        <w:t>开具的正式发票30个工作日内，支付项目合同总价的</w:t>
      </w:r>
      <w:r>
        <w:rPr>
          <w:rFonts w:hint="eastAsia" w:ascii="Times New Roman" w:hAnsi="Times New Roman" w:cs="Times New Roman"/>
          <w:color w:val="auto"/>
          <w:szCs w:val="24"/>
          <w:highlight w:val="none"/>
          <w:lang w:val="en-US" w:eastAsia="zh-CN"/>
        </w:rPr>
        <w:t>3</w:t>
      </w:r>
      <w:r>
        <w:rPr>
          <w:rFonts w:hint="default" w:ascii="Times New Roman" w:hAnsi="Times New Roman" w:cs="Times New Roman"/>
          <w:color w:val="auto"/>
          <w:szCs w:val="24"/>
          <w:highlight w:val="none"/>
          <w:lang w:val="en-US" w:eastAsia="zh-CN"/>
        </w:rPr>
        <w:t>0％；</w:t>
      </w:r>
    </w:p>
    <w:p w14:paraId="1666759A">
      <w:pPr>
        <w:pStyle w:val="43"/>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0" w:beforeAutospacing="0" w:after="0" w:afterAutospacing="0" w:line="600" w:lineRule="exact"/>
        <w:ind w:firstLine="480" w:firstLineChars="200"/>
        <w:textAlignment w:val="auto"/>
        <w:rPr>
          <w:rFonts w:hint="default" w:ascii="Times New Roman" w:hAnsi="Times New Roman" w:cs="Times New Roman"/>
          <w:color w:val="auto"/>
          <w:szCs w:val="24"/>
          <w:highlight w:val="none"/>
          <w:lang w:val="en-US" w:eastAsia="zh-CN"/>
        </w:rPr>
      </w:pPr>
      <w:r>
        <w:rPr>
          <w:rFonts w:hint="eastAsia" w:ascii="Times New Roman" w:hAnsi="Times New Roman" w:cs="Times New Roman"/>
          <w:color w:val="auto"/>
          <w:szCs w:val="24"/>
          <w:highlight w:val="none"/>
          <w:lang w:val="en-US" w:eastAsia="zh-CN"/>
        </w:rPr>
        <w:t>（3）本</w:t>
      </w:r>
      <w:r>
        <w:rPr>
          <w:rFonts w:hint="default" w:ascii="Times New Roman" w:hAnsi="Times New Roman" w:cs="Times New Roman"/>
          <w:color w:val="auto"/>
          <w:szCs w:val="24"/>
          <w:highlight w:val="none"/>
          <w:lang w:val="en-US" w:eastAsia="zh-CN"/>
        </w:rPr>
        <w:t>项目</w:t>
      </w:r>
      <w:r>
        <w:rPr>
          <w:rFonts w:hint="eastAsia" w:ascii="Times New Roman" w:hAnsi="Times New Roman" w:cs="Times New Roman"/>
          <w:color w:val="auto"/>
          <w:szCs w:val="24"/>
          <w:highlight w:val="none"/>
          <w:lang w:val="en-US" w:eastAsia="zh-CN"/>
        </w:rPr>
        <w:t>试运行结束并</w:t>
      </w:r>
      <w:r>
        <w:rPr>
          <w:rFonts w:hint="default" w:ascii="Times New Roman" w:hAnsi="Times New Roman" w:cs="Times New Roman"/>
          <w:color w:val="auto"/>
          <w:szCs w:val="24"/>
          <w:highlight w:val="none"/>
          <w:lang w:val="en-US" w:eastAsia="zh-CN"/>
        </w:rPr>
        <w:t>验收合格后，收到</w:t>
      </w:r>
      <w:r>
        <w:rPr>
          <w:rFonts w:hint="eastAsia" w:ascii="Times New Roman" w:hAnsi="Times New Roman" w:cs="Times New Roman"/>
          <w:color w:val="auto"/>
          <w:highlight w:val="none"/>
          <w:lang w:val="en-US" w:eastAsia="zh-CN"/>
        </w:rPr>
        <w:t>参选</w:t>
      </w:r>
      <w:r>
        <w:rPr>
          <w:rFonts w:hint="default" w:ascii="Times New Roman" w:hAnsi="Times New Roman" w:cs="Times New Roman"/>
          <w:color w:val="auto"/>
          <w:highlight w:val="none"/>
        </w:rPr>
        <w:t>人</w:t>
      </w:r>
      <w:r>
        <w:rPr>
          <w:rFonts w:hint="default" w:ascii="Times New Roman" w:hAnsi="Times New Roman" w:cs="Times New Roman"/>
          <w:color w:val="auto"/>
          <w:szCs w:val="24"/>
          <w:highlight w:val="none"/>
          <w:lang w:val="en-US" w:eastAsia="zh-CN"/>
        </w:rPr>
        <w:t>开具的正式发票30个工作日内，支付项目合同总价的</w:t>
      </w:r>
      <w:r>
        <w:rPr>
          <w:rFonts w:hint="eastAsia" w:ascii="Times New Roman" w:hAnsi="Times New Roman" w:cs="Times New Roman"/>
          <w:color w:val="auto"/>
          <w:szCs w:val="24"/>
          <w:highlight w:val="none"/>
          <w:lang w:val="en-US" w:eastAsia="zh-CN"/>
        </w:rPr>
        <w:t>3</w:t>
      </w:r>
      <w:r>
        <w:rPr>
          <w:rFonts w:hint="default" w:ascii="Times New Roman" w:hAnsi="Times New Roman" w:cs="Times New Roman"/>
          <w:color w:val="auto"/>
          <w:szCs w:val="24"/>
          <w:highlight w:val="none"/>
          <w:lang w:val="en-US" w:eastAsia="zh-CN"/>
        </w:rPr>
        <w:t>0％；</w:t>
      </w:r>
    </w:p>
    <w:p w14:paraId="2C2A355D">
      <w:pPr>
        <w:pStyle w:val="43"/>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0" w:beforeAutospacing="0" w:after="0" w:afterAutospacing="0" w:line="600" w:lineRule="exact"/>
        <w:ind w:firstLine="480" w:firstLineChars="200"/>
        <w:textAlignment w:val="auto"/>
        <w:rPr>
          <w:rFonts w:hint="default" w:ascii="Times New Roman" w:hAnsi="Times New Roman" w:cs="Times New Roman"/>
          <w:color w:val="auto"/>
          <w:szCs w:val="24"/>
          <w:highlight w:val="none"/>
          <w:lang w:val="en-US" w:eastAsia="zh-CN"/>
        </w:rPr>
      </w:pPr>
      <w:r>
        <w:rPr>
          <w:rFonts w:hint="eastAsia" w:ascii="Times New Roman" w:hAnsi="Times New Roman" w:cs="Times New Roman"/>
          <w:color w:val="auto"/>
          <w:szCs w:val="24"/>
          <w:highlight w:val="none"/>
          <w:lang w:val="en-US" w:eastAsia="zh-CN"/>
        </w:rPr>
        <w:t>（4）</w:t>
      </w:r>
      <w:r>
        <w:rPr>
          <w:rFonts w:hint="default" w:ascii="Times New Roman" w:hAnsi="Times New Roman" w:cs="Times New Roman"/>
          <w:color w:val="auto"/>
          <w:szCs w:val="24"/>
          <w:highlight w:val="none"/>
          <w:lang w:val="en-US" w:eastAsia="zh-CN"/>
        </w:rPr>
        <w:t>免费维护到期后，收到</w:t>
      </w:r>
      <w:r>
        <w:rPr>
          <w:rFonts w:hint="eastAsia" w:ascii="Times New Roman" w:hAnsi="Times New Roman" w:cs="Times New Roman"/>
          <w:color w:val="auto"/>
          <w:highlight w:val="none"/>
          <w:lang w:val="en-US" w:eastAsia="zh-CN"/>
        </w:rPr>
        <w:t>参选</w:t>
      </w:r>
      <w:r>
        <w:rPr>
          <w:rFonts w:hint="default" w:ascii="Times New Roman" w:hAnsi="Times New Roman" w:cs="Times New Roman"/>
          <w:color w:val="auto"/>
          <w:highlight w:val="none"/>
        </w:rPr>
        <w:t>人</w:t>
      </w:r>
      <w:r>
        <w:rPr>
          <w:rFonts w:hint="default" w:ascii="Times New Roman" w:hAnsi="Times New Roman" w:cs="Times New Roman"/>
          <w:color w:val="auto"/>
          <w:szCs w:val="24"/>
          <w:highlight w:val="none"/>
          <w:lang w:val="en-US" w:eastAsia="zh-CN"/>
        </w:rPr>
        <w:t>开具的正式发票30个工作日内，支付项目合同总价的10%。</w:t>
      </w:r>
    </w:p>
    <w:p w14:paraId="365EE81D">
      <w:pPr>
        <w:pStyle w:val="4"/>
        <w:keepNext w:val="0"/>
        <w:keepLines w:val="0"/>
        <w:pageBreakBefore w:val="0"/>
        <w:widowControl w:val="0"/>
        <w:kinsoku/>
        <w:wordWrap/>
        <w:overflowPunct/>
        <w:topLinePunct w:val="0"/>
        <w:autoSpaceDE w:val="0"/>
        <w:autoSpaceDN w:val="0"/>
        <w:bidi w:val="0"/>
        <w:adjustRightInd/>
        <w:snapToGrid/>
        <w:spacing w:line="600" w:lineRule="exact"/>
        <w:ind w:firstLine="482" w:firstLineChars="200"/>
        <w:jc w:val="both"/>
        <w:textAlignment w:val="auto"/>
        <w:outlineLvl w:val="2"/>
        <w:rPr>
          <w:rFonts w:hint="default" w:ascii="Times New Roman" w:hAnsi="Times New Roman" w:cs="Times New Roman"/>
          <w:b/>
          <w:bCs w:val="0"/>
          <w:color w:val="auto"/>
          <w:sz w:val="24"/>
          <w:szCs w:val="24"/>
          <w:highlight w:val="none"/>
          <w:lang w:val="en-US" w:eastAsia="zh-CN"/>
        </w:rPr>
      </w:pPr>
      <w:bookmarkStart w:id="68" w:name="_Toc89675150"/>
      <w:bookmarkStart w:id="69" w:name="_Toc15059424"/>
      <w:r>
        <w:rPr>
          <w:rFonts w:hint="eastAsia" w:ascii="Times New Roman" w:hAnsi="Times New Roman" w:cs="Times New Roman"/>
          <w:b/>
          <w:bCs w:val="0"/>
          <w:color w:val="auto"/>
          <w:sz w:val="24"/>
          <w:szCs w:val="24"/>
          <w:highlight w:val="none"/>
          <w:lang w:val="en-US" w:eastAsia="zh-CN"/>
        </w:rPr>
        <w:t xml:space="preserve">3.6 </w:t>
      </w:r>
      <w:r>
        <w:rPr>
          <w:rFonts w:hint="default" w:ascii="Times New Roman" w:hAnsi="Times New Roman" w:cs="Times New Roman"/>
          <w:b/>
          <w:bCs w:val="0"/>
          <w:color w:val="auto"/>
          <w:sz w:val="24"/>
          <w:szCs w:val="24"/>
          <w:highlight w:val="none"/>
          <w:lang w:val="en-US" w:eastAsia="zh-CN"/>
        </w:rPr>
        <w:t>保密条款</w:t>
      </w:r>
      <w:bookmarkEnd w:id="62"/>
      <w:bookmarkEnd w:id="63"/>
      <w:bookmarkEnd w:id="64"/>
      <w:bookmarkEnd w:id="65"/>
      <w:bookmarkEnd w:id="68"/>
      <w:bookmarkEnd w:id="69"/>
    </w:p>
    <w:p w14:paraId="238AB98A">
      <w:pPr>
        <w:pStyle w:val="5"/>
        <w:keepNext w:val="0"/>
        <w:keepLines w:val="0"/>
        <w:pageBreakBefore w:val="0"/>
        <w:widowControl w:val="0"/>
        <w:kinsoku/>
        <w:wordWrap/>
        <w:overflowPunct/>
        <w:topLinePunct w:val="0"/>
        <w:autoSpaceDE w:val="0"/>
        <w:autoSpaceDN w:val="0"/>
        <w:bidi w:val="0"/>
        <w:adjustRightInd/>
        <w:snapToGrid/>
        <w:spacing w:beforeAutospacing="0" w:afterAutospacing="0"/>
        <w:ind w:firstLine="482" w:firstLineChars="200"/>
        <w:textAlignment w:val="auto"/>
        <w:outlineLvl w:val="3"/>
        <w:rPr>
          <w:rFonts w:hint="default" w:ascii="Times New Roman" w:hAnsi="Times New Roman" w:cs="Times New Roman"/>
          <w:b/>
          <w:bCs w:val="0"/>
          <w:color w:val="auto"/>
          <w:highlight w:val="none"/>
          <w:lang w:val="en-US" w:eastAsia="zh-CN"/>
        </w:rPr>
      </w:pPr>
      <w:r>
        <w:rPr>
          <w:rFonts w:hint="eastAsia" w:ascii="Times New Roman" w:hAnsi="Times New Roman" w:cs="Times New Roman"/>
          <w:b/>
          <w:bCs w:val="0"/>
          <w:color w:val="auto"/>
          <w:highlight w:val="none"/>
          <w:lang w:val="en-US" w:eastAsia="zh-CN"/>
        </w:rPr>
        <w:t xml:space="preserve">3.6.1 </w:t>
      </w:r>
      <w:r>
        <w:rPr>
          <w:rFonts w:hint="default" w:ascii="Times New Roman" w:hAnsi="Times New Roman" w:cs="Times New Roman"/>
          <w:b/>
          <w:bCs w:val="0"/>
          <w:color w:val="auto"/>
          <w:highlight w:val="none"/>
          <w:lang w:val="en-US" w:eastAsia="zh-CN"/>
        </w:rPr>
        <w:t>保密范围</w:t>
      </w:r>
    </w:p>
    <w:p w14:paraId="12417773">
      <w:pPr>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参选</w:t>
      </w:r>
      <w:r>
        <w:rPr>
          <w:rFonts w:hint="default" w:ascii="Times New Roman" w:hAnsi="Times New Roman" w:cs="Times New Roman"/>
          <w:color w:val="auto"/>
          <w:highlight w:val="none"/>
        </w:rPr>
        <w:t>人在实施过程中接触到的比选人知识产权、经营信息</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文档、数据</w:t>
      </w:r>
      <w:r>
        <w:rPr>
          <w:rFonts w:hint="default" w:ascii="Times New Roman" w:hAnsi="Times New Roman" w:cs="Times New Roman"/>
          <w:color w:val="auto"/>
          <w:highlight w:val="none"/>
        </w:rPr>
        <w:t>等。</w:t>
      </w:r>
    </w:p>
    <w:p w14:paraId="260F1E35">
      <w:pPr>
        <w:pStyle w:val="5"/>
        <w:keepNext w:val="0"/>
        <w:keepLines w:val="0"/>
        <w:pageBreakBefore w:val="0"/>
        <w:widowControl w:val="0"/>
        <w:kinsoku/>
        <w:wordWrap/>
        <w:overflowPunct/>
        <w:topLinePunct w:val="0"/>
        <w:autoSpaceDE w:val="0"/>
        <w:autoSpaceDN w:val="0"/>
        <w:bidi w:val="0"/>
        <w:adjustRightInd/>
        <w:snapToGrid/>
        <w:spacing w:beforeAutospacing="0" w:afterAutospacing="0"/>
        <w:ind w:firstLine="482" w:firstLineChars="200"/>
        <w:textAlignment w:val="auto"/>
        <w:outlineLvl w:val="3"/>
        <w:rPr>
          <w:rFonts w:hint="default" w:ascii="Times New Roman" w:hAnsi="Times New Roman" w:cs="Times New Roman"/>
          <w:b/>
          <w:bCs w:val="0"/>
          <w:color w:val="auto"/>
          <w:highlight w:val="none"/>
          <w:lang w:val="en-US" w:eastAsia="zh-CN"/>
        </w:rPr>
      </w:pPr>
      <w:r>
        <w:rPr>
          <w:rFonts w:hint="eastAsia" w:ascii="Times New Roman" w:hAnsi="Times New Roman" w:cs="Times New Roman"/>
          <w:b/>
          <w:bCs w:val="0"/>
          <w:color w:val="auto"/>
          <w:highlight w:val="none"/>
          <w:lang w:val="en-US" w:eastAsia="zh-CN"/>
        </w:rPr>
        <w:t xml:space="preserve">3.6.2 </w:t>
      </w:r>
      <w:r>
        <w:rPr>
          <w:rFonts w:hint="default" w:ascii="Times New Roman" w:hAnsi="Times New Roman" w:cs="Times New Roman"/>
          <w:b/>
          <w:bCs w:val="0"/>
          <w:color w:val="auto"/>
          <w:highlight w:val="none"/>
          <w:lang w:val="en-US" w:eastAsia="zh-CN"/>
        </w:rPr>
        <w:t>保密责任</w:t>
      </w:r>
    </w:p>
    <w:p w14:paraId="449CA836">
      <w:pPr>
        <w:rPr>
          <w:rFonts w:hint="default" w:ascii="Times New Roman" w:hAnsi="Times New Roman" w:cs="Times New Roman"/>
          <w:color w:val="auto"/>
          <w:highlight w:val="none"/>
        </w:rPr>
      </w:pPr>
      <w:r>
        <w:rPr>
          <w:rFonts w:hint="default" w:ascii="Times New Roman" w:hAnsi="Times New Roman" w:cs="Times New Roman"/>
          <w:color w:val="auto"/>
          <w:highlight w:val="none"/>
        </w:rPr>
        <w:t>双方互为保密资料的提供方和接受方，负有保密义务，承担保密责任。除经过双方书面同意，任何一方不得将有关内容提供给合同以外的第三人。</w:t>
      </w:r>
    </w:p>
    <w:p w14:paraId="1B50F709">
      <w:pPr>
        <w:pStyle w:val="4"/>
        <w:keepNext w:val="0"/>
        <w:keepLines w:val="0"/>
        <w:pageBreakBefore w:val="0"/>
        <w:widowControl w:val="0"/>
        <w:kinsoku/>
        <w:wordWrap/>
        <w:overflowPunct/>
        <w:topLinePunct w:val="0"/>
        <w:autoSpaceDE w:val="0"/>
        <w:autoSpaceDN w:val="0"/>
        <w:bidi w:val="0"/>
        <w:adjustRightInd/>
        <w:snapToGrid/>
        <w:spacing w:line="600" w:lineRule="exact"/>
        <w:ind w:firstLine="482" w:firstLineChars="200"/>
        <w:jc w:val="both"/>
        <w:textAlignment w:val="auto"/>
        <w:outlineLvl w:val="2"/>
        <w:rPr>
          <w:rFonts w:hint="default" w:ascii="Times New Roman" w:hAnsi="Times New Roman" w:cs="Times New Roman"/>
          <w:b/>
          <w:bCs w:val="0"/>
          <w:color w:val="auto"/>
          <w:sz w:val="24"/>
          <w:szCs w:val="24"/>
          <w:highlight w:val="none"/>
          <w:lang w:val="en-US" w:eastAsia="zh-CN"/>
        </w:rPr>
      </w:pPr>
      <w:r>
        <w:rPr>
          <w:rFonts w:hint="eastAsia" w:ascii="Times New Roman" w:hAnsi="Times New Roman" w:cs="Times New Roman"/>
          <w:b/>
          <w:bCs w:val="0"/>
          <w:color w:val="auto"/>
          <w:sz w:val="24"/>
          <w:szCs w:val="24"/>
          <w:highlight w:val="none"/>
          <w:lang w:val="en-US" w:eastAsia="zh-CN"/>
        </w:rPr>
        <w:t xml:space="preserve">3.7 </w:t>
      </w:r>
      <w:r>
        <w:rPr>
          <w:rFonts w:hint="default" w:ascii="Times New Roman" w:hAnsi="Times New Roman" w:cs="Times New Roman"/>
          <w:b/>
          <w:bCs w:val="0"/>
          <w:color w:val="auto"/>
          <w:sz w:val="24"/>
          <w:szCs w:val="24"/>
          <w:highlight w:val="none"/>
          <w:lang w:val="en-US" w:eastAsia="zh-CN"/>
        </w:rPr>
        <w:t>报价要求</w:t>
      </w:r>
    </w:p>
    <w:p w14:paraId="66FD0DAD">
      <w:pP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参选人应严格按照《参选文件格式》的</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报价清单</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的格式认真填写。</w:t>
      </w:r>
    </w:p>
    <w:p w14:paraId="3337060C">
      <w:pPr>
        <w:pStyle w:val="4"/>
        <w:keepNext w:val="0"/>
        <w:keepLines w:val="0"/>
        <w:pageBreakBefore w:val="0"/>
        <w:widowControl w:val="0"/>
        <w:kinsoku/>
        <w:wordWrap/>
        <w:overflowPunct/>
        <w:topLinePunct w:val="0"/>
        <w:autoSpaceDE w:val="0"/>
        <w:autoSpaceDN w:val="0"/>
        <w:bidi w:val="0"/>
        <w:adjustRightInd/>
        <w:snapToGrid/>
        <w:spacing w:line="600" w:lineRule="exact"/>
        <w:ind w:firstLine="482" w:firstLineChars="200"/>
        <w:jc w:val="both"/>
        <w:textAlignment w:val="auto"/>
        <w:outlineLvl w:val="2"/>
        <w:rPr>
          <w:rFonts w:hint="default" w:ascii="Times New Roman" w:hAnsi="Times New Roman" w:cs="Times New Roman"/>
          <w:b/>
          <w:bCs w:val="0"/>
          <w:color w:val="auto"/>
          <w:sz w:val="24"/>
          <w:szCs w:val="24"/>
          <w:highlight w:val="none"/>
          <w:lang w:val="en-US" w:eastAsia="zh-CN"/>
        </w:rPr>
      </w:pPr>
      <w:bookmarkStart w:id="70" w:name="_Toc89675152"/>
      <w:bookmarkStart w:id="71" w:name="_Toc15059426"/>
      <w:r>
        <w:rPr>
          <w:rFonts w:hint="eastAsia" w:ascii="Times New Roman" w:hAnsi="Times New Roman" w:cs="Times New Roman"/>
          <w:b/>
          <w:bCs w:val="0"/>
          <w:color w:val="auto"/>
          <w:sz w:val="24"/>
          <w:szCs w:val="24"/>
          <w:highlight w:val="none"/>
          <w:lang w:val="en-US" w:eastAsia="zh-CN"/>
        </w:rPr>
        <w:t xml:space="preserve">3.8 </w:t>
      </w:r>
      <w:r>
        <w:rPr>
          <w:rFonts w:hint="default" w:ascii="Times New Roman" w:hAnsi="Times New Roman" w:cs="Times New Roman"/>
          <w:b/>
          <w:bCs w:val="0"/>
          <w:color w:val="auto"/>
          <w:sz w:val="24"/>
          <w:szCs w:val="24"/>
          <w:highlight w:val="none"/>
          <w:lang w:val="en-US" w:eastAsia="zh-CN"/>
        </w:rPr>
        <w:t>知识产权</w:t>
      </w:r>
      <w:bookmarkEnd w:id="70"/>
      <w:bookmarkEnd w:id="71"/>
    </w:p>
    <w:p w14:paraId="71F1AF9C">
      <w:pPr>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参选</w:t>
      </w:r>
      <w:r>
        <w:rPr>
          <w:rFonts w:hint="default" w:ascii="Times New Roman" w:hAnsi="Times New Roman" w:cs="Times New Roman"/>
          <w:color w:val="auto"/>
          <w:highlight w:val="none"/>
        </w:rPr>
        <w:t>人提供的产品和服务以及在项目中用到的各种工具、产品、组件、文档不得侵犯任何方的知识产权和其他合法权益。不得侵犯比选人商誉，任何人未经比选人同意不得使用比选人合法所有的知识产权，由此造成的一切损失由</w:t>
      </w:r>
      <w:r>
        <w:rPr>
          <w:rFonts w:hint="eastAsia" w:ascii="Times New Roman" w:hAnsi="Times New Roman" w:cs="Times New Roman"/>
          <w:color w:val="auto"/>
          <w:highlight w:val="none"/>
          <w:lang w:val="en-US" w:eastAsia="zh-CN"/>
        </w:rPr>
        <w:t>参选</w:t>
      </w:r>
      <w:r>
        <w:rPr>
          <w:rFonts w:hint="default" w:ascii="Times New Roman" w:hAnsi="Times New Roman" w:cs="Times New Roman"/>
          <w:color w:val="auto"/>
          <w:highlight w:val="none"/>
        </w:rPr>
        <w:t>人承担赔偿责任。如无特殊说明，本项目定制开发部分知识产权归比选人所有。</w:t>
      </w:r>
    </w:p>
    <w:p w14:paraId="24C78F2F">
      <w:pPr>
        <w:rPr>
          <w:rFonts w:hint="default" w:ascii="Times New Roman" w:hAnsi="Times New Roman" w:cs="Times New Roman"/>
          <w:color w:val="auto"/>
          <w:highlight w:val="none"/>
        </w:rPr>
      </w:pPr>
      <w:r>
        <w:rPr>
          <w:rFonts w:hint="default" w:ascii="Times New Roman" w:hAnsi="Times New Roman" w:cs="Times New Roman"/>
          <w:color w:val="auto"/>
          <w:highlight w:val="none"/>
        </w:rPr>
        <w:t>一经发现</w:t>
      </w:r>
      <w:r>
        <w:rPr>
          <w:rFonts w:hint="eastAsia" w:ascii="Times New Roman" w:hAnsi="Times New Roman" w:cs="Times New Roman"/>
          <w:color w:val="auto"/>
          <w:highlight w:val="none"/>
          <w:lang w:val="en-US" w:eastAsia="zh-CN"/>
        </w:rPr>
        <w:t>参选</w:t>
      </w:r>
      <w:r>
        <w:rPr>
          <w:rFonts w:hint="default" w:ascii="Times New Roman" w:hAnsi="Times New Roman" w:cs="Times New Roman"/>
          <w:color w:val="auto"/>
          <w:highlight w:val="none"/>
        </w:rPr>
        <w:t>人将我行具有自主知识产权的系统代码违规转让、销售、赠送或泄露给第三方，或者通过互联网渠道（如百度网盘、GitHub仓库等）违规公开分享与该系统相关的重要配置数据、开发设计文档以及产品源代码，将视情节轻重情况给予中选方相应处罚（处罚金额不低于合同金额的10%）。</w:t>
      </w:r>
    </w:p>
    <w:p w14:paraId="0E69CDC8">
      <w:pPr>
        <w:pStyle w:val="4"/>
        <w:keepNext w:val="0"/>
        <w:keepLines w:val="0"/>
        <w:pageBreakBefore w:val="0"/>
        <w:widowControl w:val="0"/>
        <w:kinsoku/>
        <w:wordWrap/>
        <w:overflowPunct/>
        <w:topLinePunct w:val="0"/>
        <w:autoSpaceDE w:val="0"/>
        <w:autoSpaceDN w:val="0"/>
        <w:bidi w:val="0"/>
        <w:adjustRightInd/>
        <w:snapToGrid/>
        <w:spacing w:line="600" w:lineRule="exact"/>
        <w:ind w:firstLine="482" w:firstLineChars="200"/>
        <w:jc w:val="both"/>
        <w:textAlignment w:val="auto"/>
        <w:outlineLvl w:val="2"/>
        <w:rPr>
          <w:rFonts w:hint="default" w:ascii="Times New Roman" w:hAnsi="Times New Roman" w:cs="Times New Roman"/>
          <w:b/>
          <w:bCs w:val="0"/>
          <w:color w:val="auto"/>
          <w:sz w:val="24"/>
          <w:szCs w:val="24"/>
          <w:highlight w:val="none"/>
          <w:lang w:val="en-US" w:eastAsia="zh-CN"/>
        </w:rPr>
      </w:pPr>
      <w:bookmarkStart w:id="72" w:name="_Toc89675153"/>
      <w:bookmarkStart w:id="73" w:name="_Toc15059427"/>
      <w:r>
        <w:rPr>
          <w:rFonts w:hint="eastAsia" w:ascii="Times New Roman" w:hAnsi="Times New Roman" w:cs="Times New Roman"/>
          <w:b/>
          <w:bCs w:val="0"/>
          <w:color w:val="auto"/>
          <w:sz w:val="24"/>
          <w:szCs w:val="24"/>
          <w:highlight w:val="none"/>
          <w:lang w:val="en-US" w:eastAsia="zh-CN"/>
        </w:rPr>
        <w:t xml:space="preserve">3.9 </w:t>
      </w:r>
      <w:r>
        <w:rPr>
          <w:rFonts w:hint="default" w:ascii="Times New Roman" w:hAnsi="Times New Roman" w:cs="Times New Roman"/>
          <w:b/>
          <w:bCs w:val="0"/>
          <w:color w:val="auto"/>
          <w:sz w:val="24"/>
          <w:szCs w:val="24"/>
          <w:highlight w:val="none"/>
          <w:lang w:val="en-US" w:eastAsia="zh-CN"/>
        </w:rPr>
        <w:t>其他</w:t>
      </w:r>
      <w:bookmarkEnd w:id="72"/>
      <w:bookmarkEnd w:id="73"/>
    </w:p>
    <w:p w14:paraId="3360671D">
      <w:pPr>
        <w:rPr>
          <w:rFonts w:hint="default" w:ascii="Times New Roman" w:hAnsi="Times New Roman" w:eastAsia="宋体" w:cs="Times New Roman"/>
          <w:color w:val="auto"/>
          <w:highlight w:val="none"/>
          <w:lang w:eastAsia="zh-CN"/>
        </w:rPr>
      </w:pP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1）参选人必须在</w:t>
      </w:r>
      <w:r>
        <w:rPr>
          <w:rFonts w:ascii="Times New Roman" w:hAnsi="Times New Roman" w:cs="Times New Roman"/>
          <w:color w:val="auto"/>
          <w:highlight w:val="none"/>
        </w:rPr>
        <w:t>响应承诺函中对本章内容做出整体承诺</w:t>
      </w:r>
      <w:r>
        <w:rPr>
          <w:rFonts w:hint="default" w:ascii="Times New Roman" w:hAnsi="Times New Roman" w:cs="Times New Roman"/>
          <w:color w:val="auto"/>
          <w:highlight w:val="none"/>
        </w:rPr>
        <w:t>，承诺内容必须达到本</w:t>
      </w:r>
      <w:r>
        <w:rPr>
          <w:rFonts w:hint="eastAsia" w:ascii="Times New Roman" w:hAnsi="Times New Roman" w:cs="Times New Roman"/>
          <w:color w:val="auto"/>
          <w:highlight w:val="none"/>
        </w:rPr>
        <w:t>章</w:t>
      </w:r>
      <w:r>
        <w:rPr>
          <w:rFonts w:hint="default" w:ascii="Times New Roman" w:hAnsi="Times New Roman" w:cs="Times New Roman"/>
          <w:color w:val="auto"/>
          <w:highlight w:val="none"/>
        </w:rPr>
        <w:t>及比选文件其他条款的要求</w:t>
      </w:r>
      <w:r>
        <w:rPr>
          <w:rFonts w:ascii="Times New Roman" w:hAnsi="Times New Roman" w:cs="Times New Roman"/>
          <w:color w:val="auto"/>
          <w:highlight w:val="none"/>
        </w:rPr>
        <w:t>。</w:t>
      </w:r>
    </w:p>
    <w:p w14:paraId="0EB4D64C">
      <w:pPr>
        <w:rPr>
          <w:rFonts w:ascii="Times New Roman" w:hAnsi="Times New Roman" w:cs="Times New Roman"/>
          <w:color w:val="auto"/>
          <w:highlight w:val="none"/>
        </w:rPr>
      </w:pP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2</w:t>
      </w:r>
      <w:r>
        <w:rPr>
          <w:rFonts w:ascii="Times New Roman" w:hAnsi="Times New Roman" w:cs="Times New Roman"/>
          <w:color w:val="auto"/>
          <w:highlight w:val="none"/>
        </w:rPr>
        <w:t>）参选人应根据本章内容和要求，提供对应材料，内容齐全，无遗漏。</w:t>
      </w:r>
    </w:p>
    <w:p w14:paraId="2297230D">
      <w:pPr>
        <w:rPr>
          <w:rFonts w:hint="default" w:ascii="Times New Roman" w:hAnsi="Times New Roman" w:cs="Times New Roman"/>
          <w:snapToGrid w:val="0"/>
          <w:color w:val="auto"/>
          <w:kern w:val="0"/>
          <w:szCs w:val="24"/>
          <w:highlight w:val="none"/>
        </w:rPr>
      </w:pPr>
      <w:r>
        <w:rPr>
          <w:rFonts w:hint="eastAsia" w:ascii="Times New Roman" w:hAnsi="Times New Roman" w:cs="Times New Roman"/>
          <w:color w:val="auto"/>
          <w:highlight w:val="none"/>
          <w:lang w:eastAsia="zh-CN"/>
        </w:rPr>
        <w:t>（</w:t>
      </w:r>
      <w:r>
        <w:rPr>
          <w:rFonts w:ascii="Times New Roman" w:hAnsi="Times New Roman" w:cs="Times New Roman"/>
          <w:color w:val="auto"/>
          <w:highlight w:val="none"/>
        </w:rPr>
        <w:t>3</w:t>
      </w:r>
      <w:r>
        <w:rPr>
          <w:rFonts w:hint="default" w:ascii="Times New Roman" w:hAnsi="Times New Roman" w:cs="Times New Roman"/>
          <w:color w:val="auto"/>
          <w:highlight w:val="none"/>
        </w:rPr>
        <w:t>）其他未尽事宜由供需双方在合同中详细约定。</w:t>
      </w:r>
    </w:p>
    <w:p w14:paraId="1B76DA60">
      <w:pPr>
        <w:snapToGrid w:val="0"/>
        <w:spacing w:line="360" w:lineRule="auto"/>
        <w:rPr>
          <w:rFonts w:hint="default" w:ascii="Times New Roman" w:hAnsi="Times New Roman" w:cs="Times New Roman"/>
          <w:snapToGrid w:val="0"/>
          <w:color w:val="auto"/>
          <w:kern w:val="0"/>
          <w:szCs w:val="24"/>
          <w:highlight w:val="none"/>
        </w:rPr>
      </w:pPr>
      <w:r>
        <w:rPr>
          <w:rFonts w:hint="default" w:ascii="Times New Roman" w:hAnsi="Times New Roman" w:cs="Times New Roman"/>
          <w:snapToGrid w:val="0"/>
          <w:color w:val="auto"/>
          <w:kern w:val="0"/>
          <w:szCs w:val="24"/>
          <w:highlight w:val="none"/>
        </w:rPr>
        <w:br w:type="page"/>
      </w:r>
    </w:p>
    <w:p w14:paraId="50E62246">
      <w:pPr>
        <w:pStyle w:val="3"/>
        <w:keepNext w:val="0"/>
        <w:keepLines w:val="0"/>
        <w:pageBreakBefore w:val="0"/>
        <w:widowControl w:val="0"/>
        <w:tabs>
          <w:tab w:val="left" w:pos="3360"/>
        </w:tabs>
        <w:kinsoku/>
        <w:wordWrap/>
        <w:overflowPunct/>
        <w:topLinePunct w:val="0"/>
        <w:autoSpaceDE w:val="0"/>
        <w:autoSpaceDN w:val="0"/>
        <w:bidi w:val="0"/>
        <w:adjustRightInd/>
        <w:snapToGrid w:val="0"/>
        <w:jc w:val="left"/>
        <w:textAlignment w:val="auto"/>
        <w:outlineLvl w:val="1"/>
        <w:rPr>
          <w:rFonts w:hint="default" w:ascii="Times New Roman" w:hAnsi="Times New Roman" w:eastAsia="宋体" w:cs="Times New Roman"/>
          <w:color w:val="auto"/>
          <w:sz w:val="44"/>
          <w:szCs w:val="44"/>
          <w:highlight w:val="none"/>
          <w:lang w:val="en-US" w:eastAsia="zh-CN"/>
        </w:rPr>
      </w:pPr>
      <w:bookmarkStart w:id="74" w:name="_Toc29189"/>
      <w:r>
        <w:rPr>
          <w:rFonts w:hint="eastAsia" w:ascii="Times New Roman" w:hAnsi="Times New Roman" w:eastAsia="宋体" w:cs="Times New Roman"/>
          <w:color w:val="auto"/>
          <w:sz w:val="44"/>
          <w:szCs w:val="44"/>
          <w:highlight w:val="none"/>
          <w:lang w:val="en-US" w:eastAsia="zh-CN"/>
        </w:rPr>
        <w:t>附件一</w:t>
      </w:r>
    </w:p>
    <w:p w14:paraId="508A0094">
      <w:pPr>
        <w:keepNext w:val="0"/>
        <w:keepLines w:val="0"/>
        <w:pageBreakBefore w:val="0"/>
        <w:widowControl w:val="0"/>
        <w:kinsoku/>
        <w:wordWrap/>
        <w:overflowPunct/>
        <w:topLinePunct w:val="0"/>
        <w:autoSpaceDE w:val="0"/>
        <w:autoSpaceDN w:val="0"/>
        <w:bidi w:val="0"/>
        <w:adjustRightInd/>
        <w:snapToGrid/>
        <w:textAlignment w:val="auto"/>
        <w:outlineLvl w:val="9"/>
        <w:rPr>
          <w:rFonts w:hint="default"/>
          <w:color w:val="auto"/>
          <w:highlight w:val="none"/>
          <w:lang w:val="en-US" w:eastAsia="zh-CN"/>
        </w:rPr>
      </w:pPr>
    </w:p>
    <w:p w14:paraId="21F5B5EE">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eastAsia" w:ascii="宋体" w:eastAsia="宋体" w:cs="宋体"/>
          <w:b/>
          <w:bCs/>
          <w:snapToGrid w:val="0"/>
          <w:color w:val="auto"/>
          <w:kern w:val="0"/>
          <w:sz w:val="36"/>
          <w:szCs w:val="36"/>
          <w:highlight w:val="none"/>
          <w:shd w:val="clear" w:color="auto" w:fill="auto"/>
          <w:lang w:val="en-US" w:eastAsia="zh-CN"/>
        </w:rPr>
      </w:pPr>
      <w:r>
        <w:rPr>
          <w:rFonts w:hint="default" w:ascii="Times New Roman" w:hAnsi="Times New Roman" w:eastAsia="宋体" w:cs="Times New Roman"/>
          <w:b/>
          <w:bCs/>
          <w:snapToGrid w:val="0"/>
          <w:color w:val="auto"/>
          <w:kern w:val="0"/>
          <w:sz w:val="36"/>
          <w:szCs w:val="36"/>
          <w:highlight w:val="none"/>
          <w:shd w:val="clear" w:color="auto" w:fill="auto"/>
          <w:lang w:val="en-US" w:eastAsia="zh-CN"/>
        </w:rPr>
        <w:t>报名</w:t>
      </w:r>
      <w:r>
        <w:rPr>
          <w:rFonts w:hint="eastAsia" w:ascii="宋体" w:eastAsia="宋体" w:cs="宋体"/>
          <w:b/>
          <w:bCs/>
          <w:snapToGrid w:val="0"/>
          <w:color w:val="auto"/>
          <w:kern w:val="0"/>
          <w:sz w:val="36"/>
          <w:szCs w:val="36"/>
          <w:highlight w:val="none"/>
          <w:shd w:val="clear" w:color="auto" w:fill="auto"/>
          <w:lang w:val="en-US" w:eastAsia="zh-CN"/>
        </w:rPr>
        <w:t>函</w:t>
      </w:r>
    </w:p>
    <w:p w14:paraId="6E336930">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宋体" w:cs="Times New Roman"/>
          <w:snapToGrid w:val="0"/>
          <w:color w:val="auto"/>
          <w:kern w:val="0"/>
          <w:sz w:val="24"/>
          <w:szCs w:val="24"/>
          <w:highlight w:val="none"/>
          <w:shd w:val="clear" w:color="auto" w:fill="auto"/>
          <w:lang w:val="en-US" w:eastAsia="zh-CN"/>
        </w:rPr>
      </w:pPr>
      <w:r>
        <w:rPr>
          <w:rFonts w:hint="default" w:ascii="Times New Roman" w:hAnsi="Times New Roman" w:eastAsia="宋体" w:cs="Times New Roman"/>
          <w:snapToGrid w:val="0"/>
          <w:color w:val="auto"/>
          <w:kern w:val="0"/>
          <w:sz w:val="24"/>
          <w:szCs w:val="24"/>
          <w:highlight w:val="none"/>
          <w:shd w:val="clear" w:color="auto" w:fill="auto"/>
          <w:lang w:val="en-US" w:eastAsia="zh-CN"/>
        </w:rPr>
        <w:t>重庆三峡银行股份有限公司：</w:t>
      </w:r>
    </w:p>
    <w:p w14:paraId="250EF627">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宋体" w:cs="Times New Roman"/>
          <w:snapToGrid w:val="0"/>
          <w:color w:val="auto"/>
          <w:kern w:val="0"/>
          <w:sz w:val="24"/>
          <w:szCs w:val="24"/>
          <w:highlight w:val="none"/>
          <w:shd w:val="clear" w:color="auto" w:fill="auto"/>
          <w:lang w:val="en-US" w:eastAsia="zh-CN"/>
        </w:rPr>
      </w:pPr>
      <w:r>
        <w:rPr>
          <w:rFonts w:hint="default" w:ascii="Times New Roman" w:hAnsi="Times New Roman" w:eastAsia="宋体" w:cs="Times New Roman"/>
          <w:snapToGrid w:val="0"/>
          <w:color w:val="auto"/>
          <w:kern w:val="0"/>
          <w:sz w:val="24"/>
          <w:szCs w:val="24"/>
          <w:highlight w:val="none"/>
          <w:shd w:val="clear" w:color="auto" w:fill="auto"/>
          <w:lang w:val="en-US" w:eastAsia="zh-CN"/>
        </w:rPr>
        <w:t>我单位报名参加</w:t>
      </w:r>
      <w:r>
        <w:rPr>
          <w:rFonts w:hint="eastAsia" w:ascii="Times New Roman" w:hAnsi="Times New Roman" w:eastAsia="宋体" w:cs="Times New Roman"/>
          <w:snapToGrid w:val="0"/>
          <w:color w:val="auto"/>
          <w:kern w:val="0"/>
          <w:sz w:val="24"/>
          <w:szCs w:val="24"/>
          <w:highlight w:val="none"/>
          <w:shd w:val="clear" w:color="auto" w:fill="auto"/>
          <w:lang w:val="en-US" w:eastAsia="zh-CN"/>
        </w:rPr>
        <w:t>“</w:t>
      </w:r>
      <w:r>
        <w:rPr>
          <w:rFonts w:hint="default" w:ascii="Times New Roman" w:hAnsi="Times New Roman" w:eastAsia="宋体" w:cs="Times New Roman"/>
          <w:snapToGrid w:val="0"/>
          <w:color w:val="auto"/>
          <w:kern w:val="0"/>
          <w:sz w:val="24"/>
          <w:szCs w:val="24"/>
          <w:highlight w:val="none"/>
          <w:shd w:val="clear" w:color="auto" w:fill="auto"/>
          <w:lang w:val="en-US" w:eastAsia="zh-CN"/>
        </w:rPr>
        <w:t>重庆三峡银行新一代数据中台项目（一期）</w:t>
      </w:r>
      <w:r>
        <w:rPr>
          <w:rFonts w:hint="eastAsia" w:ascii="Times New Roman" w:hAnsi="Times New Roman" w:eastAsia="宋体" w:cs="Times New Roman"/>
          <w:snapToGrid w:val="0"/>
          <w:color w:val="auto"/>
          <w:kern w:val="0"/>
          <w:sz w:val="24"/>
          <w:szCs w:val="24"/>
          <w:highlight w:val="none"/>
          <w:shd w:val="clear" w:color="auto" w:fill="auto"/>
          <w:lang w:val="en-US" w:eastAsia="zh-CN"/>
        </w:rPr>
        <w:t>”</w:t>
      </w:r>
      <w:r>
        <w:rPr>
          <w:rFonts w:hint="default" w:ascii="Times New Roman" w:hAnsi="Times New Roman" w:eastAsia="宋体" w:cs="Times New Roman"/>
          <w:snapToGrid w:val="0"/>
          <w:color w:val="auto"/>
          <w:kern w:val="0"/>
          <w:sz w:val="24"/>
          <w:szCs w:val="24"/>
          <w:highlight w:val="none"/>
          <w:shd w:val="clear" w:color="auto" w:fill="auto"/>
          <w:lang w:val="en-US" w:eastAsia="zh-CN"/>
        </w:rPr>
        <w:t>，将根据比选文件要求，完成本项目POC测试及比选文件递交等项目流程</w:t>
      </w:r>
      <w:r>
        <w:rPr>
          <w:rFonts w:hint="eastAsia" w:ascii="Times New Roman" w:hAnsi="Times New Roman" w:cs="Times New Roman"/>
          <w:snapToGrid w:val="0"/>
          <w:color w:val="auto"/>
          <w:kern w:val="0"/>
          <w:sz w:val="24"/>
          <w:szCs w:val="24"/>
          <w:highlight w:val="none"/>
          <w:shd w:val="clear" w:color="auto" w:fill="auto"/>
          <w:lang w:val="en-US" w:eastAsia="zh-CN"/>
        </w:rPr>
        <w:t>，并承诺本次POC所提供的产品与最终参选提供的产品完全一致</w:t>
      </w:r>
      <w:r>
        <w:rPr>
          <w:rFonts w:hint="default" w:ascii="Times New Roman" w:hAnsi="Times New Roman" w:eastAsia="宋体" w:cs="Times New Roman"/>
          <w:snapToGrid w:val="0"/>
          <w:color w:val="auto"/>
          <w:kern w:val="0"/>
          <w:sz w:val="24"/>
          <w:szCs w:val="24"/>
          <w:highlight w:val="none"/>
          <w:shd w:val="clear" w:color="auto" w:fill="auto"/>
          <w:lang w:val="en-US" w:eastAsia="zh-CN"/>
        </w:rPr>
        <w:t>。</w:t>
      </w:r>
    </w:p>
    <w:p w14:paraId="581B369B">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right"/>
        <w:textAlignment w:val="auto"/>
        <w:rPr>
          <w:rFonts w:hint="eastAsia" w:ascii="宋体" w:eastAsia="宋体" w:cs="宋体"/>
          <w:snapToGrid w:val="0"/>
          <w:color w:val="auto"/>
          <w:kern w:val="0"/>
          <w:sz w:val="24"/>
          <w:szCs w:val="24"/>
          <w:highlight w:val="none"/>
          <w:shd w:val="clear" w:color="auto" w:fill="auto"/>
          <w:lang w:val="en-US" w:eastAsia="zh-CN"/>
        </w:rPr>
      </w:pPr>
    </w:p>
    <w:p w14:paraId="5C2A7DB9">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right"/>
        <w:textAlignment w:val="auto"/>
        <w:rPr>
          <w:rFonts w:hint="eastAsia" w:ascii="宋体" w:eastAsia="宋体" w:cs="宋体"/>
          <w:snapToGrid w:val="0"/>
          <w:color w:val="auto"/>
          <w:kern w:val="0"/>
          <w:sz w:val="24"/>
          <w:szCs w:val="24"/>
          <w:highlight w:val="none"/>
          <w:shd w:val="clear" w:color="auto" w:fill="auto"/>
          <w:lang w:val="en-US" w:eastAsia="zh-CN"/>
        </w:rPr>
      </w:pPr>
    </w:p>
    <w:p w14:paraId="4BFBA54D">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right"/>
        <w:textAlignment w:val="auto"/>
        <w:rPr>
          <w:rFonts w:hint="eastAsia" w:ascii="宋体" w:eastAsia="宋体" w:cs="宋体"/>
          <w:snapToGrid w:val="0"/>
          <w:color w:val="auto"/>
          <w:kern w:val="0"/>
          <w:sz w:val="24"/>
          <w:szCs w:val="24"/>
          <w:highlight w:val="none"/>
          <w:shd w:val="clear" w:color="auto" w:fill="auto"/>
          <w:lang w:val="en-US" w:eastAsia="zh-CN"/>
        </w:rPr>
      </w:pPr>
    </w:p>
    <w:p w14:paraId="4EC4AA4C">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center"/>
        <w:textAlignment w:val="auto"/>
        <w:rPr>
          <w:rFonts w:hint="default" w:ascii="Times New Roman" w:hAnsi="Times New Roman" w:eastAsia="宋体" w:cs="Times New Roman"/>
          <w:snapToGrid w:val="0"/>
          <w:color w:val="auto"/>
          <w:kern w:val="0"/>
          <w:sz w:val="24"/>
          <w:szCs w:val="24"/>
          <w:highlight w:val="none"/>
          <w:shd w:val="clear" w:color="auto" w:fill="auto"/>
          <w:lang w:val="en-US" w:eastAsia="zh-CN"/>
        </w:rPr>
      </w:pPr>
      <w:r>
        <w:rPr>
          <w:rFonts w:hint="eastAsia" w:ascii="宋体" w:cs="宋体"/>
          <w:snapToGrid w:val="0"/>
          <w:color w:val="auto"/>
          <w:kern w:val="0"/>
          <w:sz w:val="24"/>
          <w:szCs w:val="24"/>
          <w:highlight w:val="none"/>
          <w:shd w:val="clear" w:color="auto" w:fill="auto"/>
          <w:lang w:val="en-US" w:eastAsia="zh-CN"/>
        </w:rPr>
        <w:t xml:space="preserve">                      </w:t>
      </w:r>
      <w:r>
        <w:rPr>
          <w:rFonts w:hint="default" w:ascii="Times New Roman" w:hAnsi="Times New Roman" w:cs="Times New Roman"/>
          <w:snapToGrid w:val="0"/>
          <w:color w:val="auto"/>
          <w:kern w:val="0"/>
          <w:sz w:val="24"/>
          <w:szCs w:val="24"/>
          <w:highlight w:val="none"/>
          <w:shd w:val="clear" w:color="auto" w:fill="auto"/>
          <w:lang w:val="en-US" w:eastAsia="zh-CN"/>
        </w:rPr>
        <w:t xml:space="preserve">  </w:t>
      </w:r>
      <w:r>
        <w:rPr>
          <w:rFonts w:hint="default" w:ascii="Times New Roman" w:hAnsi="Times New Roman" w:eastAsia="宋体" w:cs="Times New Roman"/>
          <w:snapToGrid w:val="0"/>
          <w:color w:val="auto"/>
          <w:kern w:val="0"/>
          <w:sz w:val="24"/>
          <w:szCs w:val="24"/>
          <w:highlight w:val="none"/>
          <w:shd w:val="clear" w:color="auto" w:fill="auto"/>
          <w:lang w:val="en-US" w:eastAsia="zh-CN"/>
        </w:rPr>
        <w:t>单位名称（盖章）：</w:t>
      </w:r>
    </w:p>
    <w:p w14:paraId="0EDFFA8F">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center"/>
        <w:textAlignment w:val="auto"/>
        <w:rPr>
          <w:rFonts w:hint="default" w:ascii="Times New Roman" w:hAnsi="Times New Roman" w:cs="Times New Roman"/>
          <w:snapToGrid w:val="0"/>
          <w:color w:val="auto"/>
          <w:kern w:val="0"/>
          <w:sz w:val="24"/>
          <w:szCs w:val="24"/>
          <w:highlight w:val="none"/>
          <w:shd w:val="clear" w:color="auto" w:fill="auto"/>
          <w:lang w:val="en-US" w:eastAsia="zh-CN"/>
        </w:rPr>
      </w:pPr>
      <w:r>
        <w:rPr>
          <w:rFonts w:hint="default" w:ascii="Times New Roman" w:hAnsi="Times New Roman" w:cs="Times New Roman"/>
          <w:snapToGrid w:val="0"/>
          <w:color w:val="auto"/>
          <w:kern w:val="0"/>
          <w:sz w:val="24"/>
          <w:szCs w:val="24"/>
          <w:highlight w:val="none"/>
          <w:shd w:val="clear" w:color="auto" w:fill="auto"/>
          <w:lang w:val="en-US" w:eastAsia="zh-CN"/>
        </w:rPr>
        <w:t xml:space="preserve">                                  联系人：</w:t>
      </w:r>
    </w:p>
    <w:p w14:paraId="0C5E7748">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center"/>
        <w:textAlignment w:val="auto"/>
        <w:rPr>
          <w:rFonts w:hint="default" w:ascii="Times New Roman" w:hAnsi="Times New Roman" w:cs="Times New Roman"/>
          <w:snapToGrid w:val="0"/>
          <w:color w:val="auto"/>
          <w:kern w:val="0"/>
          <w:sz w:val="24"/>
          <w:szCs w:val="24"/>
          <w:highlight w:val="none"/>
          <w:shd w:val="clear" w:color="auto" w:fill="auto"/>
          <w:lang w:val="en-US" w:eastAsia="zh-CN"/>
        </w:rPr>
      </w:pPr>
      <w:r>
        <w:rPr>
          <w:rFonts w:hint="default" w:ascii="Times New Roman" w:hAnsi="Times New Roman" w:cs="Times New Roman"/>
          <w:snapToGrid w:val="0"/>
          <w:color w:val="auto"/>
          <w:kern w:val="0"/>
          <w:sz w:val="24"/>
          <w:szCs w:val="24"/>
          <w:highlight w:val="none"/>
          <w:shd w:val="clear" w:color="auto" w:fill="auto"/>
          <w:lang w:val="en-US" w:eastAsia="zh-CN"/>
        </w:rPr>
        <w:t xml:space="preserve">                                联系电话：</w:t>
      </w:r>
    </w:p>
    <w:p w14:paraId="60D1FABC">
      <w:pPr>
        <w:keepNext w:val="0"/>
        <w:keepLines w:val="0"/>
        <w:pageBreakBefore w:val="0"/>
        <w:widowControl w:val="0"/>
        <w:kinsoku/>
        <w:wordWrap/>
        <w:overflowPunct/>
        <w:topLinePunct w:val="0"/>
        <w:autoSpaceDE/>
        <w:autoSpaceDN/>
        <w:bidi w:val="0"/>
        <w:adjustRightInd/>
        <w:snapToGrid/>
        <w:spacing w:line="600" w:lineRule="exact"/>
        <w:ind w:firstLine="5760" w:firstLineChars="2400"/>
        <w:jc w:val="both"/>
        <w:textAlignment w:val="auto"/>
        <w:rPr>
          <w:rFonts w:hint="default" w:ascii="Times New Roman" w:hAnsi="Times New Roman" w:eastAsia="宋体" w:cs="Times New Roman"/>
          <w:snapToGrid w:val="0"/>
          <w:color w:val="auto"/>
          <w:kern w:val="0"/>
          <w:sz w:val="24"/>
          <w:szCs w:val="24"/>
          <w:highlight w:val="none"/>
          <w:shd w:val="clear" w:color="auto" w:fill="auto"/>
          <w:lang w:val="en-US" w:eastAsia="zh-CN"/>
        </w:rPr>
      </w:pPr>
      <w:r>
        <w:rPr>
          <w:rFonts w:hint="default" w:ascii="Times New Roman" w:hAnsi="Times New Roman" w:eastAsia="宋体" w:cs="Times New Roman"/>
          <w:snapToGrid w:val="0"/>
          <w:color w:val="auto"/>
          <w:kern w:val="0"/>
          <w:sz w:val="24"/>
          <w:szCs w:val="24"/>
          <w:highlight w:val="none"/>
          <w:shd w:val="clear" w:color="auto" w:fill="auto"/>
          <w:lang w:val="en-US" w:eastAsia="zh-CN"/>
        </w:rPr>
        <w:t>202</w:t>
      </w:r>
      <w:r>
        <w:rPr>
          <w:rFonts w:hint="default" w:ascii="Times New Roman" w:hAnsi="Times New Roman" w:cs="Times New Roman"/>
          <w:snapToGrid w:val="0"/>
          <w:color w:val="auto"/>
          <w:kern w:val="0"/>
          <w:sz w:val="24"/>
          <w:szCs w:val="24"/>
          <w:highlight w:val="none"/>
          <w:shd w:val="clear" w:color="auto" w:fill="auto"/>
          <w:lang w:val="en-US" w:eastAsia="zh-CN"/>
        </w:rPr>
        <w:t>4</w:t>
      </w:r>
      <w:r>
        <w:rPr>
          <w:rFonts w:hint="default" w:ascii="Times New Roman" w:hAnsi="Times New Roman" w:eastAsia="宋体" w:cs="Times New Roman"/>
          <w:snapToGrid w:val="0"/>
          <w:color w:val="auto"/>
          <w:kern w:val="0"/>
          <w:sz w:val="24"/>
          <w:szCs w:val="24"/>
          <w:highlight w:val="none"/>
          <w:shd w:val="clear" w:color="auto" w:fill="auto"/>
          <w:lang w:val="en-US" w:eastAsia="zh-CN"/>
        </w:rPr>
        <w:t>年  月  日</w:t>
      </w:r>
    </w:p>
    <w:p w14:paraId="1AD7DF06">
      <w:pPr>
        <w:pStyle w:val="2"/>
        <w:jc w:val="left"/>
        <w:rPr>
          <w:rFonts w:hint="eastAsia" w:ascii="Times New Roman" w:hAnsi="Times New Roman" w:cs="Times New Roman"/>
          <w:color w:val="auto"/>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3F83535">
      <w:pPr>
        <w:pStyle w:val="3"/>
        <w:keepNext w:val="0"/>
        <w:keepLines w:val="0"/>
        <w:pageBreakBefore w:val="0"/>
        <w:widowControl w:val="0"/>
        <w:tabs>
          <w:tab w:val="left" w:pos="3360"/>
        </w:tabs>
        <w:kinsoku/>
        <w:wordWrap/>
        <w:overflowPunct/>
        <w:topLinePunct w:val="0"/>
        <w:autoSpaceDE w:val="0"/>
        <w:autoSpaceDN w:val="0"/>
        <w:bidi w:val="0"/>
        <w:adjustRightInd/>
        <w:snapToGrid w:val="0"/>
        <w:jc w:val="left"/>
        <w:textAlignment w:val="auto"/>
        <w:outlineLvl w:val="1"/>
        <w:rPr>
          <w:rFonts w:hint="default" w:ascii="Times New Roman" w:hAnsi="Times New Roman" w:cs="Times New Roman"/>
          <w:color w:val="auto"/>
          <w:sz w:val="44"/>
          <w:szCs w:val="44"/>
          <w:highlight w:val="none"/>
          <w:lang w:val="en-US" w:eastAsia="zh-CN"/>
        </w:rPr>
      </w:pPr>
      <w:r>
        <w:rPr>
          <w:rFonts w:hint="eastAsia" w:ascii="Times New Roman" w:hAnsi="Times New Roman" w:cs="Times New Roman"/>
          <w:color w:val="auto"/>
          <w:sz w:val="44"/>
          <w:szCs w:val="44"/>
          <w:highlight w:val="none"/>
          <w:lang w:val="en-US" w:eastAsia="zh-CN"/>
        </w:rPr>
        <w:t>附件二</w:t>
      </w:r>
    </w:p>
    <w:p w14:paraId="787BF5DF">
      <w:pPr>
        <w:rPr>
          <w:rFonts w:hint="eastAsia" w:ascii="宋体" w:hAnsi="宋体" w:eastAsia="宋体" w:cs="宋体"/>
          <w:color w:val="auto"/>
          <w:sz w:val="48"/>
          <w:szCs w:val="48"/>
          <w:highlight w:val="none"/>
          <w:lang w:val="en-US" w:eastAsia="zh-CN"/>
        </w:rPr>
      </w:pPr>
    </w:p>
    <w:p w14:paraId="59B1FDBB">
      <w:pPr>
        <w:keepNext w:val="0"/>
        <w:keepLines w:val="0"/>
        <w:pageBreakBefore w:val="0"/>
        <w:widowControl w:val="0"/>
        <w:kinsoku/>
        <w:wordWrap/>
        <w:overflowPunct/>
        <w:topLinePunct w:val="0"/>
        <w:autoSpaceDE w:val="0"/>
        <w:autoSpaceDN w:val="0"/>
        <w:bidi w:val="0"/>
        <w:adjustRightInd/>
        <w:snapToGrid/>
        <w:spacing w:line="720" w:lineRule="auto"/>
        <w:ind w:firstLine="0" w:firstLineChars="0"/>
        <w:jc w:val="center"/>
        <w:textAlignment w:val="auto"/>
        <w:outlineLvl w:val="9"/>
        <w:rPr>
          <w:rFonts w:hint="default" w:ascii="Times New Roman" w:hAnsi="Times New Roman" w:eastAsia="宋体" w:cs="Times New Roman"/>
          <w:b/>
          <w:bCs/>
          <w:color w:val="auto"/>
          <w:sz w:val="48"/>
          <w:szCs w:val="48"/>
          <w:highlight w:val="none"/>
        </w:rPr>
      </w:pPr>
      <w:r>
        <w:rPr>
          <w:rFonts w:hint="default" w:ascii="Times New Roman" w:hAnsi="Times New Roman" w:eastAsia="宋体" w:cs="Times New Roman"/>
          <w:b/>
          <w:bCs/>
          <w:color w:val="auto"/>
          <w:sz w:val="48"/>
          <w:szCs w:val="48"/>
          <w:highlight w:val="none"/>
        </w:rPr>
        <w:t>重庆三峡银行</w:t>
      </w:r>
    </w:p>
    <w:p w14:paraId="4714B182">
      <w:pPr>
        <w:keepNext w:val="0"/>
        <w:keepLines w:val="0"/>
        <w:pageBreakBefore w:val="0"/>
        <w:widowControl w:val="0"/>
        <w:kinsoku/>
        <w:wordWrap/>
        <w:overflowPunct/>
        <w:topLinePunct w:val="0"/>
        <w:autoSpaceDE w:val="0"/>
        <w:autoSpaceDN w:val="0"/>
        <w:bidi w:val="0"/>
        <w:adjustRightInd/>
        <w:snapToGrid/>
        <w:spacing w:line="720" w:lineRule="auto"/>
        <w:ind w:firstLine="0" w:firstLineChars="0"/>
        <w:jc w:val="center"/>
        <w:textAlignment w:val="auto"/>
        <w:outlineLvl w:val="9"/>
        <w:rPr>
          <w:rFonts w:hint="default" w:ascii="Times New Roman" w:hAnsi="Times New Roman" w:eastAsia="宋体" w:cs="Times New Roman"/>
          <w:b/>
          <w:bCs/>
          <w:color w:val="auto"/>
          <w:sz w:val="48"/>
          <w:szCs w:val="48"/>
          <w:highlight w:val="none"/>
          <w:lang w:val="en-US" w:eastAsia="zh-CN"/>
        </w:rPr>
      </w:pPr>
      <w:r>
        <w:rPr>
          <w:rFonts w:hint="default" w:ascii="Times New Roman" w:hAnsi="Times New Roman" w:eastAsia="宋体" w:cs="Times New Roman"/>
          <w:b/>
          <w:bCs/>
          <w:color w:val="auto"/>
          <w:sz w:val="48"/>
          <w:szCs w:val="48"/>
          <w:highlight w:val="none"/>
          <w:lang w:val="en-US" w:eastAsia="zh-CN"/>
        </w:rPr>
        <w:t>新一代数据中台项目（一期）</w:t>
      </w:r>
    </w:p>
    <w:p w14:paraId="40AFADCE">
      <w:pPr>
        <w:keepNext w:val="0"/>
        <w:keepLines w:val="0"/>
        <w:pageBreakBefore w:val="0"/>
        <w:widowControl w:val="0"/>
        <w:kinsoku/>
        <w:wordWrap/>
        <w:overflowPunct/>
        <w:topLinePunct w:val="0"/>
        <w:autoSpaceDE w:val="0"/>
        <w:autoSpaceDN w:val="0"/>
        <w:bidi w:val="0"/>
        <w:adjustRightInd/>
        <w:snapToGrid/>
        <w:spacing w:line="720" w:lineRule="auto"/>
        <w:ind w:firstLine="0" w:firstLineChars="0"/>
        <w:jc w:val="center"/>
        <w:textAlignment w:val="auto"/>
        <w:outlineLvl w:val="9"/>
        <w:rPr>
          <w:rFonts w:hint="default" w:ascii="Times New Roman" w:hAnsi="Times New Roman" w:eastAsia="宋体" w:cs="Times New Roman"/>
          <w:b/>
          <w:bCs/>
          <w:color w:val="auto"/>
          <w:sz w:val="48"/>
          <w:szCs w:val="48"/>
          <w:highlight w:val="none"/>
        </w:rPr>
      </w:pPr>
      <w:r>
        <w:rPr>
          <w:rFonts w:hint="default" w:ascii="Times New Roman" w:hAnsi="Times New Roman" w:eastAsia="宋体" w:cs="Times New Roman"/>
          <w:b/>
          <w:bCs/>
          <w:color w:val="auto"/>
          <w:sz w:val="48"/>
          <w:szCs w:val="48"/>
          <w:highlight w:val="none"/>
        </w:rPr>
        <w:t>POC</w:t>
      </w:r>
      <w:r>
        <w:rPr>
          <w:rFonts w:hint="eastAsia" w:ascii="Times New Roman" w:hAnsi="Times New Roman" w:cs="Times New Roman"/>
          <w:b/>
          <w:bCs/>
          <w:color w:val="auto"/>
          <w:sz w:val="48"/>
          <w:szCs w:val="48"/>
          <w:highlight w:val="none"/>
          <w:lang w:val="en-US" w:eastAsia="zh-CN"/>
        </w:rPr>
        <w:t>测试</w:t>
      </w:r>
      <w:r>
        <w:rPr>
          <w:rFonts w:hint="default" w:ascii="Times New Roman" w:hAnsi="Times New Roman" w:eastAsia="宋体" w:cs="Times New Roman"/>
          <w:b/>
          <w:bCs/>
          <w:color w:val="auto"/>
          <w:sz w:val="48"/>
          <w:szCs w:val="48"/>
          <w:highlight w:val="none"/>
        </w:rPr>
        <w:t>方案</w:t>
      </w:r>
    </w:p>
    <w:p w14:paraId="793B23C7">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outlineLvl w:val="9"/>
        <w:rPr>
          <w:rFonts w:hint="default" w:ascii="Times New Roman" w:hAnsi="Times New Roman" w:eastAsia="宋体" w:cs="Times New Roman"/>
          <w:b/>
          <w:bCs/>
          <w:color w:val="auto"/>
          <w:sz w:val="48"/>
          <w:szCs w:val="48"/>
          <w:highlight w:val="none"/>
        </w:rPr>
      </w:pPr>
    </w:p>
    <w:p w14:paraId="2CB2B94B">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outlineLvl w:val="9"/>
        <w:rPr>
          <w:rFonts w:hint="default" w:ascii="Times New Roman" w:hAnsi="Times New Roman" w:eastAsia="宋体" w:cs="Times New Roman"/>
          <w:b/>
          <w:bCs/>
          <w:color w:val="auto"/>
          <w:sz w:val="48"/>
          <w:szCs w:val="48"/>
          <w:highlight w:val="none"/>
        </w:rPr>
      </w:pPr>
      <w:r>
        <w:rPr>
          <w:color w:val="auto"/>
          <w:highlight w:val="none"/>
        </w:rPr>
        <w:drawing>
          <wp:anchor distT="0" distB="0" distL="114300" distR="114300" simplePos="0" relativeHeight="251660288" behindDoc="0" locked="0" layoutInCell="1" allowOverlap="1">
            <wp:simplePos x="0" y="0"/>
            <wp:positionH relativeFrom="column">
              <wp:posOffset>1241425</wp:posOffset>
            </wp:positionH>
            <wp:positionV relativeFrom="paragraph">
              <wp:posOffset>90170</wp:posOffset>
            </wp:positionV>
            <wp:extent cx="2680970" cy="541655"/>
            <wp:effectExtent l="0" t="0" r="6985" b="0"/>
            <wp:wrapTopAndBottom/>
            <wp:docPr id="4" name="Picture 2" descr="https://www.ccqtgb.com/upload/cn/image/2021-08/col70/16283044721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https://www.ccqtgb.com/upload/cn/image/2021-08/col70/1628304472124.png"/>
                    <pic:cNvPicPr>
                      <a:picLocks noChangeAspect="1" noChangeArrowheads="1"/>
                    </pic:cNvPicPr>
                  </pic:nvPicPr>
                  <pic:blipFill>
                    <a:blip r:embed="rId12">
                      <a:extLst>
                        <a:ext uri="{28A0092B-C50C-407E-A947-70E740481C1C}">
                          <a14:useLocalDpi xmlns:a14="http://schemas.microsoft.com/office/drawing/2010/main" val="0"/>
                        </a:ext>
                      </a:extLst>
                    </a:blip>
                    <a:srcRect r="31570" b="-7312"/>
                    <a:stretch>
                      <a:fillRect/>
                    </a:stretch>
                  </pic:blipFill>
                  <pic:spPr>
                    <a:xfrm>
                      <a:off x="0" y="0"/>
                      <a:ext cx="2680970" cy="541655"/>
                    </a:xfrm>
                    <a:prstGeom prst="rect">
                      <a:avLst/>
                    </a:prstGeom>
                    <a:noFill/>
                  </pic:spPr>
                </pic:pic>
              </a:graphicData>
            </a:graphic>
          </wp:anchor>
        </w:drawing>
      </w:r>
    </w:p>
    <w:p w14:paraId="7F067F4F">
      <w:pPr>
        <w:keepNext w:val="0"/>
        <w:keepLines w:val="0"/>
        <w:pageBreakBefore w:val="0"/>
        <w:widowControl w:val="0"/>
        <w:kinsoku/>
        <w:wordWrap/>
        <w:overflowPunct/>
        <w:topLinePunct w:val="0"/>
        <w:autoSpaceDE w:val="0"/>
        <w:autoSpaceDN w:val="0"/>
        <w:bidi w:val="0"/>
        <w:adjustRightInd/>
        <w:snapToGrid/>
        <w:ind w:left="0" w:firstLine="0" w:firstLineChars="0"/>
        <w:jc w:val="center"/>
        <w:textAlignment w:val="auto"/>
        <w:rPr>
          <w:rFonts w:hint="default" w:ascii="Times New Roman" w:hAnsi="Times New Roman" w:eastAsia="宋体" w:cs="Times New Roman"/>
          <w:b/>
          <w:bCs/>
          <w:color w:val="auto"/>
          <w:sz w:val="48"/>
          <w:szCs w:val="48"/>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C4C178B">
      <w:pPr>
        <w:pStyle w:val="4"/>
        <w:keepNext w:val="0"/>
        <w:keepLines w:val="0"/>
        <w:pageBreakBefore w:val="0"/>
        <w:widowControl w:val="0"/>
        <w:numPr>
          <w:ilvl w:val="0"/>
          <w:numId w:val="18"/>
        </w:numPr>
        <w:kinsoku/>
        <w:wordWrap/>
        <w:overflowPunct/>
        <w:topLinePunct w:val="0"/>
        <w:autoSpaceDE w:val="0"/>
        <w:autoSpaceDN w:val="0"/>
        <w:bidi w:val="0"/>
        <w:adjustRightInd/>
        <w:snapToGrid/>
        <w:ind w:left="363" w:leftChars="0" w:hanging="363" w:firstLineChars="0"/>
        <w:textAlignment w:val="auto"/>
        <w:outlineLvl w:val="2"/>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POC测试目的</w:t>
      </w:r>
    </w:p>
    <w:p w14:paraId="05C16B0B">
      <w:pPr>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本次POC测试的目的是通过现场系统搭建以及客户化的系统演示，使比选人进一步了解和考察各参选人的产品和实施水平，评估各参选人的产品是否满足比选人业务和技术需求。通过对各参选人的POC测试结果综合比较，帮助比选人选择既能满足产品功能需求，同时具有优秀实施能力的厂商。</w:t>
      </w:r>
    </w:p>
    <w:p w14:paraId="27BFB1D7">
      <w:pPr>
        <w:pStyle w:val="4"/>
        <w:keepNext w:val="0"/>
        <w:keepLines w:val="0"/>
        <w:pageBreakBefore w:val="0"/>
        <w:widowControl w:val="0"/>
        <w:numPr>
          <w:ilvl w:val="0"/>
          <w:numId w:val="18"/>
        </w:numPr>
        <w:kinsoku/>
        <w:wordWrap/>
        <w:overflowPunct/>
        <w:topLinePunct w:val="0"/>
        <w:autoSpaceDE w:val="0"/>
        <w:autoSpaceDN w:val="0"/>
        <w:bidi w:val="0"/>
        <w:adjustRightInd/>
        <w:snapToGrid/>
        <w:ind w:left="363" w:leftChars="0" w:hanging="363" w:firstLineChars="0"/>
        <w:textAlignment w:val="auto"/>
        <w:outlineLvl w:val="2"/>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POC测试原则</w:t>
      </w:r>
    </w:p>
    <w:p w14:paraId="2CA5599D">
      <w:pP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本次POC工作的重点是在有限时间内测试参选人的产品和实施水平。因此，进行系统概念验证工作时需贯彻以下的原则：</w:t>
      </w:r>
    </w:p>
    <w:p w14:paraId="18522F37">
      <w:pPr>
        <w:numPr>
          <w:ilvl w:val="0"/>
          <w:numId w:val="19"/>
        </w:numP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整个测试过程体现公平、公正、严密、严谨、严肃的原则；</w:t>
      </w:r>
    </w:p>
    <w:p w14:paraId="7B4B0CF8">
      <w:pPr>
        <w:numPr>
          <w:ilvl w:val="0"/>
          <w:numId w:val="19"/>
        </w:numPr>
        <w:ind w:left="0" w:leftChars="0" w:firstLine="480" w:firstLineChars="20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测试硬件环境一致性原则，各方测试使用相同的硬件配置；</w:t>
      </w:r>
    </w:p>
    <w:p w14:paraId="01741B86">
      <w:pPr>
        <w:numPr>
          <w:ilvl w:val="0"/>
          <w:numId w:val="19"/>
        </w:numPr>
        <w:ind w:left="0" w:leftChars="0" w:firstLine="480" w:firstLineChars="20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测试评价合理性原则，参选人制定合理的测试评分流程与评分细项，以客观事实为依据、实事求是表达测试结果；</w:t>
      </w:r>
    </w:p>
    <w:p w14:paraId="1E524B67">
      <w:pPr>
        <w:numPr>
          <w:ilvl w:val="0"/>
          <w:numId w:val="19"/>
        </w:numPr>
        <w:ind w:left="0" w:leftChars="0" w:firstLine="480" w:firstLineChars="20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测试的内容需要涵盖本方案所涉及到的内容和功能点，而对于本方案中没有提及而参选人又认为非常重要的功能，可以在POC测试过程中进行适当的演示；</w:t>
      </w:r>
    </w:p>
    <w:p w14:paraId="57E46AEF">
      <w:pPr>
        <w:numPr>
          <w:ilvl w:val="0"/>
          <w:numId w:val="19"/>
        </w:numPr>
        <w:ind w:left="0" w:leftChars="0" w:firstLine="480" w:firstLineChars="20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参选人应坚持客观、公平、公正的原则，严格遵守测试纪律，协同完成各项测试任务，并注意做好保密工作，未经我行许可，任何人不得擅自披露有关的测试情况和数据。</w:t>
      </w:r>
    </w:p>
    <w:p w14:paraId="6780A48B">
      <w:pPr>
        <w:pStyle w:val="4"/>
        <w:keepNext w:val="0"/>
        <w:keepLines w:val="0"/>
        <w:pageBreakBefore w:val="0"/>
        <w:widowControl w:val="0"/>
        <w:numPr>
          <w:ilvl w:val="0"/>
          <w:numId w:val="18"/>
        </w:numPr>
        <w:kinsoku/>
        <w:wordWrap/>
        <w:overflowPunct/>
        <w:topLinePunct w:val="0"/>
        <w:autoSpaceDE w:val="0"/>
        <w:autoSpaceDN w:val="0"/>
        <w:bidi w:val="0"/>
        <w:adjustRightInd/>
        <w:snapToGrid/>
        <w:ind w:left="363" w:leftChars="0" w:hanging="363" w:firstLineChars="0"/>
        <w:textAlignment w:val="auto"/>
        <w:outlineLvl w:val="2"/>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POC测试安排</w:t>
      </w:r>
    </w:p>
    <w:p w14:paraId="3DA6D236">
      <w:pPr>
        <w:rPr>
          <w:rFonts w:hint="eastAsia"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（一）POC测试报名</w:t>
      </w:r>
    </w:p>
    <w:p w14:paraId="2FB55E25">
      <w:pPr>
        <w:rPr>
          <w:rFonts w:hint="default" w:ascii="Times New Roman" w:hAnsi="Times New Roman" w:cs="Times New Roman"/>
          <w:b/>
          <w:bCs/>
          <w:color w:val="auto"/>
          <w:highlight w:val="none"/>
          <w:lang w:val="en-US" w:eastAsia="zh-CN"/>
        </w:rPr>
      </w:pPr>
      <w:r>
        <w:rPr>
          <w:rFonts w:hint="eastAsia" w:ascii="Times New Roman" w:hAnsi="Times New Roman" w:cs="Times New Roman"/>
          <w:color w:val="auto"/>
          <w:highlight w:val="none"/>
          <w:lang w:val="en-US" w:eastAsia="zh-CN"/>
        </w:rPr>
        <w:t>参选人需按照比选公告发布的报名方式进行报名，否则本次POC测试直接得0分。</w:t>
      </w:r>
    </w:p>
    <w:p w14:paraId="47FA60F6">
      <w:pPr>
        <w:rPr>
          <w:rFonts w:hint="default"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（二）测试时间、地点</w:t>
      </w:r>
    </w:p>
    <w:p w14:paraId="3A9C7EC0">
      <w:pPr>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本次POC测试实施时间根据项目实际情况安排，在比选前完成。参选人需在规定时间内完成相关POC测试案例的准备工作并向比选人进行演示，且仅有一次演示机会。</w:t>
      </w:r>
    </w:p>
    <w:p w14:paraId="31524742">
      <w:pPr>
        <w:numPr>
          <w:ilvl w:val="0"/>
          <w:numId w:val="20"/>
        </w:numPr>
        <w:rPr>
          <w:rFonts w:hint="eastAsia"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时间</w:t>
      </w:r>
    </w:p>
    <w:p w14:paraId="70853FB8">
      <w:pP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参选人需在10个工作日内完成所有POC测试内容（包括部署、联调、集成、配置、演示等工作），根据参选人准备情况，可提前向比选人进行演示。具体测试开始时间以比选人通知为准。</w:t>
      </w:r>
    </w:p>
    <w:p w14:paraId="79A17DCC">
      <w:pPr>
        <w:numPr>
          <w:ilvl w:val="0"/>
          <w:numId w:val="20"/>
        </w:numPr>
        <w:ind w:left="0" w:leftChars="0" w:firstLine="482" w:firstLineChars="200"/>
        <w:rPr>
          <w:rFonts w:hint="eastAsia"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地点</w:t>
      </w:r>
    </w:p>
    <w:p w14:paraId="791BB34E">
      <w:pP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重庆三峡银行西永办公楼（重庆市沙坪坝区学城大道67号西永软件园2号楼）。</w:t>
      </w:r>
    </w:p>
    <w:p w14:paraId="2ED4955B">
      <w:pPr>
        <w:rPr>
          <w:rFonts w:hint="eastAsia"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（三）POC测试环境</w:t>
      </w:r>
    </w:p>
    <w:p w14:paraId="473BCB2B">
      <w:pP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本次POC测试比选人提供的基础环境如下表所示。若参选人有特殊需求，可</w:t>
      </w:r>
      <w:r>
        <w:rPr>
          <w:rFonts w:hint="eastAsia" w:ascii="Times New Roman" w:hAnsi="Times New Roman" w:cs="Times New Roman"/>
          <w:color w:val="auto"/>
          <w:highlight w:val="none"/>
          <w:lang w:val="en-US" w:eastAsia="zh-CN"/>
        </w:rPr>
        <w:t>额外</w:t>
      </w:r>
      <w:r>
        <w:rPr>
          <w:rFonts w:hint="eastAsia" w:ascii="Times New Roman" w:hAnsi="Times New Roman" w:eastAsia="宋体" w:cs="Times New Roman"/>
          <w:color w:val="auto"/>
          <w:highlight w:val="none"/>
          <w:lang w:val="en-US" w:eastAsia="zh-CN"/>
        </w:rPr>
        <w:t>自行准备满足比选人信创基线要求的相关设备，并在比选人指定地点、环境和规定时间内完成POC测试</w:t>
      </w:r>
      <w:r>
        <w:rPr>
          <w:rFonts w:hint="eastAsia" w:ascii="Times New Roman" w:hAnsi="Times New Roman" w:cs="Times New Roman"/>
          <w:color w:val="auto"/>
          <w:highlight w:val="none"/>
          <w:lang w:val="en-US" w:eastAsia="zh-CN"/>
        </w:rPr>
        <w:t>。</w:t>
      </w:r>
    </w:p>
    <w:p w14:paraId="29935FC2">
      <w:pPr>
        <w:keepNext w:val="0"/>
        <w:keepLines w:val="0"/>
        <w:pageBreakBefore w:val="0"/>
        <w:widowControl w:val="0"/>
        <w:kinsoku/>
        <w:wordWrap/>
        <w:overflowPunct/>
        <w:topLinePunct w:val="0"/>
        <w:autoSpaceDE w:val="0"/>
        <w:autoSpaceDN w:val="0"/>
        <w:bidi w:val="0"/>
        <w:adjustRightInd/>
        <w:snapToGrid/>
        <w:spacing w:after="157" w:afterLines="50"/>
        <w:textAlignment w:val="auto"/>
        <w:rPr>
          <w:rFonts w:hint="default"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lang w:val="en-US" w:eastAsia="zh-CN"/>
        </w:rPr>
        <w:t>参选人</w:t>
      </w:r>
      <w:r>
        <w:rPr>
          <w:rFonts w:hint="eastAsia" w:ascii="Times New Roman" w:hAnsi="Times New Roman" w:eastAsia="宋体" w:cs="Times New Roman"/>
          <w:color w:val="auto"/>
          <w:highlight w:val="none"/>
          <w:lang w:val="en-US" w:eastAsia="zh-CN"/>
        </w:rPr>
        <w:t>需在正式开始测试前2天将本次测试所需的系统权限、数据库权限等基础要求提供给比选人，否则因此造成的测试进度影响由</w:t>
      </w:r>
      <w:r>
        <w:rPr>
          <w:rFonts w:hint="eastAsia" w:ascii="Times New Roman" w:hAnsi="Times New Roman" w:cs="Times New Roman"/>
          <w:color w:val="auto"/>
          <w:highlight w:val="none"/>
          <w:lang w:val="en-US" w:eastAsia="zh-CN"/>
        </w:rPr>
        <w:t>参选人</w:t>
      </w:r>
      <w:r>
        <w:rPr>
          <w:rFonts w:hint="eastAsia" w:ascii="Times New Roman" w:hAnsi="Times New Roman" w:eastAsia="宋体" w:cs="Times New Roman"/>
          <w:color w:val="auto"/>
          <w:highlight w:val="none"/>
          <w:lang w:val="en-US" w:eastAsia="zh-CN"/>
        </w:rPr>
        <w:t>自行负责。</w:t>
      </w:r>
    </w:p>
    <w:tbl>
      <w:tblPr>
        <w:tblStyle w:val="22"/>
        <w:tblW w:w="87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1167"/>
        <w:gridCol w:w="4872"/>
        <w:gridCol w:w="719"/>
        <w:gridCol w:w="884"/>
      </w:tblGrid>
      <w:tr w14:paraId="313BB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3" w:type="dxa"/>
            <w:shd w:val="clear" w:color="auto" w:fill="BEBEBE" w:themeFill="background1" w:themeFillShade="BF"/>
            <w:vAlign w:val="center"/>
          </w:tcPr>
          <w:p w14:paraId="3EEAB7BF">
            <w:pPr>
              <w:keepNext w:val="0"/>
              <w:keepLines w:val="0"/>
              <w:pageBreakBefore w:val="0"/>
              <w:widowControl/>
              <w:kinsoku/>
              <w:wordWrap/>
              <w:overflowPunct/>
              <w:topLinePunct w:val="0"/>
              <w:autoSpaceDE w:val="0"/>
              <w:autoSpaceDN w:val="0"/>
              <w:bidi w:val="0"/>
              <w:adjustRightInd/>
              <w:snapToGrid/>
              <w:spacing w:line="400" w:lineRule="exact"/>
              <w:ind w:firstLine="0" w:firstLineChars="0"/>
              <w:jc w:val="center"/>
              <w:textAlignment w:val="auto"/>
              <w:rPr>
                <w:rFonts w:hint="eastAsia" w:ascii="Times New Roman" w:hAnsi="Times New Roman" w:eastAsia="宋体" w:cs="Times New Roman"/>
                <w:b/>
                <w:bCs/>
                <w:color w:val="auto"/>
                <w:kern w:val="0"/>
                <w:sz w:val="21"/>
                <w:szCs w:val="21"/>
                <w:highlight w:val="none"/>
                <w:lang w:eastAsia="zh-CN"/>
              </w:rPr>
            </w:pPr>
            <w:r>
              <w:rPr>
                <w:rFonts w:hint="eastAsia" w:ascii="Times New Roman" w:hAnsi="Times New Roman" w:eastAsia="宋体" w:cs="Times New Roman"/>
                <w:b/>
                <w:bCs/>
                <w:color w:val="auto"/>
                <w:kern w:val="0"/>
                <w:sz w:val="21"/>
                <w:szCs w:val="21"/>
                <w:highlight w:val="none"/>
                <w:lang w:val="en-US" w:eastAsia="zh-CN"/>
              </w:rPr>
              <w:t>类型</w:t>
            </w:r>
          </w:p>
        </w:tc>
        <w:tc>
          <w:tcPr>
            <w:tcW w:w="1167" w:type="dxa"/>
            <w:shd w:val="clear" w:color="auto" w:fill="BEBEBE" w:themeFill="background1" w:themeFillShade="BF"/>
            <w:vAlign w:val="center"/>
          </w:tcPr>
          <w:p w14:paraId="7AB815A6">
            <w:pPr>
              <w:keepNext w:val="0"/>
              <w:keepLines w:val="0"/>
              <w:pageBreakBefore w:val="0"/>
              <w:widowControl/>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用途</w:t>
            </w:r>
          </w:p>
        </w:tc>
        <w:tc>
          <w:tcPr>
            <w:tcW w:w="4872" w:type="dxa"/>
            <w:shd w:val="clear" w:color="auto" w:fill="BEBEBE" w:themeFill="background1" w:themeFillShade="BF"/>
            <w:vAlign w:val="center"/>
          </w:tcPr>
          <w:p w14:paraId="4E1F5DB7">
            <w:pPr>
              <w:keepNext w:val="0"/>
              <w:keepLines w:val="0"/>
              <w:pageBreakBefore w:val="0"/>
              <w:widowControl/>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软硬件配置</w:t>
            </w:r>
          </w:p>
        </w:tc>
        <w:tc>
          <w:tcPr>
            <w:tcW w:w="719" w:type="dxa"/>
            <w:shd w:val="clear" w:color="auto" w:fill="BEBEBE" w:themeFill="background1" w:themeFillShade="BF"/>
            <w:vAlign w:val="center"/>
          </w:tcPr>
          <w:p w14:paraId="27A4B612">
            <w:pPr>
              <w:keepNext w:val="0"/>
              <w:keepLines w:val="0"/>
              <w:pageBreakBefore w:val="0"/>
              <w:widowControl/>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b/>
                <w:bCs/>
                <w:color w:val="auto"/>
                <w:kern w:val="0"/>
                <w:sz w:val="21"/>
                <w:szCs w:val="21"/>
                <w:highlight w:val="none"/>
                <w:lang w:val="en-US" w:eastAsia="zh-CN"/>
              </w:rPr>
            </w:pPr>
            <w:r>
              <w:rPr>
                <w:rFonts w:hint="eastAsia" w:ascii="Times New Roman" w:hAnsi="Times New Roman" w:eastAsia="宋体" w:cs="Times New Roman"/>
                <w:b/>
                <w:bCs/>
                <w:color w:val="auto"/>
                <w:kern w:val="0"/>
                <w:sz w:val="21"/>
                <w:szCs w:val="21"/>
                <w:highlight w:val="none"/>
                <w:lang w:val="en-US" w:eastAsia="zh-CN"/>
              </w:rPr>
              <w:t>数量</w:t>
            </w:r>
          </w:p>
        </w:tc>
        <w:tc>
          <w:tcPr>
            <w:tcW w:w="884" w:type="dxa"/>
            <w:shd w:val="clear" w:color="auto" w:fill="BEBEBE" w:themeFill="background1" w:themeFillShade="BF"/>
            <w:vAlign w:val="center"/>
          </w:tcPr>
          <w:p w14:paraId="7E997861">
            <w:pPr>
              <w:keepNext w:val="0"/>
              <w:keepLines w:val="0"/>
              <w:pageBreakBefore w:val="0"/>
              <w:widowControl/>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提供方</w:t>
            </w:r>
          </w:p>
        </w:tc>
      </w:tr>
      <w:tr w14:paraId="0CC1A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3" w:type="dxa"/>
            <w:shd w:val="clear" w:color="auto" w:fill="auto"/>
            <w:vAlign w:val="center"/>
          </w:tcPr>
          <w:p w14:paraId="3F61584C">
            <w:pPr>
              <w:keepNext w:val="0"/>
              <w:keepLines w:val="0"/>
              <w:pageBreakBefore w:val="0"/>
              <w:widowControl/>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服务器</w:t>
            </w:r>
          </w:p>
        </w:tc>
        <w:tc>
          <w:tcPr>
            <w:tcW w:w="1167" w:type="dxa"/>
            <w:tcBorders>
              <w:top w:val="single" w:color="auto" w:sz="4" w:space="0"/>
              <w:left w:val="single" w:color="auto" w:sz="4" w:space="0"/>
              <w:right w:val="single" w:color="auto" w:sz="4" w:space="0"/>
            </w:tcBorders>
            <w:shd w:val="clear" w:color="auto" w:fill="auto"/>
            <w:vAlign w:val="center"/>
          </w:tcPr>
          <w:p w14:paraId="1D1CE028">
            <w:pPr>
              <w:keepNext w:val="0"/>
              <w:keepLines w:val="0"/>
              <w:pageBreakBefore w:val="0"/>
              <w:widowControl/>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应用部署</w:t>
            </w:r>
          </w:p>
        </w:tc>
        <w:tc>
          <w:tcPr>
            <w:tcW w:w="4872" w:type="dxa"/>
            <w:tcBorders>
              <w:top w:val="single" w:color="auto" w:sz="4" w:space="0"/>
              <w:left w:val="single" w:color="auto" w:sz="4" w:space="0"/>
              <w:right w:val="single" w:color="auto" w:sz="4" w:space="0"/>
            </w:tcBorders>
            <w:shd w:val="clear" w:color="auto" w:fill="auto"/>
            <w:vAlign w:val="center"/>
          </w:tcPr>
          <w:p w14:paraId="4AA34F55">
            <w:pPr>
              <w:keepNext w:val="0"/>
              <w:keepLines w:val="0"/>
              <w:pageBreakBefore w:val="0"/>
              <w:widowControl/>
              <w:kinsoku/>
              <w:wordWrap/>
              <w:overflowPunct/>
              <w:topLinePunct w:val="0"/>
              <w:autoSpaceDE w:val="0"/>
              <w:autoSpaceDN w:val="0"/>
              <w:bidi w:val="0"/>
              <w:adjustRightInd/>
              <w:snapToGrid/>
              <w:spacing w:line="400" w:lineRule="exact"/>
              <w:ind w:firstLine="0" w:firstLineChars="0"/>
              <w:jc w:val="left"/>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rPr>
              <w:t>操作系统：麒麟V10</w:t>
            </w:r>
            <w:r>
              <w:rPr>
                <w:rFonts w:hint="eastAsia" w:ascii="Times New Roman" w:hAnsi="Times New Roman" w:eastAsia="宋体" w:cs="Times New Roman"/>
                <w:color w:val="auto"/>
                <w:kern w:val="0"/>
                <w:sz w:val="21"/>
                <w:szCs w:val="21"/>
                <w:highlight w:val="none"/>
                <w:lang w:val="en-US" w:eastAsia="zh-CN"/>
              </w:rPr>
              <w:t xml:space="preserve"> SP3</w:t>
            </w:r>
          </w:p>
          <w:p w14:paraId="0DBA8322">
            <w:pPr>
              <w:keepNext w:val="0"/>
              <w:keepLines w:val="0"/>
              <w:pageBreakBefore w:val="0"/>
              <w:widowControl/>
              <w:kinsoku/>
              <w:wordWrap/>
              <w:overflowPunct/>
              <w:topLinePunct w:val="0"/>
              <w:autoSpaceDE w:val="0"/>
              <w:autoSpaceDN w:val="0"/>
              <w:bidi w:val="0"/>
              <w:adjustRightInd/>
              <w:snapToGrid/>
              <w:spacing w:line="400" w:lineRule="exact"/>
              <w:ind w:firstLine="0" w:firstLineChars="0"/>
              <w:jc w:val="left"/>
              <w:textAlignment w:val="auto"/>
              <w:rPr>
                <w:rFonts w:hint="eastAsia"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rPr>
              <w:t>中间件：东方通</w:t>
            </w:r>
            <w:r>
              <w:rPr>
                <w:rFonts w:hint="eastAsia" w:ascii="Times New Roman" w:hAnsi="Times New Roman" w:eastAsia="宋体" w:cs="Times New Roman"/>
                <w:color w:val="auto"/>
                <w:kern w:val="0"/>
                <w:sz w:val="21"/>
                <w:szCs w:val="21"/>
                <w:highlight w:val="none"/>
                <w:lang w:val="en-US" w:eastAsia="zh-CN"/>
              </w:rPr>
              <w:t>7.0.4.9_M1</w:t>
            </w:r>
          </w:p>
          <w:p w14:paraId="4E653A68">
            <w:pPr>
              <w:keepNext w:val="0"/>
              <w:keepLines w:val="0"/>
              <w:pageBreakBefore w:val="0"/>
              <w:widowControl/>
              <w:kinsoku/>
              <w:wordWrap/>
              <w:overflowPunct/>
              <w:topLinePunct w:val="0"/>
              <w:autoSpaceDE w:val="0"/>
              <w:autoSpaceDN w:val="0"/>
              <w:bidi w:val="0"/>
              <w:adjustRightInd/>
              <w:snapToGrid/>
              <w:spacing w:line="400" w:lineRule="exact"/>
              <w:ind w:firstLine="0" w:firstLineChars="0"/>
              <w:jc w:val="left"/>
              <w:textAlignment w:val="auto"/>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共有</w:t>
            </w:r>
            <w:r>
              <w:rPr>
                <w:rFonts w:hint="eastAsia" w:ascii="Times New Roman" w:hAnsi="Times New Roman" w:cs="Times New Roman"/>
                <w:color w:val="auto"/>
                <w:kern w:val="0"/>
                <w:sz w:val="21"/>
                <w:szCs w:val="21"/>
                <w:highlight w:val="none"/>
                <w:lang w:val="en-US" w:eastAsia="zh-CN"/>
              </w:rPr>
              <w:t>2</w:t>
            </w:r>
            <w:r>
              <w:rPr>
                <w:rFonts w:hint="eastAsia" w:ascii="Times New Roman" w:hAnsi="Times New Roman" w:eastAsia="宋体" w:cs="Times New Roman"/>
                <w:color w:val="auto"/>
                <w:kern w:val="0"/>
                <w:sz w:val="21"/>
                <w:szCs w:val="21"/>
                <w:highlight w:val="none"/>
                <w:lang w:val="en-US" w:eastAsia="zh-CN"/>
              </w:rPr>
              <w:t>种机器配置，具体如下：</w:t>
            </w:r>
          </w:p>
          <w:p w14:paraId="79958E98">
            <w:pPr>
              <w:keepNext w:val="0"/>
              <w:keepLines w:val="0"/>
              <w:pageBreakBefore w:val="0"/>
              <w:widowControl/>
              <w:kinsoku/>
              <w:wordWrap/>
              <w:overflowPunct/>
              <w:topLinePunct w:val="0"/>
              <w:autoSpaceDE w:val="0"/>
              <w:autoSpaceDN w:val="0"/>
              <w:bidi w:val="0"/>
              <w:adjustRightInd/>
              <w:snapToGrid/>
              <w:spacing w:line="400" w:lineRule="exact"/>
              <w:ind w:firstLine="0" w:firstLineChars="0"/>
              <w:jc w:val="left"/>
              <w:textAlignment w:val="auto"/>
              <w:rPr>
                <w:rFonts w:hint="eastAsia"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rPr>
              <w:t>鲲鹏</w:t>
            </w:r>
            <w:r>
              <w:rPr>
                <w:rFonts w:hint="eastAsia" w:ascii="Times New Roman" w:hAnsi="Times New Roman" w:eastAsia="宋体" w:cs="Times New Roman"/>
                <w:color w:val="auto"/>
                <w:kern w:val="0"/>
                <w:sz w:val="21"/>
                <w:szCs w:val="21"/>
                <w:highlight w:val="none"/>
                <w:lang w:eastAsia="zh-CN"/>
              </w:rPr>
              <w:t>（</w:t>
            </w:r>
            <w:r>
              <w:rPr>
                <w:rFonts w:hint="eastAsia" w:ascii="Times New Roman" w:hAnsi="Times New Roman" w:cs="Times New Roman"/>
                <w:color w:val="auto"/>
                <w:kern w:val="0"/>
                <w:sz w:val="21"/>
                <w:szCs w:val="21"/>
                <w:highlight w:val="none"/>
                <w:lang w:val="en-US" w:eastAsia="zh-CN"/>
              </w:rPr>
              <w:t>6</w:t>
            </w:r>
            <w:r>
              <w:rPr>
                <w:rFonts w:hint="eastAsia" w:ascii="Times New Roman" w:hAnsi="Times New Roman" w:eastAsia="宋体" w:cs="Times New Roman"/>
                <w:color w:val="auto"/>
                <w:kern w:val="0"/>
                <w:sz w:val="21"/>
                <w:szCs w:val="21"/>
                <w:highlight w:val="none"/>
                <w:lang w:val="en-US" w:eastAsia="zh-CN"/>
              </w:rPr>
              <w:t>台、96C/512G 2*960G SSD+10*1.92T SSD</w:t>
            </w:r>
            <w:r>
              <w:rPr>
                <w:rFonts w:hint="eastAsia" w:ascii="Times New Roman" w:hAnsi="Times New Roman" w:eastAsia="宋体" w:cs="Times New Roman"/>
                <w:color w:val="auto"/>
                <w:kern w:val="0"/>
                <w:sz w:val="21"/>
                <w:szCs w:val="21"/>
                <w:highlight w:val="none"/>
                <w:lang w:eastAsia="zh-CN"/>
              </w:rPr>
              <w:t>）、</w:t>
            </w:r>
          </w:p>
          <w:p w14:paraId="43D90337">
            <w:pPr>
              <w:keepNext w:val="0"/>
              <w:keepLines w:val="0"/>
              <w:pageBreakBefore w:val="0"/>
              <w:widowControl/>
              <w:kinsoku/>
              <w:wordWrap/>
              <w:overflowPunct/>
              <w:topLinePunct w:val="0"/>
              <w:autoSpaceDE w:val="0"/>
              <w:autoSpaceDN w:val="0"/>
              <w:bidi w:val="0"/>
              <w:adjustRightInd/>
              <w:snapToGrid/>
              <w:spacing w:line="400" w:lineRule="exact"/>
              <w:ind w:firstLine="0" w:firstLineChars="0"/>
              <w:jc w:val="left"/>
              <w:textAlignment w:val="auto"/>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海光（</w:t>
            </w:r>
            <w:r>
              <w:rPr>
                <w:rFonts w:hint="eastAsia" w:ascii="Times New Roman" w:hAnsi="Times New Roman" w:cs="Times New Roman"/>
                <w:color w:val="auto"/>
                <w:kern w:val="0"/>
                <w:sz w:val="21"/>
                <w:szCs w:val="21"/>
                <w:highlight w:val="none"/>
                <w:lang w:val="en-US" w:eastAsia="zh-CN"/>
              </w:rPr>
              <w:t>5</w:t>
            </w:r>
            <w:r>
              <w:rPr>
                <w:rFonts w:hint="eastAsia" w:ascii="Times New Roman" w:hAnsi="Times New Roman" w:eastAsia="宋体" w:cs="Times New Roman"/>
                <w:color w:val="auto"/>
                <w:kern w:val="0"/>
                <w:sz w:val="21"/>
                <w:szCs w:val="21"/>
                <w:highlight w:val="none"/>
                <w:lang w:val="en-US" w:eastAsia="zh-CN"/>
              </w:rPr>
              <w:t>台、</w:t>
            </w:r>
            <w:r>
              <w:rPr>
                <w:rFonts w:hint="eastAsia" w:ascii="Times New Roman" w:hAnsi="Times New Roman" w:cs="Times New Roman"/>
                <w:color w:val="auto"/>
                <w:kern w:val="0"/>
                <w:sz w:val="21"/>
                <w:szCs w:val="21"/>
                <w:highlight w:val="none"/>
                <w:lang w:val="en-US" w:eastAsia="zh-CN"/>
              </w:rPr>
              <w:t>16</w:t>
            </w:r>
            <w:r>
              <w:rPr>
                <w:rFonts w:hint="eastAsia" w:ascii="Times New Roman" w:hAnsi="Times New Roman" w:eastAsia="宋体" w:cs="Times New Roman"/>
                <w:color w:val="auto"/>
                <w:kern w:val="0"/>
                <w:sz w:val="21"/>
                <w:szCs w:val="21"/>
                <w:highlight w:val="none"/>
                <w:lang w:val="en-US" w:eastAsia="zh-CN"/>
              </w:rPr>
              <w:t>C/</w:t>
            </w:r>
            <w:r>
              <w:rPr>
                <w:rFonts w:hint="eastAsia" w:ascii="Times New Roman" w:hAnsi="Times New Roman" w:cs="Times New Roman"/>
                <w:color w:val="auto"/>
                <w:kern w:val="0"/>
                <w:sz w:val="21"/>
                <w:szCs w:val="21"/>
                <w:highlight w:val="none"/>
                <w:lang w:val="en-US" w:eastAsia="zh-CN"/>
              </w:rPr>
              <w:t>64</w:t>
            </w:r>
            <w:r>
              <w:rPr>
                <w:rFonts w:hint="eastAsia" w:ascii="Times New Roman" w:hAnsi="Times New Roman" w:eastAsia="宋体" w:cs="Times New Roman"/>
                <w:color w:val="auto"/>
                <w:kern w:val="0"/>
                <w:sz w:val="21"/>
                <w:szCs w:val="21"/>
                <w:highlight w:val="none"/>
                <w:lang w:val="en-US" w:eastAsia="zh-CN"/>
              </w:rPr>
              <w:t xml:space="preserve">G </w:t>
            </w:r>
            <w:r>
              <w:rPr>
                <w:rFonts w:hint="eastAsia" w:ascii="Times New Roman" w:hAnsi="Times New Roman" w:cs="Times New Roman"/>
                <w:color w:val="auto"/>
                <w:kern w:val="0"/>
                <w:sz w:val="21"/>
                <w:szCs w:val="21"/>
                <w:highlight w:val="none"/>
                <w:lang w:val="en-US" w:eastAsia="zh-CN"/>
              </w:rPr>
              <w:t>200</w:t>
            </w:r>
            <w:r>
              <w:rPr>
                <w:rFonts w:hint="eastAsia" w:ascii="Times New Roman" w:hAnsi="Times New Roman" w:eastAsia="宋体" w:cs="Times New Roman"/>
                <w:color w:val="auto"/>
                <w:kern w:val="0"/>
                <w:sz w:val="21"/>
                <w:szCs w:val="21"/>
                <w:highlight w:val="none"/>
                <w:lang w:val="en-US" w:eastAsia="zh-CN"/>
              </w:rPr>
              <w:t>G SSD+</w:t>
            </w:r>
            <w:r>
              <w:rPr>
                <w:rFonts w:hint="eastAsia" w:ascii="Times New Roman" w:hAnsi="Times New Roman" w:cs="Times New Roman"/>
                <w:color w:val="auto"/>
                <w:kern w:val="0"/>
                <w:sz w:val="21"/>
                <w:szCs w:val="21"/>
                <w:highlight w:val="none"/>
                <w:lang w:val="en-US" w:eastAsia="zh-CN"/>
              </w:rPr>
              <w:t>300G</w:t>
            </w:r>
            <w:r>
              <w:rPr>
                <w:rFonts w:hint="eastAsia" w:ascii="Times New Roman" w:hAnsi="Times New Roman" w:eastAsia="宋体" w:cs="Times New Roman"/>
                <w:color w:val="auto"/>
                <w:kern w:val="0"/>
                <w:sz w:val="21"/>
                <w:szCs w:val="21"/>
                <w:highlight w:val="none"/>
                <w:lang w:val="en-US" w:eastAsia="zh-CN"/>
              </w:rPr>
              <w:t xml:space="preserve"> SSD）</w:t>
            </w:r>
          </w:p>
        </w:tc>
        <w:tc>
          <w:tcPr>
            <w:tcW w:w="719" w:type="dxa"/>
            <w:shd w:val="clear" w:color="auto" w:fill="auto"/>
            <w:vAlign w:val="center"/>
          </w:tcPr>
          <w:p w14:paraId="2F13C04D">
            <w:pPr>
              <w:keepNext w:val="0"/>
              <w:keepLines w:val="0"/>
              <w:pageBreakBefore w:val="0"/>
              <w:widowControl/>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11</w:t>
            </w:r>
            <w:r>
              <w:rPr>
                <w:rFonts w:hint="eastAsia" w:ascii="Times New Roman" w:hAnsi="Times New Roman" w:eastAsia="宋体" w:cs="Times New Roman"/>
                <w:color w:val="auto"/>
                <w:kern w:val="0"/>
                <w:sz w:val="21"/>
                <w:szCs w:val="21"/>
                <w:highlight w:val="none"/>
                <w:lang w:val="en-US" w:eastAsia="zh-CN"/>
              </w:rPr>
              <w:t>台</w:t>
            </w:r>
          </w:p>
        </w:tc>
        <w:tc>
          <w:tcPr>
            <w:tcW w:w="884" w:type="dxa"/>
            <w:shd w:val="clear" w:color="auto" w:fill="auto"/>
            <w:vAlign w:val="center"/>
          </w:tcPr>
          <w:p w14:paraId="6A9826A7">
            <w:pPr>
              <w:keepNext w:val="0"/>
              <w:keepLines w:val="0"/>
              <w:pageBreakBefore w:val="0"/>
              <w:widowControl/>
              <w:kinsoku/>
              <w:wordWrap/>
              <w:overflowPunct/>
              <w:topLinePunct w:val="0"/>
              <w:autoSpaceDE w:val="0"/>
              <w:autoSpaceDN w:val="0"/>
              <w:bidi w:val="0"/>
              <w:adjustRightInd/>
              <w:snapToGrid/>
              <w:spacing w:line="400" w:lineRule="exact"/>
              <w:ind w:firstLine="0" w:firstLineChars="0"/>
              <w:jc w:val="center"/>
              <w:textAlignment w:val="auto"/>
              <w:rPr>
                <w:rFonts w:hint="eastAsia" w:ascii="Times New Roman" w:hAnsi="Times New Roman" w:eastAsia="宋体" w:cs="Times New Roman"/>
                <w:color w:val="auto"/>
                <w:kern w:val="0"/>
                <w:sz w:val="21"/>
                <w:szCs w:val="21"/>
                <w:highlight w:val="none"/>
                <w:lang w:eastAsia="zh-CN"/>
              </w:rPr>
            </w:pPr>
            <w:r>
              <w:rPr>
                <w:rFonts w:hint="eastAsia" w:ascii="Times New Roman" w:hAnsi="Times New Roman" w:eastAsia="宋体" w:cs="Times New Roman"/>
                <w:color w:val="auto"/>
                <w:kern w:val="0"/>
                <w:sz w:val="21"/>
                <w:szCs w:val="21"/>
                <w:highlight w:val="none"/>
                <w:lang w:val="en-US" w:eastAsia="zh-CN"/>
              </w:rPr>
              <w:t>比选人</w:t>
            </w:r>
          </w:p>
        </w:tc>
      </w:tr>
      <w:tr w14:paraId="3219A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3" w:type="dxa"/>
            <w:shd w:val="clear" w:color="auto" w:fill="auto"/>
            <w:vAlign w:val="center"/>
          </w:tcPr>
          <w:p w14:paraId="6558BDCD">
            <w:pPr>
              <w:keepNext w:val="0"/>
              <w:keepLines w:val="0"/>
              <w:pageBreakBefore w:val="0"/>
              <w:widowControl/>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数据库</w:t>
            </w:r>
          </w:p>
        </w:tc>
        <w:tc>
          <w:tcPr>
            <w:tcW w:w="1167" w:type="dxa"/>
            <w:tcBorders>
              <w:top w:val="single" w:color="auto" w:sz="4" w:space="0"/>
              <w:left w:val="single" w:color="auto" w:sz="4" w:space="0"/>
              <w:right w:val="single" w:color="auto" w:sz="4" w:space="0"/>
            </w:tcBorders>
            <w:shd w:val="clear" w:color="auto" w:fill="auto"/>
            <w:vAlign w:val="center"/>
          </w:tcPr>
          <w:p w14:paraId="432EAF9C">
            <w:pPr>
              <w:keepNext w:val="0"/>
              <w:keepLines w:val="0"/>
              <w:pageBreakBefore w:val="0"/>
              <w:widowControl/>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知识库</w:t>
            </w:r>
          </w:p>
        </w:tc>
        <w:tc>
          <w:tcPr>
            <w:tcW w:w="4872" w:type="dxa"/>
            <w:tcBorders>
              <w:top w:val="single" w:color="auto" w:sz="4" w:space="0"/>
              <w:left w:val="single" w:color="auto" w:sz="4" w:space="0"/>
              <w:right w:val="single" w:color="auto" w:sz="4" w:space="0"/>
            </w:tcBorders>
            <w:shd w:val="clear" w:color="auto" w:fill="auto"/>
            <w:vAlign w:val="center"/>
          </w:tcPr>
          <w:p w14:paraId="6AFD8DB6">
            <w:pPr>
              <w:keepNext w:val="0"/>
              <w:keepLines w:val="0"/>
              <w:pageBreakBefore w:val="0"/>
              <w:widowControl/>
              <w:kinsoku/>
              <w:wordWrap/>
              <w:overflowPunct/>
              <w:topLinePunct w:val="0"/>
              <w:autoSpaceDE w:val="0"/>
              <w:autoSpaceDN w:val="0"/>
              <w:bidi w:val="0"/>
              <w:adjustRightInd/>
              <w:snapToGrid/>
              <w:spacing w:line="400" w:lineRule="exact"/>
              <w:ind w:firstLine="0" w:firstLineChars="0"/>
              <w:jc w:val="left"/>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rPr>
              <w:t>数据库：OceanBase</w:t>
            </w:r>
            <w:r>
              <w:rPr>
                <w:rFonts w:hint="eastAsia" w:ascii="Times New Roman" w:hAnsi="Times New Roman" w:eastAsia="宋体" w:cs="Times New Roman"/>
                <w:color w:val="auto"/>
                <w:kern w:val="0"/>
                <w:sz w:val="21"/>
                <w:szCs w:val="21"/>
                <w:highlight w:val="none"/>
                <w:lang w:val="en-US" w:eastAsia="zh-CN"/>
              </w:rPr>
              <w:t>4.2或达梦8</w:t>
            </w:r>
          </w:p>
        </w:tc>
        <w:tc>
          <w:tcPr>
            <w:tcW w:w="719" w:type="dxa"/>
            <w:shd w:val="clear" w:color="auto" w:fill="auto"/>
            <w:vAlign w:val="center"/>
          </w:tcPr>
          <w:p w14:paraId="55FDEA7C">
            <w:pPr>
              <w:keepNext w:val="0"/>
              <w:keepLines w:val="0"/>
              <w:pageBreakBefore w:val="0"/>
              <w:widowControl/>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按需</w:t>
            </w:r>
          </w:p>
        </w:tc>
        <w:tc>
          <w:tcPr>
            <w:tcW w:w="884" w:type="dxa"/>
            <w:shd w:val="clear" w:color="auto" w:fill="auto"/>
            <w:vAlign w:val="center"/>
          </w:tcPr>
          <w:p w14:paraId="43C6B9D0">
            <w:pPr>
              <w:keepNext w:val="0"/>
              <w:keepLines w:val="0"/>
              <w:pageBreakBefore w:val="0"/>
              <w:widowControl/>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lang w:val="en-US" w:eastAsia="zh-CN"/>
              </w:rPr>
              <w:t>比选人</w:t>
            </w:r>
          </w:p>
        </w:tc>
      </w:tr>
      <w:tr w14:paraId="25075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3" w:type="dxa"/>
            <w:shd w:val="clear" w:color="auto" w:fill="auto"/>
            <w:vAlign w:val="center"/>
          </w:tcPr>
          <w:p w14:paraId="797EB61B">
            <w:pPr>
              <w:keepNext w:val="0"/>
              <w:keepLines w:val="0"/>
              <w:pageBreakBefore w:val="0"/>
              <w:widowControl/>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虚拟桌面</w:t>
            </w:r>
          </w:p>
        </w:tc>
        <w:tc>
          <w:tcPr>
            <w:tcW w:w="1167" w:type="dxa"/>
            <w:tcBorders>
              <w:top w:val="single" w:color="auto" w:sz="4" w:space="0"/>
              <w:left w:val="single" w:color="auto" w:sz="4" w:space="0"/>
              <w:bottom w:val="single" w:color="auto" w:sz="4" w:space="0"/>
              <w:right w:val="single" w:color="auto" w:sz="4" w:space="0"/>
            </w:tcBorders>
            <w:shd w:val="clear" w:color="auto" w:fill="auto"/>
            <w:vAlign w:val="center"/>
          </w:tcPr>
          <w:p w14:paraId="2EB1045B">
            <w:pPr>
              <w:keepNext w:val="0"/>
              <w:keepLines w:val="0"/>
              <w:pageBreakBefore w:val="0"/>
              <w:widowControl/>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lang w:val="en-US" w:eastAsia="zh-CN"/>
              </w:rPr>
              <w:t>部署</w:t>
            </w:r>
            <w:r>
              <w:rPr>
                <w:rFonts w:hint="eastAsia"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测试</w:t>
            </w:r>
          </w:p>
        </w:tc>
        <w:tc>
          <w:tcPr>
            <w:tcW w:w="4872" w:type="dxa"/>
            <w:tcBorders>
              <w:top w:val="single" w:color="auto" w:sz="4" w:space="0"/>
              <w:left w:val="single" w:color="auto" w:sz="4" w:space="0"/>
              <w:bottom w:val="single" w:color="auto" w:sz="4" w:space="0"/>
              <w:right w:val="single" w:color="auto" w:sz="4" w:space="0"/>
            </w:tcBorders>
            <w:shd w:val="clear" w:color="auto" w:fill="auto"/>
            <w:vAlign w:val="center"/>
          </w:tcPr>
          <w:p w14:paraId="3973A432">
            <w:pPr>
              <w:keepNext w:val="0"/>
              <w:keepLines w:val="0"/>
              <w:pageBreakBefore w:val="0"/>
              <w:widowControl/>
              <w:kinsoku/>
              <w:wordWrap/>
              <w:overflowPunct/>
              <w:topLinePunct w:val="0"/>
              <w:autoSpaceDE w:val="0"/>
              <w:autoSpaceDN w:val="0"/>
              <w:bidi w:val="0"/>
              <w:adjustRightInd/>
              <w:snapToGrid/>
              <w:spacing w:line="400" w:lineRule="exact"/>
              <w:ind w:firstLine="0" w:firstLineChars="0"/>
              <w:jc w:val="left"/>
              <w:textAlignment w:val="auto"/>
              <w:rPr>
                <w:rFonts w:hint="eastAsia" w:ascii="Times New Roman" w:hAnsi="Times New Roman" w:eastAsia="宋体" w:cs="Times New Roman"/>
                <w:color w:val="auto"/>
                <w:kern w:val="0"/>
                <w:sz w:val="21"/>
                <w:szCs w:val="21"/>
                <w:highlight w:val="none"/>
                <w:lang w:eastAsia="zh-CN"/>
              </w:rPr>
            </w:pPr>
            <w:r>
              <w:rPr>
                <w:rFonts w:hint="eastAsia" w:ascii="Times New Roman" w:hAnsi="Times New Roman" w:eastAsia="宋体" w:cs="Times New Roman"/>
                <w:color w:val="auto"/>
                <w:kern w:val="0"/>
                <w:sz w:val="21"/>
                <w:szCs w:val="21"/>
                <w:highlight w:val="none"/>
                <w:lang w:val="en-US" w:eastAsia="zh-CN"/>
              </w:rPr>
              <w:t>操作系统：</w:t>
            </w:r>
            <w:r>
              <w:rPr>
                <w:rFonts w:hint="default" w:ascii="Times New Roman" w:hAnsi="Times New Roman" w:eastAsia="宋体" w:cs="Times New Roman"/>
                <w:color w:val="auto"/>
                <w:kern w:val="0"/>
                <w:sz w:val="21"/>
                <w:szCs w:val="21"/>
                <w:highlight w:val="none"/>
              </w:rPr>
              <w:t>麒麟桌面操作系统</w:t>
            </w:r>
            <w:r>
              <w:rPr>
                <w:rFonts w:hint="eastAsia"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Windows操作系统</w:t>
            </w:r>
          </w:p>
          <w:p w14:paraId="3F5E6288">
            <w:pPr>
              <w:keepNext w:val="0"/>
              <w:keepLines w:val="0"/>
              <w:pageBreakBefore w:val="0"/>
              <w:widowControl/>
              <w:kinsoku/>
              <w:wordWrap/>
              <w:overflowPunct/>
              <w:topLinePunct w:val="0"/>
              <w:autoSpaceDE w:val="0"/>
              <w:autoSpaceDN w:val="0"/>
              <w:bidi w:val="0"/>
              <w:adjustRightInd/>
              <w:snapToGrid/>
              <w:spacing w:line="400" w:lineRule="exact"/>
              <w:ind w:firstLine="0" w:firstLineChars="0"/>
              <w:jc w:val="left"/>
              <w:textAlignment w:val="auto"/>
              <w:rPr>
                <w:rFonts w:hint="default"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lang w:val="en-US" w:eastAsia="zh-CN"/>
              </w:rPr>
              <w:t>浏览器：</w:t>
            </w:r>
            <w:r>
              <w:rPr>
                <w:rFonts w:hint="default" w:ascii="Times New Roman" w:hAnsi="Times New Roman" w:eastAsia="宋体" w:cs="Times New Roman"/>
                <w:color w:val="auto"/>
                <w:kern w:val="0"/>
                <w:sz w:val="21"/>
                <w:szCs w:val="21"/>
                <w:highlight w:val="none"/>
              </w:rPr>
              <w:t>奇安信</w:t>
            </w:r>
            <w:r>
              <w:rPr>
                <w:rFonts w:hint="eastAsia" w:ascii="Times New Roman" w:hAnsi="Times New Roman" w:eastAsia="宋体" w:cs="Times New Roman"/>
                <w:color w:val="auto"/>
                <w:kern w:val="0"/>
                <w:sz w:val="21"/>
                <w:szCs w:val="21"/>
                <w:highlight w:val="none"/>
                <w:lang w:val="en-US" w:eastAsia="zh-CN"/>
              </w:rPr>
              <w:t>可信浏览器</w:t>
            </w:r>
            <w:r>
              <w:rPr>
                <w:rFonts w:hint="eastAsia"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360</w:t>
            </w:r>
            <w:r>
              <w:rPr>
                <w:rFonts w:hint="eastAsia" w:ascii="Times New Roman" w:hAnsi="Times New Roman" w:eastAsia="宋体" w:cs="Times New Roman"/>
                <w:color w:val="auto"/>
                <w:kern w:val="0"/>
                <w:sz w:val="21"/>
                <w:szCs w:val="21"/>
                <w:highlight w:val="none"/>
                <w:lang w:val="en-US" w:eastAsia="zh-CN"/>
              </w:rPr>
              <w:t>安全浏览器、</w:t>
            </w:r>
            <w:r>
              <w:rPr>
                <w:rFonts w:hint="default" w:ascii="Times New Roman" w:hAnsi="Times New Roman" w:eastAsia="宋体" w:cs="Times New Roman"/>
                <w:color w:val="auto"/>
                <w:kern w:val="0"/>
                <w:sz w:val="21"/>
                <w:szCs w:val="21"/>
                <w:highlight w:val="none"/>
              </w:rPr>
              <w:t>谷歌</w:t>
            </w:r>
            <w:r>
              <w:rPr>
                <w:rFonts w:hint="eastAsia" w:ascii="Times New Roman" w:hAnsi="Times New Roman" w:eastAsia="宋体" w:cs="Times New Roman"/>
                <w:color w:val="auto"/>
                <w:kern w:val="0"/>
                <w:sz w:val="21"/>
                <w:szCs w:val="21"/>
                <w:highlight w:val="none"/>
                <w:lang w:val="en-US" w:eastAsia="zh-CN"/>
              </w:rPr>
              <w:t>浏览器</w:t>
            </w:r>
          </w:p>
        </w:tc>
        <w:tc>
          <w:tcPr>
            <w:tcW w:w="719" w:type="dxa"/>
            <w:shd w:val="clear" w:color="auto" w:fill="auto"/>
            <w:vAlign w:val="center"/>
          </w:tcPr>
          <w:p w14:paraId="2A89ED6A">
            <w:pPr>
              <w:keepNext w:val="0"/>
              <w:keepLines w:val="0"/>
              <w:pageBreakBefore w:val="0"/>
              <w:widowControl/>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4个</w:t>
            </w:r>
          </w:p>
        </w:tc>
        <w:tc>
          <w:tcPr>
            <w:tcW w:w="884" w:type="dxa"/>
            <w:shd w:val="clear" w:color="auto" w:fill="auto"/>
            <w:vAlign w:val="center"/>
          </w:tcPr>
          <w:p w14:paraId="24F02F7A">
            <w:pPr>
              <w:keepNext w:val="0"/>
              <w:keepLines w:val="0"/>
              <w:pageBreakBefore w:val="0"/>
              <w:widowControl/>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lang w:val="en-US" w:eastAsia="zh-CN"/>
              </w:rPr>
              <w:t>比选人</w:t>
            </w:r>
          </w:p>
        </w:tc>
      </w:tr>
      <w:tr w14:paraId="4114A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3" w:type="dxa"/>
            <w:shd w:val="clear" w:color="auto" w:fill="auto"/>
            <w:vAlign w:val="center"/>
          </w:tcPr>
          <w:p w14:paraId="38B2FB67">
            <w:pPr>
              <w:keepNext w:val="0"/>
              <w:keepLines w:val="0"/>
              <w:pageBreakBefore w:val="0"/>
              <w:widowControl/>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测试PC</w:t>
            </w:r>
          </w:p>
        </w:tc>
        <w:tc>
          <w:tcPr>
            <w:tcW w:w="1167" w:type="dxa"/>
            <w:tcBorders>
              <w:top w:val="single" w:color="auto" w:sz="4" w:space="0"/>
              <w:left w:val="single" w:color="auto" w:sz="4" w:space="0"/>
              <w:bottom w:val="single" w:color="auto" w:sz="4" w:space="0"/>
              <w:right w:val="single" w:color="auto" w:sz="4" w:space="0"/>
            </w:tcBorders>
            <w:shd w:val="clear" w:color="auto" w:fill="auto"/>
            <w:vAlign w:val="center"/>
          </w:tcPr>
          <w:p w14:paraId="3EDCEB7E">
            <w:pPr>
              <w:keepNext w:val="0"/>
              <w:keepLines w:val="0"/>
              <w:pageBreakBefore w:val="0"/>
              <w:widowControl/>
              <w:kinsoku/>
              <w:wordWrap/>
              <w:overflowPunct/>
              <w:topLinePunct w:val="0"/>
              <w:autoSpaceDE w:val="0"/>
              <w:autoSpaceDN w:val="0"/>
              <w:bidi w:val="0"/>
              <w:adjustRightInd/>
              <w:snapToGrid/>
              <w:spacing w:line="400" w:lineRule="exact"/>
              <w:ind w:firstLine="0" w:firstLineChars="0"/>
              <w:jc w:val="center"/>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操作终端</w:t>
            </w:r>
          </w:p>
        </w:tc>
        <w:tc>
          <w:tcPr>
            <w:tcW w:w="4872" w:type="dxa"/>
            <w:tcBorders>
              <w:top w:val="single" w:color="auto" w:sz="4" w:space="0"/>
              <w:left w:val="single" w:color="auto" w:sz="4" w:space="0"/>
              <w:bottom w:val="single" w:color="auto" w:sz="4" w:space="0"/>
              <w:right w:val="single" w:color="auto" w:sz="4" w:space="0"/>
            </w:tcBorders>
            <w:shd w:val="clear" w:color="auto" w:fill="auto"/>
            <w:vAlign w:val="center"/>
          </w:tcPr>
          <w:p w14:paraId="680248CE">
            <w:pPr>
              <w:keepNext w:val="0"/>
              <w:keepLines w:val="0"/>
              <w:pageBreakBefore w:val="0"/>
              <w:widowControl/>
              <w:kinsoku/>
              <w:wordWrap/>
              <w:overflowPunct/>
              <w:topLinePunct w:val="0"/>
              <w:autoSpaceDE w:val="0"/>
              <w:autoSpaceDN w:val="0"/>
              <w:bidi w:val="0"/>
              <w:adjustRightInd/>
              <w:snapToGrid/>
              <w:spacing w:line="400" w:lineRule="exact"/>
              <w:ind w:firstLine="0" w:firstLineChars="0"/>
              <w:jc w:val="left"/>
              <w:textAlignment w:val="auto"/>
              <w:rPr>
                <w:rFonts w:hint="eastAsia" w:ascii="Times New Roman" w:hAnsi="Times New Roman"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4台预装Windows桌面操作系统（需参选人自带）</w:t>
            </w:r>
          </w:p>
          <w:p w14:paraId="79EC1D73">
            <w:pPr>
              <w:keepNext w:val="0"/>
              <w:keepLines w:val="0"/>
              <w:pageBreakBefore w:val="0"/>
              <w:widowControl/>
              <w:kinsoku/>
              <w:wordWrap/>
              <w:overflowPunct/>
              <w:topLinePunct w:val="0"/>
              <w:autoSpaceDE w:val="0"/>
              <w:autoSpaceDN w:val="0"/>
              <w:bidi w:val="0"/>
              <w:adjustRightInd/>
              <w:snapToGrid/>
              <w:spacing w:line="400" w:lineRule="exact"/>
              <w:ind w:firstLine="0" w:firstLineChars="0"/>
              <w:jc w:val="left"/>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1台预装</w:t>
            </w:r>
            <w:r>
              <w:rPr>
                <w:rFonts w:hint="default" w:ascii="Times New Roman" w:hAnsi="Times New Roman" w:eastAsia="宋体" w:cs="Times New Roman"/>
                <w:color w:val="auto"/>
                <w:kern w:val="0"/>
                <w:sz w:val="21"/>
                <w:szCs w:val="21"/>
                <w:highlight w:val="none"/>
              </w:rPr>
              <w:t>麒麟桌面操作系统</w:t>
            </w:r>
            <w:r>
              <w:rPr>
                <w:rFonts w:hint="eastAsia" w:ascii="Times New Roman" w:hAnsi="Times New Roman" w:cs="Times New Roman"/>
                <w:color w:val="auto"/>
                <w:kern w:val="0"/>
                <w:sz w:val="21"/>
                <w:szCs w:val="21"/>
                <w:highlight w:val="none"/>
                <w:lang w:eastAsia="zh-CN"/>
              </w:rPr>
              <w:t>（</w:t>
            </w:r>
            <w:r>
              <w:rPr>
                <w:rFonts w:hint="eastAsia" w:ascii="Times New Roman" w:hAnsi="Times New Roman" w:cs="Times New Roman"/>
                <w:color w:val="auto"/>
                <w:kern w:val="0"/>
                <w:sz w:val="21"/>
                <w:szCs w:val="21"/>
                <w:highlight w:val="none"/>
                <w:lang w:val="en-US" w:eastAsia="zh-CN"/>
              </w:rPr>
              <w:t>由比选人准备</w:t>
            </w:r>
            <w:r>
              <w:rPr>
                <w:rFonts w:hint="eastAsia" w:ascii="Times New Roman" w:hAnsi="Times New Roman" w:cs="Times New Roman"/>
                <w:color w:val="auto"/>
                <w:kern w:val="0"/>
                <w:sz w:val="21"/>
                <w:szCs w:val="21"/>
                <w:highlight w:val="none"/>
                <w:lang w:eastAsia="zh-CN"/>
              </w:rPr>
              <w:t>）</w:t>
            </w:r>
          </w:p>
        </w:tc>
        <w:tc>
          <w:tcPr>
            <w:tcW w:w="719" w:type="dxa"/>
            <w:shd w:val="clear" w:color="auto" w:fill="auto"/>
            <w:vAlign w:val="center"/>
          </w:tcPr>
          <w:p w14:paraId="14570DBB">
            <w:pPr>
              <w:keepNext w:val="0"/>
              <w:keepLines w:val="0"/>
              <w:pageBreakBefore w:val="0"/>
              <w:widowControl/>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5</w:t>
            </w:r>
            <w:r>
              <w:rPr>
                <w:rFonts w:hint="eastAsia" w:ascii="Times New Roman" w:hAnsi="Times New Roman" w:eastAsia="宋体" w:cs="Times New Roman"/>
                <w:color w:val="auto"/>
                <w:kern w:val="0"/>
                <w:sz w:val="21"/>
                <w:szCs w:val="21"/>
                <w:highlight w:val="none"/>
                <w:lang w:val="en-US" w:eastAsia="zh-CN"/>
              </w:rPr>
              <w:t>台</w:t>
            </w:r>
          </w:p>
        </w:tc>
        <w:tc>
          <w:tcPr>
            <w:tcW w:w="884" w:type="dxa"/>
            <w:shd w:val="clear" w:color="auto" w:fill="auto"/>
            <w:vAlign w:val="center"/>
          </w:tcPr>
          <w:p w14:paraId="6A468979">
            <w:pPr>
              <w:keepNext w:val="0"/>
              <w:keepLines w:val="0"/>
              <w:pageBreakBefore w:val="0"/>
              <w:widowControl/>
              <w:kinsoku/>
              <w:wordWrap/>
              <w:overflowPunct/>
              <w:topLinePunct w:val="0"/>
              <w:autoSpaceDE w:val="0"/>
              <w:autoSpaceDN w:val="0"/>
              <w:bidi w:val="0"/>
              <w:adjustRightInd/>
              <w:snapToGrid/>
              <w:spacing w:line="400" w:lineRule="exact"/>
              <w:ind w:firstLine="0" w:firstLineChars="0"/>
              <w:jc w:val="center"/>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参</w:t>
            </w:r>
            <w:r>
              <w:rPr>
                <w:rFonts w:hint="eastAsia" w:ascii="Times New Roman" w:hAnsi="Times New Roman" w:eastAsia="宋体" w:cs="Times New Roman"/>
                <w:color w:val="auto"/>
                <w:kern w:val="0"/>
                <w:sz w:val="21"/>
                <w:szCs w:val="21"/>
                <w:highlight w:val="none"/>
                <w:lang w:val="en-US" w:eastAsia="zh-CN"/>
              </w:rPr>
              <w:t>选人</w:t>
            </w:r>
          </w:p>
          <w:p w14:paraId="74CAF5B2">
            <w:pPr>
              <w:keepNext w:val="0"/>
              <w:keepLines w:val="0"/>
              <w:pageBreakBefore w:val="0"/>
              <w:widowControl/>
              <w:kinsoku/>
              <w:wordWrap/>
              <w:overflowPunct/>
              <w:topLinePunct w:val="0"/>
              <w:autoSpaceDE w:val="0"/>
              <w:autoSpaceDN w:val="0"/>
              <w:bidi w:val="0"/>
              <w:adjustRightInd/>
              <w:snapToGrid/>
              <w:spacing w:line="400" w:lineRule="exact"/>
              <w:ind w:firstLine="0" w:firstLineChars="0"/>
              <w:jc w:val="both"/>
              <w:textAlignment w:val="auto"/>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比选人</w:t>
            </w:r>
          </w:p>
        </w:tc>
      </w:tr>
    </w:tbl>
    <w:p w14:paraId="21CD6CD0">
      <w:pPr>
        <w:rPr>
          <w:rFonts w:hint="eastAsia" w:ascii="宋体" w:eastAsia="宋体" w:cs="宋体"/>
          <w:color w:val="auto"/>
          <w:sz w:val="24"/>
          <w:szCs w:val="24"/>
          <w:highlight w:val="none"/>
        </w:rPr>
      </w:pPr>
      <w:r>
        <w:rPr>
          <w:rFonts w:hint="eastAsia" w:ascii="Times New Roman" w:hAnsi="Times New Roman" w:cs="Times New Roman"/>
          <w:b/>
          <w:bCs/>
          <w:color w:val="auto"/>
          <w:highlight w:val="none"/>
          <w:lang w:val="en-US" w:eastAsia="zh-CN"/>
        </w:rPr>
        <w:t>（三）数据安全与保密要求</w:t>
      </w:r>
    </w:p>
    <w:p w14:paraId="43B75589">
      <w:pPr>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本次POC的测试数据由比选人准备，但比选人和参选人应达成共同的保密意识，明确测试数据只能用于本次POC，不得以任何形式（包括电子邮件、即时聊天工具、U盘和工作人员笔记本电脑等）将比选人相关信息、文件或数据泄露。在POC测试结束后由比选人相关人员监督将测试设备及测试人员工作设备（包括电脑、移动介质、网盘等）中的本次测试数据全部清除。</w:t>
      </w:r>
    </w:p>
    <w:p w14:paraId="5AFA6BED">
      <w:pPr>
        <w:pStyle w:val="4"/>
        <w:keepNext w:val="0"/>
        <w:keepLines w:val="0"/>
        <w:pageBreakBefore w:val="0"/>
        <w:widowControl w:val="0"/>
        <w:numPr>
          <w:ilvl w:val="0"/>
          <w:numId w:val="18"/>
        </w:numPr>
        <w:kinsoku/>
        <w:wordWrap/>
        <w:overflowPunct/>
        <w:topLinePunct w:val="0"/>
        <w:autoSpaceDE w:val="0"/>
        <w:autoSpaceDN w:val="0"/>
        <w:bidi w:val="0"/>
        <w:adjustRightInd/>
        <w:snapToGrid/>
        <w:ind w:left="363" w:leftChars="0" w:hanging="363" w:firstLineChars="0"/>
        <w:textAlignment w:val="auto"/>
        <w:outlineLvl w:val="2"/>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POC测试内容</w:t>
      </w:r>
    </w:p>
    <w:p w14:paraId="67738241">
      <w:pPr>
        <w:rPr>
          <w:rFonts w:hint="default"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（一）测试要求</w:t>
      </w:r>
    </w:p>
    <w:p w14:paraId="2138D4C6">
      <w:pPr>
        <w:keepNext w:val="0"/>
        <w:keepLines w:val="0"/>
        <w:pageBreakBefore w:val="0"/>
        <w:widowControl w:val="0"/>
        <w:kinsoku/>
        <w:wordWrap/>
        <w:overflowPunct/>
        <w:topLinePunct w:val="0"/>
        <w:autoSpaceDE w:val="0"/>
        <w:autoSpaceDN w:val="0"/>
        <w:bidi w:val="0"/>
        <w:adjustRightInd/>
        <w:snapToGrid/>
        <w:spacing w:after="157" w:afterLines="50"/>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参选人在进行POC测试时，若不满足下表中任意一项测试要求，则本次POC测试直接得0分，且不再开展后续测试。</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9"/>
        <w:gridCol w:w="6480"/>
      </w:tblGrid>
      <w:tr w14:paraId="636B8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9" w:type="dxa"/>
            <w:shd w:val="clear" w:color="auto" w:fill="A4A4A4" w:themeFill="background1" w:themeFillShade="A5"/>
            <w:vAlign w:val="center"/>
          </w:tcPr>
          <w:p w14:paraId="74969308">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cs="Times New Roman"/>
                <w:b/>
                <w:bCs/>
                <w:color w:val="auto"/>
                <w:sz w:val="21"/>
                <w:szCs w:val="21"/>
                <w:highlight w:val="none"/>
                <w:vertAlign w:val="baseline"/>
                <w:lang w:val="en-US" w:eastAsia="zh-CN"/>
              </w:rPr>
            </w:pPr>
            <w:r>
              <w:rPr>
                <w:rFonts w:hint="eastAsia" w:ascii="Times New Roman" w:hAnsi="Times New Roman" w:cs="Times New Roman"/>
                <w:b/>
                <w:bCs/>
                <w:color w:val="auto"/>
                <w:sz w:val="21"/>
                <w:szCs w:val="21"/>
                <w:highlight w:val="none"/>
                <w:vertAlign w:val="baseline"/>
                <w:lang w:val="en-US" w:eastAsia="zh-CN"/>
              </w:rPr>
              <w:t>要求分类</w:t>
            </w:r>
          </w:p>
        </w:tc>
        <w:tc>
          <w:tcPr>
            <w:tcW w:w="6480" w:type="dxa"/>
            <w:shd w:val="clear" w:color="auto" w:fill="A4A4A4" w:themeFill="background1" w:themeFillShade="A5"/>
            <w:vAlign w:val="center"/>
          </w:tcPr>
          <w:p w14:paraId="4460052D">
            <w:pPr>
              <w:keepNext w:val="0"/>
              <w:keepLines w:val="0"/>
              <w:pageBreakBefore w:val="0"/>
              <w:widowControl w:val="0"/>
              <w:tabs>
                <w:tab w:val="left" w:pos="509"/>
              </w:tabs>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cs="Times New Roman"/>
                <w:b/>
                <w:bCs/>
                <w:color w:val="auto"/>
                <w:sz w:val="21"/>
                <w:szCs w:val="21"/>
                <w:highlight w:val="none"/>
                <w:vertAlign w:val="baseline"/>
                <w:lang w:val="en-US" w:eastAsia="zh-CN"/>
              </w:rPr>
            </w:pPr>
            <w:r>
              <w:rPr>
                <w:rFonts w:hint="eastAsia" w:ascii="Times New Roman" w:hAnsi="Times New Roman" w:cs="Times New Roman"/>
                <w:b/>
                <w:bCs/>
                <w:color w:val="auto"/>
                <w:sz w:val="21"/>
                <w:szCs w:val="21"/>
                <w:highlight w:val="none"/>
                <w:vertAlign w:val="baseline"/>
                <w:lang w:val="en-US" w:eastAsia="zh-CN"/>
              </w:rPr>
              <w:t>具体内容</w:t>
            </w:r>
          </w:p>
        </w:tc>
      </w:tr>
      <w:tr w14:paraId="442B7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9" w:type="dxa"/>
            <w:vAlign w:val="center"/>
          </w:tcPr>
          <w:p w14:paraId="136A3264">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eastAsia" w:ascii="Times New Roman" w:hAnsi="Times New Roman" w:cs="Times New Roman"/>
                <w:b w:val="0"/>
                <w:bCs w:val="0"/>
                <w:color w:val="auto"/>
                <w:sz w:val="21"/>
                <w:szCs w:val="21"/>
                <w:highlight w:val="none"/>
                <w:vertAlign w:val="baseline"/>
                <w:lang w:val="en-US" w:eastAsia="zh-CN"/>
              </w:rPr>
              <w:t>信创支持</w:t>
            </w:r>
          </w:p>
        </w:tc>
        <w:tc>
          <w:tcPr>
            <w:tcW w:w="6480" w:type="dxa"/>
          </w:tcPr>
          <w:p w14:paraId="48B36751">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textAlignment w:val="auto"/>
              <w:rPr>
                <w:rFonts w:hint="eastAsia" w:ascii="Times New Roman" w:hAnsi="Times New Roman"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1.适配我行基线产品的信创数据库；</w:t>
            </w:r>
            <w:r>
              <w:rPr>
                <w:rFonts w:hint="default" w:ascii="Times New Roman" w:hAnsi="Times New Roman" w:eastAsia="宋体" w:cs="Times New Roman"/>
                <w:i w:val="0"/>
                <w:iCs w:val="0"/>
                <w:color w:val="auto"/>
                <w:kern w:val="0"/>
                <w:sz w:val="21"/>
                <w:szCs w:val="21"/>
                <w:highlight w:val="none"/>
                <w:u w:val="none"/>
                <w:lang w:val="en-US" w:eastAsia="zh-CN" w:bidi="ar"/>
              </w:rPr>
              <w:br w:type="textWrapping"/>
            </w:r>
            <w:r>
              <w:rPr>
                <w:rFonts w:hint="default" w:ascii="Times New Roman" w:hAnsi="Times New Roman" w:eastAsia="宋体" w:cs="Times New Roman"/>
                <w:i w:val="0"/>
                <w:iCs w:val="0"/>
                <w:color w:val="auto"/>
                <w:kern w:val="0"/>
                <w:sz w:val="21"/>
                <w:szCs w:val="21"/>
                <w:highlight w:val="none"/>
                <w:u w:val="none"/>
                <w:lang w:val="en-US" w:eastAsia="zh-CN" w:bidi="ar"/>
              </w:rPr>
              <w:t>2.适配我行基线产品的信创服务器；</w:t>
            </w:r>
            <w:r>
              <w:rPr>
                <w:rFonts w:hint="default" w:ascii="Times New Roman" w:hAnsi="Times New Roman" w:eastAsia="宋体" w:cs="Times New Roman"/>
                <w:i w:val="0"/>
                <w:iCs w:val="0"/>
                <w:color w:val="auto"/>
                <w:kern w:val="0"/>
                <w:sz w:val="21"/>
                <w:szCs w:val="21"/>
                <w:highlight w:val="none"/>
                <w:u w:val="none"/>
                <w:lang w:val="en-US" w:eastAsia="zh-CN" w:bidi="ar"/>
              </w:rPr>
              <w:br w:type="textWrapping"/>
            </w:r>
            <w:r>
              <w:rPr>
                <w:rFonts w:hint="default" w:ascii="Times New Roman" w:hAnsi="Times New Roman" w:eastAsia="宋体" w:cs="Times New Roman"/>
                <w:i w:val="0"/>
                <w:iCs w:val="0"/>
                <w:color w:val="auto"/>
                <w:kern w:val="0"/>
                <w:sz w:val="21"/>
                <w:szCs w:val="21"/>
                <w:highlight w:val="none"/>
                <w:u w:val="none"/>
                <w:lang w:val="en-US" w:eastAsia="zh-CN" w:bidi="ar"/>
              </w:rPr>
              <w:t>3.适配我行基线产品的信创中间件；</w:t>
            </w:r>
            <w:r>
              <w:rPr>
                <w:rFonts w:hint="default" w:ascii="Times New Roman" w:hAnsi="Times New Roman" w:eastAsia="宋体" w:cs="Times New Roman"/>
                <w:i w:val="0"/>
                <w:iCs w:val="0"/>
                <w:color w:val="auto"/>
                <w:kern w:val="0"/>
                <w:sz w:val="21"/>
                <w:szCs w:val="21"/>
                <w:highlight w:val="none"/>
                <w:u w:val="none"/>
                <w:lang w:val="en-US" w:eastAsia="zh-CN" w:bidi="ar"/>
              </w:rPr>
              <w:br w:type="textWrapping"/>
            </w:r>
            <w:r>
              <w:rPr>
                <w:rFonts w:hint="default" w:ascii="Times New Roman" w:hAnsi="Times New Roman" w:eastAsia="宋体" w:cs="Times New Roman"/>
                <w:i w:val="0"/>
                <w:iCs w:val="0"/>
                <w:color w:val="auto"/>
                <w:kern w:val="0"/>
                <w:sz w:val="21"/>
                <w:szCs w:val="21"/>
                <w:highlight w:val="none"/>
                <w:u w:val="none"/>
                <w:lang w:val="en-US" w:eastAsia="zh-CN" w:bidi="ar"/>
              </w:rPr>
              <w:t>4.适配我行基线产品的信创终端；</w:t>
            </w:r>
            <w:r>
              <w:rPr>
                <w:rFonts w:hint="default" w:ascii="Times New Roman" w:hAnsi="Times New Roman" w:eastAsia="宋体" w:cs="Times New Roman"/>
                <w:i w:val="0"/>
                <w:iCs w:val="0"/>
                <w:color w:val="auto"/>
                <w:kern w:val="0"/>
                <w:sz w:val="21"/>
                <w:szCs w:val="21"/>
                <w:highlight w:val="none"/>
                <w:u w:val="none"/>
                <w:lang w:val="en-US" w:eastAsia="zh-CN" w:bidi="ar"/>
              </w:rPr>
              <w:br w:type="textWrapping"/>
            </w:r>
            <w:r>
              <w:rPr>
                <w:rFonts w:hint="default" w:ascii="Times New Roman" w:hAnsi="Times New Roman" w:eastAsia="宋体" w:cs="Times New Roman"/>
                <w:i w:val="0"/>
                <w:iCs w:val="0"/>
                <w:color w:val="auto"/>
                <w:kern w:val="0"/>
                <w:sz w:val="21"/>
                <w:szCs w:val="21"/>
                <w:highlight w:val="none"/>
                <w:u w:val="none"/>
                <w:lang w:val="en-US" w:eastAsia="zh-CN" w:bidi="ar"/>
              </w:rPr>
              <w:t>5.适配我行基线产品的信创浏览器</w:t>
            </w:r>
            <w:r>
              <w:rPr>
                <w:rFonts w:hint="eastAsia" w:ascii="Times New Roman" w:hAnsi="Times New Roman" w:cs="Times New Roman"/>
                <w:i w:val="0"/>
                <w:iCs w:val="0"/>
                <w:color w:val="auto"/>
                <w:kern w:val="0"/>
                <w:sz w:val="21"/>
                <w:szCs w:val="21"/>
                <w:highlight w:val="none"/>
                <w:u w:val="none"/>
                <w:lang w:val="en-US" w:eastAsia="zh-CN" w:bidi="ar"/>
              </w:rPr>
              <w:t>；</w:t>
            </w:r>
          </w:p>
          <w:p w14:paraId="1D00714B">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6.产品符合信创其他相关要求。</w:t>
            </w:r>
          </w:p>
        </w:tc>
      </w:tr>
      <w:tr w14:paraId="6BC85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9" w:type="dxa"/>
            <w:vAlign w:val="center"/>
          </w:tcPr>
          <w:p w14:paraId="059D49E3">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eastAsia" w:ascii="Times New Roman" w:hAnsi="Times New Roman" w:cs="Times New Roman"/>
                <w:b w:val="0"/>
                <w:bCs w:val="0"/>
                <w:color w:val="auto"/>
                <w:sz w:val="21"/>
                <w:szCs w:val="21"/>
                <w:highlight w:val="none"/>
                <w:vertAlign w:val="baseline"/>
                <w:lang w:val="en-US" w:eastAsia="zh-CN"/>
              </w:rPr>
              <w:t>测试地点与时间</w:t>
            </w:r>
          </w:p>
        </w:tc>
        <w:tc>
          <w:tcPr>
            <w:tcW w:w="6480" w:type="dxa"/>
          </w:tcPr>
          <w:p w14:paraId="3DD57A10">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参选人需安排人员到比选人指定地点、指定时间进行现场测试。</w:t>
            </w:r>
          </w:p>
        </w:tc>
      </w:tr>
      <w:tr w14:paraId="40ECA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9" w:type="dxa"/>
            <w:vAlign w:val="center"/>
          </w:tcPr>
          <w:p w14:paraId="640F39A9">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eastAsia" w:ascii="Times New Roman" w:hAnsi="Times New Roman" w:cs="Times New Roman"/>
                <w:b w:val="0"/>
                <w:bCs w:val="0"/>
                <w:color w:val="auto"/>
                <w:sz w:val="21"/>
                <w:szCs w:val="21"/>
                <w:highlight w:val="none"/>
                <w:vertAlign w:val="baseline"/>
                <w:lang w:val="en-US" w:eastAsia="zh-CN"/>
              </w:rPr>
              <w:t>本地化部署</w:t>
            </w:r>
          </w:p>
        </w:tc>
        <w:tc>
          <w:tcPr>
            <w:tcW w:w="6480" w:type="dxa"/>
          </w:tcPr>
          <w:p w14:paraId="1C456AE1">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参选人所有产品均需在我行私有环境下进行本地化部署。</w:t>
            </w:r>
          </w:p>
        </w:tc>
      </w:tr>
      <w:tr w14:paraId="01B09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9" w:type="dxa"/>
            <w:vAlign w:val="center"/>
          </w:tcPr>
          <w:p w14:paraId="6339C47F">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eastAsia" w:ascii="Times New Roman" w:hAnsi="Times New Roman" w:cs="Times New Roman"/>
                <w:b w:val="0"/>
                <w:bCs w:val="0"/>
                <w:color w:val="auto"/>
                <w:sz w:val="21"/>
                <w:szCs w:val="21"/>
                <w:highlight w:val="none"/>
                <w:vertAlign w:val="baseline"/>
                <w:lang w:val="en-US" w:eastAsia="zh-CN"/>
              </w:rPr>
              <w:t>技术架构符合度</w:t>
            </w:r>
          </w:p>
        </w:tc>
        <w:tc>
          <w:tcPr>
            <w:tcW w:w="6480" w:type="dxa"/>
          </w:tcPr>
          <w:p w14:paraId="37A978E2">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参选人提供的湖仓一体底座需满足分布式大数据技术体系架构要求。</w:t>
            </w:r>
          </w:p>
        </w:tc>
      </w:tr>
    </w:tbl>
    <w:p w14:paraId="1E793514">
      <w:pPr>
        <w:keepNext w:val="0"/>
        <w:keepLines w:val="0"/>
        <w:pageBreakBefore w:val="0"/>
        <w:widowControl w:val="0"/>
        <w:numPr>
          <w:ilvl w:val="0"/>
          <w:numId w:val="21"/>
        </w:numPr>
        <w:kinsoku/>
        <w:wordWrap/>
        <w:overflowPunct/>
        <w:topLinePunct w:val="0"/>
        <w:autoSpaceDE w:val="0"/>
        <w:autoSpaceDN w:val="0"/>
        <w:bidi w:val="0"/>
        <w:adjustRightInd/>
        <w:snapToGrid/>
        <w:spacing w:after="157" w:afterLines="50"/>
        <w:textAlignment w:val="auto"/>
        <w:rPr>
          <w:rFonts w:hint="eastAsia"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测试内容</w:t>
      </w:r>
    </w:p>
    <w:p w14:paraId="29EA24E7">
      <w:pPr>
        <w:keepNext w:val="0"/>
        <w:keepLines w:val="0"/>
        <w:pageBreakBefore w:val="0"/>
        <w:widowControl w:val="0"/>
        <w:kinsoku/>
        <w:wordWrap/>
        <w:overflowPunct/>
        <w:topLinePunct w:val="0"/>
        <w:autoSpaceDE w:val="0"/>
        <w:autoSpaceDN w:val="0"/>
        <w:bidi w:val="0"/>
        <w:adjustRightInd/>
        <w:snapToGrid/>
        <w:spacing w:after="157" w:afterLines="50"/>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本次POC测试的具体内容如下表所示，根据测试情况综合评定各场景得分，总分由各场景得分相加。</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1088"/>
        <w:gridCol w:w="2565"/>
        <w:gridCol w:w="3026"/>
        <w:gridCol w:w="732"/>
      </w:tblGrid>
      <w:tr w14:paraId="088F0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shd w:val="clear" w:color="auto" w:fill="BEBEBE" w:themeFill="background1" w:themeFillShade="BF"/>
            <w:vAlign w:val="center"/>
          </w:tcPr>
          <w:p w14:paraId="1491D77D">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cs="Times New Roman"/>
                <w:b/>
                <w:bCs/>
                <w:color w:val="auto"/>
                <w:sz w:val="21"/>
                <w:szCs w:val="21"/>
                <w:highlight w:val="none"/>
                <w:vertAlign w:val="baseline"/>
                <w:lang w:val="en-US" w:eastAsia="zh-CN"/>
              </w:rPr>
            </w:pPr>
            <w:bookmarkStart w:id="75" w:name="OLE_LINK1"/>
            <w:r>
              <w:rPr>
                <w:rFonts w:hint="eastAsia" w:ascii="Times New Roman" w:hAnsi="Times New Roman" w:cs="Times New Roman"/>
                <w:b/>
                <w:bCs/>
                <w:color w:val="auto"/>
                <w:sz w:val="21"/>
                <w:szCs w:val="21"/>
                <w:highlight w:val="none"/>
                <w:vertAlign w:val="baseline"/>
                <w:lang w:val="en-US" w:eastAsia="zh-CN"/>
              </w:rPr>
              <w:t>测试类型</w:t>
            </w:r>
          </w:p>
        </w:tc>
        <w:tc>
          <w:tcPr>
            <w:tcW w:w="1088" w:type="dxa"/>
            <w:shd w:val="clear" w:color="auto" w:fill="BEBEBE" w:themeFill="background1" w:themeFillShade="BF"/>
            <w:vAlign w:val="center"/>
          </w:tcPr>
          <w:p w14:paraId="6AAFD24A">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cs="Times New Roman"/>
                <w:b/>
                <w:bCs/>
                <w:color w:val="auto"/>
                <w:sz w:val="21"/>
                <w:szCs w:val="21"/>
                <w:highlight w:val="none"/>
                <w:vertAlign w:val="baseline"/>
                <w:lang w:val="en-US" w:eastAsia="zh-CN"/>
              </w:rPr>
              <w:t>场景分类</w:t>
            </w:r>
          </w:p>
        </w:tc>
        <w:tc>
          <w:tcPr>
            <w:tcW w:w="2565" w:type="dxa"/>
            <w:shd w:val="clear" w:color="auto" w:fill="BEBEBE" w:themeFill="background1" w:themeFillShade="BF"/>
            <w:vAlign w:val="center"/>
          </w:tcPr>
          <w:p w14:paraId="5659A0DA">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测试内容</w:t>
            </w:r>
          </w:p>
        </w:tc>
        <w:tc>
          <w:tcPr>
            <w:tcW w:w="3026" w:type="dxa"/>
            <w:shd w:val="clear" w:color="auto" w:fill="BEBEBE" w:themeFill="background1" w:themeFillShade="BF"/>
            <w:vAlign w:val="center"/>
          </w:tcPr>
          <w:p w14:paraId="18F0EC45">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预期结果</w:t>
            </w:r>
          </w:p>
        </w:tc>
        <w:tc>
          <w:tcPr>
            <w:tcW w:w="732" w:type="dxa"/>
            <w:shd w:val="clear" w:color="auto" w:fill="BEBEBE" w:themeFill="background1" w:themeFillShade="BF"/>
            <w:vAlign w:val="center"/>
          </w:tcPr>
          <w:p w14:paraId="5F50A2C7">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分值</w:t>
            </w:r>
          </w:p>
        </w:tc>
      </w:tr>
      <w:tr w14:paraId="077DA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shd w:val="clear" w:color="auto" w:fill="auto"/>
            <w:vAlign w:val="center"/>
          </w:tcPr>
          <w:p w14:paraId="7F171B3B">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default" w:ascii="Times New Roman" w:hAnsi="Times New Roman"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参选人测试情况整体评价</w:t>
            </w:r>
          </w:p>
        </w:tc>
        <w:tc>
          <w:tcPr>
            <w:tcW w:w="1088" w:type="dxa"/>
            <w:shd w:val="clear" w:color="auto" w:fill="auto"/>
            <w:vAlign w:val="center"/>
          </w:tcPr>
          <w:p w14:paraId="38FA58C0">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测试情况整体评价</w:t>
            </w:r>
          </w:p>
        </w:tc>
        <w:tc>
          <w:tcPr>
            <w:tcW w:w="2565" w:type="dxa"/>
            <w:shd w:val="clear" w:color="auto" w:fill="auto"/>
            <w:vAlign w:val="center"/>
          </w:tcPr>
          <w:p w14:paraId="6F31C3BB">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对参选人本次POC测试的整体情况进行评价。</w:t>
            </w:r>
          </w:p>
        </w:tc>
        <w:tc>
          <w:tcPr>
            <w:tcW w:w="3026" w:type="dxa"/>
            <w:shd w:val="clear" w:color="auto" w:fill="auto"/>
            <w:vAlign w:val="center"/>
          </w:tcPr>
          <w:p w14:paraId="79E6C5F2">
            <w:pPr>
              <w:keepNext w:val="0"/>
              <w:keepLines w:val="0"/>
              <w:pageBreakBefore w:val="0"/>
              <w:widowControl/>
              <w:numPr>
                <w:ilvl w:val="0"/>
                <w:numId w:val="22"/>
              </w:numPr>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提前完成POC整体测试</w:t>
            </w:r>
            <w:r>
              <w:rPr>
                <w:rFonts w:hint="eastAsia" w:ascii="Times New Roman" w:hAnsi="Times New Roman" w:cs="Times New Roman"/>
                <w:i w:val="0"/>
                <w:iCs w:val="0"/>
                <w:color w:val="auto"/>
                <w:kern w:val="0"/>
                <w:sz w:val="21"/>
                <w:szCs w:val="21"/>
                <w:highlight w:val="none"/>
                <w:u w:val="none"/>
                <w:lang w:val="en-US" w:eastAsia="zh-CN" w:bidi="ar"/>
              </w:rPr>
              <w:t>；</w:t>
            </w:r>
          </w:p>
          <w:p w14:paraId="3AF119EF">
            <w:pPr>
              <w:keepNext w:val="0"/>
              <w:keepLines w:val="0"/>
              <w:pageBreakBefore w:val="0"/>
              <w:widowControl/>
              <w:numPr>
                <w:ilvl w:val="0"/>
                <w:numId w:val="22"/>
              </w:numPr>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POC测试环境准备顺畅；</w:t>
            </w:r>
          </w:p>
          <w:p w14:paraId="54A05D9A">
            <w:pPr>
              <w:keepNext w:val="0"/>
              <w:keepLines w:val="0"/>
              <w:pageBreakBefore w:val="0"/>
              <w:widowControl/>
              <w:numPr>
                <w:ilvl w:val="0"/>
                <w:numId w:val="22"/>
              </w:numPr>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演示或说明内容完整、仔细、质量高；</w:t>
            </w:r>
          </w:p>
          <w:p w14:paraId="09D5C68C">
            <w:pPr>
              <w:keepNext w:val="0"/>
              <w:keepLines w:val="0"/>
              <w:pageBreakBefore w:val="0"/>
              <w:widowControl/>
              <w:numPr>
                <w:ilvl w:val="0"/>
                <w:numId w:val="22"/>
              </w:numPr>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参选人以及参与测试人员配合度高；</w:t>
            </w:r>
          </w:p>
          <w:p w14:paraId="7A0367ED">
            <w:pPr>
              <w:keepNext w:val="0"/>
              <w:keepLines w:val="0"/>
              <w:pageBreakBefore w:val="0"/>
              <w:widowControl/>
              <w:numPr>
                <w:ilvl w:val="0"/>
                <w:numId w:val="22"/>
              </w:numPr>
              <w:suppressLineNumbers w:val="0"/>
              <w:kinsoku/>
              <w:wordWrap/>
              <w:overflowPunct/>
              <w:topLinePunct w:val="0"/>
              <w:bidi w:val="0"/>
              <w:adjustRightInd/>
              <w:snapToGrid/>
              <w:spacing w:line="400" w:lineRule="exact"/>
              <w:ind w:firstLine="0" w:firstLineChars="0"/>
              <w:jc w:val="left"/>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人员专业水平高。</w:t>
            </w:r>
          </w:p>
        </w:tc>
        <w:tc>
          <w:tcPr>
            <w:tcW w:w="732" w:type="dxa"/>
            <w:shd w:val="clear" w:color="auto" w:fill="auto"/>
            <w:vAlign w:val="center"/>
          </w:tcPr>
          <w:p w14:paraId="13D14D57">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20</w:t>
            </w:r>
          </w:p>
        </w:tc>
      </w:tr>
      <w:tr w14:paraId="139AF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9" w:type="dxa"/>
            <w:shd w:val="clear" w:color="auto" w:fill="auto"/>
            <w:vAlign w:val="center"/>
          </w:tcPr>
          <w:p w14:paraId="34632C7F">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产品功能评价</w:t>
            </w:r>
          </w:p>
        </w:tc>
        <w:tc>
          <w:tcPr>
            <w:tcW w:w="1088" w:type="dxa"/>
            <w:shd w:val="clear" w:color="auto" w:fill="auto"/>
            <w:vAlign w:val="center"/>
          </w:tcPr>
          <w:p w14:paraId="27C5C857">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基础功能场景</w:t>
            </w:r>
          </w:p>
        </w:tc>
        <w:tc>
          <w:tcPr>
            <w:tcW w:w="2565" w:type="dxa"/>
            <w:shd w:val="clear" w:color="auto" w:fill="auto"/>
            <w:vAlign w:val="center"/>
          </w:tcPr>
          <w:p w14:paraId="745DB539">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参选人针对第三章</w:t>
            </w:r>
            <w:r>
              <w:rPr>
                <w:rFonts w:hint="eastAsia" w:ascii="Times New Roman" w:hAnsi="Times New Roman" w:cs="Times New Roman"/>
                <w:i w:val="0"/>
                <w:iCs w:val="0"/>
                <w:color w:val="auto"/>
                <w:kern w:val="0"/>
                <w:sz w:val="21"/>
                <w:szCs w:val="21"/>
                <w:highlight w:val="none"/>
                <w:u w:val="none"/>
                <w:lang w:val="en-US" w:eastAsia="zh-CN" w:bidi="ar"/>
              </w:rPr>
              <w:t>“</w:t>
            </w:r>
            <w:r>
              <w:rPr>
                <w:rFonts w:hint="default" w:ascii="Times New Roman" w:hAnsi="Times New Roman" w:eastAsia="宋体" w:cs="Times New Roman"/>
                <w:i w:val="0"/>
                <w:iCs w:val="0"/>
                <w:color w:val="auto"/>
                <w:kern w:val="0"/>
                <w:sz w:val="21"/>
                <w:szCs w:val="21"/>
                <w:highlight w:val="none"/>
                <w:u w:val="none"/>
                <w:lang w:val="en-US" w:eastAsia="zh-CN" w:bidi="ar"/>
              </w:rPr>
              <w:t>1.3.2</w:t>
            </w:r>
            <w:r>
              <w:rPr>
                <w:rFonts w:hint="eastAsia" w:ascii="Times New Roman" w:hAnsi="Times New Roman" w:cs="Times New Roman"/>
                <w:i w:val="0"/>
                <w:iCs w:val="0"/>
                <w:color w:val="auto"/>
                <w:kern w:val="0"/>
                <w:sz w:val="21"/>
                <w:szCs w:val="21"/>
                <w:highlight w:val="none"/>
                <w:u w:val="none"/>
                <w:lang w:val="en-US" w:eastAsia="zh-CN" w:bidi="ar"/>
              </w:rPr>
              <w:t>”</w:t>
            </w:r>
            <w:r>
              <w:rPr>
                <w:rFonts w:hint="default" w:ascii="Times New Roman" w:hAnsi="Times New Roman" w:eastAsia="宋体" w:cs="Times New Roman"/>
                <w:i w:val="0"/>
                <w:iCs w:val="0"/>
                <w:color w:val="auto"/>
                <w:kern w:val="0"/>
                <w:sz w:val="21"/>
                <w:szCs w:val="21"/>
                <w:highlight w:val="none"/>
                <w:u w:val="none"/>
                <w:lang w:val="en-US" w:eastAsia="zh-CN" w:bidi="ar"/>
              </w:rPr>
              <w:t>和</w:t>
            </w:r>
            <w:r>
              <w:rPr>
                <w:rFonts w:hint="eastAsia" w:ascii="Times New Roman" w:hAnsi="Times New Roman" w:cs="Times New Roman"/>
                <w:i w:val="0"/>
                <w:iCs w:val="0"/>
                <w:color w:val="auto"/>
                <w:kern w:val="0"/>
                <w:sz w:val="21"/>
                <w:szCs w:val="21"/>
                <w:highlight w:val="none"/>
                <w:u w:val="none"/>
                <w:lang w:val="en-US" w:eastAsia="zh-CN" w:bidi="ar"/>
              </w:rPr>
              <w:t>“</w:t>
            </w:r>
            <w:r>
              <w:rPr>
                <w:rFonts w:hint="default" w:ascii="Times New Roman" w:hAnsi="Times New Roman" w:eastAsia="宋体" w:cs="Times New Roman"/>
                <w:i w:val="0"/>
                <w:iCs w:val="0"/>
                <w:color w:val="auto"/>
                <w:kern w:val="0"/>
                <w:sz w:val="21"/>
                <w:szCs w:val="21"/>
                <w:highlight w:val="none"/>
                <w:u w:val="none"/>
                <w:lang w:val="en-US" w:eastAsia="zh-CN" w:bidi="ar"/>
              </w:rPr>
              <w:t>1.3.3</w:t>
            </w:r>
            <w:r>
              <w:rPr>
                <w:rFonts w:hint="eastAsia" w:ascii="Times New Roman" w:hAnsi="Times New Roman" w:cs="Times New Roman"/>
                <w:i w:val="0"/>
                <w:iCs w:val="0"/>
                <w:color w:val="auto"/>
                <w:kern w:val="0"/>
                <w:sz w:val="21"/>
                <w:szCs w:val="21"/>
                <w:highlight w:val="none"/>
                <w:u w:val="none"/>
                <w:lang w:val="en-US" w:eastAsia="zh-CN" w:bidi="ar"/>
              </w:rPr>
              <w:t>”</w:t>
            </w:r>
            <w:r>
              <w:rPr>
                <w:rFonts w:hint="default" w:ascii="Times New Roman" w:hAnsi="Times New Roman" w:eastAsia="宋体" w:cs="Times New Roman"/>
                <w:i w:val="0"/>
                <w:iCs w:val="0"/>
                <w:color w:val="auto"/>
                <w:kern w:val="0"/>
                <w:sz w:val="21"/>
                <w:szCs w:val="21"/>
                <w:highlight w:val="none"/>
                <w:u w:val="none"/>
                <w:lang w:val="en-US" w:eastAsia="zh-CN" w:bidi="ar"/>
              </w:rPr>
              <w:t>的功能要求对产品进行整体功能演示或说明。</w:t>
            </w:r>
          </w:p>
        </w:tc>
        <w:tc>
          <w:tcPr>
            <w:tcW w:w="3026" w:type="dxa"/>
            <w:shd w:val="clear" w:color="auto" w:fill="auto"/>
            <w:vAlign w:val="center"/>
          </w:tcPr>
          <w:p w14:paraId="4967A607">
            <w:pPr>
              <w:keepNext w:val="0"/>
              <w:keepLines w:val="0"/>
              <w:pageBreakBefore w:val="0"/>
              <w:widowControl/>
              <w:numPr>
                <w:ilvl w:val="0"/>
                <w:numId w:val="23"/>
              </w:numPr>
              <w:suppressLineNumbers w:val="0"/>
              <w:kinsoku/>
              <w:wordWrap/>
              <w:overflowPunct/>
              <w:topLinePunct w:val="0"/>
              <w:bidi w:val="0"/>
              <w:adjustRightInd/>
              <w:snapToGrid/>
              <w:spacing w:line="400" w:lineRule="exact"/>
              <w:ind w:firstLine="0" w:firstLineChars="0"/>
              <w:jc w:val="left"/>
              <w:textAlignment w:val="center"/>
              <w:rPr>
                <w:rFonts w:hint="eastAsia" w:ascii="Times New Roman" w:hAnsi="Times New Roman"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产品功能要求满足比选人提出的功能要求</w:t>
            </w:r>
            <w:r>
              <w:rPr>
                <w:rFonts w:hint="eastAsia" w:ascii="Times New Roman" w:hAnsi="Times New Roman" w:cs="Times New Roman"/>
                <w:i w:val="0"/>
                <w:iCs w:val="0"/>
                <w:color w:val="auto"/>
                <w:kern w:val="0"/>
                <w:sz w:val="21"/>
                <w:szCs w:val="21"/>
                <w:highlight w:val="none"/>
                <w:u w:val="none"/>
                <w:lang w:val="en-US" w:eastAsia="zh-CN" w:bidi="ar"/>
              </w:rPr>
              <w:t>（共计12个大类，128项功能点）；</w:t>
            </w:r>
          </w:p>
          <w:p w14:paraId="08C5E2E5">
            <w:pPr>
              <w:keepNext w:val="0"/>
              <w:keepLines w:val="0"/>
              <w:pageBreakBefore w:val="0"/>
              <w:widowControl/>
              <w:numPr>
                <w:ilvl w:val="0"/>
                <w:numId w:val="23"/>
              </w:numPr>
              <w:suppressLineNumbers w:val="0"/>
              <w:kinsoku/>
              <w:wordWrap/>
              <w:overflowPunct/>
              <w:topLinePunct w:val="0"/>
              <w:bidi w:val="0"/>
              <w:adjustRightInd/>
              <w:snapToGrid/>
              <w:spacing w:line="400" w:lineRule="exact"/>
              <w:ind w:firstLine="0" w:firstLineChars="0"/>
              <w:jc w:val="left"/>
              <w:textAlignment w:val="center"/>
              <w:rPr>
                <w:rFonts w:hint="eastAsia" w:ascii="Times New Roman" w:hAnsi="Times New Roman"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产品满足高可用、双活部署，提供证明材料；</w:t>
            </w:r>
          </w:p>
          <w:p w14:paraId="5C4DC035">
            <w:pPr>
              <w:keepNext w:val="0"/>
              <w:keepLines w:val="0"/>
              <w:pageBreakBefore w:val="0"/>
              <w:widowControl/>
              <w:numPr>
                <w:ilvl w:val="0"/>
                <w:numId w:val="23"/>
              </w:numPr>
              <w:suppressLineNumbers w:val="0"/>
              <w:kinsoku/>
              <w:wordWrap/>
              <w:overflowPunct/>
              <w:topLinePunct w:val="0"/>
              <w:bidi w:val="0"/>
              <w:adjustRightInd/>
              <w:snapToGrid/>
              <w:spacing w:line="400" w:lineRule="exact"/>
              <w:ind w:firstLine="0" w:firstLineChars="0"/>
              <w:jc w:val="left"/>
              <w:textAlignment w:val="center"/>
              <w:rPr>
                <w:rFonts w:hint="eastAsia" w:ascii="Times New Roman" w:hAnsi="Times New Roman"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产品需支持私有云部署，提供证明材料；</w:t>
            </w:r>
          </w:p>
          <w:p w14:paraId="5262610B">
            <w:pPr>
              <w:keepNext w:val="0"/>
              <w:keepLines w:val="0"/>
              <w:pageBreakBefore w:val="0"/>
              <w:widowControl/>
              <w:numPr>
                <w:ilvl w:val="0"/>
                <w:numId w:val="23"/>
              </w:numPr>
              <w:suppressLineNumbers w:val="0"/>
              <w:kinsoku/>
              <w:wordWrap/>
              <w:overflowPunct/>
              <w:topLinePunct w:val="0"/>
              <w:bidi w:val="0"/>
              <w:adjustRightInd/>
              <w:snapToGrid/>
              <w:spacing w:line="400" w:lineRule="exact"/>
              <w:ind w:firstLine="0" w:firstLineChars="0"/>
              <w:jc w:val="left"/>
              <w:textAlignment w:val="center"/>
              <w:rPr>
                <w:rFonts w:hint="eastAsia" w:ascii="Times New Roman" w:hAnsi="Times New Roman"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产品之间具备良好的联通性、</w:t>
            </w:r>
          </w:p>
          <w:p w14:paraId="24265002">
            <w:pPr>
              <w:keepNext w:val="0"/>
              <w:keepLines w:val="0"/>
              <w:pageBreakBefore w:val="0"/>
              <w:widowControl/>
              <w:numPr>
                <w:ilvl w:val="0"/>
                <w:numId w:val="0"/>
              </w:numPr>
              <w:suppressLineNumbers w:val="0"/>
              <w:kinsoku/>
              <w:wordWrap/>
              <w:overflowPunct/>
              <w:topLinePunct w:val="0"/>
              <w:bidi w:val="0"/>
              <w:adjustRightInd/>
              <w:snapToGrid/>
              <w:spacing w:line="400" w:lineRule="exact"/>
              <w:jc w:val="left"/>
              <w:textAlignment w:val="center"/>
              <w:rPr>
                <w:rFonts w:hint="eastAsia" w:ascii="Times New Roman" w:hAnsi="Times New Roman"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适配性和兼容性；</w:t>
            </w:r>
          </w:p>
          <w:p w14:paraId="55593752">
            <w:pPr>
              <w:keepNext w:val="0"/>
              <w:keepLines w:val="0"/>
              <w:pageBreakBefore w:val="0"/>
              <w:widowControl/>
              <w:numPr>
                <w:ilvl w:val="0"/>
                <w:numId w:val="23"/>
              </w:numPr>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产品整体架构合理、可维护性高。</w:t>
            </w:r>
          </w:p>
        </w:tc>
        <w:tc>
          <w:tcPr>
            <w:tcW w:w="732" w:type="dxa"/>
            <w:shd w:val="clear" w:color="auto" w:fill="auto"/>
            <w:vAlign w:val="center"/>
          </w:tcPr>
          <w:p w14:paraId="415E8937">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20</w:t>
            </w:r>
          </w:p>
        </w:tc>
      </w:tr>
      <w:tr w14:paraId="7D66E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vMerge w:val="restart"/>
            <w:shd w:val="clear" w:color="auto" w:fill="auto"/>
            <w:vAlign w:val="center"/>
          </w:tcPr>
          <w:p w14:paraId="5DD0BEBD">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参选人实施能力评价</w:t>
            </w:r>
          </w:p>
        </w:tc>
        <w:tc>
          <w:tcPr>
            <w:tcW w:w="1088" w:type="dxa"/>
            <w:vMerge w:val="restart"/>
            <w:shd w:val="clear" w:color="auto" w:fill="auto"/>
            <w:vAlign w:val="center"/>
          </w:tcPr>
          <w:p w14:paraId="57696B62">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租户及数据分区建设场景</w:t>
            </w:r>
          </w:p>
        </w:tc>
        <w:tc>
          <w:tcPr>
            <w:tcW w:w="2565" w:type="dxa"/>
            <w:shd w:val="clear" w:color="auto" w:fill="auto"/>
            <w:vAlign w:val="center"/>
          </w:tcPr>
          <w:p w14:paraId="06AA67DC">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分别创建业务系统租户和数据仓库租户，查看各类资源是否互相隔离互不影响。</w:t>
            </w:r>
          </w:p>
        </w:tc>
        <w:tc>
          <w:tcPr>
            <w:tcW w:w="3026" w:type="dxa"/>
            <w:shd w:val="clear" w:color="auto" w:fill="auto"/>
            <w:vAlign w:val="center"/>
          </w:tcPr>
          <w:p w14:paraId="38551C79">
            <w:pPr>
              <w:keepNext w:val="0"/>
              <w:keepLines w:val="0"/>
              <w:pageBreakBefore w:val="0"/>
              <w:widowControl/>
              <w:numPr>
                <w:ilvl w:val="0"/>
                <w:numId w:val="24"/>
              </w:numPr>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底座</w:t>
            </w:r>
            <w:r>
              <w:rPr>
                <w:rFonts w:hint="eastAsia" w:ascii="Times New Roman" w:hAnsi="Times New Roman" w:cs="Times New Roman"/>
                <w:i w:val="0"/>
                <w:iCs w:val="0"/>
                <w:color w:val="auto"/>
                <w:kern w:val="0"/>
                <w:sz w:val="21"/>
                <w:szCs w:val="21"/>
                <w:highlight w:val="none"/>
                <w:u w:val="none"/>
                <w:lang w:val="en-US" w:eastAsia="zh-CN" w:bidi="ar"/>
              </w:rPr>
              <w:t>租户</w:t>
            </w:r>
            <w:r>
              <w:rPr>
                <w:rFonts w:hint="default" w:ascii="Times New Roman" w:hAnsi="Times New Roman" w:eastAsia="宋体" w:cs="Times New Roman"/>
                <w:i w:val="0"/>
                <w:iCs w:val="0"/>
                <w:color w:val="auto"/>
                <w:kern w:val="0"/>
                <w:sz w:val="21"/>
                <w:szCs w:val="21"/>
                <w:highlight w:val="none"/>
                <w:u w:val="none"/>
                <w:lang w:val="en-US" w:eastAsia="zh-CN" w:bidi="ar"/>
              </w:rPr>
              <w:t>计算</w:t>
            </w:r>
            <w:r>
              <w:rPr>
                <w:rFonts w:hint="eastAsia" w:ascii="Times New Roman" w:hAnsi="Times New Roman" w:cs="Times New Roman"/>
                <w:i w:val="0"/>
                <w:iCs w:val="0"/>
                <w:color w:val="auto"/>
                <w:kern w:val="0"/>
                <w:sz w:val="21"/>
                <w:szCs w:val="21"/>
                <w:highlight w:val="none"/>
                <w:u w:val="none"/>
                <w:lang w:val="en-US" w:eastAsia="zh-CN" w:bidi="ar"/>
              </w:rPr>
              <w:t>、存储</w:t>
            </w:r>
            <w:r>
              <w:rPr>
                <w:rFonts w:hint="default" w:ascii="Times New Roman" w:hAnsi="Times New Roman" w:eastAsia="宋体" w:cs="Times New Roman"/>
                <w:i w:val="0"/>
                <w:iCs w:val="0"/>
                <w:color w:val="auto"/>
                <w:kern w:val="0"/>
                <w:sz w:val="21"/>
                <w:szCs w:val="21"/>
                <w:highlight w:val="none"/>
                <w:u w:val="none"/>
                <w:lang w:val="en-US" w:eastAsia="zh-CN" w:bidi="ar"/>
              </w:rPr>
              <w:t>资源隔离且互不影响；</w:t>
            </w:r>
          </w:p>
          <w:p w14:paraId="73AB1EDE">
            <w:pPr>
              <w:keepNext w:val="0"/>
              <w:keepLines w:val="0"/>
              <w:pageBreakBefore w:val="0"/>
              <w:widowControl/>
              <w:numPr>
                <w:ilvl w:val="0"/>
                <w:numId w:val="24"/>
              </w:numPr>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数据作业平台</w:t>
            </w:r>
            <w:r>
              <w:rPr>
                <w:rFonts w:hint="eastAsia" w:ascii="Times New Roman" w:hAnsi="Times New Roman" w:cs="Times New Roman"/>
                <w:i w:val="0"/>
                <w:iCs w:val="0"/>
                <w:color w:val="auto"/>
                <w:kern w:val="0"/>
                <w:sz w:val="21"/>
                <w:szCs w:val="21"/>
                <w:highlight w:val="none"/>
                <w:u w:val="none"/>
                <w:lang w:val="en-US" w:eastAsia="zh-CN" w:bidi="ar"/>
              </w:rPr>
              <w:t>租户</w:t>
            </w:r>
            <w:r>
              <w:rPr>
                <w:rFonts w:hint="default" w:ascii="Times New Roman" w:hAnsi="Times New Roman" w:eastAsia="宋体" w:cs="Times New Roman"/>
                <w:i w:val="0"/>
                <w:iCs w:val="0"/>
                <w:color w:val="auto"/>
                <w:kern w:val="0"/>
                <w:sz w:val="21"/>
                <w:szCs w:val="21"/>
                <w:highlight w:val="none"/>
                <w:u w:val="none"/>
                <w:lang w:val="en-US" w:eastAsia="zh-CN" w:bidi="ar"/>
              </w:rPr>
              <w:t>所有</w:t>
            </w:r>
            <w:r>
              <w:rPr>
                <w:rFonts w:hint="eastAsia" w:ascii="Times New Roman" w:hAnsi="Times New Roman" w:cs="Times New Roman"/>
                <w:i w:val="0"/>
                <w:iCs w:val="0"/>
                <w:color w:val="auto"/>
                <w:kern w:val="0"/>
                <w:sz w:val="21"/>
                <w:szCs w:val="21"/>
                <w:highlight w:val="none"/>
                <w:u w:val="none"/>
                <w:lang w:val="en-US" w:eastAsia="zh-CN" w:bidi="ar"/>
              </w:rPr>
              <w:t>采集、开发、调度</w:t>
            </w:r>
            <w:r>
              <w:rPr>
                <w:rFonts w:hint="default" w:ascii="Times New Roman" w:hAnsi="Times New Roman" w:eastAsia="宋体" w:cs="Times New Roman"/>
                <w:i w:val="0"/>
                <w:iCs w:val="0"/>
                <w:color w:val="auto"/>
                <w:kern w:val="0"/>
                <w:sz w:val="21"/>
                <w:szCs w:val="21"/>
                <w:highlight w:val="none"/>
                <w:u w:val="none"/>
                <w:lang w:val="en-US" w:eastAsia="zh-CN" w:bidi="ar"/>
              </w:rPr>
              <w:t>任务隔离且互不影响；</w:t>
            </w:r>
          </w:p>
          <w:p w14:paraId="1B2EFBA4">
            <w:pPr>
              <w:keepNext w:val="0"/>
              <w:keepLines w:val="0"/>
              <w:pageBreakBefore w:val="0"/>
              <w:widowControl/>
              <w:numPr>
                <w:ilvl w:val="0"/>
                <w:numId w:val="24"/>
              </w:numPr>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数据作业平台相应租户可与底座租户可对应连接；</w:t>
            </w:r>
          </w:p>
          <w:p w14:paraId="30AFC1D2">
            <w:pPr>
              <w:keepNext w:val="0"/>
              <w:keepLines w:val="0"/>
              <w:pageBreakBefore w:val="0"/>
              <w:widowControl/>
              <w:numPr>
                <w:ilvl w:val="0"/>
                <w:numId w:val="24"/>
              </w:numPr>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租户管理便捷直观、监控完备，操作配置化程度高。</w:t>
            </w:r>
          </w:p>
        </w:tc>
        <w:tc>
          <w:tcPr>
            <w:tcW w:w="732" w:type="dxa"/>
            <w:vMerge w:val="restart"/>
            <w:shd w:val="clear" w:color="auto" w:fill="auto"/>
            <w:vAlign w:val="center"/>
          </w:tcPr>
          <w:p w14:paraId="08D8D6A3">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12</w:t>
            </w:r>
          </w:p>
        </w:tc>
      </w:tr>
      <w:tr w14:paraId="256EA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vMerge w:val="continue"/>
            <w:shd w:val="clear" w:color="auto" w:fill="auto"/>
            <w:vAlign w:val="center"/>
          </w:tcPr>
          <w:p w14:paraId="078D2A81">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1088" w:type="dxa"/>
            <w:vMerge w:val="continue"/>
            <w:shd w:val="clear" w:color="auto" w:fill="auto"/>
            <w:vAlign w:val="center"/>
          </w:tcPr>
          <w:p w14:paraId="15C26BD8">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2565" w:type="dxa"/>
            <w:shd w:val="clear" w:color="auto" w:fill="auto"/>
            <w:vAlign w:val="center"/>
          </w:tcPr>
          <w:p w14:paraId="2FE207CF">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在同一套集群中使用租户分别搭建验证区和探索区两套环境，分别用于数据验证和数据建模、探索。</w:t>
            </w:r>
          </w:p>
        </w:tc>
        <w:tc>
          <w:tcPr>
            <w:tcW w:w="3026" w:type="dxa"/>
            <w:shd w:val="clear" w:color="auto" w:fill="auto"/>
            <w:vAlign w:val="center"/>
          </w:tcPr>
          <w:p w14:paraId="74E2A327">
            <w:pPr>
              <w:keepNext w:val="0"/>
              <w:keepLines w:val="0"/>
              <w:pageBreakBefore w:val="0"/>
              <w:widowControl/>
              <w:numPr>
                <w:ilvl w:val="0"/>
                <w:numId w:val="25"/>
              </w:numPr>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cs="Times New Roman"/>
                <w:i w:val="0"/>
                <w:iCs w:val="0"/>
                <w:color w:val="auto"/>
                <w:kern w:val="0"/>
                <w:sz w:val="21"/>
                <w:szCs w:val="21"/>
                <w:highlight w:val="none"/>
                <w:u w:val="none"/>
                <w:lang w:val="en-US" w:eastAsia="zh-CN" w:bidi="ar"/>
              </w:rPr>
            </w:pPr>
            <w:r>
              <w:rPr>
                <w:rFonts w:hint="default" w:ascii="Times New Roman" w:hAnsi="Times New Roman" w:cs="Times New Roman"/>
                <w:i w:val="0"/>
                <w:iCs w:val="0"/>
                <w:color w:val="auto"/>
                <w:kern w:val="0"/>
                <w:sz w:val="21"/>
                <w:szCs w:val="21"/>
                <w:highlight w:val="none"/>
                <w:u w:val="none"/>
                <w:lang w:val="en-US" w:eastAsia="zh-CN" w:bidi="ar"/>
              </w:rPr>
              <w:t>验证区、探索区搭建成功且各类资源、权限</w:t>
            </w:r>
            <w:r>
              <w:rPr>
                <w:rFonts w:hint="eastAsia" w:ascii="Times New Roman" w:hAnsi="Times New Roman" w:cs="Times New Roman"/>
                <w:i w:val="0"/>
                <w:iCs w:val="0"/>
                <w:color w:val="auto"/>
                <w:kern w:val="0"/>
                <w:sz w:val="21"/>
                <w:szCs w:val="21"/>
                <w:highlight w:val="none"/>
                <w:u w:val="none"/>
                <w:lang w:val="en-US" w:eastAsia="zh-CN" w:bidi="ar"/>
              </w:rPr>
              <w:t>互相</w:t>
            </w:r>
            <w:r>
              <w:rPr>
                <w:rFonts w:hint="default" w:ascii="Times New Roman" w:hAnsi="Times New Roman" w:cs="Times New Roman"/>
                <w:i w:val="0"/>
                <w:iCs w:val="0"/>
                <w:color w:val="auto"/>
                <w:kern w:val="0"/>
                <w:sz w:val="21"/>
                <w:szCs w:val="21"/>
                <w:highlight w:val="none"/>
                <w:u w:val="none"/>
                <w:lang w:val="en-US" w:eastAsia="zh-CN" w:bidi="ar"/>
              </w:rPr>
              <w:t>隔离；</w:t>
            </w:r>
          </w:p>
          <w:p w14:paraId="3CB0D114">
            <w:pPr>
              <w:keepNext w:val="0"/>
              <w:keepLines w:val="0"/>
              <w:pageBreakBefore w:val="0"/>
              <w:widowControl/>
              <w:numPr>
                <w:ilvl w:val="0"/>
                <w:numId w:val="25"/>
              </w:numPr>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支持将数据快速脱敏至指定环境且不丢失关联性</w:t>
            </w:r>
            <w:r>
              <w:rPr>
                <w:rFonts w:hint="default" w:ascii="Times New Roman" w:hAnsi="Times New Roman" w:cs="Times New Roman"/>
                <w:i w:val="0"/>
                <w:iCs w:val="0"/>
                <w:color w:val="auto"/>
                <w:kern w:val="0"/>
                <w:sz w:val="21"/>
                <w:szCs w:val="21"/>
                <w:highlight w:val="none"/>
                <w:u w:val="none"/>
                <w:lang w:val="en-US" w:eastAsia="zh-CN" w:bidi="ar"/>
              </w:rPr>
              <w:t>；</w:t>
            </w:r>
          </w:p>
          <w:p w14:paraId="4D6F330D">
            <w:pPr>
              <w:keepNext w:val="0"/>
              <w:keepLines w:val="0"/>
              <w:pageBreakBefore w:val="0"/>
              <w:widowControl/>
              <w:numPr>
                <w:ilvl w:val="0"/>
                <w:numId w:val="25"/>
              </w:numPr>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支持通过快速复制数据库文件的方式复制同构或异构数据库，且具有跨平台、跨版本的特点。</w:t>
            </w:r>
          </w:p>
        </w:tc>
        <w:tc>
          <w:tcPr>
            <w:tcW w:w="732" w:type="dxa"/>
            <w:vMerge w:val="continue"/>
            <w:shd w:val="clear" w:color="auto" w:fill="auto"/>
            <w:vAlign w:val="center"/>
          </w:tcPr>
          <w:p w14:paraId="2B46F1F1">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r>
      <w:tr w14:paraId="354BB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vMerge w:val="continue"/>
            <w:shd w:val="clear" w:color="auto" w:fill="auto"/>
            <w:vAlign w:val="center"/>
          </w:tcPr>
          <w:p w14:paraId="3D23298E">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1088" w:type="dxa"/>
            <w:vMerge w:val="restart"/>
            <w:shd w:val="clear" w:color="auto" w:fill="auto"/>
            <w:vAlign w:val="center"/>
          </w:tcPr>
          <w:p w14:paraId="3F8F506D">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批量开发场景</w:t>
            </w:r>
          </w:p>
        </w:tc>
        <w:tc>
          <w:tcPr>
            <w:tcW w:w="2565" w:type="dxa"/>
            <w:shd w:val="clear" w:color="auto" w:fill="auto"/>
            <w:vAlign w:val="center"/>
          </w:tcPr>
          <w:p w14:paraId="3DF53EF8">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根据比选人提供的具体批量采集任务，</w:t>
            </w:r>
            <w:r>
              <w:rPr>
                <w:rFonts w:hint="default" w:ascii="Times New Roman" w:hAnsi="Times New Roman" w:eastAsia="宋体" w:cs="Times New Roman"/>
                <w:i w:val="0"/>
                <w:iCs w:val="0"/>
                <w:color w:val="auto"/>
                <w:kern w:val="0"/>
                <w:sz w:val="21"/>
                <w:szCs w:val="21"/>
                <w:highlight w:val="none"/>
                <w:u w:val="none"/>
                <w:lang w:val="en-US" w:eastAsia="zh-CN" w:bidi="ar"/>
              </w:rPr>
              <w:t>通过可视化界面配置后自动生成全链路的数据采集作业，即采集任务、数据处理、目标表建立、调度任务注册。</w:t>
            </w:r>
          </w:p>
        </w:tc>
        <w:tc>
          <w:tcPr>
            <w:tcW w:w="3026" w:type="dxa"/>
            <w:shd w:val="clear" w:color="auto" w:fill="auto"/>
            <w:vAlign w:val="center"/>
          </w:tcPr>
          <w:p w14:paraId="2F068AA7">
            <w:pPr>
              <w:keepNext w:val="0"/>
              <w:keepLines w:val="0"/>
              <w:pageBreakBefore w:val="0"/>
              <w:widowControl/>
              <w:numPr>
                <w:ilvl w:val="0"/>
                <w:numId w:val="26"/>
              </w:numPr>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必须支持</w:t>
            </w:r>
            <w:r>
              <w:rPr>
                <w:rFonts w:hint="default" w:ascii="Times New Roman" w:hAnsi="Times New Roman" w:cs="Times New Roman"/>
                <w:i w:val="0"/>
                <w:iCs w:val="0"/>
                <w:color w:val="auto"/>
                <w:kern w:val="0"/>
                <w:sz w:val="21"/>
                <w:szCs w:val="21"/>
                <w:highlight w:val="none"/>
                <w:u w:val="none"/>
                <w:lang w:val="en-US" w:eastAsia="zh-CN" w:bidi="ar"/>
              </w:rPr>
              <w:t>Oracle、HBase、ClickHou</w:t>
            </w:r>
            <w:r>
              <w:rPr>
                <w:rFonts w:hint="eastAsia" w:ascii="Times New Roman" w:hAnsi="Times New Roman" w:cs="Times New Roman"/>
                <w:i w:val="0"/>
                <w:iCs w:val="0"/>
                <w:color w:val="auto"/>
                <w:kern w:val="0"/>
                <w:sz w:val="21"/>
                <w:szCs w:val="21"/>
                <w:highlight w:val="none"/>
                <w:u w:val="none"/>
                <w:lang w:val="en-US" w:eastAsia="zh-CN" w:bidi="ar"/>
              </w:rPr>
              <w:t>s</w:t>
            </w:r>
            <w:r>
              <w:rPr>
                <w:rFonts w:hint="default" w:ascii="Times New Roman" w:hAnsi="Times New Roman" w:cs="Times New Roman"/>
                <w:i w:val="0"/>
                <w:iCs w:val="0"/>
                <w:color w:val="auto"/>
                <w:kern w:val="0"/>
                <w:sz w:val="21"/>
                <w:szCs w:val="21"/>
                <w:highlight w:val="none"/>
                <w:u w:val="none"/>
                <w:lang w:val="en-US" w:eastAsia="zh-CN" w:bidi="ar"/>
              </w:rPr>
              <w:t>e、OceanBase、达梦采集至底座，针对第三章</w:t>
            </w:r>
            <w:r>
              <w:rPr>
                <w:rFonts w:hint="eastAsia" w:ascii="Times New Roman" w:hAnsi="Times New Roman" w:cs="Times New Roman"/>
                <w:i w:val="0"/>
                <w:iCs w:val="0"/>
                <w:color w:val="auto"/>
                <w:kern w:val="0"/>
                <w:sz w:val="21"/>
                <w:szCs w:val="21"/>
                <w:highlight w:val="none"/>
                <w:u w:val="none"/>
                <w:lang w:val="en-US" w:eastAsia="zh-CN" w:bidi="ar"/>
              </w:rPr>
              <w:t>“</w:t>
            </w:r>
            <w:r>
              <w:rPr>
                <w:rFonts w:hint="default" w:ascii="Times New Roman" w:hAnsi="Times New Roman" w:cs="Times New Roman"/>
                <w:i w:val="0"/>
                <w:iCs w:val="0"/>
                <w:color w:val="auto"/>
                <w:kern w:val="0"/>
                <w:sz w:val="21"/>
                <w:szCs w:val="21"/>
                <w:highlight w:val="none"/>
                <w:u w:val="none"/>
                <w:lang w:val="en-US" w:eastAsia="zh-CN" w:bidi="ar"/>
              </w:rPr>
              <w:t>1.3.3.2 功能要求</w:t>
            </w:r>
            <w:r>
              <w:rPr>
                <w:rFonts w:hint="eastAsia" w:ascii="Times New Roman" w:hAnsi="Times New Roman" w:cs="Times New Roman"/>
                <w:i w:val="0"/>
                <w:iCs w:val="0"/>
                <w:color w:val="auto"/>
                <w:kern w:val="0"/>
                <w:sz w:val="21"/>
                <w:szCs w:val="21"/>
                <w:highlight w:val="none"/>
                <w:u w:val="none"/>
                <w:lang w:val="en-US" w:eastAsia="zh-CN" w:bidi="ar"/>
              </w:rPr>
              <w:t>”</w:t>
            </w:r>
            <w:r>
              <w:rPr>
                <w:rFonts w:hint="default" w:ascii="Times New Roman" w:hAnsi="Times New Roman" w:cs="Times New Roman"/>
                <w:i w:val="0"/>
                <w:iCs w:val="0"/>
                <w:color w:val="auto"/>
                <w:kern w:val="0"/>
                <w:sz w:val="21"/>
                <w:szCs w:val="21"/>
                <w:highlight w:val="none"/>
                <w:u w:val="none"/>
                <w:lang w:val="en-US" w:eastAsia="zh-CN" w:bidi="ar"/>
              </w:rPr>
              <w:t>要求中提到需支持的源库和目标库，但本次测试中未测试到的，需提供相关材料证明</w:t>
            </w:r>
            <w:r>
              <w:rPr>
                <w:rFonts w:hint="eastAsia" w:ascii="Times New Roman" w:hAnsi="Times New Roman" w:cs="Times New Roman"/>
                <w:i w:val="0"/>
                <w:iCs w:val="0"/>
                <w:color w:val="auto"/>
                <w:kern w:val="0"/>
                <w:sz w:val="21"/>
                <w:szCs w:val="21"/>
                <w:highlight w:val="none"/>
                <w:u w:val="none"/>
                <w:lang w:val="en-US" w:eastAsia="zh-CN" w:bidi="ar"/>
              </w:rPr>
              <w:t>；</w:t>
            </w:r>
          </w:p>
          <w:p w14:paraId="4D62159E">
            <w:pPr>
              <w:keepNext w:val="0"/>
              <w:keepLines w:val="0"/>
              <w:pageBreakBefore w:val="0"/>
              <w:widowControl/>
              <w:numPr>
                <w:ilvl w:val="0"/>
                <w:numId w:val="26"/>
              </w:numPr>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全链路</w:t>
            </w:r>
            <w:r>
              <w:rPr>
                <w:rFonts w:hint="default" w:ascii="Times New Roman" w:hAnsi="Times New Roman" w:cs="Times New Roman"/>
                <w:i w:val="0"/>
                <w:iCs w:val="0"/>
                <w:color w:val="auto"/>
                <w:kern w:val="0"/>
                <w:sz w:val="21"/>
                <w:szCs w:val="21"/>
                <w:highlight w:val="none"/>
                <w:u w:val="none"/>
                <w:lang w:val="en-US" w:eastAsia="zh-CN" w:bidi="ar"/>
              </w:rPr>
              <w:t>采集任务</w:t>
            </w:r>
            <w:r>
              <w:rPr>
                <w:rFonts w:hint="eastAsia" w:ascii="Times New Roman" w:hAnsi="Times New Roman" w:cs="Times New Roman"/>
                <w:i w:val="0"/>
                <w:iCs w:val="0"/>
                <w:color w:val="auto"/>
                <w:kern w:val="0"/>
                <w:sz w:val="21"/>
                <w:szCs w:val="21"/>
                <w:highlight w:val="none"/>
                <w:u w:val="none"/>
                <w:lang w:val="en-US" w:eastAsia="zh-CN" w:bidi="ar"/>
              </w:rPr>
              <w:t>配置简便，且支持对源系统变更自适应，无需对采集作业进行修改。</w:t>
            </w:r>
          </w:p>
        </w:tc>
        <w:tc>
          <w:tcPr>
            <w:tcW w:w="732" w:type="dxa"/>
            <w:vMerge w:val="restart"/>
            <w:shd w:val="clear" w:color="auto" w:fill="auto"/>
            <w:vAlign w:val="center"/>
          </w:tcPr>
          <w:p w14:paraId="25234272">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12</w:t>
            </w:r>
          </w:p>
        </w:tc>
      </w:tr>
      <w:tr w14:paraId="28053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vMerge w:val="continue"/>
            <w:shd w:val="clear" w:color="auto" w:fill="auto"/>
            <w:vAlign w:val="center"/>
          </w:tcPr>
          <w:p w14:paraId="02400FA0">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1088" w:type="dxa"/>
            <w:vMerge w:val="continue"/>
            <w:shd w:val="clear" w:color="auto" w:fill="auto"/>
            <w:vAlign w:val="center"/>
          </w:tcPr>
          <w:p w14:paraId="5BF28B7F">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2565" w:type="dxa"/>
            <w:shd w:val="clear" w:color="auto" w:fill="auto"/>
            <w:vAlign w:val="center"/>
          </w:tcPr>
          <w:p w14:paraId="483C0D30">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根据比选人提供的具体建模需求，</w:t>
            </w:r>
            <w:r>
              <w:rPr>
                <w:rFonts w:hint="default" w:ascii="Times New Roman" w:hAnsi="Times New Roman" w:eastAsia="宋体" w:cs="Times New Roman"/>
                <w:i w:val="0"/>
                <w:iCs w:val="0"/>
                <w:color w:val="auto"/>
                <w:kern w:val="0"/>
                <w:sz w:val="21"/>
                <w:szCs w:val="21"/>
                <w:highlight w:val="none"/>
                <w:u w:val="none"/>
                <w:lang w:val="en-US" w:eastAsia="zh-CN" w:bidi="ar"/>
              </w:rPr>
              <w:t>通过可视化、图形化的方式</w:t>
            </w:r>
            <w:r>
              <w:rPr>
                <w:rFonts w:hint="eastAsia" w:ascii="Times New Roman" w:hAnsi="Times New Roman" w:cs="Times New Roman"/>
                <w:i w:val="0"/>
                <w:iCs w:val="0"/>
                <w:color w:val="auto"/>
                <w:kern w:val="0"/>
                <w:sz w:val="21"/>
                <w:szCs w:val="21"/>
                <w:highlight w:val="none"/>
                <w:u w:val="none"/>
                <w:lang w:val="en-US" w:eastAsia="zh-CN" w:bidi="ar"/>
              </w:rPr>
              <w:t>完成</w:t>
            </w:r>
            <w:r>
              <w:rPr>
                <w:rFonts w:hint="default" w:ascii="Times New Roman" w:hAnsi="Times New Roman" w:eastAsia="宋体" w:cs="Times New Roman"/>
                <w:i w:val="0"/>
                <w:iCs w:val="0"/>
                <w:color w:val="auto"/>
                <w:kern w:val="0"/>
                <w:sz w:val="21"/>
                <w:szCs w:val="21"/>
                <w:highlight w:val="none"/>
                <w:u w:val="none"/>
                <w:lang w:val="en-US" w:eastAsia="zh-CN" w:bidi="ar"/>
              </w:rPr>
              <w:t>数据模型设计。</w:t>
            </w:r>
          </w:p>
        </w:tc>
        <w:tc>
          <w:tcPr>
            <w:tcW w:w="3026" w:type="dxa"/>
            <w:shd w:val="clear" w:color="auto" w:fill="auto"/>
            <w:vAlign w:val="center"/>
          </w:tcPr>
          <w:p w14:paraId="12D63070">
            <w:pPr>
              <w:keepNext w:val="0"/>
              <w:keepLines w:val="0"/>
              <w:pageBreakBefore w:val="0"/>
              <w:widowControl/>
              <w:numPr>
                <w:ilvl w:val="0"/>
                <w:numId w:val="27"/>
              </w:numPr>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建模方式合理、建模流程规范且完善；</w:t>
            </w:r>
          </w:p>
          <w:p w14:paraId="723D1EF8">
            <w:pPr>
              <w:keepNext w:val="0"/>
              <w:keepLines w:val="0"/>
              <w:pageBreakBefore w:val="0"/>
              <w:widowControl/>
              <w:numPr>
                <w:ilvl w:val="0"/>
                <w:numId w:val="27"/>
              </w:numPr>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cs="Times New Roman"/>
                <w:i w:val="0"/>
                <w:iCs w:val="0"/>
                <w:color w:val="auto"/>
                <w:kern w:val="0"/>
                <w:sz w:val="21"/>
                <w:szCs w:val="21"/>
                <w:highlight w:val="none"/>
                <w:u w:val="none"/>
                <w:lang w:val="en-US" w:eastAsia="zh-CN" w:bidi="ar"/>
              </w:rPr>
              <w:t>可生成完善、详尽的数据治理落标检测报告。</w:t>
            </w:r>
          </w:p>
        </w:tc>
        <w:tc>
          <w:tcPr>
            <w:tcW w:w="732" w:type="dxa"/>
            <w:vMerge w:val="continue"/>
            <w:shd w:val="clear" w:color="auto" w:fill="auto"/>
            <w:vAlign w:val="center"/>
          </w:tcPr>
          <w:p w14:paraId="3ABC1249">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r>
      <w:tr w14:paraId="2C60A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vMerge w:val="continue"/>
            <w:shd w:val="clear" w:color="auto" w:fill="auto"/>
            <w:vAlign w:val="center"/>
          </w:tcPr>
          <w:p w14:paraId="7C699558">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1088" w:type="dxa"/>
            <w:vMerge w:val="continue"/>
            <w:shd w:val="clear" w:color="auto" w:fill="auto"/>
            <w:vAlign w:val="center"/>
          </w:tcPr>
          <w:p w14:paraId="69A8E9D0">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2565" w:type="dxa"/>
            <w:shd w:val="clear" w:color="auto" w:fill="auto"/>
            <w:vAlign w:val="center"/>
          </w:tcPr>
          <w:p w14:paraId="45E746FB">
            <w:pPr>
              <w:keepNext w:val="0"/>
              <w:keepLines w:val="0"/>
              <w:pageBreakBefore w:val="0"/>
              <w:widowControl/>
              <w:suppressLineNumbers w:val="0"/>
              <w:kinsoku/>
              <w:wordWrap/>
              <w:overflowPunct/>
              <w:topLinePunct w:val="0"/>
              <w:bidi w:val="0"/>
              <w:adjustRightInd/>
              <w:snapToGrid/>
              <w:spacing w:line="400" w:lineRule="exact"/>
              <w:ind w:firstLine="0" w:firstLineChars="0"/>
              <w:jc w:val="both"/>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根据比选人提供的具体批量数据开发需求，</w:t>
            </w:r>
            <w:r>
              <w:rPr>
                <w:rFonts w:hint="default" w:ascii="Times New Roman" w:hAnsi="Times New Roman" w:eastAsia="宋体" w:cs="Times New Roman"/>
                <w:i w:val="0"/>
                <w:iCs w:val="0"/>
                <w:color w:val="auto"/>
                <w:kern w:val="0"/>
                <w:sz w:val="21"/>
                <w:szCs w:val="21"/>
                <w:highlight w:val="none"/>
                <w:u w:val="none"/>
                <w:lang w:val="en-US" w:eastAsia="zh-CN" w:bidi="ar"/>
              </w:rPr>
              <w:t>通过操作体验良好的可视化界面进行</w:t>
            </w:r>
            <w:r>
              <w:rPr>
                <w:rFonts w:hint="eastAsia" w:ascii="Times New Roman" w:hAnsi="Times New Roman" w:cs="Times New Roman"/>
                <w:i w:val="0"/>
                <w:iCs w:val="0"/>
                <w:color w:val="auto"/>
                <w:kern w:val="0"/>
                <w:sz w:val="21"/>
                <w:szCs w:val="21"/>
                <w:highlight w:val="none"/>
                <w:u w:val="none"/>
                <w:lang w:val="en-US" w:eastAsia="zh-CN" w:bidi="ar"/>
              </w:rPr>
              <w:t>完成</w:t>
            </w:r>
            <w:r>
              <w:rPr>
                <w:rFonts w:hint="default" w:ascii="Times New Roman" w:hAnsi="Times New Roman" w:eastAsia="宋体" w:cs="Times New Roman"/>
                <w:i w:val="0"/>
                <w:iCs w:val="0"/>
                <w:color w:val="auto"/>
                <w:kern w:val="0"/>
                <w:sz w:val="21"/>
                <w:szCs w:val="21"/>
                <w:highlight w:val="none"/>
                <w:u w:val="none"/>
                <w:lang w:val="en-US" w:eastAsia="zh-CN" w:bidi="ar"/>
              </w:rPr>
              <w:t>批量数据开发任务。</w:t>
            </w:r>
          </w:p>
        </w:tc>
        <w:tc>
          <w:tcPr>
            <w:tcW w:w="3026" w:type="dxa"/>
            <w:shd w:val="clear" w:color="auto" w:fill="auto"/>
            <w:vAlign w:val="center"/>
          </w:tcPr>
          <w:p w14:paraId="78BAD3C0">
            <w:pPr>
              <w:keepNext w:val="0"/>
              <w:keepLines w:val="0"/>
              <w:pageBreakBefore w:val="0"/>
              <w:widowControl/>
              <w:numPr>
                <w:ilvl w:val="0"/>
                <w:numId w:val="28"/>
              </w:numPr>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cs="Times New Roman"/>
                <w:i w:val="0"/>
                <w:iCs w:val="0"/>
                <w:color w:val="auto"/>
                <w:kern w:val="0"/>
                <w:sz w:val="21"/>
                <w:szCs w:val="21"/>
                <w:highlight w:val="none"/>
                <w:u w:val="none"/>
                <w:lang w:val="en-US" w:eastAsia="zh-CN" w:bidi="ar"/>
              </w:rPr>
            </w:pPr>
            <w:r>
              <w:rPr>
                <w:rFonts w:hint="default" w:ascii="Times New Roman" w:hAnsi="Times New Roman" w:cs="Times New Roman"/>
                <w:i w:val="0"/>
                <w:iCs w:val="0"/>
                <w:color w:val="auto"/>
                <w:kern w:val="0"/>
                <w:sz w:val="21"/>
                <w:szCs w:val="21"/>
                <w:highlight w:val="none"/>
                <w:u w:val="none"/>
                <w:lang w:val="en-US" w:eastAsia="zh-CN" w:bidi="ar"/>
              </w:rPr>
              <w:t>支持将数据开发规范、数据标准接入和配置，并在数据开发过程中引用，对命名、代码、数据标准及其他开发规范进行强制校验；</w:t>
            </w:r>
          </w:p>
          <w:p w14:paraId="639F6F4B">
            <w:pPr>
              <w:keepNext w:val="0"/>
              <w:keepLines w:val="0"/>
              <w:pageBreakBefore w:val="0"/>
              <w:widowControl/>
              <w:numPr>
                <w:ilvl w:val="0"/>
                <w:numId w:val="28"/>
              </w:numPr>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支持数据开发任务脚本版本管理，可对历史版本进行版本对比或回溯</w:t>
            </w:r>
            <w:r>
              <w:rPr>
                <w:rFonts w:hint="eastAsia" w:ascii="Times New Roman" w:hAnsi="Times New Roman" w:cs="Times New Roman"/>
                <w:i w:val="0"/>
                <w:iCs w:val="0"/>
                <w:color w:val="auto"/>
                <w:kern w:val="0"/>
                <w:sz w:val="21"/>
                <w:szCs w:val="21"/>
                <w:highlight w:val="none"/>
                <w:u w:val="none"/>
                <w:lang w:val="en-US" w:eastAsia="zh-CN" w:bidi="ar"/>
              </w:rPr>
              <w:t>；</w:t>
            </w:r>
          </w:p>
        </w:tc>
        <w:tc>
          <w:tcPr>
            <w:tcW w:w="732" w:type="dxa"/>
            <w:vMerge w:val="continue"/>
            <w:shd w:val="clear" w:color="auto" w:fill="auto"/>
            <w:vAlign w:val="center"/>
          </w:tcPr>
          <w:p w14:paraId="47247229">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r>
      <w:tr w14:paraId="4B0AC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vMerge w:val="continue"/>
            <w:shd w:val="clear" w:color="auto" w:fill="auto"/>
            <w:vAlign w:val="center"/>
          </w:tcPr>
          <w:p w14:paraId="4E31C319">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1088" w:type="dxa"/>
            <w:vMerge w:val="restart"/>
            <w:shd w:val="clear" w:color="auto" w:fill="auto"/>
            <w:vAlign w:val="center"/>
          </w:tcPr>
          <w:p w14:paraId="27F334A5">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实时开发场景</w:t>
            </w:r>
          </w:p>
        </w:tc>
        <w:tc>
          <w:tcPr>
            <w:tcW w:w="2565" w:type="dxa"/>
            <w:shd w:val="clear" w:color="auto" w:fill="auto"/>
            <w:vAlign w:val="center"/>
          </w:tcPr>
          <w:p w14:paraId="7E2380DA">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根据比选人提供的具体的实时采集需求，</w:t>
            </w:r>
            <w:r>
              <w:rPr>
                <w:rFonts w:hint="default" w:ascii="Times New Roman" w:hAnsi="Times New Roman" w:eastAsia="宋体" w:cs="Times New Roman"/>
                <w:i w:val="0"/>
                <w:iCs w:val="0"/>
                <w:color w:val="auto"/>
                <w:kern w:val="0"/>
                <w:sz w:val="21"/>
                <w:szCs w:val="21"/>
                <w:highlight w:val="none"/>
                <w:u w:val="none"/>
                <w:lang w:val="en-US" w:eastAsia="zh-CN" w:bidi="ar"/>
              </w:rPr>
              <w:t>对提供的关系型源数据库</w:t>
            </w:r>
            <w:r>
              <w:rPr>
                <w:rFonts w:hint="eastAsia" w:ascii="Times New Roman" w:hAnsi="Times New Roman" w:cs="Times New Roman"/>
                <w:i w:val="0"/>
                <w:iCs w:val="0"/>
                <w:color w:val="auto"/>
                <w:kern w:val="0"/>
                <w:sz w:val="21"/>
                <w:szCs w:val="21"/>
                <w:highlight w:val="none"/>
                <w:u w:val="none"/>
                <w:lang w:val="en-US" w:eastAsia="zh-CN" w:bidi="ar"/>
              </w:rPr>
              <w:t>（Oracle、OceanBase、达梦）</w:t>
            </w:r>
            <w:r>
              <w:rPr>
                <w:rFonts w:hint="default" w:ascii="Times New Roman" w:hAnsi="Times New Roman" w:eastAsia="宋体" w:cs="Times New Roman"/>
                <w:i w:val="0"/>
                <w:iCs w:val="0"/>
                <w:color w:val="auto"/>
                <w:kern w:val="0"/>
                <w:sz w:val="21"/>
                <w:szCs w:val="21"/>
                <w:highlight w:val="none"/>
                <w:u w:val="none"/>
                <w:lang w:val="en-US" w:eastAsia="zh-CN" w:bidi="ar"/>
              </w:rPr>
              <w:t>通过采集数据库日志的方式进行数据的实时采集，并实时写入目标数据库</w:t>
            </w:r>
            <w:r>
              <w:rPr>
                <w:rFonts w:hint="eastAsia" w:ascii="Times New Roman" w:hAnsi="Times New Roman" w:cs="Times New Roman"/>
                <w:i w:val="0"/>
                <w:iCs w:val="0"/>
                <w:color w:val="auto"/>
                <w:kern w:val="0"/>
                <w:sz w:val="21"/>
                <w:szCs w:val="21"/>
                <w:highlight w:val="none"/>
                <w:u w:val="none"/>
                <w:lang w:val="en-US" w:eastAsia="zh-CN" w:bidi="ar"/>
              </w:rPr>
              <w:t>（Oracle、OceanBase、达梦）</w:t>
            </w:r>
            <w:r>
              <w:rPr>
                <w:rFonts w:hint="default" w:ascii="Times New Roman" w:hAnsi="Times New Roman" w:eastAsia="宋体" w:cs="Times New Roman"/>
                <w:i w:val="0"/>
                <w:iCs w:val="0"/>
                <w:color w:val="auto"/>
                <w:kern w:val="0"/>
                <w:sz w:val="21"/>
                <w:szCs w:val="21"/>
                <w:highlight w:val="none"/>
                <w:u w:val="none"/>
                <w:lang w:val="en-US" w:eastAsia="zh-CN" w:bidi="ar"/>
              </w:rPr>
              <w:t>、所选底座数据湖</w:t>
            </w:r>
            <w:r>
              <w:rPr>
                <w:rFonts w:hint="eastAsia" w:ascii="Times New Roman" w:hAnsi="Times New Roman" w:cs="Times New Roman"/>
                <w:i w:val="0"/>
                <w:iCs w:val="0"/>
                <w:color w:val="auto"/>
                <w:kern w:val="0"/>
                <w:sz w:val="21"/>
                <w:szCs w:val="21"/>
                <w:highlight w:val="none"/>
                <w:u w:val="none"/>
                <w:lang w:val="en-US" w:eastAsia="zh-CN" w:bidi="ar"/>
              </w:rPr>
              <w:t>相关</w:t>
            </w:r>
            <w:r>
              <w:rPr>
                <w:rFonts w:hint="default" w:ascii="Times New Roman" w:hAnsi="Times New Roman" w:eastAsia="宋体" w:cs="Times New Roman"/>
                <w:i w:val="0"/>
                <w:iCs w:val="0"/>
                <w:color w:val="auto"/>
                <w:kern w:val="0"/>
                <w:sz w:val="21"/>
                <w:szCs w:val="21"/>
                <w:highlight w:val="none"/>
                <w:u w:val="none"/>
                <w:lang w:val="en-US" w:eastAsia="zh-CN" w:bidi="ar"/>
              </w:rPr>
              <w:t>组件和消息队列</w:t>
            </w:r>
            <w:r>
              <w:rPr>
                <w:rFonts w:hint="eastAsia" w:ascii="Times New Roman" w:hAnsi="Times New Roman" w:cs="Times New Roman"/>
                <w:i w:val="0"/>
                <w:iCs w:val="0"/>
                <w:color w:val="auto"/>
                <w:kern w:val="0"/>
                <w:sz w:val="21"/>
                <w:szCs w:val="21"/>
                <w:highlight w:val="none"/>
                <w:u w:val="none"/>
                <w:lang w:val="en-US" w:eastAsia="zh-CN" w:bidi="ar"/>
              </w:rPr>
              <w:t>（Kafka）</w:t>
            </w: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3026" w:type="dxa"/>
            <w:shd w:val="clear" w:color="auto" w:fill="auto"/>
            <w:vAlign w:val="center"/>
          </w:tcPr>
          <w:p w14:paraId="3982E451">
            <w:pPr>
              <w:keepNext w:val="0"/>
              <w:keepLines w:val="0"/>
              <w:pageBreakBefore w:val="0"/>
              <w:widowControl/>
              <w:numPr>
                <w:ilvl w:val="0"/>
                <w:numId w:val="29"/>
              </w:numPr>
              <w:suppressLineNumbers w:val="0"/>
              <w:kinsoku/>
              <w:wordWrap/>
              <w:overflowPunct/>
              <w:topLinePunct w:val="0"/>
              <w:bidi w:val="0"/>
              <w:adjustRightInd/>
              <w:snapToGrid/>
              <w:spacing w:line="400" w:lineRule="exact"/>
              <w:ind w:firstLine="0" w:firstLineChars="0"/>
              <w:jc w:val="left"/>
              <w:textAlignment w:val="center"/>
              <w:rPr>
                <w:rFonts w:hint="eastAsia" w:ascii="Times New Roman" w:hAnsi="Times New Roman"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针对第三章“1.3.3.2 功能要求”要求中提到需支持的源库和目标库，但本次测试中未测试到的，需提供相关材料证明；</w:t>
            </w:r>
          </w:p>
          <w:p w14:paraId="5FF29C46">
            <w:pPr>
              <w:keepNext w:val="0"/>
              <w:keepLines w:val="0"/>
              <w:pageBreakBefore w:val="0"/>
              <w:widowControl/>
              <w:numPr>
                <w:ilvl w:val="0"/>
                <w:numId w:val="29"/>
              </w:numPr>
              <w:suppressLineNumbers w:val="0"/>
              <w:kinsoku/>
              <w:wordWrap/>
              <w:overflowPunct/>
              <w:topLinePunct w:val="0"/>
              <w:bidi w:val="0"/>
              <w:adjustRightInd/>
              <w:snapToGrid/>
              <w:spacing w:line="400" w:lineRule="exact"/>
              <w:ind w:firstLine="0" w:firstLineChars="0"/>
              <w:jc w:val="left"/>
              <w:textAlignment w:val="center"/>
              <w:rPr>
                <w:rFonts w:hint="eastAsia" w:ascii="Times New Roman" w:hAnsi="Times New Roman"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实时</w:t>
            </w:r>
            <w:r>
              <w:rPr>
                <w:rFonts w:hint="default" w:ascii="Times New Roman" w:hAnsi="Times New Roman" w:eastAsia="宋体" w:cs="Times New Roman"/>
                <w:i w:val="0"/>
                <w:iCs w:val="0"/>
                <w:color w:val="auto"/>
                <w:kern w:val="0"/>
                <w:sz w:val="21"/>
                <w:szCs w:val="21"/>
                <w:highlight w:val="none"/>
                <w:u w:val="none"/>
                <w:lang w:val="en-US" w:eastAsia="zh-CN" w:bidi="ar"/>
              </w:rPr>
              <w:t>采集过程均通过可视化</w:t>
            </w:r>
            <w:r>
              <w:rPr>
                <w:rFonts w:hint="eastAsia" w:ascii="Times New Roman" w:hAnsi="Times New Roman" w:cs="Times New Roman"/>
                <w:i w:val="0"/>
                <w:iCs w:val="0"/>
                <w:color w:val="auto"/>
                <w:kern w:val="0"/>
                <w:sz w:val="21"/>
                <w:szCs w:val="21"/>
                <w:highlight w:val="none"/>
                <w:u w:val="none"/>
                <w:lang w:val="en-US" w:eastAsia="zh-CN" w:bidi="ar"/>
              </w:rPr>
              <w:t>界面</w:t>
            </w:r>
            <w:r>
              <w:rPr>
                <w:rFonts w:hint="default" w:ascii="Times New Roman" w:hAnsi="Times New Roman" w:eastAsia="宋体" w:cs="Times New Roman"/>
                <w:i w:val="0"/>
                <w:iCs w:val="0"/>
                <w:color w:val="auto"/>
                <w:kern w:val="0"/>
                <w:sz w:val="21"/>
                <w:szCs w:val="21"/>
                <w:highlight w:val="none"/>
                <w:u w:val="none"/>
                <w:lang w:val="en-US" w:eastAsia="zh-CN" w:bidi="ar"/>
              </w:rPr>
              <w:t>的方式进行操作和管理，包括数据源配置、任务配置、参数配置、任务启停、任务监控告警等</w:t>
            </w:r>
            <w:r>
              <w:rPr>
                <w:rFonts w:hint="eastAsia" w:ascii="Times New Roman" w:hAnsi="Times New Roman" w:cs="Times New Roman"/>
                <w:i w:val="0"/>
                <w:iCs w:val="0"/>
                <w:color w:val="auto"/>
                <w:kern w:val="0"/>
                <w:sz w:val="21"/>
                <w:szCs w:val="21"/>
                <w:highlight w:val="none"/>
                <w:u w:val="none"/>
                <w:lang w:val="en-US" w:eastAsia="zh-CN" w:bidi="ar"/>
              </w:rPr>
              <w:t>；</w:t>
            </w:r>
          </w:p>
          <w:p w14:paraId="6A6D7D4E">
            <w:pPr>
              <w:keepNext w:val="0"/>
              <w:keepLines w:val="0"/>
              <w:pageBreakBefore w:val="0"/>
              <w:widowControl/>
              <w:numPr>
                <w:ilvl w:val="0"/>
                <w:numId w:val="29"/>
              </w:numPr>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满足实时数据采集性能、并发吞吐、数据时延的要求</w:t>
            </w:r>
            <w:r>
              <w:rPr>
                <w:rFonts w:hint="eastAsia" w:ascii="Times New Roman" w:hAnsi="Times New Roman" w:cs="Times New Roman"/>
                <w:i w:val="0"/>
                <w:iCs w:val="0"/>
                <w:color w:val="auto"/>
                <w:kern w:val="0"/>
                <w:sz w:val="21"/>
                <w:szCs w:val="21"/>
                <w:highlight w:val="none"/>
                <w:u w:val="none"/>
                <w:lang w:val="en-US" w:eastAsia="zh-CN" w:bidi="ar"/>
              </w:rPr>
              <w:t>。</w:t>
            </w:r>
          </w:p>
        </w:tc>
        <w:tc>
          <w:tcPr>
            <w:tcW w:w="732" w:type="dxa"/>
            <w:vMerge w:val="restart"/>
            <w:shd w:val="clear" w:color="auto" w:fill="auto"/>
            <w:vAlign w:val="center"/>
          </w:tcPr>
          <w:p w14:paraId="20ADB247">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12</w:t>
            </w:r>
          </w:p>
        </w:tc>
      </w:tr>
      <w:tr w14:paraId="6C6AB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vMerge w:val="continue"/>
            <w:shd w:val="clear" w:color="auto" w:fill="auto"/>
            <w:vAlign w:val="center"/>
          </w:tcPr>
          <w:p w14:paraId="4DB9171A">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1088" w:type="dxa"/>
            <w:vMerge w:val="continue"/>
            <w:shd w:val="clear" w:color="auto" w:fill="auto"/>
            <w:vAlign w:val="center"/>
          </w:tcPr>
          <w:p w14:paraId="24C9D625">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2565" w:type="dxa"/>
            <w:shd w:val="clear" w:color="auto" w:fill="auto"/>
            <w:vAlign w:val="center"/>
          </w:tcPr>
          <w:p w14:paraId="7D4CDEAB">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根据比选人提供的具体实时开发需求，</w:t>
            </w:r>
            <w:r>
              <w:rPr>
                <w:rFonts w:hint="default" w:ascii="Times New Roman" w:hAnsi="Times New Roman" w:eastAsia="宋体" w:cs="Times New Roman"/>
                <w:i w:val="0"/>
                <w:iCs w:val="0"/>
                <w:color w:val="auto"/>
                <w:kern w:val="0"/>
                <w:sz w:val="21"/>
                <w:szCs w:val="21"/>
                <w:highlight w:val="none"/>
                <w:u w:val="none"/>
                <w:lang w:val="en-US" w:eastAsia="zh-CN" w:bidi="ar"/>
              </w:rPr>
              <w:t>基于数据作业平台服务实现实时计算任务从开发测试到发布运营的全流程。基于实时采集的数据，分别采用SQL、JAR包两种方式完成相应任务的开发，实现场景指标的实时计算加工（具体指标以详细方案为准），任务中至少注册和引用一个UDF函数，最终将两种类型的任务进行打包，通过平台审批提交至湖仓一体底座服务对应租户中运行，并配置监控告警策略。最终对实时任务开发操作流程、数据、资源使用情况整体进行验证和评价。</w:t>
            </w:r>
          </w:p>
        </w:tc>
        <w:tc>
          <w:tcPr>
            <w:tcW w:w="3026" w:type="dxa"/>
            <w:shd w:val="clear" w:color="auto" w:fill="auto"/>
            <w:vAlign w:val="center"/>
          </w:tcPr>
          <w:p w14:paraId="500F6A9F">
            <w:pPr>
              <w:keepNext w:val="0"/>
              <w:keepLines w:val="0"/>
              <w:pageBreakBefore w:val="0"/>
              <w:widowControl/>
              <w:numPr>
                <w:ilvl w:val="0"/>
                <w:numId w:val="30"/>
              </w:numPr>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支持通过操作体验良好的可视化界面完整实现实时计算任务的开发测试、自定义函数上传注册、任务版本管理、参数配置、任务提交、发布审批、任务监控等实时数据开发运营全流程工作；</w:t>
            </w:r>
          </w:p>
          <w:p w14:paraId="387A66BC">
            <w:pPr>
              <w:keepNext w:val="0"/>
              <w:keepLines w:val="0"/>
              <w:pageBreakBefore w:val="0"/>
              <w:widowControl/>
              <w:numPr>
                <w:ilvl w:val="0"/>
                <w:numId w:val="30"/>
              </w:numPr>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具有完善的审批、监控告警、数据安全控制等机制。</w:t>
            </w:r>
          </w:p>
        </w:tc>
        <w:tc>
          <w:tcPr>
            <w:tcW w:w="732" w:type="dxa"/>
            <w:vMerge w:val="continue"/>
            <w:shd w:val="clear" w:color="auto" w:fill="auto"/>
            <w:vAlign w:val="center"/>
          </w:tcPr>
          <w:p w14:paraId="6F97EE88">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r>
      <w:tr w14:paraId="5C7BF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vMerge w:val="continue"/>
            <w:shd w:val="clear" w:color="auto" w:fill="auto"/>
            <w:vAlign w:val="center"/>
          </w:tcPr>
          <w:p w14:paraId="7D6A85A5">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1088" w:type="dxa"/>
            <w:vMerge w:val="restart"/>
            <w:shd w:val="clear" w:color="auto" w:fill="auto"/>
            <w:vAlign w:val="center"/>
          </w:tcPr>
          <w:p w14:paraId="0140E336">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数据服务场景</w:t>
            </w:r>
          </w:p>
        </w:tc>
        <w:tc>
          <w:tcPr>
            <w:tcW w:w="2565" w:type="dxa"/>
            <w:shd w:val="clear" w:color="auto" w:fill="auto"/>
            <w:vAlign w:val="center"/>
          </w:tcPr>
          <w:p w14:paraId="43F564B5">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根据比选人提供的具体需求，</w:t>
            </w:r>
            <w:r>
              <w:rPr>
                <w:rFonts w:hint="default" w:ascii="Times New Roman" w:hAnsi="Times New Roman" w:eastAsia="宋体" w:cs="Times New Roman"/>
                <w:i w:val="0"/>
                <w:iCs w:val="0"/>
                <w:color w:val="auto"/>
                <w:kern w:val="0"/>
                <w:sz w:val="21"/>
                <w:szCs w:val="21"/>
                <w:highlight w:val="none"/>
                <w:u w:val="none"/>
                <w:lang w:val="en-US" w:eastAsia="zh-CN" w:bidi="ar"/>
              </w:rPr>
              <w:t>通过可视化界面选择对应源表、字段、目标系统、供数频率等参数后，自动生成相关作业及调度任务，为下游系统提供数据文件。</w:t>
            </w:r>
          </w:p>
        </w:tc>
        <w:tc>
          <w:tcPr>
            <w:tcW w:w="3026" w:type="dxa"/>
            <w:shd w:val="clear" w:color="auto" w:fill="auto"/>
            <w:vAlign w:val="center"/>
          </w:tcPr>
          <w:p w14:paraId="3D8C8B48">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1.数据文件成功卸载，且可指定文件目录、文件名称、分隔符、编码、是否包含表头、是否包含校验文件、校验文件内容格式</w:t>
            </w:r>
            <w:r>
              <w:rPr>
                <w:rFonts w:hint="eastAsia" w:ascii="Times New Roman" w:hAnsi="Times New Roman" w:cs="Times New Roman"/>
                <w:i w:val="0"/>
                <w:iCs w:val="0"/>
                <w:color w:val="auto"/>
                <w:kern w:val="0"/>
                <w:sz w:val="21"/>
                <w:szCs w:val="21"/>
                <w:highlight w:val="none"/>
                <w:u w:val="none"/>
                <w:lang w:val="en-US" w:eastAsia="zh-CN" w:bidi="ar"/>
              </w:rPr>
              <w:t>、自定义脚本</w:t>
            </w:r>
            <w:r>
              <w:rPr>
                <w:rFonts w:hint="default" w:ascii="Times New Roman" w:hAnsi="Times New Roman" w:eastAsia="宋体" w:cs="Times New Roman"/>
                <w:i w:val="0"/>
                <w:iCs w:val="0"/>
                <w:color w:val="auto"/>
                <w:kern w:val="0"/>
                <w:sz w:val="21"/>
                <w:szCs w:val="21"/>
                <w:highlight w:val="none"/>
                <w:u w:val="none"/>
                <w:lang w:val="en-US" w:eastAsia="zh-CN" w:bidi="ar"/>
              </w:rPr>
              <w:t>等参数；</w:t>
            </w:r>
            <w:r>
              <w:rPr>
                <w:rFonts w:hint="default" w:ascii="Times New Roman" w:hAnsi="Times New Roman" w:eastAsia="宋体" w:cs="Times New Roman"/>
                <w:i w:val="0"/>
                <w:iCs w:val="0"/>
                <w:color w:val="auto"/>
                <w:kern w:val="0"/>
                <w:sz w:val="21"/>
                <w:szCs w:val="21"/>
                <w:highlight w:val="none"/>
                <w:u w:val="none"/>
                <w:lang w:val="en-US" w:eastAsia="zh-CN" w:bidi="ar"/>
              </w:rPr>
              <w:br w:type="textWrapping"/>
            </w:r>
            <w:r>
              <w:rPr>
                <w:rFonts w:hint="default" w:ascii="Times New Roman" w:hAnsi="Times New Roman" w:eastAsia="宋体" w:cs="Times New Roman"/>
                <w:i w:val="0"/>
                <w:iCs w:val="0"/>
                <w:color w:val="auto"/>
                <w:kern w:val="0"/>
                <w:sz w:val="21"/>
                <w:szCs w:val="21"/>
                <w:highlight w:val="none"/>
                <w:u w:val="none"/>
                <w:lang w:val="en-US" w:eastAsia="zh-CN" w:bidi="ar"/>
              </w:rPr>
              <w:t>2.文件内容、条数、格式（日期、数字、编码）一致。</w:t>
            </w:r>
          </w:p>
        </w:tc>
        <w:tc>
          <w:tcPr>
            <w:tcW w:w="732" w:type="dxa"/>
            <w:vMerge w:val="restart"/>
            <w:shd w:val="clear" w:color="auto" w:fill="auto"/>
            <w:vAlign w:val="center"/>
          </w:tcPr>
          <w:p w14:paraId="33956CA7">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4</w:t>
            </w:r>
          </w:p>
        </w:tc>
      </w:tr>
      <w:tr w14:paraId="660BB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vMerge w:val="continue"/>
            <w:shd w:val="clear" w:color="auto" w:fill="auto"/>
            <w:vAlign w:val="center"/>
          </w:tcPr>
          <w:p w14:paraId="67540C93">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1088" w:type="dxa"/>
            <w:vMerge w:val="continue"/>
            <w:shd w:val="clear" w:color="auto" w:fill="auto"/>
            <w:vAlign w:val="center"/>
          </w:tcPr>
          <w:p w14:paraId="05551E8A">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2565" w:type="dxa"/>
            <w:shd w:val="clear" w:color="auto" w:fill="auto"/>
            <w:vAlign w:val="center"/>
          </w:tcPr>
          <w:p w14:paraId="3D17343A">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根据比选人提供的具体需求，</w:t>
            </w:r>
            <w:r>
              <w:rPr>
                <w:rFonts w:hint="default" w:ascii="Times New Roman" w:hAnsi="Times New Roman" w:eastAsia="宋体" w:cs="Times New Roman"/>
                <w:i w:val="0"/>
                <w:iCs w:val="0"/>
                <w:color w:val="auto"/>
                <w:kern w:val="0"/>
                <w:sz w:val="21"/>
                <w:szCs w:val="21"/>
                <w:highlight w:val="none"/>
                <w:u w:val="none"/>
                <w:lang w:val="en-US" w:eastAsia="zh-CN" w:bidi="ar"/>
              </w:rPr>
              <w:t>通过图形化界面配置为各下游系统提供API服务，且API接口参数可配置化程度高。</w:t>
            </w:r>
          </w:p>
        </w:tc>
        <w:tc>
          <w:tcPr>
            <w:tcW w:w="3026" w:type="dxa"/>
            <w:shd w:val="clear" w:color="auto" w:fill="auto"/>
            <w:vAlign w:val="center"/>
          </w:tcPr>
          <w:p w14:paraId="44D8BFE6">
            <w:pPr>
              <w:keepNext w:val="0"/>
              <w:keepLines w:val="0"/>
              <w:pageBreakBefore w:val="0"/>
              <w:widowControl/>
              <w:numPr>
                <w:ilvl w:val="0"/>
                <w:numId w:val="31"/>
              </w:numPr>
              <w:suppressLineNumbers w:val="0"/>
              <w:kinsoku/>
              <w:wordWrap/>
              <w:overflowPunct/>
              <w:topLinePunct w:val="0"/>
              <w:bidi w:val="0"/>
              <w:adjustRightInd/>
              <w:snapToGrid/>
              <w:spacing w:line="400" w:lineRule="exact"/>
              <w:ind w:firstLine="0" w:firstLineChars="0"/>
              <w:jc w:val="left"/>
              <w:textAlignment w:val="center"/>
              <w:rPr>
                <w:rFonts w:hint="eastAsia" w:ascii="Times New Roman" w:hAnsi="Times New Roman"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API接口服务支持图形化界面配置</w:t>
            </w:r>
            <w:r>
              <w:rPr>
                <w:rFonts w:hint="eastAsia" w:ascii="Times New Roman" w:hAnsi="Times New Roman" w:cs="Times New Roman"/>
                <w:i w:val="0"/>
                <w:iCs w:val="0"/>
                <w:color w:val="auto"/>
                <w:kern w:val="0"/>
                <w:sz w:val="21"/>
                <w:szCs w:val="21"/>
                <w:highlight w:val="none"/>
                <w:u w:val="none"/>
                <w:lang w:val="en-US" w:eastAsia="zh-CN" w:bidi="ar"/>
              </w:rPr>
              <w:t>且</w:t>
            </w:r>
            <w:r>
              <w:rPr>
                <w:rFonts w:hint="default" w:ascii="Times New Roman" w:hAnsi="Times New Roman" w:eastAsia="宋体" w:cs="Times New Roman"/>
                <w:i w:val="0"/>
                <w:iCs w:val="0"/>
                <w:color w:val="auto"/>
                <w:kern w:val="0"/>
                <w:sz w:val="21"/>
                <w:szCs w:val="21"/>
                <w:highlight w:val="none"/>
                <w:u w:val="none"/>
                <w:lang w:val="en-US" w:eastAsia="zh-CN" w:bidi="ar"/>
              </w:rPr>
              <w:t>参数可配置化程度高；</w:t>
            </w:r>
          </w:p>
          <w:p w14:paraId="71CD85AD">
            <w:pPr>
              <w:keepNext w:val="0"/>
              <w:keepLines w:val="0"/>
              <w:pageBreakBefore w:val="0"/>
              <w:widowControl/>
              <w:numPr>
                <w:ilvl w:val="0"/>
                <w:numId w:val="31"/>
              </w:numPr>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支持实时、异步返回报文或文件；</w:t>
            </w:r>
          </w:p>
        </w:tc>
        <w:tc>
          <w:tcPr>
            <w:tcW w:w="732" w:type="dxa"/>
            <w:vMerge w:val="continue"/>
            <w:shd w:val="clear" w:color="auto" w:fill="auto"/>
            <w:vAlign w:val="center"/>
          </w:tcPr>
          <w:p w14:paraId="0A03F585">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r>
      <w:tr w14:paraId="2AA08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vMerge w:val="continue"/>
            <w:shd w:val="clear" w:color="auto" w:fill="auto"/>
            <w:vAlign w:val="center"/>
          </w:tcPr>
          <w:p w14:paraId="7FAFB3F5">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1088" w:type="dxa"/>
            <w:vMerge w:val="restart"/>
            <w:shd w:val="clear" w:color="auto" w:fill="auto"/>
            <w:vAlign w:val="center"/>
          </w:tcPr>
          <w:p w14:paraId="007133A8">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管理运营场景</w:t>
            </w:r>
          </w:p>
        </w:tc>
        <w:tc>
          <w:tcPr>
            <w:tcW w:w="2565" w:type="dxa"/>
            <w:shd w:val="clear" w:color="auto" w:fill="auto"/>
            <w:vAlign w:val="center"/>
          </w:tcPr>
          <w:p w14:paraId="14185BE6">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整个平台的数据血缘、开发任务血缘、调度任务血缘管理水平。</w:t>
            </w:r>
          </w:p>
        </w:tc>
        <w:tc>
          <w:tcPr>
            <w:tcW w:w="3026" w:type="dxa"/>
            <w:shd w:val="clear" w:color="auto" w:fill="auto"/>
            <w:vAlign w:val="center"/>
          </w:tcPr>
          <w:p w14:paraId="6D36CB83">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1.具备良好、完备、清晰的血缘记录</w:t>
            </w:r>
            <w:r>
              <w:rPr>
                <w:rFonts w:hint="eastAsia" w:ascii="Times New Roman" w:hAnsi="Times New Roman" w:cs="Times New Roman"/>
                <w:i w:val="0"/>
                <w:iCs w:val="0"/>
                <w:color w:val="auto"/>
                <w:kern w:val="0"/>
                <w:sz w:val="21"/>
                <w:szCs w:val="21"/>
                <w:highlight w:val="none"/>
                <w:u w:val="none"/>
                <w:lang w:val="en-US" w:eastAsia="zh-CN" w:bidi="ar"/>
              </w:rPr>
              <w:t>，包括表级和字段的血缘关系</w:t>
            </w: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732" w:type="dxa"/>
            <w:vMerge w:val="restart"/>
            <w:shd w:val="clear" w:color="auto" w:fill="auto"/>
            <w:vAlign w:val="center"/>
          </w:tcPr>
          <w:p w14:paraId="62377DC2">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8</w:t>
            </w:r>
          </w:p>
        </w:tc>
      </w:tr>
      <w:tr w14:paraId="752A7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vMerge w:val="continue"/>
            <w:shd w:val="clear" w:color="auto" w:fill="auto"/>
            <w:vAlign w:val="center"/>
          </w:tcPr>
          <w:p w14:paraId="1500366C">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1088" w:type="dxa"/>
            <w:vMerge w:val="continue"/>
            <w:shd w:val="clear" w:color="auto" w:fill="auto"/>
            <w:vAlign w:val="center"/>
          </w:tcPr>
          <w:p w14:paraId="292E024B">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2565" w:type="dxa"/>
            <w:shd w:val="clear" w:color="auto" w:fill="auto"/>
            <w:vAlign w:val="center"/>
          </w:tcPr>
          <w:p w14:paraId="5F31FA93">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查看</w:t>
            </w:r>
            <w:r>
              <w:rPr>
                <w:rFonts w:hint="eastAsia" w:ascii="Times New Roman" w:hAnsi="Times New Roman" w:cs="Times New Roman"/>
                <w:i w:val="0"/>
                <w:iCs w:val="0"/>
                <w:color w:val="auto"/>
                <w:kern w:val="0"/>
                <w:sz w:val="21"/>
                <w:szCs w:val="21"/>
                <w:highlight w:val="none"/>
                <w:u w:val="none"/>
                <w:lang w:val="en-US" w:eastAsia="zh-CN" w:bidi="ar"/>
              </w:rPr>
              <w:t>整个平台</w:t>
            </w:r>
            <w:r>
              <w:rPr>
                <w:rFonts w:hint="default" w:ascii="Times New Roman" w:hAnsi="Times New Roman" w:eastAsia="宋体" w:cs="Times New Roman"/>
                <w:i w:val="0"/>
                <w:iCs w:val="0"/>
                <w:color w:val="auto"/>
                <w:kern w:val="0"/>
                <w:sz w:val="21"/>
                <w:szCs w:val="21"/>
                <w:highlight w:val="none"/>
                <w:u w:val="none"/>
                <w:lang w:val="en-US" w:eastAsia="zh-CN" w:bidi="ar"/>
              </w:rPr>
              <w:t>的资源使用情况，如CPU使用情况、内存使用情况等。</w:t>
            </w:r>
          </w:p>
        </w:tc>
        <w:tc>
          <w:tcPr>
            <w:tcW w:w="3026" w:type="dxa"/>
            <w:shd w:val="clear" w:color="auto" w:fill="auto"/>
            <w:vAlign w:val="center"/>
          </w:tcPr>
          <w:p w14:paraId="66262FBD">
            <w:pPr>
              <w:keepNext w:val="0"/>
              <w:keepLines w:val="0"/>
              <w:pageBreakBefore w:val="0"/>
              <w:widowControl/>
              <w:numPr>
                <w:ilvl w:val="0"/>
                <w:numId w:val="32"/>
              </w:numPr>
              <w:suppressLineNumbers w:val="0"/>
              <w:kinsoku/>
              <w:wordWrap/>
              <w:overflowPunct/>
              <w:topLinePunct w:val="0"/>
              <w:bidi w:val="0"/>
              <w:adjustRightInd/>
              <w:snapToGrid/>
              <w:spacing w:line="400" w:lineRule="exact"/>
              <w:ind w:firstLine="0" w:firstLineChars="0"/>
              <w:jc w:val="left"/>
              <w:textAlignment w:val="center"/>
              <w:rPr>
                <w:rFonts w:hint="eastAsia" w:ascii="Times New Roman" w:hAnsi="Times New Roman"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支持自动健康检查和深度巡检</w:t>
            </w:r>
            <w:r>
              <w:rPr>
                <w:rFonts w:hint="eastAsia" w:ascii="Times New Roman" w:hAnsi="Times New Roman" w:cs="Times New Roman"/>
                <w:i w:val="0"/>
                <w:iCs w:val="0"/>
                <w:color w:val="auto"/>
                <w:kern w:val="0"/>
                <w:sz w:val="21"/>
                <w:szCs w:val="21"/>
                <w:highlight w:val="none"/>
                <w:u w:val="none"/>
                <w:lang w:val="en-US" w:eastAsia="zh-CN" w:bidi="ar"/>
              </w:rPr>
              <w:t>；</w:t>
            </w:r>
          </w:p>
          <w:p w14:paraId="61A6CE43">
            <w:pPr>
              <w:keepNext w:val="0"/>
              <w:keepLines w:val="0"/>
              <w:pageBreakBefore w:val="0"/>
              <w:widowControl/>
              <w:numPr>
                <w:ilvl w:val="0"/>
                <w:numId w:val="32"/>
              </w:numPr>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集群节点可通过可视化页面监控各项资源使用情况</w:t>
            </w:r>
            <w:r>
              <w:rPr>
                <w:rFonts w:hint="eastAsia" w:ascii="Times New Roman" w:hAnsi="Times New Roman" w:cs="Times New Roman"/>
                <w:i w:val="0"/>
                <w:iCs w:val="0"/>
                <w:color w:val="auto"/>
                <w:kern w:val="0"/>
                <w:sz w:val="21"/>
                <w:szCs w:val="21"/>
                <w:highlight w:val="none"/>
                <w:u w:val="none"/>
                <w:lang w:val="en-US" w:eastAsia="zh-CN" w:bidi="ar"/>
              </w:rPr>
              <w:t>。</w:t>
            </w:r>
          </w:p>
        </w:tc>
        <w:tc>
          <w:tcPr>
            <w:tcW w:w="732" w:type="dxa"/>
            <w:vMerge w:val="continue"/>
            <w:shd w:val="clear" w:color="auto" w:fill="auto"/>
            <w:vAlign w:val="center"/>
          </w:tcPr>
          <w:p w14:paraId="3CBDC9F1">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r>
      <w:tr w14:paraId="12F9A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vMerge w:val="continue"/>
            <w:shd w:val="clear" w:color="auto" w:fill="auto"/>
            <w:vAlign w:val="center"/>
          </w:tcPr>
          <w:p w14:paraId="3049A37A">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1088" w:type="dxa"/>
            <w:vMerge w:val="continue"/>
            <w:shd w:val="clear" w:color="auto" w:fill="auto"/>
            <w:vAlign w:val="center"/>
          </w:tcPr>
          <w:p w14:paraId="04E682A2">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2565" w:type="dxa"/>
            <w:shd w:val="clear" w:color="auto" w:fill="auto"/>
            <w:vAlign w:val="center"/>
          </w:tcPr>
          <w:p w14:paraId="3A4E22EE">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查看</w:t>
            </w:r>
            <w:r>
              <w:rPr>
                <w:rFonts w:hint="eastAsia" w:ascii="Times New Roman" w:hAnsi="Times New Roman" w:cs="Times New Roman"/>
                <w:i w:val="0"/>
                <w:iCs w:val="0"/>
                <w:color w:val="auto"/>
                <w:kern w:val="0"/>
                <w:sz w:val="21"/>
                <w:szCs w:val="21"/>
                <w:highlight w:val="none"/>
                <w:u w:val="none"/>
                <w:lang w:val="en-US" w:eastAsia="zh-CN" w:bidi="ar"/>
              </w:rPr>
              <w:t>整个平台</w:t>
            </w:r>
            <w:r>
              <w:rPr>
                <w:rFonts w:hint="default" w:ascii="Times New Roman" w:hAnsi="Times New Roman" w:eastAsia="宋体" w:cs="Times New Roman"/>
                <w:i w:val="0"/>
                <w:iCs w:val="0"/>
                <w:color w:val="auto"/>
                <w:kern w:val="0"/>
                <w:sz w:val="21"/>
                <w:szCs w:val="21"/>
                <w:highlight w:val="none"/>
                <w:u w:val="none"/>
                <w:lang w:val="en-US" w:eastAsia="zh-CN" w:bidi="ar"/>
              </w:rPr>
              <w:t>数据资产情况，包括数据量、数据表数量、调度任务数量等数据运营情况</w:t>
            </w:r>
            <w:r>
              <w:rPr>
                <w:rFonts w:hint="eastAsia" w:ascii="Times New Roman" w:hAnsi="Times New Roman" w:cs="Times New Roman"/>
                <w:i w:val="0"/>
                <w:iCs w:val="0"/>
                <w:color w:val="auto"/>
                <w:kern w:val="0"/>
                <w:sz w:val="21"/>
                <w:szCs w:val="21"/>
                <w:highlight w:val="none"/>
                <w:u w:val="none"/>
                <w:lang w:val="en-US" w:eastAsia="zh-CN" w:bidi="ar"/>
              </w:rPr>
              <w:t>以及运维相关情况</w:t>
            </w: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3026" w:type="dxa"/>
            <w:shd w:val="clear" w:color="auto" w:fill="auto"/>
            <w:vAlign w:val="center"/>
          </w:tcPr>
          <w:p w14:paraId="31AC92C1">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1.可通过可视化页面查看各类数据运营情况</w:t>
            </w:r>
            <w:r>
              <w:rPr>
                <w:rFonts w:hint="eastAsia" w:ascii="Times New Roman" w:hAnsi="Times New Roman" w:cs="Times New Roman"/>
                <w:i w:val="0"/>
                <w:iCs w:val="0"/>
                <w:color w:val="auto"/>
                <w:kern w:val="0"/>
                <w:sz w:val="21"/>
                <w:szCs w:val="21"/>
                <w:highlight w:val="none"/>
                <w:u w:val="none"/>
                <w:lang w:val="en-US" w:eastAsia="zh-CN" w:bidi="ar"/>
              </w:rPr>
              <w:t>且可自定义展示页面内容、顺序等</w:t>
            </w:r>
            <w:r>
              <w:rPr>
                <w:rFonts w:hint="default" w:ascii="Times New Roman" w:hAnsi="Times New Roman" w:eastAsia="宋体" w:cs="Times New Roman"/>
                <w:i w:val="0"/>
                <w:iCs w:val="0"/>
                <w:color w:val="auto"/>
                <w:kern w:val="0"/>
                <w:sz w:val="21"/>
                <w:szCs w:val="21"/>
                <w:highlight w:val="none"/>
                <w:u w:val="none"/>
                <w:lang w:val="en-US" w:eastAsia="zh-CN" w:bidi="ar"/>
              </w:rPr>
              <w:t>；</w:t>
            </w:r>
            <w:r>
              <w:rPr>
                <w:rFonts w:hint="default" w:ascii="Times New Roman" w:hAnsi="Times New Roman" w:eastAsia="宋体" w:cs="Times New Roman"/>
                <w:i w:val="0"/>
                <w:iCs w:val="0"/>
                <w:color w:val="auto"/>
                <w:kern w:val="0"/>
                <w:sz w:val="21"/>
                <w:szCs w:val="21"/>
                <w:highlight w:val="none"/>
                <w:u w:val="none"/>
                <w:lang w:val="en-US" w:eastAsia="zh-CN" w:bidi="ar"/>
              </w:rPr>
              <w:br w:type="textWrapping"/>
            </w:r>
            <w:r>
              <w:rPr>
                <w:rFonts w:hint="default" w:ascii="Times New Roman" w:hAnsi="Times New Roman" w:eastAsia="宋体" w:cs="Times New Roman"/>
                <w:i w:val="0"/>
                <w:iCs w:val="0"/>
                <w:color w:val="auto"/>
                <w:kern w:val="0"/>
                <w:sz w:val="21"/>
                <w:szCs w:val="21"/>
                <w:highlight w:val="none"/>
                <w:u w:val="none"/>
                <w:lang w:val="en-US" w:eastAsia="zh-CN" w:bidi="ar"/>
              </w:rPr>
              <w:t>2.</w:t>
            </w:r>
            <w:r>
              <w:rPr>
                <w:rFonts w:hint="eastAsia" w:ascii="Times New Roman" w:hAnsi="Times New Roman" w:cs="Times New Roman"/>
                <w:i w:val="0"/>
                <w:iCs w:val="0"/>
                <w:color w:val="auto"/>
                <w:kern w:val="0"/>
                <w:sz w:val="21"/>
                <w:szCs w:val="21"/>
                <w:highlight w:val="none"/>
                <w:u w:val="none"/>
                <w:lang w:val="en-US" w:eastAsia="zh-CN" w:bidi="ar"/>
              </w:rPr>
              <w:t>支持上线时双人复核功能</w:t>
            </w: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732" w:type="dxa"/>
            <w:vMerge w:val="continue"/>
            <w:shd w:val="clear" w:color="auto" w:fill="auto"/>
            <w:vAlign w:val="center"/>
          </w:tcPr>
          <w:p w14:paraId="3A2EC594">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r>
      <w:tr w14:paraId="78645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vMerge w:val="continue"/>
            <w:shd w:val="clear" w:color="auto" w:fill="auto"/>
            <w:vAlign w:val="center"/>
          </w:tcPr>
          <w:p w14:paraId="6A301836">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1088" w:type="dxa"/>
            <w:vMerge w:val="restart"/>
            <w:shd w:val="clear" w:color="auto" w:fill="auto"/>
            <w:vAlign w:val="center"/>
          </w:tcPr>
          <w:p w14:paraId="55F92540">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数据安全场景</w:t>
            </w:r>
          </w:p>
        </w:tc>
        <w:tc>
          <w:tcPr>
            <w:tcW w:w="2565" w:type="dxa"/>
            <w:shd w:val="clear" w:color="auto" w:fill="auto"/>
            <w:vAlign w:val="center"/>
          </w:tcPr>
          <w:p w14:paraId="621C5860">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用户账号安全可配置化程度高。</w:t>
            </w:r>
          </w:p>
        </w:tc>
        <w:tc>
          <w:tcPr>
            <w:tcW w:w="3026" w:type="dxa"/>
            <w:shd w:val="clear" w:color="auto" w:fill="auto"/>
            <w:vAlign w:val="center"/>
          </w:tcPr>
          <w:p w14:paraId="1C7EA8BA">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1.账号口令可设置复杂度规则</w:t>
            </w:r>
            <w:r>
              <w:rPr>
                <w:rFonts w:hint="eastAsia" w:ascii="Times New Roman" w:hAnsi="Times New Roman" w:cs="Times New Roman"/>
                <w:i w:val="0"/>
                <w:iCs w:val="0"/>
                <w:color w:val="auto"/>
                <w:kern w:val="0"/>
                <w:sz w:val="21"/>
                <w:szCs w:val="21"/>
                <w:highlight w:val="none"/>
                <w:u w:val="none"/>
                <w:lang w:val="en-US" w:eastAsia="zh-CN" w:bidi="ar"/>
              </w:rPr>
              <w:t>且支持设置定期强制更换</w:t>
            </w:r>
            <w:r>
              <w:rPr>
                <w:rFonts w:hint="default" w:ascii="Times New Roman" w:hAnsi="Times New Roman" w:eastAsia="宋体" w:cs="Times New Roman"/>
                <w:i w:val="0"/>
                <w:iCs w:val="0"/>
                <w:color w:val="auto"/>
                <w:kern w:val="0"/>
                <w:sz w:val="21"/>
                <w:szCs w:val="21"/>
                <w:highlight w:val="none"/>
                <w:u w:val="none"/>
                <w:lang w:val="en-US" w:eastAsia="zh-CN" w:bidi="ar"/>
              </w:rPr>
              <w:t>；</w:t>
            </w:r>
            <w:r>
              <w:rPr>
                <w:rFonts w:hint="default" w:ascii="Times New Roman" w:hAnsi="Times New Roman" w:eastAsia="宋体" w:cs="Times New Roman"/>
                <w:i w:val="0"/>
                <w:iCs w:val="0"/>
                <w:color w:val="auto"/>
                <w:kern w:val="0"/>
                <w:sz w:val="21"/>
                <w:szCs w:val="21"/>
                <w:highlight w:val="none"/>
                <w:u w:val="none"/>
                <w:lang w:val="en-US" w:eastAsia="zh-CN" w:bidi="ar"/>
              </w:rPr>
              <w:br w:type="textWrapping"/>
            </w:r>
            <w:r>
              <w:rPr>
                <w:rFonts w:hint="eastAsia" w:ascii="Times New Roman" w:hAnsi="Times New Roman" w:cs="Times New Roman"/>
                <w:i w:val="0"/>
                <w:iCs w:val="0"/>
                <w:color w:val="auto"/>
                <w:kern w:val="0"/>
                <w:sz w:val="21"/>
                <w:szCs w:val="21"/>
                <w:highlight w:val="none"/>
                <w:u w:val="none"/>
                <w:lang w:val="en-US" w:eastAsia="zh-CN" w:bidi="ar"/>
              </w:rPr>
              <w:t>2</w:t>
            </w:r>
            <w:r>
              <w:rPr>
                <w:rFonts w:hint="default" w:ascii="Times New Roman" w:hAnsi="Times New Roman" w:eastAsia="宋体" w:cs="Times New Roman"/>
                <w:i w:val="0"/>
                <w:iCs w:val="0"/>
                <w:color w:val="auto"/>
                <w:kern w:val="0"/>
                <w:sz w:val="21"/>
                <w:szCs w:val="21"/>
                <w:highlight w:val="none"/>
                <w:u w:val="none"/>
                <w:lang w:val="en-US" w:eastAsia="zh-CN" w:bidi="ar"/>
              </w:rPr>
              <w:t>.支持账号与IP或IP段或MAC地址绑定</w:t>
            </w:r>
            <w:r>
              <w:rPr>
                <w:rFonts w:hint="eastAsia" w:ascii="Times New Roman" w:hAnsi="Times New Roman" w:cs="Times New Roman"/>
                <w:i w:val="0"/>
                <w:iCs w:val="0"/>
                <w:color w:val="auto"/>
                <w:kern w:val="0"/>
                <w:sz w:val="21"/>
                <w:szCs w:val="21"/>
                <w:highlight w:val="none"/>
                <w:u w:val="none"/>
                <w:lang w:val="en-US" w:eastAsia="zh-CN" w:bidi="ar"/>
              </w:rPr>
              <w:t>。</w:t>
            </w:r>
          </w:p>
        </w:tc>
        <w:tc>
          <w:tcPr>
            <w:tcW w:w="732" w:type="dxa"/>
            <w:vMerge w:val="restart"/>
            <w:shd w:val="clear" w:color="auto" w:fill="auto"/>
            <w:vAlign w:val="center"/>
          </w:tcPr>
          <w:p w14:paraId="69B66E34">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5</w:t>
            </w:r>
          </w:p>
        </w:tc>
      </w:tr>
      <w:tr w14:paraId="3AAEE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vMerge w:val="continue"/>
            <w:shd w:val="clear" w:color="auto" w:fill="auto"/>
            <w:vAlign w:val="center"/>
          </w:tcPr>
          <w:p w14:paraId="3B885A47">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1088" w:type="dxa"/>
            <w:vMerge w:val="continue"/>
            <w:shd w:val="clear" w:color="auto" w:fill="auto"/>
            <w:vAlign w:val="center"/>
          </w:tcPr>
          <w:p w14:paraId="6B5DE473">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2565" w:type="dxa"/>
            <w:shd w:val="clear" w:color="auto" w:fill="auto"/>
            <w:vAlign w:val="center"/>
          </w:tcPr>
          <w:p w14:paraId="4ADC721B">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日常开发、运营、维护等节点的流程配置的便捷性、灵活性。</w:t>
            </w:r>
          </w:p>
        </w:tc>
        <w:tc>
          <w:tcPr>
            <w:tcW w:w="3026" w:type="dxa"/>
            <w:shd w:val="clear" w:color="auto" w:fill="auto"/>
            <w:vAlign w:val="center"/>
          </w:tcPr>
          <w:p w14:paraId="4CE0B445">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1.具有完善的流程管控机制；</w:t>
            </w:r>
            <w:r>
              <w:rPr>
                <w:rFonts w:hint="default" w:ascii="Times New Roman" w:hAnsi="Times New Roman" w:eastAsia="宋体" w:cs="Times New Roman"/>
                <w:i w:val="0"/>
                <w:iCs w:val="0"/>
                <w:color w:val="auto"/>
                <w:kern w:val="0"/>
                <w:sz w:val="21"/>
                <w:szCs w:val="21"/>
                <w:highlight w:val="none"/>
                <w:u w:val="none"/>
                <w:lang w:val="en-US" w:eastAsia="zh-CN" w:bidi="ar"/>
              </w:rPr>
              <w:br w:type="textWrapping"/>
            </w:r>
            <w:r>
              <w:rPr>
                <w:rFonts w:hint="default" w:ascii="Times New Roman" w:hAnsi="Times New Roman" w:eastAsia="宋体" w:cs="Times New Roman"/>
                <w:i w:val="0"/>
                <w:iCs w:val="0"/>
                <w:color w:val="auto"/>
                <w:kern w:val="0"/>
                <w:sz w:val="21"/>
                <w:szCs w:val="21"/>
                <w:highlight w:val="none"/>
                <w:u w:val="none"/>
                <w:lang w:val="en-US" w:eastAsia="zh-CN" w:bidi="ar"/>
              </w:rPr>
              <w:t>2.对关键节点、关键操作可设置审批流程管控，可由项目管理员自行灵活配置。</w:t>
            </w:r>
          </w:p>
        </w:tc>
        <w:tc>
          <w:tcPr>
            <w:tcW w:w="732" w:type="dxa"/>
            <w:vMerge w:val="continue"/>
            <w:shd w:val="clear" w:color="auto" w:fill="auto"/>
            <w:vAlign w:val="center"/>
          </w:tcPr>
          <w:p w14:paraId="4BED432C">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r>
      <w:tr w14:paraId="40CBE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vMerge w:val="continue"/>
            <w:shd w:val="clear" w:color="auto" w:fill="auto"/>
            <w:vAlign w:val="center"/>
          </w:tcPr>
          <w:p w14:paraId="121649EE">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1088" w:type="dxa"/>
            <w:vMerge w:val="continue"/>
            <w:shd w:val="clear" w:color="auto" w:fill="auto"/>
            <w:vAlign w:val="center"/>
          </w:tcPr>
          <w:p w14:paraId="42F119EC">
            <w:pPr>
              <w:keepNext w:val="0"/>
              <w:keepLines w:val="0"/>
              <w:pageBreakBefore w:val="0"/>
              <w:widowControl/>
              <w:kinsoku/>
              <w:wordWrap/>
              <w:overflowPunct/>
              <w:topLinePunct w:val="0"/>
              <w:bidi w:val="0"/>
              <w:adjustRightInd/>
              <w:snapToGrid/>
              <w:spacing w:line="400" w:lineRule="exact"/>
              <w:ind w:firstLine="0" w:firstLineChars="0"/>
              <w:jc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2565" w:type="dxa"/>
            <w:shd w:val="clear" w:color="auto" w:fill="auto"/>
            <w:vAlign w:val="center"/>
          </w:tcPr>
          <w:p w14:paraId="4B1A4DAA">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平台</w:t>
            </w:r>
            <w:r>
              <w:rPr>
                <w:rFonts w:hint="eastAsia" w:ascii="Times New Roman" w:hAnsi="Times New Roman" w:cs="Times New Roman"/>
                <w:i w:val="0"/>
                <w:iCs w:val="0"/>
                <w:color w:val="auto"/>
                <w:kern w:val="0"/>
                <w:sz w:val="21"/>
                <w:szCs w:val="21"/>
                <w:highlight w:val="none"/>
                <w:u w:val="none"/>
                <w:lang w:val="en-US" w:eastAsia="zh-CN" w:bidi="ar"/>
              </w:rPr>
              <w:t>数据安全</w:t>
            </w:r>
            <w:r>
              <w:rPr>
                <w:rFonts w:hint="default" w:ascii="Times New Roman" w:hAnsi="Times New Roman" w:eastAsia="宋体" w:cs="Times New Roman"/>
                <w:i w:val="0"/>
                <w:iCs w:val="0"/>
                <w:color w:val="auto"/>
                <w:kern w:val="0"/>
                <w:sz w:val="21"/>
                <w:szCs w:val="21"/>
                <w:highlight w:val="none"/>
                <w:u w:val="none"/>
                <w:lang w:val="en-US" w:eastAsia="zh-CN" w:bidi="ar"/>
              </w:rPr>
              <w:t>管控能力。</w:t>
            </w:r>
          </w:p>
        </w:tc>
        <w:tc>
          <w:tcPr>
            <w:tcW w:w="3026" w:type="dxa"/>
            <w:shd w:val="clear" w:color="auto" w:fill="auto"/>
            <w:vAlign w:val="center"/>
          </w:tcPr>
          <w:p w14:paraId="54927AD1">
            <w:pPr>
              <w:keepNext w:val="0"/>
              <w:keepLines w:val="0"/>
              <w:pageBreakBefore w:val="0"/>
              <w:widowControl/>
              <w:numPr>
                <w:ilvl w:val="0"/>
                <w:numId w:val="33"/>
              </w:numPr>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前台页面查看数据支持掩码遮蔽处理</w:t>
            </w:r>
            <w:r>
              <w:rPr>
                <w:rFonts w:hint="eastAsia" w:ascii="Times New Roman" w:hAnsi="Times New Roman" w:cs="Times New Roman"/>
                <w:i w:val="0"/>
                <w:iCs w:val="0"/>
                <w:color w:val="auto"/>
                <w:kern w:val="0"/>
                <w:sz w:val="21"/>
                <w:szCs w:val="21"/>
                <w:highlight w:val="none"/>
                <w:u w:val="none"/>
                <w:lang w:val="en-US" w:eastAsia="zh-CN" w:bidi="ar"/>
              </w:rPr>
              <w:t>。</w:t>
            </w:r>
          </w:p>
        </w:tc>
        <w:tc>
          <w:tcPr>
            <w:tcW w:w="732" w:type="dxa"/>
            <w:vMerge w:val="continue"/>
            <w:shd w:val="clear" w:color="auto" w:fill="auto"/>
            <w:vAlign w:val="center"/>
          </w:tcPr>
          <w:p w14:paraId="44CF8C3E">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r>
      <w:tr w14:paraId="68596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vMerge w:val="continue"/>
            <w:shd w:val="clear" w:color="auto" w:fill="auto"/>
            <w:vAlign w:val="center"/>
          </w:tcPr>
          <w:p w14:paraId="497C37EF">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1088" w:type="dxa"/>
            <w:shd w:val="clear" w:color="auto" w:fill="auto"/>
            <w:vAlign w:val="center"/>
          </w:tcPr>
          <w:p w14:paraId="1549D1EB">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数据迁移场景</w:t>
            </w:r>
          </w:p>
        </w:tc>
        <w:tc>
          <w:tcPr>
            <w:tcW w:w="2565" w:type="dxa"/>
            <w:shd w:val="clear" w:color="auto" w:fill="auto"/>
            <w:vAlign w:val="center"/>
          </w:tcPr>
          <w:p w14:paraId="0C72A892">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分别将Hive、HBase、Oracle的各5张表迁移至数据湖。</w:t>
            </w:r>
          </w:p>
        </w:tc>
        <w:tc>
          <w:tcPr>
            <w:tcW w:w="3026" w:type="dxa"/>
            <w:shd w:val="clear" w:color="auto" w:fill="auto"/>
            <w:vAlign w:val="center"/>
          </w:tcPr>
          <w:p w14:paraId="0C4BCBDD">
            <w:pPr>
              <w:keepNext w:val="0"/>
              <w:keepLines w:val="0"/>
              <w:pageBreakBefore w:val="0"/>
              <w:widowControl/>
              <w:numPr>
                <w:ilvl w:val="0"/>
                <w:numId w:val="34"/>
              </w:numPr>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通过图形化界面进行数据迁移</w:t>
            </w:r>
            <w:r>
              <w:rPr>
                <w:rFonts w:hint="default" w:ascii="Times New Roman" w:hAnsi="Times New Roman" w:eastAsia="宋体" w:cs="Times New Roman"/>
                <w:i w:val="0"/>
                <w:iCs w:val="0"/>
                <w:color w:val="auto"/>
                <w:kern w:val="0"/>
                <w:sz w:val="21"/>
                <w:szCs w:val="21"/>
                <w:highlight w:val="none"/>
                <w:u w:val="none"/>
                <w:lang w:val="en-US" w:eastAsia="zh-CN" w:bidi="ar"/>
              </w:rPr>
              <w:t>；</w:t>
            </w:r>
          </w:p>
          <w:p w14:paraId="5C8AF786">
            <w:pPr>
              <w:keepNext w:val="0"/>
              <w:keepLines w:val="0"/>
              <w:pageBreakBefore w:val="0"/>
              <w:widowControl/>
              <w:numPr>
                <w:ilvl w:val="0"/>
                <w:numId w:val="34"/>
              </w:numPr>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数据能够高效的迁移至数据湖；</w:t>
            </w:r>
          </w:p>
          <w:p w14:paraId="1629199F">
            <w:pPr>
              <w:keepNext w:val="0"/>
              <w:keepLines w:val="0"/>
              <w:pageBreakBefore w:val="0"/>
              <w:widowControl/>
              <w:numPr>
                <w:ilvl w:val="0"/>
                <w:numId w:val="34"/>
              </w:numPr>
              <w:suppressLineNumbers w:val="0"/>
              <w:kinsoku/>
              <w:wordWrap/>
              <w:overflowPunct/>
              <w:topLinePunct w:val="0"/>
              <w:bidi w:val="0"/>
              <w:adjustRightInd/>
              <w:snapToGrid/>
              <w:spacing w:line="400" w:lineRule="exact"/>
              <w:ind w:firstLine="0" w:firstLineChars="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数据迁移后，数据存储结构和数据压缩合理</w:t>
            </w: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732" w:type="dxa"/>
            <w:shd w:val="clear" w:color="auto" w:fill="auto"/>
            <w:vAlign w:val="center"/>
          </w:tcPr>
          <w:p w14:paraId="60CD318E">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7</w:t>
            </w:r>
          </w:p>
        </w:tc>
      </w:tr>
      <w:tr w14:paraId="0FEBA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8" w:type="dxa"/>
            <w:gridSpan w:val="4"/>
            <w:shd w:val="clear" w:color="auto" w:fill="auto"/>
            <w:vAlign w:val="center"/>
          </w:tcPr>
          <w:p w14:paraId="6B350FA3">
            <w:pPr>
              <w:keepNext w:val="0"/>
              <w:keepLines w:val="0"/>
              <w:pageBreakBefore w:val="0"/>
              <w:widowControl/>
              <w:numPr>
                <w:ilvl w:val="0"/>
                <w:numId w:val="0"/>
              </w:numPr>
              <w:suppressLineNumbers w:val="0"/>
              <w:kinsoku/>
              <w:wordWrap/>
              <w:overflowPunct/>
              <w:topLinePunct w:val="0"/>
              <w:bidi w:val="0"/>
              <w:adjustRightInd/>
              <w:snapToGrid/>
              <w:spacing w:line="400" w:lineRule="exact"/>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合计</w:t>
            </w:r>
          </w:p>
        </w:tc>
        <w:tc>
          <w:tcPr>
            <w:tcW w:w="732" w:type="dxa"/>
            <w:shd w:val="clear" w:color="auto" w:fill="auto"/>
            <w:vAlign w:val="center"/>
          </w:tcPr>
          <w:p w14:paraId="4F7231D9">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100</w:t>
            </w:r>
          </w:p>
        </w:tc>
      </w:tr>
      <w:bookmarkEnd w:id="75"/>
    </w:tbl>
    <w:p w14:paraId="33534E3F">
      <w:pPr>
        <w:pStyle w:val="4"/>
        <w:keepNext w:val="0"/>
        <w:keepLines w:val="0"/>
        <w:pageBreakBefore w:val="0"/>
        <w:widowControl w:val="0"/>
        <w:numPr>
          <w:ilvl w:val="0"/>
          <w:numId w:val="18"/>
        </w:numPr>
        <w:kinsoku/>
        <w:wordWrap/>
        <w:overflowPunct/>
        <w:topLinePunct w:val="0"/>
        <w:autoSpaceDE w:val="0"/>
        <w:autoSpaceDN w:val="0"/>
        <w:bidi w:val="0"/>
        <w:adjustRightInd/>
        <w:snapToGrid/>
        <w:ind w:left="363" w:leftChars="0" w:hanging="363" w:firstLineChars="0"/>
        <w:textAlignment w:val="auto"/>
        <w:outlineLvl w:val="2"/>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POC评分规则</w:t>
      </w:r>
    </w:p>
    <w:p w14:paraId="60782405">
      <w:pPr>
        <w:keepNext w:val="0"/>
        <w:keepLines w:val="0"/>
        <w:pageBreakBefore w:val="0"/>
        <w:widowControl w:val="0"/>
        <w:kinsoku/>
        <w:wordWrap/>
        <w:overflowPunct/>
        <w:topLinePunct w:val="0"/>
        <w:autoSpaceDE w:val="0"/>
        <w:autoSpaceDN w:val="0"/>
        <w:bidi w:val="0"/>
        <w:adjustRightInd/>
        <w:snapToGrid/>
        <w:spacing w:after="157" w:afterLines="50"/>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比选人将根据参选人的测试情况综合评定各场景得分。参选人测试总得分由各场景得分相加（保留两位小数，4舍5入），具体的评分规则为：各场景得分=各场景标准分值*评分系数。具体的测试结果与评分系数对照关系如下表所示：</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1"/>
        <w:gridCol w:w="5211"/>
      </w:tblGrid>
      <w:tr w14:paraId="7426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1" w:type="dxa"/>
            <w:shd w:val="clear" w:color="auto" w:fill="BEBEBE" w:themeFill="background1" w:themeFillShade="BF"/>
            <w:vAlign w:val="center"/>
          </w:tcPr>
          <w:p w14:paraId="283892A2">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cs="Times New Roman"/>
                <w:b/>
                <w:bCs/>
                <w:color w:val="auto"/>
                <w:sz w:val="21"/>
                <w:szCs w:val="21"/>
                <w:highlight w:val="none"/>
                <w:vertAlign w:val="baseline"/>
                <w:lang w:val="en-US" w:eastAsia="zh-CN"/>
              </w:rPr>
            </w:pPr>
            <w:r>
              <w:rPr>
                <w:rFonts w:hint="default" w:ascii="Times New Roman" w:hAnsi="Times New Roman" w:cs="Times New Roman"/>
                <w:b/>
                <w:bCs/>
                <w:color w:val="auto"/>
                <w:sz w:val="21"/>
                <w:szCs w:val="21"/>
                <w:highlight w:val="none"/>
                <w:vertAlign w:val="baseline"/>
                <w:lang w:val="en-US" w:eastAsia="zh-CN"/>
              </w:rPr>
              <w:t>测试结果</w:t>
            </w:r>
          </w:p>
        </w:tc>
        <w:tc>
          <w:tcPr>
            <w:tcW w:w="5211" w:type="dxa"/>
            <w:shd w:val="clear" w:color="auto" w:fill="BEBEBE" w:themeFill="background1" w:themeFillShade="BF"/>
            <w:vAlign w:val="center"/>
          </w:tcPr>
          <w:p w14:paraId="48A68201">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cs="Times New Roman"/>
                <w:b/>
                <w:bCs/>
                <w:color w:val="auto"/>
                <w:sz w:val="21"/>
                <w:szCs w:val="21"/>
                <w:highlight w:val="none"/>
                <w:vertAlign w:val="baseline"/>
                <w:lang w:val="en-US" w:eastAsia="zh-CN"/>
              </w:rPr>
            </w:pPr>
            <w:r>
              <w:rPr>
                <w:rFonts w:hint="default" w:ascii="Times New Roman" w:hAnsi="Times New Roman" w:cs="Times New Roman"/>
                <w:b/>
                <w:bCs/>
                <w:color w:val="auto"/>
                <w:sz w:val="21"/>
                <w:szCs w:val="21"/>
                <w:highlight w:val="none"/>
                <w:vertAlign w:val="baseline"/>
                <w:lang w:val="en-US" w:eastAsia="zh-CN"/>
              </w:rPr>
              <w:t>评分系数</w:t>
            </w:r>
          </w:p>
        </w:tc>
      </w:tr>
      <w:tr w14:paraId="19FE5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1" w:type="dxa"/>
            <w:vAlign w:val="center"/>
          </w:tcPr>
          <w:p w14:paraId="4689AC32">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满足</w:t>
            </w:r>
          </w:p>
        </w:tc>
        <w:tc>
          <w:tcPr>
            <w:tcW w:w="5211" w:type="dxa"/>
            <w:vAlign w:val="center"/>
          </w:tcPr>
          <w:p w14:paraId="22BFB75B">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1.0</w:t>
            </w:r>
          </w:p>
        </w:tc>
      </w:tr>
      <w:tr w14:paraId="3C8A1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1" w:type="dxa"/>
            <w:vAlign w:val="center"/>
          </w:tcPr>
          <w:p w14:paraId="66D7ECED">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部分满足</w:t>
            </w:r>
          </w:p>
        </w:tc>
        <w:tc>
          <w:tcPr>
            <w:tcW w:w="5211" w:type="dxa"/>
            <w:vAlign w:val="center"/>
          </w:tcPr>
          <w:p w14:paraId="7C2E5044">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0.1-0.9（根据测试情况综合评定）</w:t>
            </w:r>
          </w:p>
        </w:tc>
      </w:tr>
      <w:tr w14:paraId="58B75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1" w:type="dxa"/>
            <w:vAlign w:val="center"/>
          </w:tcPr>
          <w:p w14:paraId="0E48453A">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不满足</w:t>
            </w:r>
          </w:p>
        </w:tc>
        <w:tc>
          <w:tcPr>
            <w:tcW w:w="5211" w:type="dxa"/>
            <w:vAlign w:val="center"/>
          </w:tcPr>
          <w:p w14:paraId="55DDBF8C">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0</w:t>
            </w:r>
          </w:p>
        </w:tc>
      </w:tr>
    </w:tbl>
    <w:p w14:paraId="79FBBDAB">
      <w:pPr>
        <w:rPr>
          <w:rFonts w:hint="eastAsia" w:ascii="Times New Roman" w:hAnsi="Times New Roman" w:cs="Times New Roman"/>
          <w:color w:val="auto"/>
          <w:sz w:val="44"/>
          <w:szCs w:val="44"/>
          <w:highlight w:val="none"/>
          <w:lang w:val="en-US" w:eastAsia="zh-CN"/>
        </w:rPr>
      </w:pPr>
      <w:r>
        <w:rPr>
          <w:rFonts w:hint="eastAsia" w:ascii="Times New Roman" w:hAnsi="Times New Roman" w:cs="Times New Roman"/>
          <w:color w:val="auto"/>
          <w:sz w:val="44"/>
          <w:szCs w:val="44"/>
          <w:highlight w:val="none"/>
          <w:lang w:val="en-US" w:eastAsia="zh-CN"/>
        </w:rPr>
        <w:br w:type="page"/>
      </w:r>
    </w:p>
    <w:p w14:paraId="17D268F9">
      <w:pPr>
        <w:pStyle w:val="3"/>
        <w:rPr>
          <w:rFonts w:hint="eastAsia"/>
          <w:color w:val="auto"/>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8186B7F">
      <w:pPr>
        <w:pStyle w:val="3"/>
        <w:keepNext w:val="0"/>
        <w:keepLines w:val="0"/>
        <w:pageBreakBefore w:val="0"/>
        <w:widowControl w:val="0"/>
        <w:tabs>
          <w:tab w:val="left" w:pos="3360"/>
        </w:tabs>
        <w:kinsoku/>
        <w:wordWrap/>
        <w:overflowPunct/>
        <w:topLinePunct w:val="0"/>
        <w:autoSpaceDE w:val="0"/>
        <w:autoSpaceDN w:val="0"/>
        <w:bidi w:val="0"/>
        <w:adjustRightInd/>
        <w:snapToGrid w:val="0"/>
        <w:jc w:val="left"/>
        <w:textAlignment w:val="auto"/>
        <w:outlineLvl w:val="1"/>
        <w:rPr>
          <w:rFonts w:hint="default" w:ascii="Times New Roman" w:hAnsi="Times New Roman" w:cs="Times New Roman"/>
          <w:color w:val="auto"/>
          <w:sz w:val="44"/>
          <w:szCs w:val="44"/>
          <w:highlight w:val="none"/>
          <w:lang w:val="en-US" w:eastAsia="zh-CN"/>
        </w:rPr>
      </w:pPr>
      <w:r>
        <w:rPr>
          <w:rFonts w:hint="eastAsia" w:ascii="Times New Roman" w:hAnsi="Times New Roman" w:cs="Times New Roman"/>
          <w:color w:val="auto"/>
          <w:sz w:val="44"/>
          <w:szCs w:val="44"/>
          <w:highlight w:val="none"/>
          <w:lang w:val="en-US" w:eastAsia="zh-CN"/>
        </w:rPr>
        <w:t>附件三</w:t>
      </w:r>
    </w:p>
    <w:p w14:paraId="439036C8">
      <w:pPr>
        <w:rPr>
          <w:rFonts w:hint="eastAsia" w:ascii="Times New Roman" w:hAnsi="Times New Roman" w:cs="Times New Roman"/>
          <w:color w:val="auto"/>
          <w:highlight w:val="none"/>
          <w:lang w:val="en-US" w:eastAsia="zh-CN"/>
        </w:rPr>
      </w:pPr>
    </w:p>
    <w:p w14:paraId="5577E537">
      <w:pPr>
        <w:keepNext w:val="0"/>
        <w:keepLines w:val="0"/>
        <w:pageBreakBefore w:val="0"/>
        <w:widowControl w:val="0"/>
        <w:kinsoku/>
        <w:wordWrap/>
        <w:overflowPunct/>
        <w:topLinePunct w:val="0"/>
        <w:autoSpaceDE w:val="0"/>
        <w:autoSpaceDN w:val="0"/>
        <w:bidi w:val="0"/>
        <w:adjustRightInd/>
        <w:snapToGrid/>
        <w:spacing w:line="720" w:lineRule="auto"/>
        <w:ind w:firstLine="0" w:firstLineChars="0"/>
        <w:jc w:val="center"/>
        <w:textAlignment w:val="auto"/>
        <w:outlineLvl w:val="9"/>
        <w:rPr>
          <w:rFonts w:hint="default" w:ascii="Times New Roman" w:hAnsi="Times New Roman" w:eastAsia="宋体" w:cs="Times New Roman"/>
          <w:b/>
          <w:bCs/>
          <w:color w:val="auto"/>
          <w:sz w:val="48"/>
          <w:szCs w:val="48"/>
          <w:highlight w:val="none"/>
        </w:rPr>
      </w:pPr>
      <w:r>
        <w:rPr>
          <w:rFonts w:hint="default" w:ascii="Times New Roman" w:hAnsi="Times New Roman" w:eastAsia="宋体" w:cs="Times New Roman"/>
          <w:b/>
          <w:bCs/>
          <w:color w:val="auto"/>
          <w:sz w:val="48"/>
          <w:szCs w:val="48"/>
          <w:highlight w:val="none"/>
        </w:rPr>
        <w:t>重庆三峡银行</w:t>
      </w:r>
    </w:p>
    <w:p w14:paraId="6BE302EA">
      <w:pPr>
        <w:keepNext w:val="0"/>
        <w:keepLines w:val="0"/>
        <w:pageBreakBefore w:val="0"/>
        <w:widowControl w:val="0"/>
        <w:kinsoku/>
        <w:wordWrap/>
        <w:overflowPunct/>
        <w:topLinePunct w:val="0"/>
        <w:autoSpaceDE w:val="0"/>
        <w:autoSpaceDN w:val="0"/>
        <w:bidi w:val="0"/>
        <w:adjustRightInd/>
        <w:snapToGrid/>
        <w:spacing w:line="720" w:lineRule="auto"/>
        <w:ind w:firstLine="0" w:firstLineChars="0"/>
        <w:jc w:val="center"/>
        <w:textAlignment w:val="auto"/>
        <w:outlineLvl w:val="9"/>
        <w:rPr>
          <w:rFonts w:hint="default" w:ascii="Times New Roman" w:hAnsi="Times New Roman" w:eastAsia="宋体" w:cs="Times New Roman"/>
          <w:b/>
          <w:bCs/>
          <w:color w:val="auto"/>
          <w:sz w:val="48"/>
          <w:szCs w:val="48"/>
          <w:highlight w:val="none"/>
          <w:lang w:val="en-US" w:eastAsia="zh-CN"/>
        </w:rPr>
      </w:pPr>
      <w:r>
        <w:rPr>
          <w:rFonts w:hint="default" w:ascii="Times New Roman" w:hAnsi="Times New Roman" w:eastAsia="宋体" w:cs="Times New Roman"/>
          <w:b/>
          <w:bCs/>
          <w:color w:val="auto"/>
          <w:sz w:val="48"/>
          <w:szCs w:val="48"/>
          <w:highlight w:val="none"/>
          <w:lang w:val="en-US" w:eastAsia="zh-CN"/>
        </w:rPr>
        <w:t>新一代数据中台项目（一期）</w:t>
      </w:r>
    </w:p>
    <w:p w14:paraId="38C2B506">
      <w:pPr>
        <w:keepNext w:val="0"/>
        <w:keepLines w:val="0"/>
        <w:pageBreakBefore w:val="0"/>
        <w:widowControl w:val="0"/>
        <w:kinsoku/>
        <w:wordWrap/>
        <w:overflowPunct/>
        <w:topLinePunct w:val="0"/>
        <w:autoSpaceDE w:val="0"/>
        <w:autoSpaceDN w:val="0"/>
        <w:bidi w:val="0"/>
        <w:adjustRightInd/>
        <w:snapToGrid/>
        <w:spacing w:line="720" w:lineRule="auto"/>
        <w:ind w:firstLine="0" w:firstLineChars="0"/>
        <w:jc w:val="center"/>
        <w:textAlignment w:val="auto"/>
        <w:outlineLvl w:val="9"/>
        <w:rPr>
          <w:rFonts w:hint="default" w:ascii="Times New Roman" w:hAnsi="Times New Roman" w:eastAsia="宋体" w:cs="Times New Roman"/>
          <w:b/>
          <w:bCs/>
          <w:color w:val="auto"/>
          <w:sz w:val="48"/>
          <w:szCs w:val="48"/>
          <w:highlight w:val="none"/>
        </w:rPr>
      </w:pPr>
      <w:r>
        <w:rPr>
          <w:rFonts w:hint="eastAsia" w:ascii="Times New Roman" w:hAnsi="Times New Roman" w:cs="Times New Roman"/>
          <w:b/>
          <w:bCs/>
          <w:color w:val="auto"/>
          <w:sz w:val="48"/>
          <w:szCs w:val="48"/>
          <w:highlight w:val="none"/>
          <w:lang w:val="en-US" w:eastAsia="zh-CN"/>
        </w:rPr>
        <w:t>验收标准</w:t>
      </w:r>
    </w:p>
    <w:p w14:paraId="47D89965">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outlineLvl w:val="9"/>
        <w:rPr>
          <w:rFonts w:hint="default" w:ascii="Times New Roman" w:hAnsi="Times New Roman" w:eastAsia="宋体" w:cs="Times New Roman"/>
          <w:b/>
          <w:bCs/>
          <w:color w:val="auto"/>
          <w:sz w:val="48"/>
          <w:szCs w:val="48"/>
          <w:highlight w:val="none"/>
        </w:rPr>
      </w:pPr>
    </w:p>
    <w:p w14:paraId="6CEB8313">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outlineLvl w:val="9"/>
        <w:rPr>
          <w:rFonts w:hint="default" w:ascii="Times New Roman" w:hAnsi="Times New Roman" w:eastAsia="宋体" w:cs="Times New Roman"/>
          <w:b/>
          <w:bCs/>
          <w:color w:val="auto"/>
          <w:sz w:val="48"/>
          <w:szCs w:val="48"/>
          <w:highlight w:val="none"/>
        </w:rPr>
      </w:pPr>
      <w:r>
        <w:rPr>
          <w:color w:val="auto"/>
          <w:highlight w:val="none"/>
        </w:rPr>
        <w:drawing>
          <wp:anchor distT="0" distB="0" distL="114300" distR="114300" simplePos="0" relativeHeight="251661312" behindDoc="0" locked="0" layoutInCell="1" allowOverlap="1">
            <wp:simplePos x="0" y="0"/>
            <wp:positionH relativeFrom="column">
              <wp:posOffset>1241425</wp:posOffset>
            </wp:positionH>
            <wp:positionV relativeFrom="paragraph">
              <wp:posOffset>90170</wp:posOffset>
            </wp:positionV>
            <wp:extent cx="2680970" cy="541655"/>
            <wp:effectExtent l="0" t="0" r="6985" b="0"/>
            <wp:wrapTopAndBottom/>
            <wp:docPr id="5" name="Picture 2" descr="https://www.ccqtgb.com/upload/cn/image/2021-08/col70/16283044721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https://www.ccqtgb.com/upload/cn/image/2021-08/col70/1628304472124.png"/>
                    <pic:cNvPicPr>
                      <a:picLocks noChangeAspect="1" noChangeArrowheads="1"/>
                    </pic:cNvPicPr>
                  </pic:nvPicPr>
                  <pic:blipFill>
                    <a:blip r:embed="rId12">
                      <a:extLst>
                        <a:ext uri="{28A0092B-C50C-407E-A947-70E740481C1C}">
                          <a14:useLocalDpi xmlns:a14="http://schemas.microsoft.com/office/drawing/2010/main" val="0"/>
                        </a:ext>
                      </a:extLst>
                    </a:blip>
                    <a:srcRect r="31570" b="-7312"/>
                    <a:stretch>
                      <a:fillRect/>
                    </a:stretch>
                  </pic:blipFill>
                  <pic:spPr>
                    <a:xfrm>
                      <a:off x="0" y="0"/>
                      <a:ext cx="2680970" cy="541655"/>
                    </a:xfrm>
                    <a:prstGeom prst="rect">
                      <a:avLst/>
                    </a:prstGeom>
                    <a:noFill/>
                  </pic:spPr>
                </pic:pic>
              </a:graphicData>
            </a:graphic>
          </wp:anchor>
        </w:drawing>
      </w:r>
    </w:p>
    <w:p w14:paraId="7CDB81C3">
      <w:pPr>
        <w:keepNext w:val="0"/>
        <w:keepLines w:val="0"/>
        <w:pageBreakBefore w:val="0"/>
        <w:widowControl w:val="0"/>
        <w:kinsoku/>
        <w:wordWrap/>
        <w:overflowPunct/>
        <w:topLinePunct w:val="0"/>
        <w:autoSpaceDE w:val="0"/>
        <w:autoSpaceDN w:val="0"/>
        <w:bidi w:val="0"/>
        <w:adjustRightInd/>
        <w:snapToGrid/>
        <w:ind w:left="0" w:firstLine="0" w:firstLineChars="0"/>
        <w:jc w:val="center"/>
        <w:textAlignment w:val="auto"/>
        <w:rPr>
          <w:rFonts w:hint="default" w:ascii="Times New Roman" w:hAnsi="Times New Roman" w:eastAsia="宋体" w:cs="Times New Roman"/>
          <w:b/>
          <w:bCs/>
          <w:color w:val="auto"/>
          <w:sz w:val="48"/>
          <w:szCs w:val="48"/>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D394C2F">
      <w:pPr>
        <w:pStyle w:val="4"/>
        <w:keepNext w:val="0"/>
        <w:keepLines w:val="0"/>
        <w:pageBreakBefore w:val="0"/>
        <w:widowControl w:val="0"/>
        <w:numPr>
          <w:ilvl w:val="0"/>
          <w:numId w:val="35"/>
        </w:numPr>
        <w:kinsoku/>
        <w:wordWrap/>
        <w:overflowPunct/>
        <w:topLinePunct w:val="0"/>
        <w:autoSpaceDE w:val="0"/>
        <w:autoSpaceDN w:val="0"/>
        <w:bidi w:val="0"/>
        <w:adjustRightInd/>
        <w:snapToGrid/>
        <w:ind w:left="363" w:leftChars="0" w:hanging="363" w:firstLineChars="0"/>
        <w:textAlignment w:val="auto"/>
        <w:outlineLvl w:val="2"/>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验收总体要求</w:t>
      </w:r>
    </w:p>
    <w:p w14:paraId="48E7FC77">
      <w:pP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项目将按照产品服务和项目实施两个方面分项及整体情况进行评估，并按照合同约定和SLA（以合同为准）的要求进行验收和结算；验收考核指标分为定性和定量两种，定量要求需要指标不低于相关要求，定性要求将结合整体情况进行综合评估考核，根据总体情况确认验收结果。</w:t>
      </w:r>
    </w:p>
    <w:p w14:paraId="3376F797">
      <w:pPr>
        <w:pStyle w:val="4"/>
        <w:keepNext w:val="0"/>
        <w:keepLines w:val="0"/>
        <w:pageBreakBefore w:val="0"/>
        <w:widowControl w:val="0"/>
        <w:numPr>
          <w:ilvl w:val="0"/>
          <w:numId w:val="35"/>
        </w:numPr>
        <w:kinsoku/>
        <w:wordWrap/>
        <w:overflowPunct/>
        <w:topLinePunct w:val="0"/>
        <w:autoSpaceDE w:val="0"/>
        <w:autoSpaceDN w:val="0"/>
        <w:bidi w:val="0"/>
        <w:adjustRightInd/>
        <w:snapToGrid/>
        <w:ind w:left="363" w:leftChars="0" w:hanging="363" w:firstLineChars="0"/>
        <w:textAlignment w:val="auto"/>
        <w:outlineLvl w:val="2"/>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具体验收要求</w:t>
      </w:r>
    </w:p>
    <w:tbl>
      <w:tblPr>
        <w:tblStyle w:val="22"/>
        <w:tblW w:w="8399" w:type="dxa"/>
        <w:tblInd w:w="9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Layout w:type="fixed"/>
        <w:tblCellMar>
          <w:top w:w="0" w:type="dxa"/>
          <w:left w:w="108" w:type="dxa"/>
          <w:bottom w:w="0" w:type="dxa"/>
          <w:right w:w="108" w:type="dxa"/>
        </w:tblCellMar>
      </w:tblPr>
      <w:tblGrid>
        <w:gridCol w:w="1314"/>
        <w:gridCol w:w="1529"/>
        <w:gridCol w:w="5556"/>
      </w:tblGrid>
      <w:tr w14:paraId="70AA9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610" w:hRule="atLeast"/>
        </w:trPr>
        <w:tc>
          <w:tcPr>
            <w:tcW w:w="1314" w:type="dxa"/>
            <w:tcBorders>
              <w:tl2br w:val="nil"/>
              <w:tr2bl w:val="nil"/>
            </w:tcBorders>
            <w:shd w:val="clear" w:color="auto" w:fill="A4A4A4" w:themeFill="background1" w:themeFillShade="A5"/>
            <w:vAlign w:val="center"/>
          </w:tcPr>
          <w:p w14:paraId="70FEAFF4">
            <w:pPr>
              <w:keepNext w:val="0"/>
              <w:keepLines w:val="0"/>
              <w:widowControl/>
              <w:suppressLineNumbers w:val="0"/>
              <w:autoSpaceDE/>
              <w:autoSpaceDN/>
              <w:spacing w:line="400" w:lineRule="exact"/>
              <w:ind w:firstLine="0" w:firstLineChars="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sz w:val="21"/>
                <w:szCs w:val="21"/>
                <w:highlight w:val="none"/>
                <w:u w:val="none"/>
              </w:rPr>
              <w:t>验收子项目</w:t>
            </w:r>
          </w:p>
        </w:tc>
        <w:tc>
          <w:tcPr>
            <w:tcW w:w="1529" w:type="dxa"/>
            <w:tcBorders>
              <w:tl2br w:val="nil"/>
              <w:tr2bl w:val="nil"/>
            </w:tcBorders>
            <w:shd w:val="clear" w:color="auto" w:fill="A4A4A4" w:themeFill="background1" w:themeFillShade="A5"/>
            <w:vAlign w:val="center"/>
          </w:tcPr>
          <w:p w14:paraId="7A8EB39D">
            <w:pPr>
              <w:keepNext w:val="0"/>
              <w:keepLines w:val="0"/>
              <w:widowControl/>
              <w:suppressLineNumbers w:val="0"/>
              <w:autoSpaceDE/>
              <w:autoSpaceDN/>
              <w:spacing w:line="400" w:lineRule="exact"/>
              <w:ind w:firstLine="0" w:firstLineChars="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验收要求分类</w:t>
            </w:r>
          </w:p>
        </w:tc>
        <w:tc>
          <w:tcPr>
            <w:tcW w:w="5556" w:type="dxa"/>
            <w:tcBorders>
              <w:tl2br w:val="nil"/>
              <w:tr2bl w:val="nil"/>
            </w:tcBorders>
            <w:shd w:val="clear" w:color="auto" w:fill="A4A4A4" w:themeFill="background1" w:themeFillShade="A5"/>
            <w:vAlign w:val="center"/>
          </w:tcPr>
          <w:p w14:paraId="6A9280A7">
            <w:pPr>
              <w:keepNext w:val="0"/>
              <w:keepLines w:val="0"/>
              <w:widowControl/>
              <w:suppressLineNumbers w:val="0"/>
              <w:autoSpaceDE/>
              <w:autoSpaceDN/>
              <w:spacing w:line="400" w:lineRule="exact"/>
              <w:ind w:firstLine="0" w:firstLineChars="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具体验收要求</w:t>
            </w:r>
          </w:p>
        </w:tc>
      </w:tr>
      <w:tr w14:paraId="53ACC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5" w:hRule="atLeast"/>
        </w:trPr>
        <w:tc>
          <w:tcPr>
            <w:tcW w:w="1314" w:type="dxa"/>
            <w:vMerge w:val="restart"/>
            <w:tcBorders>
              <w:tl2br w:val="nil"/>
              <w:tr2bl w:val="nil"/>
            </w:tcBorders>
            <w:shd w:val="clear" w:color="auto" w:fill="auto"/>
            <w:vAlign w:val="center"/>
          </w:tcPr>
          <w:p w14:paraId="42FBEB27">
            <w:pPr>
              <w:keepNext w:val="0"/>
              <w:keepLines w:val="0"/>
              <w:widowControl/>
              <w:suppressLineNumbers w:val="0"/>
              <w:autoSpaceDE/>
              <w:autoSpaceDN/>
              <w:spacing w:line="400" w:lineRule="exact"/>
              <w:ind w:firstLine="0" w:firstLineChars="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湖仓一体底座</w:t>
            </w:r>
          </w:p>
        </w:tc>
        <w:tc>
          <w:tcPr>
            <w:tcW w:w="1529" w:type="dxa"/>
            <w:vMerge w:val="restart"/>
            <w:tcBorders>
              <w:tl2br w:val="nil"/>
              <w:tr2bl w:val="nil"/>
            </w:tcBorders>
            <w:shd w:val="clear" w:color="auto" w:fill="auto"/>
            <w:vAlign w:val="center"/>
          </w:tcPr>
          <w:p w14:paraId="34F05C55">
            <w:pPr>
              <w:keepNext w:val="0"/>
              <w:keepLines w:val="0"/>
              <w:widowControl/>
              <w:suppressLineNumbers w:val="0"/>
              <w:autoSpaceDE/>
              <w:autoSpaceDN/>
              <w:spacing w:line="400" w:lineRule="exact"/>
              <w:ind w:firstLine="0" w:firstLineChars="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功能要求</w:t>
            </w:r>
          </w:p>
        </w:tc>
        <w:tc>
          <w:tcPr>
            <w:tcW w:w="5556" w:type="dxa"/>
            <w:tcBorders>
              <w:tl2br w:val="nil"/>
              <w:tr2bl w:val="nil"/>
            </w:tcBorders>
            <w:shd w:val="clear" w:color="auto" w:fill="auto"/>
            <w:vAlign w:val="center"/>
          </w:tcPr>
          <w:p w14:paraId="08CC5C8A">
            <w:pPr>
              <w:keepNext w:val="0"/>
              <w:keepLines w:val="0"/>
              <w:widowControl/>
              <w:suppressLineNumbers w:val="0"/>
              <w:autoSpaceDE/>
              <w:autoSpaceDN/>
              <w:spacing w:line="400" w:lineRule="exact"/>
              <w:ind w:firstLine="0" w:firstLineChars="0"/>
              <w:jc w:val="left"/>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基础能力</w:t>
            </w:r>
            <w:r>
              <w:rPr>
                <w:rFonts w:hint="eastAsia" w:ascii="Times New Roman" w:hAnsi="Times New Roman" w:cs="Times New Roman"/>
                <w:b w:val="0"/>
                <w:bCs w:val="0"/>
                <w:i w:val="0"/>
                <w:iCs w:val="0"/>
                <w:color w:val="auto"/>
                <w:kern w:val="0"/>
                <w:sz w:val="21"/>
                <w:szCs w:val="21"/>
                <w:highlight w:val="none"/>
                <w:u w:val="none"/>
                <w:lang w:val="en-US" w:eastAsia="zh-CN" w:bidi="ar"/>
              </w:rPr>
              <w:t>，</w:t>
            </w:r>
            <w:r>
              <w:rPr>
                <w:rFonts w:hint="default" w:ascii="Times New Roman" w:hAnsi="Times New Roman" w:cs="Times New Roman"/>
                <w:color w:val="auto"/>
                <w:sz w:val="21"/>
                <w:szCs w:val="21"/>
                <w:highlight w:val="none"/>
                <w:vertAlign w:val="baseline"/>
                <w:lang w:val="en-US" w:eastAsia="zh-CN"/>
              </w:rPr>
              <w:t>以</w:t>
            </w:r>
            <w:r>
              <w:rPr>
                <w:rFonts w:hint="eastAsia" w:ascii="Times New Roman" w:hAnsi="Times New Roman" w:cs="Times New Roman"/>
                <w:color w:val="auto"/>
                <w:sz w:val="21"/>
                <w:szCs w:val="21"/>
                <w:highlight w:val="none"/>
                <w:vertAlign w:val="baseline"/>
                <w:lang w:val="en-US" w:eastAsia="zh-CN"/>
              </w:rPr>
              <w:t>分布式大数据技术体系</w:t>
            </w:r>
            <w:r>
              <w:rPr>
                <w:rFonts w:hint="default" w:ascii="Times New Roman" w:hAnsi="Times New Roman" w:cs="Times New Roman"/>
                <w:color w:val="auto"/>
                <w:sz w:val="21"/>
                <w:szCs w:val="21"/>
                <w:highlight w:val="none"/>
                <w:vertAlign w:val="baseline"/>
                <w:lang w:val="en-US" w:eastAsia="zh-CN"/>
              </w:rPr>
              <w:t>为主，湖仓一体、批流融合为核心架构，满足各场景对数据处理和数据时效性的要求；</w:t>
            </w:r>
          </w:p>
        </w:tc>
      </w:tr>
      <w:tr w14:paraId="3C2C3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1906" w:hRule="atLeast"/>
        </w:trPr>
        <w:tc>
          <w:tcPr>
            <w:tcW w:w="1314" w:type="dxa"/>
            <w:vMerge w:val="continue"/>
            <w:tcBorders>
              <w:tl2br w:val="nil"/>
              <w:tr2bl w:val="nil"/>
            </w:tcBorders>
            <w:shd w:val="clear" w:color="auto" w:fill="auto"/>
            <w:vAlign w:val="center"/>
          </w:tcPr>
          <w:p w14:paraId="2999D163">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1529" w:type="dxa"/>
            <w:vMerge w:val="continue"/>
            <w:tcBorders>
              <w:tl2br w:val="nil"/>
              <w:tr2bl w:val="nil"/>
            </w:tcBorders>
            <w:shd w:val="clear" w:color="auto" w:fill="auto"/>
            <w:vAlign w:val="center"/>
          </w:tcPr>
          <w:p w14:paraId="086734C4">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5556" w:type="dxa"/>
            <w:tcBorders>
              <w:tl2br w:val="nil"/>
              <w:tr2bl w:val="nil"/>
            </w:tcBorders>
            <w:shd w:val="clear" w:color="auto" w:fill="auto"/>
            <w:vAlign w:val="center"/>
          </w:tcPr>
          <w:p w14:paraId="270C5D90">
            <w:pPr>
              <w:keepNext w:val="0"/>
              <w:keepLines w:val="0"/>
              <w:widowControl/>
              <w:suppressLineNumbers w:val="0"/>
              <w:autoSpaceDE/>
              <w:autoSpaceDN/>
              <w:spacing w:line="400" w:lineRule="exact"/>
              <w:ind w:firstLine="0" w:firstLineChars="0"/>
              <w:jc w:val="left"/>
              <w:textAlignment w:val="center"/>
              <w:rPr>
                <w:rFonts w:hint="default" w:ascii="Times New Roman" w:hAnsi="Times New Roman" w:eastAsia="宋体" w:cs="Times New Roman"/>
                <w:b w:val="0"/>
                <w:bCs w:val="0"/>
                <w:i w:val="0"/>
                <w:iCs w:val="0"/>
                <w:color w:val="auto"/>
                <w:sz w:val="21"/>
                <w:szCs w:val="21"/>
                <w:highlight w:val="none"/>
                <w:u w:val="none"/>
              </w:rPr>
            </w:pPr>
            <w:r>
              <w:rPr>
                <w:rStyle w:val="24"/>
                <w:rFonts w:hint="default" w:ascii="Times New Roman" w:hAnsi="Times New Roman" w:eastAsia="宋体" w:cs="Times New Roman"/>
                <w:b w:val="0"/>
                <w:bCs w:val="0"/>
                <w:color w:val="auto"/>
                <w:kern w:val="0"/>
                <w:sz w:val="21"/>
                <w:szCs w:val="21"/>
                <w:highlight w:val="none"/>
                <w:u w:val="none"/>
                <w:lang w:val="en-US" w:eastAsia="zh-CN" w:bidi="ar"/>
              </w:rPr>
              <w:t>组件能力</w:t>
            </w:r>
            <w:r>
              <w:rPr>
                <w:rStyle w:val="24"/>
                <w:rFonts w:hint="default" w:ascii="Times New Roman" w:hAnsi="Times New Roman" w:cs="Times New Roman"/>
                <w:b w:val="0"/>
                <w:bCs w:val="0"/>
                <w:color w:val="auto"/>
                <w:kern w:val="0"/>
                <w:sz w:val="21"/>
                <w:szCs w:val="21"/>
                <w:highlight w:val="none"/>
                <w:u w:val="none"/>
                <w:lang w:val="en-US" w:eastAsia="zh-CN" w:bidi="ar"/>
              </w:rPr>
              <w:t>，</w:t>
            </w:r>
            <w:r>
              <w:rPr>
                <w:rFonts w:hint="default" w:ascii="Times New Roman" w:hAnsi="Times New Roman" w:cs="Times New Roman"/>
                <w:b w:val="0"/>
                <w:i w:val="0"/>
                <w:color w:val="auto"/>
                <w:kern w:val="0"/>
                <w:sz w:val="21"/>
                <w:szCs w:val="21"/>
                <w:highlight w:val="none"/>
                <w:u w:val="none"/>
                <w:lang w:bidi="ar"/>
              </w:rPr>
              <w:t>具有完备的分布式大数据技术体系组件服务，并纳入统一管理、维护和运营。提供的组件服务包括但不限于HDFS、HIVE、HBASE、RANGER、KUDU、SOLR、SPARK、IMPALA、HUDI/ICEBERG、PRESTO/TRINO、CLICKHOUSE/DORIS、KAFKA、ELASTICSEARCH等或支持同等能力的组件服务，支持多种数据存储格式，满足湖仓一体、批流一体的应用场景；</w:t>
            </w:r>
          </w:p>
        </w:tc>
      </w:tr>
      <w:tr w14:paraId="160BB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5" w:hRule="atLeast"/>
        </w:trPr>
        <w:tc>
          <w:tcPr>
            <w:tcW w:w="1314" w:type="dxa"/>
            <w:vMerge w:val="continue"/>
            <w:tcBorders>
              <w:tl2br w:val="nil"/>
              <w:tr2bl w:val="nil"/>
            </w:tcBorders>
            <w:shd w:val="clear" w:color="auto" w:fill="auto"/>
            <w:vAlign w:val="center"/>
          </w:tcPr>
          <w:p w14:paraId="5C9F50B1">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1529" w:type="dxa"/>
            <w:vMerge w:val="continue"/>
            <w:tcBorders>
              <w:tl2br w:val="nil"/>
              <w:tr2bl w:val="nil"/>
            </w:tcBorders>
            <w:shd w:val="clear" w:color="auto" w:fill="auto"/>
            <w:vAlign w:val="center"/>
          </w:tcPr>
          <w:p w14:paraId="442263E4">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5556" w:type="dxa"/>
            <w:tcBorders>
              <w:tl2br w:val="nil"/>
              <w:tr2bl w:val="nil"/>
            </w:tcBorders>
            <w:shd w:val="clear" w:color="auto" w:fill="auto"/>
            <w:vAlign w:val="center"/>
          </w:tcPr>
          <w:p w14:paraId="0DF1C974">
            <w:pPr>
              <w:keepNext w:val="0"/>
              <w:keepLines w:val="0"/>
              <w:widowControl/>
              <w:suppressLineNumbers w:val="0"/>
              <w:autoSpaceDE/>
              <w:autoSpaceDN/>
              <w:spacing w:line="400" w:lineRule="exact"/>
              <w:ind w:firstLine="0" w:firstLineChars="0"/>
              <w:jc w:val="left"/>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具备支撑数据分析、即席查询等场景的功能服务，保障多表关联复杂查询的可用性、查询效率和性能要求（秒级）等，支持查询结果数据导出；</w:t>
            </w:r>
          </w:p>
        </w:tc>
      </w:tr>
      <w:tr w14:paraId="6BAB3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77" w:hRule="atLeast"/>
        </w:trPr>
        <w:tc>
          <w:tcPr>
            <w:tcW w:w="1314" w:type="dxa"/>
            <w:vMerge w:val="continue"/>
            <w:tcBorders>
              <w:tl2br w:val="nil"/>
              <w:tr2bl w:val="nil"/>
            </w:tcBorders>
            <w:shd w:val="clear" w:color="auto" w:fill="auto"/>
            <w:vAlign w:val="center"/>
          </w:tcPr>
          <w:p w14:paraId="2359A6DA">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1529" w:type="dxa"/>
            <w:vMerge w:val="continue"/>
            <w:tcBorders>
              <w:tl2br w:val="nil"/>
              <w:tr2bl w:val="nil"/>
            </w:tcBorders>
            <w:shd w:val="clear" w:color="auto" w:fill="auto"/>
            <w:vAlign w:val="center"/>
          </w:tcPr>
          <w:p w14:paraId="2F5637F8">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5556" w:type="dxa"/>
            <w:tcBorders>
              <w:tl2br w:val="nil"/>
              <w:tr2bl w:val="nil"/>
            </w:tcBorders>
            <w:shd w:val="clear" w:color="auto" w:fill="auto"/>
            <w:vAlign w:val="center"/>
          </w:tcPr>
          <w:p w14:paraId="2F769184">
            <w:pPr>
              <w:keepNext w:val="0"/>
              <w:keepLines w:val="0"/>
              <w:widowControl/>
              <w:suppressLineNumbers w:val="0"/>
              <w:autoSpaceDE/>
              <w:autoSpaceDN/>
              <w:spacing w:line="400" w:lineRule="exact"/>
              <w:ind w:firstLine="0" w:firstLineChars="0"/>
              <w:jc w:val="left"/>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支持良好的账号权限统一管理认证能力，包括用户管理、功能模块、库表权限管控、密码强度校验、定期修改密码、找回密码等账号安全管控机制；</w:t>
            </w:r>
          </w:p>
        </w:tc>
      </w:tr>
      <w:tr w14:paraId="13538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5" w:hRule="atLeast"/>
        </w:trPr>
        <w:tc>
          <w:tcPr>
            <w:tcW w:w="1314" w:type="dxa"/>
            <w:vMerge w:val="continue"/>
            <w:tcBorders>
              <w:tl2br w:val="nil"/>
              <w:tr2bl w:val="nil"/>
            </w:tcBorders>
            <w:shd w:val="clear" w:color="auto" w:fill="auto"/>
            <w:vAlign w:val="center"/>
          </w:tcPr>
          <w:p w14:paraId="5E2885A2">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1529" w:type="dxa"/>
            <w:vMerge w:val="continue"/>
            <w:tcBorders>
              <w:tl2br w:val="nil"/>
              <w:tr2bl w:val="nil"/>
            </w:tcBorders>
            <w:shd w:val="clear" w:color="auto" w:fill="auto"/>
            <w:vAlign w:val="center"/>
          </w:tcPr>
          <w:p w14:paraId="26CFE420">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5556" w:type="dxa"/>
            <w:tcBorders>
              <w:tl2br w:val="nil"/>
              <w:tr2bl w:val="nil"/>
            </w:tcBorders>
            <w:shd w:val="clear" w:color="auto" w:fill="auto"/>
            <w:vAlign w:val="center"/>
          </w:tcPr>
          <w:p w14:paraId="0CC32C84">
            <w:pPr>
              <w:keepNext w:val="0"/>
              <w:keepLines w:val="0"/>
              <w:widowControl/>
              <w:suppressLineNumbers w:val="0"/>
              <w:autoSpaceDE/>
              <w:autoSpaceDN/>
              <w:spacing w:line="400" w:lineRule="exact"/>
              <w:ind w:firstLine="0" w:firstLineChars="0"/>
              <w:jc w:val="left"/>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支撑完善的数据安全管控服务，包括库表权限、访问控制等，保护数据资产的安全。</w:t>
            </w:r>
          </w:p>
        </w:tc>
      </w:tr>
      <w:tr w14:paraId="30EE8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77" w:hRule="atLeast"/>
        </w:trPr>
        <w:tc>
          <w:tcPr>
            <w:tcW w:w="1314" w:type="dxa"/>
            <w:vMerge w:val="continue"/>
            <w:tcBorders>
              <w:tl2br w:val="nil"/>
              <w:tr2bl w:val="nil"/>
            </w:tcBorders>
            <w:shd w:val="clear" w:color="auto" w:fill="auto"/>
            <w:vAlign w:val="center"/>
          </w:tcPr>
          <w:p w14:paraId="1926FB0F">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1529" w:type="dxa"/>
            <w:vMerge w:val="continue"/>
            <w:tcBorders>
              <w:tl2br w:val="nil"/>
              <w:tr2bl w:val="nil"/>
            </w:tcBorders>
            <w:shd w:val="clear" w:color="auto" w:fill="auto"/>
            <w:vAlign w:val="center"/>
          </w:tcPr>
          <w:p w14:paraId="5B0D1CE9">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5556" w:type="dxa"/>
            <w:tcBorders>
              <w:tl2br w:val="nil"/>
              <w:tr2bl w:val="nil"/>
            </w:tcBorders>
            <w:shd w:val="clear" w:color="auto" w:fill="auto"/>
            <w:vAlign w:val="center"/>
          </w:tcPr>
          <w:p w14:paraId="2ABBEC5E">
            <w:pPr>
              <w:keepNext w:val="0"/>
              <w:keepLines w:val="0"/>
              <w:widowControl/>
              <w:suppressLineNumbers w:val="0"/>
              <w:autoSpaceDE/>
              <w:autoSpaceDN/>
              <w:spacing w:line="400" w:lineRule="exact"/>
              <w:ind w:firstLine="0" w:firstLineChars="0"/>
              <w:jc w:val="left"/>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支持通过可视化管理台的方式对集群服务管理，包括但不限于集群创建、删除、扩缩容集群，服务启停、配置修改、运维管控、用户及租户体系管理等；</w:t>
            </w:r>
          </w:p>
        </w:tc>
      </w:tr>
      <w:tr w14:paraId="591CD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78" w:hRule="atLeast"/>
        </w:trPr>
        <w:tc>
          <w:tcPr>
            <w:tcW w:w="1314" w:type="dxa"/>
            <w:vMerge w:val="continue"/>
            <w:tcBorders>
              <w:tl2br w:val="nil"/>
              <w:tr2bl w:val="nil"/>
            </w:tcBorders>
            <w:shd w:val="clear" w:color="auto" w:fill="auto"/>
            <w:vAlign w:val="center"/>
          </w:tcPr>
          <w:p w14:paraId="4503BC3E">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1529" w:type="dxa"/>
            <w:vMerge w:val="continue"/>
            <w:tcBorders>
              <w:tl2br w:val="nil"/>
              <w:tr2bl w:val="nil"/>
            </w:tcBorders>
            <w:shd w:val="clear" w:color="auto" w:fill="auto"/>
            <w:vAlign w:val="center"/>
          </w:tcPr>
          <w:p w14:paraId="1E34B356">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5556" w:type="dxa"/>
            <w:tcBorders>
              <w:tl2br w:val="nil"/>
              <w:tr2bl w:val="nil"/>
            </w:tcBorders>
            <w:shd w:val="clear" w:color="auto" w:fill="auto"/>
            <w:vAlign w:val="center"/>
          </w:tcPr>
          <w:p w14:paraId="6EFD2B31">
            <w:pPr>
              <w:keepNext w:val="0"/>
              <w:keepLines w:val="0"/>
              <w:widowControl/>
              <w:suppressLineNumbers w:val="0"/>
              <w:autoSpaceDE/>
              <w:autoSpaceDN/>
              <w:spacing w:line="400" w:lineRule="exact"/>
              <w:ind w:firstLine="0" w:firstLineChars="0"/>
              <w:jc w:val="left"/>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支持租户创建及管理、资源（含数据存储和计算）分配和隔离、数据权限配置及生命周期管理；支持租户</w:t>
            </w:r>
            <w:r>
              <w:rPr>
                <w:rStyle w:val="51"/>
                <w:rFonts w:hint="default" w:ascii="Times New Roman" w:hAnsi="Times New Roman" w:eastAsia="宋体" w:cs="Times New Roman"/>
                <w:b w:val="0"/>
                <w:bCs w:val="0"/>
                <w:color w:val="auto"/>
                <w:sz w:val="21"/>
                <w:szCs w:val="21"/>
                <w:highlight w:val="none"/>
                <w:lang w:val="en-US" w:eastAsia="zh-CN" w:bidi="ar"/>
              </w:rPr>
              <w:t>/</w:t>
            </w:r>
            <w:r>
              <w:rPr>
                <w:rStyle w:val="39"/>
                <w:rFonts w:hint="default" w:ascii="Times New Roman" w:hAnsi="Times New Roman" w:eastAsia="宋体" w:cs="Times New Roman"/>
                <w:b w:val="0"/>
                <w:bCs w:val="0"/>
                <w:color w:val="auto"/>
                <w:sz w:val="21"/>
                <w:szCs w:val="21"/>
                <w:highlight w:val="none"/>
                <w:lang w:val="en-US" w:eastAsia="zh-CN" w:bidi="ar"/>
              </w:rPr>
              <w:t>项目间的数据权限访问控制和数据同步；可动态设置数据同步的安全控制机制，如数据库、表、字段权限按租户、项目、用户进行控制。</w:t>
            </w:r>
          </w:p>
        </w:tc>
      </w:tr>
      <w:tr w14:paraId="06421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5" w:hRule="atLeast"/>
        </w:trPr>
        <w:tc>
          <w:tcPr>
            <w:tcW w:w="1314" w:type="dxa"/>
            <w:vMerge w:val="continue"/>
            <w:tcBorders>
              <w:tl2br w:val="nil"/>
              <w:tr2bl w:val="nil"/>
            </w:tcBorders>
            <w:shd w:val="clear" w:color="auto" w:fill="auto"/>
            <w:vAlign w:val="center"/>
          </w:tcPr>
          <w:p w14:paraId="131F6BD4">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1529" w:type="dxa"/>
            <w:vMerge w:val="continue"/>
            <w:tcBorders>
              <w:tl2br w:val="nil"/>
              <w:tr2bl w:val="nil"/>
            </w:tcBorders>
            <w:shd w:val="clear" w:color="auto" w:fill="auto"/>
            <w:vAlign w:val="center"/>
          </w:tcPr>
          <w:p w14:paraId="4D33A7E5">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5556" w:type="dxa"/>
            <w:tcBorders>
              <w:tl2br w:val="nil"/>
              <w:tr2bl w:val="nil"/>
            </w:tcBorders>
            <w:shd w:val="clear" w:color="auto" w:fill="auto"/>
            <w:vAlign w:val="center"/>
          </w:tcPr>
          <w:p w14:paraId="23D00AF4">
            <w:pPr>
              <w:keepNext w:val="0"/>
              <w:keepLines w:val="0"/>
              <w:widowControl/>
              <w:suppressLineNumbers w:val="0"/>
              <w:autoSpaceDE/>
              <w:autoSpaceDN/>
              <w:spacing w:line="400" w:lineRule="exact"/>
              <w:ind w:firstLine="0" w:firstLineChars="0"/>
              <w:jc w:val="left"/>
              <w:textAlignment w:val="center"/>
              <w:rPr>
                <w:rFonts w:hint="default" w:ascii="Times New Roman" w:hAnsi="Times New Roman" w:eastAsia="宋体" w:cs="Times New Roman"/>
                <w:b w:val="0"/>
                <w:bCs w:val="0"/>
                <w:i w:val="0"/>
                <w:iCs w:val="0"/>
                <w:color w:val="auto"/>
                <w:sz w:val="21"/>
                <w:szCs w:val="21"/>
                <w:highlight w:val="none"/>
                <w:u w:val="none"/>
              </w:rPr>
            </w:pPr>
            <w:r>
              <w:rPr>
                <w:rStyle w:val="39"/>
                <w:rFonts w:hint="default" w:ascii="Times New Roman" w:hAnsi="Times New Roman" w:eastAsia="宋体" w:cs="Times New Roman"/>
                <w:b w:val="0"/>
                <w:bCs w:val="0"/>
                <w:color w:val="auto"/>
                <w:sz w:val="21"/>
                <w:szCs w:val="21"/>
                <w:highlight w:val="none"/>
                <w:lang w:val="en-US" w:eastAsia="zh-CN" w:bidi="ar"/>
              </w:rPr>
              <w:t>支持主备集群容灾、单集群跨</w:t>
            </w:r>
            <w:r>
              <w:rPr>
                <w:rStyle w:val="48"/>
                <w:rFonts w:hint="default" w:ascii="Times New Roman" w:hAnsi="Times New Roman" w:eastAsia="宋体" w:cs="Times New Roman"/>
                <w:b w:val="0"/>
                <w:bCs w:val="0"/>
                <w:color w:val="auto"/>
                <w:sz w:val="21"/>
                <w:szCs w:val="21"/>
                <w:highlight w:val="none"/>
                <w:lang w:val="en-US" w:eastAsia="zh-CN" w:bidi="ar"/>
              </w:rPr>
              <w:t>AZ</w:t>
            </w:r>
            <w:r>
              <w:rPr>
                <w:rStyle w:val="39"/>
                <w:rFonts w:hint="default" w:ascii="Times New Roman" w:hAnsi="Times New Roman" w:eastAsia="宋体" w:cs="Times New Roman"/>
                <w:b w:val="0"/>
                <w:bCs w:val="0"/>
                <w:color w:val="auto"/>
                <w:sz w:val="21"/>
                <w:szCs w:val="21"/>
                <w:highlight w:val="none"/>
                <w:lang w:val="en-US" w:eastAsia="zh-CN" w:bidi="ar"/>
              </w:rPr>
              <w:t>部署等高容灾服务建设平台能力（根据拟定的灾备方案进行验证测试）；</w:t>
            </w:r>
          </w:p>
        </w:tc>
      </w:tr>
      <w:tr w14:paraId="464F8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5" w:hRule="atLeast"/>
        </w:trPr>
        <w:tc>
          <w:tcPr>
            <w:tcW w:w="1314" w:type="dxa"/>
            <w:vMerge w:val="continue"/>
            <w:tcBorders>
              <w:tl2br w:val="nil"/>
              <w:tr2bl w:val="nil"/>
            </w:tcBorders>
            <w:shd w:val="clear" w:color="auto" w:fill="auto"/>
            <w:vAlign w:val="center"/>
          </w:tcPr>
          <w:p w14:paraId="75BDE3AC">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1529" w:type="dxa"/>
            <w:vMerge w:val="continue"/>
            <w:tcBorders>
              <w:tl2br w:val="nil"/>
              <w:tr2bl w:val="nil"/>
            </w:tcBorders>
            <w:shd w:val="clear" w:color="auto" w:fill="auto"/>
            <w:vAlign w:val="center"/>
          </w:tcPr>
          <w:p w14:paraId="114D0301">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5556" w:type="dxa"/>
            <w:tcBorders>
              <w:tl2br w:val="nil"/>
              <w:tr2bl w:val="nil"/>
            </w:tcBorders>
            <w:shd w:val="clear" w:color="auto" w:fill="auto"/>
            <w:vAlign w:val="center"/>
          </w:tcPr>
          <w:p w14:paraId="7FFA6BF0">
            <w:pPr>
              <w:keepNext w:val="0"/>
              <w:keepLines w:val="0"/>
              <w:widowControl/>
              <w:suppressLineNumbers w:val="0"/>
              <w:autoSpaceDE/>
              <w:autoSpaceDN/>
              <w:spacing w:line="400" w:lineRule="exact"/>
              <w:ind w:firstLine="0" w:firstLineChars="0"/>
              <w:jc w:val="left"/>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支持可视化、便捷的集群管理监控告警、预警机制，可动态配置告警级别、告警方式和告知对象;告警支持对外发送告警通知，支持包括短信、日志、消息推送等多种方式；</w:t>
            </w:r>
          </w:p>
        </w:tc>
      </w:tr>
      <w:tr w14:paraId="33E91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655" w:hRule="atLeast"/>
        </w:trPr>
        <w:tc>
          <w:tcPr>
            <w:tcW w:w="1314" w:type="dxa"/>
            <w:vMerge w:val="continue"/>
            <w:tcBorders>
              <w:tl2br w:val="nil"/>
              <w:tr2bl w:val="nil"/>
            </w:tcBorders>
            <w:shd w:val="clear" w:color="auto" w:fill="auto"/>
            <w:vAlign w:val="center"/>
          </w:tcPr>
          <w:p w14:paraId="58256A83">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1529" w:type="dxa"/>
            <w:vMerge w:val="continue"/>
            <w:tcBorders>
              <w:tl2br w:val="nil"/>
              <w:tr2bl w:val="nil"/>
            </w:tcBorders>
            <w:shd w:val="clear" w:color="auto" w:fill="auto"/>
            <w:vAlign w:val="center"/>
          </w:tcPr>
          <w:p w14:paraId="65AB12EA">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5556" w:type="dxa"/>
            <w:tcBorders>
              <w:tl2br w:val="nil"/>
              <w:tr2bl w:val="nil"/>
            </w:tcBorders>
            <w:shd w:val="clear" w:color="auto" w:fill="auto"/>
            <w:vAlign w:val="center"/>
          </w:tcPr>
          <w:p w14:paraId="6E278FC9">
            <w:pPr>
              <w:keepNext w:val="0"/>
              <w:keepLines w:val="0"/>
              <w:widowControl/>
              <w:suppressLineNumbers w:val="0"/>
              <w:autoSpaceDE/>
              <w:autoSpaceDN/>
              <w:spacing w:line="400" w:lineRule="exact"/>
              <w:ind w:firstLine="0" w:firstLineChars="0"/>
              <w:jc w:val="left"/>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平台服务节点、存储、计算服务资源满足各项数据处理需求且不低于合同的资源授权最低要求；</w:t>
            </w:r>
          </w:p>
        </w:tc>
      </w:tr>
      <w:tr w14:paraId="56186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90" w:hRule="atLeast"/>
        </w:trPr>
        <w:tc>
          <w:tcPr>
            <w:tcW w:w="1314" w:type="dxa"/>
            <w:vMerge w:val="continue"/>
            <w:tcBorders>
              <w:tl2br w:val="nil"/>
              <w:tr2bl w:val="nil"/>
            </w:tcBorders>
            <w:shd w:val="clear" w:color="auto" w:fill="auto"/>
            <w:vAlign w:val="center"/>
          </w:tcPr>
          <w:p w14:paraId="1466EA33">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1529" w:type="dxa"/>
            <w:vMerge w:val="restart"/>
            <w:tcBorders>
              <w:tl2br w:val="nil"/>
              <w:tr2bl w:val="nil"/>
            </w:tcBorders>
            <w:shd w:val="clear" w:color="auto" w:fill="auto"/>
            <w:vAlign w:val="center"/>
          </w:tcPr>
          <w:p w14:paraId="60A633C2">
            <w:pPr>
              <w:keepNext w:val="0"/>
              <w:keepLines w:val="0"/>
              <w:widowControl/>
              <w:suppressLineNumbers w:val="0"/>
              <w:autoSpaceDE/>
              <w:autoSpaceDN/>
              <w:spacing w:line="400" w:lineRule="exact"/>
              <w:ind w:firstLine="0" w:firstLineChars="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稳定性、安全性要求</w:t>
            </w:r>
          </w:p>
        </w:tc>
        <w:tc>
          <w:tcPr>
            <w:tcW w:w="5556" w:type="dxa"/>
            <w:tcBorders>
              <w:tl2br w:val="nil"/>
              <w:tr2bl w:val="nil"/>
            </w:tcBorders>
            <w:shd w:val="clear" w:color="auto" w:fill="auto"/>
            <w:vAlign w:val="center"/>
          </w:tcPr>
          <w:p w14:paraId="21FC908D">
            <w:pPr>
              <w:keepNext w:val="0"/>
              <w:keepLines w:val="0"/>
              <w:widowControl/>
              <w:suppressLineNumbers w:val="0"/>
              <w:autoSpaceDE/>
              <w:autoSpaceDN/>
              <w:spacing w:line="400" w:lineRule="exact"/>
              <w:ind w:firstLine="0" w:firstLineChars="0"/>
              <w:jc w:val="left"/>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具有良好的高可用和扩展性，无单点故障等架构设计缺陷；</w:t>
            </w:r>
          </w:p>
        </w:tc>
      </w:tr>
      <w:tr w14:paraId="06391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5" w:hRule="atLeast"/>
        </w:trPr>
        <w:tc>
          <w:tcPr>
            <w:tcW w:w="1314" w:type="dxa"/>
            <w:vMerge w:val="continue"/>
            <w:tcBorders>
              <w:tl2br w:val="nil"/>
              <w:tr2bl w:val="nil"/>
            </w:tcBorders>
            <w:shd w:val="clear" w:color="auto" w:fill="auto"/>
            <w:vAlign w:val="center"/>
          </w:tcPr>
          <w:p w14:paraId="5AF02F7D">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1529" w:type="dxa"/>
            <w:vMerge w:val="continue"/>
            <w:tcBorders>
              <w:tl2br w:val="nil"/>
              <w:tr2bl w:val="nil"/>
            </w:tcBorders>
            <w:shd w:val="clear" w:color="auto" w:fill="auto"/>
            <w:vAlign w:val="center"/>
          </w:tcPr>
          <w:p w14:paraId="53231CBB">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5556" w:type="dxa"/>
            <w:tcBorders>
              <w:tl2br w:val="nil"/>
              <w:tr2bl w:val="nil"/>
            </w:tcBorders>
            <w:shd w:val="clear" w:color="auto" w:fill="auto"/>
            <w:vAlign w:val="center"/>
          </w:tcPr>
          <w:p w14:paraId="6BCD3047">
            <w:pPr>
              <w:keepNext w:val="0"/>
              <w:keepLines w:val="0"/>
              <w:widowControl/>
              <w:suppressLineNumbers w:val="0"/>
              <w:autoSpaceDE/>
              <w:autoSpaceDN/>
              <w:spacing w:line="400" w:lineRule="exact"/>
              <w:ind w:firstLine="0" w:firstLineChars="0"/>
              <w:jc w:val="left"/>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稳定性方面，稳定运行时间7*24小时，成功率&gt;=99.9%，满足整体RPO/RTO要求；</w:t>
            </w:r>
          </w:p>
        </w:tc>
      </w:tr>
      <w:tr w14:paraId="720EE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5" w:hRule="atLeast"/>
        </w:trPr>
        <w:tc>
          <w:tcPr>
            <w:tcW w:w="1314" w:type="dxa"/>
            <w:vMerge w:val="continue"/>
            <w:tcBorders>
              <w:tl2br w:val="nil"/>
              <w:tr2bl w:val="nil"/>
            </w:tcBorders>
            <w:shd w:val="clear" w:color="auto" w:fill="auto"/>
            <w:vAlign w:val="center"/>
          </w:tcPr>
          <w:p w14:paraId="168312BF">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1529" w:type="dxa"/>
            <w:vMerge w:val="continue"/>
            <w:tcBorders>
              <w:tl2br w:val="nil"/>
              <w:tr2bl w:val="nil"/>
            </w:tcBorders>
            <w:shd w:val="clear" w:color="auto" w:fill="auto"/>
            <w:vAlign w:val="center"/>
          </w:tcPr>
          <w:p w14:paraId="31E954C9">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5556" w:type="dxa"/>
            <w:tcBorders>
              <w:tl2br w:val="nil"/>
              <w:tr2bl w:val="nil"/>
            </w:tcBorders>
            <w:shd w:val="clear" w:color="auto" w:fill="auto"/>
            <w:vAlign w:val="center"/>
          </w:tcPr>
          <w:p w14:paraId="66027444">
            <w:pPr>
              <w:keepNext w:val="0"/>
              <w:keepLines w:val="0"/>
              <w:widowControl/>
              <w:suppressLineNumbers w:val="0"/>
              <w:autoSpaceDE/>
              <w:autoSpaceDN/>
              <w:spacing w:line="400" w:lineRule="exact"/>
              <w:ind w:firstLine="0" w:firstLineChars="0"/>
              <w:jc w:val="left"/>
              <w:textAlignment w:val="center"/>
              <w:rPr>
                <w:rFonts w:hint="default" w:ascii="Times New Roman" w:hAnsi="Times New Roman" w:eastAsia="宋体" w:cs="Times New Roman"/>
                <w:b w:val="0"/>
                <w:bCs w:val="0"/>
                <w:i w:val="0"/>
                <w:iCs w:val="0"/>
                <w:color w:val="auto"/>
                <w:sz w:val="21"/>
                <w:szCs w:val="21"/>
                <w:highlight w:val="none"/>
                <w:u w:val="none"/>
              </w:rPr>
            </w:pPr>
            <w:r>
              <w:rPr>
                <w:rStyle w:val="39"/>
                <w:rFonts w:hint="default" w:ascii="Times New Roman" w:hAnsi="Times New Roman" w:eastAsia="宋体" w:cs="Times New Roman"/>
                <w:b w:val="0"/>
                <w:bCs w:val="0"/>
                <w:color w:val="auto"/>
                <w:sz w:val="21"/>
                <w:szCs w:val="21"/>
                <w:highlight w:val="none"/>
                <w:lang w:val="en-US" w:eastAsia="zh-CN" w:bidi="ar"/>
              </w:rPr>
              <w:t>试运行期间无发生重大系统异常导致业务中断，如发生将纳入最终项目</w:t>
            </w:r>
            <w:r>
              <w:rPr>
                <w:rStyle w:val="48"/>
                <w:rFonts w:hint="default" w:ascii="Times New Roman" w:hAnsi="Times New Roman" w:eastAsia="宋体" w:cs="Times New Roman"/>
                <w:b w:val="0"/>
                <w:bCs w:val="0"/>
                <w:color w:val="auto"/>
                <w:sz w:val="21"/>
                <w:szCs w:val="21"/>
                <w:highlight w:val="none"/>
                <w:lang w:val="en-US" w:eastAsia="zh-CN" w:bidi="ar"/>
              </w:rPr>
              <w:t>SLA</w:t>
            </w:r>
            <w:r>
              <w:rPr>
                <w:rStyle w:val="39"/>
                <w:rFonts w:hint="default" w:ascii="Times New Roman" w:hAnsi="Times New Roman" w:eastAsia="宋体" w:cs="Times New Roman"/>
                <w:b w:val="0"/>
                <w:bCs w:val="0"/>
                <w:color w:val="auto"/>
                <w:sz w:val="21"/>
                <w:szCs w:val="21"/>
                <w:highlight w:val="none"/>
                <w:lang w:val="en-US" w:eastAsia="zh-CN" w:bidi="ar"/>
              </w:rPr>
              <w:t>考核，并按照</w:t>
            </w:r>
            <w:r>
              <w:rPr>
                <w:rStyle w:val="48"/>
                <w:rFonts w:hint="default" w:ascii="Times New Roman" w:hAnsi="Times New Roman" w:eastAsia="宋体" w:cs="Times New Roman"/>
                <w:b w:val="0"/>
                <w:bCs w:val="0"/>
                <w:color w:val="auto"/>
                <w:sz w:val="21"/>
                <w:szCs w:val="21"/>
                <w:highlight w:val="none"/>
                <w:lang w:val="en-US" w:eastAsia="zh-CN" w:bidi="ar"/>
              </w:rPr>
              <w:t>SLA</w:t>
            </w:r>
            <w:r>
              <w:rPr>
                <w:rStyle w:val="39"/>
                <w:rFonts w:hint="default" w:ascii="Times New Roman" w:hAnsi="Times New Roman" w:eastAsia="宋体" w:cs="Times New Roman"/>
                <w:b w:val="0"/>
                <w:bCs w:val="0"/>
                <w:color w:val="auto"/>
                <w:sz w:val="21"/>
                <w:szCs w:val="21"/>
                <w:highlight w:val="none"/>
                <w:lang w:val="en-US" w:eastAsia="zh-CN" w:bidi="ar"/>
              </w:rPr>
              <w:t>要求进行执行，同时试运行时间将顺延；</w:t>
            </w:r>
          </w:p>
        </w:tc>
      </w:tr>
      <w:tr w14:paraId="7EB2F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655" w:hRule="atLeast"/>
        </w:trPr>
        <w:tc>
          <w:tcPr>
            <w:tcW w:w="1314" w:type="dxa"/>
            <w:vMerge w:val="continue"/>
            <w:tcBorders>
              <w:tl2br w:val="nil"/>
              <w:tr2bl w:val="nil"/>
            </w:tcBorders>
            <w:shd w:val="clear" w:color="auto" w:fill="auto"/>
            <w:vAlign w:val="center"/>
          </w:tcPr>
          <w:p w14:paraId="5DFC4CCA">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1529" w:type="dxa"/>
            <w:vMerge w:val="continue"/>
            <w:tcBorders>
              <w:tl2br w:val="nil"/>
              <w:tr2bl w:val="nil"/>
            </w:tcBorders>
            <w:shd w:val="clear" w:color="auto" w:fill="auto"/>
            <w:vAlign w:val="center"/>
          </w:tcPr>
          <w:p w14:paraId="44BA52B5">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5556" w:type="dxa"/>
            <w:tcBorders>
              <w:tl2br w:val="nil"/>
              <w:tr2bl w:val="nil"/>
            </w:tcBorders>
            <w:shd w:val="clear" w:color="auto" w:fill="auto"/>
            <w:vAlign w:val="center"/>
          </w:tcPr>
          <w:p w14:paraId="06EC59BD">
            <w:pPr>
              <w:keepNext w:val="0"/>
              <w:keepLines w:val="0"/>
              <w:widowControl/>
              <w:suppressLineNumbers w:val="0"/>
              <w:autoSpaceDE/>
              <w:autoSpaceDN/>
              <w:spacing w:line="400" w:lineRule="exact"/>
              <w:ind w:firstLine="0" w:firstLineChars="0"/>
              <w:jc w:val="left"/>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按照我行信息系统管理的相关要求，对平台服务进行安全和漏洞扫描检查，验收时满足安全漏洞验收标准；</w:t>
            </w:r>
          </w:p>
        </w:tc>
      </w:tr>
      <w:tr w14:paraId="48ED5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655" w:hRule="atLeast"/>
        </w:trPr>
        <w:tc>
          <w:tcPr>
            <w:tcW w:w="1314" w:type="dxa"/>
            <w:vMerge w:val="continue"/>
            <w:tcBorders>
              <w:tl2br w:val="nil"/>
              <w:tr2bl w:val="nil"/>
            </w:tcBorders>
            <w:shd w:val="clear" w:color="auto" w:fill="auto"/>
            <w:vAlign w:val="center"/>
          </w:tcPr>
          <w:p w14:paraId="5CF3F0D7">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1529" w:type="dxa"/>
            <w:vMerge w:val="continue"/>
            <w:tcBorders>
              <w:tl2br w:val="nil"/>
              <w:tr2bl w:val="nil"/>
            </w:tcBorders>
            <w:shd w:val="clear" w:color="auto" w:fill="auto"/>
            <w:vAlign w:val="center"/>
          </w:tcPr>
          <w:p w14:paraId="19C122FD">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5556" w:type="dxa"/>
            <w:tcBorders>
              <w:tl2br w:val="nil"/>
              <w:tr2bl w:val="nil"/>
            </w:tcBorders>
            <w:shd w:val="clear" w:color="auto" w:fill="auto"/>
            <w:vAlign w:val="center"/>
          </w:tcPr>
          <w:p w14:paraId="11D62C24">
            <w:pPr>
              <w:keepNext w:val="0"/>
              <w:keepLines w:val="0"/>
              <w:widowControl/>
              <w:suppressLineNumbers w:val="0"/>
              <w:autoSpaceDE/>
              <w:autoSpaceDN/>
              <w:spacing w:line="400" w:lineRule="exact"/>
              <w:ind w:firstLine="0" w:firstLineChars="0"/>
              <w:jc w:val="left"/>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湖仓一体底座产品服务验收时，缺陷率为0，包括但不限于设计缺陷、功能缺陷、兼容性缺陷；</w:t>
            </w:r>
          </w:p>
        </w:tc>
      </w:tr>
      <w:tr w14:paraId="2DC42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5" w:hRule="atLeast"/>
        </w:trPr>
        <w:tc>
          <w:tcPr>
            <w:tcW w:w="1314" w:type="dxa"/>
            <w:vMerge w:val="continue"/>
            <w:tcBorders>
              <w:tl2br w:val="nil"/>
              <w:tr2bl w:val="nil"/>
            </w:tcBorders>
            <w:shd w:val="clear" w:color="auto" w:fill="auto"/>
            <w:vAlign w:val="center"/>
          </w:tcPr>
          <w:p w14:paraId="0F0389C9">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1529" w:type="dxa"/>
            <w:vMerge w:val="continue"/>
            <w:tcBorders>
              <w:tl2br w:val="nil"/>
              <w:tr2bl w:val="nil"/>
            </w:tcBorders>
            <w:shd w:val="clear" w:color="auto" w:fill="auto"/>
            <w:vAlign w:val="center"/>
          </w:tcPr>
          <w:p w14:paraId="4E355BB8">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5556" w:type="dxa"/>
            <w:tcBorders>
              <w:tl2br w:val="nil"/>
              <w:tr2bl w:val="nil"/>
            </w:tcBorders>
            <w:shd w:val="clear" w:color="auto" w:fill="auto"/>
            <w:vAlign w:val="center"/>
          </w:tcPr>
          <w:p w14:paraId="51772598">
            <w:pPr>
              <w:keepNext w:val="0"/>
              <w:keepLines w:val="0"/>
              <w:widowControl/>
              <w:suppressLineNumbers w:val="0"/>
              <w:autoSpaceDE/>
              <w:autoSpaceDN/>
              <w:spacing w:line="400" w:lineRule="exact"/>
              <w:ind w:firstLine="0" w:firstLineChars="0"/>
              <w:jc w:val="left"/>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满足国产软硬件适配和稳定性、兼容性要求；包括但不限于服务器、中间件、操作系统、数据库；</w:t>
            </w:r>
          </w:p>
        </w:tc>
      </w:tr>
      <w:tr w14:paraId="6A2A98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5" w:hRule="atLeast"/>
        </w:trPr>
        <w:tc>
          <w:tcPr>
            <w:tcW w:w="1314" w:type="dxa"/>
            <w:vMerge w:val="continue"/>
            <w:tcBorders>
              <w:tl2br w:val="nil"/>
              <w:tr2bl w:val="nil"/>
            </w:tcBorders>
            <w:shd w:val="clear" w:color="auto" w:fill="auto"/>
            <w:vAlign w:val="center"/>
          </w:tcPr>
          <w:p w14:paraId="5A96D7E2">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1529" w:type="dxa"/>
            <w:vMerge w:val="restart"/>
            <w:tcBorders>
              <w:tl2br w:val="nil"/>
              <w:tr2bl w:val="nil"/>
            </w:tcBorders>
            <w:shd w:val="clear" w:color="auto" w:fill="auto"/>
            <w:vAlign w:val="center"/>
          </w:tcPr>
          <w:p w14:paraId="132C1BD6">
            <w:pPr>
              <w:keepNext w:val="0"/>
              <w:keepLines w:val="0"/>
              <w:widowControl/>
              <w:suppressLineNumbers w:val="0"/>
              <w:autoSpaceDE/>
              <w:autoSpaceDN/>
              <w:spacing w:line="400" w:lineRule="exact"/>
              <w:ind w:firstLine="0" w:firstLineChars="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性能及效率要求</w:t>
            </w:r>
          </w:p>
        </w:tc>
        <w:tc>
          <w:tcPr>
            <w:tcW w:w="5556" w:type="dxa"/>
            <w:tcBorders>
              <w:tl2br w:val="nil"/>
              <w:tr2bl w:val="nil"/>
            </w:tcBorders>
            <w:shd w:val="clear" w:color="auto" w:fill="auto"/>
            <w:vAlign w:val="center"/>
          </w:tcPr>
          <w:p w14:paraId="527A596A">
            <w:pPr>
              <w:keepNext w:val="0"/>
              <w:keepLines w:val="0"/>
              <w:widowControl/>
              <w:suppressLineNumbers w:val="0"/>
              <w:autoSpaceDE/>
              <w:autoSpaceDN/>
              <w:spacing w:line="400" w:lineRule="exact"/>
              <w:ind w:firstLine="0" w:firstLineChars="0"/>
              <w:jc w:val="left"/>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离线数仓除特殊批量（如绩效第二批次等）外，其余每日批量任务必须在营业前（每日8:00）完成；</w:t>
            </w:r>
          </w:p>
        </w:tc>
      </w:tr>
      <w:tr w14:paraId="038EF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77" w:hRule="atLeast"/>
        </w:trPr>
        <w:tc>
          <w:tcPr>
            <w:tcW w:w="1314" w:type="dxa"/>
            <w:vMerge w:val="continue"/>
            <w:tcBorders>
              <w:tl2br w:val="nil"/>
              <w:tr2bl w:val="nil"/>
            </w:tcBorders>
            <w:shd w:val="clear" w:color="auto" w:fill="auto"/>
            <w:vAlign w:val="center"/>
          </w:tcPr>
          <w:p w14:paraId="70C2D053">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1529" w:type="dxa"/>
            <w:vMerge w:val="continue"/>
            <w:tcBorders>
              <w:tl2br w:val="nil"/>
              <w:tr2bl w:val="nil"/>
            </w:tcBorders>
            <w:shd w:val="clear" w:color="auto" w:fill="auto"/>
            <w:vAlign w:val="center"/>
          </w:tcPr>
          <w:p w14:paraId="09AE29E9">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5556" w:type="dxa"/>
            <w:tcBorders>
              <w:tl2br w:val="nil"/>
              <w:tr2bl w:val="nil"/>
            </w:tcBorders>
            <w:shd w:val="clear" w:color="auto" w:fill="auto"/>
            <w:vAlign w:val="center"/>
          </w:tcPr>
          <w:p w14:paraId="515CDA42">
            <w:pPr>
              <w:keepNext w:val="0"/>
              <w:keepLines w:val="0"/>
              <w:widowControl/>
              <w:suppressLineNumbers w:val="0"/>
              <w:autoSpaceDE/>
              <w:autoSpaceDN/>
              <w:spacing w:line="400" w:lineRule="exact"/>
              <w:ind w:firstLine="0" w:firstLineChars="0"/>
              <w:jc w:val="left"/>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满足湖仓一体、流批融合的批量和实时数据计算加工性能要求，具有良好的大数据量数据处理能力和数据处理性能；平台需能够支撑每日3万个以上批量任务，200个以上实时计算任务；</w:t>
            </w:r>
          </w:p>
        </w:tc>
      </w:tr>
      <w:tr w14:paraId="34608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655" w:hRule="atLeast"/>
        </w:trPr>
        <w:tc>
          <w:tcPr>
            <w:tcW w:w="1314" w:type="dxa"/>
            <w:vMerge w:val="continue"/>
            <w:tcBorders>
              <w:tl2br w:val="nil"/>
              <w:tr2bl w:val="nil"/>
            </w:tcBorders>
            <w:shd w:val="clear" w:color="auto" w:fill="auto"/>
            <w:vAlign w:val="center"/>
          </w:tcPr>
          <w:p w14:paraId="182E2E14">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1529" w:type="dxa"/>
            <w:vMerge w:val="continue"/>
            <w:tcBorders>
              <w:tl2br w:val="nil"/>
              <w:tr2bl w:val="nil"/>
            </w:tcBorders>
            <w:shd w:val="clear" w:color="auto" w:fill="auto"/>
            <w:vAlign w:val="center"/>
          </w:tcPr>
          <w:p w14:paraId="45B4834E">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5556" w:type="dxa"/>
            <w:tcBorders>
              <w:tl2br w:val="nil"/>
              <w:tr2bl w:val="nil"/>
            </w:tcBorders>
            <w:shd w:val="clear" w:color="auto" w:fill="auto"/>
            <w:vAlign w:val="center"/>
          </w:tcPr>
          <w:p w14:paraId="118E11FE">
            <w:pPr>
              <w:keepNext w:val="0"/>
              <w:keepLines w:val="0"/>
              <w:widowControl/>
              <w:suppressLineNumbers w:val="0"/>
              <w:autoSpaceDE/>
              <w:autoSpaceDN/>
              <w:spacing w:line="400" w:lineRule="exact"/>
              <w:ind w:firstLine="0" w:firstLineChars="0"/>
              <w:jc w:val="left"/>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数据分析即时查询场景的多表关联复杂查询秒级响应；</w:t>
            </w:r>
          </w:p>
        </w:tc>
      </w:tr>
      <w:tr w14:paraId="30776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5" w:hRule="atLeast"/>
        </w:trPr>
        <w:tc>
          <w:tcPr>
            <w:tcW w:w="1314" w:type="dxa"/>
            <w:vMerge w:val="continue"/>
            <w:tcBorders>
              <w:tl2br w:val="nil"/>
              <w:tr2bl w:val="nil"/>
            </w:tcBorders>
            <w:shd w:val="clear" w:color="auto" w:fill="auto"/>
            <w:vAlign w:val="center"/>
          </w:tcPr>
          <w:p w14:paraId="3135A276">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1529" w:type="dxa"/>
            <w:vMerge w:val="continue"/>
            <w:tcBorders>
              <w:tl2br w:val="nil"/>
              <w:tr2bl w:val="nil"/>
            </w:tcBorders>
            <w:shd w:val="clear" w:color="auto" w:fill="auto"/>
            <w:vAlign w:val="center"/>
          </w:tcPr>
          <w:p w14:paraId="59359D85">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5556" w:type="dxa"/>
            <w:tcBorders>
              <w:tl2br w:val="nil"/>
              <w:tr2bl w:val="nil"/>
            </w:tcBorders>
            <w:shd w:val="clear" w:color="auto" w:fill="auto"/>
            <w:vAlign w:val="center"/>
          </w:tcPr>
          <w:p w14:paraId="78BC2461">
            <w:pPr>
              <w:keepNext w:val="0"/>
              <w:keepLines w:val="0"/>
              <w:widowControl/>
              <w:suppressLineNumbers w:val="0"/>
              <w:autoSpaceDE/>
              <w:autoSpaceDN/>
              <w:spacing w:line="400" w:lineRule="exact"/>
              <w:ind w:firstLine="0" w:firstLineChars="0"/>
              <w:jc w:val="left"/>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对小文件合并具有良好的优化，满足亿级小文件的存储及合并、处理能力；</w:t>
            </w:r>
          </w:p>
        </w:tc>
      </w:tr>
      <w:tr w14:paraId="5A859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655" w:hRule="atLeast"/>
        </w:trPr>
        <w:tc>
          <w:tcPr>
            <w:tcW w:w="1314" w:type="dxa"/>
            <w:vMerge w:val="continue"/>
            <w:tcBorders>
              <w:tl2br w:val="nil"/>
              <w:tr2bl w:val="nil"/>
            </w:tcBorders>
            <w:shd w:val="clear" w:color="auto" w:fill="auto"/>
            <w:vAlign w:val="center"/>
          </w:tcPr>
          <w:p w14:paraId="5FD91CB3">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1529" w:type="dxa"/>
            <w:vMerge w:val="continue"/>
            <w:tcBorders>
              <w:tl2br w:val="nil"/>
              <w:tr2bl w:val="nil"/>
            </w:tcBorders>
            <w:shd w:val="clear" w:color="auto" w:fill="auto"/>
            <w:vAlign w:val="center"/>
          </w:tcPr>
          <w:p w14:paraId="5F3E4D83">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5556" w:type="dxa"/>
            <w:tcBorders>
              <w:tl2br w:val="nil"/>
              <w:tr2bl w:val="nil"/>
            </w:tcBorders>
            <w:shd w:val="clear" w:color="auto" w:fill="auto"/>
            <w:vAlign w:val="center"/>
          </w:tcPr>
          <w:p w14:paraId="0B368E25">
            <w:pPr>
              <w:keepNext w:val="0"/>
              <w:keepLines w:val="0"/>
              <w:widowControl/>
              <w:suppressLineNumbers w:val="0"/>
              <w:autoSpaceDE/>
              <w:autoSpaceDN/>
              <w:spacing w:line="400" w:lineRule="exact"/>
              <w:ind w:firstLine="0" w:firstLineChars="0"/>
              <w:jc w:val="left"/>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负载方面，系统处理TPS&gt;=1000笔/秒，QPS&gt;=3000次/秒；平均响应时间，实时类场景&lt;=1秒，统计分析类&lt;=5秒;交易成功率&gt;=99.9%；</w:t>
            </w:r>
          </w:p>
        </w:tc>
      </w:tr>
      <w:tr w14:paraId="117C0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655" w:hRule="atLeast"/>
        </w:trPr>
        <w:tc>
          <w:tcPr>
            <w:tcW w:w="1314" w:type="dxa"/>
            <w:vMerge w:val="continue"/>
            <w:tcBorders>
              <w:tl2br w:val="nil"/>
              <w:tr2bl w:val="nil"/>
            </w:tcBorders>
            <w:shd w:val="clear" w:color="auto" w:fill="auto"/>
            <w:vAlign w:val="center"/>
          </w:tcPr>
          <w:p w14:paraId="6BDEAF23">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1529" w:type="dxa"/>
            <w:vMerge w:val="continue"/>
            <w:tcBorders>
              <w:tl2br w:val="nil"/>
              <w:tr2bl w:val="nil"/>
            </w:tcBorders>
            <w:shd w:val="clear" w:color="auto" w:fill="auto"/>
            <w:vAlign w:val="center"/>
          </w:tcPr>
          <w:p w14:paraId="702C9D04">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5556" w:type="dxa"/>
            <w:tcBorders>
              <w:tl2br w:val="nil"/>
              <w:tr2bl w:val="nil"/>
            </w:tcBorders>
            <w:shd w:val="clear" w:color="auto" w:fill="auto"/>
            <w:vAlign w:val="center"/>
          </w:tcPr>
          <w:p w14:paraId="61511D28">
            <w:pPr>
              <w:keepNext w:val="0"/>
              <w:keepLines w:val="0"/>
              <w:widowControl/>
              <w:suppressLineNumbers w:val="0"/>
              <w:autoSpaceDE/>
              <w:autoSpaceDN/>
              <w:spacing w:line="400" w:lineRule="exact"/>
              <w:ind w:firstLine="0" w:firstLineChars="0"/>
              <w:jc w:val="left"/>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资源利用方面，系统服务资源占用高峰（夜间批量、各类高频场景使用期间）满足CPU使用率&lt;=70%,磁盘繁忙率&lt;=70%,内存使用率&lt;=70%</w:t>
            </w:r>
            <w:r>
              <w:rPr>
                <w:rFonts w:hint="eastAsia" w:ascii="Times New Roman" w:hAnsi="Times New Roman" w:cs="Times New Roman"/>
                <w:b w:val="0"/>
                <w:bCs w:val="0"/>
                <w:i w:val="0"/>
                <w:iCs w:val="0"/>
                <w:color w:val="auto"/>
                <w:kern w:val="0"/>
                <w:sz w:val="21"/>
                <w:szCs w:val="21"/>
                <w:highlight w:val="none"/>
                <w:u w:val="none"/>
                <w:lang w:val="en-US" w:eastAsia="zh-CN" w:bidi="ar"/>
              </w:rPr>
              <w:t>；</w:t>
            </w:r>
          </w:p>
        </w:tc>
      </w:tr>
      <w:tr w14:paraId="11EA9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78" w:hRule="atLeast"/>
        </w:trPr>
        <w:tc>
          <w:tcPr>
            <w:tcW w:w="1314" w:type="dxa"/>
            <w:vMerge w:val="restart"/>
            <w:tcBorders>
              <w:tl2br w:val="nil"/>
              <w:tr2bl w:val="nil"/>
            </w:tcBorders>
            <w:shd w:val="clear" w:color="auto" w:fill="auto"/>
            <w:vAlign w:val="center"/>
          </w:tcPr>
          <w:p w14:paraId="1ED6CFE6">
            <w:pPr>
              <w:keepNext w:val="0"/>
              <w:keepLines w:val="0"/>
              <w:widowControl/>
              <w:suppressLineNumbers w:val="0"/>
              <w:autoSpaceDE/>
              <w:autoSpaceDN/>
              <w:spacing w:line="400" w:lineRule="exact"/>
              <w:ind w:firstLine="0" w:firstLineChars="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数据作业平台</w:t>
            </w:r>
          </w:p>
        </w:tc>
        <w:tc>
          <w:tcPr>
            <w:tcW w:w="1529" w:type="dxa"/>
            <w:vMerge w:val="restart"/>
            <w:tcBorders>
              <w:tl2br w:val="nil"/>
              <w:tr2bl w:val="nil"/>
            </w:tcBorders>
            <w:shd w:val="clear" w:color="auto" w:fill="auto"/>
            <w:vAlign w:val="center"/>
          </w:tcPr>
          <w:p w14:paraId="3E5262A6">
            <w:pPr>
              <w:keepNext w:val="0"/>
              <w:keepLines w:val="0"/>
              <w:widowControl/>
              <w:suppressLineNumbers w:val="0"/>
              <w:autoSpaceDE/>
              <w:autoSpaceDN/>
              <w:spacing w:line="400" w:lineRule="exact"/>
              <w:ind w:firstLine="0" w:firstLineChars="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功能要求</w:t>
            </w:r>
          </w:p>
        </w:tc>
        <w:tc>
          <w:tcPr>
            <w:tcW w:w="5556" w:type="dxa"/>
            <w:tcBorders>
              <w:tl2br w:val="nil"/>
              <w:tr2bl w:val="nil"/>
            </w:tcBorders>
            <w:shd w:val="clear" w:color="auto" w:fill="auto"/>
            <w:vAlign w:val="center"/>
          </w:tcPr>
          <w:p w14:paraId="7C0AD8B9">
            <w:pPr>
              <w:keepNext w:val="0"/>
              <w:keepLines w:val="0"/>
              <w:widowControl/>
              <w:suppressLineNumbers w:val="0"/>
              <w:autoSpaceDE/>
              <w:autoSpaceDN/>
              <w:spacing w:line="400" w:lineRule="exact"/>
              <w:ind w:firstLine="0" w:firstLineChars="0"/>
              <w:jc w:val="left"/>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批量数据采集：支持集成主流信创及非信创关系型数据库、大数据组件存储、文件系统、消息队列等多种数据源，包括但不限于OceanBase、达梦、TDSQL、Oracle、Mysql、SqlServer、Hive、ClickHouse、Kafka、Hbase、ElasticSearch、Csv、Excel、Txt、API等；</w:t>
            </w:r>
          </w:p>
        </w:tc>
      </w:tr>
      <w:tr w14:paraId="14025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0" w:hRule="atLeast"/>
        </w:trPr>
        <w:tc>
          <w:tcPr>
            <w:tcW w:w="1314" w:type="dxa"/>
            <w:vMerge w:val="continue"/>
            <w:tcBorders>
              <w:tl2br w:val="nil"/>
              <w:tr2bl w:val="nil"/>
            </w:tcBorders>
            <w:shd w:val="clear" w:color="auto" w:fill="auto"/>
            <w:vAlign w:val="center"/>
          </w:tcPr>
          <w:p w14:paraId="1566A095">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1529" w:type="dxa"/>
            <w:vMerge w:val="continue"/>
            <w:tcBorders>
              <w:tl2br w:val="nil"/>
              <w:tr2bl w:val="nil"/>
            </w:tcBorders>
            <w:shd w:val="clear" w:color="auto" w:fill="auto"/>
            <w:vAlign w:val="center"/>
          </w:tcPr>
          <w:p w14:paraId="112C5EE2">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5556" w:type="dxa"/>
            <w:tcBorders>
              <w:tl2br w:val="nil"/>
              <w:tr2bl w:val="nil"/>
            </w:tcBorders>
            <w:shd w:val="clear" w:color="auto" w:fill="auto"/>
            <w:vAlign w:val="center"/>
          </w:tcPr>
          <w:p w14:paraId="7F0767BC">
            <w:pPr>
              <w:keepNext w:val="0"/>
              <w:keepLines w:val="0"/>
              <w:widowControl/>
              <w:suppressLineNumbers w:val="0"/>
              <w:autoSpaceDE/>
              <w:autoSpaceDN/>
              <w:spacing w:line="400" w:lineRule="exact"/>
              <w:ind w:firstLine="0" w:firstLineChars="0"/>
              <w:jc w:val="left"/>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实时数据采集：支持采集关系型数据库日志实现实时采集，如binlog/归档日志等，数据库类型包括但不限于达梦、Oracle、Mysql、OceanBase、TDSQL；支持多种数据目标源，包括但不限于Hive、ClickHouse、Hbase、Kafka、ElasticSearch、Hudi等；</w:t>
            </w:r>
          </w:p>
        </w:tc>
      </w:tr>
      <w:tr w14:paraId="55DF5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1278" w:hRule="atLeast"/>
        </w:trPr>
        <w:tc>
          <w:tcPr>
            <w:tcW w:w="1314" w:type="dxa"/>
            <w:vMerge w:val="continue"/>
            <w:tcBorders>
              <w:tl2br w:val="nil"/>
              <w:tr2bl w:val="nil"/>
            </w:tcBorders>
            <w:shd w:val="clear" w:color="auto" w:fill="auto"/>
            <w:vAlign w:val="center"/>
          </w:tcPr>
          <w:p w14:paraId="27799468">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1529" w:type="dxa"/>
            <w:vMerge w:val="continue"/>
            <w:tcBorders>
              <w:tl2br w:val="nil"/>
              <w:tr2bl w:val="nil"/>
            </w:tcBorders>
            <w:shd w:val="clear" w:color="auto" w:fill="auto"/>
            <w:vAlign w:val="center"/>
          </w:tcPr>
          <w:p w14:paraId="571242D1">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5556" w:type="dxa"/>
            <w:tcBorders>
              <w:tl2br w:val="nil"/>
              <w:tr2bl w:val="nil"/>
            </w:tcBorders>
            <w:shd w:val="clear" w:color="auto" w:fill="auto"/>
            <w:vAlign w:val="center"/>
          </w:tcPr>
          <w:p w14:paraId="72FAF81D">
            <w:pPr>
              <w:keepNext w:val="0"/>
              <w:keepLines w:val="0"/>
              <w:widowControl/>
              <w:suppressLineNumbers w:val="0"/>
              <w:autoSpaceDE/>
              <w:autoSpaceDN/>
              <w:spacing w:line="400" w:lineRule="exact"/>
              <w:ind w:firstLine="0" w:firstLineChars="0"/>
              <w:jc w:val="left"/>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数据建模：支持通过可视化、图形化的方式进行在线数据模型设计、标准引用、对标检核等，并可选择不同的数据库自动化生成对应的物理模型及对应的数据库DDL脚本；数据库类型，包括但不限于Oracle、Hive、Impala、OceanBase、ClickHouse、TDSQL、达梦、MySQL等</w:t>
            </w:r>
            <w:r>
              <w:rPr>
                <w:rFonts w:hint="eastAsia" w:ascii="Times New Roman" w:hAnsi="Times New Roman" w:cs="Times New Roman"/>
                <w:b w:val="0"/>
                <w:bCs w:val="0"/>
                <w:i w:val="0"/>
                <w:iCs w:val="0"/>
                <w:color w:val="auto"/>
                <w:kern w:val="0"/>
                <w:sz w:val="21"/>
                <w:szCs w:val="21"/>
                <w:highlight w:val="none"/>
                <w:u w:val="none"/>
                <w:lang w:val="en-US" w:eastAsia="zh-CN" w:bidi="ar"/>
              </w:rPr>
              <w:t>，且必须支持底座选型</w:t>
            </w:r>
            <w:r>
              <w:rPr>
                <w:rFonts w:hint="default" w:ascii="Times New Roman" w:hAnsi="Times New Roman" w:eastAsia="宋体" w:cs="Times New Roman"/>
                <w:b w:val="0"/>
                <w:bCs w:val="0"/>
                <w:i w:val="0"/>
                <w:iCs w:val="0"/>
                <w:color w:val="auto"/>
                <w:kern w:val="0"/>
                <w:sz w:val="21"/>
                <w:szCs w:val="21"/>
                <w:highlight w:val="none"/>
                <w:u w:val="none"/>
                <w:lang w:val="en-US" w:eastAsia="zh-CN" w:bidi="ar"/>
              </w:rPr>
              <w:t>；</w:t>
            </w:r>
          </w:p>
        </w:tc>
      </w:tr>
      <w:tr w14:paraId="5AC46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77" w:hRule="atLeast"/>
        </w:trPr>
        <w:tc>
          <w:tcPr>
            <w:tcW w:w="1314" w:type="dxa"/>
            <w:vMerge w:val="continue"/>
            <w:tcBorders>
              <w:tl2br w:val="nil"/>
              <w:tr2bl w:val="nil"/>
            </w:tcBorders>
            <w:shd w:val="clear" w:color="auto" w:fill="auto"/>
            <w:vAlign w:val="center"/>
          </w:tcPr>
          <w:p w14:paraId="47ED7586">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1529" w:type="dxa"/>
            <w:vMerge w:val="continue"/>
            <w:tcBorders>
              <w:tl2br w:val="nil"/>
              <w:tr2bl w:val="nil"/>
            </w:tcBorders>
            <w:shd w:val="clear" w:color="auto" w:fill="auto"/>
            <w:vAlign w:val="center"/>
          </w:tcPr>
          <w:p w14:paraId="6C744DE5">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5556" w:type="dxa"/>
            <w:tcBorders>
              <w:tl2br w:val="nil"/>
              <w:tr2bl w:val="nil"/>
            </w:tcBorders>
            <w:shd w:val="clear" w:color="auto" w:fill="auto"/>
            <w:vAlign w:val="center"/>
          </w:tcPr>
          <w:p w14:paraId="1DBC397F">
            <w:pPr>
              <w:keepNext w:val="0"/>
              <w:keepLines w:val="0"/>
              <w:widowControl/>
              <w:suppressLineNumbers w:val="0"/>
              <w:autoSpaceDE/>
              <w:autoSpaceDN/>
              <w:spacing w:line="400" w:lineRule="exact"/>
              <w:ind w:firstLine="0" w:firstLineChars="0"/>
              <w:jc w:val="left"/>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数据开发：支持通过操作体验良好的可视化界面进行数据即席查询分析、实时数据开发、批量数据开发，完善的版本管理和流程，性能和开发效率满足要求；</w:t>
            </w:r>
          </w:p>
        </w:tc>
      </w:tr>
      <w:tr w14:paraId="0BA8BA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78" w:hRule="atLeast"/>
        </w:trPr>
        <w:tc>
          <w:tcPr>
            <w:tcW w:w="1314" w:type="dxa"/>
            <w:vMerge w:val="continue"/>
            <w:tcBorders>
              <w:tl2br w:val="nil"/>
              <w:tr2bl w:val="nil"/>
            </w:tcBorders>
            <w:shd w:val="clear" w:color="auto" w:fill="auto"/>
            <w:vAlign w:val="center"/>
          </w:tcPr>
          <w:p w14:paraId="48112D37">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1529" w:type="dxa"/>
            <w:vMerge w:val="continue"/>
            <w:tcBorders>
              <w:tl2br w:val="nil"/>
              <w:tr2bl w:val="nil"/>
            </w:tcBorders>
            <w:shd w:val="clear" w:color="auto" w:fill="auto"/>
            <w:vAlign w:val="center"/>
          </w:tcPr>
          <w:p w14:paraId="0BC2D08E">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5556" w:type="dxa"/>
            <w:tcBorders>
              <w:tl2br w:val="nil"/>
              <w:tr2bl w:val="nil"/>
            </w:tcBorders>
            <w:shd w:val="clear" w:color="auto" w:fill="auto"/>
            <w:vAlign w:val="center"/>
          </w:tcPr>
          <w:p w14:paraId="247AB054">
            <w:pPr>
              <w:keepNext w:val="0"/>
              <w:keepLines w:val="0"/>
              <w:widowControl/>
              <w:suppressLineNumbers w:val="0"/>
              <w:autoSpaceDE/>
              <w:autoSpaceDN/>
              <w:spacing w:line="400" w:lineRule="exact"/>
              <w:ind w:firstLine="0" w:firstLineChars="0"/>
              <w:jc w:val="left"/>
              <w:textAlignment w:val="center"/>
              <w:rPr>
                <w:rFonts w:hint="default" w:ascii="Times New Roman" w:hAnsi="Times New Roman" w:eastAsia="宋体" w:cs="Times New Roman"/>
                <w:b w:val="0"/>
                <w:bCs w:val="0"/>
                <w:i w:val="0"/>
                <w:iCs w:val="0"/>
                <w:color w:val="auto"/>
                <w:sz w:val="21"/>
                <w:szCs w:val="21"/>
                <w:highlight w:val="none"/>
                <w:u w:val="none"/>
              </w:rPr>
            </w:pPr>
            <w:r>
              <w:rPr>
                <w:rStyle w:val="39"/>
                <w:rFonts w:hint="default" w:ascii="Times New Roman" w:hAnsi="Times New Roman" w:eastAsia="宋体" w:cs="Times New Roman"/>
                <w:b w:val="0"/>
                <w:bCs w:val="0"/>
                <w:color w:val="auto"/>
                <w:sz w:val="21"/>
                <w:szCs w:val="21"/>
                <w:highlight w:val="none"/>
                <w:lang w:val="en-US" w:eastAsia="zh-CN" w:bidi="ar"/>
              </w:rPr>
              <w:t>统一调度：支持多种调度策略，包括但不限于循环作业调度、微批调度、实时调度、事件触发调度、定时调度及手动调度，支持多种任务类型，包括但不限于</w:t>
            </w:r>
            <w:r>
              <w:rPr>
                <w:rStyle w:val="48"/>
                <w:rFonts w:hint="default" w:ascii="Times New Roman" w:hAnsi="Times New Roman" w:eastAsia="宋体" w:cs="Times New Roman"/>
                <w:b w:val="0"/>
                <w:bCs w:val="0"/>
                <w:color w:val="auto"/>
                <w:sz w:val="21"/>
                <w:szCs w:val="21"/>
                <w:highlight w:val="none"/>
                <w:lang w:val="en-US" w:eastAsia="zh-CN" w:bidi="ar"/>
              </w:rPr>
              <w:t>SQL</w:t>
            </w:r>
            <w:r>
              <w:rPr>
                <w:rStyle w:val="39"/>
                <w:rFonts w:hint="default" w:ascii="Times New Roman" w:hAnsi="Times New Roman" w:eastAsia="宋体" w:cs="Times New Roman"/>
                <w:b w:val="0"/>
                <w:bCs w:val="0"/>
                <w:color w:val="auto"/>
                <w:sz w:val="21"/>
                <w:szCs w:val="21"/>
                <w:highlight w:val="none"/>
                <w:lang w:val="en-US" w:eastAsia="zh-CN" w:bidi="ar"/>
              </w:rPr>
              <w:t>脚本类（</w:t>
            </w:r>
            <w:r>
              <w:rPr>
                <w:rStyle w:val="48"/>
                <w:rFonts w:hint="default" w:ascii="Times New Roman" w:hAnsi="Times New Roman" w:eastAsia="宋体" w:cs="Times New Roman"/>
                <w:b w:val="0"/>
                <w:bCs w:val="0"/>
                <w:color w:val="auto"/>
                <w:sz w:val="21"/>
                <w:szCs w:val="21"/>
                <w:highlight w:val="none"/>
                <w:lang w:val="en-US" w:eastAsia="zh-CN" w:bidi="ar"/>
              </w:rPr>
              <w:t>ORACLE SQL</w:t>
            </w:r>
            <w:r>
              <w:rPr>
                <w:rStyle w:val="39"/>
                <w:rFonts w:hint="default" w:ascii="Times New Roman" w:hAnsi="Times New Roman" w:eastAsia="宋体" w:cs="Times New Roman"/>
                <w:b w:val="0"/>
                <w:bCs w:val="0"/>
                <w:color w:val="auto"/>
                <w:sz w:val="21"/>
                <w:szCs w:val="21"/>
                <w:highlight w:val="none"/>
                <w:lang w:val="en-US" w:eastAsia="zh-CN" w:bidi="ar"/>
              </w:rPr>
              <w:t>、</w:t>
            </w:r>
            <w:r>
              <w:rPr>
                <w:rStyle w:val="48"/>
                <w:rFonts w:hint="default" w:ascii="Times New Roman" w:hAnsi="Times New Roman" w:eastAsia="宋体" w:cs="Times New Roman"/>
                <w:b w:val="0"/>
                <w:bCs w:val="0"/>
                <w:color w:val="auto"/>
                <w:sz w:val="21"/>
                <w:szCs w:val="21"/>
                <w:highlight w:val="none"/>
                <w:lang w:val="en-US" w:eastAsia="zh-CN" w:bidi="ar"/>
              </w:rPr>
              <w:t>SPARK SQL</w:t>
            </w:r>
            <w:r>
              <w:rPr>
                <w:rStyle w:val="39"/>
                <w:rFonts w:hint="default" w:ascii="Times New Roman" w:hAnsi="Times New Roman" w:eastAsia="宋体" w:cs="Times New Roman"/>
                <w:b w:val="0"/>
                <w:bCs w:val="0"/>
                <w:color w:val="auto"/>
                <w:sz w:val="21"/>
                <w:szCs w:val="21"/>
                <w:highlight w:val="none"/>
                <w:lang w:val="en-US" w:eastAsia="zh-CN" w:bidi="ar"/>
              </w:rPr>
              <w:t>、</w:t>
            </w:r>
            <w:r>
              <w:rPr>
                <w:rStyle w:val="48"/>
                <w:rFonts w:hint="default" w:ascii="Times New Roman" w:hAnsi="Times New Roman" w:eastAsia="宋体" w:cs="Times New Roman"/>
                <w:b w:val="0"/>
                <w:bCs w:val="0"/>
                <w:color w:val="auto"/>
                <w:sz w:val="21"/>
                <w:szCs w:val="21"/>
                <w:highlight w:val="none"/>
                <w:lang w:val="en-US" w:eastAsia="zh-CN" w:bidi="ar"/>
              </w:rPr>
              <w:t>HIVE SQL</w:t>
            </w:r>
            <w:r>
              <w:rPr>
                <w:rStyle w:val="39"/>
                <w:rFonts w:hint="default" w:ascii="Times New Roman" w:hAnsi="Times New Roman" w:eastAsia="宋体" w:cs="Times New Roman"/>
                <w:b w:val="0"/>
                <w:bCs w:val="0"/>
                <w:color w:val="auto"/>
                <w:sz w:val="21"/>
                <w:szCs w:val="21"/>
                <w:highlight w:val="none"/>
                <w:lang w:val="en-US" w:eastAsia="zh-CN" w:bidi="ar"/>
              </w:rPr>
              <w:t>等）、</w:t>
            </w:r>
            <w:r>
              <w:rPr>
                <w:rStyle w:val="48"/>
                <w:rFonts w:hint="default" w:ascii="Times New Roman" w:hAnsi="Times New Roman" w:eastAsia="宋体" w:cs="Times New Roman"/>
                <w:b w:val="0"/>
                <w:bCs w:val="0"/>
                <w:color w:val="auto"/>
                <w:sz w:val="21"/>
                <w:szCs w:val="21"/>
                <w:highlight w:val="none"/>
                <w:lang w:val="en-US" w:eastAsia="zh-CN" w:bidi="ar"/>
              </w:rPr>
              <w:t>JAR</w:t>
            </w:r>
            <w:r>
              <w:rPr>
                <w:rStyle w:val="39"/>
                <w:rFonts w:hint="default" w:ascii="Times New Roman" w:hAnsi="Times New Roman" w:eastAsia="宋体" w:cs="Times New Roman"/>
                <w:b w:val="0"/>
                <w:bCs w:val="0"/>
                <w:color w:val="auto"/>
                <w:sz w:val="21"/>
                <w:szCs w:val="21"/>
                <w:highlight w:val="none"/>
                <w:lang w:val="en-US" w:eastAsia="zh-CN" w:bidi="ar"/>
              </w:rPr>
              <w:t>、</w:t>
            </w:r>
            <w:r>
              <w:rPr>
                <w:rStyle w:val="48"/>
                <w:rFonts w:hint="default" w:ascii="Times New Roman" w:hAnsi="Times New Roman" w:eastAsia="宋体" w:cs="Times New Roman"/>
                <w:b w:val="0"/>
                <w:bCs w:val="0"/>
                <w:color w:val="auto"/>
                <w:sz w:val="21"/>
                <w:szCs w:val="21"/>
                <w:highlight w:val="none"/>
                <w:lang w:val="en-US" w:eastAsia="zh-CN" w:bidi="ar"/>
              </w:rPr>
              <w:t>PYTHON</w:t>
            </w:r>
            <w:r>
              <w:rPr>
                <w:rStyle w:val="39"/>
                <w:rFonts w:hint="default" w:ascii="Times New Roman" w:hAnsi="Times New Roman" w:eastAsia="宋体" w:cs="Times New Roman"/>
                <w:b w:val="0"/>
                <w:bCs w:val="0"/>
                <w:color w:val="auto"/>
                <w:sz w:val="21"/>
                <w:szCs w:val="21"/>
                <w:highlight w:val="none"/>
                <w:lang w:val="en-US" w:eastAsia="zh-CN" w:bidi="ar"/>
              </w:rPr>
              <w:t>、</w:t>
            </w:r>
            <w:r>
              <w:rPr>
                <w:rStyle w:val="48"/>
                <w:rFonts w:hint="default" w:ascii="Times New Roman" w:hAnsi="Times New Roman" w:eastAsia="宋体" w:cs="Times New Roman"/>
                <w:b w:val="0"/>
                <w:bCs w:val="0"/>
                <w:color w:val="auto"/>
                <w:sz w:val="21"/>
                <w:szCs w:val="21"/>
                <w:highlight w:val="none"/>
                <w:lang w:val="en-US" w:eastAsia="zh-CN" w:bidi="ar"/>
              </w:rPr>
              <w:t>PERL</w:t>
            </w:r>
            <w:r>
              <w:rPr>
                <w:rStyle w:val="39"/>
                <w:rFonts w:hint="default" w:ascii="Times New Roman" w:hAnsi="Times New Roman" w:eastAsia="宋体" w:cs="Times New Roman"/>
                <w:b w:val="0"/>
                <w:bCs w:val="0"/>
                <w:color w:val="auto"/>
                <w:sz w:val="21"/>
                <w:szCs w:val="21"/>
                <w:highlight w:val="none"/>
                <w:lang w:val="en-US" w:eastAsia="zh-CN" w:bidi="ar"/>
              </w:rPr>
              <w:t>、</w:t>
            </w:r>
            <w:r>
              <w:rPr>
                <w:rStyle w:val="48"/>
                <w:rFonts w:hint="default" w:ascii="Times New Roman" w:hAnsi="Times New Roman" w:eastAsia="宋体" w:cs="Times New Roman"/>
                <w:b w:val="0"/>
                <w:bCs w:val="0"/>
                <w:color w:val="auto"/>
                <w:sz w:val="21"/>
                <w:szCs w:val="21"/>
                <w:highlight w:val="none"/>
                <w:lang w:val="en-US" w:eastAsia="zh-CN" w:bidi="ar"/>
              </w:rPr>
              <w:t>SHELL</w:t>
            </w:r>
            <w:r>
              <w:rPr>
                <w:rStyle w:val="39"/>
                <w:rFonts w:hint="default" w:ascii="Times New Roman" w:hAnsi="Times New Roman" w:eastAsia="宋体" w:cs="Times New Roman"/>
                <w:b w:val="0"/>
                <w:bCs w:val="0"/>
                <w:color w:val="auto"/>
                <w:sz w:val="21"/>
                <w:szCs w:val="21"/>
                <w:highlight w:val="none"/>
                <w:lang w:val="en-US" w:eastAsia="zh-CN" w:bidi="ar"/>
              </w:rPr>
              <w:t>等；</w:t>
            </w:r>
          </w:p>
        </w:tc>
      </w:tr>
      <w:tr w14:paraId="52566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77" w:hRule="atLeast"/>
        </w:trPr>
        <w:tc>
          <w:tcPr>
            <w:tcW w:w="1314" w:type="dxa"/>
            <w:vMerge w:val="continue"/>
            <w:tcBorders>
              <w:tl2br w:val="nil"/>
              <w:tr2bl w:val="nil"/>
            </w:tcBorders>
            <w:shd w:val="clear" w:color="auto" w:fill="auto"/>
            <w:vAlign w:val="center"/>
          </w:tcPr>
          <w:p w14:paraId="7FAA6325">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1529" w:type="dxa"/>
            <w:vMerge w:val="continue"/>
            <w:tcBorders>
              <w:tl2br w:val="nil"/>
              <w:tr2bl w:val="nil"/>
            </w:tcBorders>
            <w:shd w:val="clear" w:color="auto" w:fill="auto"/>
            <w:vAlign w:val="center"/>
          </w:tcPr>
          <w:p w14:paraId="384652D0">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5556" w:type="dxa"/>
            <w:tcBorders>
              <w:tl2br w:val="nil"/>
              <w:tr2bl w:val="nil"/>
            </w:tcBorders>
            <w:shd w:val="clear" w:color="auto" w:fill="auto"/>
            <w:vAlign w:val="center"/>
          </w:tcPr>
          <w:p w14:paraId="2A4BA0BD">
            <w:pPr>
              <w:keepNext w:val="0"/>
              <w:keepLines w:val="0"/>
              <w:widowControl/>
              <w:suppressLineNumbers w:val="0"/>
              <w:autoSpaceDE/>
              <w:autoSpaceDN/>
              <w:spacing w:line="400" w:lineRule="exact"/>
              <w:ind w:firstLine="0" w:firstLineChars="0"/>
              <w:jc w:val="left"/>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数据服务：支持可视化、配置化、低代码、零代码等多种方式快速将物理表、复杂逻辑发布成数据服务，形式包括但不限于API接口、文件接口、消息队列等服务；</w:t>
            </w:r>
          </w:p>
        </w:tc>
      </w:tr>
      <w:tr w14:paraId="6D91C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655" w:hRule="atLeast"/>
        </w:trPr>
        <w:tc>
          <w:tcPr>
            <w:tcW w:w="1314" w:type="dxa"/>
            <w:vMerge w:val="continue"/>
            <w:tcBorders>
              <w:tl2br w:val="nil"/>
              <w:tr2bl w:val="nil"/>
            </w:tcBorders>
            <w:shd w:val="clear" w:color="auto" w:fill="auto"/>
            <w:vAlign w:val="center"/>
          </w:tcPr>
          <w:p w14:paraId="0D973714">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1529" w:type="dxa"/>
            <w:vMerge w:val="continue"/>
            <w:tcBorders>
              <w:tl2br w:val="nil"/>
              <w:tr2bl w:val="nil"/>
            </w:tcBorders>
            <w:shd w:val="clear" w:color="auto" w:fill="auto"/>
            <w:vAlign w:val="center"/>
          </w:tcPr>
          <w:p w14:paraId="45529473">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5556" w:type="dxa"/>
            <w:tcBorders>
              <w:tl2br w:val="nil"/>
              <w:tr2bl w:val="nil"/>
            </w:tcBorders>
            <w:shd w:val="clear" w:color="auto" w:fill="auto"/>
            <w:vAlign w:val="center"/>
          </w:tcPr>
          <w:p w14:paraId="57AD1A10">
            <w:pPr>
              <w:keepNext w:val="0"/>
              <w:keepLines w:val="0"/>
              <w:widowControl/>
              <w:suppressLineNumbers w:val="0"/>
              <w:autoSpaceDE/>
              <w:autoSpaceDN/>
              <w:spacing w:line="400" w:lineRule="exact"/>
              <w:ind w:firstLine="0" w:firstLineChars="0"/>
              <w:jc w:val="left"/>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平台管理：支持租户及项目管理、流程与权限管控、数据安全管控、监控运营服务；</w:t>
            </w:r>
          </w:p>
        </w:tc>
      </w:tr>
      <w:tr w14:paraId="3C37C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655" w:hRule="atLeast"/>
        </w:trPr>
        <w:tc>
          <w:tcPr>
            <w:tcW w:w="1314" w:type="dxa"/>
            <w:vMerge w:val="continue"/>
            <w:tcBorders>
              <w:tl2br w:val="nil"/>
              <w:tr2bl w:val="nil"/>
            </w:tcBorders>
            <w:shd w:val="clear" w:color="auto" w:fill="auto"/>
            <w:vAlign w:val="center"/>
          </w:tcPr>
          <w:p w14:paraId="3F50C20D">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1529" w:type="dxa"/>
            <w:vMerge w:val="continue"/>
            <w:tcBorders>
              <w:tl2br w:val="nil"/>
              <w:tr2bl w:val="nil"/>
            </w:tcBorders>
            <w:shd w:val="clear" w:color="auto" w:fill="auto"/>
            <w:vAlign w:val="center"/>
          </w:tcPr>
          <w:p w14:paraId="07AC365B">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5556" w:type="dxa"/>
            <w:tcBorders>
              <w:tl2br w:val="nil"/>
              <w:tr2bl w:val="nil"/>
            </w:tcBorders>
            <w:shd w:val="clear" w:color="auto" w:fill="auto"/>
            <w:vAlign w:val="center"/>
          </w:tcPr>
          <w:p w14:paraId="014F6E35">
            <w:pPr>
              <w:keepNext w:val="0"/>
              <w:keepLines w:val="0"/>
              <w:widowControl/>
              <w:suppressLineNumbers w:val="0"/>
              <w:autoSpaceDE/>
              <w:autoSpaceDN/>
              <w:spacing w:line="400" w:lineRule="exact"/>
              <w:ind w:firstLine="0" w:firstLineChars="0"/>
              <w:jc w:val="left"/>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数据管理：具备完善的系统元数据、业务元数据、血缘关系的完整记录；支持元数据检索、数据分级安全管理；</w:t>
            </w:r>
          </w:p>
        </w:tc>
      </w:tr>
      <w:tr w14:paraId="395FA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77" w:hRule="atLeast"/>
        </w:trPr>
        <w:tc>
          <w:tcPr>
            <w:tcW w:w="1314" w:type="dxa"/>
            <w:vMerge w:val="continue"/>
            <w:tcBorders>
              <w:tl2br w:val="nil"/>
              <w:tr2bl w:val="nil"/>
            </w:tcBorders>
            <w:shd w:val="clear" w:color="auto" w:fill="auto"/>
            <w:vAlign w:val="center"/>
          </w:tcPr>
          <w:p w14:paraId="658E0BBC">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1529" w:type="dxa"/>
            <w:vMerge w:val="continue"/>
            <w:tcBorders>
              <w:tl2br w:val="nil"/>
              <w:tr2bl w:val="nil"/>
            </w:tcBorders>
            <w:shd w:val="clear" w:color="auto" w:fill="auto"/>
            <w:vAlign w:val="center"/>
          </w:tcPr>
          <w:p w14:paraId="15F5FEF9">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5556" w:type="dxa"/>
            <w:tcBorders>
              <w:tl2br w:val="nil"/>
              <w:tr2bl w:val="nil"/>
            </w:tcBorders>
            <w:shd w:val="clear" w:color="auto" w:fill="auto"/>
            <w:vAlign w:val="center"/>
          </w:tcPr>
          <w:p w14:paraId="0BC39DAD">
            <w:pPr>
              <w:keepNext w:val="0"/>
              <w:keepLines w:val="0"/>
              <w:widowControl/>
              <w:suppressLineNumbers w:val="0"/>
              <w:autoSpaceDE/>
              <w:autoSpaceDN/>
              <w:spacing w:line="400" w:lineRule="exact"/>
              <w:ind w:firstLine="0" w:firstLineChars="0"/>
              <w:jc w:val="left"/>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客制化功能：完成全部客制化功能需求的开发、集成、测试和试运行；包括但不限于定制化功能、第三方产品服务集成，具有良好的适配性和性能；</w:t>
            </w:r>
          </w:p>
        </w:tc>
      </w:tr>
      <w:tr w14:paraId="08CC7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655" w:hRule="atLeast"/>
        </w:trPr>
        <w:tc>
          <w:tcPr>
            <w:tcW w:w="1314" w:type="dxa"/>
            <w:vMerge w:val="continue"/>
            <w:tcBorders>
              <w:tl2br w:val="nil"/>
              <w:tr2bl w:val="nil"/>
            </w:tcBorders>
            <w:shd w:val="clear" w:color="auto" w:fill="auto"/>
            <w:vAlign w:val="center"/>
          </w:tcPr>
          <w:p w14:paraId="3BE84653">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1529" w:type="dxa"/>
            <w:vMerge w:val="continue"/>
            <w:tcBorders>
              <w:tl2br w:val="nil"/>
              <w:tr2bl w:val="nil"/>
            </w:tcBorders>
            <w:shd w:val="clear" w:color="auto" w:fill="auto"/>
            <w:vAlign w:val="center"/>
          </w:tcPr>
          <w:p w14:paraId="3474985F">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5556" w:type="dxa"/>
            <w:tcBorders>
              <w:tl2br w:val="nil"/>
              <w:tr2bl w:val="nil"/>
            </w:tcBorders>
            <w:shd w:val="clear" w:color="auto" w:fill="auto"/>
            <w:vAlign w:val="center"/>
          </w:tcPr>
          <w:p w14:paraId="2ED4F73E">
            <w:pPr>
              <w:keepNext w:val="0"/>
              <w:keepLines w:val="0"/>
              <w:widowControl/>
              <w:suppressLineNumbers w:val="0"/>
              <w:autoSpaceDE/>
              <w:autoSpaceDN/>
              <w:spacing w:line="400" w:lineRule="exact"/>
              <w:ind w:firstLine="0" w:firstLineChars="0"/>
              <w:jc w:val="left"/>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平台服务节点、存储、计算服务资源满足各项数据处理需求且不低于合同的资源授权最低要求；</w:t>
            </w:r>
          </w:p>
        </w:tc>
      </w:tr>
      <w:tr w14:paraId="314EA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5" w:hRule="atLeast"/>
        </w:trPr>
        <w:tc>
          <w:tcPr>
            <w:tcW w:w="1314" w:type="dxa"/>
            <w:vMerge w:val="continue"/>
            <w:tcBorders>
              <w:tl2br w:val="nil"/>
              <w:tr2bl w:val="nil"/>
            </w:tcBorders>
            <w:shd w:val="clear" w:color="auto" w:fill="auto"/>
            <w:vAlign w:val="center"/>
          </w:tcPr>
          <w:p w14:paraId="7F3D353A">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1529" w:type="dxa"/>
            <w:vMerge w:val="restart"/>
            <w:tcBorders>
              <w:tl2br w:val="nil"/>
              <w:tr2bl w:val="nil"/>
            </w:tcBorders>
            <w:shd w:val="clear" w:color="auto" w:fill="auto"/>
            <w:vAlign w:val="center"/>
          </w:tcPr>
          <w:p w14:paraId="3AB44E02">
            <w:pPr>
              <w:keepNext w:val="0"/>
              <w:keepLines w:val="0"/>
              <w:widowControl/>
              <w:suppressLineNumbers w:val="0"/>
              <w:autoSpaceDE/>
              <w:autoSpaceDN/>
              <w:spacing w:line="400" w:lineRule="exact"/>
              <w:ind w:firstLine="0" w:firstLineChars="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稳定性、安全性要求</w:t>
            </w:r>
          </w:p>
        </w:tc>
        <w:tc>
          <w:tcPr>
            <w:tcW w:w="5556" w:type="dxa"/>
            <w:tcBorders>
              <w:tl2br w:val="nil"/>
              <w:tr2bl w:val="nil"/>
            </w:tcBorders>
            <w:shd w:val="clear" w:color="auto" w:fill="auto"/>
            <w:vAlign w:val="center"/>
          </w:tcPr>
          <w:p w14:paraId="01C95952">
            <w:pPr>
              <w:keepNext w:val="0"/>
              <w:keepLines w:val="0"/>
              <w:widowControl/>
              <w:suppressLineNumbers w:val="0"/>
              <w:autoSpaceDE/>
              <w:autoSpaceDN/>
              <w:spacing w:line="400" w:lineRule="exact"/>
              <w:ind w:firstLine="0" w:firstLineChars="0"/>
              <w:jc w:val="left"/>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具有良好的高可用和扩展性，无单点故障等架构设计缺陷；</w:t>
            </w:r>
          </w:p>
        </w:tc>
      </w:tr>
      <w:tr w14:paraId="4F81F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5" w:hRule="atLeast"/>
        </w:trPr>
        <w:tc>
          <w:tcPr>
            <w:tcW w:w="1314" w:type="dxa"/>
            <w:vMerge w:val="continue"/>
            <w:tcBorders>
              <w:tl2br w:val="nil"/>
              <w:tr2bl w:val="nil"/>
            </w:tcBorders>
            <w:shd w:val="clear" w:color="auto" w:fill="auto"/>
            <w:vAlign w:val="center"/>
          </w:tcPr>
          <w:p w14:paraId="46E1D9A1">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1529" w:type="dxa"/>
            <w:vMerge w:val="continue"/>
            <w:tcBorders>
              <w:tl2br w:val="nil"/>
              <w:tr2bl w:val="nil"/>
            </w:tcBorders>
            <w:shd w:val="clear" w:color="auto" w:fill="auto"/>
            <w:vAlign w:val="center"/>
          </w:tcPr>
          <w:p w14:paraId="3E661748">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5556" w:type="dxa"/>
            <w:tcBorders>
              <w:tl2br w:val="nil"/>
              <w:tr2bl w:val="nil"/>
            </w:tcBorders>
            <w:shd w:val="clear" w:color="auto" w:fill="auto"/>
            <w:vAlign w:val="center"/>
          </w:tcPr>
          <w:p w14:paraId="09C64C36">
            <w:pPr>
              <w:keepNext w:val="0"/>
              <w:keepLines w:val="0"/>
              <w:widowControl/>
              <w:suppressLineNumbers w:val="0"/>
              <w:autoSpaceDE/>
              <w:autoSpaceDN/>
              <w:spacing w:line="400" w:lineRule="exact"/>
              <w:ind w:firstLine="0" w:firstLineChars="0"/>
              <w:jc w:val="left"/>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稳定性方面，稳定运行时间7*24小时，成功率&gt;=99.9%，满足整体RPO/RTO要求；</w:t>
            </w:r>
          </w:p>
        </w:tc>
      </w:tr>
      <w:tr w14:paraId="236D1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655" w:hRule="atLeast"/>
        </w:trPr>
        <w:tc>
          <w:tcPr>
            <w:tcW w:w="1314" w:type="dxa"/>
            <w:vMerge w:val="continue"/>
            <w:tcBorders>
              <w:tl2br w:val="nil"/>
              <w:tr2bl w:val="nil"/>
            </w:tcBorders>
            <w:shd w:val="clear" w:color="auto" w:fill="auto"/>
            <w:vAlign w:val="center"/>
          </w:tcPr>
          <w:p w14:paraId="7384D18D">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1529" w:type="dxa"/>
            <w:vMerge w:val="continue"/>
            <w:tcBorders>
              <w:tl2br w:val="nil"/>
              <w:tr2bl w:val="nil"/>
            </w:tcBorders>
            <w:shd w:val="clear" w:color="auto" w:fill="auto"/>
            <w:vAlign w:val="center"/>
          </w:tcPr>
          <w:p w14:paraId="5EED5C56">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5556" w:type="dxa"/>
            <w:tcBorders>
              <w:tl2br w:val="nil"/>
              <w:tr2bl w:val="nil"/>
            </w:tcBorders>
            <w:shd w:val="clear" w:color="auto" w:fill="auto"/>
            <w:vAlign w:val="center"/>
          </w:tcPr>
          <w:p w14:paraId="57C4E47E">
            <w:pPr>
              <w:keepNext w:val="0"/>
              <w:keepLines w:val="0"/>
              <w:widowControl/>
              <w:suppressLineNumbers w:val="0"/>
              <w:autoSpaceDE/>
              <w:autoSpaceDN/>
              <w:spacing w:line="400" w:lineRule="exact"/>
              <w:ind w:firstLine="0" w:firstLineChars="0"/>
              <w:jc w:val="left"/>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试运行期间无发生重大系统异常导致业务中断，如发生将纳入最终项目SLA考核，并按照SLA要求进行执行，同时试运行时间将顺延；</w:t>
            </w:r>
          </w:p>
        </w:tc>
      </w:tr>
      <w:tr w14:paraId="24F1D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5" w:hRule="atLeast"/>
        </w:trPr>
        <w:tc>
          <w:tcPr>
            <w:tcW w:w="1314" w:type="dxa"/>
            <w:vMerge w:val="continue"/>
            <w:tcBorders>
              <w:tl2br w:val="nil"/>
              <w:tr2bl w:val="nil"/>
            </w:tcBorders>
            <w:shd w:val="clear" w:color="auto" w:fill="auto"/>
            <w:vAlign w:val="center"/>
          </w:tcPr>
          <w:p w14:paraId="4FBB9E4E">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1529" w:type="dxa"/>
            <w:vMerge w:val="continue"/>
            <w:tcBorders>
              <w:tl2br w:val="nil"/>
              <w:tr2bl w:val="nil"/>
            </w:tcBorders>
            <w:shd w:val="clear" w:color="auto" w:fill="auto"/>
            <w:vAlign w:val="center"/>
          </w:tcPr>
          <w:p w14:paraId="35FC25D0">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5556" w:type="dxa"/>
            <w:tcBorders>
              <w:tl2br w:val="nil"/>
              <w:tr2bl w:val="nil"/>
            </w:tcBorders>
            <w:shd w:val="clear" w:color="auto" w:fill="auto"/>
            <w:vAlign w:val="center"/>
          </w:tcPr>
          <w:p w14:paraId="4243673C">
            <w:pPr>
              <w:keepNext w:val="0"/>
              <w:keepLines w:val="0"/>
              <w:widowControl/>
              <w:suppressLineNumbers w:val="0"/>
              <w:autoSpaceDE/>
              <w:autoSpaceDN/>
              <w:spacing w:line="400" w:lineRule="exact"/>
              <w:ind w:firstLine="0" w:firstLineChars="0"/>
              <w:jc w:val="left"/>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按照我行信息系统管理的相关要求，对平台服务进行安全和漏洞扫描，验收时满足验收标准；</w:t>
            </w:r>
          </w:p>
        </w:tc>
      </w:tr>
      <w:tr w14:paraId="12377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5" w:hRule="atLeast"/>
        </w:trPr>
        <w:tc>
          <w:tcPr>
            <w:tcW w:w="1314" w:type="dxa"/>
            <w:vMerge w:val="continue"/>
            <w:tcBorders>
              <w:tl2br w:val="nil"/>
              <w:tr2bl w:val="nil"/>
            </w:tcBorders>
            <w:shd w:val="clear" w:color="auto" w:fill="auto"/>
            <w:vAlign w:val="center"/>
          </w:tcPr>
          <w:p w14:paraId="56F7A44A">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1529" w:type="dxa"/>
            <w:vMerge w:val="continue"/>
            <w:tcBorders>
              <w:tl2br w:val="nil"/>
              <w:tr2bl w:val="nil"/>
            </w:tcBorders>
            <w:shd w:val="clear" w:color="auto" w:fill="auto"/>
            <w:vAlign w:val="center"/>
          </w:tcPr>
          <w:p w14:paraId="59F9B2F1">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5556" w:type="dxa"/>
            <w:tcBorders>
              <w:tl2br w:val="nil"/>
              <w:tr2bl w:val="nil"/>
            </w:tcBorders>
            <w:shd w:val="clear" w:color="auto" w:fill="auto"/>
            <w:vAlign w:val="center"/>
          </w:tcPr>
          <w:p w14:paraId="7377F4C6">
            <w:pPr>
              <w:keepNext w:val="0"/>
              <w:keepLines w:val="0"/>
              <w:widowControl/>
              <w:suppressLineNumbers w:val="0"/>
              <w:autoSpaceDE/>
              <w:autoSpaceDN/>
              <w:spacing w:line="400" w:lineRule="exact"/>
              <w:ind w:firstLine="0" w:firstLineChars="0"/>
              <w:jc w:val="left"/>
              <w:textAlignment w:val="center"/>
              <w:rPr>
                <w:rFonts w:hint="default" w:ascii="Times New Roman" w:hAnsi="Times New Roman" w:eastAsia="宋体" w:cs="Times New Roman"/>
                <w:b w:val="0"/>
                <w:bCs w:val="0"/>
                <w:i w:val="0"/>
                <w:iCs w:val="0"/>
                <w:color w:val="auto"/>
                <w:sz w:val="21"/>
                <w:szCs w:val="21"/>
                <w:highlight w:val="none"/>
                <w:u w:val="none"/>
              </w:rPr>
            </w:pPr>
            <w:r>
              <w:rPr>
                <w:rStyle w:val="39"/>
                <w:rFonts w:hint="default" w:ascii="Times New Roman" w:hAnsi="Times New Roman" w:eastAsia="宋体" w:cs="Times New Roman"/>
                <w:b w:val="0"/>
                <w:bCs w:val="0"/>
                <w:color w:val="auto"/>
                <w:sz w:val="21"/>
                <w:szCs w:val="21"/>
                <w:highlight w:val="none"/>
                <w:lang w:val="en-US" w:eastAsia="zh-CN" w:bidi="ar"/>
              </w:rPr>
              <w:t>数据作业平台服务验收时，已知缺陷率为</w:t>
            </w:r>
            <w:r>
              <w:rPr>
                <w:rStyle w:val="48"/>
                <w:rFonts w:hint="default" w:ascii="Times New Roman" w:hAnsi="Times New Roman" w:eastAsia="宋体" w:cs="Times New Roman"/>
                <w:b w:val="0"/>
                <w:bCs w:val="0"/>
                <w:color w:val="auto"/>
                <w:sz w:val="21"/>
                <w:szCs w:val="21"/>
                <w:highlight w:val="none"/>
                <w:lang w:val="en-US" w:eastAsia="zh-CN" w:bidi="ar"/>
              </w:rPr>
              <w:t>0</w:t>
            </w:r>
            <w:r>
              <w:rPr>
                <w:rStyle w:val="39"/>
                <w:rFonts w:hint="default" w:ascii="Times New Roman" w:hAnsi="Times New Roman" w:eastAsia="宋体" w:cs="Times New Roman"/>
                <w:b w:val="0"/>
                <w:bCs w:val="0"/>
                <w:color w:val="auto"/>
                <w:sz w:val="21"/>
                <w:szCs w:val="21"/>
                <w:highlight w:val="none"/>
                <w:lang w:val="en-US" w:eastAsia="zh-CN" w:bidi="ar"/>
              </w:rPr>
              <w:t>，包括但不限于设计缺陷、功能缺陷、兼容性缺陷；</w:t>
            </w:r>
          </w:p>
        </w:tc>
      </w:tr>
      <w:tr w14:paraId="49478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655" w:hRule="atLeast"/>
        </w:trPr>
        <w:tc>
          <w:tcPr>
            <w:tcW w:w="1314" w:type="dxa"/>
            <w:vMerge w:val="continue"/>
            <w:tcBorders>
              <w:tl2br w:val="nil"/>
              <w:tr2bl w:val="nil"/>
            </w:tcBorders>
            <w:shd w:val="clear" w:color="auto" w:fill="auto"/>
            <w:vAlign w:val="center"/>
          </w:tcPr>
          <w:p w14:paraId="7FDBDEE4">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1529" w:type="dxa"/>
            <w:vMerge w:val="continue"/>
            <w:tcBorders>
              <w:tl2br w:val="nil"/>
              <w:tr2bl w:val="nil"/>
            </w:tcBorders>
            <w:shd w:val="clear" w:color="auto" w:fill="auto"/>
            <w:vAlign w:val="center"/>
          </w:tcPr>
          <w:p w14:paraId="54F96908">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5556" w:type="dxa"/>
            <w:tcBorders>
              <w:tl2br w:val="nil"/>
              <w:tr2bl w:val="nil"/>
            </w:tcBorders>
            <w:shd w:val="clear" w:color="auto" w:fill="auto"/>
            <w:vAlign w:val="center"/>
          </w:tcPr>
          <w:p w14:paraId="29DDE7C4">
            <w:pPr>
              <w:keepNext w:val="0"/>
              <w:keepLines w:val="0"/>
              <w:widowControl/>
              <w:suppressLineNumbers w:val="0"/>
              <w:autoSpaceDE/>
              <w:autoSpaceDN/>
              <w:spacing w:line="400" w:lineRule="exact"/>
              <w:ind w:firstLine="0" w:firstLineChars="0"/>
              <w:jc w:val="left"/>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满足国产软硬件适配和稳定性、兼容性要求；包括但不限于服务器、中间件、操作系统、数据库；</w:t>
            </w:r>
          </w:p>
        </w:tc>
      </w:tr>
      <w:tr w14:paraId="1EF7D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655" w:hRule="atLeast"/>
        </w:trPr>
        <w:tc>
          <w:tcPr>
            <w:tcW w:w="1314" w:type="dxa"/>
            <w:vMerge w:val="continue"/>
            <w:tcBorders>
              <w:tl2br w:val="nil"/>
              <w:tr2bl w:val="nil"/>
            </w:tcBorders>
            <w:shd w:val="clear" w:color="auto" w:fill="auto"/>
            <w:vAlign w:val="center"/>
          </w:tcPr>
          <w:p w14:paraId="562AF7F8">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1529" w:type="dxa"/>
            <w:vMerge w:val="restart"/>
            <w:tcBorders>
              <w:tl2br w:val="nil"/>
              <w:tr2bl w:val="nil"/>
            </w:tcBorders>
            <w:shd w:val="clear" w:color="auto" w:fill="auto"/>
            <w:vAlign w:val="center"/>
          </w:tcPr>
          <w:p w14:paraId="73C17443">
            <w:pPr>
              <w:keepNext w:val="0"/>
              <w:keepLines w:val="0"/>
              <w:widowControl/>
              <w:suppressLineNumbers w:val="0"/>
              <w:autoSpaceDE/>
              <w:autoSpaceDN/>
              <w:spacing w:line="400" w:lineRule="exact"/>
              <w:ind w:firstLine="0" w:firstLineChars="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性能及效率要求</w:t>
            </w:r>
          </w:p>
        </w:tc>
        <w:tc>
          <w:tcPr>
            <w:tcW w:w="5556" w:type="dxa"/>
            <w:tcBorders>
              <w:tl2br w:val="nil"/>
              <w:tr2bl w:val="nil"/>
            </w:tcBorders>
            <w:shd w:val="clear" w:color="auto" w:fill="auto"/>
            <w:vAlign w:val="center"/>
          </w:tcPr>
          <w:p w14:paraId="4FA8E2EB">
            <w:pPr>
              <w:keepNext w:val="0"/>
              <w:keepLines w:val="0"/>
              <w:widowControl/>
              <w:suppressLineNumbers w:val="0"/>
              <w:autoSpaceDE/>
              <w:autoSpaceDN/>
              <w:spacing w:line="400" w:lineRule="exact"/>
              <w:ind w:firstLine="0" w:firstLineChars="0"/>
              <w:jc w:val="left"/>
              <w:textAlignment w:val="center"/>
              <w:rPr>
                <w:rFonts w:hint="default" w:ascii="Times New Roman" w:hAnsi="Times New Roman" w:eastAsia="宋体" w:cs="Times New Roman"/>
                <w:b w:val="0"/>
                <w:bCs w:val="0"/>
                <w:i w:val="0"/>
                <w:iCs w:val="0"/>
                <w:color w:val="auto"/>
                <w:sz w:val="21"/>
                <w:szCs w:val="21"/>
                <w:highlight w:val="none"/>
                <w:u w:val="none"/>
              </w:rPr>
            </w:pPr>
            <w:r>
              <w:rPr>
                <w:rStyle w:val="39"/>
                <w:rFonts w:hint="default" w:ascii="Times New Roman" w:hAnsi="Times New Roman" w:eastAsia="宋体" w:cs="Times New Roman"/>
                <w:b w:val="0"/>
                <w:bCs w:val="0"/>
                <w:color w:val="auto"/>
                <w:sz w:val="21"/>
                <w:szCs w:val="21"/>
                <w:highlight w:val="none"/>
                <w:lang w:val="en-US" w:eastAsia="zh-CN" w:bidi="ar"/>
              </w:rPr>
              <w:t>离线数仓除特殊批量（如绩效第二批次等）外，其余每日批量任务必须在营业前</w:t>
            </w:r>
            <w:r>
              <w:rPr>
                <w:rStyle w:val="52"/>
                <w:rFonts w:hint="default" w:ascii="Times New Roman" w:hAnsi="Times New Roman" w:eastAsia="宋体" w:cs="Times New Roman"/>
                <w:b w:val="0"/>
                <w:bCs w:val="0"/>
                <w:color w:val="auto"/>
                <w:sz w:val="21"/>
                <w:szCs w:val="21"/>
                <w:highlight w:val="none"/>
                <w:lang w:val="en-US" w:eastAsia="zh-CN" w:bidi="ar"/>
              </w:rPr>
              <w:t>（每日8:00）</w:t>
            </w:r>
            <w:r>
              <w:rPr>
                <w:rStyle w:val="39"/>
                <w:rFonts w:hint="default" w:ascii="Times New Roman" w:hAnsi="Times New Roman" w:eastAsia="宋体" w:cs="Times New Roman"/>
                <w:b w:val="0"/>
                <w:bCs w:val="0"/>
                <w:color w:val="auto"/>
                <w:sz w:val="21"/>
                <w:szCs w:val="21"/>
                <w:highlight w:val="none"/>
                <w:lang w:val="en-US" w:eastAsia="zh-CN" w:bidi="ar"/>
              </w:rPr>
              <w:t>完成；</w:t>
            </w:r>
          </w:p>
        </w:tc>
      </w:tr>
      <w:tr w14:paraId="7D244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655" w:hRule="atLeast"/>
        </w:trPr>
        <w:tc>
          <w:tcPr>
            <w:tcW w:w="1314" w:type="dxa"/>
            <w:vMerge w:val="continue"/>
            <w:tcBorders>
              <w:tl2br w:val="nil"/>
              <w:tr2bl w:val="nil"/>
            </w:tcBorders>
            <w:shd w:val="clear" w:color="auto" w:fill="auto"/>
            <w:vAlign w:val="center"/>
          </w:tcPr>
          <w:p w14:paraId="49730C03">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1529" w:type="dxa"/>
            <w:vMerge w:val="continue"/>
            <w:tcBorders>
              <w:tl2br w:val="nil"/>
              <w:tr2bl w:val="nil"/>
            </w:tcBorders>
            <w:shd w:val="clear" w:color="auto" w:fill="auto"/>
            <w:vAlign w:val="center"/>
          </w:tcPr>
          <w:p w14:paraId="6568C5BC">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5556" w:type="dxa"/>
            <w:tcBorders>
              <w:tl2br w:val="nil"/>
              <w:tr2bl w:val="nil"/>
            </w:tcBorders>
            <w:shd w:val="clear" w:color="auto" w:fill="auto"/>
            <w:vAlign w:val="center"/>
          </w:tcPr>
          <w:p w14:paraId="58A26257">
            <w:pPr>
              <w:keepNext w:val="0"/>
              <w:keepLines w:val="0"/>
              <w:widowControl/>
              <w:suppressLineNumbers w:val="0"/>
              <w:autoSpaceDE/>
              <w:autoSpaceDN/>
              <w:spacing w:line="400" w:lineRule="exact"/>
              <w:ind w:firstLine="0" w:firstLineChars="0"/>
              <w:jc w:val="left"/>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负载方面，系统处理TPS&gt;=1000笔/秒，QPS&gt;=3000次/秒，能够支撑每日50000以上调度任务；</w:t>
            </w:r>
          </w:p>
        </w:tc>
      </w:tr>
      <w:tr w14:paraId="7137C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61" w:hRule="atLeast"/>
        </w:trPr>
        <w:tc>
          <w:tcPr>
            <w:tcW w:w="1314" w:type="dxa"/>
            <w:vMerge w:val="continue"/>
            <w:tcBorders>
              <w:tl2br w:val="nil"/>
              <w:tr2bl w:val="nil"/>
            </w:tcBorders>
            <w:shd w:val="clear" w:color="auto" w:fill="auto"/>
            <w:vAlign w:val="center"/>
          </w:tcPr>
          <w:p w14:paraId="67128AC3">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1529" w:type="dxa"/>
            <w:vMerge w:val="continue"/>
            <w:tcBorders>
              <w:tl2br w:val="nil"/>
              <w:tr2bl w:val="nil"/>
            </w:tcBorders>
            <w:shd w:val="clear" w:color="auto" w:fill="auto"/>
            <w:vAlign w:val="center"/>
          </w:tcPr>
          <w:p w14:paraId="4121EC9F">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5556" w:type="dxa"/>
            <w:tcBorders>
              <w:tl2br w:val="nil"/>
              <w:tr2bl w:val="nil"/>
            </w:tcBorders>
            <w:shd w:val="clear" w:color="auto" w:fill="auto"/>
            <w:vAlign w:val="center"/>
          </w:tcPr>
          <w:p w14:paraId="42977303">
            <w:pPr>
              <w:keepNext w:val="0"/>
              <w:keepLines w:val="0"/>
              <w:widowControl/>
              <w:suppressLineNumbers w:val="0"/>
              <w:autoSpaceDE/>
              <w:autoSpaceDN/>
              <w:spacing w:line="400" w:lineRule="exact"/>
              <w:ind w:firstLine="0" w:firstLineChars="0"/>
              <w:jc w:val="left"/>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资源利用方面，系统服务资源占用高峰（夜间批量、各类高频场景使用期间）满足CPU使用率&lt;=70%,磁盘繁忙率&lt;=70%,内存使用率&lt;=70%;</w:t>
            </w:r>
          </w:p>
        </w:tc>
      </w:tr>
      <w:tr w14:paraId="7257CE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655" w:hRule="atLeast"/>
        </w:trPr>
        <w:tc>
          <w:tcPr>
            <w:tcW w:w="1314" w:type="dxa"/>
            <w:vMerge w:val="restart"/>
            <w:tcBorders>
              <w:tl2br w:val="nil"/>
              <w:tr2bl w:val="nil"/>
            </w:tcBorders>
            <w:shd w:val="clear" w:color="auto" w:fill="auto"/>
            <w:vAlign w:val="center"/>
          </w:tcPr>
          <w:p w14:paraId="49995624">
            <w:pPr>
              <w:keepNext w:val="0"/>
              <w:keepLines w:val="0"/>
              <w:widowControl/>
              <w:suppressLineNumbers w:val="0"/>
              <w:autoSpaceDE/>
              <w:autoSpaceDN/>
              <w:spacing w:line="400" w:lineRule="exact"/>
              <w:ind w:firstLine="0" w:firstLineChars="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数据中台实施与迁移</w:t>
            </w:r>
          </w:p>
        </w:tc>
        <w:tc>
          <w:tcPr>
            <w:tcW w:w="1529" w:type="dxa"/>
            <w:vMerge w:val="restart"/>
            <w:tcBorders>
              <w:tl2br w:val="nil"/>
              <w:tr2bl w:val="nil"/>
            </w:tcBorders>
            <w:shd w:val="clear" w:color="auto" w:fill="auto"/>
            <w:vAlign w:val="center"/>
          </w:tcPr>
          <w:p w14:paraId="6FB60C9C">
            <w:pPr>
              <w:keepNext w:val="0"/>
              <w:keepLines w:val="0"/>
              <w:widowControl/>
              <w:suppressLineNumbers w:val="0"/>
              <w:autoSpaceDE/>
              <w:autoSpaceDN/>
              <w:spacing w:line="400" w:lineRule="exact"/>
              <w:ind w:firstLine="0" w:firstLineChars="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数据中台服务体系建设要求</w:t>
            </w:r>
          </w:p>
        </w:tc>
        <w:tc>
          <w:tcPr>
            <w:tcW w:w="5556" w:type="dxa"/>
            <w:tcBorders>
              <w:tl2br w:val="nil"/>
              <w:tr2bl w:val="nil"/>
            </w:tcBorders>
            <w:shd w:val="clear" w:color="auto" w:fill="auto"/>
            <w:vAlign w:val="center"/>
          </w:tcPr>
          <w:p w14:paraId="18ED4606">
            <w:pPr>
              <w:keepNext w:val="0"/>
              <w:keepLines w:val="0"/>
              <w:widowControl/>
              <w:suppressLineNumbers w:val="0"/>
              <w:autoSpaceDE/>
              <w:autoSpaceDN/>
              <w:spacing w:line="400" w:lineRule="exact"/>
              <w:ind w:firstLine="0" w:firstLineChars="0"/>
              <w:jc w:val="left"/>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完成我行数据服务体系现状分析调研，形成项目整体建设规划，包括但不限于数据中台架构设计、实施和迁移方案制定；</w:t>
            </w:r>
          </w:p>
        </w:tc>
      </w:tr>
      <w:tr w14:paraId="51ED6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639" w:hRule="atLeast"/>
        </w:trPr>
        <w:tc>
          <w:tcPr>
            <w:tcW w:w="1314" w:type="dxa"/>
            <w:vMerge w:val="continue"/>
            <w:tcBorders>
              <w:tl2br w:val="nil"/>
              <w:tr2bl w:val="nil"/>
            </w:tcBorders>
            <w:shd w:val="clear" w:color="auto" w:fill="auto"/>
            <w:vAlign w:val="center"/>
          </w:tcPr>
          <w:p w14:paraId="1A61A388">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1529" w:type="dxa"/>
            <w:vMerge w:val="continue"/>
            <w:tcBorders>
              <w:tl2br w:val="nil"/>
              <w:tr2bl w:val="nil"/>
            </w:tcBorders>
            <w:shd w:val="clear" w:color="auto" w:fill="auto"/>
            <w:vAlign w:val="center"/>
          </w:tcPr>
          <w:p w14:paraId="7F143B16">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5556" w:type="dxa"/>
            <w:tcBorders>
              <w:tl2br w:val="nil"/>
              <w:tr2bl w:val="nil"/>
            </w:tcBorders>
            <w:shd w:val="clear" w:color="auto" w:fill="auto"/>
            <w:vAlign w:val="center"/>
          </w:tcPr>
          <w:p w14:paraId="28707018">
            <w:pPr>
              <w:keepNext w:val="0"/>
              <w:keepLines w:val="0"/>
              <w:widowControl/>
              <w:suppressLineNumbers w:val="0"/>
              <w:autoSpaceDE/>
              <w:autoSpaceDN/>
              <w:spacing w:line="400" w:lineRule="exact"/>
              <w:ind w:firstLine="0" w:firstLineChars="0"/>
              <w:jc w:val="left"/>
              <w:textAlignment w:val="center"/>
              <w:rPr>
                <w:rFonts w:hint="default" w:ascii="Times New Roman" w:hAnsi="Times New Roman" w:eastAsia="宋体" w:cs="Times New Roman"/>
                <w:b w:val="0"/>
                <w:bCs w:val="0"/>
                <w:i w:val="0"/>
                <w:iCs w:val="0"/>
                <w:color w:val="auto"/>
                <w:sz w:val="21"/>
                <w:szCs w:val="21"/>
                <w:highlight w:val="none"/>
                <w:u w:val="none"/>
              </w:rPr>
            </w:pPr>
            <w:r>
              <w:rPr>
                <w:rStyle w:val="39"/>
                <w:rFonts w:hint="default" w:ascii="Times New Roman" w:hAnsi="Times New Roman" w:eastAsia="宋体" w:cs="Times New Roman"/>
                <w:b w:val="0"/>
                <w:bCs w:val="0"/>
                <w:color w:val="auto"/>
                <w:sz w:val="21"/>
                <w:szCs w:val="21"/>
                <w:highlight w:val="none"/>
                <w:lang w:val="en-US" w:eastAsia="zh-CN" w:bidi="ar"/>
              </w:rPr>
              <w:t>完成数据管理与运营体系规划，并从管理规范、规章制度、流程制度、组织保障方面执行，根据最终</w:t>
            </w:r>
            <w:r>
              <w:rPr>
                <w:rStyle w:val="52"/>
                <w:rFonts w:hint="default" w:ascii="Times New Roman" w:hAnsi="Times New Roman" w:eastAsia="宋体" w:cs="Times New Roman"/>
                <w:b w:val="0"/>
                <w:bCs w:val="0"/>
                <w:color w:val="auto"/>
                <w:sz w:val="21"/>
                <w:szCs w:val="21"/>
                <w:highlight w:val="none"/>
                <w:lang w:val="en-US" w:eastAsia="zh-CN" w:bidi="ar"/>
              </w:rPr>
              <w:t>执行情况综合</w:t>
            </w:r>
            <w:r>
              <w:rPr>
                <w:rStyle w:val="39"/>
                <w:rFonts w:hint="default" w:ascii="Times New Roman" w:hAnsi="Times New Roman" w:eastAsia="宋体" w:cs="Times New Roman"/>
                <w:b w:val="0"/>
                <w:bCs w:val="0"/>
                <w:color w:val="auto"/>
                <w:sz w:val="21"/>
                <w:szCs w:val="21"/>
                <w:highlight w:val="none"/>
                <w:lang w:val="en-US" w:eastAsia="zh-CN" w:bidi="ar"/>
              </w:rPr>
              <w:t>评估；</w:t>
            </w:r>
          </w:p>
        </w:tc>
      </w:tr>
      <w:tr w14:paraId="22651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655" w:hRule="atLeast"/>
        </w:trPr>
        <w:tc>
          <w:tcPr>
            <w:tcW w:w="1314" w:type="dxa"/>
            <w:vMerge w:val="continue"/>
            <w:tcBorders>
              <w:tl2br w:val="nil"/>
              <w:tr2bl w:val="nil"/>
            </w:tcBorders>
            <w:shd w:val="clear" w:color="auto" w:fill="auto"/>
            <w:vAlign w:val="center"/>
          </w:tcPr>
          <w:p w14:paraId="2103ADDC">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1529" w:type="dxa"/>
            <w:vMerge w:val="restart"/>
            <w:tcBorders>
              <w:tl2br w:val="nil"/>
              <w:tr2bl w:val="nil"/>
            </w:tcBorders>
            <w:shd w:val="clear" w:color="auto" w:fill="auto"/>
            <w:vAlign w:val="center"/>
          </w:tcPr>
          <w:p w14:paraId="5E858852">
            <w:pPr>
              <w:keepNext w:val="0"/>
              <w:keepLines w:val="0"/>
              <w:widowControl/>
              <w:suppressLineNumbers w:val="0"/>
              <w:autoSpaceDE/>
              <w:autoSpaceDN/>
              <w:spacing w:line="400" w:lineRule="exact"/>
              <w:ind w:firstLine="0" w:firstLineChars="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项目建设内容要求</w:t>
            </w:r>
          </w:p>
        </w:tc>
        <w:tc>
          <w:tcPr>
            <w:tcW w:w="5556" w:type="dxa"/>
            <w:tcBorders>
              <w:tl2br w:val="nil"/>
              <w:tr2bl w:val="nil"/>
            </w:tcBorders>
            <w:shd w:val="clear" w:color="auto" w:fill="auto"/>
            <w:vAlign w:val="center"/>
          </w:tcPr>
          <w:p w14:paraId="20CC7785">
            <w:pPr>
              <w:keepNext w:val="0"/>
              <w:keepLines w:val="0"/>
              <w:widowControl/>
              <w:suppressLineNumbers w:val="0"/>
              <w:autoSpaceDE/>
              <w:autoSpaceDN/>
              <w:spacing w:line="400" w:lineRule="exact"/>
              <w:ind w:firstLine="0" w:firstLineChars="0"/>
              <w:jc w:val="left"/>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完成数据湖、批量数仓、实时数仓、数据实验区、数据探索区、灾备服务建设，满足相关规范和要求；</w:t>
            </w:r>
          </w:p>
        </w:tc>
      </w:tr>
      <w:tr w14:paraId="2A745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5" w:hRule="atLeast"/>
        </w:trPr>
        <w:tc>
          <w:tcPr>
            <w:tcW w:w="1314" w:type="dxa"/>
            <w:vMerge w:val="continue"/>
            <w:tcBorders>
              <w:tl2br w:val="nil"/>
              <w:tr2bl w:val="nil"/>
            </w:tcBorders>
            <w:shd w:val="clear" w:color="auto" w:fill="auto"/>
            <w:vAlign w:val="center"/>
          </w:tcPr>
          <w:p w14:paraId="69066529">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1529" w:type="dxa"/>
            <w:vMerge w:val="continue"/>
            <w:tcBorders>
              <w:tl2br w:val="nil"/>
              <w:tr2bl w:val="nil"/>
            </w:tcBorders>
            <w:shd w:val="clear" w:color="auto" w:fill="auto"/>
            <w:vAlign w:val="center"/>
          </w:tcPr>
          <w:p w14:paraId="2967CE09">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5556" w:type="dxa"/>
            <w:tcBorders>
              <w:tl2br w:val="nil"/>
              <w:tr2bl w:val="nil"/>
            </w:tcBorders>
            <w:shd w:val="clear" w:color="auto" w:fill="auto"/>
            <w:noWrap/>
            <w:vAlign w:val="center"/>
          </w:tcPr>
          <w:p w14:paraId="171B06B5">
            <w:pPr>
              <w:keepNext w:val="0"/>
              <w:keepLines w:val="0"/>
              <w:widowControl/>
              <w:suppressLineNumbers w:val="0"/>
              <w:autoSpaceDE/>
              <w:autoSpaceDN/>
              <w:spacing w:line="400" w:lineRule="exact"/>
              <w:ind w:firstLine="0" w:firstLineChars="0"/>
              <w:jc w:val="left"/>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完成主题模型建设，满足准确、标准、可扩展、性能等规范和要求；</w:t>
            </w:r>
          </w:p>
        </w:tc>
      </w:tr>
      <w:tr w14:paraId="413DD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655" w:hRule="atLeast"/>
        </w:trPr>
        <w:tc>
          <w:tcPr>
            <w:tcW w:w="1314" w:type="dxa"/>
            <w:vMerge w:val="continue"/>
            <w:tcBorders>
              <w:tl2br w:val="nil"/>
              <w:tr2bl w:val="nil"/>
            </w:tcBorders>
            <w:shd w:val="clear" w:color="auto" w:fill="auto"/>
            <w:vAlign w:val="center"/>
          </w:tcPr>
          <w:p w14:paraId="2AD10245">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1529" w:type="dxa"/>
            <w:vMerge w:val="continue"/>
            <w:tcBorders>
              <w:tl2br w:val="nil"/>
              <w:tr2bl w:val="nil"/>
            </w:tcBorders>
            <w:shd w:val="clear" w:color="auto" w:fill="auto"/>
            <w:vAlign w:val="center"/>
          </w:tcPr>
          <w:p w14:paraId="0E8B8567">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5556" w:type="dxa"/>
            <w:tcBorders>
              <w:tl2br w:val="nil"/>
              <w:tr2bl w:val="nil"/>
            </w:tcBorders>
            <w:shd w:val="clear" w:color="auto" w:fill="auto"/>
            <w:noWrap/>
            <w:vAlign w:val="center"/>
          </w:tcPr>
          <w:p w14:paraId="7EB1734C">
            <w:pPr>
              <w:keepNext w:val="0"/>
              <w:keepLines w:val="0"/>
              <w:widowControl/>
              <w:suppressLineNumbers w:val="0"/>
              <w:autoSpaceDE/>
              <w:autoSpaceDN/>
              <w:spacing w:line="400" w:lineRule="exact"/>
              <w:ind w:firstLine="0" w:firstLineChars="0"/>
              <w:jc w:val="left"/>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完成现有数据平台（数据仓库、大数据平台）数据、报表、接口服务等在新的数据中台服务中的建设，符合新的标准和规范，并通过业务验收；</w:t>
            </w:r>
          </w:p>
        </w:tc>
      </w:tr>
      <w:tr w14:paraId="4D565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78" w:hRule="atLeast"/>
        </w:trPr>
        <w:tc>
          <w:tcPr>
            <w:tcW w:w="1314" w:type="dxa"/>
            <w:vMerge w:val="continue"/>
            <w:tcBorders>
              <w:tl2br w:val="nil"/>
              <w:tr2bl w:val="nil"/>
            </w:tcBorders>
            <w:shd w:val="clear" w:color="auto" w:fill="auto"/>
            <w:vAlign w:val="center"/>
          </w:tcPr>
          <w:p w14:paraId="370F6901">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1529" w:type="dxa"/>
            <w:vMerge w:val="continue"/>
            <w:tcBorders>
              <w:tl2br w:val="nil"/>
              <w:tr2bl w:val="nil"/>
            </w:tcBorders>
            <w:shd w:val="clear" w:color="auto" w:fill="auto"/>
            <w:vAlign w:val="center"/>
          </w:tcPr>
          <w:p w14:paraId="53D6E56C">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5556" w:type="dxa"/>
            <w:tcBorders>
              <w:tl2br w:val="nil"/>
              <w:tr2bl w:val="nil"/>
            </w:tcBorders>
            <w:shd w:val="clear" w:color="auto" w:fill="auto"/>
            <w:vAlign w:val="center"/>
          </w:tcPr>
          <w:p w14:paraId="549E9169">
            <w:pPr>
              <w:keepNext w:val="0"/>
              <w:keepLines w:val="0"/>
              <w:widowControl/>
              <w:suppressLineNumbers w:val="0"/>
              <w:autoSpaceDE/>
              <w:autoSpaceDN/>
              <w:spacing w:line="400" w:lineRule="exact"/>
              <w:ind w:firstLine="0" w:firstLineChars="0"/>
              <w:jc w:val="left"/>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完成驾驶舱集市、报表集市、零售客户营销集市、对公客户营销集市、商户客户营销集市、操作风险集市、</w:t>
            </w:r>
            <w:r>
              <w:rPr>
                <w:rFonts w:hint="eastAsia" w:ascii="Times New Roman" w:hAnsi="Times New Roman" w:cs="Times New Roman"/>
                <w:b w:val="0"/>
                <w:bCs w:val="0"/>
                <w:i w:val="0"/>
                <w:iCs w:val="0"/>
                <w:color w:val="auto"/>
                <w:kern w:val="0"/>
                <w:sz w:val="21"/>
                <w:szCs w:val="21"/>
                <w:highlight w:val="none"/>
                <w:u w:val="none"/>
                <w:lang w:val="en-US" w:eastAsia="zh-CN" w:bidi="ar"/>
              </w:rPr>
              <w:t>大数据风控</w:t>
            </w:r>
            <w:r>
              <w:rPr>
                <w:rFonts w:hint="default" w:ascii="Times New Roman" w:hAnsi="Times New Roman" w:eastAsia="宋体" w:cs="Times New Roman"/>
                <w:b w:val="0"/>
                <w:bCs w:val="0"/>
                <w:i w:val="0"/>
                <w:iCs w:val="0"/>
                <w:color w:val="auto"/>
                <w:kern w:val="0"/>
                <w:sz w:val="21"/>
                <w:szCs w:val="21"/>
                <w:highlight w:val="none"/>
                <w:u w:val="none"/>
                <w:lang w:val="en-US" w:eastAsia="zh-CN" w:bidi="ar"/>
              </w:rPr>
              <w:t>集市、</w:t>
            </w:r>
            <w:r>
              <w:rPr>
                <w:rFonts w:hint="eastAsia" w:ascii="Times New Roman" w:hAnsi="Times New Roman" w:cs="Times New Roman"/>
                <w:b w:val="0"/>
                <w:bCs w:val="0"/>
                <w:i w:val="0"/>
                <w:iCs w:val="0"/>
                <w:color w:val="auto"/>
                <w:kern w:val="0"/>
                <w:sz w:val="21"/>
                <w:szCs w:val="21"/>
                <w:highlight w:val="none"/>
                <w:u w:val="none"/>
                <w:lang w:val="en-US" w:eastAsia="zh-CN" w:bidi="ar"/>
              </w:rPr>
              <w:t>结算</w:t>
            </w:r>
            <w:r>
              <w:rPr>
                <w:rFonts w:hint="default" w:ascii="Times New Roman" w:hAnsi="Times New Roman" w:eastAsia="宋体" w:cs="Times New Roman"/>
                <w:b w:val="0"/>
                <w:bCs w:val="0"/>
                <w:i w:val="0"/>
                <w:iCs w:val="0"/>
                <w:color w:val="auto"/>
                <w:kern w:val="0"/>
                <w:sz w:val="21"/>
                <w:szCs w:val="21"/>
                <w:highlight w:val="none"/>
                <w:u w:val="none"/>
                <w:lang w:val="en-US" w:eastAsia="zh-CN" w:bidi="ar"/>
              </w:rPr>
              <w:t>运营集市、产品运营集市、普惠金融集市、绿色金融集市、稽核审计集市、财务管理集市、国际结算集市、</w:t>
            </w:r>
            <w:r>
              <w:rPr>
                <w:rFonts w:hint="eastAsia" w:ascii="Times New Roman" w:hAnsi="Times New Roman" w:cs="Times New Roman"/>
                <w:b w:val="0"/>
                <w:bCs w:val="0"/>
                <w:i w:val="0"/>
                <w:iCs w:val="0"/>
                <w:color w:val="auto"/>
                <w:kern w:val="0"/>
                <w:sz w:val="21"/>
                <w:szCs w:val="21"/>
                <w:highlight w:val="none"/>
                <w:u w:val="none"/>
                <w:lang w:val="en-US" w:eastAsia="zh-CN" w:bidi="ar"/>
              </w:rPr>
              <w:t>监管集市、</w:t>
            </w: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下游供数相关集市等建设，并通过业务验收；</w:t>
            </w:r>
          </w:p>
        </w:tc>
      </w:tr>
      <w:tr w14:paraId="7715F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655" w:hRule="atLeast"/>
        </w:trPr>
        <w:tc>
          <w:tcPr>
            <w:tcW w:w="1314" w:type="dxa"/>
            <w:vMerge w:val="continue"/>
            <w:tcBorders>
              <w:tl2br w:val="nil"/>
              <w:tr2bl w:val="nil"/>
            </w:tcBorders>
            <w:shd w:val="clear" w:color="auto" w:fill="auto"/>
            <w:vAlign w:val="center"/>
          </w:tcPr>
          <w:p w14:paraId="0323A81D">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1529" w:type="dxa"/>
            <w:vMerge w:val="continue"/>
            <w:tcBorders>
              <w:tl2br w:val="nil"/>
              <w:tr2bl w:val="nil"/>
            </w:tcBorders>
            <w:shd w:val="clear" w:color="auto" w:fill="auto"/>
            <w:vAlign w:val="center"/>
          </w:tcPr>
          <w:p w14:paraId="055B3461">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5556" w:type="dxa"/>
            <w:tcBorders>
              <w:tl2br w:val="nil"/>
              <w:tr2bl w:val="nil"/>
            </w:tcBorders>
            <w:shd w:val="clear" w:color="auto" w:fill="auto"/>
            <w:vAlign w:val="center"/>
          </w:tcPr>
          <w:p w14:paraId="539864A7">
            <w:pPr>
              <w:keepNext w:val="0"/>
              <w:keepLines w:val="0"/>
              <w:widowControl/>
              <w:suppressLineNumbers w:val="0"/>
              <w:autoSpaceDE/>
              <w:autoSpaceDN/>
              <w:spacing w:line="400" w:lineRule="exact"/>
              <w:ind w:firstLine="0" w:firstLineChars="0"/>
              <w:jc w:val="left"/>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完成新建不少于10个实时业务应用场景，实施内容包括但不限于实时数据接入、实时指标标签开发、实时数据服务开发等，通过业务验收；</w:t>
            </w:r>
          </w:p>
        </w:tc>
      </w:tr>
      <w:tr w14:paraId="54B1A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655" w:hRule="atLeast"/>
        </w:trPr>
        <w:tc>
          <w:tcPr>
            <w:tcW w:w="1314" w:type="dxa"/>
            <w:vMerge w:val="continue"/>
            <w:tcBorders>
              <w:tl2br w:val="nil"/>
              <w:tr2bl w:val="nil"/>
            </w:tcBorders>
            <w:shd w:val="clear" w:color="auto" w:fill="auto"/>
            <w:vAlign w:val="center"/>
          </w:tcPr>
          <w:p w14:paraId="7AE7F1A5">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1529" w:type="dxa"/>
            <w:vMerge w:val="continue"/>
            <w:tcBorders>
              <w:tl2br w:val="nil"/>
              <w:tr2bl w:val="nil"/>
            </w:tcBorders>
            <w:shd w:val="clear" w:color="auto" w:fill="auto"/>
            <w:vAlign w:val="center"/>
          </w:tcPr>
          <w:p w14:paraId="0D1D25AF">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5556" w:type="dxa"/>
            <w:tcBorders>
              <w:tl2br w:val="nil"/>
              <w:tr2bl w:val="nil"/>
            </w:tcBorders>
            <w:shd w:val="clear" w:color="auto" w:fill="auto"/>
            <w:noWrap/>
            <w:vAlign w:val="center"/>
          </w:tcPr>
          <w:p w14:paraId="7B50EBE1">
            <w:pPr>
              <w:keepNext w:val="0"/>
              <w:keepLines w:val="0"/>
              <w:widowControl/>
              <w:suppressLineNumbers w:val="0"/>
              <w:autoSpaceDE/>
              <w:autoSpaceDN/>
              <w:spacing w:line="400" w:lineRule="exact"/>
              <w:ind w:firstLine="0" w:firstLineChars="0"/>
              <w:jc w:val="left"/>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完成在新的报表平台，迁移和新增开发报表张数不少于450张（其中实时报表不得少于10张），并通过业务验收；</w:t>
            </w:r>
          </w:p>
        </w:tc>
      </w:tr>
      <w:tr w14:paraId="10D19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655" w:hRule="atLeast"/>
        </w:trPr>
        <w:tc>
          <w:tcPr>
            <w:tcW w:w="1314" w:type="dxa"/>
            <w:vMerge w:val="continue"/>
            <w:tcBorders>
              <w:tl2br w:val="nil"/>
              <w:tr2bl w:val="nil"/>
            </w:tcBorders>
            <w:shd w:val="clear" w:color="auto" w:fill="auto"/>
            <w:vAlign w:val="center"/>
          </w:tcPr>
          <w:p w14:paraId="6E6BE86A">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1529" w:type="dxa"/>
            <w:vMerge w:val="continue"/>
            <w:tcBorders>
              <w:tl2br w:val="nil"/>
              <w:tr2bl w:val="nil"/>
            </w:tcBorders>
            <w:shd w:val="clear" w:color="auto" w:fill="auto"/>
            <w:vAlign w:val="center"/>
          </w:tcPr>
          <w:p w14:paraId="2CB921A0">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5556" w:type="dxa"/>
            <w:tcBorders>
              <w:tl2br w:val="nil"/>
              <w:tr2bl w:val="nil"/>
            </w:tcBorders>
            <w:shd w:val="clear" w:color="auto" w:fill="auto"/>
            <w:vAlign w:val="center"/>
          </w:tcPr>
          <w:p w14:paraId="5C49EA3E">
            <w:pPr>
              <w:keepNext w:val="0"/>
              <w:keepLines w:val="0"/>
              <w:widowControl/>
              <w:suppressLineNumbers w:val="0"/>
              <w:autoSpaceDE/>
              <w:autoSpaceDN/>
              <w:spacing w:line="400" w:lineRule="exact"/>
              <w:ind w:firstLine="0" w:firstLineChars="0"/>
              <w:jc w:val="left"/>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完成产品服务、数据任务性能评估和调优，并提交评估报告和调优方案；</w:t>
            </w:r>
          </w:p>
        </w:tc>
      </w:tr>
      <w:tr w14:paraId="1FC64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655" w:hRule="atLeast"/>
        </w:trPr>
        <w:tc>
          <w:tcPr>
            <w:tcW w:w="1314" w:type="dxa"/>
            <w:vMerge w:val="continue"/>
            <w:tcBorders>
              <w:tl2br w:val="nil"/>
              <w:tr2bl w:val="nil"/>
            </w:tcBorders>
            <w:shd w:val="clear" w:color="auto" w:fill="auto"/>
            <w:vAlign w:val="center"/>
          </w:tcPr>
          <w:p w14:paraId="3CC2EE1A">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1529" w:type="dxa"/>
            <w:vMerge w:val="restart"/>
            <w:tcBorders>
              <w:tl2br w:val="nil"/>
              <w:tr2bl w:val="nil"/>
            </w:tcBorders>
            <w:shd w:val="clear" w:color="auto" w:fill="auto"/>
            <w:vAlign w:val="center"/>
          </w:tcPr>
          <w:p w14:paraId="37BAA3F1">
            <w:pPr>
              <w:keepNext w:val="0"/>
              <w:keepLines w:val="0"/>
              <w:widowControl/>
              <w:suppressLineNumbers w:val="0"/>
              <w:autoSpaceDE/>
              <w:autoSpaceDN/>
              <w:spacing w:line="400" w:lineRule="exact"/>
              <w:ind w:firstLine="0" w:firstLineChars="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资源及效率要求</w:t>
            </w:r>
          </w:p>
        </w:tc>
        <w:tc>
          <w:tcPr>
            <w:tcW w:w="5556" w:type="dxa"/>
            <w:tcBorders>
              <w:tl2br w:val="nil"/>
              <w:tr2bl w:val="nil"/>
            </w:tcBorders>
            <w:shd w:val="clear" w:color="auto" w:fill="auto"/>
            <w:vAlign w:val="center"/>
          </w:tcPr>
          <w:p w14:paraId="233D3883">
            <w:pPr>
              <w:keepNext w:val="0"/>
              <w:keepLines w:val="0"/>
              <w:widowControl/>
              <w:suppressLineNumbers w:val="0"/>
              <w:autoSpaceDE/>
              <w:autoSpaceDN/>
              <w:spacing w:line="400" w:lineRule="exact"/>
              <w:ind w:firstLine="0" w:firstLineChars="0"/>
              <w:jc w:val="left"/>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项目涉及的各类产品服务资源满足既定要求，包括但不限于系统服务节点数、资源量；</w:t>
            </w:r>
          </w:p>
        </w:tc>
      </w:tr>
      <w:tr w14:paraId="5015B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946" w:hRule="atLeast"/>
        </w:trPr>
        <w:tc>
          <w:tcPr>
            <w:tcW w:w="1314" w:type="dxa"/>
            <w:vMerge w:val="continue"/>
            <w:tcBorders>
              <w:tl2br w:val="nil"/>
              <w:tr2bl w:val="nil"/>
            </w:tcBorders>
            <w:shd w:val="clear" w:color="auto" w:fill="auto"/>
            <w:vAlign w:val="center"/>
          </w:tcPr>
          <w:p w14:paraId="762B639A">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1529" w:type="dxa"/>
            <w:vMerge w:val="continue"/>
            <w:tcBorders>
              <w:tl2br w:val="nil"/>
              <w:tr2bl w:val="nil"/>
            </w:tcBorders>
            <w:shd w:val="clear" w:color="auto" w:fill="auto"/>
            <w:vAlign w:val="center"/>
          </w:tcPr>
          <w:p w14:paraId="536A40C3">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5556" w:type="dxa"/>
            <w:tcBorders>
              <w:tl2br w:val="nil"/>
              <w:tr2bl w:val="nil"/>
            </w:tcBorders>
            <w:shd w:val="clear" w:color="auto" w:fill="auto"/>
            <w:vAlign w:val="center"/>
          </w:tcPr>
          <w:p w14:paraId="5985D993">
            <w:pPr>
              <w:keepNext w:val="0"/>
              <w:keepLines w:val="0"/>
              <w:widowControl/>
              <w:suppressLineNumbers w:val="0"/>
              <w:autoSpaceDE/>
              <w:autoSpaceDN/>
              <w:spacing w:line="400" w:lineRule="exact"/>
              <w:ind w:firstLine="0" w:firstLineChars="0"/>
              <w:jc w:val="left"/>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根据制定的数据采集、数据建模、数据开发、数据服务、数据治理、数据安全的全流程和标准规范，将整个机制流程应用</w:t>
            </w:r>
            <w:r>
              <w:rPr>
                <w:rFonts w:hint="eastAsia" w:ascii="Times New Roman" w:hAnsi="Times New Roman" w:cs="Times New Roman"/>
                <w:b w:val="0"/>
                <w:bCs w:val="0"/>
                <w:i w:val="0"/>
                <w:iCs w:val="0"/>
                <w:color w:val="auto"/>
                <w:kern w:val="0"/>
                <w:sz w:val="21"/>
                <w:szCs w:val="21"/>
                <w:highlight w:val="none"/>
                <w:u w:val="none"/>
                <w:lang w:val="en-US" w:eastAsia="zh-CN" w:bidi="ar"/>
              </w:rPr>
              <w:t>于</w:t>
            </w:r>
            <w:r>
              <w:rPr>
                <w:rFonts w:hint="default" w:ascii="Times New Roman" w:hAnsi="Times New Roman" w:eastAsia="宋体" w:cs="Times New Roman"/>
                <w:b w:val="0"/>
                <w:bCs w:val="0"/>
                <w:i w:val="0"/>
                <w:iCs w:val="0"/>
                <w:color w:val="auto"/>
                <w:kern w:val="0"/>
                <w:sz w:val="21"/>
                <w:szCs w:val="21"/>
                <w:highlight w:val="none"/>
                <w:u w:val="none"/>
                <w:lang w:val="en-US" w:eastAsia="zh-CN" w:bidi="ar"/>
              </w:rPr>
              <w:t>整个数据中台运营管理工作中，按照整体落地执行情况进行评估；</w:t>
            </w:r>
          </w:p>
        </w:tc>
      </w:tr>
      <w:tr w14:paraId="51707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655" w:hRule="atLeast"/>
        </w:trPr>
        <w:tc>
          <w:tcPr>
            <w:tcW w:w="1314" w:type="dxa"/>
            <w:vMerge w:val="continue"/>
            <w:tcBorders>
              <w:tl2br w:val="nil"/>
              <w:tr2bl w:val="nil"/>
            </w:tcBorders>
            <w:shd w:val="clear" w:color="auto" w:fill="auto"/>
            <w:vAlign w:val="center"/>
          </w:tcPr>
          <w:p w14:paraId="5E798816">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1529" w:type="dxa"/>
            <w:vMerge w:val="continue"/>
            <w:tcBorders>
              <w:tl2br w:val="nil"/>
              <w:tr2bl w:val="nil"/>
            </w:tcBorders>
            <w:shd w:val="clear" w:color="auto" w:fill="auto"/>
            <w:vAlign w:val="center"/>
          </w:tcPr>
          <w:p w14:paraId="5E180FEB">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5556" w:type="dxa"/>
            <w:tcBorders>
              <w:tl2br w:val="nil"/>
              <w:tr2bl w:val="nil"/>
            </w:tcBorders>
            <w:shd w:val="clear" w:color="auto" w:fill="auto"/>
            <w:vAlign w:val="center"/>
          </w:tcPr>
          <w:p w14:paraId="66F2B7AD">
            <w:pPr>
              <w:keepNext w:val="0"/>
              <w:keepLines w:val="0"/>
              <w:widowControl/>
              <w:suppressLineNumbers w:val="0"/>
              <w:autoSpaceDE/>
              <w:autoSpaceDN/>
              <w:spacing w:line="400" w:lineRule="exact"/>
              <w:ind w:firstLine="0" w:firstLineChars="0"/>
              <w:jc w:val="left"/>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按照敏捷开发、服务交付的要求，对整个数据研发、治理、运营、质量和安全管控，服务交付进行整体评估，达到既定目标和要求</w:t>
            </w:r>
          </w:p>
        </w:tc>
      </w:tr>
      <w:tr w14:paraId="2B99D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796" w:hRule="atLeast"/>
        </w:trPr>
        <w:tc>
          <w:tcPr>
            <w:tcW w:w="1314" w:type="dxa"/>
            <w:vMerge w:val="continue"/>
            <w:tcBorders>
              <w:tl2br w:val="nil"/>
              <w:tr2bl w:val="nil"/>
            </w:tcBorders>
            <w:shd w:val="clear" w:color="auto" w:fill="auto"/>
            <w:vAlign w:val="center"/>
          </w:tcPr>
          <w:p w14:paraId="774DC215">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1529" w:type="dxa"/>
            <w:vMerge w:val="continue"/>
            <w:tcBorders>
              <w:tl2br w:val="nil"/>
              <w:tr2bl w:val="nil"/>
            </w:tcBorders>
            <w:shd w:val="clear" w:color="auto" w:fill="auto"/>
            <w:vAlign w:val="center"/>
          </w:tcPr>
          <w:p w14:paraId="35460771">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5556" w:type="dxa"/>
            <w:tcBorders>
              <w:tl2br w:val="nil"/>
              <w:tr2bl w:val="nil"/>
            </w:tcBorders>
            <w:shd w:val="clear" w:color="auto" w:fill="auto"/>
            <w:vAlign w:val="center"/>
          </w:tcPr>
          <w:p w14:paraId="26AB42C0">
            <w:pPr>
              <w:keepNext w:val="0"/>
              <w:keepLines w:val="0"/>
              <w:widowControl/>
              <w:suppressLineNumbers w:val="0"/>
              <w:autoSpaceDE/>
              <w:autoSpaceDN/>
              <w:spacing w:line="400" w:lineRule="exact"/>
              <w:ind w:firstLine="0" w:firstLineChars="0"/>
              <w:jc w:val="left"/>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批量处理效率。充分利用系统资源，优化数据加工链路，合理配置数据作业调度任务，满足日终批量处理时间要求，严格按照时间要求提供批量数据处理结果。</w:t>
            </w:r>
          </w:p>
        </w:tc>
      </w:tr>
      <w:tr w14:paraId="3B6D57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802" w:hRule="atLeast"/>
        </w:trPr>
        <w:tc>
          <w:tcPr>
            <w:tcW w:w="1314" w:type="dxa"/>
            <w:vMerge w:val="continue"/>
            <w:tcBorders>
              <w:tl2br w:val="nil"/>
              <w:tr2bl w:val="nil"/>
            </w:tcBorders>
            <w:shd w:val="clear" w:color="auto" w:fill="auto"/>
            <w:vAlign w:val="center"/>
          </w:tcPr>
          <w:p w14:paraId="2161FED5">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1529" w:type="dxa"/>
            <w:vMerge w:val="continue"/>
            <w:tcBorders>
              <w:tl2br w:val="nil"/>
              <w:tr2bl w:val="nil"/>
            </w:tcBorders>
            <w:shd w:val="clear" w:color="auto" w:fill="auto"/>
            <w:vAlign w:val="center"/>
          </w:tcPr>
          <w:p w14:paraId="60DE87B7">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5556" w:type="dxa"/>
            <w:tcBorders>
              <w:tl2br w:val="nil"/>
              <w:tr2bl w:val="nil"/>
            </w:tcBorders>
            <w:shd w:val="clear" w:color="auto" w:fill="auto"/>
            <w:vAlign w:val="center"/>
          </w:tcPr>
          <w:p w14:paraId="2A372E7B">
            <w:pPr>
              <w:keepNext w:val="0"/>
              <w:keepLines w:val="0"/>
              <w:widowControl/>
              <w:suppressLineNumbers w:val="0"/>
              <w:autoSpaceDE/>
              <w:autoSpaceDN/>
              <w:spacing w:line="400" w:lineRule="exact"/>
              <w:ind w:firstLine="0" w:firstLineChars="0"/>
              <w:jc w:val="left"/>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数据采集时效性，支撑秒级数据采集或统计场景为业务营销、风险防控、内部运营等领域提供更及时的数据支持，满足业务对数据的快速响应需求。</w:t>
            </w:r>
          </w:p>
        </w:tc>
      </w:tr>
      <w:tr w14:paraId="1B2570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3" w:hRule="atLeast"/>
        </w:trPr>
        <w:tc>
          <w:tcPr>
            <w:tcW w:w="1314" w:type="dxa"/>
            <w:vMerge w:val="continue"/>
            <w:tcBorders>
              <w:tl2br w:val="nil"/>
              <w:tr2bl w:val="nil"/>
            </w:tcBorders>
            <w:shd w:val="clear" w:color="auto" w:fill="auto"/>
            <w:vAlign w:val="center"/>
          </w:tcPr>
          <w:p w14:paraId="74FBC13D">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1529" w:type="dxa"/>
            <w:vMerge w:val="restart"/>
            <w:tcBorders>
              <w:tl2br w:val="nil"/>
              <w:tr2bl w:val="nil"/>
            </w:tcBorders>
            <w:shd w:val="clear" w:color="auto" w:fill="auto"/>
            <w:vAlign w:val="center"/>
          </w:tcPr>
          <w:p w14:paraId="2740EAD6">
            <w:pPr>
              <w:keepNext w:val="0"/>
              <w:keepLines w:val="0"/>
              <w:widowControl/>
              <w:suppressLineNumbers w:val="0"/>
              <w:autoSpaceDE/>
              <w:autoSpaceDN/>
              <w:spacing w:line="400" w:lineRule="exact"/>
              <w:ind w:firstLine="0" w:firstLineChars="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交付质量要求</w:t>
            </w:r>
          </w:p>
        </w:tc>
        <w:tc>
          <w:tcPr>
            <w:tcW w:w="5556" w:type="dxa"/>
            <w:tcBorders>
              <w:tl2br w:val="nil"/>
              <w:tr2bl w:val="nil"/>
            </w:tcBorders>
            <w:shd w:val="clear" w:color="auto" w:fill="auto"/>
            <w:vAlign w:val="center"/>
          </w:tcPr>
          <w:p w14:paraId="27FCBCC8">
            <w:pPr>
              <w:keepNext w:val="0"/>
              <w:keepLines w:val="0"/>
              <w:widowControl/>
              <w:suppressLineNumbers w:val="0"/>
              <w:autoSpaceDE/>
              <w:autoSpaceDN/>
              <w:spacing w:line="400" w:lineRule="exact"/>
              <w:ind w:firstLine="0" w:firstLineChars="0"/>
              <w:jc w:val="left"/>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落实数据治理的整体要求，数据湖仓中的标准层及以上的数据贯标率不得低于98%；</w:t>
            </w:r>
          </w:p>
        </w:tc>
      </w:tr>
      <w:tr w14:paraId="28ECC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946" w:hRule="atLeast"/>
        </w:trPr>
        <w:tc>
          <w:tcPr>
            <w:tcW w:w="1314" w:type="dxa"/>
            <w:vMerge w:val="continue"/>
            <w:tcBorders>
              <w:tl2br w:val="nil"/>
              <w:tr2bl w:val="nil"/>
            </w:tcBorders>
            <w:shd w:val="clear" w:color="auto" w:fill="auto"/>
            <w:vAlign w:val="center"/>
          </w:tcPr>
          <w:p w14:paraId="59E80119">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1529" w:type="dxa"/>
            <w:vMerge w:val="continue"/>
            <w:tcBorders>
              <w:tl2br w:val="nil"/>
              <w:tr2bl w:val="nil"/>
            </w:tcBorders>
            <w:shd w:val="clear" w:color="auto" w:fill="auto"/>
            <w:vAlign w:val="center"/>
          </w:tcPr>
          <w:p w14:paraId="767C838E">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5556" w:type="dxa"/>
            <w:tcBorders>
              <w:tl2br w:val="nil"/>
              <w:tr2bl w:val="nil"/>
            </w:tcBorders>
            <w:shd w:val="clear" w:color="auto" w:fill="auto"/>
            <w:vAlign w:val="center"/>
          </w:tcPr>
          <w:p w14:paraId="68EBEE5D">
            <w:pPr>
              <w:keepNext w:val="0"/>
              <w:keepLines w:val="0"/>
              <w:widowControl/>
              <w:suppressLineNumbers w:val="0"/>
              <w:autoSpaceDE/>
              <w:autoSpaceDN/>
              <w:spacing w:line="400" w:lineRule="exact"/>
              <w:ind w:firstLine="0" w:firstLineChars="0"/>
              <w:jc w:val="left"/>
              <w:textAlignment w:val="center"/>
              <w:rPr>
                <w:rFonts w:hint="default" w:ascii="Times New Roman" w:hAnsi="Times New Roman" w:eastAsia="宋体" w:cs="Times New Roman"/>
                <w:b w:val="0"/>
                <w:bCs w:val="0"/>
                <w:i w:val="0"/>
                <w:iCs w:val="0"/>
                <w:color w:val="auto"/>
                <w:sz w:val="21"/>
                <w:szCs w:val="21"/>
                <w:highlight w:val="none"/>
                <w:u w:val="none"/>
              </w:rPr>
            </w:pPr>
            <w:r>
              <w:rPr>
                <w:rStyle w:val="39"/>
                <w:rFonts w:hint="default" w:ascii="Times New Roman" w:hAnsi="Times New Roman" w:eastAsia="宋体" w:cs="Times New Roman"/>
                <w:b w:val="0"/>
                <w:bCs w:val="0"/>
                <w:color w:val="auto"/>
                <w:sz w:val="21"/>
                <w:szCs w:val="21"/>
                <w:highlight w:val="none"/>
                <w:lang w:val="en-US" w:eastAsia="zh-CN" w:bidi="ar"/>
              </w:rPr>
              <w:t>落实从数据采集到应用全流程的事前、事中、事后数据质量检核机制，保障湖仓数据的准确性、一致性、完整性、及时性，数据质量问题解决率不得低于</w:t>
            </w:r>
            <w:r>
              <w:rPr>
                <w:rStyle w:val="52"/>
                <w:rFonts w:hint="default" w:ascii="Times New Roman" w:hAnsi="Times New Roman" w:eastAsia="宋体" w:cs="Times New Roman"/>
                <w:b w:val="0"/>
                <w:bCs w:val="0"/>
                <w:color w:val="auto"/>
                <w:sz w:val="21"/>
                <w:szCs w:val="21"/>
                <w:highlight w:val="none"/>
                <w:lang w:val="en-US" w:eastAsia="zh-CN" w:bidi="ar"/>
              </w:rPr>
              <w:t>98%</w:t>
            </w:r>
            <w:r>
              <w:rPr>
                <w:rStyle w:val="39"/>
                <w:rFonts w:hint="default" w:ascii="Times New Roman" w:hAnsi="Times New Roman" w:eastAsia="宋体" w:cs="Times New Roman"/>
                <w:b w:val="0"/>
                <w:bCs w:val="0"/>
                <w:color w:val="auto"/>
                <w:sz w:val="21"/>
                <w:szCs w:val="21"/>
                <w:highlight w:val="none"/>
                <w:lang w:val="en-US" w:eastAsia="zh-CN" w:bidi="ar"/>
              </w:rPr>
              <w:t>（因客观、外部原因无法解决的</w:t>
            </w:r>
            <w:r>
              <w:rPr>
                <w:rStyle w:val="52"/>
                <w:rFonts w:hint="default" w:ascii="Times New Roman" w:hAnsi="Times New Roman" w:eastAsia="宋体" w:cs="Times New Roman"/>
                <w:b w:val="0"/>
                <w:bCs w:val="0"/>
                <w:color w:val="auto"/>
                <w:sz w:val="21"/>
                <w:szCs w:val="21"/>
                <w:highlight w:val="none"/>
                <w:lang w:val="en-US" w:eastAsia="zh-CN" w:bidi="ar"/>
              </w:rPr>
              <w:t>进行记录</w:t>
            </w:r>
            <w:r>
              <w:rPr>
                <w:rStyle w:val="39"/>
                <w:rFonts w:hint="default" w:ascii="Times New Roman" w:hAnsi="Times New Roman" w:eastAsia="宋体" w:cs="Times New Roman"/>
                <w:b w:val="0"/>
                <w:bCs w:val="0"/>
                <w:color w:val="auto"/>
                <w:sz w:val="21"/>
                <w:szCs w:val="21"/>
                <w:highlight w:val="none"/>
                <w:lang w:val="en-US" w:eastAsia="zh-CN" w:bidi="ar"/>
              </w:rPr>
              <w:t>但不纳入考核范围）</w:t>
            </w:r>
          </w:p>
        </w:tc>
      </w:tr>
      <w:tr w14:paraId="15AB8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655" w:hRule="atLeast"/>
        </w:trPr>
        <w:tc>
          <w:tcPr>
            <w:tcW w:w="1314" w:type="dxa"/>
            <w:vMerge w:val="continue"/>
            <w:tcBorders>
              <w:tl2br w:val="nil"/>
              <w:tr2bl w:val="nil"/>
            </w:tcBorders>
            <w:shd w:val="clear" w:color="auto" w:fill="auto"/>
            <w:vAlign w:val="center"/>
          </w:tcPr>
          <w:p w14:paraId="2D49C56E">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1529" w:type="dxa"/>
            <w:vMerge w:val="continue"/>
            <w:tcBorders>
              <w:tl2br w:val="nil"/>
              <w:tr2bl w:val="nil"/>
            </w:tcBorders>
            <w:shd w:val="clear" w:color="auto" w:fill="auto"/>
            <w:vAlign w:val="center"/>
          </w:tcPr>
          <w:p w14:paraId="195925B7">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5556" w:type="dxa"/>
            <w:tcBorders>
              <w:tl2br w:val="nil"/>
              <w:tr2bl w:val="nil"/>
            </w:tcBorders>
            <w:shd w:val="clear" w:color="auto" w:fill="auto"/>
            <w:vAlign w:val="center"/>
          </w:tcPr>
          <w:p w14:paraId="6B699BD4">
            <w:pPr>
              <w:keepNext w:val="0"/>
              <w:keepLines w:val="0"/>
              <w:widowControl/>
              <w:suppressLineNumbers w:val="0"/>
              <w:autoSpaceDE/>
              <w:autoSpaceDN/>
              <w:spacing w:line="400" w:lineRule="exact"/>
              <w:ind w:firstLine="0" w:firstLineChars="0"/>
              <w:jc w:val="left"/>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落实数据采集到应用全流程的数据安全管控要求，包括但不限于法律法规、监管要求、国家标准、行业标准等;</w:t>
            </w:r>
          </w:p>
        </w:tc>
      </w:tr>
      <w:tr w14:paraId="02EFB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655" w:hRule="atLeast"/>
        </w:trPr>
        <w:tc>
          <w:tcPr>
            <w:tcW w:w="1314" w:type="dxa"/>
            <w:vMerge w:val="continue"/>
            <w:tcBorders>
              <w:tl2br w:val="nil"/>
              <w:tr2bl w:val="nil"/>
            </w:tcBorders>
            <w:shd w:val="clear" w:color="auto" w:fill="auto"/>
            <w:vAlign w:val="center"/>
          </w:tcPr>
          <w:p w14:paraId="1B73F7C2">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1529" w:type="dxa"/>
            <w:vMerge w:val="continue"/>
            <w:tcBorders>
              <w:tl2br w:val="nil"/>
              <w:tr2bl w:val="nil"/>
            </w:tcBorders>
            <w:shd w:val="clear" w:color="auto" w:fill="auto"/>
            <w:vAlign w:val="center"/>
          </w:tcPr>
          <w:p w14:paraId="5AA743BB">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5556" w:type="dxa"/>
            <w:tcBorders>
              <w:tl2br w:val="nil"/>
              <w:tr2bl w:val="nil"/>
            </w:tcBorders>
            <w:shd w:val="clear" w:color="auto" w:fill="auto"/>
            <w:vAlign w:val="center"/>
          </w:tcPr>
          <w:p w14:paraId="65DF62D3">
            <w:pPr>
              <w:keepNext w:val="0"/>
              <w:keepLines w:val="0"/>
              <w:widowControl/>
              <w:suppressLineNumbers w:val="0"/>
              <w:autoSpaceDE/>
              <w:autoSpaceDN/>
              <w:spacing w:line="400" w:lineRule="exact"/>
              <w:ind w:firstLine="0" w:firstLineChars="0"/>
              <w:jc w:val="left"/>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实施需求交付达到100%，无发生重大服务系统性崩溃、上线重大质量缺陷，通过技术和业务验收；</w:t>
            </w:r>
          </w:p>
        </w:tc>
      </w:tr>
      <w:tr w14:paraId="51402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782" w:hRule="atLeast"/>
        </w:trPr>
        <w:tc>
          <w:tcPr>
            <w:tcW w:w="1314" w:type="dxa"/>
            <w:vMerge w:val="continue"/>
            <w:tcBorders>
              <w:tl2br w:val="nil"/>
              <w:tr2bl w:val="nil"/>
            </w:tcBorders>
            <w:shd w:val="clear" w:color="auto" w:fill="auto"/>
            <w:vAlign w:val="center"/>
          </w:tcPr>
          <w:p w14:paraId="37225AD5">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1529" w:type="dxa"/>
            <w:vMerge w:val="restart"/>
            <w:tcBorders>
              <w:tl2br w:val="nil"/>
              <w:tr2bl w:val="nil"/>
            </w:tcBorders>
            <w:shd w:val="clear" w:color="auto" w:fill="auto"/>
            <w:vAlign w:val="center"/>
          </w:tcPr>
          <w:p w14:paraId="5FF40C94">
            <w:pPr>
              <w:keepNext w:val="0"/>
              <w:keepLines w:val="0"/>
              <w:widowControl/>
              <w:suppressLineNumbers w:val="0"/>
              <w:autoSpaceDE/>
              <w:autoSpaceDN/>
              <w:spacing w:line="400" w:lineRule="exact"/>
              <w:ind w:firstLine="0" w:firstLineChars="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服务质量要求</w:t>
            </w:r>
          </w:p>
        </w:tc>
        <w:tc>
          <w:tcPr>
            <w:tcW w:w="5556" w:type="dxa"/>
            <w:tcBorders>
              <w:tl2br w:val="nil"/>
              <w:tr2bl w:val="nil"/>
            </w:tcBorders>
            <w:shd w:val="clear" w:color="auto" w:fill="auto"/>
            <w:vAlign w:val="center"/>
          </w:tcPr>
          <w:p w14:paraId="3EF4F82E">
            <w:pPr>
              <w:keepNext w:val="0"/>
              <w:keepLines w:val="0"/>
              <w:widowControl/>
              <w:suppressLineNumbers w:val="0"/>
              <w:autoSpaceDE/>
              <w:autoSpaceDN/>
              <w:spacing w:line="400" w:lineRule="exact"/>
              <w:ind w:firstLine="0" w:firstLineChars="0"/>
              <w:jc w:val="left"/>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现场服务达到项目质量考核要求，包括人员资质严格按照既定要求，人员服务时间满足约定，人员变动比例不得高于</w:t>
            </w:r>
            <w:r>
              <w:rPr>
                <w:rFonts w:hint="eastAsia" w:ascii="Times New Roman" w:hAnsi="Times New Roman" w:cs="Times New Roman"/>
                <w:b w:val="0"/>
                <w:bCs w:val="0"/>
                <w:i w:val="0"/>
                <w:iCs w:val="0"/>
                <w:color w:val="auto"/>
                <w:kern w:val="0"/>
                <w:sz w:val="21"/>
                <w:szCs w:val="21"/>
                <w:highlight w:val="none"/>
                <w:u w:val="none"/>
                <w:lang w:val="en-US" w:eastAsia="zh-CN" w:bidi="ar"/>
              </w:rPr>
              <w:t>3</w:t>
            </w:r>
            <w:r>
              <w:rPr>
                <w:rStyle w:val="53"/>
                <w:rFonts w:hint="default" w:ascii="Times New Roman" w:hAnsi="Times New Roman" w:eastAsia="宋体" w:cs="Times New Roman"/>
                <w:b w:val="0"/>
                <w:bCs w:val="0"/>
                <w:color w:val="auto"/>
                <w:sz w:val="21"/>
                <w:szCs w:val="21"/>
                <w:highlight w:val="none"/>
                <w:lang w:val="en-US" w:eastAsia="zh-CN" w:bidi="ar"/>
              </w:rPr>
              <w:t>0%且非比选人要求中途不得随意更换；</w:t>
            </w:r>
          </w:p>
        </w:tc>
      </w:tr>
      <w:tr w14:paraId="2E599C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3" w:hRule="atLeast"/>
        </w:trPr>
        <w:tc>
          <w:tcPr>
            <w:tcW w:w="1314" w:type="dxa"/>
            <w:vMerge w:val="continue"/>
            <w:tcBorders>
              <w:tl2br w:val="nil"/>
              <w:tr2bl w:val="nil"/>
            </w:tcBorders>
            <w:shd w:val="clear" w:color="auto" w:fill="auto"/>
            <w:vAlign w:val="center"/>
          </w:tcPr>
          <w:p w14:paraId="6FB8F55A">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1529" w:type="dxa"/>
            <w:vMerge w:val="continue"/>
            <w:tcBorders>
              <w:tl2br w:val="nil"/>
              <w:tr2bl w:val="nil"/>
            </w:tcBorders>
            <w:shd w:val="clear" w:color="auto" w:fill="auto"/>
            <w:vAlign w:val="center"/>
          </w:tcPr>
          <w:p w14:paraId="72A075A9">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5556" w:type="dxa"/>
            <w:tcBorders>
              <w:tl2br w:val="nil"/>
              <w:tr2bl w:val="nil"/>
            </w:tcBorders>
            <w:shd w:val="clear" w:color="auto" w:fill="auto"/>
            <w:vAlign w:val="center"/>
          </w:tcPr>
          <w:p w14:paraId="61D79DA8">
            <w:pPr>
              <w:keepNext w:val="0"/>
              <w:keepLines w:val="0"/>
              <w:widowControl/>
              <w:suppressLineNumbers w:val="0"/>
              <w:autoSpaceDE/>
              <w:autoSpaceDN/>
              <w:spacing w:line="400" w:lineRule="exact"/>
              <w:ind w:firstLine="0" w:firstLineChars="0"/>
              <w:jc w:val="left"/>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风险管理符合项目质量考核要求，包括但不限于人员纪律、外包安全风险事件等；</w:t>
            </w:r>
          </w:p>
        </w:tc>
      </w:tr>
      <w:tr w14:paraId="2EFFD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83" w:hRule="atLeast"/>
        </w:trPr>
        <w:tc>
          <w:tcPr>
            <w:tcW w:w="1314" w:type="dxa"/>
            <w:vMerge w:val="continue"/>
            <w:tcBorders>
              <w:tl2br w:val="nil"/>
              <w:tr2bl w:val="nil"/>
            </w:tcBorders>
            <w:shd w:val="clear" w:color="auto" w:fill="auto"/>
            <w:vAlign w:val="center"/>
          </w:tcPr>
          <w:p w14:paraId="537E861C">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1529" w:type="dxa"/>
            <w:vMerge w:val="continue"/>
            <w:tcBorders>
              <w:tl2br w:val="nil"/>
              <w:tr2bl w:val="nil"/>
            </w:tcBorders>
            <w:shd w:val="clear" w:color="auto" w:fill="auto"/>
            <w:vAlign w:val="center"/>
          </w:tcPr>
          <w:p w14:paraId="695339A6">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5556" w:type="dxa"/>
            <w:tcBorders>
              <w:tl2br w:val="nil"/>
              <w:tr2bl w:val="nil"/>
            </w:tcBorders>
            <w:shd w:val="clear" w:color="auto" w:fill="auto"/>
            <w:vAlign w:val="center"/>
          </w:tcPr>
          <w:p w14:paraId="65B34987">
            <w:pPr>
              <w:keepNext w:val="0"/>
              <w:keepLines w:val="0"/>
              <w:widowControl/>
              <w:suppressLineNumbers w:val="0"/>
              <w:autoSpaceDE/>
              <w:autoSpaceDN/>
              <w:spacing w:line="400" w:lineRule="exact"/>
              <w:ind w:firstLine="0" w:firstLineChars="0"/>
              <w:jc w:val="left"/>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项目整体进度控制达到项目进度考核要求，项目实施方协同行方在项目建设初期对整个项目的方案、范围、目标进行系统性整体评估，明确项目实施周期和重要里程碑，按照各个时间阶段、里程碑进行项目进度考核，结合项目质量和建设周期进行整体考核评价；</w:t>
            </w:r>
          </w:p>
        </w:tc>
      </w:tr>
      <w:tr w14:paraId="1C7CF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1278" w:hRule="atLeast"/>
        </w:trPr>
        <w:tc>
          <w:tcPr>
            <w:tcW w:w="1314" w:type="dxa"/>
            <w:vMerge w:val="continue"/>
            <w:tcBorders>
              <w:tl2br w:val="nil"/>
              <w:tr2bl w:val="nil"/>
            </w:tcBorders>
            <w:shd w:val="clear" w:color="auto" w:fill="auto"/>
            <w:vAlign w:val="center"/>
          </w:tcPr>
          <w:p w14:paraId="5D4B3F89">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1529" w:type="dxa"/>
            <w:vMerge w:val="restart"/>
            <w:tcBorders>
              <w:tl2br w:val="nil"/>
              <w:tr2bl w:val="nil"/>
            </w:tcBorders>
            <w:shd w:val="clear" w:color="auto" w:fill="auto"/>
            <w:vAlign w:val="center"/>
          </w:tcPr>
          <w:p w14:paraId="3E4B789F">
            <w:pPr>
              <w:keepNext w:val="0"/>
              <w:keepLines w:val="0"/>
              <w:widowControl/>
              <w:suppressLineNumbers w:val="0"/>
              <w:autoSpaceDE/>
              <w:autoSpaceDN/>
              <w:spacing w:line="400" w:lineRule="exact"/>
              <w:ind w:firstLine="0" w:firstLineChars="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项目交付与培训</w:t>
            </w:r>
          </w:p>
        </w:tc>
        <w:tc>
          <w:tcPr>
            <w:tcW w:w="5556" w:type="dxa"/>
            <w:tcBorders>
              <w:tl2br w:val="nil"/>
              <w:tr2bl w:val="nil"/>
            </w:tcBorders>
            <w:shd w:val="clear" w:color="auto" w:fill="auto"/>
            <w:vAlign w:val="center"/>
          </w:tcPr>
          <w:p w14:paraId="5968D196">
            <w:pPr>
              <w:keepNext w:val="0"/>
              <w:keepLines w:val="0"/>
              <w:widowControl/>
              <w:suppressLineNumbers w:val="0"/>
              <w:autoSpaceDE/>
              <w:autoSpaceDN/>
              <w:spacing w:line="400" w:lineRule="exact"/>
              <w:ind w:firstLine="0" w:firstLineChars="0"/>
              <w:jc w:val="left"/>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项目建设实施过程物料交付，包括但不限于项目建设实施方案、规范文档，流程制度文档、数据标准文档、设计文档、部署文档、运维文档等文档材料，产品源代码、客制化源代码、系统平台源代码及第三方产品源代码，底层架构和通讯层的源代码,物料符合完整性和准确性要求；</w:t>
            </w:r>
          </w:p>
        </w:tc>
      </w:tr>
      <w:tr w14:paraId="71CD8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17" w:hRule="atLeast"/>
        </w:trPr>
        <w:tc>
          <w:tcPr>
            <w:tcW w:w="1314" w:type="dxa"/>
            <w:vMerge w:val="continue"/>
            <w:tcBorders>
              <w:tl2br w:val="nil"/>
              <w:tr2bl w:val="nil"/>
            </w:tcBorders>
            <w:shd w:val="clear" w:color="auto" w:fill="auto"/>
            <w:vAlign w:val="center"/>
          </w:tcPr>
          <w:p w14:paraId="0FC94377">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1529" w:type="dxa"/>
            <w:vMerge w:val="continue"/>
            <w:tcBorders>
              <w:tl2br w:val="nil"/>
              <w:tr2bl w:val="nil"/>
            </w:tcBorders>
            <w:shd w:val="clear" w:color="auto" w:fill="auto"/>
            <w:vAlign w:val="center"/>
          </w:tcPr>
          <w:p w14:paraId="22200163">
            <w:pPr>
              <w:autoSpaceDE/>
              <w:autoSpaceDN/>
              <w:spacing w:line="400" w:lineRule="exact"/>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5556" w:type="dxa"/>
            <w:tcBorders>
              <w:tl2br w:val="nil"/>
              <w:tr2bl w:val="nil"/>
            </w:tcBorders>
            <w:shd w:val="clear" w:color="auto" w:fill="auto"/>
            <w:vAlign w:val="center"/>
          </w:tcPr>
          <w:p w14:paraId="6ADE1F4D">
            <w:pPr>
              <w:keepNext w:val="0"/>
              <w:keepLines w:val="0"/>
              <w:widowControl/>
              <w:suppressLineNumbers w:val="0"/>
              <w:autoSpaceDE/>
              <w:autoSpaceDN/>
              <w:spacing w:line="400" w:lineRule="exact"/>
              <w:ind w:firstLine="0" w:firstLineChars="0"/>
              <w:jc w:val="left"/>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完成包含业务、管理、技术和运营运维等相关培训和知识转移，培训内容包括但不限于数据架构培训、湖仓技术组件使用及调优培训等。培训方式包括线下培训、线上课程培训，其中线下培训时间不少于50小时；</w:t>
            </w:r>
          </w:p>
        </w:tc>
      </w:tr>
      <w:tr w14:paraId="7C69E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578" w:hRule="atLeast"/>
        </w:trPr>
        <w:tc>
          <w:tcPr>
            <w:tcW w:w="8399" w:type="dxa"/>
            <w:gridSpan w:val="3"/>
            <w:tcBorders>
              <w:tl2br w:val="nil"/>
              <w:tr2bl w:val="nil"/>
            </w:tcBorders>
            <w:shd w:val="clear" w:color="auto" w:fill="auto"/>
            <w:vAlign w:val="center"/>
          </w:tcPr>
          <w:p w14:paraId="31F5CEB7">
            <w:pPr>
              <w:keepNext w:val="0"/>
              <w:keepLines w:val="0"/>
              <w:widowControl/>
              <w:suppressLineNumbers w:val="0"/>
              <w:autoSpaceDE/>
              <w:autoSpaceDN/>
              <w:spacing w:line="400" w:lineRule="exact"/>
              <w:ind w:firstLine="0" w:firstLineChars="0"/>
              <w:jc w:val="left"/>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注：当前验收标准是按照</w:t>
            </w:r>
            <w:r>
              <w:rPr>
                <w:rFonts w:hint="eastAsia" w:ascii="Times New Roman" w:hAnsi="Times New Roman" w:cs="Times New Roman"/>
                <w:b w:val="0"/>
                <w:bCs w:val="0"/>
                <w:i w:val="0"/>
                <w:iCs w:val="0"/>
                <w:color w:val="auto"/>
                <w:kern w:val="0"/>
                <w:sz w:val="21"/>
                <w:szCs w:val="21"/>
                <w:highlight w:val="none"/>
                <w:u w:val="none"/>
                <w:lang w:val="en-US" w:eastAsia="zh-CN" w:bidi="ar"/>
              </w:rPr>
              <w:t>比选</w:t>
            </w:r>
            <w:r>
              <w:rPr>
                <w:rFonts w:hint="default" w:ascii="Times New Roman" w:hAnsi="Times New Roman" w:eastAsia="宋体" w:cs="Times New Roman"/>
                <w:b w:val="0"/>
                <w:bCs w:val="0"/>
                <w:i w:val="0"/>
                <w:iCs w:val="0"/>
                <w:color w:val="auto"/>
                <w:kern w:val="0"/>
                <w:sz w:val="21"/>
                <w:szCs w:val="21"/>
                <w:highlight w:val="none"/>
                <w:u w:val="none"/>
                <w:lang w:val="en-US" w:eastAsia="zh-CN" w:bidi="ar"/>
              </w:rPr>
              <w:t>内容和要求拟定，最终验收细项</w:t>
            </w:r>
            <w:r>
              <w:rPr>
                <w:rFonts w:hint="eastAsia" w:ascii="Times New Roman" w:hAnsi="Times New Roman" w:cs="Times New Roman"/>
                <w:b w:val="0"/>
                <w:bCs w:val="0"/>
                <w:i w:val="0"/>
                <w:iCs w:val="0"/>
                <w:color w:val="auto"/>
                <w:kern w:val="0"/>
                <w:sz w:val="21"/>
                <w:szCs w:val="21"/>
                <w:highlight w:val="none"/>
                <w:u w:val="none"/>
                <w:lang w:val="en-US" w:eastAsia="zh-CN" w:bidi="ar"/>
              </w:rPr>
              <w:t>以项目合同为准</w:t>
            </w:r>
            <w:r>
              <w:rPr>
                <w:rFonts w:hint="default" w:ascii="Times New Roman" w:hAnsi="Times New Roman" w:eastAsia="宋体" w:cs="Times New Roman"/>
                <w:b w:val="0"/>
                <w:bCs w:val="0"/>
                <w:i w:val="0"/>
                <w:iCs w:val="0"/>
                <w:color w:val="auto"/>
                <w:kern w:val="0"/>
                <w:sz w:val="21"/>
                <w:szCs w:val="21"/>
                <w:highlight w:val="none"/>
                <w:u w:val="none"/>
                <w:lang w:val="en-US" w:eastAsia="zh-CN" w:bidi="ar"/>
              </w:rPr>
              <w:t>。</w:t>
            </w:r>
          </w:p>
        </w:tc>
      </w:tr>
    </w:tbl>
    <w:p w14:paraId="13F4F4A2">
      <w:pPr>
        <w:ind w:left="0" w:leftChars="0" w:firstLine="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br w:type="page"/>
      </w:r>
    </w:p>
    <w:p w14:paraId="4A0DE8ED">
      <w:pPr>
        <w:pStyle w:val="2"/>
        <w:rPr>
          <w:rFonts w:hint="default" w:ascii="Times New Roman" w:hAnsi="Times New Roman" w:cs="Times New Roman"/>
          <w:color w:val="auto"/>
          <w:highlight w:val="none"/>
        </w:rPr>
      </w:pPr>
      <w:bookmarkStart w:id="76" w:name="_Toc11504"/>
      <w:bookmarkStart w:id="77" w:name="_Toc20600"/>
      <w:r>
        <w:rPr>
          <w:rFonts w:hint="default" w:ascii="Times New Roman" w:hAnsi="Times New Roman" w:cs="Times New Roman"/>
          <w:color w:val="auto"/>
          <w:highlight w:val="none"/>
        </w:rPr>
        <w:t>第四章 评审办法（综合评估法）</w:t>
      </w:r>
      <w:bookmarkEnd w:id="74"/>
      <w:bookmarkEnd w:id="76"/>
      <w:bookmarkEnd w:id="77"/>
    </w:p>
    <w:p w14:paraId="17DD02D4">
      <w:pPr>
        <w:rPr>
          <w:rFonts w:hint="default" w:ascii="Times New Roman" w:hAnsi="Times New Roman" w:cs="Times New Roman"/>
          <w:b/>
          <w:bCs/>
          <w:color w:val="auto"/>
          <w:highlight w:val="none"/>
        </w:rPr>
      </w:pPr>
      <w:bookmarkStart w:id="78" w:name="_Toc11471"/>
      <w:bookmarkStart w:id="79" w:name="_Toc2028"/>
      <w:bookmarkStart w:id="80" w:name="_Toc14810"/>
      <w:bookmarkStart w:id="81" w:name="_Toc27076"/>
      <w:r>
        <w:rPr>
          <w:rFonts w:hint="default" w:ascii="Times New Roman" w:hAnsi="Times New Roman" w:cs="Times New Roman"/>
          <w:b/>
          <w:bCs/>
          <w:color w:val="auto"/>
          <w:highlight w:val="none"/>
        </w:rPr>
        <w:t>评审办法前附表</w:t>
      </w:r>
      <w:bookmarkEnd w:id="78"/>
      <w:bookmarkEnd w:id="79"/>
      <w:bookmarkEnd w:id="80"/>
      <w:bookmarkEnd w:id="81"/>
    </w:p>
    <w:p w14:paraId="46007778">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szCs w:val="21"/>
          <w:highlight w:val="none"/>
        </w:rPr>
        <w:t>若评审办法前附表与正文不一致的地方，以评审办法前附表为准。</w:t>
      </w:r>
    </w:p>
    <w:tbl>
      <w:tblPr>
        <w:tblStyle w:val="22"/>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82"/>
        <w:gridCol w:w="1511"/>
        <w:gridCol w:w="175"/>
        <w:gridCol w:w="5476"/>
      </w:tblGrid>
      <w:tr w14:paraId="1E8F3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2653F348">
            <w:pPr>
              <w:keepNext w:val="0"/>
              <w:keepLines w:val="0"/>
              <w:pageBreakBefore w:val="0"/>
              <w:widowControl w:val="0"/>
              <w:kinsoku/>
              <w:wordWrap/>
              <w:overflowPunct/>
              <w:topLinePunct w:val="0"/>
              <w:autoSpaceDE w:val="0"/>
              <w:autoSpaceDN w:val="0"/>
              <w:bidi w:val="0"/>
              <w:spacing w:line="400" w:lineRule="exact"/>
              <w:ind w:firstLine="0" w:firstLineChars="0"/>
              <w:jc w:val="center"/>
              <w:textAlignment w:val="auto"/>
              <w:rPr>
                <w:rFonts w:hint="default" w:ascii="Times New Roman" w:hAnsi="Times New Roman" w:cs="Times New Roman"/>
                <w:b/>
                <w:color w:val="auto"/>
                <w:kern w:val="0"/>
                <w:sz w:val="21"/>
                <w:szCs w:val="21"/>
                <w:highlight w:val="none"/>
              </w:rPr>
            </w:pPr>
            <w:bookmarkStart w:id="82" w:name="CQZH1_07"/>
            <w:r>
              <w:rPr>
                <w:rFonts w:hint="default" w:ascii="Times New Roman" w:hAnsi="Times New Roman" w:cs="Times New Roman"/>
                <w:b/>
                <w:color w:val="auto"/>
                <w:kern w:val="0"/>
                <w:sz w:val="21"/>
                <w:szCs w:val="21"/>
                <w:highlight w:val="none"/>
              </w:rPr>
              <w:t>条款号</w:t>
            </w:r>
          </w:p>
        </w:tc>
        <w:tc>
          <w:tcPr>
            <w:tcW w:w="1482" w:type="dxa"/>
            <w:vAlign w:val="center"/>
          </w:tcPr>
          <w:p w14:paraId="77884660">
            <w:pPr>
              <w:keepNext w:val="0"/>
              <w:keepLines w:val="0"/>
              <w:pageBreakBefore w:val="0"/>
              <w:widowControl w:val="0"/>
              <w:kinsoku/>
              <w:wordWrap/>
              <w:overflowPunct/>
              <w:topLinePunct w:val="0"/>
              <w:autoSpaceDE w:val="0"/>
              <w:autoSpaceDN w:val="0"/>
              <w:bidi w:val="0"/>
              <w:spacing w:line="400" w:lineRule="exact"/>
              <w:ind w:firstLine="0" w:firstLineChars="0"/>
              <w:jc w:val="center"/>
              <w:textAlignment w:val="auto"/>
              <w:rPr>
                <w:rFonts w:hint="default" w:ascii="Times New Roman" w:hAnsi="Times New Roman" w:cs="Times New Roman"/>
                <w:b/>
                <w:color w:val="auto"/>
                <w:kern w:val="0"/>
                <w:sz w:val="21"/>
                <w:szCs w:val="21"/>
                <w:highlight w:val="none"/>
              </w:rPr>
            </w:pPr>
            <w:r>
              <w:rPr>
                <w:rFonts w:hint="default" w:ascii="Times New Roman" w:hAnsi="Times New Roman" w:cs="Times New Roman"/>
                <w:b/>
                <w:color w:val="auto"/>
                <w:kern w:val="0"/>
                <w:sz w:val="21"/>
                <w:szCs w:val="21"/>
                <w:highlight w:val="none"/>
              </w:rPr>
              <w:t>评审因素</w:t>
            </w:r>
          </w:p>
        </w:tc>
        <w:tc>
          <w:tcPr>
            <w:tcW w:w="7162" w:type="dxa"/>
            <w:gridSpan w:val="3"/>
            <w:vAlign w:val="center"/>
          </w:tcPr>
          <w:p w14:paraId="593200DE">
            <w:pPr>
              <w:keepNext w:val="0"/>
              <w:keepLines w:val="0"/>
              <w:pageBreakBefore w:val="0"/>
              <w:widowControl w:val="0"/>
              <w:kinsoku/>
              <w:wordWrap/>
              <w:overflowPunct/>
              <w:topLinePunct w:val="0"/>
              <w:autoSpaceDE w:val="0"/>
              <w:autoSpaceDN w:val="0"/>
              <w:bidi w:val="0"/>
              <w:spacing w:line="400" w:lineRule="exact"/>
              <w:ind w:firstLine="0" w:firstLineChars="0"/>
              <w:jc w:val="center"/>
              <w:textAlignment w:val="auto"/>
              <w:rPr>
                <w:rFonts w:hint="default" w:ascii="Times New Roman" w:hAnsi="Times New Roman" w:cs="Times New Roman"/>
                <w:b/>
                <w:color w:val="auto"/>
                <w:kern w:val="0"/>
                <w:sz w:val="21"/>
                <w:szCs w:val="21"/>
                <w:highlight w:val="none"/>
              </w:rPr>
            </w:pPr>
            <w:r>
              <w:rPr>
                <w:rFonts w:hint="default" w:ascii="Times New Roman" w:hAnsi="Times New Roman" w:cs="Times New Roman"/>
                <w:b/>
                <w:color w:val="auto"/>
                <w:kern w:val="0"/>
                <w:sz w:val="21"/>
                <w:szCs w:val="21"/>
                <w:highlight w:val="none"/>
              </w:rPr>
              <w:t>评审标准</w:t>
            </w:r>
          </w:p>
        </w:tc>
      </w:tr>
      <w:tr w14:paraId="3D51B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792E75CC">
            <w:pPr>
              <w:keepNext w:val="0"/>
              <w:keepLines w:val="0"/>
              <w:pageBreakBefore w:val="0"/>
              <w:widowControl w:val="0"/>
              <w:kinsoku/>
              <w:wordWrap/>
              <w:overflowPunct/>
              <w:topLinePunct w:val="0"/>
              <w:autoSpaceDE w:val="0"/>
              <w:autoSpaceDN w:val="0"/>
              <w:bidi w:val="0"/>
              <w:spacing w:line="400" w:lineRule="exact"/>
              <w:ind w:firstLine="0" w:firstLineChars="0"/>
              <w:jc w:val="center"/>
              <w:textAlignment w:val="auto"/>
              <w:rPr>
                <w:rFonts w:hint="default" w:ascii="Times New Roman" w:hAnsi="Times New Roman" w:cs="Times New Roman"/>
                <w:bCs/>
                <w:color w:val="auto"/>
                <w:kern w:val="0"/>
                <w:sz w:val="21"/>
                <w:szCs w:val="21"/>
                <w:highlight w:val="none"/>
              </w:rPr>
            </w:pPr>
            <w:r>
              <w:rPr>
                <w:rFonts w:hint="default" w:ascii="Times New Roman" w:hAnsi="Times New Roman" w:cs="Times New Roman"/>
                <w:bCs/>
                <w:color w:val="auto"/>
                <w:kern w:val="0"/>
                <w:sz w:val="21"/>
                <w:szCs w:val="21"/>
                <w:highlight w:val="none"/>
              </w:rPr>
              <w:t>1</w:t>
            </w:r>
          </w:p>
        </w:tc>
        <w:tc>
          <w:tcPr>
            <w:tcW w:w="1482" w:type="dxa"/>
            <w:tcBorders>
              <w:left w:val="single" w:color="auto" w:sz="4" w:space="0"/>
            </w:tcBorders>
            <w:vAlign w:val="center"/>
          </w:tcPr>
          <w:p w14:paraId="564DE9E5">
            <w:pPr>
              <w:keepNext w:val="0"/>
              <w:keepLines w:val="0"/>
              <w:pageBreakBefore w:val="0"/>
              <w:widowControl w:val="0"/>
              <w:kinsoku/>
              <w:wordWrap/>
              <w:overflowPunct/>
              <w:topLinePunct w:val="0"/>
              <w:autoSpaceDE w:val="0"/>
              <w:autoSpaceDN w:val="0"/>
              <w:bidi w:val="0"/>
              <w:spacing w:line="400" w:lineRule="exact"/>
              <w:ind w:firstLine="0" w:firstLineChars="0"/>
              <w:jc w:val="center"/>
              <w:textAlignment w:val="auto"/>
              <w:rPr>
                <w:rFonts w:hint="default" w:ascii="Times New Roman" w:hAnsi="Times New Roman" w:cs="Times New Roman"/>
                <w:b/>
                <w:color w:val="auto"/>
                <w:kern w:val="0"/>
                <w:sz w:val="21"/>
                <w:szCs w:val="21"/>
                <w:highlight w:val="none"/>
              </w:rPr>
            </w:pPr>
            <w:r>
              <w:rPr>
                <w:rFonts w:hint="default" w:ascii="Times New Roman" w:hAnsi="Times New Roman" w:cs="Times New Roman"/>
                <w:color w:val="auto"/>
                <w:sz w:val="21"/>
                <w:szCs w:val="21"/>
                <w:highlight w:val="none"/>
              </w:rPr>
              <w:t>评审办法</w:t>
            </w:r>
          </w:p>
        </w:tc>
        <w:tc>
          <w:tcPr>
            <w:tcW w:w="7162" w:type="dxa"/>
            <w:gridSpan w:val="3"/>
            <w:tcBorders>
              <w:left w:val="single" w:color="auto" w:sz="4" w:space="0"/>
            </w:tcBorders>
            <w:vAlign w:val="center"/>
          </w:tcPr>
          <w:p w14:paraId="4CE0A835">
            <w:pPr>
              <w:keepNext w:val="0"/>
              <w:keepLines w:val="0"/>
              <w:pageBreakBefore w:val="0"/>
              <w:widowControl w:val="0"/>
              <w:kinsoku/>
              <w:wordWrap/>
              <w:overflowPunct/>
              <w:topLinePunct w:val="0"/>
              <w:autoSpaceDE w:val="0"/>
              <w:autoSpaceDN w:val="0"/>
              <w:bidi w:val="0"/>
              <w:spacing w:line="400" w:lineRule="exact"/>
              <w:ind w:firstLine="0" w:firstLineChars="0"/>
              <w:jc w:val="left"/>
              <w:textAlignment w:val="auto"/>
              <w:rPr>
                <w:rFonts w:hint="default" w:ascii="Times New Roman" w:hAnsi="Times New Roman" w:cs="Times New Roman"/>
                <w:b/>
                <w:color w:val="auto"/>
                <w:kern w:val="0"/>
                <w:sz w:val="21"/>
                <w:szCs w:val="21"/>
                <w:highlight w:val="none"/>
              </w:rPr>
            </w:pPr>
            <w:r>
              <w:rPr>
                <w:rFonts w:hint="default" w:ascii="Times New Roman" w:hAnsi="Times New Roman" w:eastAsia="宋体" w:cs="Times New Roman"/>
                <w:color w:val="auto"/>
                <w:kern w:val="0"/>
                <w:sz w:val="21"/>
                <w:szCs w:val="21"/>
                <w:highlight w:val="none"/>
              </w:rPr>
              <w:t>本次评审采用综合评估法。评审委员会按照评审办法前附表第2.</w:t>
            </w:r>
            <w:r>
              <w:rPr>
                <w:rFonts w:hint="default" w:ascii="Times New Roman" w:hAnsi="Times New Roman" w:eastAsia="宋体" w:cs="Times New Roman"/>
                <w:color w:val="auto"/>
                <w:sz w:val="21"/>
                <w:szCs w:val="21"/>
                <w:highlight w:val="none"/>
              </w:rPr>
              <w:t>1</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kern w:val="0"/>
                <w:sz w:val="21"/>
                <w:szCs w:val="21"/>
                <w:highlight w:val="none"/>
              </w:rPr>
              <w:t>条规定的标准进行</w:t>
            </w:r>
            <w:r>
              <w:rPr>
                <w:rFonts w:hint="default" w:ascii="Times New Roman" w:hAnsi="Times New Roman" w:eastAsia="宋体" w:cs="Times New Roman"/>
                <w:color w:val="auto"/>
                <w:sz w:val="21"/>
                <w:szCs w:val="21"/>
                <w:highlight w:val="none"/>
              </w:rPr>
              <w:t>初步评审，初步评审合格的参选人评审委员会按照评审办法前附表第2.2</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rPr>
              <w:t>条规定的评分标准进行打分</w:t>
            </w:r>
            <w:r>
              <w:rPr>
                <w:rFonts w:hint="default" w:ascii="Times New Roman" w:hAnsi="Times New Roman" w:eastAsia="宋体" w:cs="Times New Roman"/>
                <w:color w:val="auto"/>
                <w:kern w:val="0"/>
                <w:sz w:val="21"/>
                <w:szCs w:val="21"/>
                <w:highlight w:val="none"/>
              </w:rPr>
              <w:t>，按得分由高到低顺序推荐</w:t>
            </w:r>
            <w:r>
              <w:rPr>
                <w:rFonts w:hint="default" w:ascii="Times New Roman" w:hAnsi="Times New Roman" w:eastAsia="宋体" w:cs="Times New Roman"/>
                <w:color w:val="auto"/>
                <w:sz w:val="21"/>
                <w:szCs w:val="21"/>
                <w:highlight w:val="none"/>
              </w:rPr>
              <w:t>1-</w:t>
            </w:r>
            <w:r>
              <w:rPr>
                <w:rFonts w:hint="default" w:ascii="Times New Roman" w:hAnsi="Times New Roman" w:eastAsia="宋体" w:cs="Times New Roman"/>
                <w:color w:val="auto"/>
                <w:kern w:val="0"/>
                <w:sz w:val="21"/>
                <w:szCs w:val="21"/>
                <w:highlight w:val="none"/>
              </w:rPr>
              <w:t>3名中选候选人</w:t>
            </w:r>
            <w:r>
              <w:rPr>
                <w:rFonts w:hint="default" w:ascii="Times New Roman" w:hAnsi="Times New Roman" w:cs="Times New Roman"/>
                <w:color w:val="auto"/>
                <w:kern w:val="0"/>
                <w:sz w:val="21"/>
                <w:szCs w:val="24"/>
                <w:highlight w:val="none"/>
              </w:rPr>
              <w:t>，但参选报价低于其成本的除外。综合评分相等时，以参选报价低的优先；参选报价也相等的，由评审委员会按照</w:t>
            </w:r>
            <w:r>
              <w:rPr>
                <w:rFonts w:hint="default" w:ascii="Times New Roman" w:hAnsi="Times New Roman" w:cs="Times New Roman"/>
                <w:color w:val="auto"/>
                <w:kern w:val="0"/>
                <w:sz w:val="21"/>
                <w:szCs w:val="24"/>
                <w:highlight w:val="none"/>
                <w:lang w:val="en-US" w:eastAsia="zh-CN"/>
              </w:rPr>
              <w:t>项目</w:t>
            </w:r>
            <w:r>
              <w:rPr>
                <w:rFonts w:hint="eastAsia" w:ascii="Times New Roman" w:hAnsi="Times New Roman" w:cs="Times New Roman"/>
                <w:color w:val="auto"/>
                <w:kern w:val="0"/>
                <w:sz w:val="21"/>
                <w:szCs w:val="24"/>
                <w:highlight w:val="none"/>
                <w:lang w:val="en-US" w:eastAsia="zh-CN"/>
              </w:rPr>
              <w:t>实施</w:t>
            </w:r>
            <w:r>
              <w:rPr>
                <w:rFonts w:hint="default" w:ascii="Times New Roman" w:hAnsi="Times New Roman" w:cs="Times New Roman"/>
                <w:color w:val="auto"/>
                <w:kern w:val="0"/>
                <w:sz w:val="21"/>
                <w:szCs w:val="24"/>
                <w:highlight w:val="none"/>
                <w:lang w:val="en-US" w:eastAsia="zh-CN"/>
              </w:rPr>
              <w:t>方案得分由高到低</w:t>
            </w:r>
            <w:r>
              <w:rPr>
                <w:rFonts w:hint="default" w:ascii="Times New Roman" w:hAnsi="Times New Roman" w:cs="Times New Roman"/>
                <w:color w:val="auto"/>
                <w:kern w:val="0"/>
                <w:sz w:val="21"/>
                <w:szCs w:val="24"/>
                <w:highlight w:val="none"/>
              </w:rPr>
              <w:t>原则排序</w:t>
            </w:r>
          </w:p>
        </w:tc>
      </w:tr>
      <w:tr w14:paraId="42FCC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69C10A08">
            <w:pPr>
              <w:keepNext w:val="0"/>
              <w:keepLines w:val="0"/>
              <w:pageBreakBefore w:val="0"/>
              <w:widowControl w:val="0"/>
              <w:kinsoku/>
              <w:wordWrap/>
              <w:overflowPunct/>
              <w:topLinePunct w:val="0"/>
              <w:autoSpaceDE w:val="0"/>
              <w:autoSpaceDN w:val="0"/>
              <w:bidi w:val="0"/>
              <w:spacing w:line="400" w:lineRule="exact"/>
              <w:ind w:firstLine="0" w:firstLineChars="0"/>
              <w:jc w:val="center"/>
              <w:textAlignment w:val="auto"/>
              <w:rPr>
                <w:rFonts w:hint="default" w:ascii="Times New Roman" w:hAnsi="Times New Roman" w:cs="Times New Roman"/>
                <w:bCs/>
                <w:color w:val="auto"/>
                <w:kern w:val="0"/>
                <w:sz w:val="21"/>
                <w:szCs w:val="21"/>
                <w:highlight w:val="none"/>
              </w:rPr>
            </w:pPr>
            <w:r>
              <w:rPr>
                <w:rFonts w:hint="default" w:ascii="Times New Roman" w:hAnsi="Times New Roman" w:cs="Times New Roman"/>
                <w:bCs/>
                <w:color w:val="auto"/>
                <w:kern w:val="0"/>
                <w:sz w:val="21"/>
                <w:szCs w:val="21"/>
                <w:highlight w:val="none"/>
              </w:rPr>
              <w:t>2.1</w:t>
            </w:r>
          </w:p>
        </w:tc>
        <w:tc>
          <w:tcPr>
            <w:tcW w:w="1482" w:type="dxa"/>
            <w:tcBorders>
              <w:left w:val="single" w:color="auto" w:sz="4" w:space="0"/>
            </w:tcBorders>
            <w:vAlign w:val="center"/>
          </w:tcPr>
          <w:p w14:paraId="35D03FEB">
            <w:pPr>
              <w:keepNext w:val="0"/>
              <w:keepLines w:val="0"/>
              <w:pageBreakBefore w:val="0"/>
              <w:widowControl w:val="0"/>
              <w:kinsoku/>
              <w:wordWrap/>
              <w:overflowPunct/>
              <w:topLinePunct w:val="0"/>
              <w:autoSpaceDE w:val="0"/>
              <w:autoSpaceDN w:val="0"/>
              <w:bidi w:val="0"/>
              <w:spacing w:line="400" w:lineRule="exact"/>
              <w:ind w:firstLine="0" w:firstLineChars="0"/>
              <w:jc w:val="center"/>
              <w:textAlignment w:val="auto"/>
              <w:rPr>
                <w:rFonts w:hint="default" w:ascii="Times New Roman" w:hAnsi="Times New Roman" w:cs="Times New Roman"/>
                <w:color w:val="auto"/>
                <w:kern w:val="0"/>
                <w:sz w:val="21"/>
                <w:szCs w:val="24"/>
                <w:highlight w:val="none"/>
              </w:rPr>
            </w:pPr>
            <w:r>
              <w:rPr>
                <w:rFonts w:hint="default" w:ascii="Times New Roman" w:hAnsi="Times New Roman" w:cs="Times New Roman"/>
                <w:color w:val="auto"/>
                <w:kern w:val="0"/>
                <w:sz w:val="21"/>
                <w:szCs w:val="24"/>
                <w:highlight w:val="none"/>
              </w:rPr>
              <w:t>初步评审标准</w:t>
            </w:r>
          </w:p>
        </w:tc>
        <w:tc>
          <w:tcPr>
            <w:tcW w:w="7162" w:type="dxa"/>
            <w:gridSpan w:val="3"/>
            <w:tcBorders>
              <w:left w:val="single" w:color="auto" w:sz="4" w:space="0"/>
            </w:tcBorders>
            <w:vAlign w:val="center"/>
          </w:tcPr>
          <w:p w14:paraId="4FC35DB1">
            <w:pPr>
              <w:keepNext w:val="0"/>
              <w:keepLines w:val="0"/>
              <w:pageBreakBefore w:val="0"/>
              <w:widowControl w:val="0"/>
              <w:kinsoku/>
              <w:wordWrap/>
              <w:overflowPunct/>
              <w:topLinePunct w:val="0"/>
              <w:autoSpaceDE w:val="0"/>
              <w:autoSpaceDN w:val="0"/>
              <w:bidi w:val="0"/>
              <w:spacing w:line="400" w:lineRule="exact"/>
              <w:ind w:firstLine="0" w:firstLineChars="0"/>
              <w:jc w:val="left"/>
              <w:textAlignment w:val="auto"/>
              <w:rPr>
                <w:rFonts w:hint="default" w:ascii="Times New Roman" w:hAnsi="Times New Roman" w:cs="Times New Roman"/>
                <w:color w:val="auto"/>
                <w:kern w:val="0"/>
                <w:sz w:val="21"/>
                <w:szCs w:val="24"/>
                <w:highlight w:val="none"/>
              </w:rPr>
            </w:pPr>
            <w:r>
              <w:rPr>
                <w:rFonts w:hint="default" w:ascii="Times New Roman" w:hAnsi="Times New Roman" w:cs="Times New Roman"/>
                <w:color w:val="auto"/>
                <w:kern w:val="0"/>
                <w:sz w:val="21"/>
                <w:szCs w:val="24"/>
                <w:highlight w:val="none"/>
              </w:rPr>
              <w:t>所有参选单位</w:t>
            </w:r>
            <w:r>
              <w:rPr>
                <w:rFonts w:hint="default" w:ascii="Times New Roman" w:hAnsi="Times New Roman" w:cs="Times New Roman"/>
                <w:color w:val="auto"/>
                <w:spacing w:val="4"/>
                <w:kern w:val="0"/>
                <w:sz w:val="21"/>
                <w:szCs w:val="21"/>
                <w:highlight w:val="none"/>
              </w:rPr>
              <w:t>进行</w:t>
            </w:r>
            <w:r>
              <w:rPr>
                <w:rFonts w:hint="default" w:ascii="Times New Roman" w:hAnsi="Times New Roman" w:cs="Times New Roman"/>
                <w:color w:val="auto"/>
                <w:kern w:val="0"/>
                <w:sz w:val="21"/>
                <w:szCs w:val="24"/>
                <w:highlight w:val="none"/>
              </w:rPr>
              <w:t>初步评审</w:t>
            </w:r>
            <w:r>
              <w:rPr>
                <w:rFonts w:hint="default" w:ascii="Times New Roman" w:hAnsi="Times New Roman" w:cs="Times New Roman"/>
                <w:color w:val="auto"/>
                <w:spacing w:val="4"/>
                <w:kern w:val="0"/>
                <w:sz w:val="21"/>
                <w:szCs w:val="21"/>
                <w:highlight w:val="none"/>
              </w:rPr>
              <w:t>。</w:t>
            </w:r>
            <w:r>
              <w:rPr>
                <w:rFonts w:hint="default" w:ascii="Times New Roman" w:hAnsi="Times New Roman" w:cs="Times New Roman"/>
                <w:color w:val="auto"/>
                <w:kern w:val="0"/>
                <w:sz w:val="21"/>
                <w:szCs w:val="24"/>
                <w:highlight w:val="none"/>
              </w:rPr>
              <w:t>初步评审</w:t>
            </w:r>
            <w:r>
              <w:rPr>
                <w:rFonts w:hint="default" w:ascii="Times New Roman" w:hAnsi="Times New Roman" w:cs="Times New Roman"/>
                <w:color w:val="auto"/>
                <w:spacing w:val="4"/>
                <w:kern w:val="0"/>
                <w:sz w:val="21"/>
                <w:szCs w:val="21"/>
                <w:highlight w:val="none"/>
              </w:rPr>
              <w:t>内容：资格评审、形式评审、响应性评审。</w:t>
            </w:r>
          </w:p>
        </w:tc>
      </w:tr>
      <w:tr w14:paraId="32A66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35521512">
            <w:pPr>
              <w:keepNext w:val="0"/>
              <w:keepLines w:val="0"/>
              <w:pageBreakBefore w:val="0"/>
              <w:widowControl w:val="0"/>
              <w:kinsoku/>
              <w:wordWrap/>
              <w:overflowPunct/>
              <w:topLinePunct w:val="0"/>
              <w:autoSpaceDE w:val="0"/>
              <w:autoSpaceDN w:val="0"/>
              <w:bidi w:val="0"/>
              <w:spacing w:line="400" w:lineRule="exact"/>
              <w:ind w:firstLine="0" w:firstLineChars="0"/>
              <w:jc w:val="center"/>
              <w:textAlignment w:val="auto"/>
              <w:rPr>
                <w:rFonts w:hint="default" w:ascii="Times New Roman" w:hAnsi="Times New Roman" w:cs="Times New Roman"/>
                <w:bCs/>
                <w:color w:val="auto"/>
                <w:kern w:val="0"/>
                <w:sz w:val="21"/>
                <w:szCs w:val="21"/>
                <w:highlight w:val="none"/>
              </w:rPr>
            </w:pPr>
            <w:r>
              <w:rPr>
                <w:rFonts w:hint="default" w:ascii="Times New Roman" w:hAnsi="Times New Roman" w:cs="Times New Roman"/>
                <w:color w:val="auto"/>
                <w:kern w:val="0"/>
                <w:sz w:val="21"/>
                <w:szCs w:val="21"/>
                <w:highlight w:val="none"/>
              </w:rPr>
              <w:t>2.1.1</w:t>
            </w:r>
          </w:p>
        </w:tc>
        <w:tc>
          <w:tcPr>
            <w:tcW w:w="1482" w:type="dxa"/>
            <w:tcBorders>
              <w:left w:val="single" w:color="auto" w:sz="4" w:space="0"/>
            </w:tcBorders>
            <w:vAlign w:val="center"/>
          </w:tcPr>
          <w:p w14:paraId="42D48EBC">
            <w:pPr>
              <w:keepNext w:val="0"/>
              <w:keepLines w:val="0"/>
              <w:pageBreakBefore w:val="0"/>
              <w:widowControl w:val="0"/>
              <w:kinsoku/>
              <w:wordWrap/>
              <w:overflowPunct/>
              <w:topLinePunct w:val="0"/>
              <w:autoSpaceDE w:val="0"/>
              <w:autoSpaceDN w:val="0"/>
              <w:bidi w:val="0"/>
              <w:spacing w:line="400" w:lineRule="exact"/>
              <w:ind w:firstLine="0" w:firstLineChars="0"/>
              <w:jc w:val="center"/>
              <w:textAlignment w:val="auto"/>
              <w:rPr>
                <w:rFonts w:hint="default" w:ascii="Times New Roman" w:hAnsi="Times New Roman" w:cs="Times New Roman"/>
                <w:color w:val="auto"/>
                <w:kern w:val="0"/>
                <w:sz w:val="21"/>
                <w:szCs w:val="24"/>
                <w:highlight w:val="none"/>
              </w:rPr>
            </w:pPr>
            <w:r>
              <w:rPr>
                <w:rFonts w:hint="default" w:ascii="Times New Roman" w:hAnsi="Times New Roman" w:cs="Times New Roman"/>
                <w:color w:val="auto"/>
                <w:kern w:val="0"/>
                <w:sz w:val="21"/>
                <w:szCs w:val="21"/>
                <w:highlight w:val="none"/>
              </w:rPr>
              <w:t>资格评审标准</w:t>
            </w:r>
          </w:p>
        </w:tc>
        <w:tc>
          <w:tcPr>
            <w:tcW w:w="1686" w:type="dxa"/>
            <w:gridSpan w:val="2"/>
            <w:tcBorders>
              <w:left w:val="single" w:color="auto" w:sz="4" w:space="0"/>
            </w:tcBorders>
            <w:vAlign w:val="center"/>
          </w:tcPr>
          <w:p w14:paraId="74F933DC">
            <w:pPr>
              <w:keepNext w:val="0"/>
              <w:keepLines w:val="0"/>
              <w:pageBreakBefore w:val="0"/>
              <w:widowControl w:val="0"/>
              <w:kinsoku/>
              <w:wordWrap/>
              <w:overflowPunct/>
              <w:topLinePunct w:val="0"/>
              <w:autoSpaceDE w:val="0"/>
              <w:autoSpaceDN w:val="0"/>
              <w:bidi w:val="0"/>
              <w:spacing w:line="400" w:lineRule="exact"/>
              <w:ind w:firstLine="0" w:firstLineChars="0"/>
              <w:jc w:val="center"/>
              <w:textAlignment w:val="auto"/>
              <w:rPr>
                <w:rFonts w:hint="default" w:ascii="Times New Roman" w:hAnsi="Times New Roman" w:cs="Times New Roman"/>
                <w:color w:val="auto"/>
                <w:kern w:val="0"/>
                <w:sz w:val="21"/>
                <w:szCs w:val="24"/>
                <w:highlight w:val="none"/>
              </w:rPr>
            </w:pPr>
            <w:r>
              <w:rPr>
                <w:rFonts w:hint="default" w:ascii="Times New Roman" w:hAnsi="Times New Roman" w:cs="Times New Roman"/>
                <w:color w:val="auto"/>
                <w:kern w:val="0"/>
                <w:sz w:val="21"/>
                <w:szCs w:val="21"/>
                <w:highlight w:val="none"/>
              </w:rPr>
              <w:t>资格条件要求</w:t>
            </w:r>
          </w:p>
        </w:tc>
        <w:tc>
          <w:tcPr>
            <w:tcW w:w="5476" w:type="dxa"/>
            <w:tcBorders>
              <w:left w:val="single" w:color="auto" w:sz="4" w:space="0"/>
            </w:tcBorders>
            <w:vAlign w:val="center"/>
          </w:tcPr>
          <w:p w14:paraId="2A3B5EF7">
            <w:pPr>
              <w:keepNext w:val="0"/>
              <w:keepLines w:val="0"/>
              <w:pageBreakBefore w:val="0"/>
              <w:widowControl w:val="0"/>
              <w:kinsoku/>
              <w:wordWrap/>
              <w:overflowPunct/>
              <w:topLinePunct w:val="0"/>
              <w:autoSpaceDE w:val="0"/>
              <w:autoSpaceDN w:val="0"/>
              <w:bidi w:val="0"/>
              <w:spacing w:line="400" w:lineRule="exact"/>
              <w:ind w:firstLine="0" w:firstLineChars="0"/>
              <w:jc w:val="left"/>
              <w:textAlignment w:val="auto"/>
              <w:rPr>
                <w:rFonts w:hint="default" w:ascii="Times New Roman" w:hAnsi="Times New Roman" w:cs="Times New Roman"/>
                <w:color w:val="auto"/>
                <w:kern w:val="0"/>
                <w:sz w:val="21"/>
                <w:szCs w:val="24"/>
                <w:highlight w:val="none"/>
              </w:rPr>
            </w:pPr>
            <w:r>
              <w:rPr>
                <w:rFonts w:hint="default" w:ascii="Times New Roman" w:hAnsi="Times New Roman" w:cs="Times New Roman"/>
                <w:color w:val="auto"/>
                <w:kern w:val="0"/>
                <w:sz w:val="21"/>
                <w:szCs w:val="21"/>
                <w:highlight w:val="none"/>
              </w:rPr>
              <w:t>符合第一章</w:t>
            </w:r>
            <w:r>
              <w:rPr>
                <w:rFonts w:hint="eastAsia" w:ascii="Times New Roman" w:hAnsi="Times New Roman" w:cs="Times New Roman"/>
                <w:color w:val="auto"/>
                <w:kern w:val="0"/>
                <w:sz w:val="21"/>
                <w:szCs w:val="21"/>
                <w:highlight w:val="none"/>
                <w:lang w:eastAsia="zh-CN"/>
              </w:rPr>
              <w:t>“</w:t>
            </w:r>
            <w:r>
              <w:rPr>
                <w:rFonts w:hint="default" w:ascii="Times New Roman" w:hAnsi="Times New Roman" w:cs="Times New Roman"/>
                <w:color w:val="auto"/>
                <w:kern w:val="0"/>
                <w:sz w:val="21"/>
                <w:szCs w:val="21"/>
                <w:highlight w:val="none"/>
              </w:rPr>
              <w:t>2. 参选人资格要求</w:t>
            </w:r>
            <w:r>
              <w:rPr>
                <w:rFonts w:hint="eastAsia" w:ascii="Times New Roman" w:hAnsi="Times New Roman" w:cs="Times New Roman"/>
                <w:color w:val="auto"/>
                <w:kern w:val="0"/>
                <w:sz w:val="21"/>
                <w:szCs w:val="21"/>
                <w:highlight w:val="none"/>
                <w:lang w:eastAsia="zh-CN"/>
              </w:rPr>
              <w:t>”</w:t>
            </w:r>
            <w:r>
              <w:rPr>
                <w:rFonts w:hint="default" w:ascii="Times New Roman" w:hAnsi="Times New Roman" w:cs="Times New Roman"/>
                <w:color w:val="auto"/>
                <w:kern w:val="0"/>
                <w:sz w:val="21"/>
                <w:szCs w:val="21"/>
                <w:highlight w:val="none"/>
              </w:rPr>
              <w:t>规定</w:t>
            </w:r>
          </w:p>
        </w:tc>
      </w:tr>
      <w:tr w14:paraId="637DD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vAlign w:val="center"/>
          </w:tcPr>
          <w:p w14:paraId="36703471">
            <w:pPr>
              <w:keepNext w:val="0"/>
              <w:keepLines w:val="0"/>
              <w:pageBreakBefore w:val="0"/>
              <w:widowControl w:val="0"/>
              <w:kinsoku/>
              <w:wordWrap/>
              <w:overflowPunct/>
              <w:topLinePunct w:val="0"/>
              <w:autoSpaceDE w:val="0"/>
              <w:autoSpaceDN w:val="0"/>
              <w:bidi w:val="0"/>
              <w:spacing w:line="400" w:lineRule="exact"/>
              <w:ind w:firstLine="0" w:firstLineChars="0"/>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2.1.2</w:t>
            </w:r>
          </w:p>
        </w:tc>
        <w:tc>
          <w:tcPr>
            <w:tcW w:w="1482" w:type="dxa"/>
            <w:vMerge w:val="restart"/>
            <w:tcBorders>
              <w:left w:val="single" w:color="auto" w:sz="4" w:space="0"/>
            </w:tcBorders>
            <w:vAlign w:val="center"/>
          </w:tcPr>
          <w:p w14:paraId="65ED5B57">
            <w:pPr>
              <w:keepNext w:val="0"/>
              <w:keepLines w:val="0"/>
              <w:pageBreakBefore w:val="0"/>
              <w:widowControl w:val="0"/>
              <w:kinsoku/>
              <w:wordWrap/>
              <w:overflowPunct/>
              <w:topLinePunct w:val="0"/>
              <w:autoSpaceDE w:val="0"/>
              <w:autoSpaceDN w:val="0"/>
              <w:bidi w:val="0"/>
              <w:spacing w:line="400" w:lineRule="exact"/>
              <w:ind w:firstLine="0" w:firstLineChars="0"/>
              <w:jc w:val="center"/>
              <w:textAlignment w:val="auto"/>
              <w:rPr>
                <w:rFonts w:hint="default" w:ascii="Times New Roman" w:hAnsi="Times New Roman" w:cs="Times New Roman"/>
                <w:color w:val="auto"/>
                <w:kern w:val="0"/>
                <w:sz w:val="21"/>
                <w:szCs w:val="24"/>
                <w:highlight w:val="none"/>
              </w:rPr>
            </w:pPr>
            <w:r>
              <w:rPr>
                <w:rFonts w:hint="default" w:ascii="Times New Roman" w:hAnsi="Times New Roman" w:cs="Times New Roman"/>
                <w:color w:val="auto"/>
                <w:kern w:val="0"/>
                <w:sz w:val="21"/>
                <w:szCs w:val="24"/>
                <w:highlight w:val="none"/>
              </w:rPr>
              <w:t>形式评审标准</w:t>
            </w:r>
          </w:p>
        </w:tc>
        <w:tc>
          <w:tcPr>
            <w:tcW w:w="1686" w:type="dxa"/>
            <w:gridSpan w:val="2"/>
            <w:tcBorders>
              <w:left w:val="single" w:color="auto" w:sz="4" w:space="0"/>
            </w:tcBorders>
            <w:vAlign w:val="center"/>
          </w:tcPr>
          <w:p w14:paraId="3F25B90A">
            <w:pPr>
              <w:keepNext w:val="0"/>
              <w:keepLines w:val="0"/>
              <w:pageBreakBefore w:val="0"/>
              <w:widowControl w:val="0"/>
              <w:kinsoku/>
              <w:wordWrap/>
              <w:overflowPunct/>
              <w:topLinePunct w:val="0"/>
              <w:autoSpaceDE w:val="0"/>
              <w:autoSpaceDN w:val="0"/>
              <w:bidi w:val="0"/>
              <w:spacing w:line="400" w:lineRule="exact"/>
              <w:ind w:firstLine="0" w:firstLineChars="0"/>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参选人名称</w:t>
            </w:r>
          </w:p>
        </w:tc>
        <w:tc>
          <w:tcPr>
            <w:tcW w:w="5476" w:type="dxa"/>
            <w:tcBorders>
              <w:left w:val="single" w:color="auto" w:sz="4" w:space="0"/>
            </w:tcBorders>
            <w:vAlign w:val="center"/>
          </w:tcPr>
          <w:p w14:paraId="5122CC5B">
            <w:pPr>
              <w:keepNext w:val="0"/>
              <w:keepLines w:val="0"/>
              <w:pageBreakBefore w:val="0"/>
              <w:widowControl w:val="0"/>
              <w:kinsoku/>
              <w:wordWrap/>
              <w:overflowPunct/>
              <w:topLinePunct w:val="0"/>
              <w:autoSpaceDE w:val="0"/>
              <w:autoSpaceDN w:val="0"/>
              <w:bidi w:val="0"/>
              <w:spacing w:line="400" w:lineRule="exact"/>
              <w:ind w:firstLine="0" w:firstLineChars="0"/>
              <w:jc w:val="left"/>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与营业执照、资格证明材料一致</w:t>
            </w:r>
          </w:p>
        </w:tc>
      </w:tr>
      <w:tr w14:paraId="6C3D0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2E98664B">
            <w:pPr>
              <w:keepNext w:val="0"/>
              <w:keepLines w:val="0"/>
              <w:pageBreakBefore w:val="0"/>
              <w:widowControl w:val="0"/>
              <w:kinsoku/>
              <w:wordWrap/>
              <w:overflowPunct/>
              <w:topLinePunct w:val="0"/>
              <w:autoSpaceDE w:val="0"/>
              <w:autoSpaceDN w:val="0"/>
              <w:bidi w:val="0"/>
              <w:spacing w:line="400" w:lineRule="exact"/>
              <w:textAlignment w:val="auto"/>
              <w:rPr>
                <w:rFonts w:hint="default" w:ascii="Times New Roman" w:hAnsi="Times New Roman" w:cs="Times New Roman"/>
                <w:color w:val="auto"/>
                <w:highlight w:val="none"/>
              </w:rPr>
            </w:pPr>
          </w:p>
        </w:tc>
        <w:tc>
          <w:tcPr>
            <w:tcW w:w="1482" w:type="dxa"/>
            <w:vMerge w:val="continue"/>
            <w:tcBorders>
              <w:left w:val="single" w:color="auto" w:sz="4" w:space="0"/>
            </w:tcBorders>
            <w:textDirection w:val="tbRlV"/>
            <w:vAlign w:val="center"/>
          </w:tcPr>
          <w:p w14:paraId="0505071E">
            <w:pPr>
              <w:keepNext w:val="0"/>
              <w:keepLines w:val="0"/>
              <w:pageBreakBefore w:val="0"/>
              <w:widowControl w:val="0"/>
              <w:kinsoku/>
              <w:wordWrap/>
              <w:overflowPunct/>
              <w:topLinePunct w:val="0"/>
              <w:autoSpaceDE w:val="0"/>
              <w:autoSpaceDN w:val="0"/>
              <w:bidi w:val="0"/>
              <w:spacing w:line="400" w:lineRule="exact"/>
              <w:textAlignment w:val="auto"/>
              <w:rPr>
                <w:rFonts w:hint="default" w:ascii="Times New Roman" w:hAnsi="Times New Roman" w:cs="Times New Roman"/>
                <w:color w:val="auto"/>
                <w:highlight w:val="none"/>
              </w:rPr>
            </w:pPr>
          </w:p>
        </w:tc>
        <w:tc>
          <w:tcPr>
            <w:tcW w:w="1686" w:type="dxa"/>
            <w:gridSpan w:val="2"/>
            <w:tcBorders>
              <w:left w:val="single" w:color="auto" w:sz="4" w:space="0"/>
            </w:tcBorders>
            <w:vAlign w:val="center"/>
          </w:tcPr>
          <w:p w14:paraId="1DDA1449">
            <w:pPr>
              <w:keepNext w:val="0"/>
              <w:keepLines w:val="0"/>
              <w:pageBreakBefore w:val="0"/>
              <w:widowControl w:val="0"/>
              <w:kinsoku/>
              <w:wordWrap/>
              <w:overflowPunct/>
              <w:topLinePunct w:val="0"/>
              <w:autoSpaceDE w:val="0"/>
              <w:autoSpaceDN w:val="0"/>
              <w:bidi w:val="0"/>
              <w:spacing w:line="400" w:lineRule="exact"/>
              <w:ind w:firstLine="0" w:firstLineChars="0"/>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参选文件的签字盖章</w:t>
            </w:r>
          </w:p>
        </w:tc>
        <w:tc>
          <w:tcPr>
            <w:tcW w:w="5476" w:type="dxa"/>
            <w:tcBorders>
              <w:left w:val="single" w:color="auto" w:sz="4" w:space="0"/>
            </w:tcBorders>
            <w:vAlign w:val="center"/>
          </w:tcPr>
          <w:p w14:paraId="7326026F">
            <w:pPr>
              <w:keepNext w:val="0"/>
              <w:keepLines w:val="0"/>
              <w:pageBreakBefore w:val="0"/>
              <w:widowControl w:val="0"/>
              <w:kinsoku/>
              <w:wordWrap/>
              <w:overflowPunct/>
              <w:topLinePunct w:val="0"/>
              <w:autoSpaceDE w:val="0"/>
              <w:autoSpaceDN w:val="0"/>
              <w:bidi w:val="0"/>
              <w:spacing w:line="400" w:lineRule="exact"/>
              <w:ind w:firstLine="0" w:firstLineChars="0"/>
              <w:jc w:val="left"/>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符合第二章</w:t>
            </w:r>
            <w:r>
              <w:rPr>
                <w:rFonts w:hint="eastAsia" w:ascii="Times New Roman" w:hAnsi="Times New Roman" w:cs="Times New Roman"/>
                <w:color w:val="auto"/>
                <w:kern w:val="0"/>
                <w:sz w:val="21"/>
                <w:szCs w:val="21"/>
                <w:highlight w:val="none"/>
                <w:lang w:eastAsia="zh-CN"/>
              </w:rPr>
              <w:t>“参选人须知”</w:t>
            </w:r>
            <w:r>
              <w:rPr>
                <w:rFonts w:hint="default" w:ascii="Times New Roman" w:hAnsi="Times New Roman" w:cs="Times New Roman"/>
                <w:color w:val="auto"/>
                <w:kern w:val="0"/>
                <w:sz w:val="21"/>
                <w:szCs w:val="21"/>
                <w:highlight w:val="none"/>
              </w:rPr>
              <w:t>4.5 条规定</w:t>
            </w:r>
          </w:p>
        </w:tc>
      </w:tr>
      <w:tr w14:paraId="6E206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784BE249">
            <w:pPr>
              <w:keepNext w:val="0"/>
              <w:keepLines w:val="0"/>
              <w:pageBreakBefore w:val="0"/>
              <w:widowControl w:val="0"/>
              <w:kinsoku/>
              <w:wordWrap/>
              <w:overflowPunct/>
              <w:topLinePunct w:val="0"/>
              <w:autoSpaceDE w:val="0"/>
              <w:autoSpaceDN w:val="0"/>
              <w:bidi w:val="0"/>
              <w:spacing w:line="400" w:lineRule="exact"/>
              <w:textAlignment w:val="auto"/>
              <w:rPr>
                <w:rFonts w:hint="default" w:ascii="Times New Roman" w:hAnsi="Times New Roman" w:cs="Times New Roman"/>
                <w:color w:val="auto"/>
                <w:highlight w:val="none"/>
              </w:rPr>
            </w:pPr>
          </w:p>
        </w:tc>
        <w:tc>
          <w:tcPr>
            <w:tcW w:w="1482" w:type="dxa"/>
            <w:vMerge w:val="continue"/>
            <w:tcBorders>
              <w:left w:val="single" w:color="auto" w:sz="4" w:space="0"/>
            </w:tcBorders>
            <w:textDirection w:val="tbRlV"/>
            <w:vAlign w:val="center"/>
          </w:tcPr>
          <w:p w14:paraId="0CE5C273">
            <w:pPr>
              <w:keepNext w:val="0"/>
              <w:keepLines w:val="0"/>
              <w:pageBreakBefore w:val="0"/>
              <w:widowControl w:val="0"/>
              <w:kinsoku/>
              <w:wordWrap/>
              <w:overflowPunct/>
              <w:topLinePunct w:val="0"/>
              <w:autoSpaceDE w:val="0"/>
              <w:autoSpaceDN w:val="0"/>
              <w:bidi w:val="0"/>
              <w:spacing w:line="400" w:lineRule="exact"/>
              <w:textAlignment w:val="auto"/>
              <w:rPr>
                <w:rFonts w:hint="default" w:ascii="Times New Roman" w:hAnsi="Times New Roman" w:cs="Times New Roman"/>
                <w:color w:val="auto"/>
                <w:highlight w:val="none"/>
              </w:rPr>
            </w:pPr>
          </w:p>
        </w:tc>
        <w:tc>
          <w:tcPr>
            <w:tcW w:w="1686" w:type="dxa"/>
            <w:gridSpan w:val="2"/>
            <w:tcBorders>
              <w:left w:val="single" w:color="auto" w:sz="4" w:space="0"/>
            </w:tcBorders>
            <w:vAlign w:val="center"/>
          </w:tcPr>
          <w:p w14:paraId="38D1AD9E">
            <w:pPr>
              <w:keepNext w:val="0"/>
              <w:keepLines w:val="0"/>
              <w:pageBreakBefore w:val="0"/>
              <w:widowControl w:val="0"/>
              <w:kinsoku/>
              <w:wordWrap/>
              <w:overflowPunct/>
              <w:topLinePunct w:val="0"/>
              <w:autoSpaceDE w:val="0"/>
              <w:autoSpaceDN w:val="0"/>
              <w:bidi w:val="0"/>
              <w:spacing w:line="400" w:lineRule="exact"/>
              <w:ind w:firstLine="0" w:firstLineChars="0"/>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参选文件的密封</w:t>
            </w:r>
          </w:p>
        </w:tc>
        <w:tc>
          <w:tcPr>
            <w:tcW w:w="5476" w:type="dxa"/>
            <w:tcBorders>
              <w:left w:val="single" w:color="auto" w:sz="4" w:space="0"/>
            </w:tcBorders>
            <w:vAlign w:val="center"/>
          </w:tcPr>
          <w:p w14:paraId="4512D8E1">
            <w:pPr>
              <w:keepNext w:val="0"/>
              <w:keepLines w:val="0"/>
              <w:pageBreakBefore w:val="0"/>
              <w:widowControl w:val="0"/>
              <w:kinsoku/>
              <w:wordWrap/>
              <w:overflowPunct/>
              <w:topLinePunct w:val="0"/>
              <w:autoSpaceDE w:val="0"/>
              <w:autoSpaceDN w:val="0"/>
              <w:bidi w:val="0"/>
              <w:spacing w:line="400" w:lineRule="exact"/>
              <w:ind w:firstLine="0" w:firstLineChars="0"/>
              <w:jc w:val="left"/>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符合第二章</w:t>
            </w:r>
            <w:r>
              <w:rPr>
                <w:rFonts w:hint="eastAsia" w:ascii="Times New Roman" w:hAnsi="Times New Roman" w:cs="Times New Roman"/>
                <w:color w:val="auto"/>
                <w:kern w:val="0"/>
                <w:sz w:val="21"/>
                <w:szCs w:val="21"/>
                <w:highlight w:val="none"/>
                <w:lang w:eastAsia="zh-CN"/>
              </w:rPr>
              <w:t>“参选人须知”</w:t>
            </w:r>
            <w:r>
              <w:rPr>
                <w:rFonts w:hint="default" w:ascii="Times New Roman" w:hAnsi="Times New Roman" w:cs="Times New Roman"/>
                <w:color w:val="auto"/>
                <w:kern w:val="0"/>
                <w:sz w:val="21"/>
                <w:szCs w:val="21"/>
                <w:highlight w:val="none"/>
              </w:rPr>
              <w:t>4.6 条规定</w:t>
            </w:r>
          </w:p>
        </w:tc>
      </w:tr>
      <w:tr w14:paraId="59942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4DC3AD8B">
            <w:pPr>
              <w:keepNext w:val="0"/>
              <w:keepLines w:val="0"/>
              <w:pageBreakBefore w:val="0"/>
              <w:widowControl w:val="0"/>
              <w:kinsoku/>
              <w:wordWrap/>
              <w:overflowPunct/>
              <w:topLinePunct w:val="0"/>
              <w:autoSpaceDE w:val="0"/>
              <w:autoSpaceDN w:val="0"/>
              <w:bidi w:val="0"/>
              <w:spacing w:line="400" w:lineRule="exact"/>
              <w:textAlignment w:val="auto"/>
              <w:rPr>
                <w:rFonts w:hint="default" w:ascii="Times New Roman" w:hAnsi="Times New Roman" w:cs="Times New Roman"/>
                <w:color w:val="auto"/>
                <w:highlight w:val="none"/>
              </w:rPr>
            </w:pPr>
          </w:p>
        </w:tc>
        <w:tc>
          <w:tcPr>
            <w:tcW w:w="1482" w:type="dxa"/>
            <w:vMerge w:val="continue"/>
            <w:tcBorders>
              <w:left w:val="single" w:color="auto" w:sz="4" w:space="0"/>
            </w:tcBorders>
            <w:textDirection w:val="tbRlV"/>
            <w:vAlign w:val="center"/>
          </w:tcPr>
          <w:p w14:paraId="5F838BF2">
            <w:pPr>
              <w:keepNext w:val="0"/>
              <w:keepLines w:val="0"/>
              <w:pageBreakBefore w:val="0"/>
              <w:widowControl w:val="0"/>
              <w:kinsoku/>
              <w:wordWrap/>
              <w:overflowPunct/>
              <w:topLinePunct w:val="0"/>
              <w:autoSpaceDE w:val="0"/>
              <w:autoSpaceDN w:val="0"/>
              <w:bidi w:val="0"/>
              <w:spacing w:line="400" w:lineRule="exact"/>
              <w:textAlignment w:val="auto"/>
              <w:rPr>
                <w:rFonts w:hint="default" w:ascii="Times New Roman" w:hAnsi="Times New Roman" w:cs="Times New Roman"/>
                <w:color w:val="auto"/>
                <w:highlight w:val="none"/>
              </w:rPr>
            </w:pPr>
          </w:p>
        </w:tc>
        <w:tc>
          <w:tcPr>
            <w:tcW w:w="1686" w:type="dxa"/>
            <w:gridSpan w:val="2"/>
            <w:tcBorders>
              <w:left w:val="single" w:color="auto" w:sz="4" w:space="0"/>
            </w:tcBorders>
            <w:vAlign w:val="center"/>
          </w:tcPr>
          <w:p w14:paraId="2E6435EF">
            <w:pPr>
              <w:keepNext w:val="0"/>
              <w:keepLines w:val="0"/>
              <w:pageBreakBefore w:val="0"/>
              <w:widowControl w:val="0"/>
              <w:kinsoku/>
              <w:wordWrap/>
              <w:overflowPunct/>
              <w:topLinePunct w:val="0"/>
              <w:autoSpaceDE w:val="0"/>
              <w:autoSpaceDN w:val="0"/>
              <w:bidi w:val="0"/>
              <w:spacing w:line="400" w:lineRule="exact"/>
              <w:ind w:firstLine="0" w:firstLineChars="0"/>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参选文件格式</w:t>
            </w:r>
          </w:p>
        </w:tc>
        <w:tc>
          <w:tcPr>
            <w:tcW w:w="5476" w:type="dxa"/>
            <w:tcBorders>
              <w:left w:val="single" w:color="auto" w:sz="4" w:space="0"/>
            </w:tcBorders>
            <w:vAlign w:val="center"/>
          </w:tcPr>
          <w:p w14:paraId="103EACBC">
            <w:pPr>
              <w:keepNext w:val="0"/>
              <w:keepLines w:val="0"/>
              <w:pageBreakBefore w:val="0"/>
              <w:widowControl w:val="0"/>
              <w:kinsoku/>
              <w:wordWrap/>
              <w:overflowPunct/>
              <w:topLinePunct w:val="0"/>
              <w:autoSpaceDE w:val="0"/>
              <w:autoSpaceDN w:val="0"/>
              <w:bidi w:val="0"/>
              <w:spacing w:line="400" w:lineRule="exact"/>
              <w:ind w:firstLine="0" w:firstLineChars="0"/>
              <w:jc w:val="left"/>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符合第六章</w:t>
            </w:r>
            <w:r>
              <w:rPr>
                <w:rFonts w:hint="eastAsia" w:ascii="Times New Roman" w:hAnsi="Times New Roman" w:cs="Times New Roman"/>
                <w:color w:val="auto"/>
                <w:kern w:val="0"/>
                <w:sz w:val="21"/>
                <w:szCs w:val="21"/>
                <w:highlight w:val="none"/>
                <w:lang w:eastAsia="zh-CN"/>
              </w:rPr>
              <w:t>“</w:t>
            </w:r>
            <w:r>
              <w:rPr>
                <w:rFonts w:hint="default" w:ascii="Times New Roman" w:hAnsi="Times New Roman" w:cs="Times New Roman"/>
                <w:color w:val="auto"/>
                <w:kern w:val="0"/>
                <w:sz w:val="21"/>
                <w:szCs w:val="21"/>
                <w:highlight w:val="none"/>
              </w:rPr>
              <w:t>参选文件格式</w:t>
            </w:r>
            <w:r>
              <w:rPr>
                <w:rFonts w:hint="eastAsia" w:ascii="Times New Roman" w:hAnsi="Times New Roman" w:cs="Times New Roman"/>
                <w:color w:val="auto"/>
                <w:kern w:val="0"/>
                <w:sz w:val="21"/>
                <w:szCs w:val="21"/>
                <w:highlight w:val="none"/>
                <w:lang w:eastAsia="zh-CN"/>
              </w:rPr>
              <w:t>”</w:t>
            </w:r>
            <w:r>
              <w:rPr>
                <w:rFonts w:hint="default" w:ascii="Times New Roman" w:hAnsi="Times New Roman" w:cs="Times New Roman"/>
                <w:color w:val="auto"/>
                <w:kern w:val="0"/>
                <w:sz w:val="21"/>
                <w:szCs w:val="21"/>
                <w:highlight w:val="none"/>
              </w:rPr>
              <w:t>的要求</w:t>
            </w:r>
          </w:p>
        </w:tc>
      </w:tr>
      <w:tr w14:paraId="6AA8E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596C94D4">
            <w:pPr>
              <w:keepNext w:val="0"/>
              <w:keepLines w:val="0"/>
              <w:pageBreakBefore w:val="0"/>
              <w:widowControl w:val="0"/>
              <w:kinsoku/>
              <w:wordWrap/>
              <w:overflowPunct/>
              <w:topLinePunct w:val="0"/>
              <w:autoSpaceDE w:val="0"/>
              <w:autoSpaceDN w:val="0"/>
              <w:bidi w:val="0"/>
              <w:spacing w:line="400" w:lineRule="exact"/>
              <w:textAlignment w:val="auto"/>
              <w:rPr>
                <w:rFonts w:hint="default" w:ascii="Times New Roman" w:hAnsi="Times New Roman" w:cs="Times New Roman"/>
                <w:color w:val="auto"/>
                <w:highlight w:val="none"/>
              </w:rPr>
            </w:pPr>
          </w:p>
        </w:tc>
        <w:tc>
          <w:tcPr>
            <w:tcW w:w="1482" w:type="dxa"/>
            <w:vMerge w:val="continue"/>
            <w:tcBorders>
              <w:left w:val="single" w:color="auto" w:sz="4" w:space="0"/>
            </w:tcBorders>
            <w:textDirection w:val="tbRlV"/>
            <w:vAlign w:val="center"/>
          </w:tcPr>
          <w:p w14:paraId="2FF8F605">
            <w:pPr>
              <w:keepNext w:val="0"/>
              <w:keepLines w:val="0"/>
              <w:pageBreakBefore w:val="0"/>
              <w:widowControl w:val="0"/>
              <w:kinsoku/>
              <w:wordWrap/>
              <w:overflowPunct/>
              <w:topLinePunct w:val="0"/>
              <w:autoSpaceDE w:val="0"/>
              <w:autoSpaceDN w:val="0"/>
              <w:bidi w:val="0"/>
              <w:spacing w:line="400" w:lineRule="exact"/>
              <w:textAlignment w:val="auto"/>
              <w:rPr>
                <w:rFonts w:hint="default" w:ascii="Times New Roman" w:hAnsi="Times New Roman" w:cs="Times New Roman"/>
                <w:color w:val="auto"/>
                <w:highlight w:val="none"/>
              </w:rPr>
            </w:pPr>
          </w:p>
        </w:tc>
        <w:tc>
          <w:tcPr>
            <w:tcW w:w="1686" w:type="dxa"/>
            <w:gridSpan w:val="2"/>
            <w:tcBorders>
              <w:left w:val="single" w:color="auto" w:sz="4" w:space="0"/>
            </w:tcBorders>
            <w:vAlign w:val="center"/>
          </w:tcPr>
          <w:p w14:paraId="490D3452">
            <w:pPr>
              <w:keepNext w:val="0"/>
              <w:keepLines w:val="0"/>
              <w:pageBreakBefore w:val="0"/>
              <w:widowControl w:val="0"/>
              <w:kinsoku/>
              <w:wordWrap/>
              <w:overflowPunct/>
              <w:topLinePunct w:val="0"/>
              <w:autoSpaceDE w:val="0"/>
              <w:autoSpaceDN w:val="0"/>
              <w:bidi w:val="0"/>
              <w:spacing w:line="400" w:lineRule="exact"/>
              <w:ind w:firstLine="0" w:firstLineChars="0"/>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参选文件组成</w:t>
            </w:r>
          </w:p>
        </w:tc>
        <w:tc>
          <w:tcPr>
            <w:tcW w:w="5476" w:type="dxa"/>
            <w:tcBorders>
              <w:left w:val="single" w:color="auto" w:sz="4" w:space="0"/>
            </w:tcBorders>
            <w:vAlign w:val="center"/>
          </w:tcPr>
          <w:p w14:paraId="1C7E6474">
            <w:pPr>
              <w:keepNext w:val="0"/>
              <w:keepLines w:val="0"/>
              <w:pageBreakBefore w:val="0"/>
              <w:widowControl w:val="0"/>
              <w:kinsoku/>
              <w:wordWrap/>
              <w:overflowPunct/>
              <w:topLinePunct w:val="0"/>
              <w:autoSpaceDE w:val="0"/>
              <w:autoSpaceDN w:val="0"/>
              <w:bidi w:val="0"/>
              <w:spacing w:line="400" w:lineRule="exact"/>
              <w:ind w:firstLine="0" w:firstLineChars="0"/>
              <w:jc w:val="left"/>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符合第二章</w:t>
            </w:r>
            <w:r>
              <w:rPr>
                <w:rFonts w:hint="eastAsia" w:ascii="Times New Roman" w:hAnsi="Times New Roman" w:cs="Times New Roman"/>
                <w:color w:val="auto"/>
                <w:kern w:val="0"/>
                <w:sz w:val="21"/>
                <w:szCs w:val="21"/>
                <w:highlight w:val="none"/>
                <w:lang w:eastAsia="zh-CN"/>
              </w:rPr>
              <w:t>“参选人须知”</w:t>
            </w:r>
            <w:r>
              <w:rPr>
                <w:rFonts w:hint="default" w:ascii="Times New Roman" w:hAnsi="Times New Roman" w:cs="Times New Roman"/>
                <w:color w:val="auto"/>
                <w:kern w:val="0"/>
                <w:sz w:val="21"/>
                <w:szCs w:val="21"/>
                <w:highlight w:val="none"/>
              </w:rPr>
              <w:t>4.1 条规定，</w:t>
            </w:r>
            <w:r>
              <w:rPr>
                <w:rFonts w:hint="default" w:ascii="Times New Roman" w:hAnsi="Times New Roman" w:cs="Times New Roman"/>
                <w:color w:val="auto"/>
                <w:kern w:val="0"/>
                <w:sz w:val="20"/>
                <w:highlight w:val="none"/>
              </w:rPr>
              <w:t>内容齐全、无遗漏</w:t>
            </w:r>
          </w:p>
        </w:tc>
      </w:tr>
      <w:tr w14:paraId="7F876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1E79D6C7">
            <w:pPr>
              <w:keepNext w:val="0"/>
              <w:keepLines w:val="0"/>
              <w:pageBreakBefore w:val="0"/>
              <w:widowControl w:val="0"/>
              <w:kinsoku/>
              <w:wordWrap/>
              <w:overflowPunct/>
              <w:topLinePunct w:val="0"/>
              <w:autoSpaceDE w:val="0"/>
              <w:autoSpaceDN w:val="0"/>
              <w:bidi w:val="0"/>
              <w:spacing w:line="400" w:lineRule="exact"/>
              <w:textAlignment w:val="auto"/>
              <w:rPr>
                <w:rFonts w:hint="default" w:ascii="Times New Roman" w:hAnsi="Times New Roman" w:cs="Times New Roman"/>
                <w:color w:val="auto"/>
                <w:highlight w:val="none"/>
              </w:rPr>
            </w:pPr>
          </w:p>
        </w:tc>
        <w:tc>
          <w:tcPr>
            <w:tcW w:w="1482" w:type="dxa"/>
            <w:vMerge w:val="continue"/>
            <w:tcBorders>
              <w:left w:val="single" w:color="auto" w:sz="4" w:space="0"/>
            </w:tcBorders>
            <w:textDirection w:val="tbRlV"/>
            <w:vAlign w:val="center"/>
          </w:tcPr>
          <w:p w14:paraId="6C4590E9">
            <w:pPr>
              <w:keepNext w:val="0"/>
              <w:keepLines w:val="0"/>
              <w:pageBreakBefore w:val="0"/>
              <w:widowControl w:val="0"/>
              <w:kinsoku/>
              <w:wordWrap/>
              <w:overflowPunct/>
              <w:topLinePunct w:val="0"/>
              <w:autoSpaceDE w:val="0"/>
              <w:autoSpaceDN w:val="0"/>
              <w:bidi w:val="0"/>
              <w:spacing w:line="400" w:lineRule="exact"/>
              <w:textAlignment w:val="auto"/>
              <w:rPr>
                <w:rFonts w:hint="default" w:ascii="Times New Roman" w:hAnsi="Times New Roman" w:cs="Times New Roman"/>
                <w:color w:val="auto"/>
                <w:highlight w:val="none"/>
              </w:rPr>
            </w:pPr>
          </w:p>
        </w:tc>
        <w:tc>
          <w:tcPr>
            <w:tcW w:w="1686" w:type="dxa"/>
            <w:gridSpan w:val="2"/>
            <w:tcBorders>
              <w:left w:val="single" w:color="auto" w:sz="4" w:space="0"/>
            </w:tcBorders>
            <w:vAlign w:val="center"/>
          </w:tcPr>
          <w:p w14:paraId="6E634ACE">
            <w:pPr>
              <w:keepNext w:val="0"/>
              <w:keepLines w:val="0"/>
              <w:pageBreakBefore w:val="0"/>
              <w:widowControl w:val="0"/>
              <w:kinsoku/>
              <w:wordWrap/>
              <w:overflowPunct/>
              <w:topLinePunct w:val="0"/>
              <w:autoSpaceDE w:val="0"/>
              <w:autoSpaceDN w:val="0"/>
              <w:bidi w:val="0"/>
              <w:spacing w:line="400" w:lineRule="exact"/>
              <w:ind w:firstLine="0" w:firstLineChars="0"/>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联合体参选</w:t>
            </w:r>
          </w:p>
        </w:tc>
        <w:tc>
          <w:tcPr>
            <w:tcW w:w="5476" w:type="dxa"/>
            <w:tcBorders>
              <w:left w:val="single" w:color="auto" w:sz="4" w:space="0"/>
            </w:tcBorders>
            <w:vAlign w:val="center"/>
          </w:tcPr>
          <w:p w14:paraId="66099CC1">
            <w:pPr>
              <w:keepNext w:val="0"/>
              <w:keepLines w:val="0"/>
              <w:pageBreakBefore w:val="0"/>
              <w:widowControl w:val="0"/>
              <w:kinsoku/>
              <w:wordWrap/>
              <w:overflowPunct/>
              <w:topLinePunct w:val="0"/>
              <w:autoSpaceDE w:val="0"/>
              <w:autoSpaceDN w:val="0"/>
              <w:bidi w:val="0"/>
              <w:spacing w:line="400" w:lineRule="exact"/>
              <w:ind w:firstLine="0" w:firstLineChars="0"/>
              <w:jc w:val="left"/>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符合第一章</w:t>
            </w:r>
            <w:r>
              <w:rPr>
                <w:rFonts w:hint="eastAsia" w:ascii="Times New Roman" w:hAnsi="Times New Roman" w:cs="Times New Roman"/>
                <w:color w:val="auto"/>
                <w:kern w:val="0"/>
                <w:sz w:val="21"/>
                <w:szCs w:val="21"/>
                <w:highlight w:val="none"/>
                <w:lang w:eastAsia="zh-CN"/>
              </w:rPr>
              <w:t>“</w:t>
            </w:r>
            <w:r>
              <w:rPr>
                <w:rFonts w:hint="default" w:ascii="Times New Roman" w:hAnsi="Times New Roman" w:cs="Times New Roman"/>
                <w:color w:val="auto"/>
                <w:kern w:val="0"/>
                <w:sz w:val="21"/>
                <w:szCs w:val="21"/>
                <w:highlight w:val="none"/>
              </w:rPr>
              <w:t>2. 参选人资格要求</w:t>
            </w:r>
            <w:r>
              <w:rPr>
                <w:rFonts w:hint="eastAsia" w:ascii="Times New Roman" w:hAnsi="Times New Roman" w:cs="Times New Roman"/>
                <w:color w:val="auto"/>
                <w:kern w:val="0"/>
                <w:sz w:val="21"/>
                <w:szCs w:val="21"/>
                <w:highlight w:val="none"/>
                <w:lang w:eastAsia="zh-CN"/>
              </w:rPr>
              <w:t>”</w:t>
            </w:r>
            <w:r>
              <w:rPr>
                <w:rFonts w:hint="default" w:ascii="Times New Roman" w:hAnsi="Times New Roman" w:cs="Times New Roman"/>
                <w:color w:val="auto"/>
                <w:kern w:val="0"/>
                <w:sz w:val="21"/>
                <w:szCs w:val="21"/>
                <w:highlight w:val="none"/>
              </w:rPr>
              <w:t>2.8 条的要求</w:t>
            </w:r>
          </w:p>
        </w:tc>
      </w:tr>
      <w:tr w14:paraId="2A504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20" w:type="dxa"/>
            <w:vMerge w:val="restart"/>
            <w:vAlign w:val="center"/>
          </w:tcPr>
          <w:p w14:paraId="05540616">
            <w:pPr>
              <w:keepNext w:val="0"/>
              <w:keepLines w:val="0"/>
              <w:pageBreakBefore w:val="0"/>
              <w:widowControl w:val="0"/>
              <w:kinsoku/>
              <w:wordWrap/>
              <w:overflowPunct/>
              <w:topLinePunct w:val="0"/>
              <w:autoSpaceDE w:val="0"/>
              <w:autoSpaceDN w:val="0"/>
              <w:bidi w:val="0"/>
              <w:spacing w:line="400" w:lineRule="exact"/>
              <w:ind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2.1.3</w:t>
            </w:r>
          </w:p>
        </w:tc>
        <w:tc>
          <w:tcPr>
            <w:tcW w:w="1482" w:type="dxa"/>
            <w:vMerge w:val="restart"/>
            <w:tcBorders>
              <w:left w:val="single" w:color="auto" w:sz="4" w:space="0"/>
            </w:tcBorders>
            <w:vAlign w:val="center"/>
          </w:tcPr>
          <w:p w14:paraId="75794B11">
            <w:pPr>
              <w:keepNext w:val="0"/>
              <w:keepLines w:val="0"/>
              <w:pageBreakBefore w:val="0"/>
              <w:widowControl w:val="0"/>
              <w:kinsoku/>
              <w:wordWrap/>
              <w:overflowPunct/>
              <w:topLinePunct w:val="0"/>
              <w:autoSpaceDE w:val="0"/>
              <w:autoSpaceDN w:val="0"/>
              <w:bidi w:val="0"/>
              <w:spacing w:line="400" w:lineRule="exact"/>
              <w:ind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响应性评审标准</w:t>
            </w:r>
          </w:p>
        </w:tc>
        <w:tc>
          <w:tcPr>
            <w:tcW w:w="1686" w:type="dxa"/>
            <w:gridSpan w:val="2"/>
            <w:tcBorders>
              <w:left w:val="single" w:color="auto" w:sz="4" w:space="0"/>
            </w:tcBorders>
            <w:vAlign w:val="center"/>
          </w:tcPr>
          <w:p w14:paraId="6CE28CAA">
            <w:pPr>
              <w:keepNext w:val="0"/>
              <w:keepLines w:val="0"/>
              <w:pageBreakBefore w:val="0"/>
              <w:widowControl w:val="0"/>
              <w:kinsoku/>
              <w:wordWrap/>
              <w:overflowPunct/>
              <w:topLinePunct w:val="0"/>
              <w:autoSpaceDE w:val="0"/>
              <w:autoSpaceDN w:val="0"/>
              <w:bidi w:val="0"/>
              <w:spacing w:line="400" w:lineRule="exact"/>
              <w:ind w:firstLine="0" w:firstLineChars="0"/>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参选内容</w:t>
            </w:r>
          </w:p>
        </w:tc>
        <w:tc>
          <w:tcPr>
            <w:tcW w:w="5476" w:type="dxa"/>
            <w:tcBorders>
              <w:left w:val="single" w:color="auto" w:sz="4" w:space="0"/>
            </w:tcBorders>
            <w:vAlign w:val="center"/>
          </w:tcPr>
          <w:p w14:paraId="30899CE2">
            <w:pPr>
              <w:keepNext w:val="0"/>
              <w:keepLines w:val="0"/>
              <w:pageBreakBefore w:val="0"/>
              <w:widowControl w:val="0"/>
              <w:kinsoku/>
              <w:wordWrap/>
              <w:overflowPunct/>
              <w:topLinePunct w:val="0"/>
              <w:autoSpaceDE w:val="0"/>
              <w:autoSpaceDN w:val="0"/>
              <w:bidi w:val="0"/>
              <w:spacing w:line="400" w:lineRule="exact"/>
              <w:ind w:firstLine="0" w:firstLineChars="0"/>
              <w:jc w:val="left"/>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1. 在响应承诺函中对第三章</w:t>
            </w:r>
            <w:r>
              <w:rPr>
                <w:rFonts w:hint="eastAsia" w:ascii="Times New Roman" w:hAnsi="Times New Roman" w:cs="Times New Roman"/>
                <w:color w:val="auto"/>
                <w:kern w:val="0"/>
                <w:sz w:val="21"/>
                <w:szCs w:val="21"/>
                <w:highlight w:val="none"/>
                <w:lang w:eastAsia="zh-CN"/>
              </w:rPr>
              <w:t>“</w:t>
            </w:r>
            <w:r>
              <w:rPr>
                <w:rFonts w:hint="default" w:ascii="Times New Roman" w:hAnsi="Times New Roman" w:cs="Times New Roman"/>
                <w:color w:val="auto"/>
                <w:kern w:val="0"/>
                <w:sz w:val="21"/>
                <w:szCs w:val="21"/>
                <w:highlight w:val="none"/>
              </w:rPr>
              <w:t>项目要求</w:t>
            </w:r>
            <w:r>
              <w:rPr>
                <w:rFonts w:hint="eastAsia" w:ascii="Times New Roman" w:hAnsi="Times New Roman" w:cs="Times New Roman"/>
                <w:color w:val="auto"/>
                <w:kern w:val="0"/>
                <w:sz w:val="21"/>
                <w:szCs w:val="21"/>
                <w:highlight w:val="none"/>
                <w:lang w:eastAsia="zh-CN"/>
              </w:rPr>
              <w:t>”</w:t>
            </w:r>
            <w:r>
              <w:rPr>
                <w:rFonts w:hint="default" w:ascii="Times New Roman" w:hAnsi="Times New Roman" w:cs="Times New Roman"/>
                <w:color w:val="auto"/>
                <w:kern w:val="0"/>
                <w:sz w:val="21"/>
                <w:szCs w:val="21"/>
                <w:highlight w:val="none"/>
              </w:rPr>
              <w:t>内容做出整体承诺；</w:t>
            </w:r>
          </w:p>
          <w:p w14:paraId="45B216BF">
            <w:pPr>
              <w:keepNext w:val="0"/>
              <w:keepLines w:val="0"/>
              <w:pageBreakBefore w:val="0"/>
              <w:widowControl w:val="0"/>
              <w:kinsoku/>
              <w:wordWrap/>
              <w:overflowPunct/>
              <w:topLinePunct w:val="0"/>
              <w:autoSpaceDE w:val="0"/>
              <w:autoSpaceDN w:val="0"/>
              <w:bidi w:val="0"/>
              <w:spacing w:line="400" w:lineRule="exact"/>
              <w:ind w:firstLine="0" w:firstLineChars="0"/>
              <w:jc w:val="left"/>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2. 根据第一章</w:t>
            </w:r>
            <w:r>
              <w:rPr>
                <w:rFonts w:hint="eastAsia" w:ascii="Times New Roman" w:hAnsi="Times New Roman" w:cs="Times New Roman"/>
                <w:color w:val="auto"/>
                <w:kern w:val="0"/>
                <w:sz w:val="21"/>
                <w:szCs w:val="21"/>
                <w:highlight w:val="none"/>
                <w:lang w:eastAsia="zh-CN"/>
              </w:rPr>
              <w:t>“</w:t>
            </w:r>
            <w:r>
              <w:rPr>
                <w:rFonts w:hint="default" w:ascii="Times New Roman" w:hAnsi="Times New Roman" w:cs="Times New Roman"/>
                <w:color w:val="auto"/>
                <w:kern w:val="0"/>
                <w:sz w:val="21"/>
                <w:szCs w:val="21"/>
                <w:highlight w:val="none"/>
              </w:rPr>
              <w:t>2. 参选人资格要求</w:t>
            </w:r>
            <w:r>
              <w:rPr>
                <w:rFonts w:hint="eastAsia" w:ascii="Times New Roman" w:hAnsi="Times New Roman" w:cs="Times New Roman"/>
                <w:color w:val="auto"/>
                <w:kern w:val="0"/>
                <w:sz w:val="21"/>
                <w:szCs w:val="21"/>
                <w:highlight w:val="none"/>
                <w:lang w:eastAsia="zh-CN"/>
              </w:rPr>
              <w:t>”</w:t>
            </w:r>
            <w:r>
              <w:rPr>
                <w:rFonts w:hint="default" w:ascii="Times New Roman" w:hAnsi="Times New Roman" w:cs="Times New Roman"/>
                <w:color w:val="auto"/>
                <w:kern w:val="0"/>
                <w:sz w:val="21"/>
                <w:szCs w:val="21"/>
                <w:highlight w:val="none"/>
              </w:rPr>
              <w:t>和第三章</w:t>
            </w:r>
            <w:r>
              <w:rPr>
                <w:rFonts w:hint="eastAsia" w:ascii="Times New Roman" w:hAnsi="Times New Roman" w:cs="Times New Roman"/>
                <w:color w:val="auto"/>
                <w:kern w:val="0"/>
                <w:sz w:val="21"/>
                <w:szCs w:val="21"/>
                <w:highlight w:val="none"/>
                <w:lang w:eastAsia="zh-CN"/>
              </w:rPr>
              <w:t>“</w:t>
            </w:r>
            <w:r>
              <w:rPr>
                <w:rFonts w:hint="default" w:ascii="Times New Roman" w:hAnsi="Times New Roman" w:cs="Times New Roman"/>
                <w:color w:val="auto"/>
                <w:kern w:val="0"/>
                <w:sz w:val="21"/>
                <w:szCs w:val="21"/>
                <w:highlight w:val="none"/>
              </w:rPr>
              <w:t>项目要求</w:t>
            </w:r>
            <w:r>
              <w:rPr>
                <w:rFonts w:hint="eastAsia" w:ascii="Times New Roman" w:hAnsi="Times New Roman" w:cs="Times New Roman"/>
                <w:color w:val="auto"/>
                <w:kern w:val="0"/>
                <w:sz w:val="21"/>
                <w:szCs w:val="21"/>
                <w:highlight w:val="none"/>
                <w:lang w:eastAsia="zh-CN"/>
              </w:rPr>
              <w:t>”</w:t>
            </w:r>
            <w:r>
              <w:rPr>
                <w:rFonts w:hint="default" w:ascii="Times New Roman" w:hAnsi="Times New Roman" w:cs="Times New Roman"/>
                <w:color w:val="auto"/>
                <w:kern w:val="0"/>
                <w:sz w:val="21"/>
                <w:szCs w:val="21"/>
                <w:highlight w:val="none"/>
              </w:rPr>
              <w:t>的要求规定，提供</w:t>
            </w:r>
            <w:r>
              <w:rPr>
                <w:rFonts w:hint="eastAsia" w:ascii="Times New Roman" w:hAnsi="Times New Roman" w:cs="Times New Roman"/>
                <w:color w:val="auto"/>
                <w:kern w:val="0"/>
                <w:sz w:val="21"/>
                <w:szCs w:val="21"/>
                <w:highlight w:val="none"/>
                <w:lang w:val="en-US" w:eastAsia="zh-CN"/>
              </w:rPr>
              <w:t>材料</w:t>
            </w:r>
            <w:r>
              <w:rPr>
                <w:rFonts w:hint="default" w:ascii="Times New Roman" w:hAnsi="Times New Roman" w:cs="Times New Roman"/>
                <w:color w:val="auto"/>
                <w:kern w:val="0"/>
                <w:sz w:val="21"/>
                <w:szCs w:val="21"/>
                <w:highlight w:val="none"/>
              </w:rPr>
              <w:t>，内容齐全、无遗漏。</w:t>
            </w:r>
          </w:p>
        </w:tc>
      </w:tr>
      <w:tr w14:paraId="2F18D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3451D062">
            <w:pPr>
              <w:keepNext w:val="0"/>
              <w:keepLines w:val="0"/>
              <w:pageBreakBefore w:val="0"/>
              <w:widowControl w:val="0"/>
              <w:kinsoku/>
              <w:wordWrap/>
              <w:overflowPunct/>
              <w:topLinePunct w:val="0"/>
              <w:autoSpaceDE w:val="0"/>
              <w:autoSpaceDN w:val="0"/>
              <w:bidi w:val="0"/>
              <w:spacing w:line="400" w:lineRule="exact"/>
              <w:textAlignment w:val="auto"/>
              <w:rPr>
                <w:rFonts w:hint="default" w:ascii="Times New Roman" w:hAnsi="Times New Roman" w:cs="Times New Roman"/>
                <w:color w:val="auto"/>
                <w:highlight w:val="none"/>
              </w:rPr>
            </w:pPr>
          </w:p>
        </w:tc>
        <w:tc>
          <w:tcPr>
            <w:tcW w:w="1482" w:type="dxa"/>
            <w:vMerge w:val="continue"/>
            <w:tcBorders>
              <w:left w:val="single" w:color="auto" w:sz="4" w:space="0"/>
            </w:tcBorders>
          </w:tcPr>
          <w:p w14:paraId="2CD0F2DB">
            <w:pPr>
              <w:keepNext w:val="0"/>
              <w:keepLines w:val="0"/>
              <w:pageBreakBefore w:val="0"/>
              <w:widowControl w:val="0"/>
              <w:kinsoku/>
              <w:wordWrap/>
              <w:overflowPunct/>
              <w:topLinePunct w:val="0"/>
              <w:autoSpaceDE w:val="0"/>
              <w:autoSpaceDN w:val="0"/>
              <w:bidi w:val="0"/>
              <w:spacing w:line="400" w:lineRule="exact"/>
              <w:textAlignment w:val="auto"/>
              <w:rPr>
                <w:rFonts w:hint="default" w:ascii="Times New Roman" w:hAnsi="Times New Roman" w:cs="Times New Roman"/>
                <w:color w:val="auto"/>
                <w:highlight w:val="none"/>
              </w:rPr>
            </w:pPr>
          </w:p>
        </w:tc>
        <w:tc>
          <w:tcPr>
            <w:tcW w:w="1686" w:type="dxa"/>
            <w:gridSpan w:val="2"/>
            <w:tcBorders>
              <w:left w:val="single" w:color="auto" w:sz="4" w:space="0"/>
            </w:tcBorders>
            <w:vAlign w:val="center"/>
          </w:tcPr>
          <w:p w14:paraId="1E62DB25">
            <w:pPr>
              <w:keepNext w:val="0"/>
              <w:keepLines w:val="0"/>
              <w:pageBreakBefore w:val="0"/>
              <w:widowControl w:val="0"/>
              <w:kinsoku/>
              <w:wordWrap/>
              <w:overflowPunct/>
              <w:topLinePunct w:val="0"/>
              <w:autoSpaceDE w:val="0"/>
              <w:autoSpaceDN w:val="0"/>
              <w:bidi w:val="0"/>
              <w:spacing w:line="400" w:lineRule="exact"/>
              <w:ind w:firstLine="0" w:firstLineChars="0"/>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参选文件份数</w:t>
            </w:r>
          </w:p>
        </w:tc>
        <w:tc>
          <w:tcPr>
            <w:tcW w:w="5476" w:type="dxa"/>
            <w:tcBorders>
              <w:left w:val="single" w:color="auto" w:sz="4" w:space="0"/>
            </w:tcBorders>
            <w:vAlign w:val="center"/>
          </w:tcPr>
          <w:p w14:paraId="1ECBFC4E">
            <w:pPr>
              <w:keepNext w:val="0"/>
              <w:keepLines w:val="0"/>
              <w:pageBreakBefore w:val="0"/>
              <w:widowControl w:val="0"/>
              <w:kinsoku/>
              <w:wordWrap/>
              <w:overflowPunct/>
              <w:topLinePunct w:val="0"/>
              <w:autoSpaceDE w:val="0"/>
              <w:autoSpaceDN w:val="0"/>
              <w:bidi w:val="0"/>
              <w:spacing w:line="400" w:lineRule="exact"/>
              <w:ind w:firstLine="0" w:firstLineChars="0"/>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符合第二章</w:t>
            </w:r>
            <w:r>
              <w:rPr>
                <w:rFonts w:hint="eastAsia" w:ascii="Times New Roman" w:hAnsi="Times New Roman" w:cs="Times New Roman"/>
                <w:color w:val="auto"/>
                <w:kern w:val="0"/>
                <w:sz w:val="21"/>
                <w:szCs w:val="21"/>
                <w:highlight w:val="none"/>
                <w:lang w:eastAsia="zh-CN"/>
              </w:rPr>
              <w:t>“参选人须知”</w:t>
            </w:r>
            <w:r>
              <w:rPr>
                <w:rFonts w:hint="default" w:ascii="Times New Roman" w:hAnsi="Times New Roman" w:cs="Times New Roman"/>
                <w:color w:val="auto"/>
                <w:kern w:val="0"/>
                <w:sz w:val="21"/>
                <w:szCs w:val="21"/>
                <w:highlight w:val="none"/>
              </w:rPr>
              <w:t>4.5 条规定</w:t>
            </w:r>
          </w:p>
        </w:tc>
      </w:tr>
      <w:tr w14:paraId="64558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48DFA2B3">
            <w:pPr>
              <w:keepNext w:val="0"/>
              <w:keepLines w:val="0"/>
              <w:pageBreakBefore w:val="0"/>
              <w:widowControl w:val="0"/>
              <w:kinsoku/>
              <w:wordWrap/>
              <w:overflowPunct/>
              <w:topLinePunct w:val="0"/>
              <w:autoSpaceDE w:val="0"/>
              <w:autoSpaceDN w:val="0"/>
              <w:bidi w:val="0"/>
              <w:spacing w:line="400" w:lineRule="exact"/>
              <w:textAlignment w:val="auto"/>
              <w:rPr>
                <w:rFonts w:hint="default" w:ascii="Times New Roman" w:hAnsi="Times New Roman" w:cs="Times New Roman"/>
                <w:color w:val="auto"/>
                <w:highlight w:val="none"/>
              </w:rPr>
            </w:pPr>
          </w:p>
        </w:tc>
        <w:tc>
          <w:tcPr>
            <w:tcW w:w="1482" w:type="dxa"/>
            <w:vMerge w:val="continue"/>
            <w:tcBorders>
              <w:left w:val="single" w:color="auto" w:sz="4" w:space="0"/>
            </w:tcBorders>
          </w:tcPr>
          <w:p w14:paraId="17F57145">
            <w:pPr>
              <w:keepNext w:val="0"/>
              <w:keepLines w:val="0"/>
              <w:pageBreakBefore w:val="0"/>
              <w:widowControl w:val="0"/>
              <w:kinsoku/>
              <w:wordWrap/>
              <w:overflowPunct/>
              <w:topLinePunct w:val="0"/>
              <w:autoSpaceDE w:val="0"/>
              <w:autoSpaceDN w:val="0"/>
              <w:bidi w:val="0"/>
              <w:spacing w:line="400" w:lineRule="exact"/>
              <w:textAlignment w:val="auto"/>
              <w:rPr>
                <w:rFonts w:hint="default" w:ascii="Times New Roman" w:hAnsi="Times New Roman" w:cs="Times New Roman"/>
                <w:color w:val="auto"/>
                <w:highlight w:val="none"/>
              </w:rPr>
            </w:pPr>
          </w:p>
        </w:tc>
        <w:tc>
          <w:tcPr>
            <w:tcW w:w="1686" w:type="dxa"/>
            <w:gridSpan w:val="2"/>
            <w:tcBorders>
              <w:left w:val="single" w:color="auto" w:sz="4" w:space="0"/>
            </w:tcBorders>
            <w:vAlign w:val="center"/>
          </w:tcPr>
          <w:p w14:paraId="1F5A33D4">
            <w:pPr>
              <w:keepNext w:val="0"/>
              <w:keepLines w:val="0"/>
              <w:pageBreakBefore w:val="0"/>
              <w:widowControl w:val="0"/>
              <w:kinsoku/>
              <w:wordWrap/>
              <w:overflowPunct/>
              <w:topLinePunct w:val="0"/>
              <w:autoSpaceDE w:val="0"/>
              <w:autoSpaceDN w:val="0"/>
              <w:bidi w:val="0"/>
              <w:spacing w:line="400" w:lineRule="exact"/>
              <w:ind w:firstLine="0" w:firstLineChars="0"/>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参选方案唯一</w:t>
            </w:r>
          </w:p>
        </w:tc>
        <w:tc>
          <w:tcPr>
            <w:tcW w:w="5476" w:type="dxa"/>
            <w:tcBorders>
              <w:left w:val="single" w:color="auto" w:sz="4" w:space="0"/>
            </w:tcBorders>
            <w:vAlign w:val="center"/>
          </w:tcPr>
          <w:p w14:paraId="360143A8">
            <w:pPr>
              <w:keepNext w:val="0"/>
              <w:keepLines w:val="0"/>
              <w:pageBreakBefore w:val="0"/>
              <w:widowControl w:val="0"/>
              <w:kinsoku/>
              <w:wordWrap/>
              <w:overflowPunct/>
              <w:topLinePunct w:val="0"/>
              <w:autoSpaceDE w:val="0"/>
              <w:autoSpaceDN w:val="0"/>
              <w:bidi w:val="0"/>
              <w:spacing w:line="400" w:lineRule="exact"/>
              <w:ind w:firstLine="0" w:firstLineChars="0"/>
              <w:jc w:val="left"/>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只能有一个方案参选。</w:t>
            </w:r>
          </w:p>
        </w:tc>
      </w:tr>
      <w:tr w14:paraId="2EFE9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76686EA5">
            <w:pPr>
              <w:keepNext w:val="0"/>
              <w:keepLines w:val="0"/>
              <w:pageBreakBefore w:val="0"/>
              <w:widowControl w:val="0"/>
              <w:kinsoku/>
              <w:wordWrap/>
              <w:overflowPunct/>
              <w:topLinePunct w:val="0"/>
              <w:autoSpaceDE w:val="0"/>
              <w:autoSpaceDN w:val="0"/>
              <w:bidi w:val="0"/>
              <w:spacing w:line="400" w:lineRule="exact"/>
              <w:textAlignment w:val="auto"/>
              <w:rPr>
                <w:rFonts w:hint="default" w:ascii="Times New Roman" w:hAnsi="Times New Roman" w:cs="Times New Roman"/>
                <w:color w:val="auto"/>
                <w:highlight w:val="none"/>
              </w:rPr>
            </w:pPr>
          </w:p>
        </w:tc>
        <w:tc>
          <w:tcPr>
            <w:tcW w:w="1482" w:type="dxa"/>
            <w:vMerge w:val="continue"/>
            <w:tcBorders>
              <w:left w:val="single" w:color="auto" w:sz="4" w:space="0"/>
            </w:tcBorders>
          </w:tcPr>
          <w:p w14:paraId="1813D906">
            <w:pPr>
              <w:keepNext w:val="0"/>
              <w:keepLines w:val="0"/>
              <w:pageBreakBefore w:val="0"/>
              <w:widowControl w:val="0"/>
              <w:kinsoku/>
              <w:wordWrap/>
              <w:overflowPunct/>
              <w:topLinePunct w:val="0"/>
              <w:autoSpaceDE w:val="0"/>
              <w:autoSpaceDN w:val="0"/>
              <w:bidi w:val="0"/>
              <w:spacing w:line="400" w:lineRule="exact"/>
              <w:textAlignment w:val="auto"/>
              <w:rPr>
                <w:rFonts w:hint="default" w:ascii="Times New Roman" w:hAnsi="Times New Roman" w:cs="Times New Roman"/>
                <w:color w:val="auto"/>
                <w:highlight w:val="none"/>
              </w:rPr>
            </w:pPr>
          </w:p>
        </w:tc>
        <w:tc>
          <w:tcPr>
            <w:tcW w:w="1686" w:type="dxa"/>
            <w:gridSpan w:val="2"/>
            <w:tcBorders>
              <w:left w:val="single" w:color="auto" w:sz="4" w:space="0"/>
            </w:tcBorders>
            <w:vAlign w:val="center"/>
          </w:tcPr>
          <w:p w14:paraId="4FE96F47">
            <w:pPr>
              <w:keepNext w:val="0"/>
              <w:keepLines w:val="0"/>
              <w:pageBreakBefore w:val="0"/>
              <w:widowControl w:val="0"/>
              <w:kinsoku/>
              <w:wordWrap/>
              <w:overflowPunct/>
              <w:topLinePunct w:val="0"/>
              <w:autoSpaceDE w:val="0"/>
              <w:autoSpaceDN w:val="0"/>
              <w:bidi w:val="0"/>
              <w:spacing w:line="400" w:lineRule="exact"/>
              <w:ind w:firstLine="0" w:firstLineChars="0"/>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参选报价</w:t>
            </w:r>
          </w:p>
        </w:tc>
        <w:tc>
          <w:tcPr>
            <w:tcW w:w="5476" w:type="dxa"/>
            <w:tcBorders>
              <w:left w:val="single" w:color="auto" w:sz="4" w:space="0"/>
            </w:tcBorders>
            <w:vAlign w:val="center"/>
          </w:tcPr>
          <w:p w14:paraId="22A34079">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符合第二章</w:t>
            </w:r>
            <w:r>
              <w:rPr>
                <w:rFonts w:hint="eastAsia" w:ascii="Times New Roman" w:hAnsi="Times New Roman" w:cs="Times New Roman"/>
                <w:color w:val="auto"/>
                <w:kern w:val="0"/>
                <w:sz w:val="21"/>
                <w:szCs w:val="21"/>
                <w:highlight w:val="none"/>
                <w:lang w:eastAsia="zh-CN"/>
              </w:rPr>
              <w:t>“参选人须知”</w:t>
            </w:r>
            <w:r>
              <w:rPr>
                <w:rFonts w:hint="default" w:ascii="Times New Roman" w:hAnsi="Times New Roman" w:cs="Times New Roman"/>
                <w:color w:val="auto"/>
                <w:kern w:val="0"/>
                <w:sz w:val="21"/>
                <w:szCs w:val="21"/>
                <w:highlight w:val="none"/>
              </w:rPr>
              <w:t>4.7 条规定</w:t>
            </w:r>
          </w:p>
        </w:tc>
      </w:tr>
      <w:tr w14:paraId="11543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3D97950B">
            <w:pPr>
              <w:keepNext w:val="0"/>
              <w:keepLines w:val="0"/>
              <w:pageBreakBefore w:val="0"/>
              <w:widowControl w:val="0"/>
              <w:kinsoku/>
              <w:wordWrap/>
              <w:overflowPunct/>
              <w:topLinePunct w:val="0"/>
              <w:autoSpaceDE w:val="0"/>
              <w:autoSpaceDN w:val="0"/>
              <w:bidi w:val="0"/>
              <w:spacing w:line="400" w:lineRule="exact"/>
              <w:textAlignment w:val="auto"/>
              <w:rPr>
                <w:rFonts w:hint="default" w:ascii="Times New Roman" w:hAnsi="Times New Roman" w:cs="Times New Roman"/>
                <w:color w:val="auto"/>
                <w:highlight w:val="none"/>
              </w:rPr>
            </w:pPr>
          </w:p>
        </w:tc>
        <w:tc>
          <w:tcPr>
            <w:tcW w:w="1482" w:type="dxa"/>
            <w:vMerge w:val="continue"/>
            <w:tcBorders>
              <w:left w:val="single" w:color="auto" w:sz="4" w:space="0"/>
            </w:tcBorders>
          </w:tcPr>
          <w:p w14:paraId="441B589E">
            <w:pPr>
              <w:keepNext w:val="0"/>
              <w:keepLines w:val="0"/>
              <w:pageBreakBefore w:val="0"/>
              <w:widowControl w:val="0"/>
              <w:kinsoku/>
              <w:wordWrap/>
              <w:overflowPunct/>
              <w:topLinePunct w:val="0"/>
              <w:autoSpaceDE w:val="0"/>
              <w:autoSpaceDN w:val="0"/>
              <w:bidi w:val="0"/>
              <w:spacing w:line="400" w:lineRule="exact"/>
              <w:textAlignment w:val="auto"/>
              <w:rPr>
                <w:rFonts w:hint="default" w:ascii="Times New Roman" w:hAnsi="Times New Roman" w:cs="Times New Roman"/>
                <w:color w:val="auto"/>
                <w:highlight w:val="none"/>
              </w:rPr>
            </w:pPr>
          </w:p>
        </w:tc>
        <w:tc>
          <w:tcPr>
            <w:tcW w:w="1686" w:type="dxa"/>
            <w:gridSpan w:val="2"/>
            <w:tcBorders>
              <w:left w:val="single" w:color="auto" w:sz="4" w:space="0"/>
            </w:tcBorders>
            <w:vAlign w:val="center"/>
          </w:tcPr>
          <w:p w14:paraId="09A886A5">
            <w:pPr>
              <w:keepNext w:val="0"/>
              <w:keepLines w:val="0"/>
              <w:pageBreakBefore w:val="0"/>
              <w:widowControl w:val="0"/>
              <w:kinsoku/>
              <w:wordWrap/>
              <w:overflowPunct/>
              <w:topLinePunct w:val="0"/>
              <w:autoSpaceDE w:val="0"/>
              <w:autoSpaceDN w:val="0"/>
              <w:bidi w:val="0"/>
              <w:spacing w:line="400" w:lineRule="exact"/>
              <w:ind w:firstLine="0" w:firstLineChars="0"/>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参选有效期</w:t>
            </w:r>
          </w:p>
        </w:tc>
        <w:tc>
          <w:tcPr>
            <w:tcW w:w="5476" w:type="dxa"/>
            <w:tcBorders>
              <w:left w:val="single" w:color="auto" w:sz="4" w:space="0"/>
            </w:tcBorders>
          </w:tcPr>
          <w:p w14:paraId="5C08E501">
            <w:pPr>
              <w:keepNext w:val="0"/>
              <w:keepLines w:val="0"/>
              <w:pageBreakBefore w:val="0"/>
              <w:widowControl w:val="0"/>
              <w:kinsoku/>
              <w:wordWrap/>
              <w:overflowPunct/>
              <w:topLinePunct w:val="0"/>
              <w:autoSpaceDE w:val="0"/>
              <w:autoSpaceDN w:val="0"/>
              <w:bidi w:val="0"/>
              <w:spacing w:line="400" w:lineRule="exact"/>
              <w:ind w:firstLine="0" w:firstLineChars="0"/>
              <w:jc w:val="left"/>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符合第二章</w:t>
            </w:r>
            <w:r>
              <w:rPr>
                <w:rFonts w:hint="eastAsia" w:ascii="Times New Roman" w:hAnsi="Times New Roman" w:cs="Times New Roman"/>
                <w:color w:val="auto"/>
                <w:kern w:val="0"/>
                <w:sz w:val="21"/>
                <w:szCs w:val="21"/>
                <w:highlight w:val="none"/>
                <w:lang w:eastAsia="zh-CN"/>
              </w:rPr>
              <w:t>“参选人须知”</w:t>
            </w:r>
            <w:r>
              <w:rPr>
                <w:rFonts w:hint="default" w:ascii="Times New Roman" w:hAnsi="Times New Roman" w:cs="Times New Roman"/>
                <w:color w:val="auto"/>
                <w:kern w:val="0"/>
                <w:sz w:val="21"/>
                <w:szCs w:val="21"/>
                <w:highlight w:val="none"/>
              </w:rPr>
              <w:t>4.3 条规定</w:t>
            </w:r>
          </w:p>
        </w:tc>
      </w:tr>
      <w:tr w14:paraId="5A65A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3AA7B97C">
            <w:pPr>
              <w:keepNext w:val="0"/>
              <w:keepLines w:val="0"/>
              <w:pageBreakBefore w:val="0"/>
              <w:widowControl w:val="0"/>
              <w:kinsoku/>
              <w:wordWrap/>
              <w:overflowPunct/>
              <w:topLinePunct w:val="0"/>
              <w:autoSpaceDE w:val="0"/>
              <w:autoSpaceDN w:val="0"/>
              <w:bidi w:val="0"/>
              <w:spacing w:line="400" w:lineRule="exact"/>
              <w:textAlignment w:val="auto"/>
              <w:rPr>
                <w:rFonts w:hint="default" w:ascii="Times New Roman" w:hAnsi="Times New Roman" w:cs="Times New Roman"/>
                <w:color w:val="auto"/>
                <w:highlight w:val="none"/>
              </w:rPr>
            </w:pPr>
          </w:p>
        </w:tc>
        <w:tc>
          <w:tcPr>
            <w:tcW w:w="1482" w:type="dxa"/>
            <w:vMerge w:val="continue"/>
            <w:tcBorders>
              <w:left w:val="single" w:color="auto" w:sz="4" w:space="0"/>
            </w:tcBorders>
          </w:tcPr>
          <w:p w14:paraId="78BB4DC2">
            <w:pPr>
              <w:keepNext w:val="0"/>
              <w:keepLines w:val="0"/>
              <w:pageBreakBefore w:val="0"/>
              <w:widowControl w:val="0"/>
              <w:kinsoku/>
              <w:wordWrap/>
              <w:overflowPunct/>
              <w:topLinePunct w:val="0"/>
              <w:autoSpaceDE w:val="0"/>
              <w:autoSpaceDN w:val="0"/>
              <w:bidi w:val="0"/>
              <w:spacing w:line="400" w:lineRule="exact"/>
              <w:textAlignment w:val="auto"/>
              <w:rPr>
                <w:rFonts w:hint="default" w:ascii="Times New Roman" w:hAnsi="Times New Roman" w:cs="Times New Roman"/>
                <w:color w:val="auto"/>
                <w:highlight w:val="none"/>
              </w:rPr>
            </w:pPr>
          </w:p>
        </w:tc>
        <w:tc>
          <w:tcPr>
            <w:tcW w:w="1686" w:type="dxa"/>
            <w:gridSpan w:val="2"/>
            <w:tcBorders>
              <w:left w:val="single" w:color="auto" w:sz="4" w:space="0"/>
            </w:tcBorders>
            <w:vAlign w:val="center"/>
          </w:tcPr>
          <w:p w14:paraId="0BB6BE95">
            <w:pPr>
              <w:keepNext w:val="0"/>
              <w:keepLines w:val="0"/>
              <w:pageBreakBefore w:val="0"/>
              <w:widowControl w:val="0"/>
              <w:kinsoku/>
              <w:wordWrap/>
              <w:overflowPunct/>
              <w:topLinePunct w:val="0"/>
              <w:autoSpaceDE w:val="0"/>
              <w:autoSpaceDN w:val="0"/>
              <w:bidi w:val="0"/>
              <w:spacing w:line="400" w:lineRule="exact"/>
              <w:ind w:firstLine="0" w:firstLineChars="0"/>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参选保证金</w:t>
            </w:r>
          </w:p>
        </w:tc>
        <w:tc>
          <w:tcPr>
            <w:tcW w:w="5476" w:type="dxa"/>
            <w:tcBorders>
              <w:left w:val="single" w:color="auto" w:sz="4" w:space="0"/>
            </w:tcBorders>
          </w:tcPr>
          <w:p w14:paraId="1CEE7703">
            <w:pPr>
              <w:keepNext w:val="0"/>
              <w:keepLines w:val="0"/>
              <w:pageBreakBefore w:val="0"/>
              <w:widowControl w:val="0"/>
              <w:kinsoku/>
              <w:wordWrap/>
              <w:overflowPunct/>
              <w:topLinePunct w:val="0"/>
              <w:autoSpaceDE w:val="0"/>
              <w:autoSpaceDN w:val="0"/>
              <w:bidi w:val="0"/>
              <w:spacing w:line="400" w:lineRule="exact"/>
              <w:ind w:firstLine="0" w:firstLineChars="0"/>
              <w:jc w:val="left"/>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符合第二章</w:t>
            </w:r>
            <w:r>
              <w:rPr>
                <w:rFonts w:hint="eastAsia" w:ascii="Times New Roman" w:hAnsi="Times New Roman" w:cs="Times New Roman"/>
                <w:color w:val="auto"/>
                <w:kern w:val="0"/>
                <w:sz w:val="21"/>
                <w:szCs w:val="21"/>
                <w:highlight w:val="none"/>
                <w:lang w:eastAsia="zh-CN"/>
              </w:rPr>
              <w:t>“参选人须知”</w:t>
            </w:r>
            <w:r>
              <w:rPr>
                <w:rFonts w:hint="default" w:ascii="Times New Roman" w:hAnsi="Times New Roman" w:cs="Times New Roman"/>
                <w:color w:val="auto"/>
                <w:kern w:val="0"/>
                <w:sz w:val="21"/>
                <w:szCs w:val="21"/>
                <w:highlight w:val="none"/>
              </w:rPr>
              <w:t>4.4 条规定</w:t>
            </w:r>
          </w:p>
        </w:tc>
      </w:tr>
      <w:tr w14:paraId="1F99F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20" w:type="dxa"/>
            <w:vMerge w:val="restart"/>
            <w:vAlign w:val="center"/>
          </w:tcPr>
          <w:p w14:paraId="412692E6">
            <w:pPr>
              <w:keepNext w:val="0"/>
              <w:keepLines w:val="0"/>
              <w:pageBreakBefore w:val="0"/>
              <w:widowControl w:val="0"/>
              <w:kinsoku/>
              <w:wordWrap/>
              <w:overflowPunct/>
              <w:topLinePunct w:val="0"/>
              <w:autoSpaceDE w:val="0"/>
              <w:autoSpaceDN w:val="0"/>
              <w:bidi w:val="0"/>
              <w:spacing w:line="400" w:lineRule="exact"/>
              <w:ind w:firstLine="0" w:firstLineChars="0"/>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2.2</w:t>
            </w:r>
          </w:p>
        </w:tc>
        <w:tc>
          <w:tcPr>
            <w:tcW w:w="1482" w:type="dxa"/>
            <w:vMerge w:val="restart"/>
            <w:tcBorders>
              <w:left w:val="single" w:color="auto" w:sz="4" w:space="0"/>
            </w:tcBorders>
            <w:vAlign w:val="center"/>
          </w:tcPr>
          <w:p w14:paraId="10C34991">
            <w:pPr>
              <w:keepNext w:val="0"/>
              <w:keepLines w:val="0"/>
              <w:pageBreakBefore w:val="0"/>
              <w:widowControl w:val="0"/>
              <w:kinsoku/>
              <w:wordWrap/>
              <w:overflowPunct/>
              <w:topLinePunct w:val="0"/>
              <w:autoSpaceDE w:val="0"/>
              <w:autoSpaceDN w:val="0"/>
              <w:bidi w:val="0"/>
              <w:spacing w:line="400" w:lineRule="exact"/>
              <w:ind w:firstLine="0" w:firstLineChars="0"/>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详细评审</w:t>
            </w:r>
          </w:p>
        </w:tc>
        <w:tc>
          <w:tcPr>
            <w:tcW w:w="1686" w:type="dxa"/>
            <w:gridSpan w:val="2"/>
            <w:vMerge w:val="restart"/>
            <w:tcBorders>
              <w:left w:val="single" w:color="auto" w:sz="4" w:space="0"/>
            </w:tcBorders>
            <w:vAlign w:val="center"/>
          </w:tcPr>
          <w:p w14:paraId="477ECF55">
            <w:pPr>
              <w:keepNext w:val="0"/>
              <w:keepLines w:val="0"/>
              <w:pageBreakBefore w:val="0"/>
              <w:widowControl w:val="0"/>
              <w:tabs>
                <w:tab w:val="left" w:pos="1875"/>
              </w:tabs>
              <w:kinsoku/>
              <w:wordWrap/>
              <w:overflowPunct/>
              <w:topLinePunct w:val="0"/>
              <w:autoSpaceDE w:val="0"/>
              <w:autoSpaceDN w:val="0"/>
              <w:bidi w:val="0"/>
              <w:spacing w:line="400" w:lineRule="exact"/>
              <w:ind w:firstLine="0" w:firstLineChars="0"/>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 w:val="21"/>
                <w:szCs w:val="21"/>
                <w:highlight w:val="none"/>
              </w:rPr>
              <w:t>分值构成与评分标准</w:t>
            </w:r>
          </w:p>
          <w:p w14:paraId="425CA703">
            <w:pPr>
              <w:keepNext w:val="0"/>
              <w:keepLines w:val="0"/>
              <w:pageBreakBefore w:val="0"/>
              <w:widowControl w:val="0"/>
              <w:tabs>
                <w:tab w:val="left" w:pos="1875"/>
              </w:tabs>
              <w:kinsoku/>
              <w:wordWrap/>
              <w:overflowPunct/>
              <w:topLinePunct w:val="0"/>
              <w:autoSpaceDE w:val="0"/>
              <w:autoSpaceDN w:val="0"/>
              <w:bidi w:val="0"/>
              <w:spacing w:line="400" w:lineRule="exact"/>
              <w:ind w:firstLine="0" w:firstLineChars="0"/>
              <w:jc w:val="center"/>
              <w:textAlignment w:val="auto"/>
              <w:rPr>
                <w:rFonts w:hint="eastAsia" w:ascii="Times New Roman" w:hAnsi="Times New Roman" w:eastAsia="宋体" w:cs="Times New Roman"/>
                <w:color w:val="auto"/>
                <w:kern w:val="0"/>
                <w:sz w:val="21"/>
                <w:szCs w:val="21"/>
                <w:highlight w:val="none"/>
                <w:lang w:eastAsia="zh-CN"/>
              </w:rPr>
            </w:pPr>
            <w:r>
              <w:rPr>
                <w:rFonts w:hint="eastAsia" w:ascii="Times New Roman" w:hAnsi="Times New Roman" w:cs="Times New Roman"/>
                <w:color w:val="auto"/>
                <w:kern w:val="0"/>
                <w:sz w:val="21"/>
                <w:szCs w:val="21"/>
                <w:highlight w:val="none"/>
                <w:lang w:eastAsia="zh-CN"/>
              </w:rPr>
              <w:t>（</w:t>
            </w:r>
            <w:r>
              <w:rPr>
                <w:rFonts w:hint="default" w:ascii="Times New Roman" w:hAnsi="Times New Roman" w:cs="Times New Roman"/>
                <w:color w:val="auto"/>
                <w:kern w:val="0"/>
                <w:sz w:val="21"/>
                <w:szCs w:val="21"/>
                <w:highlight w:val="none"/>
              </w:rPr>
              <w:t>总分100分</w:t>
            </w:r>
            <w:r>
              <w:rPr>
                <w:rFonts w:hint="eastAsia" w:ascii="Times New Roman" w:hAnsi="Times New Roman" w:cs="Times New Roman"/>
                <w:color w:val="auto"/>
                <w:kern w:val="0"/>
                <w:sz w:val="21"/>
                <w:szCs w:val="21"/>
                <w:highlight w:val="none"/>
                <w:lang w:eastAsia="zh-CN"/>
              </w:rPr>
              <w:t>）</w:t>
            </w:r>
          </w:p>
        </w:tc>
        <w:tc>
          <w:tcPr>
            <w:tcW w:w="5476" w:type="dxa"/>
            <w:tcBorders>
              <w:left w:val="single" w:color="auto" w:sz="4" w:space="0"/>
            </w:tcBorders>
            <w:vAlign w:val="center"/>
          </w:tcPr>
          <w:p w14:paraId="3BB3AD43">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default" w:ascii="Times New Roman" w:hAnsi="Times New Roman" w:eastAsia="宋体" w:cs="Times New Roman"/>
                <w:color w:val="auto"/>
                <w:kern w:val="0"/>
                <w:sz w:val="21"/>
                <w:szCs w:val="21"/>
                <w:highlight w:val="none"/>
                <w:shd w:val="clear" w:color="auto" w:fill="auto"/>
              </w:rPr>
            </w:pPr>
            <w:r>
              <w:rPr>
                <w:rFonts w:hint="default" w:ascii="Times New Roman" w:hAnsi="Times New Roman" w:eastAsia="宋体" w:cs="Times New Roman"/>
                <w:color w:val="auto"/>
                <w:kern w:val="0"/>
                <w:sz w:val="21"/>
                <w:szCs w:val="21"/>
                <w:highlight w:val="none"/>
                <w:shd w:val="clear" w:color="auto" w:fill="auto"/>
                <w:lang w:val="en-US" w:eastAsia="zh-CN"/>
              </w:rPr>
              <w:t>一、参选报价</w:t>
            </w:r>
            <w:r>
              <w:rPr>
                <w:rFonts w:hint="eastAsia" w:ascii="Times New Roman" w:hAnsi="Times New Roman" w:cs="Times New Roman"/>
                <w:color w:val="auto"/>
                <w:kern w:val="0"/>
                <w:sz w:val="21"/>
                <w:szCs w:val="21"/>
                <w:highlight w:val="none"/>
                <w:shd w:val="clear" w:color="auto" w:fill="auto"/>
                <w:lang w:val="en-US" w:eastAsia="zh-CN"/>
              </w:rPr>
              <w:t>（不含税）</w:t>
            </w:r>
            <w:r>
              <w:rPr>
                <w:rFonts w:hint="default" w:ascii="Times New Roman" w:hAnsi="Times New Roman" w:eastAsia="宋体" w:cs="Times New Roman"/>
                <w:color w:val="auto"/>
                <w:kern w:val="0"/>
                <w:sz w:val="21"/>
                <w:szCs w:val="21"/>
                <w:highlight w:val="none"/>
                <w:shd w:val="clear" w:color="auto" w:fill="auto"/>
                <w:lang w:val="en-US" w:eastAsia="zh-CN"/>
              </w:rPr>
              <w:t>评分规则（分值：35分）</w:t>
            </w:r>
          </w:p>
          <w:p w14:paraId="5EF4575D">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jc w:val="left"/>
              <w:textAlignment w:val="auto"/>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w:t>
            </w:r>
            <w:r>
              <w:rPr>
                <w:rFonts w:hint="eastAsia" w:ascii="Times New Roman" w:hAnsi="Times New Roman" w:eastAsia="宋体" w:cs="Times New Roman"/>
                <w:color w:val="auto"/>
                <w:kern w:val="0"/>
                <w:sz w:val="21"/>
                <w:szCs w:val="21"/>
                <w:highlight w:val="none"/>
                <w:lang w:val="en-US" w:eastAsia="zh-CN"/>
              </w:rPr>
              <w:t>一）</w:t>
            </w:r>
            <w:r>
              <w:rPr>
                <w:rFonts w:hint="default" w:ascii="Times New Roman" w:hAnsi="Times New Roman" w:eastAsia="宋体" w:cs="Times New Roman"/>
                <w:color w:val="auto"/>
                <w:kern w:val="0"/>
                <w:sz w:val="21"/>
                <w:szCs w:val="21"/>
                <w:highlight w:val="none"/>
                <w:lang w:val="en-US" w:eastAsia="zh-CN"/>
              </w:rPr>
              <w:t>以各有效报价的平均价格作为评标基准价</w:t>
            </w:r>
            <w:r>
              <w:rPr>
                <w:rFonts w:hint="eastAsia" w:ascii="Times New Roman" w:hAnsi="Times New Roman" w:cs="Times New Roman"/>
                <w:color w:val="auto"/>
                <w:kern w:val="0"/>
                <w:sz w:val="21"/>
                <w:szCs w:val="21"/>
                <w:highlight w:val="none"/>
                <w:lang w:val="en-US" w:eastAsia="zh-CN"/>
              </w:rPr>
              <w:t>（</w:t>
            </w:r>
            <w:r>
              <w:rPr>
                <w:rFonts w:hint="default" w:ascii="Times New Roman" w:hAnsi="Times New Roman" w:cs="宋体"/>
                <w:color w:val="auto"/>
                <w:kern w:val="0"/>
                <w:sz w:val="21"/>
                <w:szCs w:val="21"/>
                <w:highlight w:val="none"/>
                <w:lang w:val="en-US" w:eastAsia="zh-CN"/>
              </w:rPr>
              <w:t>保留两位小数，4舍5入</w:t>
            </w:r>
            <w:r>
              <w:rPr>
                <w:rFonts w:hint="eastAsia" w:ascii="Times New Roman" w:hAnsi="Times New Roman" w:cs="Times New Roman"/>
                <w:color w:val="auto"/>
                <w:kern w:val="0"/>
                <w:sz w:val="21"/>
                <w:szCs w:val="21"/>
                <w:highlight w:val="none"/>
                <w:lang w:val="en-US" w:eastAsia="zh-CN"/>
              </w:rPr>
              <w:t>）</w:t>
            </w:r>
            <w:r>
              <w:rPr>
                <w:rFonts w:hint="default" w:ascii="Times New Roman" w:hAnsi="Times New Roman" w:eastAsia="宋体" w:cs="Times New Roman"/>
                <w:color w:val="auto"/>
                <w:kern w:val="0"/>
                <w:sz w:val="21"/>
                <w:szCs w:val="21"/>
                <w:highlight w:val="none"/>
                <w:lang w:val="en-US" w:eastAsia="zh-CN"/>
              </w:rPr>
              <w:t>，基准分为35分；</w:t>
            </w:r>
          </w:p>
          <w:p w14:paraId="2EBC2F89">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jc w:val="left"/>
              <w:textAlignment w:val="auto"/>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（二）</w:t>
            </w:r>
            <w:r>
              <w:rPr>
                <w:rFonts w:hint="default" w:ascii="Times New Roman" w:hAnsi="Times New Roman" w:eastAsia="宋体" w:cs="Times New Roman"/>
                <w:color w:val="auto"/>
                <w:kern w:val="0"/>
                <w:sz w:val="21"/>
                <w:szCs w:val="21"/>
                <w:highlight w:val="none"/>
                <w:lang w:val="en-US" w:eastAsia="zh-CN"/>
              </w:rPr>
              <w:t>计算各</w:t>
            </w:r>
            <w:r>
              <w:rPr>
                <w:rFonts w:hint="eastAsia" w:ascii="Times New Roman" w:hAnsi="Times New Roman" w:cs="Times New Roman"/>
                <w:color w:val="auto"/>
                <w:kern w:val="0"/>
                <w:sz w:val="21"/>
                <w:szCs w:val="21"/>
                <w:highlight w:val="none"/>
                <w:lang w:val="en-US" w:eastAsia="zh-CN"/>
              </w:rPr>
              <w:t>参选人</w:t>
            </w:r>
            <w:r>
              <w:rPr>
                <w:rFonts w:hint="default" w:ascii="Times New Roman" w:hAnsi="Times New Roman" w:eastAsia="宋体" w:cs="Times New Roman"/>
                <w:color w:val="auto"/>
                <w:kern w:val="0"/>
                <w:sz w:val="21"/>
                <w:szCs w:val="21"/>
                <w:highlight w:val="none"/>
                <w:lang w:val="en-US" w:eastAsia="zh-CN"/>
              </w:rPr>
              <w:t>报价与评标基准价的偏离度。偏离度=（有效报价/评标基准价-1）*100%；</w:t>
            </w:r>
          </w:p>
          <w:p w14:paraId="56751E3A">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jc w:val="left"/>
              <w:textAlignment w:val="auto"/>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（三）</w:t>
            </w:r>
            <w:r>
              <w:rPr>
                <w:rFonts w:hint="default" w:ascii="Times New Roman" w:hAnsi="Times New Roman" w:eastAsia="宋体" w:cs="Times New Roman"/>
                <w:color w:val="auto"/>
                <w:kern w:val="0"/>
                <w:sz w:val="21"/>
                <w:szCs w:val="21"/>
                <w:highlight w:val="none"/>
                <w:lang w:val="en-US" w:eastAsia="zh-CN"/>
              </w:rPr>
              <w:t>报价每</w:t>
            </w:r>
            <w:r>
              <w:rPr>
                <w:rFonts w:hint="eastAsia" w:ascii="Times New Roman" w:hAnsi="Times New Roman" w:cs="Times New Roman"/>
                <w:color w:val="auto"/>
                <w:kern w:val="0"/>
                <w:sz w:val="21"/>
                <w:szCs w:val="21"/>
                <w:highlight w:val="none"/>
                <w:lang w:val="en-US" w:eastAsia="zh-CN"/>
              </w:rPr>
              <w:t>向上</w:t>
            </w:r>
            <w:r>
              <w:rPr>
                <w:rFonts w:hint="default" w:ascii="Times New Roman" w:hAnsi="Times New Roman" w:eastAsia="宋体" w:cs="Times New Roman"/>
                <w:color w:val="auto"/>
                <w:kern w:val="0"/>
                <w:sz w:val="21"/>
                <w:szCs w:val="21"/>
                <w:highlight w:val="none"/>
                <w:lang w:val="en-US" w:eastAsia="zh-CN"/>
              </w:rPr>
              <w:t>偏离基准价的1%扣</w:t>
            </w:r>
            <w:r>
              <w:rPr>
                <w:rFonts w:hint="eastAsia" w:ascii="Times New Roman" w:hAnsi="Times New Roman" w:cs="Times New Roman"/>
                <w:color w:val="auto"/>
                <w:kern w:val="0"/>
                <w:sz w:val="21"/>
                <w:szCs w:val="21"/>
                <w:highlight w:val="none"/>
                <w:lang w:val="en-US" w:eastAsia="zh-CN"/>
              </w:rPr>
              <w:t>0.5</w:t>
            </w:r>
            <w:r>
              <w:rPr>
                <w:rFonts w:hint="default" w:ascii="Times New Roman" w:hAnsi="Times New Roman" w:eastAsia="宋体" w:cs="Times New Roman"/>
                <w:color w:val="auto"/>
                <w:kern w:val="0"/>
                <w:sz w:val="21"/>
                <w:szCs w:val="21"/>
                <w:highlight w:val="none"/>
                <w:lang w:val="en-US" w:eastAsia="zh-CN"/>
              </w:rPr>
              <w:t>分</w:t>
            </w:r>
            <w:r>
              <w:rPr>
                <w:rFonts w:hint="eastAsia" w:ascii="Times New Roman" w:hAnsi="Times New Roman" w:cs="Times New Roman"/>
                <w:color w:val="auto"/>
                <w:kern w:val="0"/>
                <w:sz w:val="21"/>
                <w:szCs w:val="21"/>
                <w:highlight w:val="none"/>
                <w:lang w:val="en-US" w:eastAsia="zh-CN"/>
              </w:rPr>
              <w:t>，每向下偏离基准价的1%扣0.3分</w:t>
            </w:r>
            <w:r>
              <w:rPr>
                <w:rFonts w:hint="default" w:ascii="Times New Roman" w:hAnsi="Times New Roman" w:eastAsia="宋体" w:cs="Times New Roman"/>
                <w:color w:val="auto"/>
                <w:kern w:val="0"/>
                <w:sz w:val="21"/>
                <w:szCs w:val="21"/>
                <w:highlight w:val="none"/>
                <w:lang w:val="en-US" w:eastAsia="zh-CN"/>
              </w:rPr>
              <w:t>，</w:t>
            </w:r>
            <w:r>
              <w:rPr>
                <w:rFonts w:hint="eastAsia" w:ascii="Times New Roman" w:hAnsi="Times New Roman" w:cs="Times New Roman"/>
                <w:color w:val="auto"/>
                <w:kern w:val="0"/>
                <w:sz w:val="21"/>
                <w:szCs w:val="21"/>
                <w:highlight w:val="none"/>
                <w:lang w:val="en-US" w:eastAsia="zh-CN"/>
              </w:rPr>
              <w:t>扣完为止，</w:t>
            </w:r>
            <w:r>
              <w:rPr>
                <w:rFonts w:hint="default" w:ascii="Times New Roman" w:hAnsi="Times New Roman" w:eastAsia="宋体" w:cs="Times New Roman"/>
                <w:color w:val="auto"/>
                <w:kern w:val="0"/>
                <w:sz w:val="21"/>
                <w:szCs w:val="21"/>
                <w:highlight w:val="none"/>
                <w:lang w:val="en-US" w:eastAsia="zh-CN"/>
              </w:rPr>
              <w:t>不足1%的不予扣减。</w:t>
            </w:r>
          </w:p>
          <w:p w14:paraId="1B428FE9">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jc w:val="left"/>
              <w:textAlignment w:val="auto"/>
              <w:rPr>
                <w:rFonts w:hint="default" w:ascii="Times New Roman" w:hAnsi="Times New Roman" w:eastAsia="宋体" w:cs="Times New Roman"/>
                <w:b/>
                <w:bCs/>
                <w:color w:val="auto"/>
                <w:kern w:val="0"/>
                <w:sz w:val="21"/>
                <w:szCs w:val="21"/>
                <w:highlight w:val="none"/>
                <w:lang w:val="en-US" w:eastAsia="zh-CN"/>
              </w:rPr>
            </w:pPr>
            <w:r>
              <w:rPr>
                <w:rFonts w:hint="default" w:ascii="Times New Roman" w:hAnsi="Times New Roman" w:eastAsia="宋体" w:cs="Times New Roman"/>
                <w:b/>
                <w:bCs/>
                <w:color w:val="auto"/>
                <w:kern w:val="0"/>
                <w:sz w:val="21"/>
                <w:szCs w:val="21"/>
                <w:highlight w:val="none"/>
                <w:lang w:val="en-US" w:eastAsia="zh-CN"/>
              </w:rPr>
              <w:t>注：</w:t>
            </w:r>
          </w:p>
          <w:p w14:paraId="2F6318E5">
            <w:pPr>
              <w:keepNext w:val="0"/>
              <w:keepLines w:val="0"/>
              <w:pageBreakBefore w:val="0"/>
              <w:widowControl w:val="0"/>
              <w:numPr>
                <w:ilvl w:val="0"/>
                <w:numId w:val="36"/>
              </w:numPr>
              <w:kinsoku/>
              <w:wordWrap/>
              <w:overflowPunct/>
              <w:topLinePunct w:val="0"/>
              <w:autoSpaceDE w:val="0"/>
              <w:autoSpaceDN w:val="0"/>
              <w:bidi w:val="0"/>
              <w:adjustRightInd/>
              <w:snapToGrid/>
              <w:spacing w:line="400" w:lineRule="exact"/>
              <w:ind w:firstLine="0" w:firstLineChars="0"/>
              <w:jc w:val="left"/>
              <w:textAlignment w:val="auto"/>
              <w:rPr>
                <w:rFonts w:hint="eastAsia" w:ascii="Times New Roman" w:hAnsi="Times New Roman" w:cs="Times New Roman"/>
                <w:b w:val="0"/>
                <w:color w:val="auto"/>
                <w:spacing w:val="0"/>
                <w:sz w:val="21"/>
                <w:szCs w:val="21"/>
                <w:highlight w:val="none"/>
                <w:lang w:val="en-US" w:eastAsia="zh-CN"/>
              </w:rPr>
            </w:pPr>
            <w:r>
              <w:rPr>
                <w:rFonts w:hint="eastAsia" w:ascii="Times New Roman" w:hAnsi="Times New Roman" w:cs="Times New Roman"/>
                <w:b w:val="0"/>
                <w:bCs w:val="0"/>
                <w:color w:val="auto"/>
                <w:kern w:val="0"/>
                <w:sz w:val="21"/>
                <w:szCs w:val="21"/>
                <w:highlight w:val="none"/>
                <w:lang w:val="en-US" w:eastAsia="zh-CN"/>
              </w:rPr>
              <w:t>价格使用</w:t>
            </w:r>
            <w:r>
              <w:rPr>
                <w:rFonts w:hint="eastAsia" w:ascii="Times New Roman" w:hAnsi="Times New Roman" w:cs="Times New Roman"/>
                <w:b w:val="0"/>
                <w:color w:val="auto"/>
                <w:spacing w:val="0"/>
                <w:sz w:val="21"/>
                <w:szCs w:val="21"/>
                <w:highlight w:val="none"/>
                <w:lang w:val="en-US" w:eastAsia="zh-CN"/>
              </w:rPr>
              <w:t>不</w:t>
            </w:r>
            <w:r>
              <w:rPr>
                <w:rFonts w:hint="default" w:ascii="Times New Roman" w:hAnsi="Times New Roman" w:eastAsia="宋体" w:cs="Times New Roman"/>
                <w:b w:val="0"/>
                <w:color w:val="auto"/>
                <w:spacing w:val="0"/>
                <w:sz w:val="21"/>
                <w:szCs w:val="21"/>
                <w:highlight w:val="none"/>
              </w:rPr>
              <w:t>含税</w:t>
            </w:r>
            <w:r>
              <w:rPr>
                <w:rFonts w:hint="default" w:ascii="Times New Roman" w:hAnsi="Times New Roman" w:eastAsia="宋体" w:cs="Times New Roman"/>
                <w:b w:val="0"/>
                <w:color w:val="auto"/>
                <w:spacing w:val="0"/>
                <w:sz w:val="21"/>
                <w:szCs w:val="21"/>
                <w:highlight w:val="none"/>
                <w:lang w:val="en-US" w:eastAsia="zh-CN"/>
              </w:rPr>
              <w:t>参选报价</w:t>
            </w:r>
            <w:r>
              <w:rPr>
                <w:rFonts w:hint="eastAsia" w:ascii="Times New Roman" w:hAnsi="Times New Roman" w:cs="Times New Roman"/>
                <w:b w:val="0"/>
                <w:color w:val="auto"/>
                <w:spacing w:val="0"/>
                <w:sz w:val="21"/>
                <w:szCs w:val="21"/>
                <w:highlight w:val="none"/>
                <w:lang w:val="en-US" w:eastAsia="zh-CN"/>
              </w:rPr>
              <w:t>进行统计；</w:t>
            </w:r>
          </w:p>
          <w:p w14:paraId="3B3FC0EC">
            <w:pPr>
              <w:keepNext w:val="0"/>
              <w:keepLines w:val="0"/>
              <w:pageBreakBefore w:val="0"/>
              <w:widowControl w:val="0"/>
              <w:numPr>
                <w:ilvl w:val="0"/>
                <w:numId w:val="36"/>
              </w:numPr>
              <w:kinsoku/>
              <w:wordWrap/>
              <w:overflowPunct/>
              <w:topLinePunct w:val="0"/>
              <w:autoSpaceDE w:val="0"/>
              <w:autoSpaceDN w:val="0"/>
              <w:bidi w:val="0"/>
              <w:adjustRightInd/>
              <w:snapToGrid/>
              <w:spacing w:line="400" w:lineRule="exact"/>
              <w:ind w:firstLine="0" w:firstLineChars="0"/>
              <w:jc w:val="left"/>
              <w:textAlignment w:val="auto"/>
              <w:rPr>
                <w:rFonts w:hint="default" w:ascii="Times New Roman" w:hAnsi="Times New Roman" w:eastAsia="宋体" w:cs="Times New Roman"/>
                <w:b w:val="0"/>
                <w:color w:val="auto"/>
                <w:spacing w:val="0"/>
                <w:sz w:val="21"/>
                <w:szCs w:val="21"/>
                <w:highlight w:val="none"/>
                <w:lang w:val="en-US" w:eastAsia="zh-CN"/>
              </w:rPr>
            </w:pPr>
            <w:r>
              <w:rPr>
                <w:rFonts w:hint="eastAsia" w:ascii="Times New Roman" w:hAnsi="Times New Roman" w:eastAsia="宋体" w:cs="Times New Roman"/>
                <w:b w:val="0"/>
                <w:color w:val="auto"/>
                <w:spacing w:val="0"/>
                <w:sz w:val="21"/>
                <w:szCs w:val="21"/>
                <w:highlight w:val="none"/>
                <w:lang w:val="en-US" w:eastAsia="zh-CN"/>
              </w:rPr>
              <w:t>平均价格 = 有效报价之和 / 有效报价</w:t>
            </w:r>
            <w:r>
              <w:rPr>
                <w:rFonts w:hint="default" w:ascii="Times New Roman" w:hAnsi="Times New Roman" w:cs="Times New Roman"/>
                <w:b w:val="0"/>
                <w:bCs w:val="0"/>
                <w:color w:val="auto"/>
                <w:kern w:val="0"/>
                <w:sz w:val="21"/>
                <w:szCs w:val="21"/>
                <w:highlight w:val="none"/>
                <w:lang w:val="en-US" w:eastAsia="zh-CN"/>
              </w:rPr>
              <w:t>家</w:t>
            </w:r>
            <w:r>
              <w:rPr>
                <w:rFonts w:hint="eastAsia" w:ascii="Times New Roman" w:hAnsi="Times New Roman" w:eastAsia="宋体" w:cs="Times New Roman"/>
                <w:b w:val="0"/>
                <w:color w:val="auto"/>
                <w:spacing w:val="0"/>
                <w:sz w:val="21"/>
                <w:szCs w:val="21"/>
                <w:highlight w:val="none"/>
                <w:lang w:val="en-US" w:eastAsia="zh-CN"/>
              </w:rPr>
              <w:t>数；</w:t>
            </w:r>
          </w:p>
          <w:p w14:paraId="71A7CF1E">
            <w:pPr>
              <w:keepNext w:val="0"/>
              <w:keepLines w:val="0"/>
              <w:pageBreakBefore w:val="0"/>
              <w:widowControl w:val="0"/>
              <w:numPr>
                <w:ilvl w:val="0"/>
                <w:numId w:val="36"/>
              </w:numPr>
              <w:kinsoku/>
              <w:wordWrap/>
              <w:overflowPunct/>
              <w:topLinePunct w:val="0"/>
              <w:autoSpaceDE w:val="0"/>
              <w:autoSpaceDN w:val="0"/>
              <w:bidi w:val="0"/>
              <w:adjustRightInd/>
              <w:snapToGrid/>
              <w:spacing w:line="400" w:lineRule="exact"/>
              <w:ind w:firstLine="0" w:firstLineChars="0"/>
              <w:jc w:val="left"/>
              <w:textAlignment w:val="auto"/>
              <w:rPr>
                <w:rFonts w:hint="default" w:ascii="Times New Roman" w:hAnsi="Times New Roman" w:eastAsia="宋体" w:cs="Times New Roman"/>
                <w:b w:val="0"/>
                <w:color w:val="auto"/>
                <w:spacing w:val="0"/>
                <w:sz w:val="21"/>
                <w:szCs w:val="21"/>
                <w:highlight w:val="none"/>
                <w:lang w:val="en-US" w:eastAsia="zh-CN"/>
              </w:rPr>
            </w:pPr>
            <w:r>
              <w:rPr>
                <w:rFonts w:hint="eastAsia" w:ascii="Times New Roman" w:hAnsi="Times New Roman" w:eastAsia="宋体" w:cs="Times New Roman"/>
                <w:b w:val="0"/>
                <w:color w:val="auto"/>
                <w:spacing w:val="0"/>
                <w:sz w:val="21"/>
                <w:szCs w:val="21"/>
                <w:highlight w:val="none"/>
                <w:lang w:val="en-US" w:eastAsia="zh-CN"/>
              </w:rPr>
              <w:t>有效报价和有效报价</w:t>
            </w:r>
            <w:r>
              <w:rPr>
                <w:rFonts w:hint="default" w:ascii="Times New Roman" w:hAnsi="Times New Roman" w:cs="Times New Roman"/>
                <w:color w:val="auto"/>
                <w:kern w:val="0"/>
                <w:sz w:val="21"/>
                <w:szCs w:val="21"/>
                <w:highlight w:val="none"/>
                <w:lang w:val="en-US" w:eastAsia="zh-CN"/>
              </w:rPr>
              <w:t>家</w:t>
            </w:r>
            <w:r>
              <w:rPr>
                <w:rFonts w:hint="eastAsia" w:ascii="Times New Roman" w:hAnsi="Times New Roman" w:eastAsia="宋体" w:cs="Times New Roman"/>
                <w:b w:val="0"/>
                <w:color w:val="auto"/>
                <w:spacing w:val="0"/>
                <w:sz w:val="21"/>
                <w:szCs w:val="21"/>
                <w:highlight w:val="none"/>
                <w:lang w:val="en-US" w:eastAsia="zh-CN"/>
              </w:rPr>
              <w:t>数按如下规则统计：</w:t>
            </w:r>
          </w:p>
          <w:p w14:paraId="66C1DBF0">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jc w:val="left"/>
              <w:textAlignment w:val="auto"/>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M</w:t>
            </w:r>
            <w:r>
              <w:rPr>
                <w:rFonts w:hint="eastAsia" w:ascii="Times New Roman" w:hAnsi="Times New Roman" w:cs="Times New Roman"/>
                <w:color w:val="auto"/>
                <w:kern w:val="0"/>
                <w:sz w:val="21"/>
                <w:szCs w:val="21"/>
                <w:highlight w:val="none"/>
                <w:lang w:val="en-US" w:eastAsia="zh-CN"/>
              </w:rPr>
              <w:t xml:space="preserve"> </w:t>
            </w:r>
            <w:r>
              <w:rPr>
                <w:rFonts w:hint="eastAsia" w:ascii="Times New Roman" w:hAnsi="Times New Roman" w:eastAsia="宋体" w:cs="Times New Roman"/>
                <w:color w:val="auto"/>
                <w:kern w:val="0"/>
                <w:sz w:val="21"/>
                <w:szCs w:val="21"/>
                <w:highlight w:val="none"/>
                <w:lang w:val="en-US" w:eastAsia="zh-CN"/>
              </w:rPr>
              <w:t>=【参选人数量】</w:t>
            </w:r>
          </w:p>
          <w:p w14:paraId="73F37221">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jc w:val="left"/>
              <w:textAlignment w:val="auto"/>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如果M≤5，不去掉最高价和最低价；</w:t>
            </w:r>
          </w:p>
          <w:p w14:paraId="718CBBFF">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jc w:val="left"/>
              <w:textAlignment w:val="auto"/>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如果M＝6，则去掉一个最高价；</w:t>
            </w:r>
          </w:p>
          <w:p w14:paraId="46F40D1B">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jc w:val="left"/>
              <w:textAlignment w:val="auto"/>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如果M＝7，则去掉一个最高价和一个最低价；</w:t>
            </w:r>
          </w:p>
          <w:p w14:paraId="71548128">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jc w:val="left"/>
              <w:textAlignment w:val="auto"/>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如果M＝8，则去掉最高价、次高价和一个最低价；</w:t>
            </w:r>
          </w:p>
          <w:p w14:paraId="5D52BE10">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jc w:val="left"/>
              <w:textAlignment w:val="auto"/>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如果M≥9，则去掉最高价、次高价和最低价、次低价。</w:t>
            </w:r>
          </w:p>
        </w:tc>
      </w:tr>
      <w:tr w14:paraId="07462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0" w:type="dxa"/>
            <w:vMerge w:val="continue"/>
            <w:vAlign w:val="center"/>
          </w:tcPr>
          <w:p w14:paraId="5786CCDF">
            <w:pPr>
              <w:keepNext w:val="0"/>
              <w:keepLines w:val="0"/>
              <w:pageBreakBefore w:val="0"/>
              <w:widowControl w:val="0"/>
              <w:kinsoku/>
              <w:wordWrap/>
              <w:overflowPunct/>
              <w:topLinePunct w:val="0"/>
              <w:autoSpaceDE w:val="0"/>
              <w:autoSpaceDN w:val="0"/>
              <w:bidi w:val="0"/>
              <w:spacing w:line="400" w:lineRule="exact"/>
              <w:textAlignment w:val="auto"/>
              <w:rPr>
                <w:rFonts w:hint="default" w:ascii="Times New Roman" w:hAnsi="Times New Roman" w:cs="Times New Roman"/>
                <w:color w:val="auto"/>
                <w:highlight w:val="none"/>
              </w:rPr>
            </w:pPr>
          </w:p>
        </w:tc>
        <w:tc>
          <w:tcPr>
            <w:tcW w:w="1482" w:type="dxa"/>
            <w:vMerge w:val="continue"/>
            <w:tcBorders>
              <w:left w:val="single" w:color="auto" w:sz="4" w:space="0"/>
            </w:tcBorders>
            <w:vAlign w:val="center"/>
          </w:tcPr>
          <w:p w14:paraId="3FB9BAC7">
            <w:pPr>
              <w:keepNext w:val="0"/>
              <w:keepLines w:val="0"/>
              <w:pageBreakBefore w:val="0"/>
              <w:widowControl w:val="0"/>
              <w:kinsoku/>
              <w:wordWrap/>
              <w:overflowPunct/>
              <w:topLinePunct w:val="0"/>
              <w:autoSpaceDE w:val="0"/>
              <w:autoSpaceDN w:val="0"/>
              <w:bidi w:val="0"/>
              <w:spacing w:line="400" w:lineRule="exact"/>
              <w:textAlignment w:val="auto"/>
              <w:rPr>
                <w:rFonts w:hint="default" w:ascii="Times New Roman" w:hAnsi="Times New Roman" w:cs="Times New Roman"/>
                <w:color w:val="auto"/>
                <w:highlight w:val="none"/>
              </w:rPr>
            </w:pPr>
          </w:p>
        </w:tc>
        <w:tc>
          <w:tcPr>
            <w:tcW w:w="1686" w:type="dxa"/>
            <w:gridSpan w:val="2"/>
            <w:vMerge w:val="continue"/>
            <w:tcBorders>
              <w:left w:val="single" w:color="auto" w:sz="4" w:space="0"/>
            </w:tcBorders>
            <w:vAlign w:val="center"/>
          </w:tcPr>
          <w:p w14:paraId="13607F80">
            <w:pPr>
              <w:keepNext w:val="0"/>
              <w:keepLines w:val="0"/>
              <w:pageBreakBefore w:val="0"/>
              <w:widowControl w:val="0"/>
              <w:kinsoku/>
              <w:wordWrap/>
              <w:overflowPunct/>
              <w:topLinePunct w:val="0"/>
              <w:autoSpaceDE w:val="0"/>
              <w:autoSpaceDN w:val="0"/>
              <w:bidi w:val="0"/>
              <w:spacing w:line="400" w:lineRule="exact"/>
              <w:textAlignment w:val="auto"/>
              <w:rPr>
                <w:rFonts w:hint="default" w:ascii="Times New Roman" w:hAnsi="Times New Roman" w:cs="Times New Roman"/>
                <w:color w:val="auto"/>
                <w:highlight w:val="none"/>
              </w:rPr>
            </w:pPr>
          </w:p>
        </w:tc>
        <w:tc>
          <w:tcPr>
            <w:tcW w:w="5476" w:type="dxa"/>
            <w:tcBorders>
              <w:left w:val="single" w:color="auto" w:sz="4" w:space="0"/>
            </w:tcBorders>
            <w:vAlign w:val="center"/>
          </w:tcPr>
          <w:p w14:paraId="6E362208">
            <w:pPr>
              <w:keepNext w:val="0"/>
              <w:keepLines w:val="0"/>
              <w:pageBreakBefore w:val="0"/>
              <w:widowControl w:val="0"/>
              <w:kinsoku/>
              <w:wordWrap/>
              <w:overflowPunct/>
              <w:topLinePunct w:val="0"/>
              <w:autoSpaceDE w:val="0"/>
              <w:autoSpaceDN w:val="0"/>
              <w:bidi w:val="0"/>
              <w:spacing w:line="400" w:lineRule="exact"/>
              <w:ind w:firstLine="0" w:firstLineChars="0"/>
              <w:jc w:val="left"/>
              <w:textAlignment w:val="auto"/>
              <w:rPr>
                <w:rFonts w:ascii="Times New Roman" w:hAnsi="Times New Roman" w:cs="宋体"/>
                <w:color w:val="auto"/>
                <w:kern w:val="0"/>
                <w:sz w:val="21"/>
                <w:szCs w:val="21"/>
                <w:highlight w:val="none"/>
              </w:rPr>
            </w:pPr>
            <w:r>
              <w:rPr>
                <w:rFonts w:hint="eastAsia" w:ascii="Times New Roman" w:hAnsi="Times New Roman" w:cs="Times New Roman"/>
                <w:color w:val="auto"/>
                <w:kern w:val="0"/>
                <w:sz w:val="21"/>
                <w:szCs w:val="21"/>
                <w:highlight w:val="none"/>
                <w:lang w:val="en-US" w:eastAsia="zh-CN"/>
              </w:rPr>
              <w:t>二、</w:t>
            </w:r>
            <w:r>
              <w:rPr>
                <w:rFonts w:hint="eastAsia" w:ascii="Times New Roman" w:hAnsi="Times New Roman" w:cs="宋体"/>
                <w:color w:val="auto"/>
                <w:kern w:val="0"/>
                <w:sz w:val="21"/>
                <w:szCs w:val="21"/>
                <w:highlight w:val="none"/>
              </w:rPr>
              <w:t>商务部分评分规则</w:t>
            </w:r>
            <w:r>
              <w:rPr>
                <w:rFonts w:ascii="Times New Roman" w:hAnsi="Times New Roman" w:cs="宋体"/>
                <w:color w:val="auto"/>
                <w:kern w:val="0"/>
                <w:sz w:val="21"/>
                <w:szCs w:val="21"/>
                <w:highlight w:val="none"/>
              </w:rPr>
              <w:t>（2</w:t>
            </w:r>
            <w:r>
              <w:rPr>
                <w:rFonts w:hint="eastAsia" w:ascii="Times New Roman" w:hAnsi="Times New Roman" w:cs="宋体"/>
                <w:color w:val="auto"/>
                <w:kern w:val="0"/>
                <w:sz w:val="21"/>
                <w:szCs w:val="21"/>
                <w:highlight w:val="none"/>
                <w:lang w:val="en-US" w:eastAsia="zh-CN"/>
              </w:rPr>
              <w:t>3</w:t>
            </w:r>
            <w:r>
              <w:rPr>
                <w:rFonts w:ascii="Times New Roman" w:hAnsi="Times New Roman" w:cs="宋体"/>
                <w:color w:val="auto"/>
                <w:kern w:val="0"/>
                <w:sz w:val="21"/>
                <w:szCs w:val="21"/>
                <w:highlight w:val="none"/>
              </w:rPr>
              <w:t>分）</w:t>
            </w:r>
          </w:p>
          <w:p w14:paraId="2EF6D00B">
            <w:pPr>
              <w:keepNext w:val="0"/>
              <w:keepLines w:val="0"/>
              <w:pageBreakBefore w:val="0"/>
              <w:widowControl w:val="0"/>
              <w:kinsoku/>
              <w:wordWrap/>
              <w:overflowPunct/>
              <w:topLinePunct w:val="0"/>
              <w:autoSpaceDE w:val="0"/>
              <w:autoSpaceDN w:val="0"/>
              <w:bidi w:val="0"/>
              <w:spacing w:line="400" w:lineRule="exact"/>
              <w:ind w:firstLine="0" w:firstLineChars="0"/>
              <w:jc w:val="left"/>
              <w:textAlignment w:val="auto"/>
              <w:rPr>
                <w:rFonts w:hint="eastAsia" w:ascii="Times New Roman" w:hAnsi="Times New Roman"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（一）实施案例（21分）</w:t>
            </w:r>
          </w:p>
          <w:p w14:paraId="56F2E1A2">
            <w:pPr>
              <w:keepNext w:val="0"/>
              <w:keepLines w:val="0"/>
              <w:pageBreakBefore w:val="0"/>
              <w:widowControl w:val="0"/>
              <w:kinsoku/>
              <w:wordWrap/>
              <w:overflowPunct/>
              <w:topLinePunct w:val="0"/>
              <w:autoSpaceDE w:val="0"/>
              <w:autoSpaceDN w:val="0"/>
              <w:bidi w:val="0"/>
              <w:spacing w:line="400" w:lineRule="exact"/>
              <w:ind w:firstLine="0" w:firstLineChars="0"/>
              <w:jc w:val="left"/>
              <w:textAlignment w:val="auto"/>
              <w:rPr>
                <w:rFonts w:hint="default" w:ascii="Times New Roman" w:hAnsi="Times New Roman"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1.湖仓一体底座原厂商案例（7分）</w:t>
            </w:r>
          </w:p>
          <w:p w14:paraId="11AAA181">
            <w:pPr>
              <w:keepNext w:val="0"/>
              <w:keepLines w:val="0"/>
              <w:pageBreakBefore w:val="0"/>
              <w:widowControl w:val="0"/>
              <w:kinsoku/>
              <w:wordWrap/>
              <w:overflowPunct/>
              <w:topLinePunct w:val="0"/>
              <w:autoSpaceDE w:val="0"/>
              <w:autoSpaceDN w:val="0"/>
              <w:bidi w:val="0"/>
              <w:spacing w:line="400" w:lineRule="exact"/>
              <w:ind w:firstLine="0" w:firstLineChars="0"/>
              <w:jc w:val="left"/>
              <w:textAlignment w:val="auto"/>
              <w:rPr>
                <w:rFonts w:hint="eastAsia" w:ascii="Times New Roman" w:hAnsi="Times New Roman"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参选人提供的湖仓一体底座产品的原厂商自2019年1月1日（以合同签订时间为准）至参选截止日，其底座产品在银行业总行级别的案例个数，最高得7分。</w:t>
            </w:r>
          </w:p>
          <w:p w14:paraId="386D252A">
            <w:pPr>
              <w:keepNext w:val="0"/>
              <w:keepLines w:val="0"/>
              <w:pageBreakBefore w:val="0"/>
              <w:widowControl w:val="0"/>
              <w:kinsoku/>
              <w:wordWrap/>
              <w:overflowPunct/>
              <w:topLinePunct w:val="0"/>
              <w:autoSpaceDE w:val="0"/>
              <w:autoSpaceDN w:val="0"/>
              <w:bidi w:val="0"/>
              <w:spacing w:line="400" w:lineRule="exact"/>
              <w:ind w:firstLine="0" w:firstLineChars="0"/>
              <w:jc w:val="left"/>
              <w:textAlignment w:val="auto"/>
              <w:rPr>
                <w:rFonts w:hint="eastAsia" w:ascii="Times New Roman" w:hAnsi="Times New Roman"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其中：每一个国有银行总行或全国性股份制银行总行案例得1分，每一个城市商业银行总行或省级农信社（农商行）总行案例得0.5分。</w:t>
            </w:r>
          </w:p>
          <w:p w14:paraId="020AF652">
            <w:pPr>
              <w:keepNext w:val="0"/>
              <w:keepLines w:val="0"/>
              <w:pageBreakBefore w:val="0"/>
              <w:widowControl w:val="0"/>
              <w:kinsoku/>
              <w:wordWrap/>
              <w:overflowPunct/>
              <w:topLinePunct w:val="0"/>
              <w:autoSpaceDE w:val="0"/>
              <w:autoSpaceDN w:val="0"/>
              <w:bidi w:val="0"/>
              <w:spacing w:line="400" w:lineRule="exact"/>
              <w:ind w:firstLine="0" w:firstLineChars="0"/>
              <w:jc w:val="left"/>
              <w:textAlignment w:val="auto"/>
              <w:rPr>
                <w:rFonts w:hint="eastAsia" w:ascii="Times New Roman" w:hAnsi="Times New Roman" w:cs="Times New Roman"/>
                <w:b/>
                <w:bCs/>
                <w:color w:val="auto"/>
                <w:kern w:val="0"/>
                <w:sz w:val="21"/>
                <w:szCs w:val="21"/>
                <w:highlight w:val="none"/>
                <w:lang w:val="en-US" w:eastAsia="zh-CN"/>
              </w:rPr>
            </w:pPr>
            <w:r>
              <w:rPr>
                <w:rFonts w:hint="eastAsia" w:ascii="Times New Roman" w:hAnsi="Times New Roman" w:cs="Times New Roman"/>
                <w:b/>
                <w:bCs/>
                <w:color w:val="auto"/>
                <w:kern w:val="0"/>
                <w:sz w:val="21"/>
                <w:szCs w:val="21"/>
                <w:highlight w:val="none"/>
                <w:lang w:val="en-US" w:eastAsia="zh-CN"/>
              </w:rPr>
              <w:t>注：</w:t>
            </w:r>
          </w:p>
          <w:p w14:paraId="31CCB6DA">
            <w:pPr>
              <w:keepNext w:val="0"/>
              <w:keepLines w:val="0"/>
              <w:pageBreakBefore w:val="0"/>
              <w:widowControl w:val="0"/>
              <w:numPr>
                <w:ilvl w:val="0"/>
                <w:numId w:val="0"/>
              </w:numPr>
              <w:kinsoku/>
              <w:wordWrap/>
              <w:overflowPunct/>
              <w:topLinePunct w:val="0"/>
              <w:autoSpaceDE w:val="0"/>
              <w:autoSpaceDN w:val="0"/>
              <w:bidi w:val="0"/>
              <w:spacing w:line="400" w:lineRule="exact"/>
              <w:ind w:leftChars="0"/>
              <w:jc w:val="left"/>
              <w:textAlignment w:val="auto"/>
              <w:rPr>
                <w:rFonts w:hint="eastAsia" w:ascii="Times New Roman" w:hAnsi="Times New Roman"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（1）合同买方需为银行总行，分行或信用卡中心等部门级合同不计分；</w:t>
            </w:r>
          </w:p>
          <w:p w14:paraId="72118409">
            <w:pPr>
              <w:keepNext w:val="0"/>
              <w:keepLines w:val="0"/>
              <w:pageBreakBefore w:val="0"/>
              <w:widowControl w:val="0"/>
              <w:numPr>
                <w:ilvl w:val="0"/>
                <w:numId w:val="0"/>
              </w:numPr>
              <w:kinsoku/>
              <w:wordWrap/>
              <w:overflowPunct/>
              <w:topLinePunct w:val="0"/>
              <w:autoSpaceDE w:val="0"/>
              <w:autoSpaceDN w:val="0"/>
              <w:bidi w:val="0"/>
              <w:spacing w:line="400" w:lineRule="exact"/>
              <w:ind w:leftChars="0"/>
              <w:jc w:val="left"/>
              <w:textAlignment w:val="auto"/>
              <w:rPr>
                <w:rFonts w:hint="eastAsia" w:ascii="Times New Roman" w:hAnsi="Times New Roman"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（2）合同卖方可不为参选人，但合同涉及的湖仓一体底座产品名称需包括但不限于“TBDS”或“TDH”或“MaxCompute”或“FusionInsight”或“MRS”等；</w:t>
            </w:r>
          </w:p>
          <w:p w14:paraId="79E9CE10">
            <w:pPr>
              <w:keepNext w:val="0"/>
              <w:keepLines w:val="0"/>
              <w:pageBreakBefore w:val="0"/>
              <w:widowControl w:val="0"/>
              <w:numPr>
                <w:ilvl w:val="0"/>
                <w:numId w:val="0"/>
              </w:numPr>
              <w:kinsoku/>
              <w:wordWrap/>
              <w:overflowPunct/>
              <w:topLinePunct w:val="0"/>
              <w:autoSpaceDE w:val="0"/>
              <w:autoSpaceDN w:val="0"/>
              <w:bidi w:val="0"/>
              <w:spacing w:line="400" w:lineRule="exact"/>
              <w:ind w:leftChars="0"/>
              <w:jc w:val="left"/>
              <w:textAlignment w:val="auto"/>
              <w:rPr>
                <w:rFonts w:hint="default" w:ascii="Times New Roman" w:hAnsi="Times New Roman"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（3）同一家银行的多个案例在“湖仓一体底座原厂商案例”中不重复计分；</w:t>
            </w:r>
          </w:p>
          <w:p w14:paraId="07946F03">
            <w:pPr>
              <w:keepNext w:val="0"/>
              <w:keepLines w:val="0"/>
              <w:pageBreakBefore w:val="0"/>
              <w:widowControl w:val="0"/>
              <w:numPr>
                <w:ilvl w:val="0"/>
                <w:numId w:val="0"/>
              </w:numPr>
              <w:kinsoku/>
              <w:wordWrap/>
              <w:overflowPunct/>
              <w:topLinePunct w:val="0"/>
              <w:autoSpaceDE w:val="0"/>
              <w:autoSpaceDN w:val="0"/>
              <w:bidi w:val="0"/>
              <w:spacing w:line="400" w:lineRule="exact"/>
              <w:ind w:leftChars="0"/>
              <w:jc w:val="left"/>
              <w:textAlignment w:val="auto"/>
              <w:rPr>
                <w:rFonts w:hint="default" w:ascii="Times New Roman" w:hAnsi="Times New Roman"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（4）若</w:t>
            </w:r>
            <w:r>
              <w:rPr>
                <w:rFonts w:hint="eastAsia" w:ascii="Times New Roman" w:hAnsi="Times New Roman" w:eastAsia="宋体" w:cs="Times New Roman"/>
                <w:color w:val="auto"/>
                <w:kern w:val="0"/>
                <w:sz w:val="21"/>
                <w:szCs w:val="21"/>
                <w:highlight w:val="none"/>
                <w:lang w:val="en-US" w:eastAsia="zh-CN"/>
              </w:rPr>
              <w:t>合同名称或合同关键页</w:t>
            </w:r>
            <w:r>
              <w:rPr>
                <w:rFonts w:hint="eastAsia" w:ascii="Times New Roman" w:hAnsi="Times New Roman" w:cs="Times New Roman"/>
                <w:color w:val="auto"/>
                <w:kern w:val="0"/>
                <w:sz w:val="21"/>
                <w:szCs w:val="21"/>
                <w:highlight w:val="none"/>
                <w:lang w:val="en-US" w:eastAsia="zh-CN"/>
              </w:rPr>
              <w:t>包含“扩容”或“升级”或“灾备”关键字，或合同类型为维保类合同，</w:t>
            </w:r>
            <w:r>
              <w:rPr>
                <w:rFonts w:hint="eastAsia" w:ascii="Times New Roman" w:hAnsi="Times New Roman" w:eastAsia="宋体" w:cs="Times New Roman"/>
                <w:color w:val="auto"/>
                <w:kern w:val="0"/>
                <w:sz w:val="21"/>
                <w:szCs w:val="21"/>
                <w:highlight w:val="none"/>
                <w:lang w:val="en-US" w:eastAsia="zh-CN"/>
              </w:rPr>
              <w:t>或合同经评标委员会认定其实质性工作内容与上述相关关键字相符</w:t>
            </w:r>
            <w:r>
              <w:rPr>
                <w:rFonts w:hint="eastAsia" w:ascii="Times New Roman" w:hAnsi="Times New Roman" w:cs="Times New Roman"/>
                <w:color w:val="auto"/>
                <w:kern w:val="0"/>
                <w:sz w:val="21"/>
                <w:szCs w:val="21"/>
                <w:highlight w:val="none"/>
                <w:lang w:val="en-US" w:eastAsia="zh-CN"/>
              </w:rPr>
              <w:t>，</w:t>
            </w:r>
            <w:r>
              <w:rPr>
                <w:rFonts w:hint="eastAsia" w:ascii="Times New Roman" w:hAnsi="Times New Roman" w:eastAsia="宋体" w:cs="Times New Roman"/>
                <w:color w:val="auto"/>
                <w:kern w:val="0"/>
                <w:sz w:val="21"/>
                <w:szCs w:val="21"/>
                <w:highlight w:val="none"/>
                <w:lang w:val="en-US" w:eastAsia="zh-CN"/>
              </w:rPr>
              <w:t>视为无效案例，不予计分</w:t>
            </w:r>
            <w:r>
              <w:rPr>
                <w:rFonts w:hint="eastAsia" w:ascii="Times New Roman" w:hAnsi="Times New Roman" w:cs="Times New Roman"/>
                <w:color w:val="auto"/>
                <w:kern w:val="0"/>
                <w:sz w:val="21"/>
                <w:szCs w:val="21"/>
                <w:highlight w:val="none"/>
                <w:lang w:val="en-US" w:eastAsia="zh-CN"/>
              </w:rPr>
              <w:t>。</w:t>
            </w:r>
          </w:p>
          <w:p w14:paraId="2B9B6E31">
            <w:pPr>
              <w:keepNext w:val="0"/>
              <w:keepLines w:val="0"/>
              <w:pageBreakBefore w:val="0"/>
              <w:widowControl w:val="0"/>
              <w:kinsoku/>
              <w:wordWrap/>
              <w:overflowPunct/>
              <w:topLinePunct w:val="0"/>
              <w:autoSpaceDE w:val="0"/>
              <w:autoSpaceDN w:val="0"/>
              <w:bidi w:val="0"/>
              <w:spacing w:line="400" w:lineRule="exact"/>
              <w:ind w:firstLine="0" w:firstLineChars="0"/>
              <w:jc w:val="left"/>
              <w:textAlignment w:val="auto"/>
              <w:rPr>
                <w:rFonts w:hint="default" w:ascii="Times New Roman" w:hAnsi="Times New Roman"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2.参选人案例（14分）</w:t>
            </w:r>
          </w:p>
          <w:p w14:paraId="0CE17243">
            <w:pPr>
              <w:keepNext w:val="0"/>
              <w:keepLines w:val="0"/>
              <w:pageBreakBefore w:val="0"/>
              <w:widowControl w:val="0"/>
              <w:kinsoku/>
              <w:wordWrap/>
              <w:overflowPunct/>
              <w:topLinePunct w:val="0"/>
              <w:autoSpaceDE w:val="0"/>
              <w:autoSpaceDN w:val="0"/>
              <w:bidi w:val="0"/>
              <w:spacing w:line="400" w:lineRule="exact"/>
              <w:ind w:firstLine="0" w:firstLineChars="0"/>
              <w:jc w:val="left"/>
              <w:textAlignment w:val="auto"/>
              <w:rPr>
                <w:rFonts w:hint="default" w:ascii="Times New Roman" w:hAnsi="Times New Roman"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自2019年1月1日起至参选截止日（以合同签订时间为准），参选人具有银行业总行级别的湖仓一体、数据湖或数据中台</w:t>
            </w:r>
            <w:r>
              <w:rPr>
                <w:rFonts w:hint="default" w:ascii="Times New Roman" w:hAnsi="Times New Roman" w:cs="Times New Roman"/>
                <w:color w:val="auto"/>
                <w:kern w:val="0"/>
                <w:sz w:val="21"/>
                <w:szCs w:val="21"/>
                <w:highlight w:val="none"/>
                <w:lang w:val="en-US" w:eastAsia="zh-CN"/>
              </w:rPr>
              <w:t>相关实施案例</w:t>
            </w:r>
            <w:r>
              <w:rPr>
                <w:rFonts w:hint="eastAsia" w:ascii="Times New Roman" w:hAnsi="Times New Roman" w:cs="Times New Roman"/>
                <w:color w:val="auto"/>
                <w:kern w:val="0"/>
                <w:sz w:val="21"/>
                <w:szCs w:val="21"/>
                <w:highlight w:val="none"/>
                <w:lang w:val="en-US" w:eastAsia="zh-CN"/>
              </w:rPr>
              <w:t>个数，最高得14分。</w:t>
            </w:r>
          </w:p>
          <w:p w14:paraId="7B74C388">
            <w:pPr>
              <w:keepNext w:val="0"/>
              <w:keepLines w:val="0"/>
              <w:pageBreakBefore w:val="0"/>
              <w:widowControl w:val="0"/>
              <w:kinsoku/>
              <w:wordWrap/>
              <w:overflowPunct/>
              <w:topLinePunct w:val="0"/>
              <w:autoSpaceDE w:val="0"/>
              <w:autoSpaceDN w:val="0"/>
              <w:bidi w:val="0"/>
              <w:spacing w:line="400" w:lineRule="exact"/>
              <w:ind w:firstLine="0" w:firstLineChars="0"/>
              <w:jc w:val="left"/>
              <w:textAlignment w:val="auto"/>
              <w:rPr>
                <w:rFonts w:hint="eastAsia" w:ascii="Times New Roman" w:hAnsi="Times New Roman"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其中：在满足参选人资格要求的3个实施案例的前提下，每增加一个国有银行总行或全国性股份制银行总行案例得2分，每增加一个城市商业银行总行或省级农信社（农商行）总行案例得1分。</w:t>
            </w:r>
          </w:p>
          <w:p w14:paraId="1617BB9A">
            <w:pPr>
              <w:keepNext w:val="0"/>
              <w:keepLines w:val="0"/>
              <w:pageBreakBefore w:val="0"/>
              <w:widowControl w:val="0"/>
              <w:kinsoku/>
              <w:wordWrap/>
              <w:overflowPunct/>
              <w:topLinePunct w:val="0"/>
              <w:autoSpaceDE w:val="0"/>
              <w:autoSpaceDN w:val="0"/>
              <w:bidi w:val="0"/>
              <w:spacing w:line="400" w:lineRule="exact"/>
              <w:ind w:firstLine="0" w:firstLineChars="0"/>
              <w:jc w:val="left"/>
              <w:textAlignment w:val="auto"/>
              <w:rPr>
                <w:rFonts w:hint="eastAsia" w:ascii="Times New Roman" w:hAnsi="Times New Roman" w:cs="Times New Roman"/>
                <w:b/>
                <w:bCs/>
                <w:color w:val="auto"/>
                <w:kern w:val="0"/>
                <w:sz w:val="21"/>
                <w:szCs w:val="21"/>
                <w:highlight w:val="none"/>
                <w:lang w:val="en-US" w:eastAsia="zh-CN"/>
              </w:rPr>
            </w:pPr>
            <w:r>
              <w:rPr>
                <w:rFonts w:hint="eastAsia" w:ascii="Times New Roman" w:hAnsi="Times New Roman" w:cs="Times New Roman"/>
                <w:b/>
                <w:bCs/>
                <w:color w:val="auto"/>
                <w:kern w:val="0"/>
                <w:sz w:val="21"/>
                <w:szCs w:val="21"/>
                <w:highlight w:val="none"/>
                <w:lang w:val="en-US" w:eastAsia="zh-CN"/>
              </w:rPr>
              <w:t>注：</w:t>
            </w:r>
          </w:p>
          <w:p w14:paraId="7A1B7ADD">
            <w:pPr>
              <w:keepNext w:val="0"/>
              <w:keepLines w:val="0"/>
              <w:pageBreakBefore w:val="0"/>
              <w:widowControl w:val="0"/>
              <w:numPr>
                <w:ilvl w:val="0"/>
                <w:numId w:val="0"/>
              </w:numPr>
              <w:kinsoku/>
              <w:wordWrap/>
              <w:overflowPunct/>
              <w:topLinePunct w:val="0"/>
              <w:autoSpaceDE w:val="0"/>
              <w:autoSpaceDN w:val="0"/>
              <w:bidi w:val="0"/>
              <w:spacing w:line="400" w:lineRule="exact"/>
              <w:ind w:leftChars="0"/>
              <w:jc w:val="left"/>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（1）合同</w:t>
            </w:r>
            <w:r>
              <w:rPr>
                <w:rFonts w:hint="eastAsia" w:ascii="Times New Roman" w:hAnsi="Times New Roman" w:cs="Times New Roman"/>
                <w:color w:val="auto"/>
                <w:kern w:val="0"/>
                <w:sz w:val="21"/>
                <w:szCs w:val="21"/>
                <w:highlight w:val="none"/>
                <w:lang w:val="en-US" w:eastAsia="zh-CN"/>
              </w:rPr>
              <w:t>买</w:t>
            </w:r>
            <w:r>
              <w:rPr>
                <w:rFonts w:hint="eastAsia" w:ascii="Times New Roman" w:hAnsi="Times New Roman" w:eastAsia="宋体" w:cs="Times New Roman"/>
                <w:color w:val="auto"/>
                <w:kern w:val="0"/>
                <w:sz w:val="21"/>
                <w:szCs w:val="21"/>
                <w:highlight w:val="none"/>
                <w:lang w:val="en-US" w:eastAsia="zh-CN"/>
              </w:rPr>
              <w:t>方需为银行总行，分行或信用卡中心等部门级合同不计分；</w:t>
            </w:r>
          </w:p>
          <w:p w14:paraId="5899BEB5">
            <w:pPr>
              <w:keepNext w:val="0"/>
              <w:keepLines w:val="0"/>
              <w:pageBreakBefore w:val="0"/>
              <w:widowControl w:val="0"/>
              <w:numPr>
                <w:ilvl w:val="0"/>
                <w:numId w:val="0"/>
              </w:numPr>
              <w:kinsoku/>
              <w:wordWrap/>
              <w:overflowPunct/>
              <w:topLinePunct w:val="0"/>
              <w:autoSpaceDE w:val="0"/>
              <w:autoSpaceDN w:val="0"/>
              <w:bidi w:val="0"/>
              <w:spacing w:line="400" w:lineRule="exact"/>
              <w:ind w:leftChars="0"/>
              <w:jc w:val="left"/>
              <w:textAlignment w:val="auto"/>
              <w:rPr>
                <w:rFonts w:hint="eastAsia" w:ascii="Times New Roman" w:hAnsi="Times New Roman"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（2）</w:t>
            </w:r>
            <w:r>
              <w:rPr>
                <w:rFonts w:hint="eastAsia" w:ascii="Times New Roman" w:hAnsi="Times New Roman" w:cs="Times New Roman"/>
                <w:color w:val="auto"/>
                <w:kern w:val="0"/>
                <w:sz w:val="21"/>
                <w:szCs w:val="21"/>
                <w:highlight w:val="none"/>
                <w:lang w:val="en-US" w:eastAsia="zh-CN"/>
              </w:rPr>
              <w:t>合同卖方需为参选人；</w:t>
            </w:r>
          </w:p>
          <w:p w14:paraId="26A925E8">
            <w:pPr>
              <w:keepNext w:val="0"/>
              <w:keepLines w:val="0"/>
              <w:pageBreakBefore w:val="0"/>
              <w:widowControl w:val="0"/>
              <w:numPr>
                <w:ilvl w:val="0"/>
                <w:numId w:val="0"/>
              </w:numPr>
              <w:kinsoku/>
              <w:wordWrap/>
              <w:overflowPunct/>
              <w:topLinePunct w:val="0"/>
              <w:autoSpaceDE w:val="0"/>
              <w:autoSpaceDN w:val="0"/>
              <w:bidi w:val="0"/>
              <w:spacing w:line="400" w:lineRule="exact"/>
              <w:ind w:leftChars="0"/>
              <w:jc w:val="left"/>
              <w:textAlignment w:val="auto"/>
              <w:rPr>
                <w:rFonts w:hint="eastAsia" w:ascii="Times New Roman" w:hAnsi="Times New Roman"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（3）</w:t>
            </w:r>
            <w:r>
              <w:rPr>
                <w:rFonts w:hint="eastAsia" w:ascii="Times New Roman" w:hAnsi="Times New Roman" w:eastAsia="宋体" w:cs="Times New Roman"/>
                <w:color w:val="auto"/>
                <w:kern w:val="0"/>
                <w:sz w:val="21"/>
                <w:szCs w:val="21"/>
                <w:highlight w:val="none"/>
                <w:lang w:val="en-US" w:eastAsia="zh-CN"/>
              </w:rPr>
              <w:t>参选人资格要求中已提供</w:t>
            </w:r>
            <w:r>
              <w:rPr>
                <w:rFonts w:hint="eastAsia" w:ascii="Times New Roman" w:hAnsi="Times New Roman" w:cs="Times New Roman"/>
                <w:color w:val="auto"/>
                <w:kern w:val="0"/>
                <w:sz w:val="21"/>
                <w:szCs w:val="21"/>
                <w:highlight w:val="none"/>
                <w:lang w:val="en-US" w:eastAsia="zh-CN"/>
              </w:rPr>
              <w:t>的3个实施案例</w:t>
            </w:r>
            <w:r>
              <w:rPr>
                <w:rFonts w:hint="eastAsia" w:ascii="Times New Roman" w:hAnsi="Times New Roman" w:eastAsia="宋体" w:cs="Times New Roman"/>
                <w:color w:val="auto"/>
                <w:kern w:val="0"/>
                <w:sz w:val="21"/>
                <w:szCs w:val="21"/>
                <w:highlight w:val="none"/>
                <w:lang w:val="en-US" w:eastAsia="zh-CN"/>
              </w:rPr>
              <w:t>不</w:t>
            </w:r>
            <w:r>
              <w:rPr>
                <w:rFonts w:hint="eastAsia" w:ascii="Times New Roman" w:hAnsi="Times New Roman" w:cs="Times New Roman"/>
                <w:color w:val="auto"/>
                <w:kern w:val="0"/>
                <w:sz w:val="21"/>
                <w:szCs w:val="21"/>
                <w:highlight w:val="none"/>
                <w:lang w:val="en-US" w:eastAsia="zh-CN"/>
              </w:rPr>
              <w:t>再</w:t>
            </w:r>
            <w:r>
              <w:rPr>
                <w:rFonts w:hint="eastAsia" w:ascii="Times New Roman" w:hAnsi="Times New Roman" w:eastAsia="宋体" w:cs="Times New Roman"/>
                <w:color w:val="auto"/>
                <w:kern w:val="0"/>
                <w:sz w:val="21"/>
                <w:szCs w:val="21"/>
                <w:highlight w:val="none"/>
                <w:lang w:val="en-US" w:eastAsia="zh-CN"/>
              </w:rPr>
              <w:t>计分；</w:t>
            </w:r>
          </w:p>
          <w:p w14:paraId="0119B8DA">
            <w:pPr>
              <w:keepNext w:val="0"/>
              <w:keepLines w:val="0"/>
              <w:pageBreakBefore w:val="0"/>
              <w:widowControl w:val="0"/>
              <w:numPr>
                <w:ilvl w:val="0"/>
                <w:numId w:val="0"/>
              </w:numPr>
              <w:kinsoku/>
              <w:wordWrap/>
              <w:overflowPunct/>
              <w:topLinePunct w:val="0"/>
              <w:autoSpaceDE w:val="0"/>
              <w:autoSpaceDN w:val="0"/>
              <w:bidi w:val="0"/>
              <w:spacing w:line="400" w:lineRule="exact"/>
              <w:ind w:leftChars="0"/>
              <w:jc w:val="left"/>
              <w:textAlignment w:val="auto"/>
              <w:rPr>
                <w:rFonts w:hint="default" w:ascii="Times New Roman" w:hAnsi="Times New Roman"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（4）同一家银行的多个案例在“参选人案例”中不重复计分；</w:t>
            </w:r>
          </w:p>
          <w:p w14:paraId="67444F41">
            <w:pPr>
              <w:keepNext w:val="0"/>
              <w:keepLines w:val="0"/>
              <w:pageBreakBefore w:val="0"/>
              <w:widowControl w:val="0"/>
              <w:kinsoku/>
              <w:wordWrap/>
              <w:overflowPunct/>
              <w:topLinePunct w:val="0"/>
              <w:autoSpaceDE w:val="0"/>
              <w:autoSpaceDN w:val="0"/>
              <w:bidi w:val="0"/>
              <w:spacing w:line="400" w:lineRule="exact"/>
              <w:ind w:firstLine="0" w:firstLineChars="0"/>
              <w:jc w:val="left"/>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w:t>
            </w:r>
            <w:r>
              <w:rPr>
                <w:rFonts w:hint="eastAsia" w:ascii="Times New Roman" w:hAnsi="Times New Roman" w:cs="Times New Roman"/>
                <w:color w:val="auto"/>
                <w:kern w:val="0"/>
                <w:sz w:val="21"/>
                <w:szCs w:val="21"/>
                <w:highlight w:val="none"/>
                <w:lang w:val="en-US" w:eastAsia="zh-CN"/>
              </w:rPr>
              <w:t>5</w:t>
            </w:r>
            <w:r>
              <w:rPr>
                <w:rFonts w:hint="eastAsia" w:ascii="Times New Roman" w:hAnsi="Times New Roman" w:eastAsia="宋体" w:cs="Times New Roman"/>
                <w:color w:val="auto"/>
                <w:kern w:val="0"/>
                <w:sz w:val="21"/>
                <w:szCs w:val="21"/>
                <w:highlight w:val="none"/>
                <w:lang w:val="en-US" w:eastAsia="zh-CN"/>
              </w:rPr>
              <w:t>）合同名称或合同关键页应包含</w:t>
            </w:r>
            <w:r>
              <w:rPr>
                <w:rFonts w:hint="eastAsia" w:ascii="Times New Roman" w:hAnsi="Times New Roman" w:cs="Times New Roman"/>
                <w:color w:val="auto"/>
                <w:kern w:val="0"/>
                <w:sz w:val="21"/>
                <w:szCs w:val="21"/>
                <w:highlight w:val="none"/>
                <w:lang w:val="en-US" w:eastAsia="zh-CN"/>
              </w:rPr>
              <w:t>“</w:t>
            </w:r>
            <w:r>
              <w:rPr>
                <w:rFonts w:hint="eastAsia" w:ascii="Times New Roman" w:hAnsi="Times New Roman" w:eastAsia="宋体" w:cs="Times New Roman"/>
                <w:color w:val="auto"/>
                <w:kern w:val="0"/>
                <w:sz w:val="21"/>
                <w:szCs w:val="21"/>
                <w:highlight w:val="none"/>
                <w:lang w:val="en-US" w:eastAsia="zh-CN"/>
              </w:rPr>
              <w:t>数据湖”</w:t>
            </w:r>
            <w:r>
              <w:rPr>
                <w:rFonts w:hint="eastAsia" w:ascii="Times New Roman" w:hAnsi="Times New Roman" w:cs="Times New Roman"/>
                <w:color w:val="auto"/>
                <w:kern w:val="0"/>
                <w:sz w:val="21"/>
                <w:szCs w:val="21"/>
                <w:highlight w:val="none"/>
                <w:lang w:val="en-US" w:eastAsia="zh-CN"/>
              </w:rPr>
              <w:t>或“</w:t>
            </w:r>
            <w:r>
              <w:rPr>
                <w:rFonts w:hint="eastAsia" w:ascii="Times New Roman" w:hAnsi="Times New Roman" w:eastAsia="宋体" w:cs="Times New Roman"/>
                <w:color w:val="auto"/>
                <w:kern w:val="0"/>
                <w:sz w:val="21"/>
                <w:szCs w:val="21"/>
                <w:highlight w:val="none"/>
                <w:lang w:val="en-US" w:eastAsia="zh-CN"/>
              </w:rPr>
              <w:t>大数据平台”</w:t>
            </w:r>
            <w:r>
              <w:rPr>
                <w:rFonts w:hint="eastAsia" w:ascii="Times New Roman" w:hAnsi="Times New Roman" w:cs="Times New Roman"/>
                <w:color w:val="auto"/>
                <w:kern w:val="0"/>
                <w:sz w:val="21"/>
                <w:szCs w:val="21"/>
                <w:highlight w:val="none"/>
                <w:lang w:val="en-US" w:eastAsia="zh-CN"/>
              </w:rPr>
              <w:t>或“</w:t>
            </w:r>
            <w:r>
              <w:rPr>
                <w:rFonts w:hint="eastAsia" w:ascii="Times New Roman" w:hAnsi="Times New Roman" w:eastAsia="宋体" w:cs="Times New Roman"/>
                <w:color w:val="auto"/>
                <w:kern w:val="0"/>
                <w:sz w:val="21"/>
                <w:szCs w:val="21"/>
                <w:highlight w:val="none"/>
                <w:lang w:val="en-US" w:eastAsia="zh-CN"/>
              </w:rPr>
              <w:t>湖仓一体”</w:t>
            </w:r>
            <w:r>
              <w:rPr>
                <w:rFonts w:hint="eastAsia" w:ascii="Times New Roman" w:hAnsi="Times New Roman" w:cs="Times New Roman"/>
                <w:color w:val="auto"/>
                <w:kern w:val="0"/>
                <w:sz w:val="21"/>
                <w:szCs w:val="21"/>
                <w:highlight w:val="none"/>
                <w:lang w:val="en-US" w:eastAsia="zh-CN"/>
              </w:rPr>
              <w:t>或“</w:t>
            </w:r>
            <w:r>
              <w:rPr>
                <w:rFonts w:hint="eastAsia" w:ascii="Times New Roman" w:hAnsi="Times New Roman" w:eastAsia="宋体" w:cs="Times New Roman"/>
                <w:color w:val="auto"/>
                <w:kern w:val="0"/>
                <w:sz w:val="21"/>
                <w:szCs w:val="21"/>
                <w:highlight w:val="none"/>
                <w:lang w:val="en-US" w:eastAsia="zh-CN"/>
              </w:rPr>
              <w:t>数据中台”关键字，或合同经评标委员会认定其实质性工作内容与上述相关关键字相符</w:t>
            </w:r>
            <w:r>
              <w:rPr>
                <w:rFonts w:hint="eastAsia" w:ascii="Times New Roman" w:hAnsi="Times New Roman" w:cs="Times New Roman"/>
                <w:color w:val="auto"/>
                <w:kern w:val="0"/>
                <w:sz w:val="21"/>
                <w:szCs w:val="21"/>
                <w:highlight w:val="none"/>
                <w:lang w:val="en-US" w:eastAsia="zh-CN"/>
              </w:rPr>
              <w:t>；</w:t>
            </w:r>
            <w:r>
              <w:rPr>
                <w:rFonts w:hint="eastAsia" w:ascii="Times New Roman" w:hAnsi="Times New Roman" w:eastAsia="宋体" w:cs="Times New Roman"/>
                <w:color w:val="auto"/>
                <w:kern w:val="0"/>
                <w:sz w:val="21"/>
                <w:szCs w:val="21"/>
                <w:highlight w:val="none"/>
                <w:lang w:val="en-US" w:eastAsia="zh-CN"/>
              </w:rPr>
              <w:t>若合同内容虽含有上述关键字，但经评标委员会认定其实质性工作内容与本项目不符的，视为无效案例，不予计分。</w:t>
            </w:r>
          </w:p>
          <w:p w14:paraId="205416F1">
            <w:pPr>
              <w:keepNext w:val="0"/>
              <w:keepLines w:val="0"/>
              <w:pageBreakBefore w:val="0"/>
              <w:widowControl w:val="0"/>
              <w:kinsoku/>
              <w:wordWrap/>
              <w:overflowPunct/>
              <w:topLinePunct w:val="0"/>
              <w:autoSpaceDE w:val="0"/>
              <w:autoSpaceDN w:val="0"/>
              <w:bidi w:val="0"/>
              <w:spacing w:line="400" w:lineRule="exact"/>
              <w:ind w:firstLine="0" w:firstLineChars="0"/>
              <w:jc w:val="left"/>
              <w:textAlignment w:val="auto"/>
              <w:rPr>
                <w:rFonts w:hint="eastAsia" w:ascii="Times New Roman" w:hAnsi="Times New Roman"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（二）服务保障承诺（2分）</w:t>
            </w:r>
          </w:p>
          <w:p w14:paraId="178AED6D">
            <w:pPr>
              <w:keepNext w:val="0"/>
              <w:keepLines w:val="0"/>
              <w:pageBreakBefore w:val="0"/>
              <w:widowControl w:val="0"/>
              <w:numPr>
                <w:ilvl w:val="0"/>
                <w:numId w:val="0"/>
              </w:numPr>
              <w:kinsoku/>
              <w:wordWrap/>
              <w:overflowPunct/>
              <w:topLinePunct w:val="0"/>
              <w:autoSpaceDE w:val="0"/>
              <w:autoSpaceDN w:val="0"/>
              <w:bidi w:val="0"/>
              <w:spacing w:line="400" w:lineRule="exact"/>
              <w:ind w:leftChars="0"/>
              <w:jc w:val="left"/>
              <w:textAlignment w:val="auto"/>
              <w:rPr>
                <w:rFonts w:hint="eastAsia" w:ascii="Times New Roman" w:hAnsi="Times New Roman"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参选人在比选文件要求的3年产品免费维保期的基础上增加免费维保期，最高可得2分。</w:t>
            </w:r>
          </w:p>
          <w:p w14:paraId="4AAFE201">
            <w:pPr>
              <w:keepNext w:val="0"/>
              <w:keepLines w:val="0"/>
              <w:pageBreakBefore w:val="0"/>
              <w:widowControl w:val="0"/>
              <w:numPr>
                <w:ilvl w:val="0"/>
                <w:numId w:val="0"/>
              </w:numPr>
              <w:kinsoku/>
              <w:wordWrap/>
              <w:overflowPunct/>
              <w:topLinePunct w:val="0"/>
              <w:autoSpaceDE w:val="0"/>
              <w:autoSpaceDN w:val="0"/>
              <w:bidi w:val="0"/>
              <w:spacing w:line="400" w:lineRule="exact"/>
              <w:ind w:leftChars="0"/>
              <w:jc w:val="left"/>
              <w:textAlignment w:val="auto"/>
              <w:rPr>
                <w:rFonts w:hint="default" w:ascii="Times New Roman" w:hAnsi="Times New Roman"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其中：湖仓一体底座每增加1年免费维保期得0.5分，最高得1分；数据作业平台每增加1年免费维保期得0.5分，最高得1分。</w:t>
            </w:r>
          </w:p>
        </w:tc>
      </w:tr>
      <w:tr w14:paraId="4A210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20" w:type="dxa"/>
            <w:vMerge w:val="continue"/>
            <w:vAlign w:val="center"/>
          </w:tcPr>
          <w:p w14:paraId="5A5102B3">
            <w:pPr>
              <w:keepNext w:val="0"/>
              <w:keepLines w:val="0"/>
              <w:pageBreakBefore w:val="0"/>
              <w:widowControl w:val="0"/>
              <w:kinsoku/>
              <w:wordWrap/>
              <w:overflowPunct/>
              <w:topLinePunct w:val="0"/>
              <w:autoSpaceDE w:val="0"/>
              <w:autoSpaceDN w:val="0"/>
              <w:bidi w:val="0"/>
              <w:spacing w:line="400" w:lineRule="exact"/>
              <w:textAlignment w:val="auto"/>
              <w:rPr>
                <w:rFonts w:hint="default" w:ascii="Times New Roman" w:hAnsi="Times New Roman" w:cs="Times New Roman"/>
                <w:color w:val="auto"/>
                <w:highlight w:val="none"/>
              </w:rPr>
            </w:pPr>
          </w:p>
        </w:tc>
        <w:tc>
          <w:tcPr>
            <w:tcW w:w="1482" w:type="dxa"/>
            <w:vMerge w:val="continue"/>
            <w:tcBorders>
              <w:left w:val="single" w:color="auto" w:sz="4" w:space="0"/>
            </w:tcBorders>
            <w:vAlign w:val="center"/>
          </w:tcPr>
          <w:p w14:paraId="2D1F6E53">
            <w:pPr>
              <w:keepNext w:val="0"/>
              <w:keepLines w:val="0"/>
              <w:pageBreakBefore w:val="0"/>
              <w:widowControl w:val="0"/>
              <w:kinsoku/>
              <w:wordWrap/>
              <w:overflowPunct/>
              <w:topLinePunct w:val="0"/>
              <w:autoSpaceDE w:val="0"/>
              <w:autoSpaceDN w:val="0"/>
              <w:bidi w:val="0"/>
              <w:spacing w:line="400" w:lineRule="exact"/>
              <w:textAlignment w:val="auto"/>
              <w:rPr>
                <w:rFonts w:hint="default" w:ascii="Times New Roman" w:hAnsi="Times New Roman" w:cs="Times New Roman"/>
                <w:color w:val="auto"/>
                <w:highlight w:val="none"/>
              </w:rPr>
            </w:pPr>
          </w:p>
        </w:tc>
        <w:tc>
          <w:tcPr>
            <w:tcW w:w="1686" w:type="dxa"/>
            <w:gridSpan w:val="2"/>
            <w:vMerge w:val="continue"/>
            <w:tcBorders>
              <w:left w:val="single" w:color="auto" w:sz="4" w:space="0"/>
            </w:tcBorders>
            <w:vAlign w:val="center"/>
          </w:tcPr>
          <w:p w14:paraId="5881CB82">
            <w:pPr>
              <w:keepNext w:val="0"/>
              <w:keepLines w:val="0"/>
              <w:pageBreakBefore w:val="0"/>
              <w:widowControl w:val="0"/>
              <w:kinsoku/>
              <w:wordWrap/>
              <w:overflowPunct/>
              <w:topLinePunct w:val="0"/>
              <w:autoSpaceDE w:val="0"/>
              <w:autoSpaceDN w:val="0"/>
              <w:bidi w:val="0"/>
              <w:spacing w:line="400" w:lineRule="exact"/>
              <w:textAlignment w:val="auto"/>
              <w:rPr>
                <w:rFonts w:hint="default" w:ascii="Times New Roman" w:hAnsi="Times New Roman" w:cs="Times New Roman"/>
                <w:color w:val="auto"/>
                <w:highlight w:val="none"/>
              </w:rPr>
            </w:pPr>
          </w:p>
        </w:tc>
        <w:tc>
          <w:tcPr>
            <w:tcW w:w="5476" w:type="dxa"/>
            <w:tcBorders>
              <w:left w:val="single" w:color="auto" w:sz="4" w:space="0"/>
            </w:tcBorders>
            <w:vAlign w:val="center"/>
          </w:tcPr>
          <w:p w14:paraId="770CA616">
            <w:pPr>
              <w:keepNext w:val="0"/>
              <w:keepLines w:val="0"/>
              <w:pageBreakBefore w:val="0"/>
              <w:widowControl w:val="0"/>
              <w:kinsoku/>
              <w:wordWrap/>
              <w:overflowPunct/>
              <w:topLinePunct w:val="0"/>
              <w:autoSpaceDE w:val="0"/>
              <w:autoSpaceDN w:val="0"/>
              <w:bidi w:val="0"/>
              <w:spacing w:line="400" w:lineRule="exact"/>
              <w:ind w:firstLine="0" w:firstLineChars="0"/>
              <w:jc w:val="left"/>
              <w:textAlignment w:val="auto"/>
              <w:rPr>
                <w:rFonts w:hint="eastAsia" w:ascii="Times New Roman" w:hAnsi="Times New Roman" w:cs="宋体"/>
                <w:color w:val="auto"/>
                <w:kern w:val="0"/>
                <w:sz w:val="21"/>
                <w:szCs w:val="21"/>
                <w:highlight w:val="none"/>
                <w:lang w:eastAsia="zh-CN"/>
              </w:rPr>
            </w:pPr>
            <w:r>
              <w:rPr>
                <w:rFonts w:hint="eastAsia" w:ascii="Times New Roman" w:hAnsi="Times New Roman" w:cs="Times New Roman"/>
                <w:color w:val="auto"/>
                <w:kern w:val="0"/>
                <w:sz w:val="21"/>
                <w:szCs w:val="21"/>
                <w:highlight w:val="none"/>
                <w:lang w:val="en-US" w:eastAsia="zh-CN"/>
              </w:rPr>
              <w:t>三、技术部分</w:t>
            </w:r>
            <w:r>
              <w:rPr>
                <w:rFonts w:hint="eastAsia" w:ascii="Times New Roman" w:hAnsi="Times New Roman" w:cs="宋体"/>
                <w:color w:val="auto"/>
                <w:kern w:val="0"/>
                <w:sz w:val="21"/>
                <w:szCs w:val="21"/>
                <w:highlight w:val="none"/>
              </w:rPr>
              <w:t>评分规则</w:t>
            </w:r>
            <w:r>
              <w:rPr>
                <w:rFonts w:hint="eastAsia" w:ascii="Times New Roman" w:hAnsi="Times New Roman" w:cs="宋体"/>
                <w:color w:val="auto"/>
                <w:kern w:val="0"/>
                <w:sz w:val="21"/>
                <w:szCs w:val="21"/>
                <w:highlight w:val="none"/>
                <w:lang w:eastAsia="zh-CN"/>
              </w:rPr>
              <w:t>（</w:t>
            </w:r>
            <w:r>
              <w:rPr>
                <w:rFonts w:hint="eastAsia" w:ascii="Times New Roman" w:hAnsi="Times New Roman" w:cs="宋体"/>
                <w:color w:val="auto"/>
                <w:kern w:val="0"/>
                <w:sz w:val="21"/>
                <w:szCs w:val="21"/>
                <w:highlight w:val="none"/>
                <w:lang w:val="en-US" w:eastAsia="zh-CN"/>
              </w:rPr>
              <w:t>42分</w:t>
            </w:r>
            <w:r>
              <w:rPr>
                <w:rFonts w:hint="eastAsia" w:ascii="Times New Roman" w:hAnsi="Times New Roman" w:cs="宋体"/>
                <w:color w:val="auto"/>
                <w:kern w:val="0"/>
                <w:sz w:val="21"/>
                <w:szCs w:val="21"/>
                <w:highlight w:val="none"/>
                <w:lang w:eastAsia="zh-CN"/>
              </w:rPr>
              <w:t>）</w:t>
            </w:r>
          </w:p>
          <w:p w14:paraId="5E21E88E">
            <w:pPr>
              <w:keepNext w:val="0"/>
              <w:keepLines w:val="0"/>
              <w:pageBreakBefore w:val="0"/>
              <w:widowControl w:val="0"/>
              <w:kinsoku/>
              <w:wordWrap/>
              <w:overflowPunct/>
              <w:topLinePunct w:val="0"/>
              <w:autoSpaceDE w:val="0"/>
              <w:autoSpaceDN w:val="0"/>
              <w:bidi w:val="0"/>
              <w:spacing w:line="400" w:lineRule="exact"/>
              <w:ind w:firstLine="0" w:firstLineChars="0"/>
              <w:jc w:val="left"/>
              <w:textAlignment w:val="auto"/>
              <w:rPr>
                <w:rFonts w:hint="eastAsia" w:ascii="Times New Roman" w:hAnsi="Times New Roman" w:cs="宋体"/>
                <w:color w:val="auto"/>
                <w:kern w:val="0"/>
                <w:sz w:val="21"/>
                <w:szCs w:val="21"/>
                <w:highlight w:val="none"/>
                <w:lang w:val="en-US" w:eastAsia="zh-CN"/>
              </w:rPr>
            </w:pPr>
            <w:r>
              <w:rPr>
                <w:rFonts w:hint="eastAsia" w:ascii="Times New Roman" w:hAnsi="Times New Roman" w:cs="宋体"/>
                <w:color w:val="auto"/>
                <w:kern w:val="0"/>
                <w:sz w:val="21"/>
                <w:szCs w:val="21"/>
                <w:highlight w:val="none"/>
                <w:lang w:val="en-US" w:eastAsia="zh-CN"/>
              </w:rPr>
              <w:t>（一）项目方案（12分）</w:t>
            </w:r>
          </w:p>
          <w:p w14:paraId="1FBC44D2">
            <w:pPr>
              <w:keepNext w:val="0"/>
              <w:keepLines w:val="0"/>
              <w:pageBreakBefore w:val="0"/>
              <w:widowControl w:val="0"/>
              <w:kinsoku/>
              <w:wordWrap/>
              <w:overflowPunct/>
              <w:topLinePunct w:val="0"/>
              <w:autoSpaceDE w:val="0"/>
              <w:autoSpaceDN w:val="0"/>
              <w:bidi w:val="0"/>
              <w:spacing w:line="400" w:lineRule="exact"/>
              <w:ind w:firstLine="0" w:firstLineChars="0"/>
              <w:jc w:val="left"/>
              <w:textAlignment w:val="auto"/>
              <w:rPr>
                <w:rFonts w:hint="eastAsia" w:ascii="Times New Roman" w:hAnsi="Times New Roman" w:cs="宋体"/>
                <w:color w:val="auto"/>
                <w:kern w:val="0"/>
                <w:sz w:val="21"/>
                <w:szCs w:val="21"/>
                <w:highlight w:val="none"/>
                <w:lang w:val="en-US" w:eastAsia="zh-CN"/>
              </w:rPr>
            </w:pPr>
            <w:r>
              <w:rPr>
                <w:rFonts w:hint="eastAsia" w:ascii="Times New Roman" w:hAnsi="Times New Roman" w:cs="宋体"/>
                <w:color w:val="auto"/>
                <w:kern w:val="0"/>
                <w:sz w:val="21"/>
                <w:szCs w:val="21"/>
                <w:highlight w:val="none"/>
                <w:lang w:val="en-US" w:eastAsia="zh-CN"/>
              </w:rPr>
              <w:t>根据参选人提供的项目实施方案、售后服务方案、培训方案、项目组成员简历信息，从项目实施方案质量、售后服务的覆盖度、培训方案的合理性、</w:t>
            </w:r>
            <w:r>
              <w:rPr>
                <w:rFonts w:hint="eastAsia" w:ascii="Times New Roman" w:hAnsi="Times New Roman" w:cs="Times New Roman"/>
                <w:color w:val="auto"/>
                <w:kern w:val="0"/>
                <w:sz w:val="21"/>
                <w:szCs w:val="21"/>
                <w:highlight w:val="none"/>
                <w:lang w:val="en-US" w:eastAsia="zh-CN"/>
              </w:rPr>
              <w:t>项目组人员情况</w:t>
            </w:r>
            <w:r>
              <w:rPr>
                <w:rFonts w:hint="eastAsia" w:ascii="Times New Roman" w:hAnsi="Times New Roman" w:cs="宋体"/>
                <w:color w:val="auto"/>
                <w:kern w:val="0"/>
                <w:sz w:val="21"/>
                <w:szCs w:val="21"/>
                <w:highlight w:val="none"/>
                <w:lang w:val="en-US" w:eastAsia="zh-CN"/>
              </w:rPr>
              <w:t>角度，由评标委员会综合评审并进行横向对比后打分，具体评分规则如下：</w:t>
            </w:r>
          </w:p>
          <w:p w14:paraId="6AF7A4C7">
            <w:pPr>
              <w:keepNext w:val="0"/>
              <w:keepLines w:val="0"/>
              <w:pageBreakBefore w:val="0"/>
              <w:widowControl w:val="0"/>
              <w:numPr>
                <w:ilvl w:val="0"/>
                <w:numId w:val="37"/>
              </w:numPr>
              <w:kinsoku/>
              <w:wordWrap/>
              <w:overflowPunct/>
              <w:topLinePunct w:val="0"/>
              <w:autoSpaceDE w:val="0"/>
              <w:autoSpaceDN w:val="0"/>
              <w:bidi w:val="0"/>
              <w:adjustRightInd/>
              <w:snapToGrid/>
              <w:spacing w:line="400" w:lineRule="exact"/>
              <w:ind w:firstLine="0" w:firstLineChars="0"/>
              <w:jc w:val="left"/>
              <w:textAlignment w:val="auto"/>
              <w:rPr>
                <w:rFonts w:hint="eastAsia" w:ascii="Times New Roman" w:hAnsi="Times New Roman" w:cs="宋体"/>
                <w:color w:val="auto"/>
                <w:kern w:val="0"/>
                <w:sz w:val="21"/>
                <w:szCs w:val="21"/>
                <w:highlight w:val="none"/>
                <w:lang w:val="en-US" w:eastAsia="zh-CN"/>
              </w:rPr>
            </w:pPr>
            <w:r>
              <w:rPr>
                <w:rFonts w:hint="eastAsia" w:ascii="Times New Roman" w:hAnsi="Times New Roman" w:cs="宋体"/>
                <w:color w:val="auto"/>
                <w:kern w:val="0"/>
                <w:sz w:val="21"/>
                <w:szCs w:val="21"/>
                <w:highlight w:val="none"/>
                <w:lang w:val="en-US" w:eastAsia="zh-CN"/>
              </w:rPr>
              <w:t>优（9-12分）：项目实施方案内容完整、针对性强，售后服务覆盖面广，培训方案优于比选人的要求，提供的项目组人员数量、专业素质、实施经验优于比选人的要求；</w:t>
            </w:r>
          </w:p>
          <w:p w14:paraId="7545EAC4">
            <w:pPr>
              <w:keepNext w:val="0"/>
              <w:keepLines w:val="0"/>
              <w:pageBreakBefore w:val="0"/>
              <w:widowControl w:val="0"/>
              <w:numPr>
                <w:ilvl w:val="0"/>
                <w:numId w:val="37"/>
              </w:numPr>
              <w:kinsoku/>
              <w:wordWrap/>
              <w:overflowPunct/>
              <w:topLinePunct w:val="0"/>
              <w:autoSpaceDE w:val="0"/>
              <w:autoSpaceDN w:val="0"/>
              <w:bidi w:val="0"/>
              <w:adjustRightInd/>
              <w:snapToGrid/>
              <w:spacing w:line="400" w:lineRule="exact"/>
              <w:ind w:firstLine="0" w:firstLineChars="0"/>
              <w:jc w:val="left"/>
              <w:textAlignment w:val="auto"/>
              <w:rPr>
                <w:rFonts w:hint="eastAsia" w:ascii="Times New Roman" w:hAnsi="Times New Roman" w:cs="宋体"/>
                <w:color w:val="auto"/>
                <w:kern w:val="0"/>
                <w:sz w:val="21"/>
                <w:szCs w:val="21"/>
                <w:highlight w:val="none"/>
                <w:lang w:val="en-US" w:eastAsia="zh-CN"/>
              </w:rPr>
            </w:pPr>
            <w:r>
              <w:rPr>
                <w:rFonts w:hint="eastAsia" w:ascii="Times New Roman" w:hAnsi="Times New Roman" w:cs="宋体"/>
                <w:color w:val="auto"/>
                <w:kern w:val="0"/>
                <w:sz w:val="21"/>
                <w:szCs w:val="21"/>
                <w:highlight w:val="none"/>
                <w:lang w:val="en-US" w:eastAsia="zh-CN"/>
              </w:rPr>
              <w:t>良（5-8分）：项目实施方案内容基本完整、针对性一般，售后服务覆盖面一般，培训方案满足比选人的要求，提供的项目组人员数量、专业素质、实施经验满足比选人的要求；</w:t>
            </w:r>
          </w:p>
          <w:p w14:paraId="0503D5FC">
            <w:pPr>
              <w:keepNext w:val="0"/>
              <w:keepLines w:val="0"/>
              <w:pageBreakBefore w:val="0"/>
              <w:widowControl w:val="0"/>
              <w:numPr>
                <w:ilvl w:val="0"/>
                <w:numId w:val="37"/>
              </w:numPr>
              <w:kinsoku/>
              <w:wordWrap/>
              <w:overflowPunct/>
              <w:topLinePunct w:val="0"/>
              <w:autoSpaceDE w:val="0"/>
              <w:autoSpaceDN w:val="0"/>
              <w:bidi w:val="0"/>
              <w:adjustRightInd/>
              <w:snapToGrid/>
              <w:spacing w:line="400" w:lineRule="exact"/>
              <w:ind w:firstLine="0" w:firstLineChars="0"/>
              <w:jc w:val="left"/>
              <w:textAlignment w:val="auto"/>
              <w:rPr>
                <w:rFonts w:hint="eastAsia" w:ascii="Times New Roman" w:hAnsi="Times New Roman" w:cs="宋体"/>
                <w:color w:val="auto"/>
                <w:kern w:val="0"/>
                <w:sz w:val="21"/>
                <w:szCs w:val="21"/>
                <w:highlight w:val="none"/>
                <w:lang w:val="en-US" w:eastAsia="zh-CN"/>
              </w:rPr>
            </w:pPr>
            <w:r>
              <w:rPr>
                <w:rFonts w:hint="eastAsia" w:ascii="Times New Roman" w:hAnsi="Times New Roman" w:cs="宋体"/>
                <w:color w:val="auto"/>
                <w:kern w:val="0"/>
                <w:sz w:val="21"/>
                <w:szCs w:val="21"/>
                <w:highlight w:val="none"/>
                <w:lang w:val="en-US" w:eastAsia="zh-CN"/>
              </w:rPr>
              <w:t>一般（0-4分）：项目实施方案内容不完整、针对性弱，售后服务覆盖面小，培训方案部分满足比选人的要求，提供的项目组人员数量、专业素质、实施经验部分满足比选人的要求；</w:t>
            </w:r>
          </w:p>
          <w:p w14:paraId="6D64A1CC">
            <w:pPr>
              <w:keepNext w:val="0"/>
              <w:keepLines w:val="0"/>
              <w:pageBreakBefore w:val="0"/>
              <w:widowControl w:val="0"/>
              <w:numPr>
                <w:ilvl w:val="0"/>
                <w:numId w:val="37"/>
              </w:numPr>
              <w:kinsoku/>
              <w:wordWrap/>
              <w:overflowPunct/>
              <w:topLinePunct w:val="0"/>
              <w:autoSpaceDE w:val="0"/>
              <w:autoSpaceDN w:val="0"/>
              <w:bidi w:val="0"/>
              <w:adjustRightInd/>
              <w:snapToGrid/>
              <w:spacing w:line="400" w:lineRule="exact"/>
              <w:ind w:firstLine="0" w:firstLineChars="0"/>
              <w:jc w:val="left"/>
              <w:textAlignment w:val="auto"/>
              <w:rPr>
                <w:rFonts w:hint="eastAsia" w:ascii="Times New Roman" w:hAnsi="Times New Roman" w:cs="宋体"/>
                <w:color w:val="auto"/>
                <w:kern w:val="0"/>
                <w:sz w:val="21"/>
                <w:szCs w:val="21"/>
                <w:highlight w:val="none"/>
                <w:lang w:val="en-US" w:eastAsia="zh-CN"/>
              </w:rPr>
            </w:pPr>
            <w:r>
              <w:rPr>
                <w:rFonts w:hint="eastAsia" w:ascii="Times New Roman" w:hAnsi="Times New Roman" w:cs="宋体"/>
                <w:color w:val="auto"/>
                <w:kern w:val="0"/>
                <w:sz w:val="21"/>
                <w:szCs w:val="21"/>
                <w:highlight w:val="none"/>
                <w:lang w:val="en-US" w:eastAsia="zh-CN"/>
              </w:rPr>
              <w:t>未提交或缺少相关文件得0分。</w:t>
            </w:r>
          </w:p>
          <w:p w14:paraId="00530770">
            <w:pPr>
              <w:keepNext w:val="0"/>
              <w:keepLines w:val="0"/>
              <w:pageBreakBefore w:val="0"/>
              <w:widowControl w:val="0"/>
              <w:numPr>
                <w:ilvl w:val="0"/>
                <w:numId w:val="38"/>
              </w:numPr>
              <w:kinsoku/>
              <w:wordWrap/>
              <w:overflowPunct/>
              <w:topLinePunct w:val="0"/>
              <w:autoSpaceDE w:val="0"/>
              <w:autoSpaceDN w:val="0"/>
              <w:bidi w:val="0"/>
              <w:spacing w:line="400" w:lineRule="exact"/>
              <w:ind w:firstLine="0" w:firstLineChars="0"/>
              <w:jc w:val="left"/>
              <w:textAlignment w:val="auto"/>
              <w:rPr>
                <w:rFonts w:hint="eastAsia" w:ascii="Times New Roman" w:hAnsi="Times New Roman" w:cs="宋体"/>
                <w:color w:val="auto"/>
                <w:kern w:val="0"/>
                <w:sz w:val="21"/>
                <w:szCs w:val="21"/>
                <w:highlight w:val="none"/>
                <w:lang w:val="en-US" w:eastAsia="zh-CN"/>
              </w:rPr>
            </w:pPr>
            <w:r>
              <w:rPr>
                <w:rFonts w:hint="eastAsia" w:ascii="Times New Roman" w:hAnsi="Times New Roman" w:cs="宋体"/>
                <w:color w:val="auto"/>
                <w:kern w:val="0"/>
                <w:sz w:val="21"/>
                <w:szCs w:val="21"/>
                <w:highlight w:val="none"/>
                <w:lang w:val="en-US" w:eastAsia="zh-CN"/>
              </w:rPr>
              <w:t>POC测试（30分）</w:t>
            </w:r>
          </w:p>
          <w:p w14:paraId="2175B16E">
            <w:pPr>
              <w:keepNext w:val="0"/>
              <w:keepLines w:val="0"/>
              <w:pageBreakBefore w:val="0"/>
              <w:widowControl w:val="0"/>
              <w:numPr>
                <w:ilvl w:val="0"/>
                <w:numId w:val="0"/>
              </w:numPr>
              <w:kinsoku/>
              <w:wordWrap/>
              <w:overflowPunct/>
              <w:topLinePunct w:val="0"/>
              <w:autoSpaceDE w:val="0"/>
              <w:autoSpaceDN w:val="0"/>
              <w:bidi w:val="0"/>
              <w:spacing w:line="400" w:lineRule="exact"/>
              <w:jc w:val="left"/>
              <w:textAlignment w:val="auto"/>
              <w:rPr>
                <w:rFonts w:hint="default" w:ascii="Times New Roman" w:hAnsi="Times New Roman" w:cs="宋体"/>
                <w:color w:val="auto"/>
                <w:kern w:val="0"/>
                <w:sz w:val="21"/>
                <w:szCs w:val="21"/>
                <w:highlight w:val="none"/>
                <w:lang w:val="en-US" w:eastAsia="zh-CN"/>
              </w:rPr>
            </w:pPr>
            <w:r>
              <w:rPr>
                <w:rFonts w:hint="default" w:ascii="Times New Roman" w:hAnsi="Times New Roman" w:cs="宋体"/>
                <w:color w:val="auto"/>
                <w:kern w:val="0"/>
                <w:sz w:val="21"/>
                <w:szCs w:val="21"/>
                <w:highlight w:val="none"/>
                <w:lang w:val="en-US" w:eastAsia="zh-CN"/>
              </w:rPr>
              <w:t>根据</w:t>
            </w:r>
            <w:r>
              <w:rPr>
                <w:rFonts w:hint="eastAsia" w:ascii="Times New Roman" w:hAnsi="Times New Roman" w:cs="宋体"/>
                <w:color w:val="auto"/>
                <w:kern w:val="0"/>
                <w:sz w:val="21"/>
                <w:szCs w:val="21"/>
                <w:highlight w:val="none"/>
                <w:lang w:val="en-US" w:eastAsia="zh-CN"/>
              </w:rPr>
              <w:t>参选人</w:t>
            </w:r>
            <w:r>
              <w:rPr>
                <w:rFonts w:hint="default" w:ascii="Times New Roman" w:hAnsi="Times New Roman" w:cs="宋体"/>
                <w:color w:val="auto"/>
                <w:kern w:val="0"/>
                <w:sz w:val="21"/>
                <w:szCs w:val="21"/>
                <w:highlight w:val="none"/>
                <w:lang w:val="en-US" w:eastAsia="zh-CN"/>
              </w:rPr>
              <w:t>POC测试</w:t>
            </w:r>
            <w:r>
              <w:rPr>
                <w:rFonts w:hint="eastAsia" w:ascii="Times New Roman" w:hAnsi="Times New Roman" w:cs="宋体"/>
                <w:color w:val="auto"/>
                <w:kern w:val="0"/>
                <w:sz w:val="21"/>
                <w:szCs w:val="21"/>
                <w:highlight w:val="none"/>
                <w:lang w:val="en-US" w:eastAsia="zh-CN"/>
              </w:rPr>
              <w:t>得分</w:t>
            </w:r>
            <w:r>
              <w:rPr>
                <w:rFonts w:hint="default" w:ascii="Times New Roman" w:hAnsi="Times New Roman" w:cs="宋体"/>
                <w:color w:val="auto"/>
                <w:kern w:val="0"/>
                <w:sz w:val="21"/>
                <w:szCs w:val="21"/>
                <w:highlight w:val="none"/>
                <w:lang w:val="en-US" w:eastAsia="zh-CN"/>
              </w:rPr>
              <w:t>*0.3（保留两位小数，4舍5入）即为本项得分</w:t>
            </w:r>
            <w:r>
              <w:rPr>
                <w:rFonts w:hint="eastAsia" w:ascii="Times New Roman" w:hAnsi="Times New Roman" w:cs="宋体"/>
                <w:color w:val="auto"/>
                <w:kern w:val="0"/>
                <w:sz w:val="21"/>
                <w:szCs w:val="21"/>
                <w:highlight w:val="none"/>
                <w:lang w:val="en-US" w:eastAsia="zh-CN"/>
              </w:rPr>
              <w:t>，未参加POC测试得0分</w:t>
            </w:r>
            <w:r>
              <w:rPr>
                <w:rFonts w:hint="default" w:ascii="Times New Roman" w:hAnsi="Times New Roman" w:cs="宋体"/>
                <w:color w:val="auto"/>
                <w:kern w:val="0"/>
                <w:sz w:val="21"/>
                <w:szCs w:val="21"/>
                <w:highlight w:val="none"/>
                <w:lang w:val="en-US" w:eastAsia="zh-CN"/>
              </w:rPr>
              <w:t>。</w:t>
            </w:r>
          </w:p>
        </w:tc>
      </w:tr>
      <w:tr w14:paraId="3D2DD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820" w:type="dxa"/>
            <w:vAlign w:val="center"/>
          </w:tcPr>
          <w:p w14:paraId="7275E87F">
            <w:pPr>
              <w:keepNext w:val="0"/>
              <w:keepLines w:val="0"/>
              <w:pageBreakBefore w:val="0"/>
              <w:widowControl w:val="0"/>
              <w:kinsoku/>
              <w:wordWrap/>
              <w:overflowPunct/>
              <w:topLinePunct w:val="0"/>
              <w:autoSpaceDE w:val="0"/>
              <w:autoSpaceDN w:val="0"/>
              <w:bidi w:val="0"/>
              <w:spacing w:line="400" w:lineRule="exact"/>
              <w:ind w:firstLine="0" w:firstLineChars="0"/>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 w:val="21"/>
                <w:szCs w:val="21"/>
                <w:highlight w:val="none"/>
              </w:rPr>
              <w:t>3</w:t>
            </w:r>
          </w:p>
        </w:tc>
        <w:tc>
          <w:tcPr>
            <w:tcW w:w="1482" w:type="dxa"/>
            <w:tcBorders>
              <w:left w:val="single" w:color="auto" w:sz="4" w:space="0"/>
            </w:tcBorders>
            <w:vAlign w:val="center"/>
          </w:tcPr>
          <w:p w14:paraId="63A7635F">
            <w:pPr>
              <w:keepNext w:val="0"/>
              <w:keepLines w:val="0"/>
              <w:pageBreakBefore w:val="0"/>
              <w:widowControl w:val="0"/>
              <w:kinsoku/>
              <w:wordWrap/>
              <w:overflowPunct/>
              <w:topLinePunct w:val="0"/>
              <w:autoSpaceDE w:val="0"/>
              <w:autoSpaceDN w:val="0"/>
              <w:bidi w:val="0"/>
              <w:spacing w:line="400" w:lineRule="exact"/>
              <w:ind w:firstLine="0" w:firstLineChars="0"/>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 w:val="21"/>
                <w:szCs w:val="21"/>
                <w:highlight w:val="none"/>
              </w:rPr>
              <w:t>评审程序</w:t>
            </w:r>
          </w:p>
        </w:tc>
        <w:tc>
          <w:tcPr>
            <w:tcW w:w="7162" w:type="dxa"/>
            <w:gridSpan w:val="3"/>
            <w:tcBorders>
              <w:left w:val="single" w:color="auto" w:sz="4" w:space="0"/>
            </w:tcBorders>
          </w:tcPr>
          <w:p w14:paraId="4BA6F5C7">
            <w:pPr>
              <w:keepNext w:val="0"/>
              <w:keepLines w:val="0"/>
              <w:pageBreakBefore w:val="0"/>
              <w:widowControl w:val="0"/>
              <w:kinsoku/>
              <w:wordWrap/>
              <w:overflowPunct/>
              <w:topLinePunct w:val="0"/>
              <w:autoSpaceDE w:val="0"/>
              <w:autoSpaceDN w:val="0"/>
              <w:bidi w:val="0"/>
              <w:spacing w:line="400" w:lineRule="exact"/>
              <w:ind w:firstLine="0" w:firstLineChars="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1.评审委员会在初步评审前，按本章第3.1.3项的规定对参选报价有算术性错误的进行算术性错误修正。</w:t>
            </w:r>
          </w:p>
          <w:p w14:paraId="334C80F5">
            <w:pPr>
              <w:spacing w:line="400" w:lineRule="exact"/>
              <w:ind w:left="0" w:leftChars="0"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2.评审委员会对参选文件进行初步评审。</w:t>
            </w:r>
          </w:p>
          <w:p w14:paraId="6BC36D35">
            <w:pPr>
              <w:keepNext w:val="0"/>
              <w:keepLines w:val="0"/>
              <w:pageBreakBefore w:val="0"/>
              <w:widowControl w:val="0"/>
              <w:kinsoku/>
              <w:wordWrap/>
              <w:overflowPunct/>
              <w:topLinePunct w:val="0"/>
              <w:autoSpaceDE w:val="0"/>
              <w:autoSpaceDN w:val="0"/>
              <w:bidi w:val="0"/>
              <w:spacing w:line="400" w:lineRule="exact"/>
              <w:ind w:firstLine="0" w:firstLineChars="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3.评审委员会对初步评审合格的参选文件进行详细评审，主观评审部分由各专家独立评审打分，最后取平均得分，保留2位小数。</w:t>
            </w:r>
          </w:p>
          <w:p w14:paraId="000CC1CA">
            <w:pPr>
              <w:keepNext w:val="0"/>
              <w:keepLines w:val="0"/>
              <w:pageBreakBefore w:val="0"/>
              <w:widowControl w:val="0"/>
              <w:kinsoku/>
              <w:wordWrap/>
              <w:overflowPunct/>
              <w:topLinePunct w:val="0"/>
              <w:autoSpaceDE w:val="0"/>
              <w:autoSpaceDN w:val="0"/>
              <w:bidi w:val="0"/>
              <w:spacing w:line="400" w:lineRule="exact"/>
              <w:ind w:firstLine="0" w:firstLineChars="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4.评审委员会汇总详细评审得分，根据详细评审得分由高至低进行排序，推荐1-3家合格的中选候选人。并依次为第一、二、三中选候选人。</w:t>
            </w:r>
          </w:p>
        </w:tc>
      </w:tr>
      <w:tr w14:paraId="34268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302" w:type="dxa"/>
            <w:gridSpan w:val="2"/>
            <w:vAlign w:val="center"/>
          </w:tcPr>
          <w:p w14:paraId="7167EEEE">
            <w:pPr>
              <w:keepNext w:val="0"/>
              <w:keepLines w:val="0"/>
              <w:pageBreakBefore w:val="0"/>
              <w:widowControl w:val="0"/>
              <w:kinsoku/>
              <w:wordWrap/>
              <w:overflowPunct/>
              <w:topLinePunct w:val="0"/>
              <w:autoSpaceDE w:val="0"/>
              <w:autoSpaceDN w:val="0"/>
              <w:bidi w:val="0"/>
              <w:spacing w:line="400" w:lineRule="exact"/>
              <w:ind w:firstLine="0" w:firstLineChars="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3.2.3</w:t>
            </w:r>
          </w:p>
        </w:tc>
        <w:tc>
          <w:tcPr>
            <w:tcW w:w="1511" w:type="dxa"/>
            <w:tcBorders>
              <w:left w:val="single" w:color="auto" w:sz="4" w:space="0"/>
            </w:tcBorders>
            <w:vAlign w:val="center"/>
          </w:tcPr>
          <w:p w14:paraId="1278E68E">
            <w:pPr>
              <w:keepNext w:val="0"/>
              <w:keepLines w:val="0"/>
              <w:pageBreakBefore w:val="0"/>
              <w:widowControl w:val="0"/>
              <w:kinsoku/>
              <w:wordWrap/>
              <w:overflowPunct/>
              <w:topLinePunct w:val="0"/>
              <w:autoSpaceDE w:val="0"/>
              <w:autoSpaceDN w:val="0"/>
              <w:bidi w:val="0"/>
              <w:spacing w:line="400" w:lineRule="exact"/>
              <w:ind w:firstLine="0" w:firstLineChars="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参选人得分</w:t>
            </w:r>
          </w:p>
        </w:tc>
        <w:tc>
          <w:tcPr>
            <w:tcW w:w="5651" w:type="dxa"/>
            <w:gridSpan w:val="2"/>
            <w:tcBorders>
              <w:left w:val="single" w:color="auto" w:sz="4" w:space="0"/>
            </w:tcBorders>
            <w:vAlign w:val="center"/>
          </w:tcPr>
          <w:p w14:paraId="451363EC">
            <w:pPr>
              <w:keepNext w:val="0"/>
              <w:keepLines w:val="0"/>
              <w:pageBreakBefore w:val="0"/>
              <w:widowControl w:val="0"/>
              <w:kinsoku/>
              <w:wordWrap/>
              <w:overflowPunct/>
              <w:topLinePunct w:val="0"/>
              <w:autoSpaceDE w:val="0"/>
              <w:autoSpaceDN w:val="0"/>
              <w:bidi w:val="0"/>
              <w:spacing w:line="400" w:lineRule="exact"/>
              <w:ind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参选人得分=参选报价得分+商务部分得分+技术</w:t>
            </w:r>
            <w:r>
              <w:rPr>
                <w:rFonts w:hint="eastAsia" w:ascii="Times New Roman" w:hAnsi="Times New Roman" w:cs="Times New Roman"/>
                <w:color w:val="auto"/>
                <w:sz w:val="21"/>
                <w:szCs w:val="21"/>
                <w:highlight w:val="none"/>
                <w:lang w:val="en-US" w:eastAsia="zh-CN"/>
              </w:rPr>
              <w:t>部分</w:t>
            </w:r>
            <w:r>
              <w:rPr>
                <w:rFonts w:hint="default" w:ascii="Times New Roman" w:hAnsi="Times New Roman" w:cs="Times New Roman"/>
                <w:color w:val="auto"/>
                <w:sz w:val="21"/>
                <w:szCs w:val="21"/>
                <w:highlight w:val="none"/>
              </w:rPr>
              <w:t>得分</w:t>
            </w:r>
          </w:p>
        </w:tc>
      </w:tr>
      <w:bookmarkEnd w:id="82"/>
    </w:tbl>
    <w:p w14:paraId="52788632">
      <w:pPr>
        <w:rPr>
          <w:rFonts w:hint="default" w:ascii="Times New Roman" w:hAnsi="Times New Roman" w:cs="Times New Roman"/>
          <w:snapToGrid w:val="0"/>
          <w:color w:val="auto"/>
          <w:sz w:val="21"/>
          <w:szCs w:val="21"/>
          <w:highlight w:val="none"/>
        </w:rPr>
      </w:pPr>
      <w:bookmarkStart w:id="83" w:name="_Toc636"/>
      <w:bookmarkStart w:id="84" w:name="_Toc21111"/>
      <w:r>
        <w:rPr>
          <w:rFonts w:hint="default" w:ascii="Times New Roman" w:hAnsi="Times New Roman" w:cs="Times New Roman"/>
          <w:snapToGrid w:val="0"/>
          <w:color w:val="auto"/>
          <w:sz w:val="21"/>
          <w:szCs w:val="21"/>
          <w:highlight w:val="none"/>
        </w:rPr>
        <w:br w:type="page"/>
      </w:r>
    </w:p>
    <w:p w14:paraId="377CFE42">
      <w:pPr>
        <w:pStyle w:val="3"/>
        <w:rPr>
          <w:rFonts w:hint="default" w:ascii="Times New Roman" w:hAnsi="Times New Roman" w:cs="Times New Roman"/>
          <w:color w:val="auto"/>
          <w:highlight w:val="none"/>
        </w:rPr>
      </w:pPr>
      <w:bookmarkStart w:id="85" w:name="_Toc27234"/>
      <w:bookmarkStart w:id="86" w:name="_Toc18283"/>
      <w:bookmarkStart w:id="87" w:name="_Toc28684"/>
      <w:r>
        <w:rPr>
          <w:rFonts w:hint="default" w:ascii="Times New Roman" w:hAnsi="Times New Roman" w:cs="Times New Roman"/>
          <w:color w:val="auto"/>
          <w:highlight w:val="none"/>
        </w:rPr>
        <w:t>1. 评审方法</w:t>
      </w:r>
      <w:bookmarkEnd w:id="83"/>
      <w:bookmarkEnd w:id="84"/>
      <w:bookmarkEnd w:id="85"/>
      <w:bookmarkEnd w:id="86"/>
      <w:bookmarkEnd w:id="87"/>
    </w:p>
    <w:p w14:paraId="109B0FC2">
      <w:pPr>
        <w:rPr>
          <w:rFonts w:hint="default" w:ascii="Times New Roman" w:hAnsi="Times New Roman" w:cs="Times New Roman"/>
          <w:color w:val="auto"/>
          <w:highlight w:val="none"/>
        </w:rPr>
      </w:pPr>
      <w:bookmarkStart w:id="88" w:name="_Toc440022827"/>
      <w:bookmarkStart w:id="89" w:name="_Toc277082619"/>
      <w:bookmarkStart w:id="90" w:name="_Toc377067339"/>
      <w:bookmarkStart w:id="91" w:name="_Toc200513199"/>
      <w:bookmarkStart w:id="92" w:name="_Toc377115419"/>
      <w:bookmarkStart w:id="93" w:name="_Toc330569206"/>
      <w:bookmarkStart w:id="94" w:name="_Toc287620752"/>
      <w:bookmarkStart w:id="95" w:name="_Toc287607813"/>
      <w:bookmarkStart w:id="96" w:name="_Toc224103385"/>
      <w:bookmarkStart w:id="97" w:name="_Toc376114120"/>
      <w:bookmarkStart w:id="98" w:name="_Toc407195379"/>
      <w:r>
        <w:rPr>
          <w:rFonts w:hint="default" w:ascii="Times New Roman" w:hAnsi="Times New Roman" w:cs="Times New Roman"/>
          <w:color w:val="auto"/>
          <w:highlight w:val="none"/>
        </w:rPr>
        <w:t>本次评审采用综合评估法。评审委员会按照本章第2.2</w:t>
      </w:r>
      <w:r>
        <w:rPr>
          <w:rFonts w:hint="eastAsia"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条规定的评分标准进行打分，按得分由高到低顺序推荐中选候选人，但参选报价低于其成本的除外。综合评分相等时，以参选报价低的优先；参选报价也相等的，由评审委员会随机抽取确定。</w:t>
      </w:r>
    </w:p>
    <w:p w14:paraId="65C10A68">
      <w:pPr>
        <w:pStyle w:val="3"/>
        <w:rPr>
          <w:rFonts w:hint="default" w:ascii="Times New Roman" w:hAnsi="Times New Roman" w:cs="Times New Roman"/>
          <w:color w:val="auto"/>
          <w:highlight w:val="none"/>
        </w:rPr>
      </w:pPr>
      <w:bookmarkStart w:id="99" w:name="_Toc765"/>
      <w:bookmarkStart w:id="100" w:name="_Toc2274"/>
      <w:bookmarkStart w:id="101" w:name="_Toc23969"/>
      <w:bookmarkStart w:id="102" w:name="_Toc5950"/>
      <w:bookmarkStart w:id="103" w:name="_Toc27931"/>
      <w:bookmarkStart w:id="104" w:name="_Toc444155968"/>
      <w:bookmarkStart w:id="105" w:name="_Toc31615"/>
      <w:bookmarkStart w:id="106" w:name="_Toc16716"/>
      <w:bookmarkStart w:id="107" w:name="_Toc27406"/>
      <w:r>
        <w:rPr>
          <w:rFonts w:hint="default" w:ascii="Times New Roman" w:hAnsi="Times New Roman" w:cs="Times New Roman"/>
          <w:color w:val="auto"/>
          <w:highlight w:val="none"/>
        </w:rPr>
        <w:t>2. 评审标准</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40D72FD4">
      <w:pPr>
        <w:pStyle w:val="4"/>
        <w:rPr>
          <w:rFonts w:hint="default" w:ascii="Times New Roman" w:hAnsi="Times New Roman" w:cs="Times New Roman"/>
          <w:color w:val="auto"/>
          <w:highlight w:val="none"/>
        </w:rPr>
      </w:pPr>
      <w:bookmarkStart w:id="108" w:name="_Toc287607814"/>
      <w:bookmarkStart w:id="109" w:name="_Toc200513200"/>
      <w:bookmarkStart w:id="110" w:name="_Toc23425"/>
      <w:bookmarkStart w:id="111" w:name="_Toc444155969"/>
      <w:bookmarkStart w:id="112" w:name="_Toc1358"/>
      <w:bookmarkStart w:id="113" w:name="_Toc10533"/>
      <w:bookmarkStart w:id="114" w:name="_Toc21593"/>
      <w:bookmarkStart w:id="115" w:name="_Toc11839"/>
      <w:bookmarkStart w:id="116" w:name="_Toc277082620"/>
      <w:bookmarkStart w:id="117" w:name="_Toc287620753"/>
      <w:bookmarkStart w:id="118" w:name="_Toc407195380"/>
      <w:bookmarkStart w:id="119" w:name="_Toc377115420"/>
      <w:bookmarkStart w:id="120" w:name="_Toc16537"/>
      <w:bookmarkStart w:id="121" w:name="_Toc330569207"/>
      <w:bookmarkStart w:id="122" w:name="_Toc440022828"/>
      <w:bookmarkStart w:id="123" w:name="_Toc376114121"/>
      <w:bookmarkStart w:id="124" w:name="_Toc377067340"/>
      <w:bookmarkStart w:id="125" w:name="_Toc7584"/>
      <w:bookmarkStart w:id="126" w:name="_Toc224103386"/>
      <w:r>
        <w:rPr>
          <w:rFonts w:hint="default" w:ascii="Times New Roman" w:hAnsi="Times New Roman" w:cs="Times New Roman"/>
          <w:color w:val="auto"/>
          <w:highlight w:val="none"/>
        </w:rPr>
        <w:t>2.1 初步评审标准</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33F77CA4">
      <w:pPr>
        <w:rPr>
          <w:rFonts w:hint="default" w:ascii="Times New Roman" w:hAnsi="Times New Roman" w:cs="Times New Roman"/>
          <w:color w:val="auto"/>
          <w:highlight w:val="none"/>
        </w:rPr>
      </w:pPr>
      <w:r>
        <w:rPr>
          <w:rFonts w:hint="default" w:ascii="Times New Roman" w:hAnsi="Times New Roman" w:cs="Times New Roman"/>
          <w:color w:val="auto"/>
          <w:highlight w:val="none"/>
        </w:rPr>
        <w:t>2.1.1 资格评审标准：见评审办法前附表。</w:t>
      </w:r>
    </w:p>
    <w:p w14:paraId="08F6FB42">
      <w:pPr>
        <w:rPr>
          <w:rFonts w:hint="default" w:ascii="Times New Roman" w:hAnsi="Times New Roman" w:cs="Times New Roman"/>
          <w:color w:val="auto"/>
          <w:highlight w:val="none"/>
        </w:rPr>
      </w:pPr>
      <w:r>
        <w:rPr>
          <w:rFonts w:hint="default" w:ascii="Times New Roman" w:hAnsi="Times New Roman" w:cs="Times New Roman"/>
          <w:color w:val="auto"/>
          <w:highlight w:val="none"/>
        </w:rPr>
        <w:t>2.1.2 形式评审标准：见评审办法前附表。</w:t>
      </w:r>
    </w:p>
    <w:p w14:paraId="75EAB085">
      <w:pPr>
        <w:rPr>
          <w:rFonts w:hint="default" w:ascii="Times New Roman" w:hAnsi="Times New Roman" w:cs="Times New Roman"/>
          <w:color w:val="auto"/>
          <w:highlight w:val="none"/>
        </w:rPr>
      </w:pPr>
      <w:r>
        <w:rPr>
          <w:rFonts w:hint="default" w:ascii="Times New Roman" w:hAnsi="Times New Roman" w:cs="Times New Roman"/>
          <w:color w:val="auto"/>
          <w:highlight w:val="none"/>
        </w:rPr>
        <w:t>2.1.3 响应性评审标准：见评审办法前附表。</w:t>
      </w:r>
    </w:p>
    <w:p w14:paraId="15F21CB2">
      <w:pPr>
        <w:pStyle w:val="4"/>
        <w:rPr>
          <w:rFonts w:hint="default" w:ascii="Times New Roman" w:hAnsi="Times New Roman" w:cs="Times New Roman"/>
          <w:color w:val="auto"/>
          <w:highlight w:val="none"/>
        </w:rPr>
      </w:pPr>
      <w:bookmarkStart w:id="127" w:name="_Toc25129"/>
      <w:bookmarkStart w:id="128" w:name="_Toc9090"/>
      <w:bookmarkStart w:id="129" w:name="_Toc330569208"/>
      <w:bookmarkStart w:id="130" w:name="_Toc377115421"/>
      <w:bookmarkStart w:id="131" w:name="_Toc287620754"/>
      <w:bookmarkStart w:id="132" w:name="_Toc1387"/>
      <w:bookmarkStart w:id="133" w:name="_Toc2340"/>
      <w:bookmarkStart w:id="134" w:name="_Toc23296"/>
      <w:bookmarkStart w:id="135" w:name="_Toc6503"/>
      <w:bookmarkStart w:id="136" w:name="_Toc444155970"/>
      <w:bookmarkStart w:id="137" w:name="_Toc440022829"/>
      <w:bookmarkStart w:id="138" w:name="_Toc20840"/>
      <w:bookmarkStart w:id="139" w:name="_Toc407195381"/>
      <w:bookmarkStart w:id="140" w:name="_Toc200513201"/>
      <w:bookmarkStart w:id="141" w:name="_Toc377067341"/>
      <w:bookmarkStart w:id="142" w:name="_Toc376114122"/>
      <w:bookmarkStart w:id="143" w:name="_Toc277082621"/>
      <w:bookmarkStart w:id="144" w:name="_Toc224103387"/>
      <w:bookmarkStart w:id="145" w:name="_Toc287607815"/>
      <w:r>
        <w:rPr>
          <w:rFonts w:hint="default" w:ascii="Times New Roman" w:hAnsi="Times New Roman" w:cs="Times New Roman"/>
          <w:color w:val="auto"/>
          <w:highlight w:val="none"/>
        </w:rPr>
        <w:t>2.2 分值构成与评分标准</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396EF7CD">
      <w:pPr>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2.2.1 分值构成：见评审办法前附表。 </w:t>
      </w:r>
    </w:p>
    <w:p w14:paraId="5E6C311A">
      <w:pPr>
        <w:rPr>
          <w:rFonts w:hint="default" w:ascii="Times New Roman" w:hAnsi="Times New Roman" w:cs="Times New Roman"/>
          <w:color w:val="auto"/>
          <w:highlight w:val="none"/>
        </w:rPr>
      </w:pPr>
      <w:r>
        <w:rPr>
          <w:rFonts w:hint="default" w:ascii="Times New Roman" w:hAnsi="Times New Roman" w:cs="Times New Roman"/>
          <w:color w:val="auto"/>
          <w:highlight w:val="none"/>
        </w:rPr>
        <w:t>2.2.2 评审基准价计算方法：见评审办法前附表。</w:t>
      </w:r>
    </w:p>
    <w:p w14:paraId="17DC9C13">
      <w:pPr>
        <w:rPr>
          <w:rFonts w:hint="default" w:ascii="Times New Roman" w:hAnsi="Times New Roman" w:cs="Times New Roman"/>
          <w:color w:val="auto"/>
          <w:highlight w:val="none"/>
        </w:rPr>
      </w:pPr>
      <w:r>
        <w:rPr>
          <w:rFonts w:hint="default" w:ascii="Times New Roman" w:hAnsi="Times New Roman" w:cs="Times New Roman"/>
          <w:color w:val="auto"/>
          <w:highlight w:val="none"/>
        </w:rPr>
        <w:t>2.2.3 评分标准：</w:t>
      </w:r>
    </w:p>
    <w:p w14:paraId="42F932F6">
      <w:pPr>
        <w:rPr>
          <w:rFonts w:hint="default" w:ascii="Times New Roman" w:hAnsi="Times New Roman" w:cs="Times New Roman"/>
          <w:color w:val="auto"/>
          <w:highlight w:val="none"/>
        </w:rPr>
      </w:pPr>
      <w:r>
        <w:rPr>
          <w:rFonts w:hint="default" w:ascii="Times New Roman" w:hAnsi="Times New Roman" w:cs="Times New Roman"/>
          <w:color w:val="auto"/>
          <w:highlight w:val="none"/>
        </w:rPr>
        <w:t>（1）参选报价评分标准：见评审办法前附表；</w:t>
      </w:r>
    </w:p>
    <w:p w14:paraId="6516AF8E">
      <w:pPr>
        <w:rPr>
          <w:rFonts w:hint="default" w:ascii="Times New Roman" w:hAnsi="Times New Roman" w:cs="Times New Roman"/>
          <w:color w:val="auto"/>
          <w:highlight w:val="none"/>
        </w:rPr>
      </w:pPr>
      <w:r>
        <w:rPr>
          <w:rFonts w:hint="default" w:ascii="Times New Roman" w:hAnsi="Times New Roman" w:cs="Times New Roman"/>
          <w:color w:val="auto"/>
          <w:highlight w:val="none"/>
        </w:rPr>
        <w:t>（2）商务部分评分标准：见评审办法前附表；</w:t>
      </w:r>
    </w:p>
    <w:p w14:paraId="0EB58638">
      <w:pPr>
        <w:pStyle w:val="3"/>
        <w:rPr>
          <w:rFonts w:hint="default" w:ascii="Times New Roman" w:hAnsi="Times New Roman" w:cs="Times New Roman"/>
          <w:color w:val="auto"/>
          <w:highlight w:val="none"/>
        </w:rPr>
      </w:pPr>
      <w:bookmarkStart w:id="146" w:name="_Toc287620755"/>
      <w:bookmarkStart w:id="147" w:name="_Toc14353"/>
      <w:bookmarkStart w:id="148" w:name="_Toc9488"/>
      <w:bookmarkStart w:id="149" w:name="_Toc5546"/>
      <w:bookmarkStart w:id="150" w:name="_Toc23633"/>
      <w:bookmarkStart w:id="151" w:name="_Toc277082622"/>
      <w:bookmarkStart w:id="152" w:name="_Toc2982"/>
      <w:bookmarkStart w:id="153" w:name="_Toc330569209"/>
      <w:bookmarkStart w:id="154" w:name="_Toc440022830"/>
      <w:bookmarkStart w:id="155" w:name="_Toc376114123"/>
      <w:bookmarkStart w:id="156" w:name="_Toc377115422"/>
      <w:bookmarkStart w:id="157" w:name="_Toc377067342"/>
      <w:bookmarkStart w:id="158" w:name="_Toc200513202"/>
      <w:bookmarkStart w:id="159" w:name="_Toc12538"/>
      <w:bookmarkStart w:id="160" w:name="_Toc444155971"/>
      <w:bookmarkStart w:id="161" w:name="_Toc8004"/>
      <w:bookmarkStart w:id="162" w:name="_Toc15132"/>
      <w:bookmarkStart w:id="163" w:name="_Toc407195382"/>
      <w:bookmarkStart w:id="164" w:name="_Toc287607816"/>
      <w:bookmarkStart w:id="165" w:name="_Toc224103388"/>
      <w:r>
        <w:rPr>
          <w:rFonts w:hint="default" w:ascii="Times New Roman" w:hAnsi="Times New Roman" w:cs="Times New Roman"/>
          <w:color w:val="auto"/>
          <w:highlight w:val="none"/>
        </w:rPr>
        <w:t>3. 评审程序</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1B82DF4C">
      <w:pPr>
        <w:pStyle w:val="4"/>
        <w:rPr>
          <w:rFonts w:hint="default" w:ascii="Times New Roman" w:hAnsi="Times New Roman" w:cs="Times New Roman"/>
          <w:color w:val="auto"/>
          <w:highlight w:val="none"/>
        </w:rPr>
      </w:pPr>
      <w:bookmarkStart w:id="166" w:name="_Toc377115423"/>
      <w:bookmarkStart w:id="167" w:name="_Toc224103389"/>
      <w:bookmarkStart w:id="168" w:name="_Toc22279"/>
      <w:bookmarkStart w:id="169" w:name="_Toc377067343"/>
      <w:bookmarkStart w:id="170" w:name="_Toc19840"/>
      <w:bookmarkStart w:id="171" w:name="_Toc287607817"/>
      <w:bookmarkStart w:id="172" w:name="_Toc9683"/>
      <w:bookmarkStart w:id="173" w:name="_Toc440022831"/>
      <w:bookmarkStart w:id="174" w:name="_Toc200513203"/>
      <w:bookmarkStart w:id="175" w:name="_Toc287620756"/>
      <w:bookmarkStart w:id="176" w:name="_Toc407195383"/>
      <w:bookmarkStart w:id="177" w:name="_Toc6448"/>
      <w:bookmarkStart w:id="178" w:name="_Toc5462"/>
      <w:bookmarkStart w:id="179" w:name="_Toc32002"/>
      <w:bookmarkStart w:id="180" w:name="_Toc376114124"/>
      <w:bookmarkStart w:id="181" w:name="_Toc277082623"/>
      <w:bookmarkStart w:id="182" w:name="_Toc444155972"/>
      <w:bookmarkStart w:id="183" w:name="_Toc13851"/>
      <w:bookmarkStart w:id="184" w:name="_Toc330569210"/>
      <w:r>
        <w:rPr>
          <w:rFonts w:hint="default" w:ascii="Times New Roman" w:hAnsi="Times New Roman" w:cs="Times New Roman"/>
          <w:color w:val="auto"/>
          <w:highlight w:val="none"/>
        </w:rPr>
        <w:t>3.1 初步评审</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0BE9AB73">
      <w:pPr>
        <w:rPr>
          <w:rFonts w:hint="default" w:ascii="Times New Roman" w:hAnsi="Times New Roman" w:cs="Times New Roman"/>
          <w:color w:val="auto"/>
          <w:highlight w:val="none"/>
        </w:rPr>
      </w:pPr>
      <w:bookmarkStart w:id="185" w:name="_Toc332380970"/>
      <w:bookmarkStart w:id="186" w:name="_Toc331232467"/>
      <w:bookmarkStart w:id="187" w:name="_Toc331232649"/>
      <w:bookmarkStart w:id="188" w:name="_Toc373172234"/>
      <w:bookmarkStart w:id="189" w:name="_Toc330569211"/>
      <w:bookmarkStart w:id="190" w:name="_Toc332028970"/>
      <w:bookmarkStart w:id="191" w:name="_Toc356484119"/>
      <w:bookmarkStart w:id="192" w:name="_Toc376114125"/>
      <w:bookmarkStart w:id="193" w:name="_Toc27164"/>
      <w:bookmarkStart w:id="194" w:name="_Toc354387014"/>
      <w:bookmarkStart w:id="195" w:name="_Toc440022832"/>
      <w:bookmarkStart w:id="196" w:name="_Toc334002333"/>
      <w:bookmarkStart w:id="197" w:name="_Toc377067344"/>
      <w:bookmarkStart w:id="198" w:name="_Toc332015984"/>
      <w:bookmarkStart w:id="199" w:name="_Toc407195384"/>
      <w:bookmarkStart w:id="200" w:name="_Toc356243677"/>
      <w:bookmarkStart w:id="201" w:name="_Toc377115424"/>
      <w:bookmarkStart w:id="202" w:name="_Toc373264792"/>
      <w:bookmarkStart w:id="203" w:name="_Toc444155973"/>
      <w:r>
        <w:rPr>
          <w:rFonts w:hint="default" w:ascii="Times New Roman" w:hAnsi="Times New Roman" w:cs="Times New Roman"/>
          <w:color w:val="auto"/>
          <w:highlight w:val="none"/>
        </w:rPr>
        <w:t>3.1.1 评审委员会依据本章第2.1 条规定的标准对参选文件进行初步评审。有一项不符合评审标准的，作否决参选处理。</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2C1623B6">
      <w:pPr>
        <w:rPr>
          <w:rFonts w:hint="default" w:ascii="Times New Roman" w:hAnsi="Times New Roman" w:cs="Times New Roman"/>
          <w:color w:val="auto"/>
          <w:highlight w:val="none"/>
        </w:rPr>
      </w:pPr>
      <w:r>
        <w:rPr>
          <w:rFonts w:hint="default" w:ascii="Times New Roman" w:hAnsi="Times New Roman" w:cs="Times New Roman"/>
          <w:color w:val="auto"/>
          <w:highlight w:val="none"/>
        </w:rPr>
        <w:t>3.1.2 参选人有以下情形之一的，其参选作否决参选处理：</w:t>
      </w:r>
    </w:p>
    <w:p w14:paraId="7818E50C">
      <w:pPr>
        <w:rPr>
          <w:rFonts w:hint="default" w:ascii="Times New Roman" w:hAnsi="Times New Roman" w:cs="Times New Roman"/>
          <w:color w:val="auto"/>
          <w:highlight w:val="none"/>
        </w:rPr>
      </w:pPr>
      <w:r>
        <w:rPr>
          <w:rFonts w:hint="default" w:ascii="Times New Roman" w:hAnsi="Times New Roman" w:cs="Times New Roman"/>
          <w:color w:val="auto"/>
          <w:highlight w:val="none"/>
        </w:rPr>
        <w:t>3.1.2.1 有第二章</w:t>
      </w:r>
      <w:r>
        <w:rPr>
          <w:rFonts w:hint="eastAsia" w:ascii="Times New Roman" w:hAnsi="Times New Roman" w:cs="Times New Roman"/>
          <w:color w:val="auto"/>
          <w:highlight w:val="none"/>
          <w:lang w:eastAsia="zh-CN"/>
        </w:rPr>
        <w:t>“参选人须知”</w:t>
      </w:r>
      <w:r>
        <w:rPr>
          <w:rFonts w:hint="default" w:ascii="Times New Roman" w:hAnsi="Times New Roman" w:cs="Times New Roman"/>
          <w:color w:val="auto"/>
          <w:highlight w:val="none"/>
        </w:rPr>
        <w:t>第9.条以及第11. 条规定的任何一种情形的；</w:t>
      </w:r>
    </w:p>
    <w:p w14:paraId="79EA19FC">
      <w:pPr>
        <w:rPr>
          <w:rFonts w:hint="default" w:ascii="Times New Roman" w:hAnsi="Times New Roman" w:cs="Times New Roman"/>
          <w:color w:val="auto"/>
          <w:highlight w:val="none"/>
        </w:rPr>
      </w:pPr>
      <w:r>
        <w:rPr>
          <w:rFonts w:hint="default" w:ascii="Times New Roman" w:hAnsi="Times New Roman" w:cs="Times New Roman"/>
          <w:color w:val="auto"/>
          <w:highlight w:val="none"/>
        </w:rPr>
        <w:t>3.1.2.2 有串通参选、弄虚作假等其他违反相关法律、法规行为的；</w:t>
      </w:r>
    </w:p>
    <w:p w14:paraId="2829FE66">
      <w:pPr>
        <w:rPr>
          <w:rFonts w:hint="default" w:ascii="Times New Roman" w:hAnsi="Times New Roman" w:cs="Times New Roman"/>
          <w:color w:val="auto"/>
          <w:highlight w:val="none"/>
        </w:rPr>
      </w:pPr>
      <w:r>
        <w:rPr>
          <w:rFonts w:hint="default" w:ascii="Times New Roman" w:hAnsi="Times New Roman" w:cs="Times New Roman"/>
          <w:color w:val="auto"/>
          <w:highlight w:val="none"/>
        </w:rPr>
        <w:t>3.1.2.3 不按评审委员会要求澄清、说明或补正的。</w:t>
      </w:r>
    </w:p>
    <w:p w14:paraId="4D747D38">
      <w:pPr>
        <w:rPr>
          <w:rFonts w:hint="default" w:ascii="Times New Roman" w:hAnsi="Times New Roman" w:cs="Times New Roman"/>
          <w:color w:val="auto"/>
          <w:highlight w:val="none"/>
        </w:rPr>
      </w:pPr>
      <w:r>
        <w:rPr>
          <w:rFonts w:hint="default" w:ascii="Times New Roman" w:hAnsi="Times New Roman" w:cs="Times New Roman"/>
          <w:color w:val="auto"/>
          <w:highlight w:val="none"/>
        </w:rPr>
        <w:t>3.1.2.4 本参选文件约定的其它情形。</w:t>
      </w:r>
    </w:p>
    <w:p w14:paraId="403045AE">
      <w:pPr>
        <w:rPr>
          <w:rFonts w:hint="default" w:ascii="Times New Roman" w:hAnsi="Times New Roman" w:cs="Times New Roman"/>
          <w:color w:val="auto"/>
          <w:highlight w:val="none"/>
        </w:rPr>
      </w:pPr>
      <w:r>
        <w:rPr>
          <w:rFonts w:hint="default" w:ascii="Times New Roman" w:hAnsi="Times New Roman" w:cs="Times New Roman"/>
          <w:color w:val="auto"/>
          <w:highlight w:val="none"/>
        </w:rPr>
        <w:t>3.1.3 参选报价有算术错误的，评审委员会按以下原则对参选报价进行修正，修正的价格经参选人书面确认后具有约束力。参选人不接受修正价格的，其参选作否决参选处理。修正原则见第二章</w:t>
      </w:r>
      <w:r>
        <w:rPr>
          <w:rFonts w:hint="eastAsia" w:ascii="Times New Roman" w:hAnsi="Times New Roman" w:cs="Times New Roman"/>
          <w:color w:val="auto"/>
          <w:highlight w:val="none"/>
          <w:lang w:eastAsia="zh-CN"/>
        </w:rPr>
        <w:t>“参选人须知”</w:t>
      </w:r>
      <w:r>
        <w:rPr>
          <w:rFonts w:hint="default" w:ascii="Times New Roman" w:hAnsi="Times New Roman" w:cs="Times New Roman"/>
          <w:color w:val="auto"/>
          <w:highlight w:val="none"/>
        </w:rPr>
        <w:t>第4.8 条。</w:t>
      </w:r>
    </w:p>
    <w:p w14:paraId="3F2099A5">
      <w:pPr>
        <w:pStyle w:val="4"/>
        <w:rPr>
          <w:rFonts w:hint="default" w:ascii="Times New Roman" w:hAnsi="Times New Roman" w:cs="Times New Roman"/>
          <w:color w:val="auto"/>
          <w:highlight w:val="none"/>
        </w:rPr>
      </w:pPr>
      <w:bookmarkStart w:id="204" w:name="_Toc224103390"/>
      <w:bookmarkStart w:id="205" w:name="_Toc22246"/>
      <w:bookmarkStart w:id="206" w:name="_Toc10847"/>
      <w:bookmarkStart w:id="207" w:name="_Toc7832"/>
      <w:bookmarkStart w:id="208" w:name="_Toc287620757"/>
      <w:bookmarkStart w:id="209" w:name="_Toc444155974"/>
      <w:bookmarkStart w:id="210" w:name="_Toc11246"/>
      <w:bookmarkStart w:id="211" w:name="_Toc22848"/>
      <w:bookmarkStart w:id="212" w:name="_Toc19604"/>
      <w:bookmarkStart w:id="213" w:name="_Toc287607818"/>
      <w:bookmarkStart w:id="214" w:name="_Toc200513204"/>
      <w:bookmarkStart w:id="215" w:name="_Toc440022833"/>
      <w:bookmarkStart w:id="216" w:name="_Toc330569212"/>
      <w:bookmarkStart w:id="217" w:name="_Toc377115425"/>
      <w:bookmarkStart w:id="218" w:name="_Toc29925"/>
      <w:bookmarkStart w:id="219" w:name="_Toc277082624"/>
      <w:bookmarkStart w:id="220" w:name="_Toc377067345"/>
      <w:bookmarkStart w:id="221" w:name="_Toc407195385"/>
      <w:bookmarkStart w:id="222" w:name="_Toc376114126"/>
      <w:r>
        <w:rPr>
          <w:rFonts w:hint="default" w:ascii="Times New Roman" w:hAnsi="Times New Roman" w:cs="Times New Roman"/>
          <w:color w:val="auto"/>
          <w:highlight w:val="none"/>
        </w:rPr>
        <w:t>3.2 详细评审</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6A45BBDE">
      <w:pPr>
        <w:rPr>
          <w:rFonts w:hint="default" w:ascii="Times New Roman" w:hAnsi="Times New Roman" w:cs="Times New Roman"/>
          <w:color w:val="auto"/>
          <w:highlight w:val="none"/>
        </w:rPr>
      </w:pPr>
      <w:r>
        <w:rPr>
          <w:rFonts w:hint="default" w:ascii="Times New Roman" w:hAnsi="Times New Roman" w:cs="Times New Roman"/>
          <w:color w:val="auto"/>
          <w:highlight w:val="none"/>
        </w:rPr>
        <w:t>3.2.1 评审委员会按本章第2.2 条规定的量化因素和分值进行打分，并计算出综合评估得分。</w:t>
      </w:r>
    </w:p>
    <w:p w14:paraId="747A11E8">
      <w:pPr>
        <w:rPr>
          <w:rFonts w:hint="default" w:ascii="Times New Roman" w:hAnsi="Times New Roman" w:cs="Times New Roman"/>
          <w:color w:val="auto"/>
          <w:highlight w:val="none"/>
        </w:rPr>
      </w:pPr>
      <w:r>
        <w:rPr>
          <w:rFonts w:hint="default" w:ascii="Times New Roman" w:hAnsi="Times New Roman" w:cs="Times New Roman"/>
          <w:color w:val="auto"/>
          <w:highlight w:val="none"/>
        </w:rPr>
        <w:t>3.2.1.1 按本章第2.2 条规定的评审因素和分值对参选报价计算出得分；</w:t>
      </w:r>
    </w:p>
    <w:p w14:paraId="7C92A8AC">
      <w:pPr>
        <w:rPr>
          <w:rFonts w:hint="default" w:ascii="Times New Roman" w:hAnsi="Times New Roman" w:cs="Times New Roman"/>
          <w:color w:val="auto"/>
          <w:highlight w:val="none"/>
        </w:rPr>
      </w:pPr>
      <w:r>
        <w:rPr>
          <w:rFonts w:hint="default" w:ascii="Times New Roman" w:hAnsi="Times New Roman" w:cs="Times New Roman"/>
          <w:color w:val="auto"/>
          <w:highlight w:val="none"/>
        </w:rPr>
        <w:t>3.2.1.2 按本章第2.2 条规定的评审因素和分值对商务部分计算出得分（评审委员会统一打分）；</w:t>
      </w:r>
    </w:p>
    <w:p w14:paraId="0725AB8F">
      <w:pPr>
        <w:rPr>
          <w:rFonts w:hint="default" w:ascii="Times New Roman" w:hAnsi="Times New Roman" w:cs="Times New Roman"/>
          <w:color w:val="auto"/>
          <w:highlight w:val="none"/>
        </w:rPr>
      </w:pPr>
      <w:r>
        <w:rPr>
          <w:rFonts w:hint="default" w:ascii="Times New Roman" w:hAnsi="Times New Roman" w:cs="Times New Roman"/>
          <w:color w:val="auto"/>
          <w:highlight w:val="none"/>
        </w:rPr>
        <w:t>3.2.2 评分分值计算保留小数点后两位，小数点后第三位</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四舍五入”。</w:t>
      </w:r>
    </w:p>
    <w:p w14:paraId="1CCC0D19">
      <w:pPr>
        <w:rPr>
          <w:rFonts w:hint="default" w:ascii="Times New Roman" w:hAnsi="Times New Roman" w:cs="Times New Roman"/>
          <w:color w:val="auto"/>
          <w:highlight w:val="none"/>
        </w:rPr>
      </w:pPr>
      <w:r>
        <w:rPr>
          <w:rFonts w:hint="default" w:ascii="Times New Roman" w:hAnsi="Times New Roman" w:cs="Times New Roman"/>
          <w:color w:val="auto"/>
          <w:highlight w:val="none"/>
        </w:rPr>
        <w:t>3.2.3 参选人得分=参选报价得分+商务部分得分</w:t>
      </w:r>
      <w:r>
        <w:rPr>
          <w:rFonts w:hint="default" w:ascii="Times New Roman" w:hAnsi="Times New Roman" w:cs="Times New Roman"/>
          <w:color w:val="auto"/>
          <w:sz w:val="24"/>
          <w:szCs w:val="20"/>
          <w:highlight w:val="none"/>
        </w:rPr>
        <w:t>+技术</w:t>
      </w:r>
      <w:r>
        <w:rPr>
          <w:rFonts w:hint="default" w:ascii="Times New Roman" w:hAnsi="Times New Roman" w:cs="Times New Roman"/>
          <w:color w:val="auto"/>
          <w:sz w:val="24"/>
          <w:szCs w:val="20"/>
          <w:highlight w:val="none"/>
          <w:lang w:val="en-US" w:eastAsia="zh-CN"/>
        </w:rPr>
        <w:t>部分</w:t>
      </w:r>
      <w:r>
        <w:rPr>
          <w:rFonts w:hint="default" w:ascii="Times New Roman" w:hAnsi="Times New Roman" w:cs="Times New Roman"/>
          <w:color w:val="auto"/>
          <w:sz w:val="24"/>
          <w:szCs w:val="20"/>
          <w:highlight w:val="none"/>
        </w:rPr>
        <w:t>得分</w:t>
      </w:r>
      <w:r>
        <w:rPr>
          <w:rFonts w:hint="default" w:ascii="Times New Roman" w:hAnsi="Times New Roman" w:cs="Times New Roman"/>
          <w:color w:val="auto"/>
          <w:highlight w:val="none"/>
        </w:rPr>
        <w:t>。</w:t>
      </w:r>
    </w:p>
    <w:p w14:paraId="6CE3495F">
      <w:pPr>
        <w:pStyle w:val="4"/>
        <w:rPr>
          <w:rFonts w:hint="default" w:ascii="Times New Roman" w:hAnsi="Times New Roman" w:cs="Times New Roman"/>
          <w:color w:val="auto"/>
          <w:highlight w:val="none"/>
        </w:rPr>
      </w:pPr>
      <w:bookmarkStart w:id="223" w:name="_Toc287607819"/>
      <w:bookmarkStart w:id="224" w:name="_Toc376114127"/>
      <w:bookmarkStart w:id="225" w:name="_Toc407195386"/>
      <w:bookmarkStart w:id="226" w:name="_Toc377115426"/>
      <w:bookmarkStart w:id="227" w:name="_Toc287620758"/>
      <w:bookmarkStart w:id="228" w:name="_Toc20948"/>
      <w:bookmarkStart w:id="229" w:name="_Toc440022834"/>
      <w:bookmarkStart w:id="230" w:name="_Toc18708"/>
      <w:bookmarkStart w:id="231" w:name="_Toc32039"/>
      <w:bookmarkStart w:id="232" w:name="_Toc330569213"/>
      <w:bookmarkStart w:id="233" w:name="_Toc277082625"/>
      <w:bookmarkStart w:id="234" w:name="_Toc1080"/>
      <w:bookmarkStart w:id="235" w:name="_Toc200513205"/>
      <w:bookmarkStart w:id="236" w:name="_Toc7176"/>
      <w:bookmarkStart w:id="237" w:name="_Toc2542"/>
      <w:bookmarkStart w:id="238" w:name="_Toc444155975"/>
      <w:bookmarkStart w:id="239" w:name="_Toc224103391"/>
      <w:bookmarkStart w:id="240" w:name="_Toc377067346"/>
      <w:bookmarkStart w:id="241" w:name="_Toc29261"/>
      <w:r>
        <w:rPr>
          <w:rFonts w:hint="default" w:ascii="Times New Roman" w:hAnsi="Times New Roman" w:cs="Times New Roman"/>
          <w:color w:val="auto"/>
          <w:highlight w:val="none"/>
        </w:rPr>
        <w:t>3.3 参选文件的澄清和补正</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277EAF1E">
      <w:pPr>
        <w:rPr>
          <w:rFonts w:hint="default" w:ascii="Times New Roman" w:hAnsi="Times New Roman" w:cs="Times New Roman"/>
          <w:color w:val="auto"/>
          <w:highlight w:val="none"/>
        </w:rPr>
      </w:pPr>
      <w:r>
        <w:rPr>
          <w:rFonts w:hint="default" w:ascii="Times New Roman" w:hAnsi="Times New Roman" w:cs="Times New Roman"/>
          <w:color w:val="auto"/>
          <w:highlight w:val="none"/>
        </w:rPr>
        <w:t>3.3.1 在评审过程中，评审委员会可以书面形式要求参选人对所提交参选文件中不明确的内容进行书面澄清或说明，或者对细微偏差进行补正。评审委员会不接受参选人主动提出的澄清、说明或补正。</w:t>
      </w:r>
    </w:p>
    <w:p w14:paraId="75C2B745">
      <w:pPr>
        <w:rPr>
          <w:rFonts w:hint="default" w:ascii="Times New Roman" w:hAnsi="Times New Roman" w:cs="Times New Roman"/>
          <w:color w:val="auto"/>
          <w:highlight w:val="none"/>
        </w:rPr>
      </w:pPr>
      <w:r>
        <w:rPr>
          <w:rFonts w:hint="default" w:ascii="Times New Roman" w:hAnsi="Times New Roman" w:cs="Times New Roman"/>
          <w:color w:val="auto"/>
          <w:highlight w:val="none"/>
        </w:rPr>
        <w:t>3.3.2 澄清、说明和补正不得改变参选文件的实质性内容（算术性错误修正的除外）。参选人的书面澄清、说明和补正属于参选文件的组成部分。</w:t>
      </w:r>
    </w:p>
    <w:p w14:paraId="6E9F4FD2">
      <w:pPr>
        <w:rPr>
          <w:rFonts w:hint="default" w:ascii="Times New Roman" w:hAnsi="Times New Roman" w:cs="Times New Roman"/>
          <w:color w:val="auto"/>
          <w:highlight w:val="none"/>
        </w:rPr>
      </w:pPr>
      <w:r>
        <w:rPr>
          <w:rFonts w:hint="default" w:ascii="Times New Roman" w:hAnsi="Times New Roman" w:cs="Times New Roman"/>
          <w:color w:val="auto"/>
          <w:highlight w:val="none"/>
        </w:rPr>
        <w:t>3.3.3 评审委员会对参选人提交的澄清、说明或补正有疑问的，可以要求参选人进一步澄清、说明或补正，直至满足评审委员会的要求。</w:t>
      </w:r>
    </w:p>
    <w:p w14:paraId="11059ABC">
      <w:pPr>
        <w:pStyle w:val="4"/>
        <w:rPr>
          <w:rFonts w:hint="default" w:ascii="Times New Roman" w:hAnsi="Times New Roman" w:cs="Times New Roman"/>
          <w:color w:val="auto"/>
          <w:highlight w:val="none"/>
        </w:rPr>
      </w:pPr>
      <w:bookmarkStart w:id="242" w:name="_Toc330569214"/>
      <w:bookmarkStart w:id="243" w:name="_Toc4814"/>
      <w:bookmarkStart w:id="244" w:name="_Toc287620759"/>
      <w:bookmarkStart w:id="245" w:name="_Toc30672"/>
      <w:bookmarkStart w:id="246" w:name="_Toc200513206"/>
      <w:bookmarkStart w:id="247" w:name="_Toc377115427"/>
      <w:bookmarkStart w:id="248" w:name="_Toc21450"/>
      <w:bookmarkStart w:id="249" w:name="_Toc14840"/>
      <w:bookmarkStart w:id="250" w:name="_Toc376114128"/>
      <w:bookmarkStart w:id="251" w:name="_Toc31270"/>
      <w:bookmarkStart w:id="252" w:name="_Toc277082626"/>
      <w:bookmarkStart w:id="253" w:name="_Toc287607820"/>
      <w:bookmarkStart w:id="254" w:name="_Toc377067347"/>
      <w:bookmarkStart w:id="255" w:name="_Toc440022835"/>
      <w:bookmarkStart w:id="256" w:name="_Toc6310"/>
      <w:bookmarkStart w:id="257" w:name="_Toc19054"/>
      <w:bookmarkStart w:id="258" w:name="_Toc444155976"/>
      <w:bookmarkStart w:id="259" w:name="_Toc407195387"/>
      <w:bookmarkStart w:id="260" w:name="_Toc224103392"/>
      <w:r>
        <w:rPr>
          <w:rFonts w:hint="default" w:ascii="Times New Roman" w:hAnsi="Times New Roman" w:cs="Times New Roman"/>
          <w:color w:val="auto"/>
          <w:highlight w:val="none"/>
        </w:rPr>
        <w:t>3.4 评审结果</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72EA1FA7">
      <w:pPr>
        <w:rPr>
          <w:rFonts w:hint="default" w:ascii="Times New Roman" w:hAnsi="Times New Roman" w:cs="Times New Roman"/>
          <w:color w:val="auto"/>
          <w:highlight w:val="none"/>
        </w:rPr>
      </w:pPr>
      <w:r>
        <w:rPr>
          <w:rFonts w:hint="default" w:ascii="Times New Roman" w:hAnsi="Times New Roman" w:cs="Times New Roman"/>
          <w:color w:val="auto"/>
          <w:highlight w:val="none"/>
        </w:rPr>
        <w:t>3.4.1 评审委员会按照得分由高到低的顺序推荐中选候选人。</w:t>
      </w:r>
    </w:p>
    <w:p w14:paraId="2328E25A">
      <w:pPr>
        <w:rPr>
          <w:rFonts w:hint="default" w:ascii="Times New Roman" w:hAnsi="Times New Roman" w:cs="Times New Roman"/>
          <w:color w:val="auto"/>
          <w:highlight w:val="none"/>
        </w:rPr>
      </w:pPr>
      <w:r>
        <w:rPr>
          <w:rFonts w:hint="default" w:ascii="Times New Roman" w:hAnsi="Times New Roman" w:cs="Times New Roman"/>
          <w:color w:val="auto"/>
          <w:highlight w:val="none"/>
        </w:rPr>
        <w:t>3.4.2 评审委员会完成评审后，应当向比选人提交书面评审报告。</w:t>
      </w:r>
    </w:p>
    <w:p w14:paraId="0F4EBBC3">
      <w:pPr>
        <w:rPr>
          <w:rFonts w:hint="default" w:ascii="Times New Roman" w:hAnsi="Times New Roman" w:cs="Times New Roman"/>
          <w:color w:val="auto"/>
          <w:highlight w:val="none"/>
        </w:rPr>
      </w:pPr>
      <w:r>
        <w:rPr>
          <w:rFonts w:hint="default" w:ascii="Times New Roman" w:hAnsi="Times New Roman" w:cs="Times New Roman"/>
          <w:color w:val="auto"/>
          <w:highlight w:val="none"/>
        </w:rPr>
        <w:t>3.4.3 有效参选不足两个的，经评审委员会判定，参选人具有相对行业竞争力的，可继续进行评审。</w:t>
      </w:r>
    </w:p>
    <w:p w14:paraId="0110C720">
      <w:pPr>
        <w:pStyle w:val="4"/>
        <w:rPr>
          <w:rFonts w:hint="default" w:ascii="Times New Roman" w:hAnsi="Times New Roman" w:cs="Times New Roman"/>
          <w:color w:val="auto"/>
          <w:highlight w:val="none"/>
        </w:rPr>
      </w:pPr>
      <w:r>
        <w:rPr>
          <w:rFonts w:hint="default" w:ascii="Times New Roman" w:hAnsi="Times New Roman" w:cs="Times New Roman"/>
          <w:color w:val="auto"/>
          <w:highlight w:val="none"/>
        </w:rPr>
        <w:t>3.5 对评审委员会成员的纪律要求</w:t>
      </w:r>
    </w:p>
    <w:p w14:paraId="5C1DDB26">
      <w:pPr>
        <w:rPr>
          <w:rFonts w:hint="default" w:ascii="Times New Roman" w:hAnsi="Times New Roman" w:cs="Times New Roman"/>
          <w:color w:val="auto"/>
          <w:highlight w:val="none"/>
        </w:rPr>
      </w:pPr>
      <w:r>
        <w:rPr>
          <w:rFonts w:hint="default" w:ascii="Times New Roman" w:hAnsi="Times New Roman" w:cs="Times New Roman"/>
          <w:color w:val="auto"/>
          <w:highlight w:val="none"/>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14:paraId="1BE2ABD1">
      <w:pPr>
        <w:pStyle w:val="4"/>
        <w:rPr>
          <w:rFonts w:hint="default" w:ascii="Times New Roman" w:hAnsi="Times New Roman" w:cs="Times New Roman"/>
          <w:color w:val="auto"/>
          <w:highlight w:val="none"/>
        </w:rPr>
      </w:pPr>
      <w:r>
        <w:rPr>
          <w:rFonts w:hint="default" w:ascii="Times New Roman" w:hAnsi="Times New Roman" w:cs="Times New Roman"/>
          <w:color w:val="auto"/>
          <w:highlight w:val="none"/>
        </w:rPr>
        <w:t>3.6 对与评审活动有关的工作人员的纪律要求</w:t>
      </w:r>
    </w:p>
    <w:p w14:paraId="2FF4755B">
      <w:pPr>
        <w:rPr>
          <w:rFonts w:hint="default" w:ascii="Times New Roman" w:hAnsi="Times New Roman" w:cs="Times New Roman"/>
          <w:color w:val="auto"/>
          <w:highlight w:val="none"/>
        </w:rPr>
      </w:pPr>
      <w:r>
        <w:rPr>
          <w:rFonts w:hint="default" w:ascii="Times New Roman" w:hAnsi="Times New Roman" w:cs="Times New Roman"/>
          <w:color w:val="auto"/>
          <w:highlight w:val="none"/>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评审程序正常进行。</w:t>
      </w:r>
    </w:p>
    <w:p w14:paraId="009299C7">
      <w:pPr>
        <w:rPr>
          <w:rFonts w:hint="default" w:ascii="Times New Roman" w:hAnsi="Times New Roman" w:cs="Times New Roman"/>
          <w:color w:val="auto"/>
          <w:highlight w:val="none"/>
        </w:rPr>
      </w:pPr>
    </w:p>
    <w:p w14:paraId="12C16F01">
      <w:pPr>
        <w:rPr>
          <w:rFonts w:hint="default" w:ascii="Times New Roman" w:hAnsi="Times New Roman" w:cs="Times New Roman"/>
          <w:color w:val="auto"/>
          <w:highlight w:val="none"/>
        </w:rPr>
      </w:pPr>
      <w:bookmarkStart w:id="261" w:name="_Toc150953074"/>
      <w:bookmarkStart w:id="262" w:name="_Toc89675170"/>
      <w:bookmarkStart w:id="263" w:name="_Toc303066034"/>
      <w:r>
        <w:rPr>
          <w:rFonts w:hint="default" w:ascii="Times New Roman" w:hAnsi="Times New Roman" w:cs="Times New Roman"/>
          <w:color w:val="auto"/>
          <w:highlight w:val="none"/>
        </w:rPr>
        <w:br w:type="page"/>
      </w:r>
    </w:p>
    <w:p w14:paraId="54DDE096">
      <w:pPr>
        <w:pStyle w:val="2"/>
        <w:rPr>
          <w:rFonts w:hint="default" w:ascii="Times New Roman" w:hAnsi="Times New Roman" w:cs="Times New Roman"/>
          <w:color w:val="auto"/>
          <w:highlight w:val="none"/>
        </w:rPr>
      </w:pPr>
      <w:bookmarkStart w:id="264" w:name="_Toc14245"/>
      <w:bookmarkStart w:id="265" w:name="_Toc24563"/>
      <w:r>
        <w:rPr>
          <w:rFonts w:hint="default" w:ascii="Times New Roman" w:hAnsi="Times New Roman" w:cs="Times New Roman"/>
          <w:color w:val="auto"/>
          <w:highlight w:val="none"/>
        </w:rPr>
        <w:t>第五章 合同模板</w:t>
      </w:r>
      <w:bookmarkEnd w:id="261"/>
      <w:bookmarkEnd w:id="264"/>
      <w:bookmarkEnd w:id="265"/>
    </w:p>
    <w:p w14:paraId="0B990C2C">
      <w:pPr>
        <w:ind w:firstLine="0" w:firstLineChars="0"/>
        <w:jc w:val="center"/>
        <w:rPr>
          <w:rFonts w:hint="default" w:ascii="Times New Roman" w:hAnsi="Times New Roman" w:cs="Times New Roman"/>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default" w:ascii="Times New Roman" w:hAnsi="Times New Roman" w:cs="Times New Roman"/>
          <w:color w:val="auto"/>
          <w:highlight w:val="none"/>
        </w:rPr>
        <w:t>（本章节的合同条款及格式仅供参考，具体以合同签订时为准）</w:t>
      </w:r>
    </w:p>
    <w:p w14:paraId="0369E46A">
      <w:pPr>
        <w:spacing w:line="360" w:lineRule="auto"/>
        <w:jc w:val="right"/>
        <w:rPr>
          <w:rStyle w:val="25"/>
          <w:rFonts w:hint="default" w:ascii="Times New Roman" w:hAnsi="Times New Roman" w:eastAsia="宋体" w:cs="Times New Roman"/>
          <w:b w:val="0"/>
          <w:color w:val="auto"/>
          <w:spacing w:val="0"/>
          <w:sz w:val="28"/>
          <w:szCs w:val="28"/>
          <w:highlight w:val="none"/>
        </w:rPr>
      </w:pPr>
      <w:r>
        <w:rPr>
          <w:rStyle w:val="25"/>
          <w:rFonts w:hint="default" w:ascii="Times New Roman" w:hAnsi="Times New Roman" w:eastAsia="宋体" w:cs="Times New Roman"/>
          <w:b w:val="0"/>
          <w:color w:val="auto"/>
          <w:spacing w:val="0"/>
          <w:sz w:val="28"/>
          <w:szCs w:val="28"/>
          <w:highlight w:val="none"/>
        </w:rPr>
        <w:t>编号：___________________</w:t>
      </w:r>
    </w:p>
    <w:p w14:paraId="391C5215">
      <w:pPr>
        <w:spacing w:line="360" w:lineRule="auto"/>
        <w:jc w:val="center"/>
        <w:rPr>
          <w:rStyle w:val="25"/>
          <w:rFonts w:hint="default" w:ascii="Times New Roman" w:hAnsi="Times New Roman" w:cs="Times New Roman"/>
          <w:color w:val="auto"/>
          <w:spacing w:val="0"/>
          <w:szCs w:val="21"/>
          <w:highlight w:val="none"/>
        </w:rPr>
      </w:pPr>
    </w:p>
    <w:p w14:paraId="289753BE">
      <w:pPr>
        <w:spacing w:line="360" w:lineRule="auto"/>
        <w:jc w:val="center"/>
        <w:rPr>
          <w:rStyle w:val="25"/>
          <w:rFonts w:hint="default" w:ascii="Times New Roman" w:hAnsi="Times New Roman" w:cs="Times New Roman"/>
          <w:color w:val="auto"/>
          <w:spacing w:val="0"/>
          <w:szCs w:val="21"/>
          <w:highlight w:val="none"/>
        </w:rPr>
      </w:pPr>
    </w:p>
    <w:p w14:paraId="5BF010BA">
      <w:pPr>
        <w:spacing w:line="360" w:lineRule="auto"/>
        <w:jc w:val="center"/>
        <w:rPr>
          <w:rStyle w:val="25"/>
          <w:rFonts w:hint="default" w:ascii="Times New Roman" w:hAnsi="Times New Roman" w:cs="Times New Roman"/>
          <w:color w:val="auto"/>
          <w:spacing w:val="0"/>
          <w:szCs w:val="21"/>
          <w:highlight w:val="none"/>
        </w:rPr>
      </w:pPr>
    </w:p>
    <w:p w14:paraId="7D16AF04">
      <w:pPr>
        <w:spacing w:line="360" w:lineRule="auto"/>
        <w:jc w:val="center"/>
        <w:rPr>
          <w:rStyle w:val="25"/>
          <w:rFonts w:hint="default" w:ascii="Times New Roman" w:hAnsi="Times New Roman" w:cs="Times New Roman"/>
          <w:color w:val="auto"/>
          <w:spacing w:val="0"/>
          <w:szCs w:val="21"/>
          <w:highlight w:val="none"/>
        </w:rPr>
      </w:pPr>
    </w:p>
    <w:p w14:paraId="45E388E9">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Style w:val="25"/>
          <w:rFonts w:hint="default" w:ascii="Times New Roman" w:hAnsi="Times New Roman" w:cs="Times New Roman"/>
          <w:color w:val="auto"/>
          <w:spacing w:val="0"/>
          <w:sz w:val="36"/>
          <w:szCs w:val="21"/>
          <w:highlight w:val="none"/>
        </w:rPr>
      </w:pPr>
      <w:r>
        <w:rPr>
          <w:rStyle w:val="25"/>
          <w:rFonts w:hint="default" w:ascii="Times New Roman" w:hAnsi="Times New Roman" w:eastAsia="宋体" w:cs="Times New Roman"/>
          <w:color w:val="auto"/>
          <w:spacing w:val="0"/>
          <w:sz w:val="52"/>
          <w:szCs w:val="52"/>
          <w:highlight w:val="none"/>
        </w:rPr>
        <w:t>重庆三峡银行</w:t>
      </w:r>
      <w:r>
        <w:rPr>
          <w:rStyle w:val="25"/>
          <w:rFonts w:hint="default" w:ascii="Times New Roman" w:hAnsi="Times New Roman" w:eastAsia="宋体" w:cs="Times New Roman"/>
          <w:color w:val="auto"/>
          <w:spacing w:val="0"/>
          <w:sz w:val="52"/>
          <w:szCs w:val="52"/>
          <w:highlight w:val="none"/>
          <w:lang w:val="en-US" w:eastAsia="zh-CN"/>
        </w:rPr>
        <w:t>新一代数据中台项目（一期）</w:t>
      </w:r>
      <w:r>
        <w:rPr>
          <w:rStyle w:val="25"/>
          <w:rFonts w:hint="default" w:ascii="Times New Roman" w:hAnsi="Times New Roman" w:eastAsia="宋体" w:cs="Times New Roman"/>
          <w:color w:val="auto"/>
          <w:spacing w:val="0"/>
          <w:sz w:val="52"/>
          <w:szCs w:val="52"/>
          <w:highlight w:val="none"/>
        </w:rPr>
        <w:t>合同</w:t>
      </w:r>
    </w:p>
    <w:p w14:paraId="5D15448A">
      <w:pPr>
        <w:spacing w:line="360" w:lineRule="auto"/>
        <w:jc w:val="center"/>
        <w:rPr>
          <w:rStyle w:val="25"/>
          <w:rFonts w:hint="default" w:ascii="Times New Roman" w:hAnsi="Times New Roman" w:cs="Times New Roman"/>
          <w:color w:val="auto"/>
          <w:spacing w:val="0"/>
          <w:szCs w:val="21"/>
          <w:highlight w:val="none"/>
        </w:rPr>
      </w:pPr>
    </w:p>
    <w:p w14:paraId="12237B68">
      <w:pPr>
        <w:spacing w:line="360" w:lineRule="auto"/>
        <w:jc w:val="center"/>
        <w:rPr>
          <w:rStyle w:val="25"/>
          <w:rFonts w:hint="default" w:ascii="Times New Roman" w:hAnsi="Times New Roman" w:cs="Times New Roman"/>
          <w:color w:val="auto"/>
          <w:spacing w:val="0"/>
          <w:szCs w:val="21"/>
          <w:highlight w:val="none"/>
        </w:rPr>
      </w:pPr>
    </w:p>
    <w:p w14:paraId="01602986">
      <w:pPr>
        <w:spacing w:line="360" w:lineRule="auto"/>
        <w:jc w:val="center"/>
        <w:rPr>
          <w:rFonts w:hint="default" w:ascii="Times New Roman" w:hAnsi="Times New Roman" w:cs="Times New Roman"/>
          <w:b/>
          <w:bCs/>
          <w:color w:val="auto"/>
          <w:spacing w:val="0"/>
          <w:highlight w:val="none"/>
        </w:rPr>
      </w:pPr>
    </w:p>
    <w:p w14:paraId="7258FC3A">
      <w:pPr>
        <w:spacing w:line="360" w:lineRule="auto"/>
        <w:jc w:val="center"/>
        <w:rPr>
          <w:rFonts w:hint="default" w:ascii="Times New Roman" w:hAnsi="Times New Roman" w:cs="Times New Roman"/>
          <w:b/>
          <w:bCs/>
          <w:color w:val="auto"/>
          <w:spacing w:val="0"/>
          <w:highlight w:val="none"/>
        </w:rPr>
      </w:pPr>
    </w:p>
    <w:p w14:paraId="4739D454">
      <w:pPr>
        <w:spacing w:line="360" w:lineRule="auto"/>
        <w:jc w:val="center"/>
        <w:rPr>
          <w:rFonts w:hint="default" w:ascii="Times New Roman" w:hAnsi="Times New Roman" w:cs="Times New Roman"/>
          <w:b/>
          <w:bCs/>
          <w:color w:val="auto"/>
          <w:spacing w:val="0"/>
          <w:highlight w:val="none"/>
        </w:rPr>
      </w:pPr>
    </w:p>
    <w:p w14:paraId="081DD099">
      <w:pPr>
        <w:spacing w:line="360" w:lineRule="auto"/>
        <w:rPr>
          <w:rFonts w:hint="default" w:ascii="Times New Roman" w:hAnsi="Times New Roman" w:cs="Times New Roman"/>
          <w:b/>
          <w:bCs/>
          <w:color w:val="auto"/>
          <w:spacing w:val="0"/>
          <w:highlight w:val="none"/>
        </w:rPr>
      </w:pPr>
    </w:p>
    <w:p w14:paraId="021B7657">
      <w:pPr>
        <w:spacing w:line="360" w:lineRule="auto"/>
        <w:jc w:val="center"/>
        <w:rPr>
          <w:rFonts w:hint="default" w:ascii="Times New Roman" w:hAnsi="Times New Roman" w:cs="Times New Roman"/>
          <w:b/>
          <w:bCs/>
          <w:color w:val="auto"/>
          <w:spacing w:val="0"/>
          <w:highlight w:val="none"/>
        </w:rPr>
      </w:pPr>
    </w:p>
    <w:p w14:paraId="7C47A365">
      <w:pPr>
        <w:spacing w:line="360" w:lineRule="auto"/>
        <w:jc w:val="center"/>
        <w:rPr>
          <w:rFonts w:hint="default" w:ascii="Times New Roman" w:hAnsi="Times New Roman" w:cs="Times New Roman"/>
          <w:b/>
          <w:bCs/>
          <w:color w:val="auto"/>
          <w:spacing w:val="0"/>
          <w:highlight w:val="none"/>
        </w:rPr>
      </w:pPr>
    </w:p>
    <w:p w14:paraId="146CB524">
      <w:pPr>
        <w:spacing w:line="360" w:lineRule="auto"/>
        <w:jc w:val="center"/>
        <w:rPr>
          <w:rFonts w:hint="default" w:ascii="Times New Roman" w:hAnsi="Times New Roman" w:cs="Times New Roman"/>
          <w:b/>
          <w:bCs/>
          <w:color w:val="auto"/>
          <w:spacing w:val="0"/>
          <w:highlight w:val="none"/>
        </w:rPr>
      </w:pPr>
    </w:p>
    <w:p w14:paraId="1DFEF651">
      <w:pPr>
        <w:keepNext w:val="0"/>
        <w:keepLines w:val="0"/>
        <w:pageBreakBefore w:val="0"/>
        <w:widowControl w:val="0"/>
        <w:kinsoku/>
        <w:wordWrap/>
        <w:overflowPunct/>
        <w:topLinePunct w:val="0"/>
        <w:autoSpaceDE w:val="0"/>
        <w:autoSpaceDN w:val="0"/>
        <w:bidi w:val="0"/>
        <w:adjustRightInd/>
        <w:snapToGrid/>
        <w:spacing w:line="360" w:lineRule="auto"/>
        <w:ind w:left="839" w:firstLine="0" w:firstLineChars="0"/>
        <w:textAlignment w:val="auto"/>
        <w:rPr>
          <w:rFonts w:hint="default" w:ascii="Times New Roman" w:hAnsi="Times New Roman" w:eastAsia="宋体" w:cs="Times New Roman"/>
          <w:b/>
          <w:bCs/>
          <w:color w:val="auto"/>
          <w:spacing w:val="0"/>
          <w:sz w:val="28"/>
          <w:highlight w:val="none"/>
        </w:rPr>
      </w:pPr>
      <w:r>
        <w:rPr>
          <w:rFonts w:hint="default" w:ascii="Times New Roman" w:hAnsi="Times New Roman" w:eastAsia="宋体" w:cs="Times New Roman"/>
          <w:b/>
          <w:bCs/>
          <w:color w:val="auto"/>
          <w:spacing w:val="0"/>
          <w:sz w:val="28"/>
          <w:highlight w:val="none"/>
        </w:rPr>
        <w:t>委托方（甲方）：重庆三峡银行股份有限公司</w:t>
      </w:r>
    </w:p>
    <w:p w14:paraId="41CEEC66">
      <w:pPr>
        <w:keepNext w:val="0"/>
        <w:keepLines w:val="0"/>
        <w:pageBreakBefore w:val="0"/>
        <w:widowControl w:val="0"/>
        <w:tabs>
          <w:tab w:val="right" w:pos="8312"/>
        </w:tabs>
        <w:kinsoku/>
        <w:wordWrap/>
        <w:overflowPunct/>
        <w:topLinePunct w:val="0"/>
        <w:autoSpaceDE w:val="0"/>
        <w:autoSpaceDN w:val="0"/>
        <w:bidi w:val="0"/>
        <w:adjustRightInd/>
        <w:snapToGrid/>
        <w:spacing w:line="360" w:lineRule="auto"/>
        <w:ind w:left="839" w:firstLine="0" w:firstLineChars="0"/>
        <w:textAlignment w:val="auto"/>
        <w:rPr>
          <w:rFonts w:hint="default" w:ascii="Times New Roman" w:hAnsi="Times New Roman" w:eastAsia="宋体" w:cs="Times New Roman"/>
          <w:b/>
          <w:bCs/>
          <w:color w:val="auto"/>
          <w:spacing w:val="0"/>
          <w:sz w:val="28"/>
          <w:highlight w:val="none"/>
        </w:rPr>
      </w:pPr>
      <w:r>
        <w:rPr>
          <w:rFonts w:hint="default" w:ascii="Times New Roman" w:hAnsi="Times New Roman" w:eastAsia="宋体" w:cs="Times New Roman"/>
          <w:b/>
          <w:bCs/>
          <w:color w:val="auto"/>
          <w:spacing w:val="0"/>
          <w:sz w:val="28"/>
          <w:highlight w:val="none"/>
        </w:rPr>
        <w:t>受托方（乙方）：</w:t>
      </w:r>
      <w:r>
        <w:rPr>
          <w:rFonts w:hint="default" w:ascii="Times New Roman" w:hAnsi="Times New Roman" w:eastAsia="宋体" w:cs="Times New Roman"/>
          <w:b/>
          <w:bCs/>
          <w:color w:val="auto"/>
          <w:spacing w:val="0"/>
          <w:sz w:val="28"/>
          <w:highlight w:val="none"/>
        </w:rPr>
        <w:tab/>
      </w:r>
    </w:p>
    <w:p w14:paraId="6403B313">
      <w:pPr>
        <w:keepNext w:val="0"/>
        <w:keepLines w:val="0"/>
        <w:pageBreakBefore w:val="0"/>
        <w:widowControl w:val="0"/>
        <w:kinsoku/>
        <w:wordWrap/>
        <w:overflowPunct/>
        <w:topLinePunct w:val="0"/>
        <w:autoSpaceDE w:val="0"/>
        <w:autoSpaceDN w:val="0"/>
        <w:bidi w:val="0"/>
        <w:adjustRightInd/>
        <w:snapToGrid/>
        <w:spacing w:line="360" w:lineRule="auto"/>
        <w:ind w:left="839" w:firstLine="0" w:firstLineChars="0"/>
        <w:textAlignment w:val="auto"/>
        <w:rPr>
          <w:rFonts w:hint="default" w:ascii="Times New Roman" w:hAnsi="Times New Roman" w:eastAsia="宋体" w:cs="Times New Roman"/>
          <w:b/>
          <w:color w:val="auto"/>
          <w:spacing w:val="0"/>
          <w:highlight w:val="none"/>
        </w:rPr>
      </w:pPr>
      <w:r>
        <w:rPr>
          <w:rFonts w:hint="default" w:ascii="Times New Roman" w:hAnsi="Times New Roman" w:eastAsia="宋体" w:cs="Times New Roman"/>
          <w:b/>
          <w:bCs/>
          <w:color w:val="auto"/>
          <w:spacing w:val="0"/>
          <w:sz w:val="28"/>
          <w:highlight w:val="none"/>
        </w:rPr>
        <w:t>签订地点</w:t>
      </w:r>
      <w:r>
        <w:rPr>
          <w:rFonts w:hint="default" w:ascii="Times New Roman" w:hAnsi="Times New Roman" w:eastAsia="宋体" w:cs="Times New Roman"/>
          <w:b/>
          <w:color w:val="auto"/>
          <w:spacing w:val="0"/>
          <w:sz w:val="28"/>
          <w:highlight w:val="none"/>
        </w:rPr>
        <w:t>：重庆</w:t>
      </w:r>
    </w:p>
    <w:p w14:paraId="34246319">
      <w:pPr>
        <w:spacing w:line="360" w:lineRule="auto"/>
        <w:rPr>
          <w:rFonts w:hint="default" w:ascii="Times New Roman" w:hAnsi="Times New Roman" w:cs="Times New Roman"/>
          <w:b/>
          <w:color w:val="auto"/>
          <w:spacing w:val="0"/>
          <w:sz w:val="32"/>
          <w:highlight w:val="none"/>
        </w:rPr>
      </w:pPr>
    </w:p>
    <w:p w14:paraId="18CA9AD6">
      <w:pPr>
        <w:spacing w:line="360" w:lineRule="auto"/>
        <w:jc w:val="center"/>
        <w:rPr>
          <w:rFonts w:hint="default" w:ascii="Times New Roman" w:hAnsi="Times New Roman" w:eastAsia="宋体" w:cs="Times New Roman"/>
          <w:b/>
          <w:color w:val="auto"/>
          <w:spacing w:val="0"/>
          <w:sz w:val="32"/>
          <w:szCs w:val="32"/>
          <w:highlight w:val="none"/>
        </w:rPr>
      </w:pPr>
      <w:r>
        <w:rPr>
          <w:rFonts w:hint="default" w:ascii="Times New Roman" w:hAnsi="Times New Roman" w:cs="Times New Roman"/>
          <w:color w:val="auto"/>
          <w:spacing w:val="0"/>
          <w:highlight w:val="none"/>
        </w:rPr>
        <w:br w:type="page"/>
      </w:r>
      <w:r>
        <w:rPr>
          <w:rFonts w:hint="default" w:ascii="Times New Roman" w:hAnsi="Times New Roman" w:eastAsia="宋体" w:cs="Times New Roman"/>
          <w:b/>
          <w:color w:val="auto"/>
          <w:spacing w:val="0"/>
          <w:sz w:val="32"/>
          <w:szCs w:val="32"/>
          <w:highlight w:val="none"/>
        </w:rPr>
        <w:t>目录</w:t>
      </w:r>
    </w:p>
    <w:p w14:paraId="687C6415">
      <w:pPr>
        <w:pStyle w:val="11"/>
        <w:tabs>
          <w:tab w:val="right" w:leader="dot" w:pos="8302"/>
        </w:tabs>
        <w:rPr>
          <w:rFonts w:hint="default" w:ascii="Times New Roman" w:hAnsi="Times New Roman" w:eastAsia="宋体" w:cs="Times New Roman"/>
          <w:color w:val="auto"/>
          <w:spacing w:val="0"/>
          <w:sz w:val="21"/>
          <w:szCs w:val="22"/>
          <w:highlight w:val="none"/>
        </w:rPr>
      </w:pPr>
      <w:r>
        <w:rPr>
          <w:rFonts w:hint="default" w:ascii="Times New Roman" w:hAnsi="Times New Roman" w:eastAsia="宋体" w:cs="Times New Roman"/>
          <w:color w:val="auto"/>
          <w:spacing w:val="0"/>
          <w:highlight w:val="none"/>
        </w:rPr>
        <w:fldChar w:fldCharType="begin"/>
      </w:r>
      <w:r>
        <w:rPr>
          <w:rFonts w:hint="default" w:ascii="Times New Roman" w:hAnsi="Times New Roman" w:eastAsia="宋体" w:cs="Times New Roman"/>
          <w:color w:val="auto"/>
          <w:spacing w:val="0"/>
          <w:highlight w:val="none"/>
        </w:rPr>
        <w:instrText xml:space="preserve"> TOC \o "1-3" \n \h \z \u </w:instrText>
      </w:r>
      <w:r>
        <w:rPr>
          <w:rFonts w:hint="default" w:ascii="Times New Roman" w:hAnsi="Times New Roman" w:eastAsia="宋体" w:cs="Times New Roman"/>
          <w:color w:val="auto"/>
          <w:spacing w:val="0"/>
          <w:highlight w:val="none"/>
        </w:rPr>
        <w:fldChar w:fldCharType="separate"/>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"_Toc84948025" </w:instrText>
      </w:r>
      <w:r>
        <w:rPr>
          <w:rFonts w:hint="default" w:ascii="Times New Roman" w:hAnsi="Times New Roman" w:cs="Times New Roman"/>
          <w:color w:val="auto"/>
          <w:highlight w:val="none"/>
        </w:rPr>
        <w:fldChar w:fldCharType="separate"/>
      </w:r>
      <w:r>
        <w:rPr>
          <w:rFonts w:hint="default" w:ascii="Times New Roman" w:hAnsi="Times New Roman" w:eastAsia="宋体" w:cs="Times New Roman"/>
          <w:b/>
          <w:color w:val="auto"/>
          <w:highlight w:val="none"/>
        </w:rPr>
        <w:t>第一条定义</w:t>
      </w:r>
      <w:r>
        <w:rPr>
          <w:rFonts w:hint="default" w:ascii="Times New Roman" w:hAnsi="Times New Roman" w:eastAsia="宋体" w:cs="Times New Roman"/>
          <w:b/>
          <w:color w:val="auto"/>
          <w:highlight w:val="none"/>
        </w:rPr>
        <w:fldChar w:fldCharType="end"/>
      </w:r>
    </w:p>
    <w:p w14:paraId="150F37FA">
      <w:pPr>
        <w:pStyle w:val="11"/>
        <w:tabs>
          <w:tab w:val="right" w:leader="dot" w:pos="8302"/>
        </w:tabs>
        <w:rPr>
          <w:rFonts w:hint="default" w:ascii="Times New Roman" w:hAnsi="Times New Roman" w:eastAsia="宋体" w:cs="Times New Roman"/>
          <w:color w:val="auto"/>
          <w:spacing w:val="0"/>
          <w:sz w:val="21"/>
          <w:szCs w:val="22"/>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"_Toc84948026" </w:instrText>
      </w:r>
      <w:r>
        <w:rPr>
          <w:rFonts w:hint="default" w:ascii="Times New Roman" w:hAnsi="Times New Roman" w:cs="Times New Roman"/>
          <w:color w:val="auto"/>
          <w:highlight w:val="none"/>
        </w:rPr>
        <w:fldChar w:fldCharType="separate"/>
      </w:r>
      <w:r>
        <w:rPr>
          <w:rFonts w:hint="default" w:ascii="Times New Roman" w:hAnsi="Times New Roman" w:eastAsia="宋体" w:cs="Times New Roman"/>
          <w:b/>
          <w:color w:val="auto"/>
          <w:highlight w:val="none"/>
        </w:rPr>
        <w:t>第二条项目名称、内容及要求</w:t>
      </w:r>
      <w:r>
        <w:rPr>
          <w:rFonts w:hint="default" w:ascii="Times New Roman" w:hAnsi="Times New Roman" w:eastAsia="宋体" w:cs="Times New Roman"/>
          <w:b/>
          <w:color w:val="auto"/>
          <w:highlight w:val="none"/>
        </w:rPr>
        <w:fldChar w:fldCharType="end"/>
      </w:r>
    </w:p>
    <w:p w14:paraId="61191D36">
      <w:pPr>
        <w:pStyle w:val="11"/>
        <w:tabs>
          <w:tab w:val="right" w:leader="dot" w:pos="8302"/>
        </w:tabs>
        <w:rPr>
          <w:rFonts w:hint="default" w:ascii="Times New Roman" w:hAnsi="Times New Roman" w:eastAsia="宋体" w:cs="Times New Roman"/>
          <w:color w:val="auto"/>
          <w:spacing w:val="0"/>
          <w:sz w:val="21"/>
          <w:szCs w:val="22"/>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"_Toc84948027" </w:instrText>
      </w:r>
      <w:r>
        <w:rPr>
          <w:rFonts w:hint="default" w:ascii="Times New Roman" w:hAnsi="Times New Roman" w:cs="Times New Roman"/>
          <w:color w:val="auto"/>
          <w:highlight w:val="none"/>
        </w:rPr>
        <w:fldChar w:fldCharType="separate"/>
      </w:r>
      <w:r>
        <w:rPr>
          <w:rFonts w:hint="default" w:ascii="Times New Roman" w:hAnsi="Times New Roman" w:eastAsia="宋体" w:cs="Times New Roman"/>
          <w:b/>
          <w:color w:val="auto"/>
          <w:highlight w:val="none"/>
        </w:rPr>
        <w:t>第三条项目履行的进度、期限、地点、地域、方式</w:t>
      </w:r>
      <w:r>
        <w:rPr>
          <w:rFonts w:hint="default" w:ascii="Times New Roman" w:hAnsi="Times New Roman" w:eastAsia="宋体" w:cs="Times New Roman"/>
          <w:b/>
          <w:color w:val="auto"/>
          <w:highlight w:val="none"/>
        </w:rPr>
        <w:fldChar w:fldCharType="end"/>
      </w:r>
    </w:p>
    <w:p w14:paraId="25B5F7BB">
      <w:pPr>
        <w:pStyle w:val="11"/>
        <w:tabs>
          <w:tab w:val="right" w:leader="dot" w:pos="8302"/>
        </w:tabs>
        <w:rPr>
          <w:rFonts w:hint="default" w:ascii="Times New Roman" w:hAnsi="Times New Roman" w:eastAsia="宋体" w:cs="Times New Roman"/>
          <w:color w:val="auto"/>
          <w:spacing w:val="0"/>
          <w:sz w:val="21"/>
          <w:szCs w:val="22"/>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"_Toc84948028" </w:instrText>
      </w:r>
      <w:r>
        <w:rPr>
          <w:rFonts w:hint="default" w:ascii="Times New Roman" w:hAnsi="Times New Roman" w:cs="Times New Roman"/>
          <w:color w:val="auto"/>
          <w:highlight w:val="none"/>
        </w:rPr>
        <w:fldChar w:fldCharType="separate"/>
      </w:r>
      <w:r>
        <w:rPr>
          <w:rFonts w:hint="default" w:ascii="Times New Roman" w:hAnsi="Times New Roman" w:eastAsia="宋体" w:cs="Times New Roman"/>
          <w:b/>
          <w:color w:val="auto"/>
          <w:highlight w:val="none"/>
        </w:rPr>
        <w:t>第四条方案调整</w:t>
      </w:r>
      <w:r>
        <w:rPr>
          <w:rFonts w:hint="default" w:ascii="Times New Roman" w:hAnsi="Times New Roman" w:eastAsia="宋体" w:cs="Times New Roman"/>
          <w:b/>
          <w:color w:val="auto"/>
          <w:highlight w:val="none"/>
        </w:rPr>
        <w:fldChar w:fldCharType="end"/>
      </w:r>
    </w:p>
    <w:p w14:paraId="63EACF85">
      <w:pPr>
        <w:pStyle w:val="11"/>
        <w:tabs>
          <w:tab w:val="right" w:leader="dot" w:pos="8302"/>
        </w:tabs>
        <w:rPr>
          <w:rFonts w:hint="default" w:ascii="Times New Roman" w:hAnsi="Times New Roman" w:eastAsia="宋体" w:cs="Times New Roman"/>
          <w:color w:val="auto"/>
          <w:spacing w:val="0"/>
          <w:sz w:val="21"/>
          <w:szCs w:val="22"/>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"_Toc84948029" </w:instrText>
      </w:r>
      <w:r>
        <w:rPr>
          <w:rFonts w:hint="default" w:ascii="Times New Roman" w:hAnsi="Times New Roman" w:cs="Times New Roman"/>
          <w:color w:val="auto"/>
          <w:highlight w:val="none"/>
        </w:rPr>
        <w:fldChar w:fldCharType="separate"/>
      </w:r>
      <w:r>
        <w:rPr>
          <w:rFonts w:hint="default" w:ascii="Times New Roman" w:hAnsi="Times New Roman" w:eastAsia="宋体" w:cs="Times New Roman"/>
          <w:b/>
          <w:color w:val="auto"/>
          <w:highlight w:val="none"/>
        </w:rPr>
        <w:t>第五条验收</w:t>
      </w:r>
      <w:r>
        <w:rPr>
          <w:rFonts w:hint="default" w:ascii="Times New Roman" w:hAnsi="Times New Roman" w:eastAsia="宋体" w:cs="Times New Roman"/>
          <w:b/>
          <w:color w:val="auto"/>
          <w:highlight w:val="none"/>
        </w:rPr>
        <w:fldChar w:fldCharType="end"/>
      </w:r>
    </w:p>
    <w:p w14:paraId="03AF71D9">
      <w:pPr>
        <w:pStyle w:val="11"/>
        <w:tabs>
          <w:tab w:val="right" w:leader="dot" w:pos="8302"/>
        </w:tabs>
        <w:rPr>
          <w:rFonts w:hint="default" w:ascii="Times New Roman" w:hAnsi="Times New Roman" w:eastAsia="宋体" w:cs="Times New Roman"/>
          <w:color w:val="auto"/>
          <w:spacing w:val="0"/>
          <w:sz w:val="21"/>
          <w:szCs w:val="22"/>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"_Toc84948030" </w:instrText>
      </w:r>
      <w:r>
        <w:rPr>
          <w:rFonts w:hint="default" w:ascii="Times New Roman" w:hAnsi="Times New Roman" w:cs="Times New Roman"/>
          <w:color w:val="auto"/>
          <w:highlight w:val="none"/>
        </w:rPr>
        <w:fldChar w:fldCharType="separate"/>
      </w:r>
      <w:r>
        <w:rPr>
          <w:rFonts w:hint="default" w:ascii="Times New Roman" w:hAnsi="Times New Roman" w:eastAsia="宋体" w:cs="Times New Roman"/>
          <w:b/>
          <w:color w:val="auto"/>
          <w:highlight w:val="none"/>
        </w:rPr>
        <w:t>第六条交付使用后维护期、系统完善和保修维护服务</w:t>
      </w:r>
      <w:r>
        <w:rPr>
          <w:rFonts w:hint="default" w:ascii="Times New Roman" w:hAnsi="Times New Roman" w:eastAsia="宋体" w:cs="Times New Roman"/>
          <w:b/>
          <w:color w:val="auto"/>
          <w:highlight w:val="none"/>
        </w:rPr>
        <w:fldChar w:fldCharType="end"/>
      </w:r>
    </w:p>
    <w:p w14:paraId="5A7E69E1">
      <w:pPr>
        <w:pStyle w:val="11"/>
        <w:tabs>
          <w:tab w:val="right" w:leader="dot" w:pos="8302"/>
        </w:tabs>
        <w:rPr>
          <w:rFonts w:hint="default" w:ascii="Times New Roman" w:hAnsi="Times New Roman" w:eastAsia="宋体" w:cs="Times New Roman"/>
          <w:color w:val="auto"/>
          <w:spacing w:val="0"/>
          <w:sz w:val="21"/>
          <w:szCs w:val="22"/>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"_Toc84948031" </w:instrText>
      </w:r>
      <w:r>
        <w:rPr>
          <w:rFonts w:hint="default" w:ascii="Times New Roman" w:hAnsi="Times New Roman" w:cs="Times New Roman"/>
          <w:color w:val="auto"/>
          <w:highlight w:val="none"/>
        </w:rPr>
        <w:fldChar w:fldCharType="separate"/>
      </w:r>
      <w:r>
        <w:rPr>
          <w:rFonts w:hint="default" w:ascii="Times New Roman" w:hAnsi="Times New Roman" w:eastAsia="宋体" w:cs="Times New Roman"/>
          <w:b/>
          <w:color w:val="auto"/>
          <w:highlight w:val="none"/>
        </w:rPr>
        <w:t>第七条技术辅导与培训</w:t>
      </w:r>
      <w:r>
        <w:rPr>
          <w:rFonts w:hint="default" w:ascii="Times New Roman" w:hAnsi="Times New Roman" w:eastAsia="宋体" w:cs="Times New Roman"/>
          <w:b/>
          <w:color w:val="auto"/>
          <w:highlight w:val="none"/>
        </w:rPr>
        <w:fldChar w:fldCharType="end"/>
      </w:r>
    </w:p>
    <w:p w14:paraId="42D8D925">
      <w:pPr>
        <w:pStyle w:val="11"/>
        <w:tabs>
          <w:tab w:val="right" w:leader="dot" w:pos="8302"/>
        </w:tabs>
        <w:rPr>
          <w:rFonts w:hint="default" w:ascii="Times New Roman" w:hAnsi="Times New Roman" w:eastAsia="宋体" w:cs="Times New Roman"/>
          <w:color w:val="auto"/>
          <w:spacing w:val="0"/>
          <w:sz w:val="21"/>
          <w:szCs w:val="22"/>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"_Toc84948032" </w:instrText>
      </w:r>
      <w:r>
        <w:rPr>
          <w:rFonts w:hint="default" w:ascii="Times New Roman" w:hAnsi="Times New Roman" w:cs="Times New Roman"/>
          <w:color w:val="auto"/>
          <w:highlight w:val="none"/>
        </w:rPr>
        <w:fldChar w:fldCharType="separate"/>
      </w:r>
      <w:r>
        <w:rPr>
          <w:rFonts w:hint="default" w:ascii="Times New Roman" w:hAnsi="Times New Roman" w:eastAsia="宋体" w:cs="Times New Roman"/>
          <w:b/>
          <w:color w:val="auto"/>
          <w:highlight w:val="none"/>
        </w:rPr>
        <w:t>第八条双方的权利、义务</w:t>
      </w:r>
      <w:r>
        <w:rPr>
          <w:rFonts w:hint="default" w:ascii="Times New Roman" w:hAnsi="Times New Roman" w:eastAsia="宋体" w:cs="Times New Roman"/>
          <w:b/>
          <w:color w:val="auto"/>
          <w:highlight w:val="none"/>
        </w:rPr>
        <w:fldChar w:fldCharType="end"/>
      </w:r>
    </w:p>
    <w:p w14:paraId="220DA4CF">
      <w:pPr>
        <w:pStyle w:val="11"/>
        <w:tabs>
          <w:tab w:val="right" w:leader="dot" w:pos="8302"/>
        </w:tabs>
        <w:rPr>
          <w:rFonts w:hint="default" w:ascii="Times New Roman" w:hAnsi="Times New Roman" w:eastAsia="宋体" w:cs="Times New Roman"/>
          <w:color w:val="auto"/>
          <w:spacing w:val="0"/>
          <w:sz w:val="21"/>
          <w:szCs w:val="22"/>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"_Toc84948033" </w:instrText>
      </w:r>
      <w:r>
        <w:rPr>
          <w:rFonts w:hint="default" w:ascii="Times New Roman" w:hAnsi="Times New Roman" w:cs="Times New Roman"/>
          <w:color w:val="auto"/>
          <w:highlight w:val="none"/>
        </w:rPr>
        <w:fldChar w:fldCharType="separate"/>
      </w:r>
      <w:r>
        <w:rPr>
          <w:rFonts w:hint="default" w:ascii="Times New Roman" w:hAnsi="Times New Roman" w:eastAsia="宋体" w:cs="Times New Roman"/>
          <w:b/>
          <w:color w:val="auto"/>
          <w:highlight w:val="none"/>
        </w:rPr>
        <w:t>第九条乙方的声明与保证</w:t>
      </w:r>
      <w:r>
        <w:rPr>
          <w:rFonts w:hint="default" w:ascii="Times New Roman" w:hAnsi="Times New Roman" w:eastAsia="宋体" w:cs="Times New Roman"/>
          <w:b/>
          <w:color w:val="auto"/>
          <w:highlight w:val="none"/>
        </w:rPr>
        <w:fldChar w:fldCharType="end"/>
      </w:r>
    </w:p>
    <w:p w14:paraId="10BB1DA0">
      <w:pPr>
        <w:pStyle w:val="11"/>
        <w:tabs>
          <w:tab w:val="right" w:leader="dot" w:pos="8302"/>
        </w:tabs>
        <w:rPr>
          <w:rFonts w:hint="default" w:ascii="Times New Roman" w:hAnsi="Times New Roman" w:eastAsia="宋体" w:cs="Times New Roman"/>
          <w:color w:val="auto"/>
          <w:spacing w:val="0"/>
          <w:sz w:val="21"/>
          <w:szCs w:val="22"/>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"_Toc84948034" </w:instrText>
      </w:r>
      <w:r>
        <w:rPr>
          <w:rFonts w:hint="default" w:ascii="Times New Roman" w:hAnsi="Times New Roman" w:cs="Times New Roman"/>
          <w:color w:val="auto"/>
          <w:highlight w:val="none"/>
        </w:rPr>
        <w:fldChar w:fldCharType="separate"/>
      </w:r>
      <w:r>
        <w:rPr>
          <w:rFonts w:hint="default" w:ascii="Times New Roman" w:hAnsi="Times New Roman" w:eastAsia="宋体" w:cs="Times New Roman"/>
          <w:b/>
          <w:color w:val="auto"/>
          <w:highlight w:val="none"/>
        </w:rPr>
        <w:t>第十条知识产权</w:t>
      </w:r>
      <w:r>
        <w:rPr>
          <w:rFonts w:hint="default" w:ascii="Times New Roman" w:hAnsi="Times New Roman" w:eastAsia="宋体" w:cs="Times New Roman"/>
          <w:b/>
          <w:color w:val="auto"/>
          <w:highlight w:val="none"/>
        </w:rPr>
        <w:fldChar w:fldCharType="end"/>
      </w:r>
    </w:p>
    <w:p w14:paraId="6D687F24">
      <w:pPr>
        <w:pStyle w:val="11"/>
        <w:tabs>
          <w:tab w:val="right" w:leader="dot" w:pos="8302"/>
        </w:tabs>
        <w:rPr>
          <w:rFonts w:hint="default" w:ascii="Times New Roman" w:hAnsi="Times New Roman" w:eastAsia="宋体" w:cs="Times New Roman"/>
          <w:color w:val="auto"/>
          <w:spacing w:val="0"/>
          <w:sz w:val="21"/>
          <w:szCs w:val="22"/>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"_Toc84948035" </w:instrText>
      </w:r>
      <w:r>
        <w:rPr>
          <w:rFonts w:hint="default" w:ascii="Times New Roman" w:hAnsi="Times New Roman" w:cs="Times New Roman"/>
          <w:color w:val="auto"/>
          <w:highlight w:val="none"/>
        </w:rPr>
        <w:fldChar w:fldCharType="separate"/>
      </w:r>
      <w:r>
        <w:rPr>
          <w:rFonts w:hint="default" w:ascii="Times New Roman" w:hAnsi="Times New Roman" w:eastAsia="宋体" w:cs="Times New Roman"/>
          <w:b/>
          <w:color w:val="auto"/>
          <w:highlight w:val="none"/>
        </w:rPr>
        <w:t>第十一条第三方索赔</w:t>
      </w:r>
      <w:r>
        <w:rPr>
          <w:rFonts w:hint="default" w:ascii="Times New Roman" w:hAnsi="Times New Roman" w:eastAsia="宋体" w:cs="Times New Roman"/>
          <w:b/>
          <w:color w:val="auto"/>
          <w:highlight w:val="none"/>
        </w:rPr>
        <w:fldChar w:fldCharType="end"/>
      </w:r>
    </w:p>
    <w:p w14:paraId="68BC923E">
      <w:pPr>
        <w:pStyle w:val="11"/>
        <w:tabs>
          <w:tab w:val="right" w:leader="dot" w:pos="8302"/>
        </w:tabs>
        <w:rPr>
          <w:rFonts w:hint="default" w:ascii="Times New Roman" w:hAnsi="Times New Roman" w:eastAsia="宋体" w:cs="Times New Roman"/>
          <w:color w:val="auto"/>
          <w:spacing w:val="0"/>
          <w:sz w:val="21"/>
          <w:szCs w:val="22"/>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"_Toc84948036" </w:instrText>
      </w:r>
      <w:r>
        <w:rPr>
          <w:rFonts w:hint="default" w:ascii="Times New Roman" w:hAnsi="Times New Roman" w:cs="Times New Roman"/>
          <w:color w:val="auto"/>
          <w:highlight w:val="none"/>
        </w:rPr>
        <w:fldChar w:fldCharType="separate"/>
      </w:r>
      <w:r>
        <w:rPr>
          <w:rFonts w:hint="default" w:ascii="Times New Roman" w:hAnsi="Times New Roman" w:eastAsia="宋体" w:cs="Times New Roman"/>
          <w:b/>
          <w:color w:val="auto"/>
          <w:highlight w:val="none"/>
        </w:rPr>
        <w:t>第十二条保密</w:t>
      </w:r>
      <w:r>
        <w:rPr>
          <w:rFonts w:hint="default" w:ascii="Times New Roman" w:hAnsi="Times New Roman" w:eastAsia="宋体" w:cs="Times New Roman"/>
          <w:b/>
          <w:color w:val="auto"/>
          <w:highlight w:val="none"/>
        </w:rPr>
        <w:fldChar w:fldCharType="end"/>
      </w:r>
    </w:p>
    <w:p w14:paraId="0AAD2CD4">
      <w:pPr>
        <w:pStyle w:val="11"/>
        <w:tabs>
          <w:tab w:val="right" w:leader="dot" w:pos="8302"/>
        </w:tabs>
        <w:rPr>
          <w:rFonts w:hint="default" w:ascii="Times New Roman" w:hAnsi="Times New Roman" w:eastAsia="宋体" w:cs="Times New Roman"/>
          <w:color w:val="auto"/>
          <w:spacing w:val="0"/>
          <w:sz w:val="21"/>
          <w:szCs w:val="22"/>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"_Toc84948037" </w:instrText>
      </w:r>
      <w:r>
        <w:rPr>
          <w:rFonts w:hint="default" w:ascii="Times New Roman" w:hAnsi="Times New Roman" w:cs="Times New Roman"/>
          <w:color w:val="auto"/>
          <w:highlight w:val="none"/>
        </w:rPr>
        <w:fldChar w:fldCharType="separate"/>
      </w:r>
      <w:r>
        <w:rPr>
          <w:rFonts w:hint="default" w:ascii="Times New Roman" w:hAnsi="Times New Roman" w:eastAsia="宋体" w:cs="Times New Roman"/>
          <w:b/>
          <w:color w:val="auto"/>
          <w:highlight w:val="none"/>
        </w:rPr>
        <w:t>第十三条价格与支付</w:t>
      </w:r>
      <w:r>
        <w:rPr>
          <w:rFonts w:hint="default" w:ascii="Times New Roman" w:hAnsi="Times New Roman" w:eastAsia="宋体" w:cs="Times New Roman"/>
          <w:b/>
          <w:color w:val="auto"/>
          <w:highlight w:val="none"/>
        </w:rPr>
        <w:fldChar w:fldCharType="end"/>
      </w:r>
    </w:p>
    <w:p w14:paraId="5BA2940B">
      <w:pPr>
        <w:pStyle w:val="11"/>
        <w:tabs>
          <w:tab w:val="right" w:leader="dot" w:pos="8302"/>
        </w:tabs>
        <w:rPr>
          <w:rFonts w:hint="default" w:ascii="Times New Roman" w:hAnsi="Times New Roman" w:eastAsia="宋体" w:cs="Times New Roman"/>
          <w:color w:val="auto"/>
          <w:spacing w:val="0"/>
          <w:sz w:val="21"/>
          <w:szCs w:val="22"/>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"_Toc84948038" </w:instrText>
      </w:r>
      <w:r>
        <w:rPr>
          <w:rFonts w:hint="default" w:ascii="Times New Roman" w:hAnsi="Times New Roman" w:cs="Times New Roman"/>
          <w:color w:val="auto"/>
          <w:highlight w:val="none"/>
        </w:rPr>
        <w:fldChar w:fldCharType="separate"/>
      </w:r>
      <w:r>
        <w:rPr>
          <w:rFonts w:hint="default" w:ascii="Times New Roman" w:hAnsi="Times New Roman" w:eastAsia="宋体" w:cs="Times New Roman"/>
          <w:b/>
          <w:color w:val="auto"/>
          <w:highlight w:val="none"/>
        </w:rPr>
        <w:t>第十四条风险责任的承担</w:t>
      </w:r>
      <w:r>
        <w:rPr>
          <w:rFonts w:hint="default" w:ascii="Times New Roman" w:hAnsi="Times New Roman" w:eastAsia="宋体" w:cs="Times New Roman"/>
          <w:b/>
          <w:color w:val="auto"/>
          <w:highlight w:val="none"/>
        </w:rPr>
        <w:fldChar w:fldCharType="end"/>
      </w:r>
    </w:p>
    <w:p w14:paraId="30F0EA3E">
      <w:pPr>
        <w:pStyle w:val="11"/>
        <w:tabs>
          <w:tab w:val="right" w:leader="dot" w:pos="8302"/>
        </w:tabs>
        <w:rPr>
          <w:rFonts w:hint="default" w:ascii="Times New Roman" w:hAnsi="Times New Roman" w:eastAsia="宋体" w:cs="Times New Roman"/>
          <w:color w:val="auto"/>
          <w:spacing w:val="0"/>
          <w:sz w:val="21"/>
          <w:szCs w:val="22"/>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"_Toc84948039" </w:instrText>
      </w:r>
      <w:r>
        <w:rPr>
          <w:rFonts w:hint="default" w:ascii="Times New Roman" w:hAnsi="Times New Roman" w:cs="Times New Roman"/>
          <w:color w:val="auto"/>
          <w:highlight w:val="none"/>
        </w:rPr>
        <w:fldChar w:fldCharType="separate"/>
      </w:r>
      <w:r>
        <w:rPr>
          <w:rFonts w:hint="default" w:ascii="Times New Roman" w:hAnsi="Times New Roman" w:eastAsia="宋体" w:cs="Times New Roman"/>
          <w:b/>
          <w:color w:val="auto"/>
          <w:highlight w:val="none"/>
        </w:rPr>
        <w:t>第十五条违约与赔偿</w:t>
      </w:r>
      <w:r>
        <w:rPr>
          <w:rFonts w:hint="default" w:ascii="Times New Roman" w:hAnsi="Times New Roman" w:eastAsia="宋体" w:cs="Times New Roman"/>
          <w:b/>
          <w:color w:val="auto"/>
          <w:highlight w:val="none"/>
        </w:rPr>
        <w:fldChar w:fldCharType="end"/>
      </w:r>
    </w:p>
    <w:p w14:paraId="0ADC8B0D">
      <w:pPr>
        <w:pStyle w:val="11"/>
        <w:tabs>
          <w:tab w:val="right" w:leader="dot" w:pos="8302"/>
        </w:tabs>
        <w:rPr>
          <w:rFonts w:hint="default" w:ascii="Times New Roman" w:hAnsi="Times New Roman" w:eastAsia="宋体" w:cs="Times New Roman"/>
          <w:color w:val="auto"/>
          <w:spacing w:val="0"/>
          <w:sz w:val="21"/>
          <w:szCs w:val="22"/>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"_Toc84948040" </w:instrText>
      </w:r>
      <w:r>
        <w:rPr>
          <w:rFonts w:hint="default" w:ascii="Times New Roman" w:hAnsi="Times New Roman" w:cs="Times New Roman"/>
          <w:color w:val="auto"/>
          <w:highlight w:val="none"/>
        </w:rPr>
        <w:fldChar w:fldCharType="separate"/>
      </w:r>
      <w:r>
        <w:rPr>
          <w:rFonts w:hint="default" w:ascii="Times New Roman" w:hAnsi="Times New Roman" w:eastAsia="宋体" w:cs="Times New Roman"/>
          <w:b/>
          <w:color w:val="auto"/>
          <w:highlight w:val="none"/>
        </w:rPr>
        <w:t>第十六条合同的解除</w:t>
      </w:r>
      <w:r>
        <w:rPr>
          <w:rFonts w:hint="default" w:ascii="Times New Roman" w:hAnsi="Times New Roman" w:eastAsia="宋体" w:cs="Times New Roman"/>
          <w:b/>
          <w:color w:val="auto"/>
          <w:highlight w:val="none"/>
        </w:rPr>
        <w:fldChar w:fldCharType="end"/>
      </w:r>
    </w:p>
    <w:p w14:paraId="59495AB7">
      <w:pPr>
        <w:pStyle w:val="11"/>
        <w:tabs>
          <w:tab w:val="right" w:leader="dot" w:pos="8302"/>
        </w:tabs>
        <w:rPr>
          <w:rFonts w:hint="default" w:ascii="Times New Roman" w:hAnsi="Times New Roman" w:eastAsia="宋体" w:cs="Times New Roman"/>
          <w:color w:val="auto"/>
          <w:spacing w:val="0"/>
          <w:sz w:val="21"/>
          <w:szCs w:val="22"/>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"_Toc84948041" </w:instrText>
      </w:r>
      <w:r>
        <w:rPr>
          <w:rFonts w:hint="default" w:ascii="Times New Roman" w:hAnsi="Times New Roman" w:cs="Times New Roman"/>
          <w:color w:val="auto"/>
          <w:highlight w:val="none"/>
        </w:rPr>
        <w:fldChar w:fldCharType="separate"/>
      </w:r>
      <w:r>
        <w:rPr>
          <w:rFonts w:hint="default" w:ascii="Times New Roman" w:hAnsi="Times New Roman" w:eastAsia="宋体" w:cs="Times New Roman"/>
          <w:b/>
          <w:color w:val="auto"/>
          <w:highlight w:val="none"/>
        </w:rPr>
        <w:t>第十七条合同变更及转让</w:t>
      </w:r>
      <w:r>
        <w:rPr>
          <w:rFonts w:hint="default" w:ascii="Times New Roman" w:hAnsi="Times New Roman" w:eastAsia="宋体" w:cs="Times New Roman"/>
          <w:b/>
          <w:color w:val="auto"/>
          <w:highlight w:val="none"/>
        </w:rPr>
        <w:fldChar w:fldCharType="end"/>
      </w:r>
    </w:p>
    <w:p w14:paraId="7DE38CA7">
      <w:pPr>
        <w:pStyle w:val="11"/>
        <w:tabs>
          <w:tab w:val="right" w:leader="dot" w:pos="8302"/>
        </w:tabs>
        <w:rPr>
          <w:rFonts w:hint="default" w:ascii="Times New Roman" w:hAnsi="Times New Roman" w:eastAsia="宋体" w:cs="Times New Roman"/>
          <w:color w:val="auto"/>
          <w:spacing w:val="0"/>
          <w:sz w:val="21"/>
          <w:szCs w:val="22"/>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"_Toc84948042" </w:instrText>
      </w:r>
      <w:r>
        <w:rPr>
          <w:rFonts w:hint="default" w:ascii="Times New Roman" w:hAnsi="Times New Roman" w:cs="Times New Roman"/>
          <w:color w:val="auto"/>
          <w:highlight w:val="none"/>
        </w:rPr>
        <w:fldChar w:fldCharType="separate"/>
      </w:r>
      <w:r>
        <w:rPr>
          <w:rFonts w:hint="default" w:ascii="Times New Roman" w:hAnsi="Times New Roman" w:eastAsia="宋体" w:cs="Times New Roman"/>
          <w:b/>
          <w:color w:val="auto"/>
          <w:highlight w:val="none"/>
        </w:rPr>
        <w:t>第十八条争议解决</w:t>
      </w:r>
      <w:r>
        <w:rPr>
          <w:rFonts w:hint="default" w:ascii="Times New Roman" w:hAnsi="Times New Roman" w:eastAsia="宋体" w:cs="Times New Roman"/>
          <w:b/>
          <w:color w:val="auto"/>
          <w:highlight w:val="none"/>
        </w:rPr>
        <w:fldChar w:fldCharType="end"/>
      </w:r>
    </w:p>
    <w:p w14:paraId="01DE12E5">
      <w:pPr>
        <w:pStyle w:val="11"/>
        <w:tabs>
          <w:tab w:val="right" w:leader="dot" w:pos="8302"/>
        </w:tabs>
        <w:rPr>
          <w:rFonts w:hint="default" w:ascii="Times New Roman" w:hAnsi="Times New Roman" w:eastAsia="宋体" w:cs="Times New Roman"/>
          <w:color w:val="auto"/>
          <w:spacing w:val="0"/>
          <w:sz w:val="21"/>
          <w:szCs w:val="22"/>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"_Toc84948043" </w:instrText>
      </w:r>
      <w:r>
        <w:rPr>
          <w:rFonts w:hint="default" w:ascii="Times New Roman" w:hAnsi="Times New Roman" w:cs="Times New Roman"/>
          <w:color w:val="auto"/>
          <w:highlight w:val="none"/>
        </w:rPr>
        <w:fldChar w:fldCharType="separate"/>
      </w:r>
      <w:r>
        <w:rPr>
          <w:rFonts w:hint="default" w:ascii="Times New Roman" w:hAnsi="Times New Roman" w:eastAsia="宋体" w:cs="Times New Roman"/>
          <w:b/>
          <w:color w:val="auto"/>
          <w:highlight w:val="none"/>
        </w:rPr>
        <w:t>第十九条通知与送达</w:t>
      </w:r>
      <w:r>
        <w:rPr>
          <w:rFonts w:hint="default" w:ascii="Times New Roman" w:hAnsi="Times New Roman" w:eastAsia="宋体" w:cs="Times New Roman"/>
          <w:b/>
          <w:color w:val="auto"/>
          <w:highlight w:val="none"/>
        </w:rPr>
        <w:fldChar w:fldCharType="end"/>
      </w:r>
    </w:p>
    <w:p w14:paraId="49D8A5C9">
      <w:pPr>
        <w:pStyle w:val="11"/>
        <w:tabs>
          <w:tab w:val="right" w:leader="dot" w:pos="8302"/>
        </w:tabs>
        <w:rPr>
          <w:rFonts w:hint="default" w:ascii="Times New Roman" w:hAnsi="Times New Roman" w:eastAsia="宋体" w:cs="Times New Roman"/>
          <w:color w:val="auto"/>
          <w:spacing w:val="0"/>
          <w:sz w:val="21"/>
          <w:szCs w:val="22"/>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"_Toc84948044" </w:instrText>
      </w:r>
      <w:r>
        <w:rPr>
          <w:rFonts w:hint="default" w:ascii="Times New Roman" w:hAnsi="Times New Roman" w:cs="Times New Roman"/>
          <w:color w:val="auto"/>
          <w:highlight w:val="none"/>
        </w:rPr>
        <w:fldChar w:fldCharType="separate"/>
      </w:r>
      <w:r>
        <w:rPr>
          <w:rFonts w:hint="default" w:ascii="Times New Roman" w:hAnsi="Times New Roman" w:eastAsia="宋体" w:cs="Times New Roman"/>
          <w:b/>
          <w:color w:val="auto"/>
          <w:highlight w:val="none"/>
        </w:rPr>
        <w:t>第二十条合同生效</w:t>
      </w:r>
      <w:r>
        <w:rPr>
          <w:rFonts w:hint="default" w:ascii="Times New Roman" w:hAnsi="Times New Roman" w:eastAsia="宋体" w:cs="Times New Roman"/>
          <w:b/>
          <w:color w:val="auto"/>
          <w:highlight w:val="none"/>
        </w:rPr>
        <w:fldChar w:fldCharType="end"/>
      </w:r>
    </w:p>
    <w:p w14:paraId="4EE3AA47">
      <w:pPr>
        <w:pStyle w:val="11"/>
        <w:tabs>
          <w:tab w:val="right" w:leader="dot" w:pos="8302"/>
        </w:tabs>
        <w:rPr>
          <w:rFonts w:hint="default" w:ascii="Times New Roman" w:hAnsi="Times New Roman" w:eastAsia="宋体" w:cs="Times New Roman"/>
          <w:color w:val="auto"/>
          <w:spacing w:val="0"/>
          <w:sz w:val="21"/>
          <w:szCs w:val="22"/>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"_Toc84948045" </w:instrText>
      </w:r>
      <w:r>
        <w:rPr>
          <w:rFonts w:hint="default" w:ascii="Times New Roman" w:hAnsi="Times New Roman" w:cs="Times New Roman"/>
          <w:color w:val="auto"/>
          <w:highlight w:val="none"/>
        </w:rPr>
        <w:fldChar w:fldCharType="separate"/>
      </w:r>
      <w:r>
        <w:rPr>
          <w:rFonts w:hint="default" w:ascii="Times New Roman" w:hAnsi="Times New Roman" w:eastAsia="宋体" w:cs="Times New Roman"/>
          <w:b/>
          <w:color w:val="auto"/>
          <w:highlight w:val="none"/>
        </w:rPr>
        <w:t>第二十一条不可抗力</w:t>
      </w:r>
      <w:r>
        <w:rPr>
          <w:rFonts w:hint="default" w:ascii="Times New Roman" w:hAnsi="Times New Roman" w:eastAsia="宋体" w:cs="Times New Roman"/>
          <w:b/>
          <w:color w:val="auto"/>
          <w:highlight w:val="none"/>
        </w:rPr>
        <w:fldChar w:fldCharType="end"/>
      </w:r>
    </w:p>
    <w:p w14:paraId="1103D763">
      <w:pPr>
        <w:pStyle w:val="11"/>
        <w:tabs>
          <w:tab w:val="right" w:leader="dot" w:pos="8302"/>
        </w:tabs>
        <w:rPr>
          <w:rFonts w:hint="default" w:ascii="Times New Roman" w:hAnsi="Times New Roman" w:eastAsia="宋体" w:cs="Times New Roman"/>
          <w:color w:val="auto"/>
          <w:spacing w:val="0"/>
          <w:sz w:val="21"/>
          <w:szCs w:val="22"/>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"_Toc84948046" </w:instrText>
      </w:r>
      <w:r>
        <w:rPr>
          <w:rFonts w:hint="default" w:ascii="Times New Roman" w:hAnsi="Times New Roman" w:cs="Times New Roman"/>
          <w:color w:val="auto"/>
          <w:highlight w:val="none"/>
        </w:rPr>
        <w:fldChar w:fldCharType="separate"/>
      </w:r>
      <w:r>
        <w:rPr>
          <w:rFonts w:hint="default" w:ascii="Times New Roman" w:hAnsi="Times New Roman" w:eastAsia="宋体" w:cs="Times New Roman"/>
          <w:b/>
          <w:color w:val="auto"/>
          <w:highlight w:val="none"/>
        </w:rPr>
        <w:t>第二十二条反商业贿赂</w:t>
      </w:r>
      <w:r>
        <w:rPr>
          <w:rFonts w:hint="default" w:ascii="Times New Roman" w:hAnsi="Times New Roman" w:eastAsia="宋体" w:cs="Times New Roman"/>
          <w:b/>
          <w:color w:val="auto"/>
          <w:highlight w:val="none"/>
        </w:rPr>
        <w:fldChar w:fldCharType="end"/>
      </w:r>
    </w:p>
    <w:p w14:paraId="284F9696">
      <w:pPr>
        <w:pStyle w:val="11"/>
        <w:tabs>
          <w:tab w:val="right" w:leader="dot" w:pos="8302"/>
        </w:tabs>
        <w:rPr>
          <w:rFonts w:hint="default" w:ascii="Times New Roman" w:hAnsi="Times New Roman" w:eastAsia="宋体" w:cs="Times New Roman"/>
          <w:color w:val="auto"/>
          <w:spacing w:val="0"/>
          <w:sz w:val="21"/>
          <w:szCs w:val="22"/>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"_Toc84948047" </w:instrText>
      </w:r>
      <w:r>
        <w:rPr>
          <w:rFonts w:hint="default" w:ascii="Times New Roman" w:hAnsi="Times New Roman" w:cs="Times New Roman"/>
          <w:color w:val="auto"/>
          <w:highlight w:val="none"/>
        </w:rPr>
        <w:fldChar w:fldCharType="separate"/>
      </w:r>
      <w:r>
        <w:rPr>
          <w:rFonts w:hint="default" w:ascii="Times New Roman" w:hAnsi="Times New Roman" w:eastAsia="宋体" w:cs="Times New Roman"/>
          <w:b/>
          <w:color w:val="auto"/>
          <w:highlight w:val="none"/>
        </w:rPr>
        <w:t>第二十三条附件</w:t>
      </w:r>
      <w:r>
        <w:rPr>
          <w:rFonts w:hint="default" w:ascii="Times New Roman" w:hAnsi="Times New Roman" w:eastAsia="宋体" w:cs="Times New Roman"/>
          <w:b/>
          <w:color w:val="auto"/>
          <w:highlight w:val="none"/>
        </w:rPr>
        <w:fldChar w:fldCharType="end"/>
      </w:r>
    </w:p>
    <w:p w14:paraId="1516861D">
      <w:pPr>
        <w:pStyle w:val="11"/>
        <w:tabs>
          <w:tab w:val="right" w:leader="dot" w:pos="8302"/>
        </w:tabs>
        <w:rPr>
          <w:rFonts w:hint="default" w:ascii="Times New Roman" w:hAnsi="Times New Roman" w:eastAsia="宋体" w:cs="Times New Roman"/>
          <w:color w:val="auto"/>
          <w:spacing w:val="0"/>
          <w:sz w:val="21"/>
          <w:szCs w:val="22"/>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"_Toc84948048" </w:instrText>
      </w:r>
      <w:r>
        <w:rPr>
          <w:rFonts w:hint="default" w:ascii="Times New Roman" w:hAnsi="Times New Roman" w:cs="Times New Roman"/>
          <w:color w:val="auto"/>
          <w:highlight w:val="none"/>
        </w:rPr>
        <w:fldChar w:fldCharType="separate"/>
      </w:r>
      <w:r>
        <w:rPr>
          <w:rFonts w:hint="default" w:ascii="Times New Roman" w:hAnsi="Times New Roman" w:eastAsia="宋体" w:cs="Times New Roman"/>
          <w:b/>
          <w:color w:val="auto"/>
          <w:highlight w:val="none"/>
        </w:rPr>
        <w:t>第二十四条其他</w:t>
      </w:r>
      <w:r>
        <w:rPr>
          <w:rFonts w:hint="default" w:ascii="Times New Roman" w:hAnsi="Times New Roman" w:eastAsia="宋体" w:cs="Times New Roman"/>
          <w:b/>
          <w:color w:val="auto"/>
          <w:highlight w:val="none"/>
        </w:rPr>
        <w:fldChar w:fldCharType="end"/>
      </w:r>
    </w:p>
    <w:p w14:paraId="334F8820">
      <w:pPr>
        <w:pStyle w:val="11"/>
        <w:tabs>
          <w:tab w:val="right" w:leader="dot" w:pos="8302"/>
        </w:tabs>
        <w:spacing w:line="350" w:lineRule="auto"/>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fldChar w:fldCharType="end"/>
      </w:r>
    </w:p>
    <w:p w14:paraId="3008C303">
      <w:pPr>
        <w:spacing w:line="360" w:lineRule="auto"/>
        <w:rPr>
          <w:rFonts w:hint="default" w:ascii="Times New Roman" w:hAnsi="Times New Roman" w:eastAsia="宋体" w:cs="Times New Roman"/>
          <w:color w:val="auto"/>
          <w:spacing w:val="0"/>
          <w:highlight w:val="none"/>
        </w:rPr>
      </w:pPr>
    </w:p>
    <w:p w14:paraId="6CF06AEB">
      <w:pPr>
        <w:spacing w:line="360" w:lineRule="auto"/>
        <w:rPr>
          <w:rFonts w:hint="default" w:ascii="Times New Roman" w:hAnsi="Times New Roman" w:eastAsia="宋体" w:cs="Times New Roman"/>
          <w:b/>
          <w:color w:val="auto"/>
          <w:spacing w:val="0"/>
          <w:highlight w:val="none"/>
          <w:u w:val="single"/>
        </w:rPr>
      </w:pPr>
      <w:r>
        <w:rPr>
          <w:rFonts w:hint="default" w:ascii="Times New Roman" w:hAnsi="Times New Roman" w:eastAsia="宋体" w:cs="Times New Roman"/>
          <w:color w:val="auto"/>
          <w:spacing w:val="0"/>
          <w:highlight w:val="none"/>
        </w:rPr>
        <w:br w:type="page"/>
      </w:r>
      <w:r>
        <w:rPr>
          <w:rFonts w:hint="default" w:ascii="Times New Roman" w:hAnsi="Times New Roman" w:eastAsia="宋体" w:cs="Times New Roman"/>
          <w:b/>
          <w:color w:val="auto"/>
          <w:spacing w:val="0"/>
          <w:highlight w:val="none"/>
        </w:rPr>
        <w:t>委托方: 重庆三峡银行股份有限公司（以下简称</w:t>
      </w:r>
      <w:r>
        <w:rPr>
          <w:rFonts w:hint="eastAsia" w:ascii="Times New Roman" w:hAnsi="Times New Roman" w:cs="Times New Roman"/>
          <w:b/>
          <w:color w:val="auto"/>
          <w:spacing w:val="0"/>
          <w:highlight w:val="none"/>
          <w:lang w:eastAsia="zh-CN"/>
        </w:rPr>
        <w:t>“</w:t>
      </w:r>
      <w:r>
        <w:rPr>
          <w:rFonts w:hint="default" w:ascii="Times New Roman" w:hAnsi="Times New Roman" w:eastAsia="宋体" w:cs="Times New Roman"/>
          <w:b/>
          <w:color w:val="auto"/>
          <w:spacing w:val="0"/>
          <w:highlight w:val="none"/>
        </w:rPr>
        <w:t>甲方</w:t>
      </w:r>
      <w:r>
        <w:rPr>
          <w:rFonts w:hint="eastAsia" w:ascii="Times New Roman" w:hAnsi="Times New Roman" w:cs="Times New Roman"/>
          <w:b/>
          <w:color w:val="auto"/>
          <w:spacing w:val="0"/>
          <w:highlight w:val="none"/>
          <w:lang w:eastAsia="zh-CN"/>
        </w:rPr>
        <w:t>”</w:t>
      </w:r>
      <w:r>
        <w:rPr>
          <w:rFonts w:hint="default" w:ascii="Times New Roman" w:hAnsi="Times New Roman" w:eastAsia="宋体" w:cs="Times New Roman"/>
          <w:b/>
          <w:color w:val="auto"/>
          <w:spacing w:val="0"/>
          <w:highlight w:val="none"/>
        </w:rPr>
        <w:t>）</w:t>
      </w:r>
    </w:p>
    <w:p w14:paraId="60C85743">
      <w:pPr>
        <w:spacing w:line="360" w:lineRule="auto"/>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法定代表人：刘江桥</w:t>
      </w:r>
    </w:p>
    <w:p w14:paraId="2466151D">
      <w:pPr>
        <w:spacing w:line="360" w:lineRule="auto"/>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地址：重庆市渝北区嘉州路88号中渝国际都会4号写字楼</w:t>
      </w:r>
    </w:p>
    <w:p w14:paraId="29F99C2E">
      <w:pPr>
        <w:spacing w:line="360" w:lineRule="auto"/>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邮政编码：</w:t>
      </w:r>
    </w:p>
    <w:p w14:paraId="291D9148">
      <w:pPr>
        <w:spacing w:line="360" w:lineRule="auto"/>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联系人：</w:t>
      </w:r>
    </w:p>
    <w:p w14:paraId="66E5B176">
      <w:pPr>
        <w:spacing w:line="360" w:lineRule="auto"/>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电话：</w:t>
      </w:r>
    </w:p>
    <w:p w14:paraId="3304575E">
      <w:pPr>
        <w:spacing w:line="360" w:lineRule="auto"/>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电子邮箱：</w:t>
      </w:r>
    </w:p>
    <w:p w14:paraId="200BB34F">
      <w:pPr>
        <w:spacing w:line="360" w:lineRule="auto"/>
        <w:rPr>
          <w:rFonts w:hint="default" w:ascii="Times New Roman" w:hAnsi="Times New Roman" w:eastAsia="宋体" w:cs="Times New Roman"/>
          <w:color w:val="auto"/>
          <w:spacing w:val="0"/>
          <w:highlight w:val="none"/>
        </w:rPr>
      </w:pPr>
    </w:p>
    <w:p w14:paraId="7AF4353A">
      <w:pPr>
        <w:spacing w:line="360" w:lineRule="auto"/>
        <w:rPr>
          <w:rFonts w:hint="default" w:ascii="Times New Roman" w:hAnsi="Times New Roman" w:eastAsia="宋体" w:cs="Times New Roman"/>
          <w:b/>
          <w:color w:val="auto"/>
          <w:spacing w:val="0"/>
          <w:highlight w:val="none"/>
        </w:rPr>
      </w:pPr>
      <w:r>
        <w:rPr>
          <w:rFonts w:hint="default" w:ascii="Times New Roman" w:hAnsi="Times New Roman" w:eastAsia="宋体" w:cs="Times New Roman"/>
          <w:b/>
          <w:color w:val="auto"/>
          <w:spacing w:val="0"/>
          <w:highlight w:val="none"/>
        </w:rPr>
        <w:t>受托方：XXXXXXXXXXXXX（以下简称</w:t>
      </w:r>
      <w:r>
        <w:rPr>
          <w:rFonts w:hint="eastAsia" w:ascii="Times New Roman" w:hAnsi="Times New Roman" w:cs="Times New Roman"/>
          <w:b/>
          <w:color w:val="auto"/>
          <w:spacing w:val="0"/>
          <w:highlight w:val="none"/>
          <w:lang w:eastAsia="zh-CN"/>
        </w:rPr>
        <w:t>“</w:t>
      </w:r>
      <w:r>
        <w:rPr>
          <w:rFonts w:hint="default" w:ascii="Times New Roman" w:hAnsi="Times New Roman" w:eastAsia="宋体" w:cs="Times New Roman"/>
          <w:b/>
          <w:color w:val="auto"/>
          <w:spacing w:val="0"/>
          <w:highlight w:val="none"/>
        </w:rPr>
        <w:t>乙方</w:t>
      </w:r>
      <w:r>
        <w:rPr>
          <w:rFonts w:hint="eastAsia" w:ascii="Times New Roman" w:hAnsi="Times New Roman" w:cs="Times New Roman"/>
          <w:b/>
          <w:color w:val="auto"/>
          <w:spacing w:val="0"/>
          <w:highlight w:val="none"/>
          <w:lang w:eastAsia="zh-CN"/>
        </w:rPr>
        <w:t>”</w:t>
      </w:r>
      <w:r>
        <w:rPr>
          <w:rFonts w:hint="default" w:ascii="Times New Roman" w:hAnsi="Times New Roman" w:eastAsia="宋体" w:cs="Times New Roman"/>
          <w:b/>
          <w:color w:val="auto"/>
          <w:spacing w:val="0"/>
          <w:highlight w:val="none"/>
        </w:rPr>
        <w:t>）</w:t>
      </w:r>
    </w:p>
    <w:p w14:paraId="43F2E506">
      <w:pPr>
        <w:spacing w:line="360" w:lineRule="auto"/>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 xml:space="preserve">法定代表人： </w:t>
      </w:r>
    </w:p>
    <w:p w14:paraId="7E489774">
      <w:pPr>
        <w:spacing w:line="360" w:lineRule="auto"/>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地址：</w:t>
      </w:r>
    </w:p>
    <w:p w14:paraId="35328DA9">
      <w:pPr>
        <w:spacing w:line="360" w:lineRule="auto"/>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邮政编码：</w:t>
      </w:r>
    </w:p>
    <w:p w14:paraId="50CAD643">
      <w:pPr>
        <w:spacing w:line="360" w:lineRule="auto"/>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 xml:space="preserve">开户银行： </w:t>
      </w:r>
    </w:p>
    <w:p w14:paraId="14BE4543">
      <w:pPr>
        <w:spacing w:line="360" w:lineRule="auto"/>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账号：</w:t>
      </w:r>
    </w:p>
    <w:p w14:paraId="317787DA">
      <w:pPr>
        <w:spacing w:line="360" w:lineRule="auto"/>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税号：</w:t>
      </w:r>
    </w:p>
    <w:p w14:paraId="5DE07449">
      <w:pPr>
        <w:spacing w:line="360" w:lineRule="auto"/>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 xml:space="preserve">联系人： </w:t>
      </w:r>
    </w:p>
    <w:p w14:paraId="56AA0383">
      <w:pPr>
        <w:spacing w:line="360" w:lineRule="auto"/>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电话：</w:t>
      </w:r>
    </w:p>
    <w:p w14:paraId="1C8F72A1">
      <w:pPr>
        <w:spacing w:line="360" w:lineRule="auto"/>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手机：</w:t>
      </w:r>
    </w:p>
    <w:p w14:paraId="3B031620">
      <w:pPr>
        <w:spacing w:line="360" w:lineRule="auto"/>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传真：</w:t>
      </w:r>
    </w:p>
    <w:p w14:paraId="532BCF48">
      <w:pPr>
        <w:spacing w:line="360" w:lineRule="auto"/>
        <w:rPr>
          <w:rFonts w:hint="default" w:ascii="Times New Roman" w:hAnsi="Times New Roman" w:eastAsia="宋体" w:cs="Times New Roman"/>
          <w:color w:val="auto"/>
          <w:spacing w:val="0"/>
          <w:highlight w:val="none"/>
          <w:lang w:val="en-GB"/>
        </w:rPr>
      </w:pPr>
      <w:r>
        <w:rPr>
          <w:rFonts w:hint="default" w:ascii="Times New Roman" w:hAnsi="Times New Roman" w:eastAsia="宋体" w:cs="Times New Roman"/>
          <w:color w:val="auto"/>
          <w:spacing w:val="0"/>
          <w:highlight w:val="none"/>
        </w:rPr>
        <w:t>电子邮箱：</w:t>
      </w:r>
    </w:p>
    <w:p w14:paraId="22F8F250">
      <w:pPr>
        <w:keepNext w:val="0"/>
        <w:keepLines w:val="0"/>
        <w:pageBreakBefore w:val="0"/>
        <w:kinsoku/>
        <w:wordWrap/>
        <w:overflowPunct/>
        <w:topLinePunct w:val="0"/>
        <w:autoSpaceDE w:val="0"/>
        <w:autoSpaceDN w:val="0"/>
        <w:bidi w:val="0"/>
        <w:spacing w:line="360" w:lineRule="auto"/>
        <w:ind w:firstLine="482" w:firstLineChars="200"/>
        <w:outlineLvl w:val="9"/>
        <w:rPr>
          <w:rFonts w:hint="default" w:ascii="Times New Roman" w:hAnsi="Times New Roman" w:eastAsia="宋体" w:cs="Times New Roman"/>
          <w:b/>
          <w:color w:val="auto"/>
          <w:spacing w:val="0"/>
          <w:highlight w:val="none"/>
        </w:rPr>
      </w:pPr>
      <w:r>
        <w:rPr>
          <w:rFonts w:hint="default" w:ascii="Times New Roman" w:hAnsi="Times New Roman" w:eastAsia="宋体" w:cs="Times New Roman"/>
          <w:b/>
          <w:color w:val="auto"/>
          <w:spacing w:val="0"/>
          <w:highlight w:val="none"/>
        </w:rPr>
        <w:br w:type="page"/>
      </w:r>
      <w:r>
        <w:rPr>
          <w:rFonts w:hint="default" w:ascii="Times New Roman" w:hAnsi="Times New Roman" w:eastAsia="宋体" w:cs="Times New Roman"/>
          <w:b/>
          <w:color w:val="auto"/>
          <w:spacing w:val="0"/>
          <w:highlight w:val="none"/>
        </w:rPr>
        <w:t>鉴于：</w:t>
      </w:r>
    </w:p>
    <w:p w14:paraId="784ADBDB">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highlight w:val="none"/>
        </w:rPr>
      </w:pPr>
      <w:r>
        <w:rPr>
          <w:rStyle w:val="49"/>
          <w:rFonts w:hint="default" w:ascii="Times New Roman" w:hAnsi="Times New Roman" w:eastAsia="宋体" w:cs="Times New Roman"/>
          <w:color w:val="auto"/>
          <w:spacing w:val="0"/>
          <w:kern w:val="0"/>
          <w:highlight w:val="none"/>
        </w:rPr>
        <w:t>乙方具有良好的开发实施能力，甲乙双方经友好协商并达成一致，依据相关法律、法规的规定，就甲方委托乙方进行项目实施与技术支持，向乙方订购</w:t>
      </w:r>
      <w:r>
        <w:rPr>
          <w:rStyle w:val="49"/>
          <w:rFonts w:hint="eastAsia" w:ascii="Times New Roman" w:hAnsi="Times New Roman" w:cs="Times New Roman"/>
          <w:color w:val="auto"/>
          <w:spacing w:val="0"/>
          <w:kern w:val="0"/>
          <w:highlight w:val="none"/>
          <w:lang w:val="en-US" w:eastAsia="zh-CN"/>
        </w:rPr>
        <w:t>湖仓一体底座</w:t>
      </w:r>
      <w:r>
        <w:rPr>
          <w:rStyle w:val="49"/>
          <w:rFonts w:hint="default" w:ascii="Times New Roman" w:hAnsi="Times New Roman" w:eastAsia="宋体" w:cs="Times New Roman"/>
          <w:color w:val="auto"/>
          <w:spacing w:val="0"/>
          <w:kern w:val="0"/>
          <w:highlight w:val="none"/>
        </w:rPr>
        <w:t>（含定制化开发）</w:t>
      </w:r>
      <w:r>
        <w:rPr>
          <w:rStyle w:val="49"/>
          <w:rFonts w:hint="eastAsia" w:ascii="Times New Roman" w:hAnsi="Times New Roman" w:cs="Times New Roman"/>
          <w:color w:val="auto"/>
          <w:spacing w:val="0"/>
          <w:kern w:val="0"/>
          <w:highlight w:val="none"/>
          <w:lang w:val="en-US" w:eastAsia="zh-CN"/>
        </w:rPr>
        <w:t>、数据作业平台</w:t>
      </w:r>
      <w:r>
        <w:rPr>
          <w:rStyle w:val="49"/>
          <w:rFonts w:hint="default" w:ascii="Times New Roman" w:hAnsi="Times New Roman" w:eastAsia="宋体" w:cs="Times New Roman"/>
          <w:color w:val="auto"/>
          <w:spacing w:val="0"/>
          <w:kern w:val="0"/>
          <w:highlight w:val="none"/>
        </w:rPr>
        <w:t>（含定制化开发）</w:t>
      </w:r>
      <w:r>
        <w:rPr>
          <w:rStyle w:val="49"/>
          <w:rFonts w:hint="eastAsia" w:ascii="Times New Roman" w:hAnsi="Times New Roman" w:cs="Times New Roman"/>
          <w:color w:val="auto"/>
          <w:spacing w:val="0"/>
          <w:kern w:val="0"/>
          <w:highlight w:val="none"/>
          <w:lang w:val="en-US" w:eastAsia="zh-CN"/>
        </w:rPr>
        <w:t>以及新一代数据中台实施与迁移</w:t>
      </w:r>
      <w:r>
        <w:rPr>
          <w:rStyle w:val="49"/>
          <w:rFonts w:hint="default" w:ascii="Times New Roman" w:hAnsi="Times New Roman" w:eastAsia="宋体" w:cs="Times New Roman"/>
          <w:color w:val="auto"/>
          <w:spacing w:val="0"/>
          <w:kern w:val="0"/>
          <w:highlight w:val="none"/>
        </w:rPr>
        <w:t>的相关事宜订立本合同，</w:t>
      </w:r>
      <w:r>
        <w:rPr>
          <w:rFonts w:hint="default" w:ascii="Times New Roman" w:hAnsi="Times New Roman" w:eastAsia="宋体" w:cs="Times New Roman"/>
          <w:color w:val="auto"/>
          <w:spacing w:val="0"/>
          <w:highlight w:val="none"/>
        </w:rPr>
        <w:t>以资信守：</w:t>
      </w:r>
    </w:p>
    <w:p w14:paraId="5212A3F2">
      <w:pPr>
        <w:keepNext w:val="0"/>
        <w:keepLines w:val="0"/>
        <w:pageBreakBefore w:val="0"/>
        <w:widowControl w:val="0"/>
        <w:kinsoku/>
        <w:wordWrap/>
        <w:overflowPunct/>
        <w:topLinePunct w:val="0"/>
        <w:autoSpaceDE w:val="0"/>
        <w:autoSpaceDN w:val="0"/>
        <w:bidi w:val="0"/>
        <w:adjustRightInd/>
        <w:snapToGrid/>
        <w:spacing w:line="360" w:lineRule="auto"/>
        <w:ind w:firstLine="472" w:firstLineChars="196"/>
        <w:jc w:val="left"/>
        <w:textAlignment w:val="auto"/>
        <w:outlineLvl w:val="9"/>
        <w:rPr>
          <w:rFonts w:hint="default" w:ascii="Times New Roman" w:hAnsi="Times New Roman" w:eastAsia="宋体" w:cs="Times New Roman"/>
          <w:b/>
          <w:color w:val="auto"/>
          <w:spacing w:val="0"/>
          <w:highlight w:val="none"/>
        </w:rPr>
      </w:pPr>
      <w:bookmarkStart w:id="266" w:name="_Toc84948025"/>
      <w:r>
        <w:rPr>
          <w:rFonts w:hint="default" w:ascii="Times New Roman" w:hAnsi="Times New Roman" w:eastAsia="宋体" w:cs="Times New Roman"/>
          <w:b/>
          <w:color w:val="auto"/>
          <w:spacing w:val="0"/>
          <w:highlight w:val="none"/>
        </w:rPr>
        <w:t>第一条 定义</w:t>
      </w:r>
      <w:bookmarkEnd w:id="266"/>
    </w:p>
    <w:p w14:paraId="71B17C70">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在本合同中，除非有相反的表述，下列术语具有如下含义：</w:t>
      </w:r>
    </w:p>
    <w:p w14:paraId="4D068241">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1.1</w:t>
      </w:r>
      <w:r>
        <w:rPr>
          <w:rFonts w:hint="eastAsia" w:ascii="Times New Roman" w:hAnsi="Times New Roman" w:cs="Times New Roman"/>
          <w:color w:val="auto"/>
          <w:spacing w:val="0"/>
          <w:highlight w:val="none"/>
          <w:lang w:eastAsia="zh-CN"/>
        </w:rPr>
        <w:t>“</w:t>
      </w:r>
      <w:r>
        <w:rPr>
          <w:rFonts w:hint="default" w:ascii="Times New Roman" w:hAnsi="Times New Roman" w:eastAsia="宋体" w:cs="Times New Roman"/>
          <w:color w:val="auto"/>
          <w:spacing w:val="0"/>
          <w:highlight w:val="none"/>
        </w:rPr>
        <w:t>项目</w:t>
      </w:r>
      <w:r>
        <w:rPr>
          <w:rFonts w:hint="eastAsia" w:ascii="Times New Roman" w:hAnsi="Times New Roman" w:cs="Times New Roman"/>
          <w:color w:val="auto"/>
          <w:spacing w:val="0"/>
          <w:highlight w:val="none"/>
          <w:lang w:eastAsia="zh-CN"/>
        </w:rPr>
        <w:t>”</w:t>
      </w:r>
      <w:r>
        <w:rPr>
          <w:rFonts w:hint="default" w:ascii="Times New Roman" w:hAnsi="Times New Roman" w:eastAsia="宋体" w:cs="Times New Roman"/>
          <w:color w:val="auto"/>
          <w:spacing w:val="0"/>
          <w:highlight w:val="none"/>
        </w:rPr>
        <w:t>系指乙方受甲方委托，单独为本合同目的依据合同附件一《工作（需求）说明书》的产品实施与数据迁移服务。</w:t>
      </w:r>
    </w:p>
    <w:p w14:paraId="7F00EF2C">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1.2</w:t>
      </w:r>
      <w:r>
        <w:rPr>
          <w:rFonts w:hint="eastAsia" w:ascii="Times New Roman" w:hAnsi="Times New Roman" w:cs="Times New Roman"/>
          <w:color w:val="auto"/>
          <w:spacing w:val="0"/>
          <w:highlight w:val="none"/>
          <w:lang w:eastAsia="zh-CN"/>
        </w:rPr>
        <w:t>“</w:t>
      </w:r>
      <w:r>
        <w:rPr>
          <w:rFonts w:hint="default" w:ascii="Times New Roman" w:hAnsi="Times New Roman" w:eastAsia="宋体" w:cs="Times New Roman"/>
          <w:color w:val="auto"/>
          <w:spacing w:val="0"/>
          <w:highlight w:val="none"/>
        </w:rPr>
        <w:t>客户化工作</w:t>
      </w:r>
      <w:r>
        <w:rPr>
          <w:rFonts w:hint="eastAsia" w:ascii="Times New Roman" w:hAnsi="Times New Roman" w:cs="Times New Roman"/>
          <w:color w:val="auto"/>
          <w:spacing w:val="0"/>
          <w:highlight w:val="none"/>
          <w:lang w:eastAsia="zh-CN"/>
        </w:rPr>
        <w:t>”</w:t>
      </w:r>
      <w:r>
        <w:rPr>
          <w:rFonts w:hint="default" w:ascii="Times New Roman" w:hAnsi="Times New Roman" w:eastAsia="宋体" w:cs="Times New Roman"/>
          <w:color w:val="auto"/>
          <w:spacing w:val="0"/>
          <w:highlight w:val="none"/>
        </w:rPr>
        <w:t>指项目交付乙方后乙方对甲方的需求进行开发实施。</w:t>
      </w:r>
    </w:p>
    <w:p w14:paraId="210BD9CA">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1.3</w:t>
      </w:r>
      <w:r>
        <w:rPr>
          <w:rFonts w:hint="eastAsia" w:ascii="Times New Roman" w:hAnsi="Times New Roman" w:cs="Times New Roman"/>
          <w:color w:val="auto"/>
          <w:spacing w:val="0"/>
          <w:highlight w:val="none"/>
          <w:lang w:eastAsia="zh-CN"/>
        </w:rPr>
        <w:t>“</w:t>
      </w:r>
      <w:r>
        <w:rPr>
          <w:rFonts w:hint="default" w:ascii="Times New Roman" w:hAnsi="Times New Roman" w:eastAsia="宋体" w:cs="Times New Roman"/>
          <w:color w:val="auto"/>
          <w:spacing w:val="0"/>
          <w:highlight w:val="none"/>
        </w:rPr>
        <w:t>产品实施数据迁移</w:t>
      </w:r>
      <w:r>
        <w:rPr>
          <w:rFonts w:hint="eastAsia" w:ascii="Times New Roman" w:hAnsi="Times New Roman" w:cs="Times New Roman"/>
          <w:color w:val="auto"/>
          <w:spacing w:val="0"/>
          <w:highlight w:val="none"/>
          <w:lang w:eastAsia="zh-CN"/>
        </w:rPr>
        <w:t>”</w:t>
      </w:r>
      <w:r>
        <w:rPr>
          <w:rFonts w:hint="default" w:ascii="Times New Roman" w:hAnsi="Times New Roman" w:eastAsia="宋体" w:cs="Times New Roman"/>
          <w:color w:val="auto"/>
          <w:spacing w:val="0"/>
          <w:highlight w:val="none"/>
        </w:rPr>
        <w:t>指乙方产品的安装配置和业务数据迁移服务。</w:t>
      </w:r>
    </w:p>
    <w:p w14:paraId="5AEC80FA">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1.4</w:t>
      </w:r>
      <w:r>
        <w:rPr>
          <w:rFonts w:hint="eastAsia" w:ascii="Times New Roman" w:hAnsi="Times New Roman" w:cs="Times New Roman"/>
          <w:color w:val="auto"/>
          <w:spacing w:val="0"/>
          <w:highlight w:val="none"/>
          <w:lang w:eastAsia="zh-CN"/>
        </w:rPr>
        <w:t>“</w:t>
      </w:r>
      <w:r>
        <w:rPr>
          <w:rFonts w:hint="default" w:ascii="Times New Roman" w:hAnsi="Times New Roman" w:eastAsia="宋体" w:cs="Times New Roman"/>
          <w:color w:val="auto"/>
          <w:spacing w:val="0"/>
          <w:highlight w:val="none"/>
        </w:rPr>
        <w:t>XXXXXXXX</w:t>
      </w:r>
      <w:r>
        <w:rPr>
          <w:rFonts w:hint="default" w:ascii="Times New Roman" w:hAnsi="Times New Roman" w:eastAsia="宋体" w:cs="Times New Roman"/>
          <w:color w:val="auto"/>
          <w:spacing w:val="0"/>
          <w:highlight w:val="none"/>
          <w:lang w:val="en-GB"/>
        </w:rPr>
        <w:t>系统</w:t>
      </w:r>
      <w:r>
        <w:rPr>
          <w:rFonts w:hint="default" w:ascii="Times New Roman" w:hAnsi="Times New Roman" w:eastAsia="宋体" w:cs="Times New Roman"/>
          <w:color w:val="auto"/>
          <w:spacing w:val="0"/>
          <w:highlight w:val="none"/>
        </w:rPr>
        <w:t>业务</w:t>
      </w:r>
      <w:r>
        <w:rPr>
          <w:rFonts w:hint="eastAsia" w:ascii="Times New Roman" w:hAnsi="Times New Roman" w:cs="Times New Roman"/>
          <w:color w:val="auto"/>
          <w:spacing w:val="0"/>
          <w:highlight w:val="none"/>
          <w:lang w:eastAsia="zh-CN"/>
        </w:rPr>
        <w:t>”</w:t>
      </w:r>
      <w:r>
        <w:rPr>
          <w:rFonts w:hint="default" w:ascii="Times New Roman" w:hAnsi="Times New Roman" w:eastAsia="宋体" w:cs="Times New Roman"/>
          <w:color w:val="auto"/>
          <w:spacing w:val="0"/>
          <w:highlight w:val="none"/>
        </w:rPr>
        <w:t>指乙方提供给甲方的附件一中所涵盖的业务功能。</w:t>
      </w:r>
    </w:p>
    <w:p w14:paraId="116345D5">
      <w:pPr>
        <w:keepNext w:val="0"/>
        <w:keepLines w:val="0"/>
        <w:pageBreakBefore w:val="0"/>
        <w:kinsoku/>
        <w:wordWrap/>
        <w:overflowPunct/>
        <w:topLinePunct w:val="0"/>
        <w:autoSpaceDE w:val="0"/>
        <w:autoSpaceDN w:val="0"/>
        <w:bidi w:val="0"/>
        <w:spacing w:line="360" w:lineRule="auto"/>
        <w:ind w:left="-2" w:leftChars="-1" w:firstLine="480" w:firstLineChars="200"/>
        <w:outlineLvl w:val="9"/>
        <w:rPr>
          <w:rFonts w:hint="default" w:ascii="Times New Roman" w:hAnsi="Times New Roman" w:eastAsia="宋体" w:cs="Times New Roman"/>
          <w:color w:val="auto"/>
          <w:spacing w:val="0"/>
          <w:szCs w:val="24"/>
          <w:highlight w:val="none"/>
        </w:rPr>
      </w:pPr>
      <w:r>
        <w:rPr>
          <w:rFonts w:hint="default" w:ascii="Times New Roman" w:hAnsi="Times New Roman" w:eastAsia="宋体" w:cs="Times New Roman"/>
          <w:color w:val="auto"/>
          <w:spacing w:val="0"/>
          <w:szCs w:val="24"/>
          <w:highlight w:val="none"/>
        </w:rPr>
        <w:t>1.5</w:t>
      </w:r>
      <w:r>
        <w:rPr>
          <w:rFonts w:hint="eastAsia" w:ascii="Times New Roman" w:hAnsi="Times New Roman" w:cs="Times New Roman"/>
          <w:color w:val="auto"/>
          <w:spacing w:val="0"/>
          <w:szCs w:val="24"/>
          <w:highlight w:val="none"/>
          <w:lang w:eastAsia="zh-CN"/>
        </w:rPr>
        <w:t>“</w:t>
      </w:r>
      <w:r>
        <w:rPr>
          <w:rFonts w:hint="default" w:ascii="Times New Roman" w:hAnsi="Times New Roman" w:eastAsia="宋体" w:cs="Times New Roman"/>
          <w:color w:val="auto"/>
          <w:spacing w:val="0"/>
          <w:szCs w:val="24"/>
          <w:highlight w:val="none"/>
        </w:rPr>
        <w:t>缺陷逃逸率</w:t>
      </w:r>
      <w:r>
        <w:rPr>
          <w:rFonts w:hint="eastAsia" w:ascii="Times New Roman" w:hAnsi="Times New Roman" w:cs="Times New Roman"/>
          <w:color w:val="auto"/>
          <w:spacing w:val="0"/>
          <w:szCs w:val="24"/>
          <w:highlight w:val="none"/>
          <w:lang w:eastAsia="zh-CN"/>
        </w:rPr>
        <w:t>”</w:t>
      </w:r>
      <w:r>
        <w:rPr>
          <w:rFonts w:hint="default" w:ascii="Times New Roman" w:hAnsi="Times New Roman" w:eastAsia="宋体" w:cs="Times New Roman"/>
          <w:color w:val="auto"/>
          <w:spacing w:val="0"/>
          <w:szCs w:val="24"/>
          <w:highlight w:val="none"/>
        </w:rPr>
        <w:t>：后一测试阶段测试期间发现的缺陷个数/（当前测试期间所发现的缺陷个数+后一测试期间发现的缺陷个数）。</w:t>
      </w:r>
    </w:p>
    <w:p w14:paraId="1891FA99">
      <w:pPr>
        <w:keepNext w:val="0"/>
        <w:keepLines w:val="0"/>
        <w:pageBreakBefore w:val="0"/>
        <w:kinsoku/>
        <w:wordWrap/>
        <w:overflowPunct/>
        <w:topLinePunct w:val="0"/>
        <w:autoSpaceDE w:val="0"/>
        <w:autoSpaceDN w:val="0"/>
        <w:bidi w:val="0"/>
        <w:spacing w:line="360" w:lineRule="auto"/>
        <w:ind w:left="-2" w:leftChars="-1" w:firstLine="480" w:firstLineChars="200"/>
        <w:outlineLvl w:val="9"/>
        <w:rPr>
          <w:rFonts w:hint="default" w:ascii="Times New Roman" w:hAnsi="Times New Roman" w:eastAsia="宋体" w:cs="Times New Roman"/>
          <w:color w:val="auto"/>
          <w:spacing w:val="0"/>
          <w:szCs w:val="24"/>
          <w:highlight w:val="none"/>
        </w:rPr>
      </w:pPr>
      <w:r>
        <w:rPr>
          <w:rFonts w:hint="default" w:ascii="Times New Roman" w:hAnsi="Times New Roman" w:eastAsia="宋体" w:cs="Times New Roman"/>
          <w:color w:val="auto"/>
          <w:spacing w:val="0"/>
          <w:szCs w:val="24"/>
          <w:highlight w:val="none"/>
        </w:rPr>
        <w:t>1.6</w:t>
      </w:r>
      <w:r>
        <w:rPr>
          <w:rFonts w:hint="eastAsia" w:ascii="Times New Roman" w:hAnsi="Times New Roman" w:cs="Times New Roman"/>
          <w:color w:val="auto"/>
          <w:spacing w:val="0"/>
          <w:szCs w:val="24"/>
          <w:highlight w:val="none"/>
          <w:lang w:eastAsia="zh-CN"/>
        </w:rPr>
        <w:t>“</w:t>
      </w:r>
      <w:r>
        <w:rPr>
          <w:rFonts w:hint="default" w:ascii="Times New Roman" w:hAnsi="Times New Roman" w:eastAsia="宋体" w:cs="Times New Roman"/>
          <w:color w:val="auto"/>
          <w:spacing w:val="0"/>
          <w:szCs w:val="24"/>
          <w:highlight w:val="none"/>
        </w:rPr>
        <w:t>试运行</w:t>
      </w:r>
      <w:r>
        <w:rPr>
          <w:rFonts w:hint="eastAsia" w:ascii="Times New Roman" w:hAnsi="Times New Roman" w:cs="Times New Roman"/>
          <w:color w:val="auto"/>
          <w:spacing w:val="0"/>
          <w:szCs w:val="24"/>
          <w:highlight w:val="none"/>
          <w:lang w:eastAsia="zh-CN"/>
        </w:rPr>
        <w:t>”</w:t>
      </w:r>
      <w:r>
        <w:rPr>
          <w:rFonts w:hint="default" w:ascii="Times New Roman" w:hAnsi="Times New Roman" w:eastAsia="宋体" w:cs="Times New Roman"/>
          <w:color w:val="auto"/>
          <w:spacing w:val="0"/>
          <w:szCs w:val="24"/>
          <w:highlight w:val="none"/>
        </w:rPr>
        <w:t>：项目上线后进入试运行阶段，项目试运行至少3个月。在试运行期间，甲方随时将发现的逃逸的缺陷通知乙方，乙方在最快的时间内予以响应。</w:t>
      </w:r>
    </w:p>
    <w:p w14:paraId="5F514E63">
      <w:pPr>
        <w:keepNext w:val="0"/>
        <w:keepLines w:val="0"/>
        <w:pageBreakBefore w:val="0"/>
        <w:kinsoku/>
        <w:wordWrap/>
        <w:overflowPunct/>
        <w:topLinePunct w:val="0"/>
        <w:autoSpaceDE w:val="0"/>
        <w:autoSpaceDN w:val="0"/>
        <w:bidi w:val="0"/>
        <w:spacing w:line="360" w:lineRule="auto"/>
        <w:ind w:left="-2" w:leftChars="-1" w:firstLine="480" w:firstLineChars="200"/>
        <w:outlineLvl w:val="9"/>
        <w:rPr>
          <w:rFonts w:hint="default" w:ascii="Times New Roman" w:hAnsi="Times New Roman" w:eastAsia="宋体" w:cs="Times New Roman"/>
          <w:color w:val="auto"/>
          <w:spacing w:val="0"/>
          <w:szCs w:val="24"/>
          <w:highlight w:val="none"/>
        </w:rPr>
      </w:pPr>
      <w:r>
        <w:rPr>
          <w:rFonts w:hint="default" w:ascii="Times New Roman" w:hAnsi="Times New Roman" w:eastAsia="宋体" w:cs="Times New Roman"/>
          <w:color w:val="auto"/>
          <w:spacing w:val="0"/>
          <w:szCs w:val="24"/>
          <w:highlight w:val="none"/>
        </w:rPr>
        <w:t>1.7</w:t>
      </w:r>
      <w:r>
        <w:rPr>
          <w:rFonts w:hint="eastAsia" w:ascii="Times New Roman" w:hAnsi="Times New Roman" w:cs="Times New Roman"/>
          <w:color w:val="auto"/>
          <w:spacing w:val="0"/>
          <w:szCs w:val="24"/>
          <w:highlight w:val="none"/>
          <w:lang w:eastAsia="zh-CN"/>
        </w:rPr>
        <w:t>“</w:t>
      </w:r>
      <w:r>
        <w:rPr>
          <w:rFonts w:hint="default" w:ascii="Times New Roman" w:hAnsi="Times New Roman" w:eastAsia="宋体" w:cs="Times New Roman"/>
          <w:color w:val="auto"/>
          <w:spacing w:val="0"/>
          <w:szCs w:val="24"/>
          <w:highlight w:val="none"/>
        </w:rPr>
        <w:t>响应时间</w:t>
      </w:r>
      <w:r>
        <w:rPr>
          <w:rFonts w:hint="eastAsia" w:ascii="Times New Roman" w:hAnsi="Times New Roman" w:cs="Times New Roman"/>
          <w:color w:val="auto"/>
          <w:spacing w:val="0"/>
          <w:szCs w:val="24"/>
          <w:highlight w:val="none"/>
          <w:lang w:eastAsia="zh-CN"/>
        </w:rPr>
        <w:t>”</w:t>
      </w:r>
      <w:r>
        <w:rPr>
          <w:rFonts w:hint="default" w:ascii="Times New Roman" w:hAnsi="Times New Roman" w:eastAsia="宋体" w:cs="Times New Roman"/>
          <w:color w:val="auto"/>
          <w:spacing w:val="0"/>
          <w:szCs w:val="24"/>
          <w:highlight w:val="none"/>
        </w:rPr>
        <w:t>：指乙方就甲方提出的问题予以答复的时间。</w:t>
      </w:r>
    </w:p>
    <w:p w14:paraId="07546674">
      <w:pPr>
        <w:keepNext w:val="0"/>
        <w:keepLines w:val="0"/>
        <w:pageBreakBefore w:val="0"/>
        <w:kinsoku/>
        <w:wordWrap/>
        <w:overflowPunct/>
        <w:topLinePunct w:val="0"/>
        <w:autoSpaceDE w:val="0"/>
        <w:autoSpaceDN w:val="0"/>
        <w:bidi w:val="0"/>
        <w:spacing w:line="360" w:lineRule="auto"/>
        <w:ind w:left="-2" w:leftChars="-1" w:firstLine="480" w:firstLineChars="200"/>
        <w:outlineLvl w:val="9"/>
        <w:rPr>
          <w:rFonts w:hint="default" w:ascii="Times New Roman" w:hAnsi="Times New Roman" w:eastAsia="宋体" w:cs="Times New Roman"/>
          <w:color w:val="auto"/>
          <w:spacing w:val="0"/>
          <w:szCs w:val="24"/>
          <w:highlight w:val="none"/>
        </w:rPr>
      </w:pPr>
      <w:r>
        <w:rPr>
          <w:rFonts w:hint="default" w:ascii="Times New Roman" w:hAnsi="Times New Roman" w:eastAsia="宋体" w:cs="Times New Roman"/>
          <w:color w:val="auto"/>
          <w:spacing w:val="0"/>
          <w:szCs w:val="24"/>
          <w:highlight w:val="none"/>
        </w:rPr>
        <w:t>1.8</w:t>
      </w:r>
      <w:r>
        <w:rPr>
          <w:rFonts w:hint="eastAsia" w:ascii="Times New Roman" w:hAnsi="Times New Roman" w:cs="Times New Roman"/>
          <w:color w:val="auto"/>
          <w:spacing w:val="0"/>
          <w:szCs w:val="24"/>
          <w:highlight w:val="none"/>
          <w:lang w:eastAsia="zh-CN"/>
        </w:rPr>
        <w:t>“</w:t>
      </w:r>
      <w:r>
        <w:rPr>
          <w:rFonts w:hint="default" w:ascii="Times New Roman" w:hAnsi="Times New Roman" w:eastAsia="宋体" w:cs="Times New Roman"/>
          <w:color w:val="auto"/>
          <w:spacing w:val="0"/>
          <w:szCs w:val="24"/>
          <w:highlight w:val="none"/>
        </w:rPr>
        <w:t>特别重大运营中断事件（I级）</w:t>
      </w:r>
      <w:r>
        <w:rPr>
          <w:rFonts w:hint="eastAsia" w:ascii="Times New Roman" w:hAnsi="Times New Roman" w:cs="Times New Roman"/>
          <w:color w:val="auto"/>
          <w:spacing w:val="0"/>
          <w:szCs w:val="24"/>
          <w:highlight w:val="none"/>
          <w:lang w:eastAsia="zh-CN"/>
        </w:rPr>
        <w:t>”</w:t>
      </w:r>
      <w:r>
        <w:rPr>
          <w:rFonts w:hint="default" w:ascii="Times New Roman" w:hAnsi="Times New Roman" w:eastAsia="宋体" w:cs="Times New Roman"/>
          <w:color w:val="auto"/>
          <w:spacing w:val="0"/>
          <w:szCs w:val="24"/>
          <w:highlight w:val="none"/>
        </w:rPr>
        <w:t>：（1）由于重要信息系统服务中断或重要数据损毁、丢失、泄露，造成经济秩序混乱或重大经济损失、影响金融稳定的，或对公众利益造成特别严重损害的事件；（2）由于重要信息系统服务异常，在业务服务时段导致甲方两个（含）以上省（自治区、直辖市）业务无法正常开展达3个小时(含)以上，或一个省（自治区、直辖市）业务无法正常开展达6小时（含）以上的事件；（3）业务服务时段以外，重要信息系统出现的故障或事件救治未果，可能产生上述1至2类的事件。</w:t>
      </w:r>
    </w:p>
    <w:p w14:paraId="56AB1FF7">
      <w:pPr>
        <w:keepNext w:val="0"/>
        <w:keepLines w:val="0"/>
        <w:pageBreakBefore w:val="0"/>
        <w:kinsoku/>
        <w:wordWrap/>
        <w:overflowPunct/>
        <w:topLinePunct w:val="0"/>
        <w:autoSpaceDE w:val="0"/>
        <w:autoSpaceDN w:val="0"/>
        <w:bidi w:val="0"/>
        <w:spacing w:line="360" w:lineRule="auto"/>
        <w:ind w:left="-2" w:leftChars="-1" w:firstLine="480" w:firstLineChars="200"/>
        <w:outlineLvl w:val="9"/>
        <w:rPr>
          <w:rFonts w:hint="default" w:ascii="Times New Roman" w:hAnsi="Times New Roman" w:eastAsia="宋体" w:cs="Times New Roman"/>
          <w:color w:val="auto"/>
          <w:spacing w:val="0"/>
          <w:szCs w:val="24"/>
          <w:highlight w:val="none"/>
        </w:rPr>
      </w:pPr>
      <w:r>
        <w:rPr>
          <w:rFonts w:hint="default" w:ascii="Times New Roman" w:hAnsi="Times New Roman" w:eastAsia="宋体" w:cs="Times New Roman"/>
          <w:color w:val="auto"/>
          <w:spacing w:val="0"/>
          <w:szCs w:val="24"/>
          <w:highlight w:val="none"/>
        </w:rPr>
        <w:t>1.9</w:t>
      </w:r>
      <w:r>
        <w:rPr>
          <w:rFonts w:hint="eastAsia" w:ascii="Times New Roman" w:hAnsi="Times New Roman" w:cs="Times New Roman"/>
          <w:color w:val="auto"/>
          <w:spacing w:val="0"/>
          <w:szCs w:val="24"/>
          <w:highlight w:val="none"/>
          <w:lang w:eastAsia="zh-CN"/>
        </w:rPr>
        <w:t>“</w:t>
      </w:r>
      <w:r>
        <w:rPr>
          <w:rFonts w:hint="default" w:ascii="Times New Roman" w:hAnsi="Times New Roman" w:eastAsia="宋体" w:cs="Times New Roman"/>
          <w:color w:val="auto"/>
          <w:spacing w:val="0"/>
          <w:szCs w:val="24"/>
          <w:highlight w:val="none"/>
        </w:rPr>
        <w:t>重大运营中断事件（II级）</w:t>
      </w:r>
      <w:r>
        <w:rPr>
          <w:rFonts w:hint="eastAsia" w:ascii="Times New Roman" w:hAnsi="Times New Roman" w:cs="Times New Roman"/>
          <w:color w:val="auto"/>
          <w:spacing w:val="0"/>
          <w:szCs w:val="24"/>
          <w:highlight w:val="none"/>
          <w:lang w:eastAsia="zh-CN"/>
        </w:rPr>
        <w:t>”</w:t>
      </w:r>
      <w:r>
        <w:rPr>
          <w:rFonts w:hint="default" w:ascii="Times New Roman" w:hAnsi="Times New Roman" w:eastAsia="宋体" w:cs="Times New Roman"/>
          <w:color w:val="auto"/>
          <w:spacing w:val="0"/>
          <w:szCs w:val="24"/>
          <w:highlight w:val="none"/>
        </w:rPr>
        <w:t>：（1）由于重要信息系统服务中断或重要数据损毁、丢失、泄露，对银行或客户利益造成严重损害的事件；（2）由于重要信息系统服务异常，在业务服务时段导致甲方两个（含）以上省（自治区、直辖市）业务无法正常开展达半个小时(含)以上，或一个省（自治区、直辖市）业务无法正常开展达3小时（含）以上的事件；（3）业务服务时段以外，重要信息系统出现的故障或事件救治未果，可能产生上述1至2类的事件。</w:t>
      </w:r>
    </w:p>
    <w:p w14:paraId="79E650E7">
      <w:pPr>
        <w:keepNext w:val="0"/>
        <w:keepLines w:val="0"/>
        <w:pageBreakBefore w:val="0"/>
        <w:kinsoku/>
        <w:wordWrap/>
        <w:overflowPunct/>
        <w:topLinePunct w:val="0"/>
        <w:autoSpaceDE w:val="0"/>
        <w:autoSpaceDN w:val="0"/>
        <w:bidi w:val="0"/>
        <w:spacing w:line="360" w:lineRule="auto"/>
        <w:ind w:left="-2" w:leftChars="-1" w:firstLine="480" w:firstLineChars="200"/>
        <w:outlineLvl w:val="9"/>
        <w:rPr>
          <w:rFonts w:hint="default" w:ascii="Times New Roman" w:hAnsi="Times New Roman" w:eastAsia="宋体" w:cs="Times New Roman"/>
          <w:color w:val="auto"/>
          <w:spacing w:val="0"/>
          <w:szCs w:val="24"/>
          <w:highlight w:val="none"/>
        </w:rPr>
      </w:pPr>
      <w:r>
        <w:rPr>
          <w:rFonts w:hint="default" w:ascii="Times New Roman" w:hAnsi="Times New Roman" w:eastAsia="宋体" w:cs="Times New Roman"/>
          <w:color w:val="auto"/>
          <w:spacing w:val="0"/>
          <w:szCs w:val="24"/>
          <w:highlight w:val="none"/>
        </w:rPr>
        <w:t xml:space="preserve">1.10 </w:t>
      </w:r>
      <w:r>
        <w:rPr>
          <w:rFonts w:hint="eastAsia" w:ascii="Times New Roman" w:hAnsi="Times New Roman" w:cs="Times New Roman"/>
          <w:color w:val="auto"/>
          <w:spacing w:val="0"/>
          <w:szCs w:val="24"/>
          <w:highlight w:val="none"/>
          <w:lang w:eastAsia="zh-CN"/>
        </w:rPr>
        <w:t>“</w:t>
      </w:r>
      <w:r>
        <w:rPr>
          <w:rFonts w:hint="default" w:ascii="Times New Roman" w:hAnsi="Times New Roman" w:eastAsia="宋体" w:cs="Times New Roman"/>
          <w:color w:val="auto"/>
          <w:spacing w:val="0"/>
          <w:szCs w:val="24"/>
          <w:highlight w:val="none"/>
        </w:rPr>
        <w:t>较大运营中断事件（III级）</w:t>
      </w:r>
      <w:r>
        <w:rPr>
          <w:rFonts w:hint="eastAsia" w:ascii="Times New Roman" w:hAnsi="Times New Roman" w:cs="Times New Roman"/>
          <w:color w:val="auto"/>
          <w:spacing w:val="0"/>
          <w:szCs w:val="24"/>
          <w:highlight w:val="none"/>
          <w:lang w:eastAsia="zh-CN"/>
        </w:rPr>
        <w:t>”</w:t>
      </w:r>
      <w:r>
        <w:rPr>
          <w:rFonts w:hint="default" w:ascii="Times New Roman" w:hAnsi="Times New Roman" w:eastAsia="宋体" w:cs="Times New Roman"/>
          <w:color w:val="auto"/>
          <w:spacing w:val="0"/>
          <w:szCs w:val="24"/>
          <w:highlight w:val="none"/>
        </w:rPr>
        <w:t>：（1）由于重要信息系统服务中断或重要数据损毁、丢失、泄露，对银行或客户利益造成较大损害的事件；（2）由于重要信息系统服务异常，在业务服务时段导致一个省（自治区、直辖市）业务无法正常开展达半个小时（含）以上的事件；（3）业务服务时段以外，重要信息系统出现的故障或事件救治未果，可能产生上述1至2类的事件。</w:t>
      </w:r>
    </w:p>
    <w:p w14:paraId="787B27EC">
      <w:pPr>
        <w:keepNext w:val="0"/>
        <w:keepLines w:val="0"/>
        <w:pageBreakBefore w:val="0"/>
        <w:kinsoku/>
        <w:wordWrap/>
        <w:overflowPunct/>
        <w:topLinePunct w:val="0"/>
        <w:autoSpaceDE w:val="0"/>
        <w:autoSpaceDN w:val="0"/>
        <w:bidi w:val="0"/>
        <w:spacing w:line="360" w:lineRule="auto"/>
        <w:ind w:left="-2" w:leftChars="-1" w:firstLine="480" w:firstLineChars="200"/>
        <w:outlineLvl w:val="9"/>
        <w:rPr>
          <w:rFonts w:hint="default" w:ascii="Times New Roman" w:hAnsi="Times New Roman" w:eastAsia="宋体" w:cs="Times New Roman"/>
          <w:color w:val="auto"/>
          <w:spacing w:val="0"/>
          <w:szCs w:val="24"/>
          <w:highlight w:val="none"/>
        </w:rPr>
      </w:pPr>
      <w:r>
        <w:rPr>
          <w:rFonts w:hint="default" w:ascii="Times New Roman" w:hAnsi="Times New Roman" w:eastAsia="宋体" w:cs="Times New Roman"/>
          <w:color w:val="auto"/>
          <w:spacing w:val="0"/>
          <w:szCs w:val="24"/>
          <w:highlight w:val="none"/>
        </w:rPr>
        <w:t>1.11</w:t>
      </w:r>
      <w:r>
        <w:rPr>
          <w:rFonts w:hint="eastAsia" w:ascii="Times New Roman" w:hAnsi="Times New Roman" w:cs="Times New Roman"/>
          <w:color w:val="auto"/>
          <w:spacing w:val="0"/>
          <w:szCs w:val="24"/>
          <w:highlight w:val="none"/>
          <w:lang w:eastAsia="zh-CN"/>
        </w:rPr>
        <w:t>“</w:t>
      </w:r>
      <w:r>
        <w:rPr>
          <w:rFonts w:hint="default" w:ascii="Times New Roman" w:hAnsi="Times New Roman" w:eastAsia="宋体" w:cs="Times New Roman"/>
          <w:color w:val="auto"/>
          <w:spacing w:val="0"/>
          <w:szCs w:val="24"/>
          <w:highlight w:val="none"/>
        </w:rPr>
        <w:t>致命缺陷</w:t>
      </w:r>
      <w:r>
        <w:rPr>
          <w:rFonts w:hint="eastAsia" w:ascii="Times New Roman" w:hAnsi="Times New Roman" w:cs="Times New Roman"/>
          <w:color w:val="auto"/>
          <w:spacing w:val="0"/>
          <w:szCs w:val="24"/>
          <w:highlight w:val="none"/>
          <w:lang w:eastAsia="zh-CN"/>
        </w:rPr>
        <w:t>”</w:t>
      </w:r>
      <w:r>
        <w:rPr>
          <w:rFonts w:hint="default" w:ascii="Times New Roman" w:hAnsi="Times New Roman" w:eastAsia="宋体" w:cs="Times New Roman"/>
          <w:color w:val="auto"/>
          <w:spacing w:val="0"/>
          <w:szCs w:val="24"/>
          <w:highlight w:val="none"/>
        </w:rPr>
        <w:t>：导致对被描述的主要对象的理解错误、不可行、不能运转、对业务和整个系统可能造成重大损失或损害。比如：（1）由于程序所引起的死机，非法退出；（2）死循环；（3）导致数据库发生死锁；（4）数据通讯错误；（5）严重的数值计算错误；（6）财务错误；（7）导致出现上述III级（含）以上事件；（8）对客户造成不利影响；（9）引起客户投诉；（10）对甲方声誉造成不良影响。</w:t>
      </w:r>
    </w:p>
    <w:p w14:paraId="691C282E">
      <w:pPr>
        <w:keepNext w:val="0"/>
        <w:keepLines w:val="0"/>
        <w:pageBreakBefore w:val="0"/>
        <w:kinsoku/>
        <w:wordWrap/>
        <w:overflowPunct/>
        <w:topLinePunct w:val="0"/>
        <w:autoSpaceDE w:val="0"/>
        <w:autoSpaceDN w:val="0"/>
        <w:bidi w:val="0"/>
        <w:spacing w:line="360" w:lineRule="auto"/>
        <w:ind w:left="-2" w:leftChars="-1" w:firstLine="480" w:firstLineChars="200"/>
        <w:outlineLvl w:val="9"/>
        <w:rPr>
          <w:rFonts w:hint="default" w:ascii="Times New Roman" w:hAnsi="Times New Roman" w:eastAsia="宋体" w:cs="Times New Roman"/>
          <w:color w:val="auto"/>
          <w:spacing w:val="0"/>
          <w:szCs w:val="24"/>
          <w:highlight w:val="none"/>
        </w:rPr>
      </w:pPr>
      <w:r>
        <w:rPr>
          <w:rFonts w:hint="default" w:ascii="Times New Roman" w:hAnsi="Times New Roman" w:eastAsia="宋体" w:cs="Times New Roman"/>
          <w:color w:val="auto"/>
          <w:spacing w:val="0"/>
          <w:szCs w:val="24"/>
          <w:highlight w:val="none"/>
        </w:rPr>
        <w:t>1.12</w:t>
      </w:r>
      <w:r>
        <w:rPr>
          <w:rFonts w:hint="eastAsia" w:ascii="Times New Roman" w:hAnsi="Times New Roman" w:cs="Times New Roman"/>
          <w:color w:val="auto"/>
          <w:spacing w:val="0"/>
          <w:szCs w:val="24"/>
          <w:highlight w:val="none"/>
          <w:lang w:eastAsia="zh-CN"/>
        </w:rPr>
        <w:t>“</w:t>
      </w:r>
      <w:r>
        <w:rPr>
          <w:rFonts w:hint="default" w:ascii="Times New Roman" w:hAnsi="Times New Roman" w:eastAsia="宋体" w:cs="Times New Roman"/>
          <w:color w:val="auto"/>
          <w:spacing w:val="0"/>
          <w:szCs w:val="24"/>
          <w:highlight w:val="none"/>
        </w:rPr>
        <w:t>严重缺陷</w:t>
      </w:r>
      <w:r>
        <w:rPr>
          <w:rFonts w:hint="eastAsia" w:ascii="Times New Roman" w:hAnsi="Times New Roman" w:cs="Times New Roman"/>
          <w:color w:val="auto"/>
          <w:spacing w:val="0"/>
          <w:szCs w:val="24"/>
          <w:highlight w:val="none"/>
          <w:lang w:eastAsia="zh-CN"/>
        </w:rPr>
        <w:t>”</w:t>
      </w:r>
      <w:r>
        <w:rPr>
          <w:rFonts w:hint="default" w:ascii="Times New Roman" w:hAnsi="Times New Roman" w:eastAsia="宋体" w:cs="Times New Roman"/>
          <w:color w:val="auto"/>
          <w:spacing w:val="0"/>
          <w:szCs w:val="24"/>
          <w:highlight w:val="none"/>
        </w:rPr>
        <w:t>：对被描述的部分对象的理解或实现错误，部分的系统或模块不可行或不能运转或部分系统和模块缺失，对整个系统有重大影响或可能造成部分的损失和损害。比如：（1）功能不符；（2）数据流错误；（3）程序接口错误；（4）轻微的数值计算错误。</w:t>
      </w:r>
    </w:p>
    <w:p w14:paraId="2D5F4E3E">
      <w:pPr>
        <w:keepNext w:val="0"/>
        <w:keepLines w:val="0"/>
        <w:pageBreakBefore w:val="0"/>
        <w:kinsoku/>
        <w:wordWrap/>
        <w:overflowPunct/>
        <w:topLinePunct w:val="0"/>
        <w:autoSpaceDE w:val="0"/>
        <w:autoSpaceDN w:val="0"/>
        <w:bidi w:val="0"/>
        <w:spacing w:line="360" w:lineRule="auto"/>
        <w:ind w:left="-2" w:leftChars="-1" w:firstLine="480" w:firstLineChars="200"/>
        <w:outlineLvl w:val="9"/>
        <w:rPr>
          <w:rFonts w:hint="default" w:ascii="Times New Roman" w:hAnsi="Times New Roman" w:eastAsia="宋体" w:cs="Times New Roman"/>
          <w:color w:val="auto"/>
          <w:spacing w:val="0"/>
          <w:szCs w:val="24"/>
          <w:highlight w:val="none"/>
        </w:rPr>
      </w:pPr>
      <w:r>
        <w:rPr>
          <w:rFonts w:hint="default" w:ascii="Times New Roman" w:hAnsi="Times New Roman" w:eastAsia="宋体" w:cs="Times New Roman"/>
          <w:color w:val="auto"/>
          <w:spacing w:val="0"/>
          <w:szCs w:val="24"/>
          <w:highlight w:val="none"/>
        </w:rPr>
        <w:t xml:space="preserve">1.13 </w:t>
      </w:r>
      <w:r>
        <w:rPr>
          <w:rFonts w:hint="eastAsia" w:ascii="Times New Roman" w:hAnsi="Times New Roman" w:cs="Times New Roman"/>
          <w:color w:val="auto"/>
          <w:spacing w:val="0"/>
          <w:szCs w:val="24"/>
          <w:highlight w:val="none"/>
          <w:lang w:eastAsia="zh-CN"/>
        </w:rPr>
        <w:t>“</w:t>
      </w:r>
      <w:r>
        <w:rPr>
          <w:rFonts w:hint="default" w:ascii="Times New Roman" w:hAnsi="Times New Roman" w:eastAsia="宋体" w:cs="Times New Roman"/>
          <w:color w:val="auto"/>
          <w:spacing w:val="0"/>
          <w:szCs w:val="24"/>
          <w:highlight w:val="none"/>
        </w:rPr>
        <w:t>一般缺陷</w:t>
      </w:r>
      <w:r>
        <w:rPr>
          <w:rFonts w:hint="eastAsia" w:ascii="Times New Roman" w:hAnsi="Times New Roman" w:cs="Times New Roman"/>
          <w:color w:val="auto"/>
          <w:spacing w:val="0"/>
          <w:szCs w:val="24"/>
          <w:highlight w:val="none"/>
          <w:lang w:eastAsia="zh-CN"/>
        </w:rPr>
        <w:t>”</w:t>
      </w:r>
      <w:r>
        <w:rPr>
          <w:rFonts w:hint="default" w:ascii="Times New Roman" w:hAnsi="Times New Roman" w:eastAsia="宋体" w:cs="Times New Roman"/>
          <w:color w:val="auto"/>
          <w:spacing w:val="0"/>
          <w:szCs w:val="24"/>
          <w:highlight w:val="none"/>
        </w:rPr>
        <w:t>：系统中部分单元模块或单个功能描述和实现有错误、有偏差、不一致或有缺失，不影响模块的正常运行，或有影响但可以有替代办法或避免办法。比如：（1）界面错误(详细文档)；（2）打印内容、格式错误；（3）简单的输入限制未放在前台进行控制；（4）删除操作未给出提示。</w:t>
      </w:r>
    </w:p>
    <w:p w14:paraId="1D347867">
      <w:pPr>
        <w:keepNext w:val="0"/>
        <w:keepLines w:val="0"/>
        <w:pageBreakBefore w:val="0"/>
        <w:kinsoku/>
        <w:wordWrap/>
        <w:overflowPunct/>
        <w:topLinePunct w:val="0"/>
        <w:autoSpaceDE w:val="0"/>
        <w:autoSpaceDN w:val="0"/>
        <w:bidi w:val="0"/>
        <w:spacing w:line="360" w:lineRule="auto"/>
        <w:ind w:left="-2" w:leftChars="-1" w:firstLine="480" w:firstLineChars="200"/>
        <w:outlineLvl w:val="9"/>
        <w:rPr>
          <w:rFonts w:hint="default" w:ascii="Times New Roman" w:hAnsi="Times New Roman" w:eastAsia="宋体" w:cs="Times New Roman"/>
          <w:color w:val="auto"/>
          <w:spacing w:val="0"/>
          <w:szCs w:val="24"/>
          <w:highlight w:val="none"/>
        </w:rPr>
      </w:pPr>
      <w:r>
        <w:rPr>
          <w:rFonts w:hint="default" w:ascii="Times New Roman" w:hAnsi="Times New Roman" w:eastAsia="宋体" w:cs="Times New Roman"/>
          <w:color w:val="auto"/>
          <w:spacing w:val="0"/>
          <w:szCs w:val="24"/>
          <w:highlight w:val="none"/>
        </w:rPr>
        <w:t xml:space="preserve">1.14 </w:t>
      </w:r>
      <w:r>
        <w:rPr>
          <w:rFonts w:hint="eastAsia" w:ascii="Times New Roman" w:hAnsi="Times New Roman" w:cs="Times New Roman"/>
          <w:color w:val="auto"/>
          <w:spacing w:val="0"/>
          <w:szCs w:val="24"/>
          <w:highlight w:val="none"/>
          <w:lang w:eastAsia="zh-CN"/>
        </w:rPr>
        <w:t>“</w:t>
      </w:r>
      <w:r>
        <w:rPr>
          <w:rFonts w:hint="default" w:ascii="Times New Roman" w:hAnsi="Times New Roman" w:eastAsia="宋体" w:cs="Times New Roman"/>
          <w:color w:val="auto"/>
          <w:spacing w:val="0"/>
          <w:szCs w:val="24"/>
          <w:highlight w:val="none"/>
        </w:rPr>
        <w:t>微小缺陷</w:t>
      </w:r>
      <w:r>
        <w:rPr>
          <w:rFonts w:hint="eastAsia" w:ascii="Times New Roman" w:hAnsi="Times New Roman" w:cs="Times New Roman"/>
          <w:color w:val="auto"/>
          <w:spacing w:val="0"/>
          <w:szCs w:val="24"/>
          <w:highlight w:val="none"/>
          <w:lang w:eastAsia="zh-CN"/>
        </w:rPr>
        <w:t>”</w:t>
      </w:r>
      <w:r>
        <w:rPr>
          <w:rFonts w:hint="default" w:ascii="Times New Roman" w:hAnsi="Times New Roman" w:eastAsia="宋体" w:cs="Times New Roman"/>
          <w:color w:val="auto"/>
          <w:spacing w:val="0"/>
          <w:szCs w:val="24"/>
          <w:highlight w:val="none"/>
        </w:rPr>
        <w:t>：基本不影响系统的运行和功能的实现。但是与标准、规范和定义不一致。比如：（1）辅助说明描述不清楚；（2）显示格式不规范；（3）长时间操作未给用户进度提示；（4）提示窗口文字未采用行业术语；（5）可输入区域和只读区域没有明显的区分标志；（6）系统处理未优化。</w:t>
      </w:r>
    </w:p>
    <w:p w14:paraId="6145222B">
      <w:pPr>
        <w:keepNext w:val="0"/>
        <w:keepLines w:val="0"/>
        <w:pageBreakBefore w:val="0"/>
        <w:kinsoku/>
        <w:wordWrap/>
        <w:overflowPunct/>
        <w:topLinePunct w:val="0"/>
        <w:autoSpaceDE w:val="0"/>
        <w:autoSpaceDN w:val="0"/>
        <w:bidi w:val="0"/>
        <w:spacing w:line="360" w:lineRule="auto"/>
        <w:ind w:left="-2" w:leftChars="-1" w:firstLine="480" w:firstLineChars="200"/>
        <w:outlineLvl w:val="9"/>
        <w:rPr>
          <w:rFonts w:hint="default" w:ascii="Times New Roman" w:hAnsi="Times New Roman" w:eastAsia="宋体" w:cs="Times New Roman"/>
          <w:color w:val="auto"/>
          <w:spacing w:val="0"/>
          <w:szCs w:val="24"/>
          <w:highlight w:val="none"/>
        </w:rPr>
      </w:pPr>
      <w:r>
        <w:rPr>
          <w:rFonts w:hint="default" w:ascii="Times New Roman" w:hAnsi="Times New Roman" w:eastAsia="宋体" w:cs="Times New Roman"/>
          <w:color w:val="auto"/>
          <w:spacing w:val="0"/>
          <w:szCs w:val="24"/>
          <w:highlight w:val="none"/>
        </w:rPr>
        <w:t>1.15</w:t>
      </w:r>
      <w:r>
        <w:rPr>
          <w:rFonts w:hint="eastAsia" w:ascii="Times New Roman" w:hAnsi="Times New Roman" w:cs="Times New Roman"/>
          <w:color w:val="auto"/>
          <w:spacing w:val="0"/>
          <w:szCs w:val="24"/>
          <w:highlight w:val="none"/>
          <w:lang w:eastAsia="zh-CN"/>
        </w:rPr>
        <w:t>“</w:t>
      </w:r>
      <w:r>
        <w:rPr>
          <w:rFonts w:hint="default" w:ascii="Times New Roman" w:hAnsi="Times New Roman" w:eastAsia="宋体" w:cs="Times New Roman"/>
          <w:color w:val="auto"/>
          <w:spacing w:val="0"/>
          <w:szCs w:val="24"/>
          <w:highlight w:val="none"/>
        </w:rPr>
        <w:t>重大缺陷</w:t>
      </w:r>
      <w:r>
        <w:rPr>
          <w:rFonts w:hint="eastAsia" w:ascii="Times New Roman" w:hAnsi="Times New Roman" w:cs="Times New Roman"/>
          <w:color w:val="auto"/>
          <w:spacing w:val="0"/>
          <w:szCs w:val="24"/>
          <w:highlight w:val="none"/>
          <w:lang w:eastAsia="zh-CN"/>
        </w:rPr>
        <w:t>”</w:t>
      </w:r>
      <w:r>
        <w:rPr>
          <w:rFonts w:hint="default" w:ascii="Times New Roman" w:hAnsi="Times New Roman" w:eastAsia="宋体" w:cs="Times New Roman"/>
          <w:color w:val="auto"/>
          <w:spacing w:val="0"/>
          <w:szCs w:val="24"/>
          <w:highlight w:val="none"/>
        </w:rPr>
        <w:t>：指严重缺陷和致命缺陷。</w:t>
      </w:r>
    </w:p>
    <w:p w14:paraId="68F40EC2">
      <w:pPr>
        <w:keepNext w:val="0"/>
        <w:keepLines w:val="0"/>
        <w:pageBreakBefore w:val="0"/>
        <w:kinsoku/>
        <w:wordWrap/>
        <w:overflowPunct/>
        <w:topLinePunct w:val="0"/>
        <w:autoSpaceDE w:val="0"/>
        <w:autoSpaceDN w:val="0"/>
        <w:bidi w:val="0"/>
        <w:spacing w:line="360" w:lineRule="auto"/>
        <w:ind w:left="-2" w:leftChars="-1" w:firstLine="480" w:firstLineChars="200"/>
        <w:outlineLvl w:val="9"/>
        <w:rPr>
          <w:rFonts w:hint="default" w:ascii="Times New Roman" w:hAnsi="Times New Roman" w:eastAsia="宋体" w:cs="Times New Roman"/>
          <w:color w:val="auto"/>
          <w:spacing w:val="0"/>
          <w:highlight w:val="none"/>
        </w:rPr>
      </w:pPr>
    </w:p>
    <w:p w14:paraId="0D3BEF19">
      <w:pPr>
        <w:keepNext w:val="0"/>
        <w:keepLines w:val="0"/>
        <w:pageBreakBefore w:val="0"/>
        <w:widowControl w:val="0"/>
        <w:kinsoku/>
        <w:wordWrap/>
        <w:overflowPunct/>
        <w:topLinePunct w:val="0"/>
        <w:autoSpaceDE w:val="0"/>
        <w:autoSpaceDN w:val="0"/>
        <w:bidi w:val="0"/>
        <w:adjustRightInd/>
        <w:snapToGrid/>
        <w:spacing w:line="360" w:lineRule="auto"/>
        <w:ind w:firstLine="472" w:firstLineChars="196"/>
        <w:jc w:val="left"/>
        <w:textAlignment w:val="auto"/>
        <w:outlineLvl w:val="9"/>
        <w:rPr>
          <w:rFonts w:hint="default" w:ascii="Times New Roman" w:hAnsi="Times New Roman" w:eastAsia="宋体" w:cs="Times New Roman"/>
          <w:b/>
          <w:color w:val="auto"/>
          <w:spacing w:val="0"/>
          <w:highlight w:val="none"/>
        </w:rPr>
      </w:pPr>
      <w:bookmarkStart w:id="267" w:name="_Toc84948026"/>
      <w:r>
        <w:rPr>
          <w:rFonts w:hint="default" w:ascii="Times New Roman" w:hAnsi="Times New Roman" w:eastAsia="宋体" w:cs="Times New Roman"/>
          <w:b/>
          <w:color w:val="auto"/>
          <w:spacing w:val="0"/>
          <w:highlight w:val="none"/>
        </w:rPr>
        <w:t>第二条</w:t>
      </w:r>
      <w:bookmarkStart w:id="268" w:name="_Toc58337493"/>
      <w:r>
        <w:rPr>
          <w:rFonts w:hint="default" w:ascii="Times New Roman" w:hAnsi="Times New Roman" w:eastAsia="宋体" w:cs="Times New Roman"/>
          <w:b/>
          <w:color w:val="auto"/>
          <w:spacing w:val="0"/>
          <w:highlight w:val="none"/>
        </w:rPr>
        <w:t xml:space="preserve"> 项目名称、内容及要求</w:t>
      </w:r>
      <w:bookmarkEnd w:id="267"/>
      <w:bookmarkEnd w:id="268"/>
    </w:p>
    <w:p w14:paraId="6C067D7B">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highlight w:val="none"/>
          <w:lang w:val="en-US" w:eastAsia="zh-CN"/>
        </w:rPr>
      </w:pPr>
      <w:r>
        <w:rPr>
          <w:rFonts w:hint="default" w:ascii="Times New Roman" w:hAnsi="Times New Roman" w:eastAsia="宋体" w:cs="Times New Roman"/>
          <w:color w:val="auto"/>
          <w:spacing w:val="0"/>
          <w:highlight w:val="none"/>
        </w:rPr>
        <w:t>2.1项目名称：</w:t>
      </w:r>
      <w:r>
        <w:rPr>
          <w:rFonts w:hint="eastAsia" w:ascii="Times New Roman" w:hAnsi="Times New Roman" w:cs="Times New Roman"/>
          <w:color w:val="auto"/>
          <w:spacing w:val="0"/>
          <w:highlight w:val="none"/>
          <w:lang w:val="en-US" w:eastAsia="zh-CN"/>
        </w:rPr>
        <w:t>新一代数据中台项目（一期）</w:t>
      </w:r>
    </w:p>
    <w:p w14:paraId="2EAC073C">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highlight w:val="none"/>
        </w:rPr>
      </w:pPr>
      <w:bookmarkStart w:id="269" w:name="_Toc58337494"/>
      <w:r>
        <w:rPr>
          <w:rFonts w:hint="default" w:ascii="Times New Roman" w:hAnsi="Times New Roman" w:eastAsia="宋体" w:cs="Times New Roman"/>
          <w:color w:val="auto"/>
          <w:spacing w:val="0"/>
          <w:highlight w:val="none"/>
        </w:rPr>
        <w:t>2.2项目内容、范围及要求</w:t>
      </w:r>
      <w:bookmarkEnd w:id="269"/>
    </w:p>
    <w:p w14:paraId="7D77A467">
      <w:pPr>
        <w:keepNext w:val="0"/>
        <w:keepLines w:val="0"/>
        <w:pageBreakBefore w:val="0"/>
        <w:kinsoku/>
        <w:wordWrap/>
        <w:overflowPunct/>
        <w:topLinePunct w:val="0"/>
        <w:autoSpaceDE w:val="0"/>
        <w:autoSpaceDN w:val="0"/>
        <w:bidi w:val="0"/>
        <w:snapToGrid w:val="0"/>
        <w:spacing w:line="360" w:lineRule="auto"/>
        <w:ind w:firstLine="480" w:firstLineChars="200"/>
        <w:outlineLvl w:val="9"/>
        <w:rPr>
          <w:rFonts w:hint="eastAsia" w:ascii="Times New Roman" w:hAnsi="Times New Roman" w:eastAsia="宋体" w:cs="Times New Roman"/>
          <w:color w:val="auto"/>
          <w:spacing w:val="0"/>
          <w:highlight w:val="none"/>
          <w:lang w:val="en-US" w:eastAsia="zh-CN"/>
        </w:rPr>
      </w:pPr>
      <w:r>
        <w:rPr>
          <w:rFonts w:hint="eastAsia" w:ascii="Times New Roman" w:hAnsi="Times New Roman" w:eastAsia="宋体" w:cs="Times New Roman"/>
          <w:color w:val="auto"/>
          <w:spacing w:val="0"/>
          <w:highlight w:val="none"/>
          <w:lang w:val="en-US" w:eastAsia="zh-CN"/>
        </w:rPr>
        <w:t>本项目的主要建设内容包含引入和部署集成两套软件产品，并在此基础上完成湖仓实施及迁移重构。</w:t>
      </w:r>
    </w:p>
    <w:p w14:paraId="4D87F48A">
      <w:pPr>
        <w:keepNext w:val="0"/>
        <w:keepLines w:val="0"/>
        <w:pageBreakBefore w:val="0"/>
        <w:kinsoku/>
        <w:wordWrap/>
        <w:overflowPunct/>
        <w:topLinePunct w:val="0"/>
        <w:autoSpaceDE w:val="0"/>
        <w:autoSpaceDN w:val="0"/>
        <w:bidi w:val="0"/>
        <w:snapToGrid w:val="0"/>
        <w:spacing w:line="360" w:lineRule="auto"/>
        <w:ind w:firstLine="480" w:firstLineChars="200"/>
        <w:outlineLvl w:val="9"/>
        <w:rPr>
          <w:rFonts w:hint="eastAsia" w:ascii="Times New Roman" w:hAnsi="Times New Roman" w:eastAsia="宋体" w:cs="Times New Roman"/>
          <w:color w:val="auto"/>
          <w:spacing w:val="0"/>
          <w:highlight w:val="none"/>
          <w:lang w:val="en-US" w:eastAsia="zh-CN"/>
        </w:rPr>
      </w:pPr>
      <w:r>
        <w:rPr>
          <w:rFonts w:hint="eastAsia" w:ascii="Times New Roman" w:hAnsi="Times New Roman" w:eastAsia="宋体" w:cs="Times New Roman"/>
          <w:color w:val="auto"/>
          <w:spacing w:val="0"/>
          <w:highlight w:val="none"/>
          <w:lang w:val="en-US" w:eastAsia="zh-CN"/>
        </w:rPr>
        <w:t>两套软件产品具体包括：一是以分布式大数据技术体系为主的湖仓一体底座，为新一代数据中台提供统一的数据基础设施，实现数据资产的集中管理和高效利用；二是以“</w:t>
      </w:r>
      <w:r>
        <w:rPr>
          <w:rFonts w:hint="default" w:ascii="Times New Roman" w:hAnsi="Times New Roman" w:eastAsia="宋体" w:cs="Times New Roman"/>
          <w:color w:val="auto"/>
          <w:spacing w:val="0"/>
          <w:highlight w:val="none"/>
        </w:rPr>
        <w:t>DataOps</w:t>
      </w:r>
      <w:r>
        <w:rPr>
          <w:rFonts w:hint="eastAsia" w:ascii="Times New Roman" w:hAnsi="Times New Roman" w:eastAsia="宋体" w:cs="Times New Roman"/>
          <w:color w:val="auto"/>
          <w:spacing w:val="0"/>
          <w:highlight w:val="none"/>
          <w:lang w:eastAsia="zh-CN"/>
        </w:rPr>
        <w:t>”</w:t>
      </w:r>
      <w:r>
        <w:rPr>
          <w:rFonts w:hint="default" w:ascii="Times New Roman" w:hAnsi="Times New Roman" w:eastAsia="宋体" w:cs="Times New Roman"/>
          <w:color w:val="auto"/>
          <w:spacing w:val="0"/>
          <w:highlight w:val="none"/>
        </w:rPr>
        <w:t>数据敏捷研发体系</w:t>
      </w:r>
      <w:r>
        <w:rPr>
          <w:rFonts w:hint="eastAsia" w:ascii="Times New Roman" w:hAnsi="Times New Roman" w:eastAsia="宋体" w:cs="Times New Roman"/>
          <w:color w:val="auto"/>
          <w:spacing w:val="0"/>
          <w:highlight w:val="none"/>
          <w:lang w:val="en-US" w:eastAsia="zh-CN"/>
        </w:rPr>
        <w:t>为基础</w:t>
      </w:r>
      <w:r>
        <w:rPr>
          <w:rFonts w:hint="eastAsia" w:ascii="Times New Roman" w:hAnsi="Times New Roman" w:eastAsia="宋体" w:cs="Times New Roman"/>
          <w:color w:val="auto"/>
          <w:spacing w:val="0"/>
          <w:highlight w:val="none"/>
          <w:lang w:eastAsia="zh-CN"/>
        </w:rPr>
        <w:t>，</w:t>
      </w:r>
      <w:r>
        <w:rPr>
          <w:rFonts w:hint="eastAsia" w:ascii="Times New Roman" w:hAnsi="Times New Roman" w:eastAsia="宋体" w:cs="Times New Roman"/>
          <w:color w:val="auto"/>
          <w:spacing w:val="0"/>
          <w:highlight w:val="none"/>
          <w:lang w:val="en-US" w:eastAsia="zh-CN"/>
        </w:rPr>
        <w:t>深度融合</w:t>
      </w:r>
      <w:r>
        <w:rPr>
          <w:rFonts w:hint="eastAsia" w:ascii="Times New Roman" w:hAnsi="Times New Roman" w:eastAsia="宋体" w:cs="Times New Roman"/>
          <w:color w:val="auto"/>
          <w:spacing w:val="0"/>
          <w:highlight w:val="none"/>
          <w:lang w:eastAsia="zh-CN"/>
        </w:rPr>
        <w:t>数据治理、数据质量</w:t>
      </w:r>
      <w:r>
        <w:rPr>
          <w:rFonts w:hint="eastAsia" w:ascii="Times New Roman" w:hAnsi="Times New Roman" w:eastAsia="宋体" w:cs="Times New Roman"/>
          <w:color w:val="auto"/>
          <w:spacing w:val="0"/>
          <w:highlight w:val="none"/>
          <w:lang w:val="en-US" w:eastAsia="zh-CN"/>
        </w:rPr>
        <w:t>和</w:t>
      </w:r>
      <w:r>
        <w:rPr>
          <w:rFonts w:hint="eastAsia" w:ascii="Times New Roman" w:hAnsi="Times New Roman" w:eastAsia="宋体" w:cs="Times New Roman"/>
          <w:color w:val="auto"/>
          <w:spacing w:val="0"/>
          <w:highlight w:val="none"/>
          <w:lang w:eastAsia="zh-CN"/>
        </w:rPr>
        <w:t>数据安全管控要求</w:t>
      </w:r>
      <w:r>
        <w:rPr>
          <w:rFonts w:hint="eastAsia" w:ascii="Times New Roman" w:hAnsi="Times New Roman" w:eastAsia="宋体" w:cs="Times New Roman"/>
          <w:color w:val="auto"/>
          <w:spacing w:val="0"/>
          <w:highlight w:val="none"/>
          <w:lang w:val="en-US" w:eastAsia="zh-CN"/>
        </w:rPr>
        <w:t>的数据作业平台</w:t>
      </w:r>
      <w:r>
        <w:rPr>
          <w:rFonts w:hint="eastAsia" w:ascii="Times New Roman" w:hAnsi="Times New Roman" w:eastAsia="宋体" w:cs="Times New Roman"/>
          <w:color w:val="auto"/>
          <w:spacing w:val="0"/>
          <w:highlight w:val="none"/>
          <w:lang w:eastAsia="zh-CN"/>
        </w:rPr>
        <w:t>，进一步优化数据作业及需求交付流程</w:t>
      </w:r>
      <w:r>
        <w:rPr>
          <w:rFonts w:hint="eastAsia" w:ascii="Times New Roman" w:hAnsi="Times New Roman" w:eastAsia="宋体" w:cs="Times New Roman"/>
          <w:color w:val="auto"/>
          <w:spacing w:val="0"/>
          <w:highlight w:val="none"/>
          <w:lang w:val="en-US" w:eastAsia="zh-CN"/>
        </w:rPr>
        <w:t>和质效。</w:t>
      </w:r>
    </w:p>
    <w:p w14:paraId="1DC98C8D">
      <w:pPr>
        <w:keepNext w:val="0"/>
        <w:keepLines w:val="0"/>
        <w:pageBreakBefore w:val="0"/>
        <w:kinsoku/>
        <w:wordWrap/>
        <w:overflowPunct/>
        <w:topLinePunct w:val="0"/>
        <w:autoSpaceDE w:val="0"/>
        <w:autoSpaceDN w:val="0"/>
        <w:bidi w:val="0"/>
        <w:snapToGrid w:val="0"/>
        <w:spacing w:line="360" w:lineRule="auto"/>
        <w:ind w:firstLine="480" w:firstLineChars="200"/>
        <w:outlineLvl w:val="9"/>
        <w:rPr>
          <w:rFonts w:hint="default" w:ascii="Times New Roman" w:hAnsi="Times New Roman" w:eastAsia="宋体" w:cs="Times New Roman"/>
          <w:color w:val="auto"/>
          <w:spacing w:val="0"/>
          <w:highlight w:val="none"/>
        </w:rPr>
      </w:pPr>
      <w:r>
        <w:rPr>
          <w:rFonts w:hint="eastAsia" w:ascii="Times New Roman" w:hAnsi="Times New Roman" w:eastAsia="宋体" w:cs="Times New Roman"/>
          <w:color w:val="auto"/>
          <w:spacing w:val="0"/>
          <w:highlight w:val="none"/>
          <w:lang w:val="en-US" w:eastAsia="zh-CN"/>
        </w:rPr>
        <w:t>湖仓实施及迁移重构具体包括：对本行现有数据平台进行调研分析，完成湖仓整体建设规划。在建设规划成果基础上，基于湖仓一体底座和数据作业平台完成湖仓实施及迁移重构，包括数据标准化建设、数据采集版块建设、主题模型版块建设、应用集市版块建设、数据服务版块建设、实时数仓版块建设、数据实验区建设和灾备建设，以及按新架构迁移整合现有的历史数据、数据服务、业务报表等，最后根据湖仓实施经验和成果建立成熟且完善的数据管理与运营体系。</w:t>
      </w:r>
    </w:p>
    <w:p w14:paraId="4E81BC6E">
      <w:pPr>
        <w:keepNext w:val="0"/>
        <w:keepLines w:val="0"/>
        <w:pageBreakBefore w:val="0"/>
        <w:kinsoku/>
        <w:wordWrap/>
        <w:overflowPunct/>
        <w:topLinePunct w:val="0"/>
        <w:autoSpaceDE w:val="0"/>
        <w:autoSpaceDN w:val="0"/>
        <w:bidi w:val="0"/>
        <w:snapToGrid w:val="0"/>
        <w:spacing w:line="360" w:lineRule="auto"/>
        <w:ind w:firstLine="480" w:firstLineChars="200"/>
        <w:outlineLvl w:val="9"/>
        <w:rPr>
          <w:rFonts w:hint="default" w:ascii="Times New Roman" w:hAnsi="Times New Roman" w:eastAsia="宋体" w:cs="Times New Roman"/>
          <w:i/>
          <w:color w:val="auto"/>
          <w:spacing w:val="0"/>
          <w:highlight w:val="none"/>
        </w:rPr>
      </w:pPr>
      <w:r>
        <w:rPr>
          <w:rFonts w:hint="default" w:ascii="Times New Roman" w:hAnsi="Times New Roman" w:eastAsia="宋体" w:cs="Times New Roman"/>
          <w:color w:val="auto"/>
          <w:spacing w:val="0"/>
          <w:highlight w:val="none"/>
        </w:rPr>
        <w:t>详细内容参考附件一《工作（需求）说明书》，最终以附件一中双方约定的内容为准。</w:t>
      </w:r>
    </w:p>
    <w:p w14:paraId="7A5F9C25">
      <w:pPr>
        <w:keepNext w:val="0"/>
        <w:keepLines w:val="0"/>
        <w:pageBreakBefore w:val="0"/>
        <w:kinsoku/>
        <w:wordWrap/>
        <w:overflowPunct/>
        <w:topLinePunct w:val="0"/>
        <w:autoSpaceDE w:val="0"/>
        <w:autoSpaceDN w:val="0"/>
        <w:bidi w:val="0"/>
        <w:snapToGrid w:val="0"/>
        <w:spacing w:line="360" w:lineRule="auto"/>
        <w:ind w:firstLine="480" w:firstLineChars="200"/>
        <w:outlineLvl w:val="9"/>
        <w:rPr>
          <w:rFonts w:hint="default" w:ascii="Times New Roman" w:hAnsi="Times New Roman" w:eastAsia="宋体" w:cs="Times New Roman"/>
          <w:color w:val="auto"/>
          <w:spacing w:val="0"/>
          <w:highlight w:val="none"/>
        </w:rPr>
      </w:pPr>
      <w:bookmarkStart w:id="270" w:name="_Toc58337495"/>
      <w:r>
        <w:rPr>
          <w:rFonts w:hint="default" w:ascii="Times New Roman" w:hAnsi="Times New Roman" w:eastAsia="宋体" w:cs="Times New Roman"/>
          <w:color w:val="auto"/>
          <w:spacing w:val="0"/>
          <w:highlight w:val="none"/>
        </w:rPr>
        <w:t>2.3技术指标和质量要求</w:t>
      </w:r>
      <w:bookmarkEnd w:id="270"/>
      <w:r>
        <w:rPr>
          <w:rFonts w:hint="default" w:ascii="Times New Roman" w:hAnsi="Times New Roman" w:eastAsia="宋体" w:cs="Times New Roman"/>
          <w:color w:val="auto"/>
          <w:spacing w:val="0"/>
          <w:highlight w:val="none"/>
        </w:rPr>
        <w:t>。</w:t>
      </w:r>
    </w:p>
    <w:p w14:paraId="4F0553D2">
      <w:pPr>
        <w:keepNext w:val="0"/>
        <w:keepLines w:val="0"/>
        <w:pageBreakBefore w:val="0"/>
        <w:kinsoku/>
        <w:wordWrap/>
        <w:overflowPunct/>
        <w:topLinePunct w:val="0"/>
        <w:autoSpaceDE w:val="0"/>
        <w:autoSpaceDN w:val="0"/>
        <w:bidi w:val="0"/>
        <w:snapToGrid w:val="0"/>
        <w:spacing w:line="360" w:lineRule="auto"/>
        <w:ind w:firstLine="480" w:firstLineChars="200"/>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见附件一、附件四。</w:t>
      </w:r>
    </w:p>
    <w:p w14:paraId="4403330D">
      <w:pPr>
        <w:keepNext w:val="0"/>
        <w:keepLines w:val="0"/>
        <w:pageBreakBefore w:val="0"/>
        <w:kinsoku/>
        <w:wordWrap/>
        <w:overflowPunct/>
        <w:topLinePunct w:val="0"/>
        <w:autoSpaceDE w:val="0"/>
        <w:autoSpaceDN w:val="0"/>
        <w:bidi w:val="0"/>
        <w:snapToGrid w:val="0"/>
        <w:spacing w:line="360" w:lineRule="auto"/>
        <w:ind w:firstLine="480" w:firstLineChars="200"/>
        <w:outlineLvl w:val="9"/>
        <w:rPr>
          <w:rFonts w:hint="default" w:ascii="Times New Roman" w:hAnsi="Times New Roman" w:eastAsia="宋体" w:cs="Times New Roman"/>
          <w:color w:val="auto"/>
          <w:spacing w:val="0"/>
          <w:highlight w:val="none"/>
        </w:rPr>
      </w:pPr>
      <w:bookmarkStart w:id="271" w:name="_Toc58337496"/>
      <w:r>
        <w:rPr>
          <w:rFonts w:hint="default" w:ascii="Times New Roman" w:hAnsi="Times New Roman" w:eastAsia="宋体" w:cs="Times New Roman"/>
          <w:color w:val="auto"/>
          <w:spacing w:val="0"/>
          <w:highlight w:val="none"/>
        </w:rPr>
        <w:t>2.4应当遵循的标准和规范</w:t>
      </w:r>
      <w:bookmarkEnd w:id="271"/>
      <w:r>
        <w:rPr>
          <w:rFonts w:hint="default" w:ascii="Times New Roman" w:hAnsi="Times New Roman" w:eastAsia="宋体" w:cs="Times New Roman"/>
          <w:color w:val="auto"/>
          <w:spacing w:val="0"/>
          <w:highlight w:val="none"/>
        </w:rPr>
        <w:t>。</w:t>
      </w:r>
    </w:p>
    <w:p w14:paraId="35CA95AE">
      <w:pPr>
        <w:keepNext w:val="0"/>
        <w:keepLines w:val="0"/>
        <w:pageBreakBefore w:val="0"/>
        <w:kinsoku/>
        <w:wordWrap/>
        <w:overflowPunct/>
        <w:topLinePunct w:val="0"/>
        <w:autoSpaceDE w:val="0"/>
        <w:autoSpaceDN w:val="0"/>
        <w:bidi w:val="0"/>
        <w:snapToGrid w:val="0"/>
        <w:spacing w:line="360" w:lineRule="auto"/>
        <w:ind w:firstLine="420"/>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乙方交付的</w:t>
      </w:r>
      <w:r>
        <w:rPr>
          <w:rStyle w:val="49"/>
          <w:rFonts w:hint="eastAsia" w:ascii="Times New Roman" w:hAnsi="Times New Roman" w:cs="Times New Roman"/>
          <w:color w:val="auto"/>
          <w:spacing w:val="0"/>
          <w:kern w:val="0"/>
          <w:highlight w:val="none"/>
          <w:lang w:val="en-US" w:eastAsia="zh-CN"/>
        </w:rPr>
        <w:t>湖仓一体底座、数据作业平台以及新一代数据中台实施与迁移</w:t>
      </w:r>
      <w:r>
        <w:rPr>
          <w:rFonts w:hint="default" w:ascii="Times New Roman" w:hAnsi="Times New Roman" w:eastAsia="宋体" w:cs="Times New Roman"/>
          <w:color w:val="auto"/>
          <w:spacing w:val="0"/>
          <w:highlight w:val="none"/>
        </w:rPr>
        <w:t>应当满足国家相关法律法规、监管政策和行业标准，需满足甲方各类内部管理要求，包括信息安全管理相关要求、客户信息保护相关要求、数据标准相关要求，涉及银联卡支付的需满足《银联卡支付信息安全管理标准》。</w:t>
      </w:r>
    </w:p>
    <w:p w14:paraId="10877CB9">
      <w:pPr>
        <w:keepNext w:val="0"/>
        <w:keepLines w:val="0"/>
        <w:pageBreakBefore w:val="0"/>
        <w:kinsoku/>
        <w:wordWrap/>
        <w:overflowPunct/>
        <w:topLinePunct w:val="0"/>
        <w:autoSpaceDE w:val="0"/>
        <w:autoSpaceDN w:val="0"/>
        <w:bidi w:val="0"/>
        <w:snapToGrid w:val="0"/>
        <w:spacing w:line="360" w:lineRule="auto"/>
        <w:ind w:left="0" w:leftChars="0" w:firstLine="0" w:firstLineChars="0"/>
        <w:outlineLvl w:val="9"/>
        <w:rPr>
          <w:rFonts w:hint="default" w:ascii="Times New Roman" w:hAnsi="Times New Roman" w:eastAsia="宋体" w:cs="Times New Roman"/>
          <w:color w:val="auto"/>
          <w:spacing w:val="0"/>
          <w:highlight w:val="none"/>
        </w:rPr>
      </w:pPr>
    </w:p>
    <w:p w14:paraId="5D8A24D7">
      <w:pPr>
        <w:keepNext w:val="0"/>
        <w:keepLines w:val="0"/>
        <w:pageBreakBefore w:val="0"/>
        <w:widowControl w:val="0"/>
        <w:kinsoku/>
        <w:wordWrap/>
        <w:overflowPunct/>
        <w:topLinePunct w:val="0"/>
        <w:autoSpaceDE w:val="0"/>
        <w:autoSpaceDN w:val="0"/>
        <w:bidi w:val="0"/>
        <w:adjustRightInd/>
        <w:snapToGrid/>
        <w:spacing w:line="360" w:lineRule="auto"/>
        <w:ind w:firstLine="472" w:firstLineChars="196"/>
        <w:jc w:val="left"/>
        <w:textAlignment w:val="auto"/>
        <w:outlineLvl w:val="9"/>
        <w:rPr>
          <w:rFonts w:hint="default" w:ascii="Times New Roman" w:hAnsi="Times New Roman" w:eastAsia="宋体" w:cs="Times New Roman"/>
          <w:b/>
          <w:color w:val="auto"/>
          <w:spacing w:val="0"/>
          <w:highlight w:val="none"/>
        </w:rPr>
      </w:pPr>
      <w:bookmarkStart w:id="272" w:name="_Toc84948027"/>
      <w:r>
        <w:rPr>
          <w:rFonts w:hint="default" w:ascii="Times New Roman" w:hAnsi="Times New Roman" w:eastAsia="宋体" w:cs="Times New Roman"/>
          <w:b/>
          <w:color w:val="auto"/>
          <w:spacing w:val="0"/>
          <w:highlight w:val="none"/>
        </w:rPr>
        <w:t>第三条 项目履行的进度、期限、地点、地域、方式</w:t>
      </w:r>
      <w:bookmarkEnd w:id="272"/>
    </w:p>
    <w:p w14:paraId="14E49681">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3.1乙方必须投入足够的具有本项目实施能力的技术人员以保证本项目按期完成，乙方项目组主要成员及人员应急退出机制见附件二《项目人员名单及人员应急退出机制》，未经甲方事先同意，附件二中人员不得变更；如遇特殊情况需变更的，</w:t>
      </w:r>
      <w:r>
        <w:rPr>
          <w:rFonts w:hint="default" w:ascii="Times New Roman" w:hAnsi="Times New Roman" w:eastAsia="宋体" w:cs="Times New Roman"/>
          <w:color w:val="auto"/>
          <w:spacing w:val="0"/>
          <w:kern w:val="0"/>
          <w:highlight w:val="none"/>
        </w:rPr>
        <w:t>替换人员技术水平或级别需不低于</w:t>
      </w:r>
      <w:r>
        <w:rPr>
          <w:rFonts w:hint="default" w:ascii="Times New Roman" w:hAnsi="Times New Roman" w:eastAsia="宋体" w:cs="Times New Roman"/>
          <w:color w:val="auto"/>
          <w:spacing w:val="0"/>
          <w:highlight w:val="none"/>
        </w:rPr>
        <w:t>被替换的人员</w:t>
      </w:r>
      <w:r>
        <w:rPr>
          <w:rFonts w:hint="default" w:ascii="Times New Roman" w:hAnsi="Times New Roman" w:eastAsia="宋体" w:cs="Times New Roman"/>
          <w:color w:val="auto"/>
          <w:spacing w:val="0"/>
          <w:kern w:val="0"/>
          <w:highlight w:val="none"/>
        </w:rPr>
        <w:t>水平或级别</w:t>
      </w:r>
      <w:r>
        <w:rPr>
          <w:rFonts w:hint="default" w:ascii="Times New Roman" w:hAnsi="Times New Roman" w:eastAsia="宋体" w:cs="Times New Roman"/>
          <w:color w:val="auto"/>
          <w:spacing w:val="0"/>
          <w:highlight w:val="none"/>
        </w:rPr>
        <w:t>，并需通过甲方考察并取得甲方同意，否则甲方有权要求更换。</w:t>
      </w:r>
    </w:p>
    <w:p w14:paraId="131AA2D1">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3.2进度：乙方应严格按照3.3所列示的期限完成项目实施任务。</w:t>
      </w:r>
    </w:p>
    <w:p w14:paraId="4A501DEF">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3.3期限：上线时间为    年    月     日前。</w:t>
      </w:r>
    </w:p>
    <w:p w14:paraId="17A931F5">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3.4地点：乙方完成项目实施工作的地点为：</w:t>
      </w:r>
      <w:r>
        <w:rPr>
          <w:rFonts w:hint="default" w:ascii="Times New Roman" w:hAnsi="Times New Roman" w:eastAsia="宋体" w:cs="Times New Roman"/>
          <w:color w:val="auto"/>
          <w:spacing w:val="0"/>
          <w:highlight w:val="none"/>
          <w:u w:val="single"/>
        </w:rPr>
        <w:t>重庆</w:t>
      </w:r>
      <w:r>
        <w:rPr>
          <w:rFonts w:hint="default" w:ascii="Times New Roman" w:hAnsi="Times New Roman" w:eastAsia="宋体" w:cs="Times New Roman"/>
          <w:color w:val="auto"/>
          <w:spacing w:val="0"/>
          <w:highlight w:val="none"/>
        </w:rPr>
        <w:t>；【驻场】实施。</w:t>
      </w:r>
    </w:p>
    <w:p w14:paraId="70D77F6C">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3.5地域：本项目适用机构所在地域包括：</w:t>
      </w:r>
      <w:r>
        <w:rPr>
          <w:rFonts w:hint="default" w:ascii="Times New Roman" w:hAnsi="Times New Roman" w:eastAsia="宋体" w:cs="Times New Roman"/>
          <w:color w:val="auto"/>
          <w:spacing w:val="0"/>
          <w:highlight w:val="none"/>
          <w:u w:val="single"/>
        </w:rPr>
        <w:t>重庆三峡银行总行各部门及辖内各经营机构</w:t>
      </w:r>
      <w:r>
        <w:rPr>
          <w:rFonts w:hint="default" w:ascii="Times New Roman" w:hAnsi="Times New Roman" w:eastAsia="宋体" w:cs="Times New Roman"/>
          <w:color w:val="auto"/>
          <w:spacing w:val="0"/>
          <w:highlight w:val="none"/>
        </w:rPr>
        <w:t>。</w:t>
      </w:r>
    </w:p>
    <w:p w14:paraId="3996A630">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3.6方式：</w:t>
      </w:r>
    </w:p>
    <w:p w14:paraId="587F2E68">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3.6.1协调：甲、乙双方各派出一名项目主要负责人负责本项目协调工作。其中，乙方代表负责提示完成本项目各阶段双方按照本合同应当履行的义务；经双方代表确认后分别与双方相关人员组织协调开展工作。</w:t>
      </w:r>
    </w:p>
    <w:p w14:paraId="492265A4">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3.6.2 支持：乙方完成本项目有赖于甲方及时、全面、准确地向乙方提供需求信息和数据信息。同时，为完善项目需求，甲方亦有赖乙方针对性地提出建议性方案。甲、乙双方应当在上述方面给予对方必要的支持与协作，以保障项目实施工作顺利进行。</w:t>
      </w:r>
    </w:p>
    <w:p w14:paraId="2745C9A2">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highlight w:val="none"/>
        </w:rPr>
      </w:pPr>
    </w:p>
    <w:p w14:paraId="1EEECCEC">
      <w:pPr>
        <w:keepNext w:val="0"/>
        <w:keepLines w:val="0"/>
        <w:pageBreakBefore w:val="0"/>
        <w:widowControl w:val="0"/>
        <w:kinsoku/>
        <w:wordWrap/>
        <w:overflowPunct/>
        <w:topLinePunct w:val="0"/>
        <w:autoSpaceDE w:val="0"/>
        <w:autoSpaceDN w:val="0"/>
        <w:bidi w:val="0"/>
        <w:adjustRightInd/>
        <w:snapToGrid/>
        <w:spacing w:line="360" w:lineRule="auto"/>
        <w:ind w:firstLine="472" w:firstLineChars="196"/>
        <w:jc w:val="left"/>
        <w:textAlignment w:val="auto"/>
        <w:outlineLvl w:val="9"/>
        <w:rPr>
          <w:rFonts w:hint="default" w:ascii="Times New Roman" w:hAnsi="Times New Roman" w:eastAsia="宋体" w:cs="Times New Roman"/>
          <w:b/>
          <w:color w:val="auto"/>
          <w:spacing w:val="0"/>
          <w:highlight w:val="none"/>
        </w:rPr>
      </w:pPr>
      <w:bookmarkStart w:id="273" w:name="_Toc84948028"/>
      <w:r>
        <w:rPr>
          <w:rFonts w:hint="default" w:ascii="Times New Roman" w:hAnsi="Times New Roman" w:eastAsia="宋体" w:cs="Times New Roman"/>
          <w:b/>
          <w:color w:val="auto"/>
          <w:spacing w:val="0"/>
          <w:highlight w:val="none"/>
        </w:rPr>
        <w:t>第四条 方案调整</w:t>
      </w:r>
      <w:bookmarkEnd w:id="273"/>
    </w:p>
    <w:p w14:paraId="56184C51">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highlight w:val="none"/>
        </w:rPr>
      </w:pPr>
      <w:r>
        <w:rPr>
          <w:rStyle w:val="49"/>
          <w:rFonts w:hint="default" w:ascii="Times New Roman" w:hAnsi="Times New Roman" w:eastAsia="宋体" w:cs="Times New Roman"/>
          <w:color w:val="auto"/>
          <w:spacing w:val="0"/>
          <w:kern w:val="0"/>
          <w:highlight w:val="none"/>
        </w:rPr>
        <w:t>4.1因甲方原因提出导致增加【 】∕人∕月以上工作量的需求变更，</w:t>
      </w:r>
      <w:r>
        <w:rPr>
          <w:rFonts w:hint="default" w:ascii="Times New Roman" w:hAnsi="Times New Roman" w:eastAsia="宋体" w:cs="Times New Roman"/>
          <w:color w:val="auto"/>
          <w:spacing w:val="0"/>
          <w:highlight w:val="none"/>
        </w:rPr>
        <w:t>须通知乙方并由乙方确认</w:t>
      </w:r>
      <w:r>
        <w:rPr>
          <w:rStyle w:val="49"/>
          <w:rFonts w:hint="default" w:ascii="Times New Roman" w:hAnsi="Times New Roman" w:eastAsia="宋体" w:cs="Times New Roman"/>
          <w:color w:val="auto"/>
          <w:spacing w:val="0"/>
          <w:kern w:val="0"/>
          <w:highlight w:val="none"/>
        </w:rPr>
        <w:t>，对此</w:t>
      </w:r>
      <w:r>
        <w:rPr>
          <w:rFonts w:hint="default" w:ascii="Times New Roman" w:hAnsi="Times New Roman" w:eastAsia="宋体" w:cs="Times New Roman"/>
          <w:color w:val="auto"/>
          <w:spacing w:val="0"/>
          <w:highlight w:val="none"/>
        </w:rPr>
        <w:t>变更给乙方带来的额外劳动部分甲乙双方协商解决，由此变更导致项目进度延期不构成违约。但4.2款确认的，由乙方原因引起的工作量，甲方无需承担任何费用。</w:t>
      </w:r>
    </w:p>
    <w:p w14:paraId="5D837134">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4.2 方案一经双方确认，任何一方有方案调整意见，均需与对方签字确认。</w:t>
      </w:r>
    </w:p>
    <w:p w14:paraId="1B89D12A">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highlight w:val="none"/>
        </w:rPr>
      </w:pPr>
    </w:p>
    <w:p w14:paraId="0681C849">
      <w:pPr>
        <w:keepNext w:val="0"/>
        <w:keepLines w:val="0"/>
        <w:pageBreakBefore w:val="0"/>
        <w:widowControl w:val="0"/>
        <w:kinsoku/>
        <w:wordWrap/>
        <w:overflowPunct/>
        <w:topLinePunct w:val="0"/>
        <w:autoSpaceDE w:val="0"/>
        <w:autoSpaceDN w:val="0"/>
        <w:bidi w:val="0"/>
        <w:adjustRightInd/>
        <w:snapToGrid/>
        <w:spacing w:line="360" w:lineRule="auto"/>
        <w:ind w:firstLine="472" w:firstLineChars="196"/>
        <w:jc w:val="left"/>
        <w:textAlignment w:val="auto"/>
        <w:outlineLvl w:val="9"/>
        <w:rPr>
          <w:rFonts w:hint="default" w:ascii="Times New Roman" w:hAnsi="Times New Roman" w:eastAsia="宋体" w:cs="Times New Roman"/>
          <w:b/>
          <w:color w:val="auto"/>
          <w:spacing w:val="0"/>
          <w:highlight w:val="none"/>
        </w:rPr>
      </w:pPr>
      <w:bookmarkStart w:id="274" w:name="_Toc84948029"/>
      <w:r>
        <w:rPr>
          <w:rFonts w:hint="default" w:ascii="Times New Roman" w:hAnsi="Times New Roman" w:eastAsia="宋体" w:cs="Times New Roman"/>
          <w:b/>
          <w:color w:val="auto"/>
          <w:spacing w:val="0"/>
          <w:highlight w:val="none"/>
        </w:rPr>
        <w:t>第五条 验收</w:t>
      </w:r>
      <w:bookmarkEnd w:id="274"/>
    </w:p>
    <w:p w14:paraId="376A1DE1">
      <w:pPr>
        <w:pStyle w:val="13"/>
        <w:keepNext w:val="0"/>
        <w:keepLines w:val="0"/>
        <w:pageBreakBefore w:val="0"/>
        <w:kinsoku/>
        <w:wordWrap/>
        <w:overflowPunct/>
        <w:topLinePunct w:val="0"/>
        <w:autoSpaceDE w:val="0"/>
        <w:autoSpaceDN w:val="0"/>
        <w:bidi w:val="0"/>
        <w:spacing w:beforeLines="0" w:line="360" w:lineRule="auto"/>
        <w:ind w:left="0" w:leftChars="0" w:firstLine="480" w:firstLineChars="200"/>
        <w:outlineLvl w:val="9"/>
        <w:rPr>
          <w:rFonts w:hint="default" w:ascii="Times New Roman" w:hAnsi="Times New Roman" w:eastAsia="宋体" w:cs="Times New Roman"/>
          <w:color w:val="auto"/>
          <w:spacing w:val="0"/>
          <w:kern w:val="0"/>
          <w:highlight w:val="none"/>
        </w:rPr>
      </w:pPr>
      <w:r>
        <w:rPr>
          <w:rFonts w:hint="default" w:ascii="Times New Roman" w:hAnsi="Times New Roman" w:eastAsia="宋体" w:cs="Times New Roman"/>
          <w:color w:val="auto"/>
          <w:spacing w:val="0"/>
          <w:kern w:val="0"/>
          <w:highlight w:val="none"/>
        </w:rPr>
        <w:t>乙方负责的产品（即本合同2.2约定内容）在甲方生产环境正式安装部署（需遵循甲方系统上线相关的制度规范提交版本所需上线资料）完成后进入试运行期，乙方应根据试运行情况提交《项目上线试运行报告》；上线试运行期间，</w:t>
      </w:r>
      <w:r>
        <w:rPr>
          <w:rFonts w:hint="default" w:ascii="Times New Roman" w:hAnsi="Times New Roman" w:eastAsia="宋体" w:cs="Times New Roman"/>
          <w:bCs/>
          <w:color w:val="auto"/>
          <w:spacing w:val="0"/>
          <w:kern w:val="0"/>
          <w:highlight w:val="none"/>
        </w:rPr>
        <w:t>本合同中的系统出现的任何问题，乙方应及时解决，保证试运行期间的稳定运行；试运行期间若出现较大运营中断事件（III级）及以上，乙方应予以立即解决，从出现中断事件至排除故障或解决问题期间的时间不计入试运行期，系统验收时间向后顺延。</w:t>
      </w:r>
      <w:r>
        <w:rPr>
          <w:rFonts w:hint="default" w:ascii="Times New Roman" w:hAnsi="Times New Roman" w:eastAsia="宋体" w:cs="Times New Roman"/>
          <w:color w:val="auto"/>
          <w:spacing w:val="0"/>
          <w:kern w:val="0"/>
          <w:highlight w:val="none"/>
        </w:rPr>
        <w:t>在符合甲方项目预期目标且试运行满</w:t>
      </w:r>
      <w:r>
        <w:rPr>
          <w:rFonts w:hint="eastAsia" w:ascii="Times New Roman" w:hAnsi="Times New Roman" w:cs="Times New Roman"/>
          <w:color w:val="auto"/>
          <w:spacing w:val="0"/>
          <w:kern w:val="0"/>
          <w:highlight w:val="none"/>
          <w:u w:val="single"/>
          <w:lang w:val="en-US" w:eastAsia="zh-CN"/>
        </w:rPr>
        <w:t>六</w:t>
      </w:r>
      <w:r>
        <w:rPr>
          <w:rFonts w:hint="default" w:ascii="Times New Roman" w:hAnsi="Times New Roman" w:eastAsia="宋体" w:cs="Times New Roman"/>
          <w:color w:val="auto"/>
          <w:spacing w:val="0"/>
          <w:kern w:val="0"/>
          <w:highlight w:val="none"/>
          <w:u w:val="single"/>
        </w:rPr>
        <w:t>个月</w:t>
      </w:r>
      <w:r>
        <w:rPr>
          <w:rFonts w:hint="default" w:ascii="Times New Roman" w:hAnsi="Times New Roman" w:eastAsia="宋体" w:cs="Times New Roman"/>
          <w:color w:val="auto"/>
          <w:spacing w:val="0"/>
          <w:kern w:val="0"/>
          <w:highlight w:val="none"/>
        </w:rPr>
        <w:t>后，由甲方按照合同约定进行正式验收，验收通过后签署验收表或验收报告。</w:t>
      </w:r>
    </w:p>
    <w:p w14:paraId="35D49465">
      <w:pPr>
        <w:pStyle w:val="13"/>
        <w:keepNext w:val="0"/>
        <w:keepLines w:val="0"/>
        <w:pageBreakBefore w:val="0"/>
        <w:kinsoku/>
        <w:wordWrap/>
        <w:overflowPunct/>
        <w:topLinePunct w:val="0"/>
        <w:autoSpaceDE w:val="0"/>
        <w:autoSpaceDN w:val="0"/>
        <w:bidi w:val="0"/>
        <w:spacing w:beforeLines="0" w:line="360" w:lineRule="auto"/>
        <w:ind w:left="0" w:leftChars="0" w:firstLine="480" w:firstLineChars="200"/>
        <w:outlineLvl w:val="9"/>
        <w:rPr>
          <w:rFonts w:hint="default" w:ascii="Times New Roman" w:hAnsi="Times New Roman" w:eastAsia="宋体" w:cs="Times New Roman"/>
          <w:color w:val="auto"/>
          <w:spacing w:val="0"/>
          <w:kern w:val="0"/>
          <w:highlight w:val="none"/>
        </w:rPr>
      </w:pPr>
      <w:r>
        <w:rPr>
          <w:rFonts w:hint="default" w:ascii="Times New Roman" w:hAnsi="Times New Roman" w:eastAsia="宋体" w:cs="Times New Roman"/>
          <w:color w:val="auto"/>
          <w:spacing w:val="0"/>
          <w:kern w:val="0"/>
          <w:highlight w:val="none"/>
        </w:rPr>
        <w:t>如果验收不合格，甲方有权另行指定正式验收的时间，在重新验收前乙方负责继续对项目进行修改和完善，并在甲方指定的期限内达到验收标准，其验收过程和方式不变。由此导致延误项目进度的，费用和责任由乙方承担，并按本合同第十五条之约定向甲方赔偿。再次验收仍不合格的，甲方有权解除本合同，不再支付任何费用。详细内容见附件三《验收标准及流程》。</w:t>
      </w:r>
    </w:p>
    <w:p w14:paraId="04881068">
      <w:pPr>
        <w:pStyle w:val="13"/>
        <w:keepNext w:val="0"/>
        <w:keepLines w:val="0"/>
        <w:pageBreakBefore w:val="0"/>
        <w:kinsoku/>
        <w:wordWrap/>
        <w:overflowPunct/>
        <w:topLinePunct w:val="0"/>
        <w:autoSpaceDE w:val="0"/>
        <w:autoSpaceDN w:val="0"/>
        <w:bidi w:val="0"/>
        <w:spacing w:beforeLines="0" w:line="360" w:lineRule="auto"/>
        <w:ind w:left="0" w:leftChars="0" w:firstLine="480" w:firstLineChars="200"/>
        <w:outlineLvl w:val="9"/>
        <w:rPr>
          <w:rStyle w:val="49"/>
          <w:rFonts w:hint="default" w:ascii="Times New Roman" w:hAnsi="Times New Roman" w:eastAsia="宋体" w:cs="Times New Roman"/>
          <w:color w:val="auto"/>
          <w:spacing w:val="0"/>
          <w:kern w:val="0"/>
          <w:highlight w:val="none"/>
        </w:rPr>
      </w:pPr>
    </w:p>
    <w:p w14:paraId="00ACB39B">
      <w:pPr>
        <w:keepNext w:val="0"/>
        <w:keepLines w:val="0"/>
        <w:pageBreakBefore w:val="0"/>
        <w:widowControl w:val="0"/>
        <w:kinsoku/>
        <w:wordWrap/>
        <w:overflowPunct/>
        <w:topLinePunct w:val="0"/>
        <w:autoSpaceDE w:val="0"/>
        <w:autoSpaceDN w:val="0"/>
        <w:bidi w:val="0"/>
        <w:adjustRightInd/>
        <w:snapToGrid/>
        <w:spacing w:line="360" w:lineRule="auto"/>
        <w:ind w:firstLine="472" w:firstLineChars="196"/>
        <w:jc w:val="left"/>
        <w:textAlignment w:val="auto"/>
        <w:outlineLvl w:val="9"/>
        <w:rPr>
          <w:rFonts w:hint="default" w:ascii="Times New Roman" w:hAnsi="Times New Roman" w:eastAsia="宋体" w:cs="Times New Roman"/>
          <w:b/>
          <w:color w:val="auto"/>
          <w:spacing w:val="0"/>
          <w:highlight w:val="none"/>
        </w:rPr>
      </w:pPr>
      <w:bookmarkStart w:id="275" w:name="_Toc84948030"/>
      <w:r>
        <w:rPr>
          <w:rFonts w:hint="default" w:ascii="Times New Roman" w:hAnsi="Times New Roman" w:eastAsia="宋体" w:cs="Times New Roman"/>
          <w:b/>
          <w:color w:val="auto"/>
          <w:spacing w:val="0"/>
          <w:highlight w:val="none"/>
        </w:rPr>
        <w:t>第六条 交付使用后维护期、系统完善和保修维护服务</w:t>
      </w:r>
      <w:bookmarkEnd w:id="275"/>
    </w:p>
    <w:p w14:paraId="782A61F3">
      <w:pPr>
        <w:keepNext w:val="0"/>
        <w:keepLines w:val="0"/>
        <w:pageBreakBefore w:val="0"/>
        <w:tabs>
          <w:tab w:val="left" w:pos="851"/>
        </w:tabs>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6.1本合同金额包含【】年维护，维护期为自本产品</w:t>
      </w:r>
      <w:r>
        <w:rPr>
          <w:rFonts w:hint="default" w:ascii="Times New Roman" w:hAnsi="Times New Roman" w:eastAsia="宋体" w:cs="Times New Roman"/>
          <w:color w:val="auto"/>
          <w:spacing w:val="0"/>
          <w:kern w:val="0"/>
          <w:highlight w:val="none"/>
        </w:rPr>
        <w:t>正式</w:t>
      </w:r>
      <w:r>
        <w:rPr>
          <w:rFonts w:hint="default" w:ascii="Times New Roman" w:hAnsi="Times New Roman" w:eastAsia="宋体" w:cs="Times New Roman"/>
          <w:color w:val="auto"/>
          <w:spacing w:val="0"/>
          <w:highlight w:val="none"/>
        </w:rPr>
        <w:t>验收合格后次日至次年并延期至6月30日或12月31日中较近日期（即维保延期最长不超过半年）。</w:t>
      </w:r>
    </w:p>
    <w:p w14:paraId="44AD9502">
      <w:pPr>
        <w:keepNext w:val="0"/>
        <w:keepLines w:val="0"/>
        <w:pageBreakBefore w:val="0"/>
        <w:tabs>
          <w:tab w:val="left" w:pos="851"/>
        </w:tabs>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6.2本合同产品的有偿技术服务期为本合同第6.1条约定的维护期到期之日起</w:t>
      </w:r>
      <w:r>
        <w:rPr>
          <w:rFonts w:hint="default" w:ascii="Times New Roman" w:hAnsi="Times New Roman" w:eastAsia="宋体" w:cs="Times New Roman"/>
          <w:color w:val="auto"/>
          <w:spacing w:val="0"/>
          <w:highlight w:val="none"/>
          <w:u w:val="single"/>
        </w:rPr>
        <w:t>10</w:t>
      </w:r>
      <w:r>
        <w:rPr>
          <w:rFonts w:hint="default" w:ascii="Times New Roman" w:hAnsi="Times New Roman" w:eastAsia="宋体" w:cs="Times New Roman"/>
          <w:color w:val="auto"/>
          <w:spacing w:val="0"/>
          <w:highlight w:val="none"/>
        </w:rPr>
        <w:t>年。本项目产品服务期内（包括本合同第6.1条约定的维护期与有偿技术服务期）如甲方对照附件一发现项目存在技术缺陷和隐蔽瑕疵，乙方应负责予以解决并应承担相应法律责任。</w:t>
      </w:r>
    </w:p>
    <w:p w14:paraId="0F819920">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6.3乙方保证实施的项目产品在正常环境及状态下的正常使用和运行，且可与甲方原先使用的、本次被替代的系统兼容和无缝连接，不会导致甲方原使用的系统中数据和本项目应用后新的系统中数据丢失，若因乙方原因导致甲方原使用的系统中数据和本项目应用后新的系统中数据丢失的，甲方有权解除本合同，不再支付任何费用，且乙方应赔偿给甲方造成的损失。</w:t>
      </w:r>
    </w:p>
    <w:p w14:paraId="52149358">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6.4 维护服务期内（包括本合同第6.1条约定的维护期与有偿技术服务期）的服务内容和服务方式详见附件四《维护服务条款》。</w:t>
      </w:r>
    </w:p>
    <w:p w14:paraId="5F6E3E77">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6.5上述服务，不包括由下列事件引起的故障：</w:t>
      </w:r>
    </w:p>
    <w:p w14:paraId="694F1E59">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6.5.1 未能为系统提供适当的外部环境-如必要的系统环境、必要的管理体系、未能按照乙方要求配备资源等。</w:t>
      </w:r>
    </w:p>
    <w:p w14:paraId="1D950FE4">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6.5.2 使用并非由乙方提供的产品或服务。</w:t>
      </w:r>
    </w:p>
    <w:p w14:paraId="7A349879">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6.6在本合同第6.1条约定的维护期内，如甲方发现交付的项目、产品与双方最终签字确认的需求不符，尽管已经验收，但乙方仍具有立即纠正不符之处的责任。如乙方在收到甲方不符通知后</w:t>
      </w:r>
      <w:r>
        <w:rPr>
          <w:rFonts w:hint="default" w:ascii="Times New Roman" w:hAnsi="Times New Roman" w:eastAsia="宋体" w:cs="Times New Roman"/>
          <w:color w:val="auto"/>
          <w:spacing w:val="0"/>
          <w:highlight w:val="none"/>
          <w:u w:val="single"/>
        </w:rPr>
        <w:t xml:space="preserve"> 3 </w:t>
      </w:r>
      <w:r>
        <w:rPr>
          <w:rFonts w:hint="default" w:ascii="Times New Roman" w:hAnsi="Times New Roman" w:eastAsia="宋体" w:cs="Times New Roman"/>
          <w:color w:val="auto"/>
          <w:spacing w:val="0"/>
          <w:highlight w:val="none"/>
        </w:rPr>
        <w:t>日内不到甲方现场进行检修，或在收到甲方通知后</w:t>
      </w:r>
      <w:r>
        <w:rPr>
          <w:rFonts w:hint="default" w:ascii="Times New Roman" w:hAnsi="Times New Roman" w:eastAsia="宋体" w:cs="Times New Roman"/>
          <w:color w:val="auto"/>
          <w:spacing w:val="0"/>
          <w:highlight w:val="none"/>
          <w:u w:val="single"/>
        </w:rPr>
        <w:t xml:space="preserve"> 10 </w:t>
      </w:r>
      <w:r>
        <w:rPr>
          <w:rFonts w:hint="default" w:ascii="Times New Roman" w:hAnsi="Times New Roman" w:eastAsia="宋体" w:cs="Times New Roman"/>
          <w:color w:val="auto"/>
          <w:spacing w:val="0"/>
          <w:highlight w:val="none"/>
        </w:rPr>
        <w:t>日内仍不能纠正不符之处的，甲方有权采取其他措施（包括聘请第三方替代履行）以减少损失，由此产生的费用及相关损失由乙方负责。乙方承</w:t>
      </w:r>
    </w:p>
    <w:p w14:paraId="7075CDFF">
      <w:pPr>
        <w:keepNext w:val="0"/>
        <w:keepLines w:val="0"/>
        <w:pageBreakBefore w:val="0"/>
        <w:kinsoku/>
        <w:wordWrap/>
        <w:overflowPunct/>
        <w:topLinePunct w:val="0"/>
        <w:autoSpaceDE w:val="0"/>
        <w:autoSpaceDN w:val="0"/>
        <w:bidi w:val="0"/>
        <w:spacing w:line="360" w:lineRule="auto"/>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诺，甲方采取上述措施不必征得乙方事先同意，且不构成对乙方的任何侵权。</w:t>
      </w:r>
    </w:p>
    <w:p w14:paraId="49DBA87C">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6</w:t>
      </w:r>
      <w:r>
        <w:rPr>
          <w:rStyle w:val="49"/>
          <w:rFonts w:hint="default" w:ascii="Times New Roman" w:hAnsi="Times New Roman" w:eastAsia="宋体" w:cs="Times New Roman"/>
          <w:color w:val="auto"/>
          <w:spacing w:val="0"/>
          <w:kern w:val="0"/>
          <w:highlight w:val="none"/>
        </w:rPr>
        <w:t xml:space="preserve">.7 </w:t>
      </w:r>
      <w:r>
        <w:rPr>
          <w:rFonts w:hint="default" w:ascii="Times New Roman" w:hAnsi="Times New Roman" w:eastAsia="宋体" w:cs="Times New Roman"/>
          <w:color w:val="auto"/>
          <w:spacing w:val="0"/>
          <w:highlight w:val="none"/>
        </w:rPr>
        <w:t>本合同第6.1条约定的维护期结束后的</w:t>
      </w:r>
      <w:r>
        <w:rPr>
          <w:rFonts w:hint="default" w:ascii="Times New Roman" w:hAnsi="Times New Roman" w:eastAsia="宋体" w:cs="Times New Roman"/>
          <w:color w:val="auto"/>
          <w:spacing w:val="0"/>
          <w:highlight w:val="none"/>
          <w:u w:val="single"/>
        </w:rPr>
        <w:t>10年</w:t>
      </w:r>
      <w:r>
        <w:rPr>
          <w:rFonts w:hint="default" w:ascii="Times New Roman" w:hAnsi="Times New Roman" w:eastAsia="宋体" w:cs="Times New Roman"/>
          <w:color w:val="auto"/>
          <w:spacing w:val="0"/>
          <w:highlight w:val="none"/>
        </w:rPr>
        <w:t>有偿技术服务期内，</w:t>
      </w:r>
      <w:r>
        <w:rPr>
          <w:rStyle w:val="49"/>
          <w:rFonts w:hint="default" w:ascii="Times New Roman" w:hAnsi="Times New Roman" w:eastAsia="宋体" w:cs="Times New Roman"/>
          <w:color w:val="auto"/>
          <w:spacing w:val="0"/>
          <w:kern w:val="0"/>
          <w:highlight w:val="none"/>
        </w:rPr>
        <w:t>如</w:t>
      </w:r>
      <w:r>
        <w:rPr>
          <w:rFonts w:hint="default" w:ascii="Times New Roman" w:hAnsi="Times New Roman" w:eastAsia="宋体" w:cs="Times New Roman"/>
          <w:color w:val="auto"/>
          <w:spacing w:val="0"/>
          <w:highlight w:val="none"/>
        </w:rPr>
        <w:t>甲方需要乙方提供维护服务,乙方应予提供。双方确认，甲方有权选择是否购买维护，乙方无权要求甲方对未使用维护服务的期间支付费用。</w:t>
      </w:r>
    </w:p>
    <w:p w14:paraId="73FA4303">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b/>
          <w:color w:val="auto"/>
          <w:spacing w:val="0"/>
          <w:highlight w:val="none"/>
        </w:rPr>
      </w:pPr>
      <w:r>
        <w:rPr>
          <w:rFonts w:hint="default" w:ascii="Times New Roman" w:hAnsi="Times New Roman" w:eastAsia="宋体" w:cs="Times New Roman"/>
          <w:color w:val="auto"/>
          <w:spacing w:val="0"/>
          <w:highlight w:val="none"/>
        </w:rPr>
        <w:t>6.8 维护期结束后</w:t>
      </w:r>
      <w:r>
        <w:rPr>
          <w:rStyle w:val="49"/>
          <w:rFonts w:hint="default" w:ascii="Times New Roman" w:hAnsi="Times New Roman" w:eastAsia="宋体" w:cs="Times New Roman"/>
          <w:color w:val="auto"/>
          <w:spacing w:val="0"/>
          <w:kern w:val="0"/>
          <w:highlight w:val="none"/>
        </w:rPr>
        <w:t>有偿技术服务期</w:t>
      </w:r>
      <w:r>
        <w:rPr>
          <w:rFonts w:hint="default" w:ascii="Times New Roman" w:hAnsi="Times New Roman" w:eastAsia="宋体" w:cs="Times New Roman"/>
          <w:color w:val="auto"/>
          <w:spacing w:val="0"/>
          <w:highlight w:val="none"/>
        </w:rPr>
        <w:t>每年的维护价格【不超过/为】</w:t>
      </w:r>
      <w:r>
        <w:rPr>
          <w:rFonts w:hint="default" w:ascii="Times New Roman" w:hAnsi="Times New Roman" w:eastAsia="宋体" w:cs="Times New Roman"/>
          <w:iCs/>
          <w:color w:val="auto"/>
          <w:spacing w:val="0"/>
          <w:highlight w:val="none"/>
          <w:u w:val="single"/>
        </w:rPr>
        <w:t>合同总额的【8%】</w:t>
      </w:r>
      <w:r>
        <w:rPr>
          <w:rFonts w:hint="default" w:ascii="Times New Roman" w:hAnsi="Times New Roman" w:eastAsia="宋体" w:cs="Times New Roman"/>
          <w:color w:val="auto"/>
          <w:spacing w:val="0"/>
          <w:highlight w:val="none"/>
        </w:rPr>
        <w:t>，具体服务内容详见附件四《维护服务条款》。有偿技术服务期的服务水平不低于附件四承诺的维护期的服务水平。</w:t>
      </w:r>
      <w:r>
        <w:rPr>
          <w:rFonts w:hint="default" w:ascii="Times New Roman" w:hAnsi="Times New Roman" w:eastAsia="宋体" w:cs="Times New Roman"/>
          <w:b/>
          <w:color w:val="auto"/>
          <w:spacing w:val="0"/>
          <w:highlight w:val="none"/>
        </w:rPr>
        <w:t>后续改造类项目维护费用以系统首期建设合同（即本合同）约定为准，不得叠加、单独收取。</w:t>
      </w:r>
    </w:p>
    <w:p w14:paraId="23770ED4">
      <w:pPr>
        <w:keepNext w:val="0"/>
        <w:keepLines w:val="0"/>
        <w:pageBreakBefore w:val="0"/>
        <w:kinsoku/>
        <w:wordWrap/>
        <w:overflowPunct/>
        <w:topLinePunct w:val="0"/>
        <w:autoSpaceDE w:val="0"/>
        <w:autoSpaceDN w:val="0"/>
        <w:bidi w:val="0"/>
        <w:spacing w:line="360" w:lineRule="auto"/>
        <w:ind w:firstLine="482" w:firstLineChars="200"/>
        <w:outlineLvl w:val="9"/>
        <w:rPr>
          <w:rFonts w:hint="default" w:ascii="Times New Roman" w:hAnsi="Times New Roman" w:eastAsia="宋体" w:cs="Times New Roman"/>
          <w:b/>
          <w:color w:val="auto"/>
          <w:spacing w:val="0"/>
          <w:highlight w:val="none"/>
        </w:rPr>
      </w:pPr>
      <w:r>
        <w:rPr>
          <w:rFonts w:hint="default" w:ascii="Times New Roman" w:hAnsi="Times New Roman" w:eastAsia="宋体" w:cs="Times New Roman"/>
          <w:b/>
          <w:color w:val="auto"/>
          <w:spacing w:val="0"/>
          <w:highlight w:val="none"/>
        </w:rPr>
        <w:t>本合同为改造类项目合同，后续维保费用以系统首期建设合同（可注明首期建设合同名称及编号）约定为准，不得叠加、单独收取。</w:t>
      </w:r>
    </w:p>
    <w:p w14:paraId="1EFB0F52">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6.9本合同并非维护期结束后的维护服务合同，有偿技术服务的合同由双方另行签订。</w:t>
      </w:r>
    </w:p>
    <w:p w14:paraId="06C93295">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highlight w:val="none"/>
        </w:rPr>
      </w:pPr>
    </w:p>
    <w:p w14:paraId="04F9058F">
      <w:pPr>
        <w:keepNext w:val="0"/>
        <w:keepLines w:val="0"/>
        <w:pageBreakBefore w:val="0"/>
        <w:widowControl w:val="0"/>
        <w:kinsoku/>
        <w:wordWrap/>
        <w:overflowPunct/>
        <w:topLinePunct w:val="0"/>
        <w:autoSpaceDE w:val="0"/>
        <w:autoSpaceDN w:val="0"/>
        <w:bidi w:val="0"/>
        <w:adjustRightInd/>
        <w:snapToGrid/>
        <w:spacing w:line="360" w:lineRule="auto"/>
        <w:ind w:firstLine="472" w:firstLineChars="196"/>
        <w:jc w:val="left"/>
        <w:textAlignment w:val="auto"/>
        <w:outlineLvl w:val="9"/>
        <w:rPr>
          <w:rFonts w:hint="default" w:ascii="Times New Roman" w:hAnsi="Times New Roman" w:eastAsia="宋体" w:cs="Times New Roman"/>
          <w:b/>
          <w:color w:val="auto"/>
          <w:spacing w:val="0"/>
          <w:highlight w:val="none"/>
        </w:rPr>
      </w:pPr>
      <w:bookmarkStart w:id="276" w:name="_Toc84948031"/>
      <w:r>
        <w:rPr>
          <w:rFonts w:hint="default" w:ascii="Times New Roman" w:hAnsi="Times New Roman" w:eastAsia="宋体" w:cs="Times New Roman"/>
          <w:b/>
          <w:color w:val="auto"/>
          <w:spacing w:val="0"/>
          <w:highlight w:val="none"/>
        </w:rPr>
        <w:t>第七条 技术辅导与培训</w:t>
      </w:r>
      <w:bookmarkEnd w:id="276"/>
    </w:p>
    <w:p w14:paraId="5E8BFE26">
      <w:pPr>
        <w:pStyle w:val="15"/>
        <w:keepNext w:val="0"/>
        <w:keepLines w:val="0"/>
        <w:pageBreakBefore w:val="0"/>
        <w:kinsoku/>
        <w:wordWrap/>
        <w:overflowPunct/>
        <w:topLinePunct w:val="0"/>
        <w:autoSpaceDE w:val="0"/>
        <w:autoSpaceDN w:val="0"/>
        <w:bidi w:val="0"/>
        <w:spacing w:beforeLines="0" w:line="360" w:lineRule="auto"/>
        <w:ind w:firstLine="560" w:firstLineChars="0"/>
        <w:outlineLvl w:val="9"/>
        <w:rPr>
          <w:rFonts w:hint="eastAsia" w:ascii="Times New Roman" w:hAnsi="Times New Roman" w:eastAsia="宋体" w:cs="Times New Roman"/>
          <w:color w:val="auto"/>
          <w:spacing w:val="0"/>
          <w:highlight w:val="none"/>
          <w:lang w:eastAsia="zh-CN"/>
        </w:rPr>
      </w:pPr>
      <w:r>
        <w:rPr>
          <w:rFonts w:hint="default" w:ascii="Times New Roman" w:hAnsi="Times New Roman" w:eastAsia="宋体" w:cs="Times New Roman"/>
          <w:color w:val="auto"/>
          <w:spacing w:val="0"/>
          <w:highlight w:val="none"/>
        </w:rPr>
        <w:t>乙方应负责向甲方提供技术辅导与培训，以使甲方人员熟练掌握该项目产品的应用和日常维护。培训内容包括：数据架构培训、湖仓技术组件使用及调优培训等</w:t>
      </w:r>
      <w:r>
        <w:rPr>
          <w:rFonts w:hint="eastAsia" w:ascii="Times New Roman" w:hAnsi="Times New Roman" w:cs="Times New Roman"/>
          <w:color w:val="auto"/>
          <w:spacing w:val="0"/>
          <w:highlight w:val="none"/>
          <w:lang w:eastAsia="zh-CN"/>
        </w:rPr>
        <w:t>。</w:t>
      </w:r>
    </w:p>
    <w:p w14:paraId="12D57080">
      <w:pPr>
        <w:pStyle w:val="15"/>
        <w:keepNext w:val="0"/>
        <w:keepLines w:val="0"/>
        <w:pageBreakBefore w:val="0"/>
        <w:kinsoku/>
        <w:wordWrap/>
        <w:overflowPunct/>
        <w:topLinePunct w:val="0"/>
        <w:autoSpaceDE w:val="0"/>
        <w:autoSpaceDN w:val="0"/>
        <w:bidi w:val="0"/>
        <w:spacing w:beforeLines="0" w:line="360" w:lineRule="auto"/>
        <w:ind w:firstLine="480"/>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具体培训内容由双方共同商定，并由甲方项目经理签字确认。</w:t>
      </w:r>
    </w:p>
    <w:p w14:paraId="3E7C478E">
      <w:pPr>
        <w:pStyle w:val="15"/>
        <w:keepNext w:val="0"/>
        <w:keepLines w:val="0"/>
        <w:pageBreakBefore w:val="0"/>
        <w:kinsoku/>
        <w:wordWrap/>
        <w:overflowPunct/>
        <w:topLinePunct w:val="0"/>
        <w:autoSpaceDE w:val="0"/>
        <w:autoSpaceDN w:val="0"/>
        <w:bidi w:val="0"/>
        <w:spacing w:beforeLines="0" w:line="360" w:lineRule="auto"/>
        <w:ind w:firstLine="480"/>
        <w:outlineLvl w:val="9"/>
        <w:rPr>
          <w:rFonts w:hint="default" w:ascii="Times New Roman" w:hAnsi="Times New Roman" w:eastAsia="宋体" w:cs="Times New Roman"/>
          <w:color w:val="auto"/>
          <w:spacing w:val="0"/>
          <w:highlight w:val="none"/>
        </w:rPr>
      </w:pPr>
    </w:p>
    <w:p w14:paraId="7AC954EB">
      <w:pPr>
        <w:keepNext w:val="0"/>
        <w:keepLines w:val="0"/>
        <w:pageBreakBefore w:val="0"/>
        <w:widowControl w:val="0"/>
        <w:kinsoku/>
        <w:wordWrap/>
        <w:overflowPunct/>
        <w:topLinePunct w:val="0"/>
        <w:autoSpaceDE w:val="0"/>
        <w:autoSpaceDN w:val="0"/>
        <w:bidi w:val="0"/>
        <w:adjustRightInd/>
        <w:snapToGrid/>
        <w:spacing w:line="360" w:lineRule="auto"/>
        <w:ind w:firstLine="472" w:firstLineChars="196"/>
        <w:jc w:val="left"/>
        <w:textAlignment w:val="auto"/>
        <w:outlineLvl w:val="9"/>
        <w:rPr>
          <w:rFonts w:hint="default" w:ascii="Times New Roman" w:hAnsi="Times New Roman" w:eastAsia="宋体" w:cs="Times New Roman"/>
          <w:b/>
          <w:color w:val="auto"/>
          <w:spacing w:val="0"/>
          <w:highlight w:val="none"/>
        </w:rPr>
      </w:pPr>
      <w:bookmarkStart w:id="277" w:name="_Toc84948032"/>
      <w:r>
        <w:rPr>
          <w:rFonts w:hint="default" w:ascii="Times New Roman" w:hAnsi="Times New Roman" w:eastAsia="宋体" w:cs="Times New Roman"/>
          <w:b/>
          <w:color w:val="auto"/>
          <w:spacing w:val="0"/>
          <w:highlight w:val="none"/>
        </w:rPr>
        <w:t>第八条 双方的权利、义务</w:t>
      </w:r>
      <w:bookmarkEnd w:id="277"/>
    </w:p>
    <w:p w14:paraId="45804E23">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8.1除本合同其他条款外，甲方应承担如下义务：</w:t>
      </w:r>
    </w:p>
    <w:p w14:paraId="66AF7D35">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8.1.1 按照本合同第十三条的规定向乙方支付报酬。</w:t>
      </w:r>
    </w:p>
    <w:p w14:paraId="4DBCF30B">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8.1.2 向乙方提供本合同约定的业务协作：如参与各方的资源协调与进度管理、商务保障、项目环境保障等，确保参与各方按期、按质协同工作。</w:t>
      </w:r>
    </w:p>
    <w:p w14:paraId="306BA4F7">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8.1.3 指派一名项目主要负责人参加甲、乙双方为本项目召开的会议并协调相关工作和签署有关文件。</w:t>
      </w:r>
    </w:p>
    <w:p w14:paraId="77C61879">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8.1.4 甲方为乙方解决现场人员正常开展工作的开发测试系统环境和场地。</w:t>
      </w:r>
    </w:p>
    <w:p w14:paraId="4C643909">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8.2除本合同其他条款外，乙方应承担如下义务：</w:t>
      </w:r>
    </w:p>
    <w:p w14:paraId="09C5E607">
      <w:pPr>
        <w:pStyle w:val="14"/>
        <w:keepNext w:val="0"/>
        <w:keepLines w:val="0"/>
        <w:pageBreakBefore w:val="0"/>
        <w:tabs>
          <w:tab w:val="left" w:pos="0"/>
        </w:tabs>
        <w:kinsoku/>
        <w:wordWrap/>
        <w:overflowPunct/>
        <w:topLinePunct w:val="0"/>
        <w:autoSpaceDE w:val="0"/>
        <w:autoSpaceDN w:val="0"/>
        <w:bidi w:val="0"/>
        <w:spacing w:line="360" w:lineRule="auto"/>
        <w:ind w:left="-2" w:leftChars="-1" w:firstLine="480" w:firstLineChars="200"/>
        <w:jc w:val="left"/>
        <w:outlineLvl w:val="9"/>
        <w:rPr>
          <w:rFonts w:hint="default" w:ascii="Times New Roman" w:hAnsi="Times New Roman" w:cs="Times New Roman"/>
          <w:color w:val="auto"/>
          <w:sz w:val="24"/>
          <w:szCs w:val="20"/>
          <w:highlight w:val="none"/>
        </w:rPr>
      </w:pPr>
      <w:r>
        <w:rPr>
          <w:rFonts w:hint="default" w:ascii="Times New Roman" w:hAnsi="Times New Roman" w:cs="Times New Roman"/>
          <w:color w:val="auto"/>
          <w:sz w:val="24"/>
          <w:szCs w:val="20"/>
          <w:highlight w:val="none"/>
        </w:rPr>
        <w:t>8.2.1 遵守法律法规及银行业金融机构内部管理制度及规定，贯彻执行相关监管政策。</w:t>
      </w:r>
    </w:p>
    <w:p w14:paraId="3158980E">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8.2.2 按照本合同附件一的要求，采取一切必要的措施完成实施任务，保证项目的功能满足本项目需求，并确保在实施过程中严格执行版本过程化管理，配合甲方《软件研发项目实施细则》提供交付物</w:t>
      </w:r>
    </w:p>
    <w:p w14:paraId="3A1886D2">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8.2.3 负责在甲方的环境内安装并调试实施项目。</w:t>
      </w:r>
    </w:p>
    <w:p w14:paraId="37BD22F0">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8.2.4 指派一名项目主要负责人参加甲、乙双方为本项目召开的会议并协调相关工作和签署有关文件。</w:t>
      </w:r>
    </w:p>
    <w:p w14:paraId="0A4EB095">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8.2.5指派独立于开发团队的测试人员负责项目系统测试，并承诺按照甲方质量管理要求完成项目系统测试、性能测试、安全测试等。</w:t>
      </w:r>
    </w:p>
    <w:p w14:paraId="4981BDD7">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8.2.6 按照本合同的约定向甲方提供相关技术资料并提供技术指导。</w:t>
      </w:r>
    </w:p>
    <w:p w14:paraId="4321627F">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8.2.7乙方需为甲方提供持续的项目风险识别和控制措施，并按甲方要求提供公司财务分析报告、项目进度报告以及重大事项报告等。</w:t>
      </w:r>
    </w:p>
    <w:p w14:paraId="35C37094">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8.2.8 乙方应该适时开展风险管理评估和第三方审计工作，应该接受甲方的审核、评估以及外包检查，并配合接受来自监管机构的各项检查，配合对监管意见做出相应的管理、服务、基础设施、软硬件等整改。</w:t>
      </w:r>
    </w:p>
    <w:p w14:paraId="33FF5EFD">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8.2.9 乙方应针对服务内容为甲方制定业务连续性计划和应急计划并维护好相关资源，在服务质量不能满足合同要求时，甲方具有优先获取服务资源的权利。</w:t>
      </w:r>
    </w:p>
    <w:p w14:paraId="34C24F2B">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8.2.10 乙方应当自己完成本合同项下的开发、测试或维护等工作，而不得分包给任何第三方，也不得进行转包或变相转包。</w:t>
      </w:r>
    </w:p>
    <w:p w14:paraId="0637522F">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bCs/>
          <w:color w:val="auto"/>
          <w:spacing w:val="0"/>
          <w:highlight w:val="none"/>
        </w:rPr>
      </w:pPr>
      <w:r>
        <w:rPr>
          <w:rFonts w:hint="default" w:ascii="Times New Roman" w:hAnsi="Times New Roman" w:eastAsia="宋体" w:cs="Times New Roman"/>
          <w:color w:val="auto"/>
          <w:spacing w:val="0"/>
          <w:highlight w:val="none"/>
        </w:rPr>
        <w:t xml:space="preserve">8.2.11 </w:t>
      </w:r>
      <w:r>
        <w:rPr>
          <w:rFonts w:hint="default" w:ascii="Times New Roman" w:hAnsi="Times New Roman" w:eastAsia="宋体" w:cs="Times New Roman"/>
          <w:bCs/>
          <w:color w:val="auto"/>
          <w:spacing w:val="0"/>
          <w:highlight w:val="none"/>
        </w:rPr>
        <w:t>因政策或环境变化，或乙方由于其自身原因可能造成的服务变更或中断，乙方需配合甲方制定并按计划实施退出方案；过渡期间，乙方应继续履行约定的义务，保障甲方相关工作正常开展，保障业务连续性；并根据甲方要求，梳理项目可交付物，完成项目成果及资料交接。</w:t>
      </w:r>
    </w:p>
    <w:p w14:paraId="54DB4156">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highlight w:val="none"/>
        </w:rPr>
      </w:pPr>
    </w:p>
    <w:p w14:paraId="23BD6867">
      <w:pPr>
        <w:keepNext w:val="0"/>
        <w:keepLines w:val="0"/>
        <w:pageBreakBefore w:val="0"/>
        <w:widowControl w:val="0"/>
        <w:kinsoku/>
        <w:wordWrap/>
        <w:overflowPunct/>
        <w:topLinePunct w:val="0"/>
        <w:autoSpaceDE w:val="0"/>
        <w:autoSpaceDN w:val="0"/>
        <w:bidi w:val="0"/>
        <w:adjustRightInd/>
        <w:snapToGrid/>
        <w:spacing w:line="360" w:lineRule="auto"/>
        <w:ind w:firstLine="472" w:firstLineChars="196"/>
        <w:jc w:val="left"/>
        <w:textAlignment w:val="auto"/>
        <w:outlineLvl w:val="9"/>
        <w:rPr>
          <w:rFonts w:hint="default" w:ascii="Times New Roman" w:hAnsi="Times New Roman" w:eastAsia="宋体" w:cs="Times New Roman"/>
          <w:b/>
          <w:color w:val="auto"/>
          <w:spacing w:val="0"/>
          <w:highlight w:val="none"/>
        </w:rPr>
      </w:pPr>
      <w:bookmarkStart w:id="278" w:name="_Toc84948033"/>
      <w:r>
        <w:rPr>
          <w:rFonts w:hint="default" w:ascii="Times New Roman" w:hAnsi="Times New Roman" w:eastAsia="宋体" w:cs="Times New Roman"/>
          <w:b/>
          <w:color w:val="auto"/>
          <w:spacing w:val="0"/>
          <w:highlight w:val="none"/>
        </w:rPr>
        <w:t>第九条 乙方的声明与保证</w:t>
      </w:r>
      <w:bookmarkEnd w:id="278"/>
    </w:p>
    <w:p w14:paraId="2A4850B7">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乙方向甲方做出如下声明与保证：</w:t>
      </w:r>
    </w:p>
    <w:p w14:paraId="37031AE1">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9.1乙方完全具有本合同项下项目实施的技术资质与实力，包括开发技术人员、硬件设施等。</w:t>
      </w:r>
    </w:p>
    <w:p w14:paraId="6511A71D">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9.2乙方已对照本合同附件一中甲方确认的需求，确认乙方的设计方案已经涵盖了设计需求的各方面，并且乙方实施的产品是先进的、适用的、兼容的，能够满足甲方核心业务扩展的需求。</w:t>
      </w:r>
    </w:p>
    <w:p w14:paraId="536F019F">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highlight w:val="none"/>
        </w:rPr>
      </w:pPr>
      <w:r>
        <w:rPr>
          <w:rStyle w:val="49"/>
          <w:rFonts w:hint="default" w:ascii="Times New Roman" w:hAnsi="Times New Roman" w:eastAsia="宋体" w:cs="Times New Roman"/>
          <w:color w:val="auto"/>
          <w:spacing w:val="0"/>
          <w:kern w:val="0"/>
          <w:highlight w:val="none"/>
        </w:rPr>
        <w:t>9.3乙方在本项目中【使用/未使用】第三方产品，包括第三方SDK、小程序、软件、开源组件等，（若选择【使用】请列举）例：第三方SDK：XXXX、XXX；第三方小程序：XXX等。</w:t>
      </w:r>
      <w:r>
        <w:rPr>
          <w:rFonts w:hint="default" w:ascii="Times New Roman" w:hAnsi="Times New Roman" w:eastAsia="宋体" w:cs="Times New Roman"/>
          <w:color w:val="auto"/>
          <w:spacing w:val="0"/>
          <w:highlight w:val="none"/>
        </w:rPr>
        <w:t>若乙方在项目中使用了第三方产品，乙方须按如下要求执行：</w:t>
      </w:r>
    </w:p>
    <w:p w14:paraId="50BA340B">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（1）针对第三方SDK：乙方应开展安全评估和个人信息保护评估，并提供无中高风险的评估报告；</w:t>
      </w:r>
    </w:p>
    <w:p w14:paraId="48BDA208">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（2）针对第三方小程序：乙方应开展安全评估，并提供无中高风险漏洞的安全评估报告。</w:t>
      </w:r>
    </w:p>
    <w:p w14:paraId="7BE57D2E">
      <w:pPr>
        <w:keepNext w:val="0"/>
        <w:keepLines w:val="0"/>
        <w:pageBreakBefore w:val="0"/>
        <w:kinsoku/>
        <w:wordWrap/>
        <w:overflowPunct/>
        <w:topLinePunct w:val="0"/>
        <w:autoSpaceDE w:val="0"/>
        <w:autoSpaceDN w:val="0"/>
        <w:bidi w:val="0"/>
        <w:spacing w:line="360" w:lineRule="auto"/>
        <w:ind w:firstLine="480" w:firstLineChars="200"/>
        <w:outlineLvl w:val="9"/>
        <w:rPr>
          <w:rStyle w:val="49"/>
          <w:rFonts w:hint="default" w:ascii="Times New Roman" w:hAnsi="Times New Roman" w:eastAsia="宋体" w:cs="Times New Roman"/>
          <w:color w:val="auto"/>
          <w:spacing w:val="0"/>
          <w:kern w:val="0"/>
          <w:highlight w:val="none"/>
        </w:rPr>
      </w:pPr>
      <w:r>
        <w:rPr>
          <w:rFonts w:hint="default" w:ascii="Times New Roman" w:hAnsi="Times New Roman" w:eastAsia="宋体" w:cs="Times New Roman"/>
          <w:color w:val="auto"/>
          <w:spacing w:val="0"/>
          <w:highlight w:val="none"/>
        </w:rPr>
        <w:t>（3）若</w:t>
      </w:r>
      <w:r>
        <w:rPr>
          <w:rStyle w:val="49"/>
          <w:rFonts w:hint="default" w:ascii="Times New Roman" w:hAnsi="Times New Roman" w:eastAsia="宋体" w:cs="Times New Roman"/>
          <w:color w:val="auto"/>
          <w:spacing w:val="0"/>
          <w:kern w:val="0"/>
          <w:highlight w:val="none"/>
        </w:rPr>
        <w:t>第三方产品出现安全漏洞</w:t>
      </w:r>
      <w:r>
        <w:rPr>
          <w:rFonts w:hint="default" w:ascii="Times New Roman" w:hAnsi="Times New Roman" w:eastAsia="宋体" w:cs="Times New Roman"/>
          <w:color w:val="auto"/>
          <w:spacing w:val="0"/>
          <w:highlight w:val="none"/>
        </w:rPr>
        <w:t>或违反个人信息保护相关法规，</w:t>
      </w:r>
      <w:r>
        <w:rPr>
          <w:rStyle w:val="49"/>
          <w:rFonts w:hint="default" w:ascii="Times New Roman" w:hAnsi="Times New Roman" w:eastAsia="宋体" w:cs="Times New Roman"/>
          <w:color w:val="auto"/>
          <w:spacing w:val="0"/>
          <w:kern w:val="0"/>
          <w:highlight w:val="none"/>
        </w:rPr>
        <w:t>甲方有权要求乙方进行修复，若因此给甲方造成损失的，甲方有权随时向乙方追偿。</w:t>
      </w:r>
    </w:p>
    <w:p w14:paraId="426F8BA9">
      <w:pPr>
        <w:keepNext w:val="0"/>
        <w:keepLines w:val="0"/>
        <w:pageBreakBefore w:val="0"/>
        <w:kinsoku/>
        <w:wordWrap/>
        <w:overflowPunct/>
        <w:topLinePunct w:val="0"/>
        <w:autoSpaceDE w:val="0"/>
        <w:autoSpaceDN w:val="0"/>
        <w:bidi w:val="0"/>
        <w:spacing w:line="360" w:lineRule="auto"/>
        <w:ind w:firstLine="480" w:firstLineChars="200"/>
        <w:outlineLvl w:val="9"/>
        <w:rPr>
          <w:rStyle w:val="49"/>
          <w:rFonts w:hint="default" w:ascii="Times New Roman" w:hAnsi="Times New Roman" w:eastAsia="宋体" w:cs="Times New Roman"/>
          <w:color w:val="auto"/>
          <w:spacing w:val="0"/>
          <w:kern w:val="0"/>
          <w:highlight w:val="none"/>
        </w:rPr>
      </w:pPr>
      <w:r>
        <w:rPr>
          <w:rStyle w:val="49"/>
          <w:rFonts w:hint="default" w:ascii="Times New Roman" w:hAnsi="Times New Roman" w:eastAsia="宋体" w:cs="Times New Roman"/>
          <w:color w:val="auto"/>
          <w:spacing w:val="0"/>
          <w:kern w:val="0"/>
          <w:highlight w:val="none"/>
        </w:rPr>
        <w:t>9.4乙方保证向甲方提供的项目产品（含第三方产品）的安全性、合规性，保证无恶意脚本、后门及恶意漏洞，不携带任何病毒，不越权收集、处理客户信息。</w:t>
      </w:r>
    </w:p>
    <w:p w14:paraId="291B9010">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9.5乙方向甲方提供的产品和服务不会有任何第三方主张权利，也不会侵害任何第三方的合法权益，包括知识产权。</w:t>
      </w:r>
    </w:p>
    <w:p w14:paraId="5C9C76C2">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9.6乙方保证遵守甲方《重庆三峡银行员工回避管理办法》中招录回避、任职回避、公务回避的相关要求。若发现乙方人员与甲方内部人员存在亲属关系，乙方应主动报告，并采取相应回避措施。</w:t>
      </w:r>
    </w:p>
    <w:p w14:paraId="221FEB56">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9.7 乙方保证其人员无不良记录，服务商与其建立合法的雇佣关系，依法履行用工管理职责。</w:t>
      </w:r>
    </w:p>
    <w:p w14:paraId="0717DEA2">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9.8 乙方定期通报外包事项，及时通报外包突发性事件及解决情况。</w:t>
      </w:r>
    </w:p>
    <w:p w14:paraId="5559018C">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highlight w:val="none"/>
        </w:rPr>
      </w:pPr>
    </w:p>
    <w:p w14:paraId="57366A03">
      <w:pPr>
        <w:keepNext w:val="0"/>
        <w:keepLines w:val="0"/>
        <w:pageBreakBefore w:val="0"/>
        <w:widowControl w:val="0"/>
        <w:kinsoku/>
        <w:wordWrap/>
        <w:overflowPunct/>
        <w:topLinePunct w:val="0"/>
        <w:autoSpaceDE w:val="0"/>
        <w:autoSpaceDN w:val="0"/>
        <w:bidi w:val="0"/>
        <w:adjustRightInd/>
        <w:snapToGrid/>
        <w:spacing w:line="360" w:lineRule="auto"/>
        <w:ind w:firstLine="472" w:firstLineChars="196"/>
        <w:jc w:val="left"/>
        <w:textAlignment w:val="auto"/>
        <w:outlineLvl w:val="9"/>
        <w:rPr>
          <w:rFonts w:hint="default" w:ascii="Times New Roman" w:hAnsi="Times New Roman" w:eastAsia="宋体" w:cs="Times New Roman"/>
          <w:b/>
          <w:color w:val="auto"/>
          <w:spacing w:val="0"/>
          <w:highlight w:val="none"/>
        </w:rPr>
      </w:pPr>
      <w:bookmarkStart w:id="279" w:name="_Toc84948034"/>
      <w:r>
        <w:rPr>
          <w:rFonts w:hint="default" w:ascii="Times New Roman" w:hAnsi="Times New Roman" w:eastAsia="宋体" w:cs="Times New Roman"/>
          <w:b/>
          <w:color w:val="auto"/>
          <w:spacing w:val="0"/>
          <w:highlight w:val="none"/>
        </w:rPr>
        <w:t>第十条 知识产权</w:t>
      </w:r>
      <w:bookmarkEnd w:id="279"/>
    </w:p>
    <w:p w14:paraId="415DCC7F">
      <w:pPr>
        <w:keepNext w:val="0"/>
        <w:keepLines w:val="0"/>
        <w:pageBreakBefore w:val="0"/>
        <w:kinsoku/>
        <w:wordWrap/>
        <w:overflowPunct/>
        <w:topLinePunct w:val="0"/>
        <w:autoSpaceDE w:val="0"/>
        <w:autoSpaceDN w:val="0"/>
        <w:bidi w:val="0"/>
        <w:spacing w:line="360" w:lineRule="auto"/>
        <w:ind w:firstLine="480" w:firstLineChars="200"/>
        <w:outlineLvl w:val="9"/>
        <w:rPr>
          <w:rStyle w:val="49"/>
          <w:rFonts w:hint="default" w:ascii="Times New Roman" w:hAnsi="Times New Roman" w:eastAsia="宋体" w:cs="Times New Roman"/>
          <w:color w:val="auto"/>
          <w:spacing w:val="0"/>
          <w:kern w:val="0"/>
          <w:highlight w:val="none"/>
        </w:rPr>
      </w:pPr>
      <w:r>
        <w:rPr>
          <w:rStyle w:val="49"/>
          <w:rFonts w:hint="default" w:ascii="Times New Roman" w:hAnsi="Times New Roman" w:eastAsia="宋体" w:cs="Times New Roman"/>
          <w:color w:val="auto"/>
          <w:spacing w:val="0"/>
          <w:kern w:val="0"/>
          <w:highlight w:val="none"/>
        </w:rPr>
        <w:t>10.1乙方提供的产品和服务以及在项目中用到的各种工具、产品、组件、文档不得侵犯任何方的知识产权和其他合法权益。不得侵犯甲方商誉，任何人未经甲方同意不得使用甲方合法所有的知识产权，由此造成的一切损失由乙方承担赔偿责任。</w:t>
      </w:r>
    </w:p>
    <w:p w14:paraId="457899F9">
      <w:pPr>
        <w:keepNext w:val="0"/>
        <w:keepLines w:val="0"/>
        <w:pageBreakBefore w:val="0"/>
        <w:kinsoku/>
        <w:wordWrap/>
        <w:overflowPunct/>
        <w:topLinePunct w:val="0"/>
        <w:autoSpaceDE w:val="0"/>
        <w:autoSpaceDN w:val="0"/>
        <w:bidi w:val="0"/>
        <w:spacing w:line="360" w:lineRule="auto"/>
        <w:ind w:firstLine="480" w:firstLineChars="200"/>
        <w:outlineLvl w:val="9"/>
        <w:rPr>
          <w:rStyle w:val="49"/>
          <w:rFonts w:hint="default" w:ascii="Times New Roman" w:hAnsi="Times New Roman" w:eastAsia="宋体" w:cs="Times New Roman"/>
          <w:color w:val="auto"/>
          <w:spacing w:val="0"/>
          <w:highlight w:val="none"/>
        </w:rPr>
      </w:pPr>
      <w:bookmarkStart w:id="280" w:name="_Toc84948035"/>
      <w:r>
        <w:rPr>
          <w:rFonts w:hint="default" w:ascii="Times New Roman" w:hAnsi="Times New Roman" w:eastAsia="宋体" w:cs="Times New Roman"/>
          <w:color w:val="auto"/>
          <w:spacing w:val="0"/>
          <w:highlight w:val="none"/>
        </w:rPr>
        <w:t>10.2 乙方行使任何基于本合同约定或法律规定取得的对软件产品的处分权，包括软件的转让权、专有使用权及使用许可权，都不得损害甲方基于本合同约定或法律规定取得的权利，也不得对甲方行使这些权利造成任何妨碍。</w:t>
      </w:r>
    </w:p>
    <w:p w14:paraId="12882E18">
      <w:pPr>
        <w:keepNext w:val="0"/>
        <w:keepLines w:val="0"/>
        <w:pageBreakBefore w:val="0"/>
        <w:kinsoku/>
        <w:wordWrap/>
        <w:overflowPunct/>
        <w:topLinePunct w:val="0"/>
        <w:autoSpaceDE w:val="0"/>
        <w:autoSpaceDN w:val="0"/>
        <w:bidi w:val="0"/>
        <w:spacing w:line="360" w:lineRule="auto"/>
        <w:ind w:firstLine="480" w:firstLineChars="200"/>
        <w:outlineLvl w:val="9"/>
        <w:rPr>
          <w:rStyle w:val="49"/>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10.3乙方应将有关资料（数据库设计文件、技术文件和用户手册等全部资料）在甲方要求期限内，按国家有关项目开发标准以文字等载体的形式交给甲方，甲方拥有永久的使用权。</w:t>
      </w:r>
      <w:r>
        <w:rPr>
          <w:rStyle w:val="49"/>
          <w:rFonts w:hint="default" w:ascii="Times New Roman" w:hAnsi="Times New Roman" w:eastAsia="宋体" w:cs="Times New Roman"/>
          <w:color w:val="auto"/>
          <w:spacing w:val="0"/>
          <w:highlight w:val="none"/>
        </w:rPr>
        <w:t>乙方须提供全部源代码（包含以下内容：产品源代码、客户化源代码、系统平台源代码、第三方产品源代码，底层架构和通讯层的源代码）、代码解析平台（若有）及源代码说明文档、源代码注释说明、基线版本号等相关内容，乙方应进行无保留的知识转移。</w:t>
      </w:r>
    </w:p>
    <w:p w14:paraId="7F8A516D">
      <w:pPr>
        <w:keepNext w:val="0"/>
        <w:keepLines w:val="0"/>
        <w:pageBreakBefore w:val="0"/>
        <w:kinsoku/>
        <w:wordWrap/>
        <w:overflowPunct/>
        <w:topLinePunct w:val="0"/>
        <w:autoSpaceDE w:val="0"/>
        <w:autoSpaceDN w:val="0"/>
        <w:bidi w:val="0"/>
        <w:spacing w:line="360" w:lineRule="auto"/>
        <w:ind w:firstLine="480" w:firstLineChars="200"/>
        <w:outlineLvl w:val="9"/>
        <w:rPr>
          <w:rStyle w:val="49"/>
          <w:rFonts w:hint="default" w:ascii="Times New Roman" w:hAnsi="Times New Roman" w:eastAsia="宋体" w:cs="Times New Roman"/>
          <w:color w:val="auto"/>
          <w:spacing w:val="0"/>
          <w:highlight w:val="none"/>
        </w:rPr>
      </w:pPr>
      <w:r>
        <w:rPr>
          <w:rStyle w:val="49"/>
          <w:rFonts w:hint="default" w:ascii="Times New Roman" w:hAnsi="Times New Roman" w:eastAsia="宋体" w:cs="Times New Roman"/>
          <w:color w:val="auto"/>
          <w:spacing w:val="0"/>
          <w:highlight w:val="none"/>
        </w:rPr>
        <w:t>10.4本项目客户化源代码的知识产权归甲方单独所有，其余部分归双方共有。</w:t>
      </w:r>
    </w:p>
    <w:p w14:paraId="384D1BA1">
      <w:pPr>
        <w:keepNext w:val="0"/>
        <w:keepLines w:val="0"/>
        <w:pageBreakBefore w:val="0"/>
        <w:kinsoku/>
        <w:wordWrap/>
        <w:overflowPunct/>
        <w:topLinePunct w:val="0"/>
        <w:autoSpaceDE w:val="0"/>
        <w:autoSpaceDN w:val="0"/>
        <w:bidi w:val="0"/>
        <w:spacing w:line="360" w:lineRule="auto"/>
        <w:ind w:firstLine="480" w:firstLineChars="200"/>
        <w:outlineLvl w:val="9"/>
        <w:rPr>
          <w:rStyle w:val="49"/>
          <w:rFonts w:hint="default" w:ascii="Times New Roman" w:hAnsi="Times New Roman" w:eastAsia="宋体" w:cs="Times New Roman"/>
          <w:color w:val="auto"/>
          <w:spacing w:val="0"/>
          <w:kern w:val="0"/>
          <w:highlight w:val="none"/>
        </w:rPr>
      </w:pPr>
      <w:r>
        <w:rPr>
          <w:rStyle w:val="49"/>
          <w:rFonts w:hint="default" w:ascii="Times New Roman" w:hAnsi="Times New Roman" w:eastAsia="宋体" w:cs="Times New Roman"/>
          <w:color w:val="auto"/>
          <w:spacing w:val="0"/>
          <w:highlight w:val="none"/>
        </w:rPr>
        <w:t>10.4.1</w:t>
      </w:r>
      <w:r>
        <w:rPr>
          <w:rStyle w:val="49"/>
          <w:rFonts w:hint="default" w:ascii="Times New Roman" w:hAnsi="Times New Roman" w:eastAsia="宋体" w:cs="Times New Roman"/>
          <w:color w:val="auto"/>
          <w:spacing w:val="0"/>
          <w:kern w:val="0"/>
          <w:highlight w:val="none"/>
        </w:rPr>
        <w:t>未经甲方事先书面同意，乙方不得将前述属于甲方知识产权的全部或部分转让给任何第三方，也不得进行任何形式的复制、改编、编译或衍生开发或者许可他人使用，包括将系统中有关甲方专有业务方式、业务流程规则、专有内容的技术实现方法等以任何方式用于任何第三方系统的设计及开发中。</w:t>
      </w:r>
    </w:p>
    <w:p w14:paraId="3BB75258">
      <w:pPr>
        <w:keepNext w:val="0"/>
        <w:keepLines w:val="0"/>
        <w:pageBreakBefore w:val="0"/>
        <w:kinsoku/>
        <w:wordWrap/>
        <w:overflowPunct/>
        <w:topLinePunct w:val="0"/>
        <w:autoSpaceDE w:val="0"/>
        <w:autoSpaceDN w:val="0"/>
        <w:bidi w:val="0"/>
        <w:spacing w:line="360" w:lineRule="auto"/>
        <w:ind w:firstLine="480" w:firstLineChars="200"/>
        <w:outlineLvl w:val="9"/>
        <w:rPr>
          <w:rStyle w:val="49"/>
          <w:rFonts w:hint="default" w:ascii="Times New Roman" w:hAnsi="Times New Roman" w:eastAsia="宋体" w:cs="Times New Roman"/>
          <w:color w:val="auto"/>
          <w:spacing w:val="0"/>
          <w:highlight w:val="none"/>
        </w:rPr>
      </w:pPr>
      <w:r>
        <w:rPr>
          <w:rStyle w:val="49"/>
          <w:rFonts w:hint="default" w:ascii="Times New Roman" w:hAnsi="Times New Roman" w:eastAsia="宋体" w:cs="Times New Roman"/>
          <w:color w:val="auto"/>
          <w:spacing w:val="0"/>
          <w:highlight w:val="none"/>
        </w:rPr>
        <w:t>10.4.2针对共有部分，甲方拥有在甲方及其分支机构使用及后续开发的权利，</w:t>
      </w:r>
      <w:r>
        <w:rPr>
          <w:rFonts w:hint="default" w:ascii="Times New Roman" w:hAnsi="Times New Roman" w:eastAsia="宋体" w:cs="Times New Roman"/>
          <w:color w:val="auto"/>
          <w:spacing w:val="0"/>
          <w:highlight w:val="none"/>
        </w:rPr>
        <w:t>甲方在乙方交付的系统版本上进行自主开发或交由第三方公司开发，开发成果的知识产权归甲方所有。</w:t>
      </w:r>
      <w:r>
        <w:rPr>
          <w:rStyle w:val="49"/>
          <w:rFonts w:hint="default" w:ascii="Times New Roman" w:hAnsi="Times New Roman" w:eastAsia="宋体" w:cs="Times New Roman"/>
          <w:color w:val="auto"/>
          <w:spacing w:val="0"/>
          <w:highlight w:val="none"/>
        </w:rPr>
        <w:t>乙方拥有在其公司和其他组织范围内使用的权利，但乙方使用时不得侵犯甲方利益。</w:t>
      </w:r>
    </w:p>
    <w:p w14:paraId="7998ABB3">
      <w:pPr>
        <w:keepNext w:val="0"/>
        <w:keepLines w:val="0"/>
        <w:pageBreakBefore w:val="0"/>
        <w:kinsoku/>
        <w:wordWrap/>
        <w:overflowPunct/>
        <w:topLinePunct w:val="0"/>
        <w:autoSpaceDE w:val="0"/>
        <w:autoSpaceDN w:val="0"/>
        <w:bidi w:val="0"/>
        <w:spacing w:line="360" w:lineRule="auto"/>
        <w:ind w:firstLine="480" w:firstLineChars="200"/>
        <w:outlineLvl w:val="9"/>
        <w:rPr>
          <w:rStyle w:val="49"/>
          <w:rFonts w:hint="default" w:ascii="Times New Roman" w:hAnsi="Times New Roman" w:eastAsia="宋体" w:cs="Times New Roman"/>
          <w:color w:val="auto"/>
          <w:spacing w:val="0"/>
          <w:highlight w:val="none"/>
        </w:rPr>
      </w:pPr>
      <w:r>
        <w:rPr>
          <w:rStyle w:val="49"/>
          <w:rFonts w:hint="default" w:ascii="Times New Roman" w:hAnsi="Times New Roman" w:eastAsia="宋体" w:cs="Times New Roman"/>
          <w:color w:val="auto"/>
          <w:spacing w:val="0"/>
          <w:highlight w:val="none"/>
        </w:rPr>
        <w:t>10.4.3一经发现乙方将甲方具有自主知识产权的咨询成果、系统代码违规转让、销售、赠送或泄露给第三方，或者通过互联网渠道（如百度网盘、GitHub仓库等）违规公开分享与该系统相关的重要配置数据、开发设计文档以及产品源代码，将视情节轻重情况给予中选人相应处罚（处罚金额不低于合同金额的10%）。</w:t>
      </w:r>
    </w:p>
    <w:p w14:paraId="78B92472">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kern w:val="0"/>
          <w:highlight w:val="none"/>
        </w:rPr>
      </w:pPr>
    </w:p>
    <w:p w14:paraId="53E2AF91">
      <w:pPr>
        <w:keepNext w:val="0"/>
        <w:keepLines w:val="0"/>
        <w:pageBreakBefore w:val="0"/>
        <w:kinsoku/>
        <w:wordWrap/>
        <w:overflowPunct/>
        <w:topLinePunct w:val="0"/>
        <w:autoSpaceDE w:val="0"/>
        <w:autoSpaceDN w:val="0"/>
        <w:bidi w:val="0"/>
        <w:spacing w:line="360" w:lineRule="auto"/>
        <w:ind w:firstLine="472" w:firstLineChars="196"/>
        <w:outlineLvl w:val="9"/>
        <w:rPr>
          <w:rFonts w:hint="default" w:ascii="Times New Roman" w:hAnsi="Times New Roman" w:eastAsia="宋体" w:cs="Times New Roman"/>
          <w:b/>
          <w:color w:val="auto"/>
          <w:spacing w:val="0"/>
          <w:highlight w:val="none"/>
        </w:rPr>
      </w:pPr>
      <w:r>
        <w:rPr>
          <w:rFonts w:hint="default" w:ascii="Times New Roman" w:hAnsi="Times New Roman" w:eastAsia="宋体" w:cs="Times New Roman"/>
          <w:b/>
          <w:color w:val="auto"/>
          <w:spacing w:val="0"/>
          <w:highlight w:val="none"/>
        </w:rPr>
        <w:t>第十一条 第三方索赔</w:t>
      </w:r>
      <w:bookmarkEnd w:id="280"/>
    </w:p>
    <w:p w14:paraId="1D704E72">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11.1对于任何针对甲方提出的有关乙方提供的本项目产品的索赔，包括侵犯使用开发软件和资料或接受支持服务的国家的某项专利、实用新型、工业设计、版权、商业秘密、掩模图纸或商标的索赔，乙方应当自行与相关方协商解决并承担所发生的一切相关费用，负责承担甲方在索赔项下有可能产生的全部赔偿责任。</w:t>
      </w:r>
    </w:p>
    <w:p w14:paraId="106A79E0">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11.2对于第11.1条涉及的侵权索赔，乙方将承担全部费用，包括</w:t>
      </w:r>
      <w:r>
        <w:rPr>
          <w:rStyle w:val="49"/>
          <w:rFonts w:hint="default" w:ascii="Times New Roman" w:hAnsi="Times New Roman" w:eastAsia="宋体" w:cs="Times New Roman"/>
          <w:color w:val="auto"/>
          <w:spacing w:val="0"/>
          <w:kern w:val="0"/>
          <w:highlight w:val="none"/>
        </w:rPr>
        <w:t>诉讼费、仲裁费、甲方支付的律师费、差旅住宿费、公证费、鉴定费、调解费及仲裁裁决、法院判决或调解协议中由甲方承担的赔偿金。</w:t>
      </w:r>
    </w:p>
    <w:p w14:paraId="40F26382">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11.3如果产品可能引起索赔，乙方经甲方书面同意，并由甲方选择，采取下列补救措施：修改产品、取得任何必需的许可或更换产品。如果甲方认为上述任何方法不能实行有效补救，乙方应退还甲方已支付的全部款项并赔偿由此给甲方造成的全</w:t>
      </w:r>
      <w:r>
        <w:rPr>
          <w:rStyle w:val="49"/>
          <w:rFonts w:hint="default" w:ascii="Times New Roman" w:hAnsi="Times New Roman" w:eastAsia="宋体" w:cs="Times New Roman"/>
          <w:color w:val="auto"/>
          <w:spacing w:val="0"/>
          <w:kern w:val="0"/>
          <w:highlight w:val="none"/>
        </w:rPr>
        <w:t>部损失</w:t>
      </w:r>
      <w:r>
        <w:rPr>
          <w:rFonts w:hint="default" w:ascii="Times New Roman" w:hAnsi="Times New Roman" w:eastAsia="宋体" w:cs="Times New Roman"/>
          <w:color w:val="auto"/>
          <w:spacing w:val="0"/>
          <w:highlight w:val="none"/>
        </w:rPr>
        <w:t>。</w:t>
      </w:r>
    </w:p>
    <w:p w14:paraId="6764974F">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11.4乙方对由以下非乙方的过错引起的侵权索赔不承担责任：</w:t>
      </w:r>
    </w:p>
    <w:p w14:paraId="41542647">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highlight w:val="none"/>
        </w:rPr>
      </w:pPr>
      <w:r>
        <w:rPr>
          <w:rStyle w:val="49"/>
          <w:rFonts w:hint="default" w:ascii="Times New Roman" w:hAnsi="Times New Roman" w:eastAsia="宋体" w:cs="Times New Roman"/>
          <w:color w:val="auto"/>
          <w:spacing w:val="0"/>
          <w:kern w:val="0"/>
          <w:highlight w:val="none"/>
        </w:rPr>
        <w:t>11.4.1 甲方使用不当所造成的侵权。</w:t>
      </w:r>
    </w:p>
    <w:p w14:paraId="653317CF">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11.4.2 因甲方或第三方对开发软件或资料进行修改所直接造成的侵权。</w:t>
      </w:r>
    </w:p>
    <w:p w14:paraId="7BC29C51">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highlight w:val="none"/>
        </w:rPr>
      </w:pPr>
    </w:p>
    <w:p w14:paraId="184C5181">
      <w:pPr>
        <w:keepNext w:val="0"/>
        <w:keepLines w:val="0"/>
        <w:pageBreakBefore w:val="0"/>
        <w:kinsoku/>
        <w:wordWrap/>
        <w:overflowPunct/>
        <w:topLinePunct w:val="0"/>
        <w:autoSpaceDE w:val="0"/>
        <w:autoSpaceDN w:val="0"/>
        <w:bidi w:val="0"/>
        <w:spacing w:line="360" w:lineRule="auto"/>
        <w:ind w:firstLine="472" w:firstLineChars="196"/>
        <w:outlineLvl w:val="9"/>
        <w:rPr>
          <w:rFonts w:hint="default" w:ascii="Times New Roman" w:hAnsi="Times New Roman" w:eastAsia="宋体" w:cs="Times New Roman"/>
          <w:b/>
          <w:color w:val="auto"/>
          <w:spacing w:val="0"/>
          <w:highlight w:val="none"/>
        </w:rPr>
      </w:pPr>
      <w:bookmarkStart w:id="281" w:name="_Toc84948036"/>
      <w:r>
        <w:rPr>
          <w:rFonts w:hint="default" w:ascii="Times New Roman" w:hAnsi="Times New Roman" w:eastAsia="宋体" w:cs="Times New Roman"/>
          <w:b/>
          <w:color w:val="auto"/>
          <w:spacing w:val="0"/>
          <w:highlight w:val="none"/>
        </w:rPr>
        <w:t>第十二条 保密</w:t>
      </w:r>
      <w:bookmarkEnd w:id="281"/>
    </w:p>
    <w:p w14:paraId="4B6170AC">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bCs/>
          <w:color w:val="auto"/>
          <w:spacing w:val="0"/>
          <w:kern w:val="0"/>
          <w:highlight w:val="none"/>
        </w:rPr>
      </w:pPr>
      <w:r>
        <w:rPr>
          <w:rFonts w:hint="default" w:ascii="Times New Roman" w:hAnsi="Times New Roman" w:eastAsia="宋体" w:cs="Times New Roman"/>
          <w:bCs/>
          <w:color w:val="auto"/>
          <w:spacing w:val="0"/>
          <w:kern w:val="0"/>
          <w:highlight w:val="none"/>
        </w:rPr>
        <w:t>12.1乙方须对本合同项下的所有条款保密。乙方人员入场前须与甲方签订相应诚信安全承诺书。</w:t>
      </w:r>
    </w:p>
    <w:p w14:paraId="14C5F857">
      <w:pPr>
        <w:keepNext w:val="0"/>
        <w:keepLines w:val="0"/>
        <w:pageBreakBefore w:val="0"/>
        <w:tabs>
          <w:tab w:val="left" w:pos="1134"/>
        </w:tabs>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kern w:val="0"/>
          <w:highlight w:val="none"/>
        </w:rPr>
      </w:pPr>
      <w:r>
        <w:rPr>
          <w:rFonts w:hint="default" w:ascii="Times New Roman" w:hAnsi="Times New Roman" w:eastAsia="宋体" w:cs="Times New Roman"/>
          <w:color w:val="auto"/>
          <w:spacing w:val="0"/>
          <w:kern w:val="0"/>
          <w:highlight w:val="none"/>
        </w:rPr>
        <w:t>12.2乙方应对本合同所述的客户信息、</w:t>
      </w:r>
      <w:r>
        <w:rPr>
          <w:rFonts w:hint="default" w:ascii="Times New Roman" w:hAnsi="Times New Roman" w:eastAsia="宋体" w:cs="Times New Roman"/>
          <w:bCs/>
          <w:color w:val="auto"/>
          <w:spacing w:val="0"/>
          <w:kern w:val="0"/>
          <w:highlight w:val="none"/>
        </w:rPr>
        <w:t>技术资料、业务流程、源代码、数据等重要信息</w:t>
      </w:r>
      <w:r>
        <w:rPr>
          <w:rFonts w:hint="default" w:ascii="Times New Roman" w:hAnsi="Times New Roman" w:eastAsia="宋体" w:cs="Times New Roman"/>
          <w:color w:val="auto"/>
          <w:spacing w:val="0"/>
          <w:kern w:val="0"/>
          <w:highlight w:val="none"/>
        </w:rPr>
        <w:t>采取保密措施，未经甲方的书面同意，乙方不得在合同允许范围外使用、披露、存放于第三方托管平台、向无关人员或第三方透露，也不能就有关合同内容的任何部分进行新闻的发布、公开的宣称、否认或承认。</w:t>
      </w:r>
    </w:p>
    <w:p w14:paraId="4E43081F">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bCs/>
          <w:color w:val="auto"/>
          <w:spacing w:val="0"/>
          <w:kern w:val="0"/>
          <w:highlight w:val="none"/>
        </w:rPr>
      </w:pPr>
      <w:r>
        <w:rPr>
          <w:rFonts w:hint="default" w:ascii="Times New Roman" w:hAnsi="Times New Roman" w:eastAsia="宋体" w:cs="Times New Roman"/>
          <w:bCs/>
          <w:color w:val="auto"/>
          <w:spacing w:val="0"/>
          <w:kern w:val="0"/>
          <w:highlight w:val="none"/>
        </w:rPr>
        <w:t>12.3乙方不得以甲方名义开展活动，不得将甲方数据、信息以任何形式转移、挪用或谋取合同约定以外的利益。</w:t>
      </w:r>
    </w:p>
    <w:p w14:paraId="1381B6A6">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kern w:val="0"/>
          <w:highlight w:val="none"/>
        </w:rPr>
      </w:pPr>
      <w:r>
        <w:rPr>
          <w:rFonts w:hint="default" w:ascii="Times New Roman" w:hAnsi="Times New Roman" w:eastAsia="宋体" w:cs="Times New Roman"/>
          <w:color w:val="auto"/>
          <w:spacing w:val="0"/>
          <w:kern w:val="0"/>
          <w:highlight w:val="none"/>
        </w:rPr>
        <w:t>12.4乙方知道违反本条规定将给甲方客户权利以及甲方造成难以弥补的损失，为此同意承担由此产生的经济上和法律上的责任和损失。</w:t>
      </w:r>
    </w:p>
    <w:p w14:paraId="7D6D73CB">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kern w:val="0"/>
          <w:highlight w:val="none"/>
        </w:rPr>
      </w:pPr>
      <w:r>
        <w:rPr>
          <w:rFonts w:hint="default" w:ascii="Times New Roman" w:hAnsi="Times New Roman" w:eastAsia="宋体" w:cs="Times New Roman"/>
          <w:color w:val="auto"/>
          <w:spacing w:val="0"/>
          <w:kern w:val="0"/>
          <w:highlight w:val="none"/>
        </w:rPr>
        <w:t>12.5乙方承认本合同中的技术资料和技术秘密为甲方所专有，将其对乙方进行披露并不意味着任何所有权、专利权的转让。</w:t>
      </w:r>
    </w:p>
    <w:p w14:paraId="02EF13BB">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kern w:val="0"/>
          <w:highlight w:val="none"/>
        </w:rPr>
      </w:pPr>
      <w:r>
        <w:rPr>
          <w:rFonts w:hint="default" w:ascii="Times New Roman" w:hAnsi="Times New Roman" w:eastAsia="宋体" w:cs="Times New Roman"/>
          <w:color w:val="auto"/>
          <w:spacing w:val="0"/>
          <w:kern w:val="0"/>
          <w:highlight w:val="none"/>
        </w:rPr>
        <w:t>12.6在本合同项目的研究开发结束并通过验收后，乙方应向甲方提供本合同项目的研究成果，包括技术规范、测试文件和质量标准等相关的技术资料，或者计算机软件、文档及源代码等。乙方应归还甲方提供的所有技术资料或文件等，并承诺不保留任何复印件。</w:t>
      </w:r>
    </w:p>
    <w:p w14:paraId="4DB3652B">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kern w:val="0"/>
          <w:highlight w:val="none"/>
        </w:rPr>
      </w:pPr>
      <w:r>
        <w:rPr>
          <w:rFonts w:hint="default" w:ascii="Times New Roman" w:hAnsi="Times New Roman" w:eastAsia="宋体" w:cs="Times New Roman"/>
          <w:color w:val="auto"/>
          <w:spacing w:val="0"/>
          <w:kern w:val="0"/>
          <w:highlight w:val="none"/>
        </w:rPr>
        <w:t>12.7乙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14:paraId="18A079E2">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kern w:val="0"/>
          <w:highlight w:val="none"/>
        </w:rPr>
      </w:pPr>
      <w:r>
        <w:rPr>
          <w:rFonts w:hint="default" w:ascii="Times New Roman" w:hAnsi="Times New Roman" w:eastAsia="宋体" w:cs="Times New Roman"/>
          <w:color w:val="auto"/>
          <w:spacing w:val="0"/>
          <w:kern w:val="0"/>
          <w:highlight w:val="none"/>
        </w:rPr>
        <w:t>12.8除非甲方特别声明，乙方对于保密信息的保密义务为无限期保密，直至甲方宣布解密或者保密信息实际上已经公开。</w:t>
      </w:r>
    </w:p>
    <w:p w14:paraId="3AAB8B38">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kern w:val="0"/>
          <w:highlight w:val="none"/>
        </w:rPr>
      </w:pPr>
      <w:r>
        <w:rPr>
          <w:rFonts w:hint="default" w:ascii="Times New Roman" w:hAnsi="Times New Roman" w:eastAsia="宋体" w:cs="Times New Roman"/>
          <w:color w:val="auto"/>
          <w:spacing w:val="0"/>
          <w:kern w:val="0"/>
          <w:highlight w:val="none"/>
        </w:rPr>
        <w:t>12.9 本合同项下乙方人员行为视为乙方行为，乙方应承担全部责任及损失。</w:t>
      </w:r>
    </w:p>
    <w:p w14:paraId="3764D81E">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highlight w:val="none"/>
        </w:rPr>
      </w:pPr>
    </w:p>
    <w:p w14:paraId="05C2D19C">
      <w:pPr>
        <w:keepNext w:val="0"/>
        <w:keepLines w:val="0"/>
        <w:pageBreakBefore w:val="0"/>
        <w:kinsoku/>
        <w:wordWrap/>
        <w:overflowPunct/>
        <w:topLinePunct w:val="0"/>
        <w:autoSpaceDE w:val="0"/>
        <w:autoSpaceDN w:val="0"/>
        <w:bidi w:val="0"/>
        <w:spacing w:line="360" w:lineRule="auto"/>
        <w:ind w:firstLine="472" w:firstLineChars="196"/>
        <w:outlineLvl w:val="9"/>
        <w:rPr>
          <w:rFonts w:hint="default" w:ascii="Times New Roman" w:hAnsi="Times New Roman" w:eastAsia="宋体" w:cs="Times New Roman"/>
          <w:b/>
          <w:color w:val="auto"/>
          <w:spacing w:val="0"/>
          <w:highlight w:val="none"/>
        </w:rPr>
      </w:pPr>
      <w:bookmarkStart w:id="282" w:name="_Toc84948037"/>
      <w:r>
        <w:rPr>
          <w:rFonts w:hint="default" w:ascii="Times New Roman" w:hAnsi="Times New Roman" w:eastAsia="宋体" w:cs="Times New Roman"/>
          <w:b/>
          <w:color w:val="auto"/>
          <w:spacing w:val="0"/>
          <w:highlight w:val="none"/>
        </w:rPr>
        <w:t>第十三条 价格与支付</w:t>
      </w:r>
      <w:bookmarkEnd w:id="282"/>
    </w:p>
    <w:p w14:paraId="29A45846">
      <w:pPr>
        <w:keepNext w:val="0"/>
        <w:keepLines w:val="0"/>
        <w:pageBreakBefore w:val="0"/>
        <w:kinsoku/>
        <w:wordWrap/>
        <w:overflowPunct/>
        <w:topLinePunct w:val="0"/>
        <w:autoSpaceDE w:val="0"/>
        <w:autoSpaceDN w:val="0"/>
        <w:bidi w:val="0"/>
        <w:spacing w:line="360" w:lineRule="auto"/>
        <w:ind w:left="122" w:leftChars="51" w:firstLine="417" w:firstLineChars="174"/>
        <w:jc w:val="left"/>
        <w:outlineLvl w:val="9"/>
        <w:rPr>
          <w:rStyle w:val="49"/>
          <w:rFonts w:hint="default" w:ascii="Times New Roman" w:hAnsi="Times New Roman" w:eastAsia="宋体" w:cs="Times New Roman"/>
          <w:color w:val="auto"/>
          <w:spacing w:val="0"/>
          <w:kern w:val="0"/>
          <w:highlight w:val="none"/>
        </w:rPr>
      </w:pPr>
      <w:r>
        <w:rPr>
          <w:rStyle w:val="49"/>
          <w:rFonts w:hint="default" w:ascii="Times New Roman" w:hAnsi="Times New Roman" w:eastAsia="宋体" w:cs="Times New Roman"/>
          <w:color w:val="auto"/>
          <w:spacing w:val="0"/>
          <w:kern w:val="0"/>
          <w:highlight w:val="none"/>
        </w:rPr>
        <w:t>13.1本项目合同总金额（价税合计）为</w:t>
      </w:r>
      <w:r>
        <w:rPr>
          <w:rStyle w:val="49"/>
          <w:rFonts w:hint="default" w:ascii="Times New Roman" w:hAnsi="Times New Roman" w:eastAsia="宋体" w:cs="Times New Roman"/>
          <w:color w:val="auto"/>
          <w:spacing w:val="0"/>
          <w:szCs w:val="2"/>
          <w:highlight w:val="none"/>
        </w:rPr>
        <w:t>_______</w:t>
      </w:r>
      <w:r>
        <w:rPr>
          <w:rStyle w:val="49"/>
          <w:rFonts w:hint="default" w:ascii="Times New Roman" w:hAnsi="Times New Roman" w:eastAsia="宋体" w:cs="Times New Roman"/>
          <w:color w:val="auto"/>
          <w:spacing w:val="0"/>
          <w:szCs w:val="2"/>
          <w:highlight w:val="none"/>
          <w:u w:val="single"/>
        </w:rPr>
        <w:t>元</w:t>
      </w:r>
      <w:r>
        <w:rPr>
          <w:rStyle w:val="49"/>
          <w:rFonts w:hint="default" w:ascii="Times New Roman" w:hAnsi="Times New Roman" w:eastAsia="宋体" w:cs="Times New Roman"/>
          <w:color w:val="auto"/>
          <w:spacing w:val="0"/>
          <w:kern w:val="0"/>
          <w:highlight w:val="none"/>
          <w:u w:val="single"/>
        </w:rPr>
        <w:t>（大写：</w:t>
      </w:r>
      <w:r>
        <w:rPr>
          <w:rStyle w:val="49"/>
          <w:rFonts w:hint="default" w:ascii="Times New Roman" w:hAnsi="Times New Roman" w:eastAsia="宋体" w:cs="Times New Roman"/>
          <w:color w:val="auto"/>
          <w:spacing w:val="0"/>
          <w:szCs w:val="2"/>
          <w:highlight w:val="none"/>
          <w:u w:val="single"/>
        </w:rPr>
        <w:t>整</w:t>
      </w:r>
      <w:r>
        <w:rPr>
          <w:rStyle w:val="49"/>
          <w:rFonts w:hint="default" w:ascii="Times New Roman" w:hAnsi="Times New Roman" w:eastAsia="宋体" w:cs="Times New Roman"/>
          <w:color w:val="auto"/>
          <w:spacing w:val="0"/>
          <w:kern w:val="0"/>
          <w:highlight w:val="none"/>
          <w:u w:val="single"/>
        </w:rPr>
        <w:t>）</w:t>
      </w:r>
      <w:r>
        <w:rPr>
          <w:rStyle w:val="49"/>
          <w:rFonts w:hint="default" w:ascii="Times New Roman" w:hAnsi="Times New Roman" w:eastAsia="宋体" w:cs="Times New Roman"/>
          <w:color w:val="auto"/>
          <w:spacing w:val="0"/>
          <w:kern w:val="0"/>
          <w:highlight w:val="none"/>
        </w:rPr>
        <w:t>，</w:t>
      </w:r>
      <w:r>
        <w:rPr>
          <w:rStyle w:val="49"/>
          <w:rFonts w:hint="eastAsia" w:ascii="Times New Roman" w:hAnsi="Times New Roman" w:cs="Times New Roman"/>
          <w:color w:val="auto"/>
          <w:spacing w:val="0"/>
          <w:kern w:val="0"/>
          <w:highlight w:val="none"/>
          <w:lang w:val="en-US" w:eastAsia="zh-CN"/>
        </w:rPr>
        <w:t>产品</w:t>
      </w:r>
      <w:r>
        <w:rPr>
          <w:rStyle w:val="49"/>
          <w:rFonts w:hint="default" w:ascii="Times New Roman" w:hAnsi="Times New Roman" w:eastAsia="宋体" w:cs="Times New Roman"/>
          <w:color w:val="auto"/>
          <w:spacing w:val="0"/>
          <w:kern w:val="0"/>
          <w:highlight w:val="none"/>
        </w:rPr>
        <w:t>税率为13%，</w:t>
      </w:r>
      <w:r>
        <w:rPr>
          <w:rStyle w:val="49"/>
          <w:rFonts w:hint="eastAsia" w:ascii="Times New Roman" w:hAnsi="Times New Roman" w:cs="Times New Roman"/>
          <w:color w:val="auto"/>
          <w:spacing w:val="0"/>
          <w:kern w:val="0"/>
          <w:highlight w:val="none"/>
          <w:lang w:val="en-US" w:eastAsia="zh-CN"/>
        </w:rPr>
        <w:t>实施服务税率为6%，</w:t>
      </w:r>
      <w:r>
        <w:rPr>
          <w:rStyle w:val="49"/>
          <w:rFonts w:hint="default" w:ascii="Times New Roman" w:hAnsi="Times New Roman" w:eastAsia="宋体" w:cs="Times New Roman"/>
          <w:color w:val="auto"/>
          <w:spacing w:val="0"/>
          <w:szCs w:val="2"/>
          <w:highlight w:val="none"/>
        </w:rPr>
        <w:t>不含税价为：_______</w:t>
      </w:r>
      <w:r>
        <w:rPr>
          <w:rStyle w:val="49"/>
          <w:rFonts w:hint="default" w:ascii="Times New Roman" w:hAnsi="Times New Roman" w:eastAsia="宋体" w:cs="Times New Roman"/>
          <w:color w:val="auto"/>
          <w:spacing w:val="0"/>
          <w:szCs w:val="2"/>
          <w:highlight w:val="none"/>
          <w:u w:val="single"/>
        </w:rPr>
        <w:t>元（大写：整）</w:t>
      </w:r>
      <w:r>
        <w:rPr>
          <w:rStyle w:val="49"/>
          <w:rFonts w:hint="eastAsia" w:ascii="Times New Roman" w:hAnsi="Times New Roman" w:cs="Times New Roman"/>
          <w:color w:val="auto"/>
          <w:spacing w:val="0"/>
          <w:szCs w:val="2"/>
          <w:highlight w:val="none"/>
          <w:lang w:val="en-US" w:eastAsia="zh-CN"/>
        </w:rPr>
        <w:t>,</w:t>
      </w:r>
      <w:r>
        <w:rPr>
          <w:rStyle w:val="49"/>
          <w:rFonts w:hint="default" w:ascii="Times New Roman" w:hAnsi="Times New Roman" w:eastAsia="宋体" w:cs="Times New Roman"/>
          <w:color w:val="auto"/>
          <w:spacing w:val="0"/>
          <w:szCs w:val="2"/>
          <w:highlight w:val="none"/>
        </w:rPr>
        <w:t>税额为：_______</w:t>
      </w:r>
      <w:r>
        <w:rPr>
          <w:rStyle w:val="49"/>
          <w:rFonts w:hint="default" w:ascii="Times New Roman" w:hAnsi="Times New Roman" w:eastAsia="宋体" w:cs="Times New Roman"/>
          <w:color w:val="auto"/>
          <w:spacing w:val="0"/>
          <w:szCs w:val="2"/>
          <w:highlight w:val="none"/>
          <w:u w:val="single"/>
        </w:rPr>
        <w:t>元（大写：整）</w:t>
      </w:r>
      <w:r>
        <w:rPr>
          <w:rStyle w:val="49"/>
          <w:rFonts w:hint="default" w:ascii="Times New Roman" w:hAnsi="Times New Roman" w:eastAsia="宋体" w:cs="Times New Roman"/>
          <w:color w:val="auto"/>
          <w:spacing w:val="0"/>
          <w:szCs w:val="2"/>
          <w:highlight w:val="none"/>
        </w:rPr>
        <w:t>。其中产品金额（价税合计）为_______</w:t>
      </w:r>
      <w:r>
        <w:rPr>
          <w:rStyle w:val="49"/>
          <w:rFonts w:hint="default" w:ascii="Times New Roman" w:hAnsi="Times New Roman" w:eastAsia="宋体" w:cs="Times New Roman"/>
          <w:color w:val="auto"/>
          <w:spacing w:val="0"/>
          <w:szCs w:val="2"/>
          <w:highlight w:val="none"/>
          <w:u w:val="single"/>
        </w:rPr>
        <w:t>元（大写：整），实施金额（价税合计）为</w:t>
      </w:r>
      <w:r>
        <w:rPr>
          <w:rStyle w:val="49"/>
          <w:rFonts w:hint="default" w:ascii="Times New Roman" w:hAnsi="Times New Roman" w:eastAsia="宋体" w:cs="Times New Roman"/>
          <w:color w:val="auto"/>
          <w:spacing w:val="0"/>
          <w:szCs w:val="2"/>
          <w:highlight w:val="none"/>
        </w:rPr>
        <w:t>_______</w:t>
      </w:r>
      <w:r>
        <w:rPr>
          <w:rStyle w:val="49"/>
          <w:rFonts w:hint="default" w:ascii="Times New Roman" w:hAnsi="Times New Roman" w:eastAsia="宋体" w:cs="Times New Roman"/>
          <w:color w:val="auto"/>
          <w:spacing w:val="0"/>
          <w:szCs w:val="2"/>
          <w:highlight w:val="none"/>
          <w:u w:val="single"/>
        </w:rPr>
        <w:t>元（大写：整）</w:t>
      </w:r>
      <w:r>
        <w:rPr>
          <w:rStyle w:val="49"/>
          <w:rFonts w:hint="default" w:ascii="Times New Roman" w:hAnsi="Times New Roman" w:eastAsia="宋体" w:cs="Times New Roman"/>
          <w:color w:val="auto"/>
          <w:spacing w:val="0"/>
          <w:szCs w:val="2"/>
          <w:highlight w:val="none"/>
        </w:rPr>
        <w:t>。不含税价格不因国家税率变化而变化，若在合同履行期间，如遇国家的税率调整，则价税合计应相应调整，以开具发票的时间为准。</w:t>
      </w:r>
      <w:r>
        <w:rPr>
          <w:rStyle w:val="49"/>
          <w:rFonts w:hint="default" w:ascii="Times New Roman" w:hAnsi="Times New Roman" w:eastAsia="宋体" w:cs="Times New Roman"/>
          <w:color w:val="auto"/>
          <w:spacing w:val="0"/>
          <w:kern w:val="0"/>
          <w:highlight w:val="none"/>
        </w:rPr>
        <w:t>该金额为本合同约定项目的全部费用，除双方另有约定外，甲方无须向乙方支付其他任何费用。</w:t>
      </w:r>
    </w:p>
    <w:p w14:paraId="6B55001E">
      <w:pPr>
        <w:keepNext w:val="0"/>
        <w:keepLines w:val="0"/>
        <w:pageBreakBefore w:val="0"/>
        <w:kinsoku/>
        <w:wordWrap/>
        <w:overflowPunct/>
        <w:topLinePunct w:val="0"/>
        <w:autoSpaceDE w:val="0"/>
        <w:autoSpaceDN w:val="0"/>
        <w:bidi w:val="0"/>
        <w:spacing w:line="360" w:lineRule="auto"/>
        <w:ind w:firstLine="480" w:firstLineChars="200"/>
        <w:jc w:val="left"/>
        <w:outlineLvl w:val="9"/>
        <w:rPr>
          <w:rStyle w:val="49"/>
          <w:rFonts w:hint="default" w:ascii="Times New Roman" w:hAnsi="Times New Roman" w:eastAsia="宋体" w:cs="Times New Roman"/>
          <w:color w:val="auto"/>
          <w:spacing w:val="0"/>
          <w:kern w:val="0"/>
          <w:highlight w:val="none"/>
        </w:rPr>
      </w:pPr>
      <w:r>
        <w:rPr>
          <w:rStyle w:val="49"/>
          <w:rFonts w:hint="default" w:ascii="Times New Roman" w:hAnsi="Times New Roman" w:eastAsia="宋体" w:cs="Times New Roman"/>
          <w:color w:val="auto"/>
          <w:spacing w:val="0"/>
          <w:kern w:val="0"/>
          <w:highlight w:val="none"/>
        </w:rPr>
        <w:t>本项目产品价格（含实施金额部分）如下表所示：</w:t>
      </w:r>
    </w:p>
    <w:tbl>
      <w:tblPr>
        <w:tblStyle w:val="22"/>
        <w:tblW w:w="7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1701"/>
        <w:gridCol w:w="1134"/>
        <w:gridCol w:w="1276"/>
        <w:gridCol w:w="1276"/>
      </w:tblGrid>
      <w:tr w14:paraId="3AC8B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700" w:type="dxa"/>
            <w:tcBorders>
              <w:tl2br w:val="nil"/>
              <w:tr2bl w:val="nil"/>
            </w:tcBorders>
            <w:vAlign w:val="center"/>
          </w:tcPr>
          <w:p w14:paraId="17345589">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outlineLvl w:val="9"/>
              <w:rPr>
                <w:rFonts w:hint="default" w:ascii="Times New Roman" w:hAnsi="Times New Roman" w:eastAsia="宋体" w:cs="Times New Roman"/>
                <w:b/>
                <w:color w:val="auto"/>
                <w:spacing w:val="0"/>
                <w:sz w:val="21"/>
                <w:szCs w:val="24"/>
                <w:highlight w:val="none"/>
              </w:rPr>
            </w:pPr>
            <w:r>
              <w:rPr>
                <w:rFonts w:hint="default" w:ascii="Times New Roman" w:hAnsi="Times New Roman" w:eastAsia="宋体" w:cs="Times New Roman"/>
                <w:b/>
                <w:color w:val="auto"/>
                <w:spacing w:val="0"/>
                <w:sz w:val="21"/>
                <w:szCs w:val="24"/>
                <w:highlight w:val="none"/>
              </w:rPr>
              <w:t>产品名称</w:t>
            </w:r>
          </w:p>
        </w:tc>
        <w:tc>
          <w:tcPr>
            <w:tcW w:w="1701" w:type="dxa"/>
            <w:tcBorders>
              <w:tl2br w:val="nil"/>
              <w:tr2bl w:val="nil"/>
            </w:tcBorders>
            <w:vAlign w:val="center"/>
          </w:tcPr>
          <w:p w14:paraId="5FF700EB">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outlineLvl w:val="9"/>
              <w:rPr>
                <w:rFonts w:hint="default" w:ascii="Times New Roman" w:hAnsi="Times New Roman" w:eastAsia="宋体" w:cs="Times New Roman"/>
                <w:b/>
                <w:color w:val="auto"/>
                <w:spacing w:val="0"/>
                <w:sz w:val="21"/>
                <w:szCs w:val="24"/>
                <w:highlight w:val="none"/>
              </w:rPr>
            </w:pPr>
            <w:r>
              <w:rPr>
                <w:rFonts w:hint="default" w:ascii="Times New Roman" w:hAnsi="Times New Roman" w:eastAsia="宋体" w:cs="Times New Roman"/>
                <w:b/>
                <w:color w:val="auto"/>
                <w:spacing w:val="0"/>
                <w:sz w:val="21"/>
                <w:szCs w:val="24"/>
                <w:highlight w:val="none"/>
              </w:rPr>
              <w:t>模块</w:t>
            </w:r>
          </w:p>
        </w:tc>
        <w:tc>
          <w:tcPr>
            <w:tcW w:w="1134" w:type="dxa"/>
            <w:tcBorders>
              <w:tl2br w:val="nil"/>
              <w:tr2bl w:val="nil"/>
            </w:tcBorders>
            <w:vAlign w:val="center"/>
          </w:tcPr>
          <w:p w14:paraId="70A58B2C">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outlineLvl w:val="9"/>
              <w:rPr>
                <w:rFonts w:hint="default" w:ascii="Times New Roman" w:hAnsi="Times New Roman" w:eastAsia="宋体" w:cs="Times New Roman"/>
                <w:b/>
                <w:color w:val="auto"/>
                <w:spacing w:val="0"/>
                <w:sz w:val="21"/>
                <w:szCs w:val="24"/>
                <w:highlight w:val="none"/>
              </w:rPr>
            </w:pPr>
            <w:r>
              <w:rPr>
                <w:rFonts w:hint="default" w:ascii="Times New Roman" w:hAnsi="Times New Roman" w:eastAsia="宋体" w:cs="Times New Roman"/>
                <w:b/>
                <w:color w:val="auto"/>
                <w:spacing w:val="0"/>
                <w:sz w:val="21"/>
                <w:szCs w:val="24"/>
                <w:highlight w:val="none"/>
              </w:rPr>
              <w:t>单价（元）</w:t>
            </w:r>
          </w:p>
        </w:tc>
        <w:tc>
          <w:tcPr>
            <w:tcW w:w="1276" w:type="dxa"/>
            <w:tcBorders>
              <w:tl2br w:val="nil"/>
              <w:tr2bl w:val="nil"/>
            </w:tcBorders>
            <w:vAlign w:val="center"/>
          </w:tcPr>
          <w:p w14:paraId="4B8AFF8C">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outlineLvl w:val="9"/>
              <w:rPr>
                <w:rFonts w:hint="default" w:ascii="Times New Roman" w:hAnsi="Times New Roman" w:eastAsia="宋体" w:cs="Times New Roman"/>
                <w:b/>
                <w:color w:val="auto"/>
                <w:spacing w:val="0"/>
                <w:sz w:val="21"/>
                <w:szCs w:val="24"/>
                <w:highlight w:val="none"/>
              </w:rPr>
            </w:pPr>
            <w:r>
              <w:rPr>
                <w:rFonts w:hint="default" w:ascii="Times New Roman" w:hAnsi="Times New Roman" w:eastAsia="宋体" w:cs="Times New Roman"/>
                <w:b/>
                <w:color w:val="auto"/>
                <w:spacing w:val="0"/>
                <w:sz w:val="21"/>
                <w:szCs w:val="24"/>
                <w:highlight w:val="none"/>
              </w:rPr>
              <w:t>数量（套）</w:t>
            </w:r>
          </w:p>
        </w:tc>
        <w:tc>
          <w:tcPr>
            <w:tcW w:w="1276" w:type="dxa"/>
            <w:tcBorders>
              <w:tl2br w:val="nil"/>
              <w:tr2bl w:val="nil"/>
            </w:tcBorders>
            <w:vAlign w:val="center"/>
          </w:tcPr>
          <w:p w14:paraId="46486AC7">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outlineLvl w:val="9"/>
              <w:rPr>
                <w:rFonts w:hint="default" w:ascii="Times New Roman" w:hAnsi="Times New Roman" w:eastAsia="宋体" w:cs="Times New Roman"/>
                <w:b/>
                <w:color w:val="auto"/>
                <w:spacing w:val="0"/>
                <w:sz w:val="21"/>
                <w:szCs w:val="24"/>
                <w:highlight w:val="none"/>
              </w:rPr>
            </w:pPr>
            <w:r>
              <w:rPr>
                <w:rFonts w:hint="default" w:ascii="Times New Roman" w:hAnsi="Times New Roman" w:eastAsia="宋体" w:cs="Times New Roman"/>
                <w:b/>
                <w:color w:val="auto"/>
                <w:spacing w:val="0"/>
                <w:sz w:val="21"/>
                <w:szCs w:val="24"/>
                <w:highlight w:val="none"/>
              </w:rPr>
              <w:t>金额小计（元）</w:t>
            </w:r>
          </w:p>
        </w:tc>
      </w:tr>
      <w:tr w14:paraId="268DF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1700" w:type="dxa"/>
            <w:vMerge w:val="restart"/>
            <w:tcBorders>
              <w:tl2br w:val="nil"/>
              <w:tr2bl w:val="nil"/>
            </w:tcBorders>
            <w:vAlign w:val="center"/>
          </w:tcPr>
          <w:p w14:paraId="01BC5FAF">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outlineLvl w:val="9"/>
              <w:rPr>
                <w:rFonts w:hint="default" w:ascii="Times New Roman" w:hAnsi="Times New Roman" w:eastAsia="宋体" w:cs="Times New Roman"/>
                <w:color w:val="auto"/>
                <w:spacing w:val="0"/>
                <w:sz w:val="21"/>
                <w:szCs w:val="24"/>
                <w:highlight w:val="none"/>
              </w:rPr>
            </w:pPr>
          </w:p>
        </w:tc>
        <w:tc>
          <w:tcPr>
            <w:tcW w:w="1701" w:type="dxa"/>
            <w:tcBorders>
              <w:tl2br w:val="nil"/>
              <w:tr2bl w:val="nil"/>
            </w:tcBorders>
            <w:vAlign w:val="center"/>
          </w:tcPr>
          <w:p w14:paraId="45482429">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outlineLvl w:val="9"/>
              <w:rPr>
                <w:rFonts w:hint="default" w:ascii="Times New Roman" w:hAnsi="Times New Roman" w:eastAsia="宋体" w:cs="Times New Roman"/>
                <w:color w:val="auto"/>
                <w:spacing w:val="0"/>
                <w:sz w:val="21"/>
                <w:szCs w:val="24"/>
                <w:highlight w:val="none"/>
              </w:rPr>
            </w:pPr>
          </w:p>
        </w:tc>
        <w:tc>
          <w:tcPr>
            <w:tcW w:w="1134" w:type="dxa"/>
            <w:tcBorders>
              <w:tl2br w:val="nil"/>
              <w:tr2bl w:val="nil"/>
            </w:tcBorders>
            <w:vAlign w:val="center"/>
          </w:tcPr>
          <w:p w14:paraId="0F4B8CE9">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outlineLvl w:val="9"/>
              <w:rPr>
                <w:rFonts w:hint="default" w:ascii="Times New Roman" w:hAnsi="Times New Roman" w:eastAsia="宋体" w:cs="Times New Roman"/>
                <w:color w:val="auto"/>
                <w:spacing w:val="0"/>
                <w:sz w:val="21"/>
                <w:szCs w:val="24"/>
                <w:highlight w:val="none"/>
              </w:rPr>
            </w:pPr>
          </w:p>
        </w:tc>
        <w:tc>
          <w:tcPr>
            <w:tcW w:w="1276" w:type="dxa"/>
            <w:tcBorders>
              <w:tl2br w:val="nil"/>
              <w:tr2bl w:val="nil"/>
            </w:tcBorders>
            <w:vAlign w:val="center"/>
          </w:tcPr>
          <w:p w14:paraId="61DBE8AB">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outlineLvl w:val="9"/>
              <w:rPr>
                <w:rFonts w:hint="default" w:ascii="Times New Roman" w:hAnsi="Times New Roman" w:eastAsia="宋体" w:cs="Times New Roman"/>
                <w:color w:val="auto"/>
                <w:spacing w:val="0"/>
                <w:sz w:val="21"/>
                <w:szCs w:val="24"/>
                <w:highlight w:val="none"/>
              </w:rPr>
            </w:pPr>
          </w:p>
        </w:tc>
        <w:tc>
          <w:tcPr>
            <w:tcW w:w="1276" w:type="dxa"/>
            <w:tcBorders>
              <w:tl2br w:val="nil"/>
              <w:tr2bl w:val="nil"/>
            </w:tcBorders>
            <w:vAlign w:val="center"/>
          </w:tcPr>
          <w:p w14:paraId="7917299C">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outlineLvl w:val="9"/>
              <w:rPr>
                <w:rFonts w:hint="default" w:ascii="Times New Roman" w:hAnsi="Times New Roman" w:eastAsia="宋体" w:cs="Times New Roman"/>
                <w:color w:val="auto"/>
                <w:spacing w:val="0"/>
                <w:sz w:val="21"/>
                <w:szCs w:val="24"/>
                <w:highlight w:val="none"/>
              </w:rPr>
            </w:pPr>
          </w:p>
        </w:tc>
      </w:tr>
      <w:tr w14:paraId="4A284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1700" w:type="dxa"/>
            <w:vMerge w:val="continue"/>
            <w:tcBorders>
              <w:tl2br w:val="nil"/>
              <w:tr2bl w:val="nil"/>
            </w:tcBorders>
            <w:vAlign w:val="center"/>
          </w:tcPr>
          <w:p w14:paraId="782C2CE6">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outlineLvl w:val="9"/>
              <w:rPr>
                <w:rFonts w:hint="default" w:ascii="Times New Roman" w:hAnsi="Times New Roman" w:cs="Times New Roman"/>
                <w:color w:val="auto"/>
                <w:highlight w:val="none"/>
              </w:rPr>
            </w:pPr>
          </w:p>
        </w:tc>
        <w:tc>
          <w:tcPr>
            <w:tcW w:w="1701" w:type="dxa"/>
            <w:tcBorders>
              <w:tl2br w:val="nil"/>
              <w:tr2bl w:val="nil"/>
            </w:tcBorders>
            <w:vAlign w:val="center"/>
          </w:tcPr>
          <w:p w14:paraId="29D807C7">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outlineLvl w:val="9"/>
              <w:rPr>
                <w:rFonts w:hint="default" w:ascii="Times New Roman" w:hAnsi="Times New Roman" w:eastAsia="宋体" w:cs="Times New Roman"/>
                <w:color w:val="auto"/>
                <w:spacing w:val="0"/>
                <w:sz w:val="21"/>
                <w:szCs w:val="24"/>
                <w:highlight w:val="none"/>
              </w:rPr>
            </w:pPr>
          </w:p>
        </w:tc>
        <w:tc>
          <w:tcPr>
            <w:tcW w:w="1134" w:type="dxa"/>
            <w:tcBorders>
              <w:tl2br w:val="nil"/>
              <w:tr2bl w:val="nil"/>
            </w:tcBorders>
            <w:vAlign w:val="center"/>
          </w:tcPr>
          <w:p w14:paraId="67B78EA4">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outlineLvl w:val="9"/>
              <w:rPr>
                <w:rFonts w:hint="default" w:ascii="Times New Roman" w:hAnsi="Times New Roman" w:eastAsia="宋体" w:cs="Times New Roman"/>
                <w:color w:val="auto"/>
                <w:spacing w:val="0"/>
                <w:sz w:val="21"/>
                <w:szCs w:val="24"/>
                <w:highlight w:val="none"/>
              </w:rPr>
            </w:pPr>
          </w:p>
        </w:tc>
        <w:tc>
          <w:tcPr>
            <w:tcW w:w="1276" w:type="dxa"/>
            <w:tcBorders>
              <w:tl2br w:val="nil"/>
              <w:tr2bl w:val="nil"/>
            </w:tcBorders>
            <w:vAlign w:val="center"/>
          </w:tcPr>
          <w:p w14:paraId="22224081">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outlineLvl w:val="9"/>
              <w:rPr>
                <w:rFonts w:hint="default" w:ascii="Times New Roman" w:hAnsi="Times New Roman" w:eastAsia="宋体" w:cs="Times New Roman"/>
                <w:color w:val="auto"/>
                <w:spacing w:val="0"/>
                <w:sz w:val="21"/>
                <w:szCs w:val="24"/>
                <w:highlight w:val="none"/>
              </w:rPr>
            </w:pPr>
          </w:p>
        </w:tc>
        <w:tc>
          <w:tcPr>
            <w:tcW w:w="1276" w:type="dxa"/>
            <w:tcBorders>
              <w:tl2br w:val="nil"/>
              <w:tr2bl w:val="nil"/>
            </w:tcBorders>
            <w:vAlign w:val="center"/>
          </w:tcPr>
          <w:p w14:paraId="2444F625">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outlineLvl w:val="9"/>
              <w:rPr>
                <w:rFonts w:hint="default" w:ascii="Times New Roman" w:hAnsi="Times New Roman" w:eastAsia="宋体" w:cs="Times New Roman"/>
                <w:color w:val="auto"/>
                <w:spacing w:val="0"/>
                <w:sz w:val="21"/>
                <w:szCs w:val="24"/>
                <w:highlight w:val="none"/>
              </w:rPr>
            </w:pPr>
          </w:p>
        </w:tc>
      </w:tr>
      <w:tr w14:paraId="4B8D8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1700" w:type="dxa"/>
            <w:tcBorders>
              <w:tl2br w:val="nil"/>
              <w:tr2bl w:val="nil"/>
            </w:tcBorders>
            <w:vAlign w:val="center"/>
          </w:tcPr>
          <w:p w14:paraId="4428FCC1">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outlineLvl w:val="9"/>
              <w:rPr>
                <w:rStyle w:val="49"/>
                <w:rFonts w:hint="default" w:ascii="Times New Roman" w:hAnsi="Times New Roman" w:eastAsia="宋体" w:cs="Times New Roman"/>
                <w:bCs/>
                <w:color w:val="auto"/>
                <w:kern w:val="0"/>
                <w:sz w:val="21"/>
                <w:szCs w:val="21"/>
                <w:highlight w:val="none"/>
              </w:rPr>
            </w:pPr>
            <w:r>
              <w:rPr>
                <w:rStyle w:val="49"/>
                <w:rFonts w:hint="default" w:ascii="Times New Roman" w:hAnsi="Times New Roman" w:eastAsia="宋体" w:cs="Times New Roman"/>
                <w:bCs/>
                <w:color w:val="auto"/>
                <w:kern w:val="0"/>
                <w:sz w:val="21"/>
                <w:szCs w:val="21"/>
                <w:highlight w:val="none"/>
              </w:rPr>
              <w:t>合计</w:t>
            </w:r>
            <w:r>
              <w:rPr>
                <w:rFonts w:hint="default" w:ascii="Times New Roman" w:hAnsi="Times New Roman" w:eastAsia="宋体" w:cs="Times New Roman"/>
                <w:color w:val="auto"/>
                <w:spacing w:val="0"/>
                <w:sz w:val="21"/>
                <w:szCs w:val="24"/>
                <w:highlight w:val="none"/>
              </w:rPr>
              <w:t>（含税）</w:t>
            </w:r>
          </w:p>
        </w:tc>
        <w:tc>
          <w:tcPr>
            <w:tcW w:w="5387" w:type="dxa"/>
            <w:gridSpan w:val="4"/>
            <w:tcBorders>
              <w:tl2br w:val="nil"/>
              <w:tr2bl w:val="nil"/>
            </w:tcBorders>
            <w:vAlign w:val="center"/>
          </w:tcPr>
          <w:p w14:paraId="048DAED1">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outlineLvl w:val="9"/>
              <w:rPr>
                <w:rFonts w:hint="default" w:ascii="Times New Roman" w:hAnsi="Times New Roman" w:eastAsia="宋体" w:cs="Times New Roman"/>
                <w:color w:val="auto"/>
                <w:spacing w:val="0"/>
                <w:sz w:val="21"/>
                <w:szCs w:val="24"/>
                <w:highlight w:val="none"/>
              </w:rPr>
            </w:pPr>
            <w:r>
              <w:rPr>
                <w:rFonts w:hint="default" w:ascii="Times New Roman" w:hAnsi="Times New Roman" w:eastAsia="宋体" w:cs="Times New Roman"/>
                <w:color w:val="auto"/>
                <w:spacing w:val="0"/>
                <w:sz w:val="21"/>
                <w:szCs w:val="24"/>
                <w:highlight w:val="none"/>
              </w:rPr>
              <w:t>大写（人民币）：元整</w:t>
            </w:r>
          </w:p>
        </w:tc>
      </w:tr>
    </w:tbl>
    <w:p w14:paraId="2C22173F">
      <w:pPr>
        <w:keepNext w:val="0"/>
        <w:keepLines w:val="0"/>
        <w:pageBreakBefore w:val="0"/>
        <w:kinsoku/>
        <w:wordWrap/>
        <w:overflowPunct/>
        <w:topLinePunct w:val="0"/>
        <w:autoSpaceDE w:val="0"/>
        <w:autoSpaceDN w:val="0"/>
        <w:bidi w:val="0"/>
        <w:spacing w:line="360" w:lineRule="auto"/>
        <w:ind w:firstLine="480" w:firstLineChars="200"/>
        <w:jc w:val="left"/>
        <w:outlineLvl w:val="9"/>
        <w:rPr>
          <w:rStyle w:val="49"/>
          <w:rFonts w:hint="default" w:ascii="Times New Roman" w:hAnsi="Times New Roman" w:eastAsia="宋体" w:cs="Times New Roman"/>
          <w:color w:val="auto"/>
          <w:spacing w:val="0"/>
          <w:kern w:val="0"/>
          <w:highlight w:val="none"/>
        </w:rPr>
      </w:pPr>
    </w:p>
    <w:p w14:paraId="46C00D57">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13.2支付方式：</w:t>
      </w:r>
    </w:p>
    <w:p w14:paraId="368A9BE8">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本合同款项采用分期付款：</w:t>
      </w:r>
    </w:p>
    <w:p w14:paraId="15FEF418">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13.2.1湖仓一体底座和数据作业平台部署完成（包括产品的客制化开发完后完成）30个工作日内</w:t>
      </w:r>
      <w:r>
        <w:rPr>
          <w:rFonts w:hint="eastAsia" w:ascii="Times New Roman" w:hAnsi="Times New Roman" w:cs="Times New Roman"/>
          <w:color w:val="auto"/>
          <w:spacing w:val="0"/>
          <w:highlight w:val="none"/>
          <w:lang w:eastAsia="zh-CN"/>
        </w:rPr>
        <w:t>，</w:t>
      </w:r>
      <w:r>
        <w:rPr>
          <w:rFonts w:hint="default" w:ascii="Times New Roman" w:hAnsi="Times New Roman" w:eastAsia="宋体" w:cs="Times New Roman"/>
          <w:color w:val="auto"/>
          <w:spacing w:val="0"/>
          <w:highlight w:val="none"/>
        </w:rPr>
        <w:t>乙方向甲方提供合法足额的增值税专用发票，甲方向乙方支付合同总额的</w:t>
      </w:r>
      <w:r>
        <w:rPr>
          <w:rFonts w:hint="eastAsia" w:ascii="Times New Roman" w:hAnsi="Times New Roman" w:cs="Times New Roman"/>
          <w:color w:val="auto"/>
          <w:spacing w:val="0"/>
          <w:highlight w:val="none"/>
          <w:lang w:val="en-US" w:eastAsia="zh-CN"/>
        </w:rPr>
        <w:t>3</w:t>
      </w:r>
      <w:r>
        <w:rPr>
          <w:rFonts w:hint="default" w:ascii="Times New Roman" w:hAnsi="Times New Roman" w:eastAsia="宋体" w:cs="Times New Roman"/>
          <w:color w:val="auto"/>
          <w:spacing w:val="0"/>
          <w:highlight w:val="none"/>
        </w:rPr>
        <w:t>0％，即</w:t>
      </w:r>
      <w:r>
        <w:rPr>
          <w:rFonts w:hint="default" w:ascii="Times New Roman" w:hAnsi="Times New Roman" w:eastAsia="宋体" w:cs="Times New Roman"/>
          <w:color w:val="auto"/>
          <w:spacing w:val="0"/>
          <w:highlight w:val="none"/>
          <w:u w:val="single"/>
        </w:rPr>
        <w:t xml:space="preserve">      </w:t>
      </w:r>
      <w:r>
        <w:rPr>
          <w:rFonts w:hint="default" w:ascii="Times New Roman" w:hAnsi="Times New Roman" w:eastAsia="宋体" w:cs="Times New Roman"/>
          <w:color w:val="auto"/>
          <w:spacing w:val="0"/>
          <w:highlight w:val="none"/>
        </w:rPr>
        <w:t>元（大写：</w:t>
      </w:r>
      <w:r>
        <w:rPr>
          <w:rFonts w:hint="default" w:ascii="Times New Roman" w:hAnsi="Times New Roman" w:eastAsia="宋体" w:cs="Times New Roman"/>
          <w:color w:val="auto"/>
          <w:spacing w:val="0"/>
          <w:highlight w:val="none"/>
          <w:u w:val="single"/>
        </w:rPr>
        <w:t xml:space="preserve">      元整 </w:t>
      </w:r>
      <w:r>
        <w:rPr>
          <w:rFonts w:hint="default" w:ascii="Times New Roman" w:hAnsi="Times New Roman" w:eastAsia="宋体" w:cs="Times New Roman"/>
          <w:color w:val="auto"/>
          <w:spacing w:val="0"/>
          <w:highlight w:val="none"/>
        </w:rPr>
        <w:t>）。</w:t>
      </w:r>
    </w:p>
    <w:p w14:paraId="2C57951D">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13.2.2项目实施和迁移完成并投入试运行30个工作日内</w:t>
      </w:r>
      <w:r>
        <w:rPr>
          <w:rFonts w:hint="eastAsia" w:ascii="Times New Roman" w:hAnsi="Times New Roman" w:cs="Times New Roman"/>
          <w:color w:val="auto"/>
          <w:spacing w:val="0"/>
          <w:highlight w:val="none"/>
          <w:lang w:eastAsia="zh-CN"/>
        </w:rPr>
        <w:t>，</w:t>
      </w:r>
      <w:r>
        <w:rPr>
          <w:rFonts w:hint="default" w:ascii="Times New Roman" w:hAnsi="Times New Roman" w:eastAsia="宋体" w:cs="Times New Roman"/>
          <w:color w:val="auto"/>
          <w:spacing w:val="0"/>
          <w:highlight w:val="none"/>
        </w:rPr>
        <w:t>乙方向甲方提供合法足额的增值税专用发票，甲方向乙方支付合同总价的30％</w:t>
      </w:r>
      <w:r>
        <w:rPr>
          <w:rFonts w:hint="default" w:ascii="Times New Roman" w:hAnsi="Times New Roman" w:cs="Times New Roman"/>
          <w:color w:val="auto"/>
          <w:spacing w:val="0"/>
          <w:kern w:val="0"/>
          <w:highlight w:val="none"/>
        </w:rPr>
        <w:t>，</w:t>
      </w:r>
      <w:r>
        <w:rPr>
          <w:rFonts w:hint="default" w:ascii="Times New Roman" w:hAnsi="Times New Roman" w:eastAsia="宋体" w:cs="Times New Roman"/>
          <w:color w:val="auto"/>
          <w:spacing w:val="0"/>
          <w:highlight w:val="none"/>
        </w:rPr>
        <w:t>即</w:t>
      </w:r>
      <w:r>
        <w:rPr>
          <w:rFonts w:hint="default" w:ascii="Times New Roman" w:hAnsi="Times New Roman" w:eastAsia="宋体" w:cs="Times New Roman"/>
          <w:color w:val="auto"/>
          <w:spacing w:val="0"/>
          <w:highlight w:val="none"/>
          <w:u w:val="single"/>
        </w:rPr>
        <w:t xml:space="preserve">      </w:t>
      </w:r>
      <w:r>
        <w:rPr>
          <w:rFonts w:hint="default" w:ascii="Times New Roman" w:hAnsi="Times New Roman" w:eastAsia="宋体" w:cs="Times New Roman"/>
          <w:color w:val="auto"/>
          <w:spacing w:val="0"/>
          <w:highlight w:val="none"/>
        </w:rPr>
        <w:t>元（大写：</w:t>
      </w:r>
      <w:r>
        <w:rPr>
          <w:rFonts w:hint="default" w:ascii="Times New Roman" w:hAnsi="Times New Roman" w:eastAsia="宋体" w:cs="Times New Roman"/>
          <w:color w:val="auto"/>
          <w:spacing w:val="0"/>
          <w:highlight w:val="none"/>
          <w:u w:val="single"/>
        </w:rPr>
        <w:t xml:space="preserve">          元整 </w:t>
      </w:r>
      <w:r>
        <w:rPr>
          <w:rFonts w:hint="default" w:ascii="Times New Roman" w:hAnsi="Times New Roman" w:eastAsia="宋体" w:cs="Times New Roman"/>
          <w:color w:val="auto"/>
          <w:spacing w:val="0"/>
          <w:highlight w:val="none"/>
        </w:rPr>
        <w:t>）。</w:t>
      </w:r>
    </w:p>
    <w:p w14:paraId="13C44C86">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13.2.</w:t>
      </w:r>
      <w:r>
        <w:rPr>
          <w:rFonts w:hint="eastAsia" w:ascii="Times New Roman" w:hAnsi="Times New Roman" w:cs="Times New Roman"/>
          <w:color w:val="auto"/>
          <w:spacing w:val="0"/>
          <w:highlight w:val="none"/>
          <w:lang w:val="en-US" w:eastAsia="zh-CN"/>
        </w:rPr>
        <w:t>3</w:t>
      </w:r>
      <w:r>
        <w:rPr>
          <w:rFonts w:hint="default" w:ascii="Times New Roman" w:hAnsi="Times New Roman" w:eastAsia="宋体" w:cs="Times New Roman"/>
          <w:color w:val="auto"/>
          <w:spacing w:val="0"/>
          <w:highlight w:val="none"/>
        </w:rPr>
        <w:t>项目试运行结束并验收合格后30个工作日内</w:t>
      </w:r>
      <w:r>
        <w:rPr>
          <w:rFonts w:hint="eastAsia" w:ascii="Times New Roman" w:hAnsi="Times New Roman" w:cs="Times New Roman"/>
          <w:color w:val="auto"/>
          <w:spacing w:val="0"/>
          <w:highlight w:val="none"/>
          <w:lang w:eastAsia="zh-CN"/>
        </w:rPr>
        <w:t>，</w:t>
      </w:r>
      <w:r>
        <w:rPr>
          <w:rFonts w:hint="default" w:ascii="Times New Roman" w:hAnsi="Times New Roman" w:eastAsia="宋体" w:cs="Times New Roman"/>
          <w:color w:val="auto"/>
          <w:spacing w:val="0"/>
          <w:highlight w:val="none"/>
        </w:rPr>
        <w:t>甲方依据附件五《服务水平协议（SLA）》对乙方服务质量作出评价，评价合格后，乙方向甲方提供合法足额的增值税专用发票，甲方向乙方支付合同总价的30％</w:t>
      </w:r>
      <w:r>
        <w:rPr>
          <w:rFonts w:hint="default" w:ascii="Times New Roman" w:hAnsi="Times New Roman" w:cs="Times New Roman"/>
          <w:color w:val="auto"/>
          <w:spacing w:val="0"/>
          <w:kern w:val="0"/>
          <w:highlight w:val="none"/>
        </w:rPr>
        <w:t>，</w:t>
      </w:r>
      <w:r>
        <w:rPr>
          <w:rFonts w:hint="default" w:ascii="Times New Roman" w:hAnsi="Times New Roman" w:eastAsia="宋体" w:cs="Times New Roman"/>
          <w:color w:val="auto"/>
          <w:spacing w:val="0"/>
          <w:highlight w:val="none"/>
        </w:rPr>
        <w:t>即</w:t>
      </w:r>
      <w:r>
        <w:rPr>
          <w:rFonts w:hint="default" w:ascii="Times New Roman" w:hAnsi="Times New Roman" w:eastAsia="宋体" w:cs="Times New Roman"/>
          <w:color w:val="auto"/>
          <w:spacing w:val="0"/>
          <w:highlight w:val="none"/>
          <w:u w:val="single"/>
        </w:rPr>
        <w:t xml:space="preserve">      </w:t>
      </w:r>
      <w:r>
        <w:rPr>
          <w:rFonts w:hint="default" w:ascii="Times New Roman" w:hAnsi="Times New Roman" w:eastAsia="宋体" w:cs="Times New Roman"/>
          <w:color w:val="auto"/>
          <w:spacing w:val="0"/>
          <w:highlight w:val="none"/>
        </w:rPr>
        <w:t>元（大写：</w:t>
      </w:r>
      <w:r>
        <w:rPr>
          <w:rFonts w:hint="default" w:ascii="Times New Roman" w:hAnsi="Times New Roman" w:eastAsia="宋体" w:cs="Times New Roman"/>
          <w:color w:val="auto"/>
          <w:spacing w:val="0"/>
          <w:highlight w:val="none"/>
          <w:u w:val="single"/>
        </w:rPr>
        <w:t xml:space="preserve">          元整 </w:t>
      </w:r>
      <w:r>
        <w:rPr>
          <w:rFonts w:hint="default" w:ascii="Times New Roman" w:hAnsi="Times New Roman" w:eastAsia="宋体" w:cs="Times New Roman"/>
          <w:color w:val="auto"/>
          <w:spacing w:val="0"/>
          <w:highlight w:val="none"/>
        </w:rPr>
        <w:t>），否则按《服务水平协议（SLA）》进行相应金额扣除。</w:t>
      </w:r>
    </w:p>
    <w:p w14:paraId="73080660">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13.2.</w:t>
      </w:r>
      <w:r>
        <w:rPr>
          <w:rFonts w:hint="eastAsia" w:ascii="Times New Roman" w:hAnsi="Times New Roman" w:cs="Times New Roman"/>
          <w:color w:val="auto"/>
          <w:spacing w:val="0"/>
          <w:highlight w:val="none"/>
          <w:lang w:val="en-US" w:eastAsia="zh-CN"/>
        </w:rPr>
        <w:t>4</w:t>
      </w:r>
      <w:r>
        <w:rPr>
          <w:rFonts w:hint="default" w:ascii="Times New Roman" w:hAnsi="Times New Roman" w:eastAsia="宋体" w:cs="Times New Roman"/>
          <w:color w:val="auto"/>
          <w:spacing w:val="0"/>
          <w:highlight w:val="none"/>
        </w:rPr>
        <w:t>本合同第6.1条约定的维护到期后30个工作日内，甲方依据附件五《服务水平协议（SLA）》对乙方服务质量作出评价，评价合格后，乙方向甲方提供合法足额的增值税专用发票，甲方向乙方支付合同总额的全部余款，即</w:t>
      </w:r>
      <w:r>
        <w:rPr>
          <w:rFonts w:hint="default" w:ascii="Times New Roman" w:hAnsi="Times New Roman" w:eastAsia="宋体" w:cs="Times New Roman"/>
          <w:color w:val="auto"/>
          <w:spacing w:val="0"/>
          <w:highlight w:val="none"/>
          <w:u w:val="single"/>
        </w:rPr>
        <w:t xml:space="preserve">      </w:t>
      </w:r>
      <w:r>
        <w:rPr>
          <w:rFonts w:hint="default" w:ascii="Times New Roman" w:hAnsi="Times New Roman" w:eastAsia="宋体" w:cs="Times New Roman"/>
          <w:color w:val="auto"/>
          <w:spacing w:val="0"/>
          <w:highlight w:val="none"/>
        </w:rPr>
        <w:t>元（大写：</w:t>
      </w:r>
      <w:r>
        <w:rPr>
          <w:rFonts w:hint="default" w:ascii="Times New Roman" w:hAnsi="Times New Roman" w:eastAsia="宋体" w:cs="Times New Roman"/>
          <w:color w:val="auto"/>
          <w:spacing w:val="0"/>
          <w:highlight w:val="none"/>
          <w:u w:val="single"/>
        </w:rPr>
        <w:t xml:space="preserve">      元整 </w:t>
      </w:r>
      <w:r>
        <w:rPr>
          <w:rFonts w:hint="default" w:ascii="Times New Roman" w:hAnsi="Times New Roman" w:eastAsia="宋体" w:cs="Times New Roman"/>
          <w:color w:val="auto"/>
          <w:spacing w:val="0"/>
          <w:highlight w:val="none"/>
        </w:rPr>
        <w:t>），否则按《服务水平协议（SLA）》进行相应金额扣除（13.2.2中已扣除部分，本条不重复扣减）。</w:t>
      </w:r>
    </w:p>
    <w:p w14:paraId="4648B23F">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13.3发票要求：</w:t>
      </w:r>
    </w:p>
    <w:p w14:paraId="02FC04D8">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乙方须严格按照合同内容开具</w:t>
      </w:r>
      <w:r>
        <w:rPr>
          <w:rFonts w:hint="eastAsia" w:ascii="Times New Roman" w:hAnsi="Times New Roman" w:cs="Times New Roman"/>
          <w:color w:val="auto"/>
          <w:spacing w:val="0"/>
          <w:highlight w:val="none"/>
          <w:lang w:val="en-US" w:eastAsia="zh-CN"/>
        </w:rPr>
        <w:t>产品</w:t>
      </w:r>
      <w:r>
        <w:rPr>
          <w:rFonts w:hint="default" w:ascii="Times New Roman" w:hAnsi="Times New Roman" w:eastAsia="宋体" w:cs="Times New Roman"/>
          <w:color w:val="auto"/>
          <w:spacing w:val="0"/>
          <w:highlight w:val="none"/>
        </w:rPr>
        <w:t>税率为</w:t>
      </w:r>
      <w:r>
        <w:rPr>
          <w:rFonts w:hint="default" w:ascii="Times New Roman" w:hAnsi="Times New Roman" w:eastAsia="宋体" w:cs="Times New Roman"/>
          <w:color w:val="auto"/>
          <w:spacing w:val="0"/>
          <w:highlight w:val="none"/>
          <w:u w:val="single"/>
        </w:rPr>
        <w:t>13%</w:t>
      </w:r>
      <w:r>
        <w:rPr>
          <w:rFonts w:hint="eastAsia" w:ascii="Times New Roman" w:hAnsi="Times New Roman" w:cs="Times New Roman"/>
          <w:color w:val="auto"/>
          <w:spacing w:val="0"/>
          <w:highlight w:val="none"/>
          <w:u w:val="none"/>
          <w:lang w:eastAsia="zh-CN"/>
        </w:rPr>
        <w:t>，</w:t>
      </w:r>
      <w:r>
        <w:rPr>
          <w:rFonts w:hint="eastAsia" w:ascii="Times New Roman" w:hAnsi="Times New Roman" w:cs="Times New Roman"/>
          <w:color w:val="auto"/>
          <w:spacing w:val="0"/>
          <w:highlight w:val="none"/>
          <w:u w:val="none"/>
          <w:lang w:val="en-US" w:eastAsia="zh-CN"/>
        </w:rPr>
        <w:t>实施服务税率为</w:t>
      </w:r>
      <w:r>
        <w:rPr>
          <w:rFonts w:hint="eastAsia" w:ascii="Times New Roman" w:hAnsi="Times New Roman" w:cs="Times New Roman"/>
          <w:color w:val="auto"/>
          <w:spacing w:val="0"/>
          <w:highlight w:val="none"/>
          <w:u w:val="single"/>
          <w:lang w:val="en-US" w:eastAsia="zh-CN"/>
        </w:rPr>
        <w:t>6%</w:t>
      </w:r>
      <w:r>
        <w:rPr>
          <w:rFonts w:hint="default" w:ascii="Times New Roman" w:hAnsi="Times New Roman" w:eastAsia="宋体" w:cs="Times New Roman"/>
          <w:color w:val="auto"/>
          <w:spacing w:val="0"/>
          <w:highlight w:val="none"/>
        </w:rPr>
        <w:t>的增值税专用发票（若遇国家税率调整另议），乙方在甲方每次付款前30个工作日需向甲方交付合法足额发票，否则甲方有权拒绝支付任何费用且不承担逾期付款违约责任。</w:t>
      </w:r>
    </w:p>
    <w:p w14:paraId="5251318E">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highlight w:val="none"/>
        </w:rPr>
      </w:pPr>
    </w:p>
    <w:p w14:paraId="3109913E">
      <w:pPr>
        <w:keepNext w:val="0"/>
        <w:keepLines w:val="0"/>
        <w:pageBreakBefore w:val="0"/>
        <w:kinsoku/>
        <w:wordWrap/>
        <w:overflowPunct/>
        <w:topLinePunct w:val="0"/>
        <w:autoSpaceDE w:val="0"/>
        <w:autoSpaceDN w:val="0"/>
        <w:bidi w:val="0"/>
        <w:spacing w:line="360" w:lineRule="auto"/>
        <w:ind w:firstLine="472" w:firstLineChars="196"/>
        <w:outlineLvl w:val="9"/>
        <w:rPr>
          <w:rFonts w:hint="default" w:ascii="Times New Roman" w:hAnsi="Times New Roman" w:eastAsia="宋体" w:cs="Times New Roman"/>
          <w:b/>
          <w:color w:val="auto"/>
          <w:spacing w:val="0"/>
          <w:highlight w:val="none"/>
        </w:rPr>
      </w:pPr>
      <w:bookmarkStart w:id="283" w:name="_Toc84948038"/>
      <w:r>
        <w:rPr>
          <w:rFonts w:hint="default" w:ascii="Times New Roman" w:hAnsi="Times New Roman" w:eastAsia="宋体" w:cs="Times New Roman"/>
          <w:b/>
          <w:color w:val="auto"/>
          <w:spacing w:val="0"/>
          <w:highlight w:val="none"/>
        </w:rPr>
        <w:t>第十四条 风险责任的承担</w:t>
      </w:r>
      <w:bookmarkEnd w:id="283"/>
    </w:p>
    <w:p w14:paraId="7F023B40">
      <w:pPr>
        <w:keepNext w:val="0"/>
        <w:keepLines w:val="0"/>
        <w:pageBreakBefore w:val="0"/>
        <w:tabs>
          <w:tab w:val="left" w:pos="6020"/>
        </w:tabs>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14.1在履行本合同的过程中，确因在现有技术水平和条件下无法克服的技术困难，乙方应及时与甲方共同协商解决方案，若乙方没有及时通知甲方并采取措施导致研究开发部分或全部失败所造成的损失，风险责任由乙方承担。</w:t>
      </w:r>
    </w:p>
    <w:p w14:paraId="513CEBE6">
      <w:pPr>
        <w:keepNext w:val="0"/>
        <w:keepLines w:val="0"/>
        <w:pageBreakBefore w:val="0"/>
        <w:tabs>
          <w:tab w:val="left" w:pos="6020"/>
        </w:tabs>
        <w:kinsoku/>
        <w:wordWrap/>
        <w:overflowPunct/>
        <w:topLinePunct w:val="0"/>
        <w:autoSpaceDE w:val="0"/>
        <w:autoSpaceDN w:val="0"/>
        <w:bidi w:val="0"/>
        <w:spacing w:line="360" w:lineRule="auto"/>
        <w:ind w:firstLine="480" w:firstLineChars="200"/>
        <w:outlineLvl w:val="9"/>
        <w:rPr>
          <w:rStyle w:val="49"/>
          <w:rFonts w:hint="default" w:ascii="Times New Roman" w:hAnsi="Times New Roman" w:eastAsia="宋体" w:cs="Times New Roman"/>
          <w:color w:val="auto"/>
          <w:spacing w:val="0"/>
          <w:kern w:val="0"/>
          <w:highlight w:val="none"/>
        </w:rPr>
      </w:pPr>
      <w:r>
        <w:rPr>
          <w:rStyle w:val="49"/>
          <w:rFonts w:hint="default" w:ascii="Times New Roman" w:hAnsi="Times New Roman" w:eastAsia="宋体" w:cs="Times New Roman"/>
          <w:color w:val="auto"/>
          <w:spacing w:val="0"/>
          <w:kern w:val="0"/>
          <w:highlight w:val="none"/>
        </w:rPr>
        <w:t>14.2乙方发现可能导致实施项目失败或者部分失败的情况时，应当及时通知甲方并采取适当措施减少损失；乙方没有及时通知甲方并采取适当措施致使损失扩大的，应当就扩大的损失承担责任。</w:t>
      </w:r>
    </w:p>
    <w:p w14:paraId="759E3168">
      <w:pPr>
        <w:keepNext w:val="0"/>
        <w:keepLines w:val="0"/>
        <w:pageBreakBefore w:val="0"/>
        <w:tabs>
          <w:tab w:val="left" w:pos="6020"/>
        </w:tabs>
        <w:kinsoku/>
        <w:wordWrap/>
        <w:overflowPunct/>
        <w:topLinePunct w:val="0"/>
        <w:autoSpaceDE w:val="0"/>
        <w:autoSpaceDN w:val="0"/>
        <w:bidi w:val="0"/>
        <w:spacing w:line="360" w:lineRule="auto"/>
        <w:ind w:firstLine="480" w:firstLineChars="200"/>
        <w:outlineLvl w:val="9"/>
        <w:rPr>
          <w:rStyle w:val="49"/>
          <w:rFonts w:hint="default" w:ascii="Times New Roman" w:hAnsi="Times New Roman" w:eastAsia="宋体" w:cs="Times New Roman"/>
          <w:color w:val="auto"/>
          <w:spacing w:val="0"/>
          <w:kern w:val="0"/>
          <w:highlight w:val="none"/>
        </w:rPr>
      </w:pPr>
      <w:r>
        <w:rPr>
          <w:rStyle w:val="49"/>
          <w:rFonts w:hint="default" w:ascii="Times New Roman" w:hAnsi="Times New Roman" w:eastAsia="宋体" w:cs="Times New Roman"/>
          <w:color w:val="auto"/>
          <w:spacing w:val="0"/>
          <w:kern w:val="0"/>
          <w:highlight w:val="none"/>
        </w:rPr>
        <w:t>14.3若乙方由于公司经营决策重大变故、重要资源调整或是其他原因导致无法完成合同约定的开发内容，或乙方开发成果中的软件在安装、使用过程中发现由乙方原因造成的缺陷或瑕疵的，乙方应在接到甲方通知后予以解决或修复；若乙方无法解决，或者拒绝解决或修复，可由甲方委托第三方进行处理，但由此发生的费用由乙方负担；如因此给甲方造成损失的，乙方还应当赔偿甲方因此遭受的损失。</w:t>
      </w:r>
    </w:p>
    <w:p w14:paraId="539FDA3D">
      <w:pPr>
        <w:keepNext w:val="0"/>
        <w:keepLines w:val="0"/>
        <w:pageBreakBefore w:val="0"/>
        <w:tabs>
          <w:tab w:val="left" w:pos="6020"/>
        </w:tabs>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highlight w:val="none"/>
        </w:rPr>
      </w:pPr>
    </w:p>
    <w:p w14:paraId="54689848">
      <w:pPr>
        <w:keepNext w:val="0"/>
        <w:keepLines w:val="0"/>
        <w:pageBreakBefore w:val="0"/>
        <w:kinsoku/>
        <w:wordWrap/>
        <w:overflowPunct/>
        <w:topLinePunct w:val="0"/>
        <w:autoSpaceDE w:val="0"/>
        <w:autoSpaceDN w:val="0"/>
        <w:bidi w:val="0"/>
        <w:spacing w:line="360" w:lineRule="auto"/>
        <w:ind w:firstLine="472" w:firstLineChars="196"/>
        <w:outlineLvl w:val="9"/>
        <w:rPr>
          <w:rFonts w:hint="default" w:ascii="Times New Roman" w:hAnsi="Times New Roman" w:eastAsia="宋体" w:cs="Times New Roman"/>
          <w:b/>
          <w:color w:val="auto"/>
          <w:spacing w:val="0"/>
          <w:highlight w:val="none"/>
        </w:rPr>
      </w:pPr>
      <w:bookmarkStart w:id="284" w:name="_Toc84948039"/>
      <w:r>
        <w:rPr>
          <w:rFonts w:hint="default" w:ascii="Times New Roman" w:hAnsi="Times New Roman" w:eastAsia="宋体" w:cs="Times New Roman"/>
          <w:b/>
          <w:color w:val="auto"/>
          <w:spacing w:val="0"/>
          <w:highlight w:val="none"/>
        </w:rPr>
        <w:t>第十五条</w:t>
      </w:r>
      <w:bookmarkStart w:id="285" w:name="_Toc58337511"/>
      <w:r>
        <w:rPr>
          <w:rFonts w:hint="default" w:ascii="Times New Roman" w:hAnsi="Times New Roman" w:eastAsia="宋体" w:cs="Times New Roman"/>
          <w:b/>
          <w:color w:val="auto"/>
          <w:spacing w:val="0"/>
          <w:highlight w:val="none"/>
        </w:rPr>
        <w:t xml:space="preserve"> 违约与赔偿</w:t>
      </w:r>
      <w:bookmarkEnd w:id="284"/>
      <w:bookmarkEnd w:id="285"/>
    </w:p>
    <w:p w14:paraId="73A4933A">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15.1因甲方原因未按本合同规定支付第一期款项，且经乙方合理催告后，仍无正当理由并逾期支付达【30】个工作日以上的，乙方有权解除合同。</w:t>
      </w:r>
    </w:p>
    <w:p w14:paraId="2ABEB74D">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15.2因甲方原因逾期支付第二期或第三期款项的，自逾期一个月后的第二天起，每逾期一天支付应付逾期付款金额的万分之五的违约金，违约金总额不超过应付款额的20%。</w:t>
      </w:r>
    </w:p>
    <w:p w14:paraId="1E73140B">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15.3乙方未按计划或不实施研究开发工作，甲方有权要求乙方实施研究开发计划并采取补救措施。如乙方逾期一个月仍未按计划或不实施研究开发工作，甲方有权解除本合同，并且乙方应在10个工作日内返还所有甲方提供的报酬，返还或销毁甲方提供的有关技术资料和文件，并承担本合同总额20%的违约金。</w:t>
      </w:r>
    </w:p>
    <w:p w14:paraId="48ABAE0A">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15.4乙方应按本合同规定的研究开发进程完成开发项目。若因乙方自身原因未按时完成开发项目，则按照附件五《服务水平协议（SLA）》扣除延期违约金。</w:t>
      </w:r>
    </w:p>
    <w:p w14:paraId="24D51D93">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15.5乙方未能完成甲方委托的开发项目或开发成果不符合本合同约定的要求，乙方承担本合同总额20%的违约金，并返还甲方已支付的费用。</w:t>
      </w:r>
    </w:p>
    <w:p w14:paraId="75DCF613">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15.6乙方将甲方支付的费用于履行合同以外的目的，甲方有权制止并要求其纠正。如因此造成本合同项目停滞、延误或失败的，乙方应当承担给甲方造成的损失赔偿责任。</w:t>
      </w:r>
    </w:p>
    <w:p w14:paraId="77882A6C">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15.7除本条、附件五《服务水平协议（SLA）》及其他条款另有约定外，乙方违反本合同任一条款的，应向甲方支付合同总额5%的违约金并赔偿甲方产生的损失。</w:t>
      </w:r>
    </w:p>
    <w:p w14:paraId="4E24CC04">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15.8本合同项下乙方应支付的违约金、赔偿金等，甲方均有权从应支付给乙方的款项中优先扣除，若有不足，乙方应另行筹措资金补足。</w:t>
      </w:r>
    </w:p>
    <w:p w14:paraId="5481D893">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highlight w:val="none"/>
        </w:rPr>
      </w:pPr>
    </w:p>
    <w:p w14:paraId="4863E8B0">
      <w:pPr>
        <w:keepNext w:val="0"/>
        <w:keepLines w:val="0"/>
        <w:pageBreakBefore w:val="0"/>
        <w:kinsoku/>
        <w:wordWrap/>
        <w:overflowPunct/>
        <w:topLinePunct w:val="0"/>
        <w:autoSpaceDE w:val="0"/>
        <w:autoSpaceDN w:val="0"/>
        <w:bidi w:val="0"/>
        <w:spacing w:line="360" w:lineRule="auto"/>
        <w:ind w:firstLine="472" w:firstLineChars="196"/>
        <w:outlineLvl w:val="9"/>
        <w:rPr>
          <w:rFonts w:hint="default" w:ascii="Times New Roman" w:hAnsi="Times New Roman" w:eastAsia="宋体" w:cs="Times New Roman"/>
          <w:b/>
          <w:color w:val="auto"/>
          <w:spacing w:val="0"/>
          <w:highlight w:val="none"/>
        </w:rPr>
      </w:pPr>
      <w:bookmarkStart w:id="286" w:name="_Toc84948040"/>
      <w:r>
        <w:rPr>
          <w:rFonts w:hint="default" w:ascii="Times New Roman" w:hAnsi="Times New Roman" w:eastAsia="宋体" w:cs="Times New Roman"/>
          <w:b/>
          <w:color w:val="auto"/>
          <w:spacing w:val="0"/>
          <w:highlight w:val="none"/>
        </w:rPr>
        <w:t>第十六条 合同的解除</w:t>
      </w:r>
      <w:bookmarkEnd w:id="286"/>
    </w:p>
    <w:p w14:paraId="427CEFC5">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16.1如果满足以下条件，任一方在通知对方后，都可以解除本合同。</w:t>
      </w:r>
    </w:p>
    <w:p w14:paraId="04861738">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1）一方严重违反本合同项下的义务，并且违约方在对方通知后三十天仍未纠正，非违约方向违约方发出解除合同的书面通知时。如果该违约无法在三十天内纠正，而违约方在此期限内已经开始着手，并将以努力诚恳继续纠正此违约行为，则守约方应为违约方合理地延长该时间的期限。</w:t>
      </w:r>
    </w:p>
    <w:p w14:paraId="4F88B8FF">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（2）当一方按正常程序停止经营业务、破产、处于付款拖欠、延期偿付、公司重组或倒闭状况，或全部转让利润与债权人、书面承认无力偿还到期债务、委派清算人清算其业务或财产。</w:t>
      </w:r>
    </w:p>
    <w:p w14:paraId="672B81B3">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16.2除本合同约定的情形外，甲方若认为乙方无法胜任本合同项下工作的，有权随时通知乙方后解除本合同。甲方除据实与乙方结算费用外，不承担其他违约责任。</w:t>
      </w:r>
    </w:p>
    <w:p w14:paraId="6AD2ADEE">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16.3当本合同以任何原因解除或终止时，乙方应将本合同项下的过程文档、资料等全部交付给甲方，配合甲方完成知识转移，保证甲方能够继续开展工作；乙方应立即停止使用并销毁包含甲方机密信息的所有物件，并证明该销毁情况；或者将这些物件归还给甲方。</w:t>
      </w:r>
    </w:p>
    <w:p w14:paraId="2CC7F67E">
      <w:pPr>
        <w:keepNext w:val="0"/>
        <w:keepLines w:val="0"/>
        <w:pageBreakBefore w:val="0"/>
        <w:kinsoku/>
        <w:wordWrap/>
        <w:overflowPunct/>
        <w:topLinePunct w:val="0"/>
        <w:autoSpaceDE w:val="0"/>
        <w:autoSpaceDN w:val="0"/>
        <w:bidi w:val="0"/>
        <w:spacing w:line="360" w:lineRule="auto"/>
        <w:ind w:firstLine="482" w:firstLineChars="200"/>
        <w:outlineLvl w:val="9"/>
        <w:rPr>
          <w:rFonts w:hint="default" w:ascii="Times New Roman" w:hAnsi="Times New Roman" w:eastAsia="宋体" w:cs="Times New Roman"/>
          <w:b/>
          <w:color w:val="auto"/>
          <w:spacing w:val="0"/>
          <w:highlight w:val="none"/>
        </w:rPr>
      </w:pPr>
    </w:p>
    <w:p w14:paraId="6650CE59">
      <w:pPr>
        <w:keepNext w:val="0"/>
        <w:keepLines w:val="0"/>
        <w:pageBreakBefore w:val="0"/>
        <w:kinsoku/>
        <w:wordWrap/>
        <w:overflowPunct/>
        <w:topLinePunct w:val="0"/>
        <w:autoSpaceDE w:val="0"/>
        <w:autoSpaceDN w:val="0"/>
        <w:bidi w:val="0"/>
        <w:spacing w:line="360" w:lineRule="auto"/>
        <w:ind w:firstLine="472" w:firstLineChars="196"/>
        <w:outlineLvl w:val="9"/>
        <w:rPr>
          <w:rFonts w:hint="default" w:ascii="Times New Roman" w:hAnsi="Times New Roman" w:eastAsia="宋体" w:cs="Times New Roman"/>
          <w:b/>
          <w:color w:val="auto"/>
          <w:spacing w:val="0"/>
          <w:highlight w:val="none"/>
        </w:rPr>
      </w:pPr>
      <w:bookmarkStart w:id="287" w:name="_Toc84948041"/>
      <w:r>
        <w:rPr>
          <w:rFonts w:hint="default" w:ascii="Times New Roman" w:hAnsi="Times New Roman" w:eastAsia="宋体" w:cs="Times New Roman"/>
          <w:b/>
          <w:color w:val="auto"/>
          <w:spacing w:val="0"/>
          <w:highlight w:val="none"/>
        </w:rPr>
        <w:t>第十七条 合同变更及转让</w:t>
      </w:r>
      <w:bookmarkEnd w:id="287"/>
    </w:p>
    <w:p w14:paraId="62F62BA2">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17.1对本合同及其附件的内容进行变更，必须经双方协商一致并签订补充协议，方能生效，本合同另有约定的除外。</w:t>
      </w:r>
    </w:p>
    <w:p w14:paraId="75E94981">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17.2本合同双方在未取得对方事先书面同意的前提下，均不得将各自本合同项下的任何权利或义务转让给第三方。</w:t>
      </w:r>
    </w:p>
    <w:p w14:paraId="7EF8541F">
      <w:pPr>
        <w:keepNext w:val="0"/>
        <w:keepLines w:val="0"/>
        <w:pageBreakBefore w:val="0"/>
        <w:kinsoku/>
        <w:wordWrap/>
        <w:overflowPunct/>
        <w:topLinePunct w:val="0"/>
        <w:autoSpaceDE w:val="0"/>
        <w:autoSpaceDN w:val="0"/>
        <w:bidi w:val="0"/>
        <w:spacing w:line="360" w:lineRule="auto"/>
        <w:ind w:firstLine="482" w:firstLineChars="200"/>
        <w:outlineLvl w:val="9"/>
        <w:rPr>
          <w:rFonts w:hint="default" w:ascii="Times New Roman" w:hAnsi="Times New Roman" w:eastAsia="宋体" w:cs="Times New Roman"/>
          <w:b/>
          <w:color w:val="auto"/>
          <w:spacing w:val="0"/>
          <w:highlight w:val="none"/>
        </w:rPr>
      </w:pPr>
    </w:p>
    <w:p w14:paraId="3D74B829">
      <w:pPr>
        <w:keepNext w:val="0"/>
        <w:keepLines w:val="0"/>
        <w:pageBreakBefore w:val="0"/>
        <w:kinsoku/>
        <w:wordWrap/>
        <w:overflowPunct/>
        <w:topLinePunct w:val="0"/>
        <w:autoSpaceDE w:val="0"/>
        <w:autoSpaceDN w:val="0"/>
        <w:bidi w:val="0"/>
        <w:spacing w:line="360" w:lineRule="auto"/>
        <w:ind w:firstLine="472" w:firstLineChars="196"/>
        <w:outlineLvl w:val="9"/>
        <w:rPr>
          <w:rFonts w:hint="default" w:ascii="Times New Roman" w:hAnsi="Times New Roman" w:eastAsia="宋体" w:cs="Times New Roman"/>
          <w:b/>
          <w:color w:val="auto"/>
          <w:spacing w:val="0"/>
          <w:highlight w:val="none"/>
        </w:rPr>
      </w:pPr>
      <w:bookmarkStart w:id="288" w:name="_Toc84948042"/>
      <w:r>
        <w:rPr>
          <w:rFonts w:hint="default" w:ascii="Times New Roman" w:hAnsi="Times New Roman" w:eastAsia="宋体" w:cs="Times New Roman"/>
          <w:b/>
          <w:color w:val="auto"/>
          <w:spacing w:val="0"/>
          <w:highlight w:val="none"/>
        </w:rPr>
        <w:t>第十八条 争议解决</w:t>
      </w:r>
      <w:bookmarkEnd w:id="288"/>
    </w:p>
    <w:p w14:paraId="5DDC0754">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本合同的解释、效力、履行及其他事项，均适用中华人民共和国法律、法规，如无法律、法规规定，适用有关行政管理部门规章。本合同履行中双方发生任何争议，应协商解决，协商不成的，任何一方均可向重庆仲裁委员会按照该会届时有效的仲裁规则申请仲裁，仲裁裁决是终局性的，对双方均有约束力。</w:t>
      </w:r>
    </w:p>
    <w:p w14:paraId="1FE875C3">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highlight w:val="none"/>
        </w:rPr>
      </w:pPr>
    </w:p>
    <w:p w14:paraId="615D8AEF">
      <w:pPr>
        <w:keepNext w:val="0"/>
        <w:keepLines w:val="0"/>
        <w:pageBreakBefore w:val="0"/>
        <w:kinsoku/>
        <w:wordWrap/>
        <w:overflowPunct/>
        <w:topLinePunct w:val="0"/>
        <w:autoSpaceDE w:val="0"/>
        <w:autoSpaceDN w:val="0"/>
        <w:bidi w:val="0"/>
        <w:spacing w:line="360" w:lineRule="auto"/>
        <w:ind w:firstLine="472" w:firstLineChars="196"/>
        <w:outlineLvl w:val="9"/>
        <w:rPr>
          <w:rFonts w:hint="default" w:ascii="Times New Roman" w:hAnsi="Times New Roman" w:eastAsia="宋体" w:cs="Times New Roman"/>
          <w:b/>
          <w:color w:val="auto"/>
          <w:spacing w:val="0"/>
          <w:highlight w:val="none"/>
        </w:rPr>
      </w:pPr>
      <w:bookmarkStart w:id="289" w:name="_Toc84948043"/>
      <w:r>
        <w:rPr>
          <w:rFonts w:hint="default" w:ascii="Times New Roman" w:hAnsi="Times New Roman" w:eastAsia="宋体" w:cs="Times New Roman"/>
          <w:b/>
          <w:color w:val="auto"/>
          <w:spacing w:val="0"/>
          <w:highlight w:val="none"/>
        </w:rPr>
        <w:t>第十九条 通知与送达</w:t>
      </w:r>
      <w:bookmarkEnd w:id="289"/>
    </w:p>
    <w:p w14:paraId="09B7365E">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除双方另有约定，本合同项下的所有书面通知，按本合同首部载明的地址及联系方式进行，乙方地址、联系方式如有变动，应于10日内以书面形式通知甲方，甲方地址、联系方式如有变动，应采用公告、网上银行、电话银行等方式通知乙方。否则，向本合同首部载明的地址和联系方式发送有关文件，均视为送达。</w:t>
      </w:r>
    </w:p>
    <w:p w14:paraId="396A2A9D">
      <w:pPr>
        <w:keepNext w:val="0"/>
        <w:keepLines w:val="0"/>
        <w:pageBreakBefore w:val="0"/>
        <w:kinsoku/>
        <w:wordWrap/>
        <w:overflowPunct/>
        <w:topLinePunct w:val="0"/>
        <w:autoSpaceDE w:val="0"/>
        <w:autoSpaceDN w:val="0"/>
        <w:bidi w:val="0"/>
        <w:adjustRightInd w:val="0"/>
        <w:spacing w:line="336" w:lineRule="auto"/>
        <w:ind w:firstLine="537" w:firstLineChars="224"/>
        <w:jc w:val="left"/>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p>
    <w:p w14:paraId="112388B5">
      <w:pPr>
        <w:keepNext w:val="0"/>
        <w:keepLines w:val="0"/>
        <w:pageBreakBefore w:val="0"/>
        <w:kinsoku/>
        <w:wordWrap/>
        <w:overflowPunct/>
        <w:topLinePunct w:val="0"/>
        <w:autoSpaceDE w:val="0"/>
        <w:autoSpaceDN w:val="0"/>
        <w:bidi w:val="0"/>
        <w:adjustRightInd w:val="0"/>
        <w:spacing w:line="336" w:lineRule="auto"/>
        <w:ind w:firstLine="537" w:firstLineChars="224"/>
        <w:jc w:val="left"/>
        <w:outlineLvl w:val="9"/>
        <w:rPr>
          <w:rFonts w:hint="default" w:ascii="Times New Roman" w:hAnsi="Times New Roman" w:eastAsia="宋体" w:cs="Times New Roman"/>
          <w:color w:val="auto"/>
          <w:spacing w:val="0"/>
          <w:highlight w:val="none"/>
        </w:rPr>
      </w:pPr>
    </w:p>
    <w:p w14:paraId="30D73C9A">
      <w:pPr>
        <w:keepNext w:val="0"/>
        <w:keepLines w:val="0"/>
        <w:pageBreakBefore w:val="0"/>
        <w:kinsoku/>
        <w:wordWrap/>
        <w:overflowPunct/>
        <w:topLinePunct w:val="0"/>
        <w:autoSpaceDE w:val="0"/>
        <w:autoSpaceDN w:val="0"/>
        <w:bidi w:val="0"/>
        <w:spacing w:line="360" w:lineRule="auto"/>
        <w:ind w:firstLine="472" w:firstLineChars="196"/>
        <w:outlineLvl w:val="9"/>
        <w:rPr>
          <w:rFonts w:hint="default" w:ascii="Times New Roman" w:hAnsi="Times New Roman" w:eastAsia="宋体" w:cs="Times New Roman"/>
          <w:b/>
          <w:color w:val="auto"/>
          <w:spacing w:val="0"/>
          <w:highlight w:val="none"/>
        </w:rPr>
      </w:pPr>
      <w:bookmarkStart w:id="290" w:name="_Toc84948044"/>
      <w:r>
        <w:rPr>
          <w:rFonts w:hint="default" w:ascii="Times New Roman" w:hAnsi="Times New Roman" w:eastAsia="宋体" w:cs="Times New Roman"/>
          <w:b/>
          <w:color w:val="auto"/>
          <w:spacing w:val="0"/>
          <w:highlight w:val="none"/>
        </w:rPr>
        <w:t>第二十条 合同生效</w:t>
      </w:r>
      <w:bookmarkEnd w:id="290"/>
    </w:p>
    <w:p w14:paraId="18B4B1F7">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本合同自下列条件全部满足之日起生效：</w:t>
      </w:r>
    </w:p>
    <w:p w14:paraId="09F8D5D2">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双方对本合同及其全部附件内容达成一致并加盖公章。</w:t>
      </w:r>
    </w:p>
    <w:p w14:paraId="12A142C4">
      <w:pPr>
        <w:keepNext w:val="0"/>
        <w:keepLines w:val="0"/>
        <w:pageBreakBefore w:val="0"/>
        <w:kinsoku/>
        <w:wordWrap/>
        <w:overflowPunct/>
        <w:topLinePunct w:val="0"/>
        <w:autoSpaceDE w:val="0"/>
        <w:autoSpaceDN w:val="0"/>
        <w:bidi w:val="0"/>
        <w:spacing w:line="360" w:lineRule="auto"/>
        <w:ind w:firstLine="482" w:firstLineChars="200"/>
        <w:outlineLvl w:val="9"/>
        <w:rPr>
          <w:rFonts w:hint="default" w:ascii="Times New Roman" w:hAnsi="Times New Roman" w:eastAsia="宋体" w:cs="Times New Roman"/>
          <w:b/>
          <w:color w:val="auto"/>
          <w:spacing w:val="0"/>
          <w:highlight w:val="none"/>
        </w:rPr>
      </w:pPr>
    </w:p>
    <w:p w14:paraId="788A6711">
      <w:pPr>
        <w:keepNext w:val="0"/>
        <w:keepLines w:val="0"/>
        <w:pageBreakBefore w:val="0"/>
        <w:kinsoku/>
        <w:wordWrap/>
        <w:overflowPunct/>
        <w:topLinePunct w:val="0"/>
        <w:autoSpaceDE w:val="0"/>
        <w:autoSpaceDN w:val="0"/>
        <w:bidi w:val="0"/>
        <w:spacing w:line="360" w:lineRule="auto"/>
        <w:ind w:firstLine="472" w:firstLineChars="196"/>
        <w:outlineLvl w:val="9"/>
        <w:rPr>
          <w:rFonts w:hint="default" w:ascii="Times New Roman" w:hAnsi="Times New Roman" w:eastAsia="宋体" w:cs="Times New Roman"/>
          <w:b/>
          <w:color w:val="auto"/>
          <w:spacing w:val="0"/>
          <w:highlight w:val="none"/>
        </w:rPr>
      </w:pPr>
      <w:bookmarkStart w:id="291" w:name="_Toc84948045"/>
      <w:r>
        <w:rPr>
          <w:rFonts w:hint="default" w:ascii="Times New Roman" w:hAnsi="Times New Roman" w:eastAsia="宋体" w:cs="Times New Roman"/>
          <w:b/>
          <w:color w:val="auto"/>
          <w:spacing w:val="0"/>
          <w:highlight w:val="none"/>
        </w:rPr>
        <w:t>第二十一条 不可抗力</w:t>
      </w:r>
      <w:bookmarkEnd w:id="291"/>
    </w:p>
    <w:p w14:paraId="0CBA3EB1">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kern w:val="0"/>
          <w:highlight w:val="none"/>
        </w:rPr>
      </w:pPr>
      <w:r>
        <w:rPr>
          <w:rFonts w:hint="default" w:ascii="Times New Roman" w:hAnsi="Times New Roman" w:eastAsia="宋体" w:cs="Times New Roman"/>
          <w:color w:val="auto"/>
          <w:spacing w:val="0"/>
          <w:kern w:val="0"/>
          <w:highlight w:val="none"/>
        </w:rPr>
        <w:t>21.1不可抗力是指本合同生效后，发生不能预见并且对其发生和后果不能防止或避免的事件，如地震、台风、水灾、火灾、战争、传染病等，致使直接影响本合同的履行或不能按约定的条件履行。</w:t>
      </w:r>
    </w:p>
    <w:p w14:paraId="1DD25AD9">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kern w:val="0"/>
          <w:highlight w:val="none"/>
        </w:rPr>
      </w:pPr>
      <w:r>
        <w:rPr>
          <w:rFonts w:hint="default" w:ascii="Times New Roman" w:hAnsi="Times New Roman" w:eastAsia="宋体" w:cs="Times New Roman"/>
          <w:color w:val="auto"/>
          <w:spacing w:val="0"/>
          <w:kern w:val="0"/>
          <w:highlight w:val="none"/>
        </w:rPr>
        <w:t>21.2发生不可抗力的一方应立即通知对方，并在十五天内提供不可抗力的详情及将有关证明文件送交对方。</w:t>
      </w:r>
    </w:p>
    <w:p w14:paraId="61CF6C3E">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kern w:val="0"/>
          <w:highlight w:val="none"/>
        </w:rPr>
      </w:pPr>
      <w:r>
        <w:rPr>
          <w:rFonts w:hint="default" w:ascii="Times New Roman" w:hAnsi="Times New Roman" w:eastAsia="宋体" w:cs="Times New Roman"/>
          <w:color w:val="auto"/>
          <w:spacing w:val="0"/>
          <w:kern w:val="0"/>
          <w:highlight w:val="none"/>
        </w:rPr>
        <w:t>21.3发生不可抗力事件时，甲乙双方应协商以寻找一个合理的解决方法，并尽一切努力减轻不可抗力产生的后果。</w:t>
      </w:r>
    </w:p>
    <w:p w14:paraId="275BA0FF">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kern w:val="0"/>
          <w:highlight w:val="none"/>
        </w:rPr>
      </w:pPr>
      <w:r>
        <w:rPr>
          <w:rFonts w:hint="default" w:ascii="Times New Roman" w:hAnsi="Times New Roman" w:eastAsia="宋体" w:cs="Times New Roman"/>
          <w:color w:val="auto"/>
          <w:spacing w:val="0"/>
          <w:kern w:val="0"/>
          <w:highlight w:val="none"/>
        </w:rPr>
        <w:t>21.4如不可抗力事件持续三十天时，甲乙双方应友好协商解决本合同是否继续履行或终止的问题。</w:t>
      </w:r>
    </w:p>
    <w:p w14:paraId="538DA8C0">
      <w:pPr>
        <w:keepNext w:val="0"/>
        <w:keepLines w:val="0"/>
        <w:pageBreakBefore w:val="0"/>
        <w:kinsoku/>
        <w:wordWrap/>
        <w:overflowPunct/>
        <w:topLinePunct w:val="0"/>
        <w:autoSpaceDE w:val="0"/>
        <w:autoSpaceDN w:val="0"/>
        <w:bidi w:val="0"/>
        <w:spacing w:line="360" w:lineRule="auto"/>
        <w:ind w:firstLine="482" w:firstLineChars="200"/>
        <w:outlineLvl w:val="9"/>
        <w:rPr>
          <w:rFonts w:hint="default" w:ascii="Times New Roman" w:hAnsi="Times New Roman" w:eastAsia="宋体" w:cs="Times New Roman"/>
          <w:b/>
          <w:color w:val="auto"/>
          <w:spacing w:val="0"/>
          <w:highlight w:val="none"/>
        </w:rPr>
      </w:pPr>
    </w:p>
    <w:p w14:paraId="41EFFC5B">
      <w:pPr>
        <w:keepNext w:val="0"/>
        <w:keepLines w:val="0"/>
        <w:pageBreakBefore w:val="0"/>
        <w:kinsoku/>
        <w:wordWrap/>
        <w:overflowPunct/>
        <w:topLinePunct w:val="0"/>
        <w:autoSpaceDE w:val="0"/>
        <w:autoSpaceDN w:val="0"/>
        <w:bidi w:val="0"/>
        <w:spacing w:line="360" w:lineRule="auto"/>
        <w:ind w:firstLine="472" w:firstLineChars="196"/>
        <w:outlineLvl w:val="9"/>
        <w:rPr>
          <w:rFonts w:hint="default" w:ascii="Times New Roman" w:hAnsi="Times New Roman" w:eastAsia="宋体" w:cs="Times New Roman"/>
          <w:b/>
          <w:color w:val="auto"/>
          <w:spacing w:val="0"/>
          <w:highlight w:val="none"/>
        </w:rPr>
      </w:pPr>
      <w:bookmarkStart w:id="292" w:name="_Toc84948046"/>
      <w:r>
        <w:rPr>
          <w:rFonts w:hint="default" w:ascii="Times New Roman" w:hAnsi="Times New Roman" w:eastAsia="宋体" w:cs="Times New Roman"/>
          <w:b/>
          <w:color w:val="auto"/>
          <w:spacing w:val="0"/>
          <w:highlight w:val="none"/>
        </w:rPr>
        <w:t>第二十二条 反商业贿赂</w:t>
      </w:r>
      <w:bookmarkEnd w:id="292"/>
    </w:p>
    <w:p w14:paraId="335D2E5E">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乙方不得对甲方或甲方任何员工有任何商业贿赂的行为，否则经查证属实后，乙方应对甲方赔付相当于合同总额50%的赔偿金。该条在法律允许的范围内，不受任何免责或限制责任的条款制约。</w:t>
      </w:r>
    </w:p>
    <w:p w14:paraId="44EEFE61">
      <w:pPr>
        <w:keepNext w:val="0"/>
        <w:keepLines w:val="0"/>
        <w:pageBreakBefore w:val="0"/>
        <w:kinsoku/>
        <w:wordWrap/>
        <w:overflowPunct/>
        <w:topLinePunct w:val="0"/>
        <w:autoSpaceDE w:val="0"/>
        <w:autoSpaceDN w:val="0"/>
        <w:bidi w:val="0"/>
        <w:spacing w:line="360" w:lineRule="auto"/>
        <w:ind w:firstLine="482" w:firstLineChars="200"/>
        <w:outlineLvl w:val="9"/>
        <w:rPr>
          <w:rFonts w:hint="default" w:ascii="Times New Roman" w:hAnsi="Times New Roman" w:eastAsia="宋体" w:cs="Times New Roman"/>
          <w:b/>
          <w:color w:val="auto"/>
          <w:spacing w:val="0"/>
          <w:highlight w:val="none"/>
        </w:rPr>
      </w:pPr>
    </w:p>
    <w:p w14:paraId="72D90E56">
      <w:pPr>
        <w:keepNext w:val="0"/>
        <w:keepLines w:val="0"/>
        <w:pageBreakBefore w:val="0"/>
        <w:kinsoku/>
        <w:wordWrap/>
        <w:overflowPunct/>
        <w:topLinePunct w:val="0"/>
        <w:autoSpaceDE w:val="0"/>
        <w:autoSpaceDN w:val="0"/>
        <w:bidi w:val="0"/>
        <w:spacing w:line="360" w:lineRule="auto"/>
        <w:ind w:firstLine="472" w:firstLineChars="196"/>
        <w:outlineLvl w:val="9"/>
        <w:rPr>
          <w:rFonts w:hint="default" w:ascii="Times New Roman" w:hAnsi="Times New Roman" w:eastAsia="宋体" w:cs="Times New Roman"/>
          <w:b/>
          <w:color w:val="auto"/>
          <w:spacing w:val="0"/>
          <w:highlight w:val="none"/>
        </w:rPr>
      </w:pPr>
      <w:bookmarkStart w:id="293" w:name="_Toc84948047"/>
      <w:r>
        <w:rPr>
          <w:rFonts w:hint="default" w:ascii="Times New Roman" w:hAnsi="Times New Roman" w:eastAsia="宋体" w:cs="Times New Roman"/>
          <w:b/>
          <w:color w:val="auto"/>
          <w:spacing w:val="0"/>
          <w:highlight w:val="none"/>
        </w:rPr>
        <w:t>第二十三条 附件</w:t>
      </w:r>
      <w:bookmarkEnd w:id="293"/>
    </w:p>
    <w:p w14:paraId="7DCF3666">
      <w:pPr>
        <w:keepNext w:val="0"/>
        <w:keepLines w:val="0"/>
        <w:pageBreakBefore w:val="0"/>
        <w:kinsoku/>
        <w:wordWrap/>
        <w:overflowPunct/>
        <w:topLinePunct w:val="0"/>
        <w:autoSpaceDE w:val="0"/>
        <w:autoSpaceDN w:val="0"/>
        <w:bidi w:val="0"/>
        <w:spacing w:line="360" w:lineRule="auto"/>
        <w:ind w:firstLine="559" w:firstLineChars="233"/>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本合同的附件与合同正本具有同等法律效力，主合同与附件如有冲突，以主合同为准。本合同附件如下：</w:t>
      </w:r>
    </w:p>
    <w:p w14:paraId="6168FA04">
      <w:pPr>
        <w:keepNext w:val="0"/>
        <w:keepLines w:val="0"/>
        <w:pageBreakBefore w:val="0"/>
        <w:kinsoku/>
        <w:wordWrap/>
        <w:overflowPunct/>
        <w:topLinePunct w:val="0"/>
        <w:autoSpaceDE w:val="0"/>
        <w:autoSpaceDN w:val="0"/>
        <w:bidi w:val="0"/>
        <w:spacing w:line="360" w:lineRule="auto"/>
        <w:ind w:left="560"/>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附件一：工作（需求）说明书</w:t>
      </w:r>
    </w:p>
    <w:p w14:paraId="0800E318">
      <w:pPr>
        <w:keepNext w:val="0"/>
        <w:keepLines w:val="0"/>
        <w:pageBreakBefore w:val="0"/>
        <w:kinsoku/>
        <w:wordWrap/>
        <w:overflowPunct/>
        <w:topLinePunct w:val="0"/>
        <w:autoSpaceDE w:val="0"/>
        <w:autoSpaceDN w:val="0"/>
        <w:bidi w:val="0"/>
        <w:spacing w:line="360" w:lineRule="auto"/>
        <w:ind w:left="560"/>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附件二：项目人员名单及人员应急退出机制</w:t>
      </w:r>
    </w:p>
    <w:p w14:paraId="5D264C06">
      <w:pPr>
        <w:keepNext w:val="0"/>
        <w:keepLines w:val="0"/>
        <w:pageBreakBefore w:val="0"/>
        <w:kinsoku/>
        <w:wordWrap/>
        <w:overflowPunct/>
        <w:topLinePunct w:val="0"/>
        <w:autoSpaceDE w:val="0"/>
        <w:autoSpaceDN w:val="0"/>
        <w:bidi w:val="0"/>
        <w:spacing w:line="360" w:lineRule="auto"/>
        <w:ind w:left="560"/>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附件三：验收标准及流程</w:t>
      </w:r>
    </w:p>
    <w:p w14:paraId="06BE704D">
      <w:pPr>
        <w:keepNext w:val="0"/>
        <w:keepLines w:val="0"/>
        <w:pageBreakBefore w:val="0"/>
        <w:kinsoku/>
        <w:wordWrap/>
        <w:overflowPunct/>
        <w:topLinePunct w:val="0"/>
        <w:autoSpaceDE w:val="0"/>
        <w:autoSpaceDN w:val="0"/>
        <w:bidi w:val="0"/>
        <w:spacing w:line="360" w:lineRule="auto"/>
        <w:ind w:left="560"/>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附件四：维护服务条款</w:t>
      </w:r>
    </w:p>
    <w:p w14:paraId="66A95DDC">
      <w:pPr>
        <w:keepNext w:val="0"/>
        <w:keepLines w:val="0"/>
        <w:pageBreakBefore w:val="0"/>
        <w:kinsoku/>
        <w:wordWrap/>
        <w:overflowPunct/>
        <w:topLinePunct w:val="0"/>
        <w:autoSpaceDE w:val="0"/>
        <w:autoSpaceDN w:val="0"/>
        <w:bidi w:val="0"/>
        <w:spacing w:line="360" w:lineRule="auto"/>
        <w:ind w:left="560"/>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附件五：服务水平协议（SLA）</w:t>
      </w:r>
    </w:p>
    <w:p w14:paraId="5C5F1DA2">
      <w:pPr>
        <w:keepNext w:val="0"/>
        <w:keepLines w:val="0"/>
        <w:pageBreakBefore w:val="0"/>
        <w:kinsoku/>
        <w:wordWrap/>
        <w:overflowPunct/>
        <w:topLinePunct w:val="0"/>
        <w:autoSpaceDE w:val="0"/>
        <w:autoSpaceDN w:val="0"/>
        <w:bidi w:val="0"/>
        <w:spacing w:line="360" w:lineRule="auto"/>
        <w:ind w:left="560"/>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附件六：服务连续性预案</w:t>
      </w:r>
    </w:p>
    <w:p w14:paraId="1F2417C5">
      <w:pPr>
        <w:keepNext w:val="0"/>
        <w:keepLines w:val="0"/>
        <w:pageBreakBefore w:val="0"/>
        <w:kinsoku/>
        <w:wordWrap/>
        <w:overflowPunct/>
        <w:topLinePunct w:val="0"/>
        <w:autoSpaceDE w:val="0"/>
        <w:autoSpaceDN w:val="0"/>
        <w:bidi w:val="0"/>
        <w:spacing w:line="360" w:lineRule="auto"/>
        <w:ind w:left="560"/>
        <w:outlineLvl w:val="9"/>
        <w:rPr>
          <w:rFonts w:hint="default" w:ascii="Times New Roman" w:hAnsi="Times New Roman" w:eastAsia="宋体" w:cs="Times New Roman"/>
          <w:color w:val="auto"/>
          <w:spacing w:val="0"/>
          <w:highlight w:val="none"/>
        </w:rPr>
      </w:pPr>
    </w:p>
    <w:p w14:paraId="403715E2">
      <w:pPr>
        <w:keepNext w:val="0"/>
        <w:keepLines w:val="0"/>
        <w:pageBreakBefore w:val="0"/>
        <w:kinsoku/>
        <w:wordWrap/>
        <w:overflowPunct/>
        <w:topLinePunct w:val="0"/>
        <w:autoSpaceDE w:val="0"/>
        <w:autoSpaceDN w:val="0"/>
        <w:bidi w:val="0"/>
        <w:spacing w:line="360" w:lineRule="auto"/>
        <w:ind w:firstLine="472" w:firstLineChars="196"/>
        <w:outlineLvl w:val="9"/>
        <w:rPr>
          <w:rFonts w:hint="default" w:ascii="Times New Roman" w:hAnsi="Times New Roman" w:eastAsia="宋体" w:cs="Times New Roman"/>
          <w:b/>
          <w:color w:val="auto"/>
          <w:spacing w:val="0"/>
          <w:highlight w:val="none"/>
        </w:rPr>
      </w:pPr>
      <w:bookmarkStart w:id="294" w:name="_Toc84948048"/>
      <w:r>
        <w:rPr>
          <w:rFonts w:hint="default" w:ascii="Times New Roman" w:hAnsi="Times New Roman" w:eastAsia="宋体" w:cs="Times New Roman"/>
          <w:b/>
          <w:color w:val="auto"/>
          <w:spacing w:val="0"/>
          <w:highlight w:val="none"/>
        </w:rPr>
        <w:t>第二十四条 其他</w:t>
      </w:r>
      <w:bookmarkEnd w:id="294"/>
    </w:p>
    <w:p w14:paraId="387811BF">
      <w:pPr>
        <w:pStyle w:val="15"/>
        <w:keepNext w:val="0"/>
        <w:keepLines w:val="0"/>
        <w:pageBreakBefore w:val="0"/>
        <w:kinsoku/>
        <w:wordWrap/>
        <w:overflowPunct/>
        <w:topLinePunct w:val="0"/>
        <w:autoSpaceDE w:val="0"/>
        <w:autoSpaceDN w:val="0"/>
        <w:bidi w:val="0"/>
        <w:spacing w:beforeLines="0" w:line="360" w:lineRule="auto"/>
        <w:ind w:firstLine="480"/>
        <w:outlineLvl w:val="9"/>
        <w:rPr>
          <w:rFonts w:hint="default" w:ascii="Times New Roman" w:hAnsi="Times New Roman" w:eastAsia="宋体" w:cs="Times New Roman"/>
          <w:color w:val="auto"/>
          <w:spacing w:val="0"/>
          <w:highlight w:val="none"/>
        </w:rPr>
      </w:pPr>
      <w:r>
        <w:rPr>
          <w:rStyle w:val="49"/>
          <w:rFonts w:hint="default" w:ascii="Times New Roman" w:hAnsi="Times New Roman" w:eastAsia="宋体" w:cs="Times New Roman"/>
          <w:color w:val="auto"/>
          <w:spacing w:val="0"/>
          <w:kern w:val="0"/>
          <w:highlight w:val="none"/>
        </w:rPr>
        <w:t>24.1除本</w:t>
      </w:r>
      <w:r>
        <w:rPr>
          <w:rFonts w:hint="default" w:ascii="Times New Roman" w:hAnsi="Times New Roman" w:eastAsia="宋体" w:cs="Times New Roman"/>
          <w:color w:val="auto"/>
          <w:spacing w:val="0"/>
          <w:highlight w:val="none"/>
        </w:rPr>
        <w:t>合同另有约定之外，本合同约定的权利、补救和特权具有累积性，并不排除中国法令规定的任何权利、补救和特权。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14:paraId="6DA22FD4">
      <w:pPr>
        <w:pStyle w:val="15"/>
        <w:keepNext w:val="0"/>
        <w:keepLines w:val="0"/>
        <w:pageBreakBefore w:val="0"/>
        <w:kinsoku/>
        <w:wordWrap/>
        <w:overflowPunct/>
        <w:topLinePunct w:val="0"/>
        <w:autoSpaceDE w:val="0"/>
        <w:autoSpaceDN w:val="0"/>
        <w:bidi w:val="0"/>
        <w:spacing w:beforeLines="0" w:line="360" w:lineRule="auto"/>
        <w:ind w:firstLine="480"/>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24.</w:t>
      </w:r>
      <w:r>
        <w:rPr>
          <w:rStyle w:val="49"/>
          <w:rFonts w:hint="default" w:ascii="Times New Roman" w:hAnsi="Times New Roman" w:eastAsia="宋体" w:cs="Times New Roman"/>
          <w:color w:val="auto"/>
          <w:spacing w:val="0"/>
          <w:kern w:val="0"/>
          <w:highlight w:val="none"/>
        </w:rPr>
        <w:t>2双方确认，已详细阅读过本合同及附件，并同意本合同及附件为甲乙双方所有约定的全部记载，替代双方在此之前或执行本合同过程中所做的任何书面或口头的交流、声明或协议。如果由于任何原因使本合同下的任何条款或内容成为无效或被依法撤销，本合</w:t>
      </w:r>
      <w:r>
        <w:rPr>
          <w:rFonts w:hint="default" w:ascii="Times New Roman" w:hAnsi="Times New Roman" w:eastAsia="宋体" w:cs="Times New Roman"/>
          <w:color w:val="auto"/>
          <w:spacing w:val="0"/>
          <w:highlight w:val="none"/>
        </w:rPr>
        <w:t>同其他条款或内容的合法性、有效性和可执行性不受影响。</w:t>
      </w:r>
    </w:p>
    <w:p w14:paraId="686E7AF8">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highlight w:val="none"/>
        </w:rPr>
      </w:pPr>
      <w:r>
        <w:rPr>
          <w:rStyle w:val="49"/>
          <w:rFonts w:hint="default" w:ascii="Times New Roman" w:hAnsi="Times New Roman" w:eastAsia="宋体" w:cs="Times New Roman"/>
          <w:color w:val="auto"/>
          <w:spacing w:val="0"/>
          <w:kern w:val="0"/>
          <w:highlight w:val="none"/>
        </w:rPr>
        <w:t>24.3本</w:t>
      </w:r>
      <w:r>
        <w:rPr>
          <w:rFonts w:hint="default" w:ascii="Times New Roman" w:hAnsi="Times New Roman" w:eastAsia="宋体" w:cs="Times New Roman"/>
          <w:color w:val="auto"/>
          <w:spacing w:val="0"/>
          <w:highlight w:val="none"/>
        </w:rPr>
        <w:t>合同签订后，如需要就与合同执行有关的事项签订补充合同，应由双方加盖公章后，补充合同即生效。本合同附件为本合同的组成部分，本合同与附件如有冲突，以本合同为准。</w:t>
      </w:r>
    </w:p>
    <w:p w14:paraId="43CF57BE">
      <w:pPr>
        <w:keepNext w:val="0"/>
        <w:keepLines w:val="0"/>
        <w:pageBreakBefore w:val="0"/>
        <w:kinsoku/>
        <w:wordWrap/>
        <w:overflowPunct/>
        <w:topLinePunct w:val="0"/>
        <w:autoSpaceDE w:val="0"/>
        <w:autoSpaceDN w:val="0"/>
        <w:bidi w:val="0"/>
        <w:spacing w:line="360" w:lineRule="auto"/>
        <w:ind w:firstLine="480" w:firstLineChars="200"/>
        <w:outlineLvl w:val="9"/>
        <w:rPr>
          <w:rStyle w:val="49"/>
          <w:rFonts w:hint="default" w:ascii="Times New Roman" w:hAnsi="Times New Roman" w:eastAsia="宋体" w:cs="Times New Roman"/>
          <w:color w:val="auto"/>
          <w:spacing w:val="0"/>
          <w:kern w:val="0"/>
          <w:highlight w:val="none"/>
        </w:rPr>
      </w:pPr>
      <w:r>
        <w:rPr>
          <w:rStyle w:val="49"/>
          <w:rFonts w:hint="default" w:ascii="Times New Roman" w:hAnsi="Times New Roman" w:eastAsia="宋体" w:cs="Times New Roman"/>
          <w:color w:val="auto"/>
          <w:spacing w:val="0"/>
          <w:kern w:val="0"/>
          <w:highlight w:val="none"/>
        </w:rPr>
        <w:t>24.4本合同以中文版本为准，除非本合同明确规定或双方另有约定，为履行本合同的所有文件及信函均以中文书写。</w:t>
      </w:r>
    </w:p>
    <w:p w14:paraId="4C125BF4">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b/>
          <w:i/>
          <w:color w:val="auto"/>
          <w:spacing w:val="0"/>
          <w:highlight w:val="none"/>
        </w:rPr>
      </w:pPr>
      <w:r>
        <w:rPr>
          <w:rStyle w:val="49"/>
          <w:rFonts w:hint="default" w:ascii="Times New Roman" w:hAnsi="Times New Roman" w:eastAsia="宋体" w:cs="Times New Roman"/>
          <w:color w:val="auto"/>
          <w:spacing w:val="0"/>
          <w:kern w:val="0"/>
          <w:highlight w:val="none"/>
        </w:rPr>
        <w:t>24.5本合同一式肆份，甲方执贰份，乙方执贰份，每份具有同等法律</w:t>
      </w:r>
      <w:r>
        <w:rPr>
          <w:rFonts w:hint="default" w:ascii="Times New Roman" w:hAnsi="Times New Roman" w:eastAsia="宋体" w:cs="Times New Roman"/>
          <w:color w:val="auto"/>
          <w:spacing w:val="0"/>
          <w:highlight w:val="none"/>
        </w:rPr>
        <w:t>效力。</w:t>
      </w:r>
    </w:p>
    <w:p w14:paraId="736A4C72">
      <w:pPr>
        <w:keepNext w:val="0"/>
        <w:keepLines w:val="0"/>
        <w:pageBreakBefore w:val="0"/>
        <w:kinsoku/>
        <w:wordWrap/>
        <w:overflowPunct/>
        <w:topLinePunct w:val="0"/>
        <w:autoSpaceDE w:val="0"/>
        <w:autoSpaceDN w:val="0"/>
        <w:bidi w:val="0"/>
        <w:spacing w:line="360" w:lineRule="auto"/>
        <w:outlineLvl w:val="9"/>
        <w:rPr>
          <w:rFonts w:hint="default" w:ascii="Times New Roman" w:hAnsi="Times New Roman" w:eastAsia="宋体" w:cs="Times New Roman"/>
          <w:b/>
          <w:iCs/>
          <w:color w:val="auto"/>
          <w:spacing w:val="0"/>
          <w:highlight w:val="none"/>
        </w:rPr>
      </w:pPr>
      <w:r>
        <w:rPr>
          <w:rFonts w:hint="default" w:ascii="Times New Roman" w:hAnsi="Times New Roman" w:eastAsia="宋体" w:cs="Times New Roman"/>
          <w:b/>
          <w:iCs/>
          <w:color w:val="auto"/>
          <w:spacing w:val="0"/>
          <w:highlight w:val="none"/>
        </w:rPr>
        <w:t>（以下无正文）</w:t>
      </w:r>
    </w:p>
    <w:p w14:paraId="247637D4">
      <w:pPr>
        <w:keepNext w:val="0"/>
        <w:keepLines w:val="0"/>
        <w:pageBreakBefore w:val="0"/>
        <w:kinsoku/>
        <w:wordWrap/>
        <w:overflowPunct/>
        <w:topLinePunct w:val="0"/>
        <w:autoSpaceDE w:val="0"/>
        <w:autoSpaceDN w:val="0"/>
        <w:bidi w:val="0"/>
        <w:spacing w:line="360" w:lineRule="auto"/>
        <w:outlineLvl w:val="9"/>
        <w:rPr>
          <w:rFonts w:hint="default" w:ascii="Times New Roman" w:hAnsi="Times New Roman" w:eastAsia="宋体" w:cs="Times New Roman"/>
          <w:b/>
          <w:iCs/>
          <w:color w:val="auto"/>
          <w:spacing w:val="0"/>
          <w:highlight w:val="none"/>
        </w:rPr>
      </w:pPr>
    </w:p>
    <w:p w14:paraId="0687418F">
      <w:pPr>
        <w:keepNext w:val="0"/>
        <w:keepLines w:val="0"/>
        <w:pageBreakBefore w:val="0"/>
        <w:kinsoku/>
        <w:wordWrap/>
        <w:overflowPunct/>
        <w:topLinePunct w:val="0"/>
        <w:autoSpaceDE w:val="0"/>
        <w:autoSpaceDN w:val="0"/>
        <w:bidi w:val="0"/>
        <w:spacing w:line="360" w:lineRule="auto"/>
        <w:outlineLvl w:val="9"/>
        <w:rPr>
          <w:rFonts w:hint="default" w:ascii="Times New Roman" w:hAnsi="Times New Roman" w:eastAsia="宋体" w:cs="Times New Roman"/>
          <w:b/>
          <w:i/>
          <w:color w:val="auto"/>
          <w:spacing w:val="0"/>
          <w:highlight w:val="none"/>
        </w:rPr>
      </w:pPr>
    </w:p>
    <w:p w14:paraId="7AB4073E">
      <w:pPr>
        <w:keepNext w:val="0"/>
        <w:keepLines w:val="0"/>
        <w:pageBreakBefore w:val="0"/>
        <w:kinsoku/>
        <w:wordWrap/>
        <w:overflowPunct/>
        <w:topLinePunct w:val="0"/>
        <w:autoSpaceDE w:val="0"/>
        <w:autoSpaceDN w:val="0"/>
        <w:bidi w:val="0"/>
        <w:spacing w:line="360" w:lineRule="auto"/>
        <w:outlineLvl w:val="9"/>
        <w:rPr>
          <w:rFonts w:hint="default" w:ascii="Times New Roman" w:hAnsi="Times New Roman" w:eastAsia="宋体" w:cs="Times New Roman"/>
          <w:b/>
          <w:i/>
          <w:color w:val="auto"/>
          <w:spacing w:val="0"/>
          <w:highlight w:val="none"/>
        </w:rPr>
      </w:pPr>
    </w:p>
    <w:p w14:paraId="5D54AA51">
      <w:pPr>
        <w:keepNext w:val="0"/>
        <w:keepLines w:val="0"/>
        <w:pageBreakBefore w:val="0"/>
        <w:tabs>
          <w:tab w:val="left" w:pos="851"/>
        </w:tabs>
        <w:kinsoku/>
        <w:wordWrap/>
        <w:overflowPunct/>
        <w:topLinePunct w:val="0"/>
        <w:autoSpaceDE w:val="0"/>
        <w:autoSpaceDN w:val="0"/>
        <w:bidi w:val="0"/>
        <w:adjustRightInd w:val="0"/>
        <w:spacing w:line="360" w:lineRule="auto"/>
        <w:textAlignment w:val="baseline"/>
        <w:outlineLvl w:val="9"/>
        <w:rPr>
          <w:rFonts w:hint="default" w:ascii="Times New Roman" w:hAnsi="Times New Roman" w:eastAsia="宋体" w:cs="Times New Roman"/>
          <w:color w:val="auto"/>
          <w:spacing w:val="0"/>
          <w:kern w:val="0"/>
          <w:highlight w:val="none"/>
        </w:rPr>
      </w:pPr>
      <w:r>
        <w:rPr>
          <w:rFonts w:hint="default" w:ascii="Times New Roman" w:hAnsi="Times New Roman" w:eastAsia="宋体" w:cs="Times New Roman"/>
          <w:color w:val="auto"/>
          <w:spacing w:val="0"/>
          <w:kern w:val="0"/>
          <w:highlight w:val="none"/>
        </w:rPr>
        <w:t>甲方：</w:t>
      </w:r>
      <w:r>
        <w:rPr>
          <w:rFonts w:hint="default" w:ascii="Times New Roman" w:hAnsi="Times New Roman" w:eastAsia="宋体" w:cs="Times New Roman"/>
          <w:b/>
          <w:color w:val="auto"/>
          <w:spacing w:val="0"/>
          <w:highlight w:val="none"/>
        </w:rPr>
        <w:t>重庆三峡银行股份有限公司</w:t>
      </w:r>
      <w:r>
        <w:rPr>
          <w:rFonts w:hint="default" w:ascii="Times New Roman" w:hAnsi="Times New Roman" w:eastAsia="宋体" w:cs="Times New Roman"/>
          <w:color w:val="auto"/>
          <w:spacing w:val="0"/>
          <w:kern w:val="0"/>
          <w:highlight w:val="none"/>
        </w:rPr>
        <w:t>（公章）</w:t>
      </w:r>
    </w:p>
    <w:p w14:paraId="52819A15">
      <w:pPr>
        <w:keepNext w:val="0"/>
        <w:keepLines w:val="0"/>
        <w:pageBreakBefore w:val="0"/>
        <w:kinsoku/>
        <w:wordWrap/>
        <w:overflowPunct/>
        <w:topLinePunct w:val="0"/>
        <w:autoSpaceDE w:val="0"/>
        <w:autoSpaceDN w:val="0"/>
        <w:bidi w:val="0"/>
        <w:spacing w:line="360" w:lineRule="auto"/>
        <w:outlineLvl w:val="9"/>
        <w:rPr>
          <w:rFonts w:hint="default" w:ascii="Times New Roman" w:hAnsi="Times New Roman" w:eastAsia="宋体" w:cs="Times New Roman"/>
          <w:color w:val="auto"/>
          <w:spacing w:val="0"/>
          <w:highlight w:val="none"/>
        </w:rPr>
      </w:pPr>
    </w:p>
    <w:p w14:paraId="0E3008B1">
      <w:pPr>
        <w:keepNext w:val="0"/>
        <w:keepLines w:val="0"/>
        <w:pageBreakBefore w:val="0"/>
        <w:tabs>
          <w:tab w:val="left" w:pos="851"/>
        </w:tabs>
        <w:kinsoku/>
        <w:wordWrap/>
        <w:overflowPunct/>
        <w:topLinePunct w:val="0"/>
        <w:autoSpaceDE w:val="0"/>
        <w:autoSpaceDN w:val="0"/>
        <w:bidi w:val="0"/>
        <w:adjustRightInd w:val="0"/>
        <w:spacing w:line="360" w:lineRule="auto"/>
        <w:ind w:firstLine="720" w:firstLineChars="300"/>
        <w:textAlignment w:val="baseline"/>
        <w:outlineLvl w:val="9"/>
        <w:rPr>
          <w:rFonts w:hint="default" w:ascii="Times New Roman" w:hAnsi="Times New Roman" w:eastAsia="宋体" w:cs="Times New Roman"/>
          <w:color w:val="auto"/>
          <w:spacing w:val="0"/>
          <w:kern w:val="0"/>
          <w:highlight w:val="none"/>
        </w:rPr>
      </w:pPr>
    </w:p>
    <w:p w14:paraId="4BB10890">
      <w:pPr>
        <w:keepNext w:val="0"/>
        <w:keepLines w:val="0"/>
        <w:pageBreakBefore w:val="0"/>
        <w:kinsoku/>
        <w:wordWrap/>
        <w:overflowPunct/>
        <w:topLinePunct w:val="0"/>
        <w:autoSpaceDE w:val="0"/>
        <w:autoSpaceDN w:val="0"/>
        <w:bidi w:val="0"/>
        <w:spacing w:line="360" w:lineRule="auto"/>
        <w:outlineLvl w:val="9"/>
        <w:rPr>
          <w:rFonts w:hint="default" w:ascii="Times New Roman" w:hAnsi="Times New Roman" w:eastAsia="宋体" w:cs="Times New Roman"/>
          <w:color w:val="auto"/>
          <w:spacing w:val="0"/>
          <w:highlight w:val="none"/>
        </w:rPr>
      </w:pPr>
    </w:p>
    <w:p w14:paraId="3CE1AC92">
      <w:pPr>
        <w:keepNext w:val="0"/>
        <w:keepLines w:val="0"/>
        <w:pageBreakBefore w:val="0"/>
        <w:kinsoku/>
        <w:wordWrap/>
        <w:overflowPunct/>
        <w:topLinePunct w:val="0"/>
        <w:autoSpaceDE w:val="0"/>
        <w:autoSpaceDN w:val="0"/>
        <w:bidi w:val="0"/>
        <w:spacing w:line="360" w:lineRule="auto"/>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乙方：</w:t>
      </w:r>
      <w:r>
        <w:rPr>
          <w:rFonts w:hint="default" w:ascii="Times New Roman" w:hAnsi="Times New Roman" w:eastAsia="宋体" w:cs="Times New Roman"/>
          <w:b/>
          <w:color w:val="auto"/>
          <w:spacing w:val="0"/>
          <w:highlight w:val="none"/>
        </w:rPr>
        <w:t>XXXXXXXXXXXXXXXX公司</w:t>
      </w:r>
      <w:r>
        <w:rPr>
          <w:rFonts w:hint="default" w:ascii="Times New Roman" w:hAnsi="Times New Roman" w:eastAsia="宋体" w:cs="Times New Roman"/>
          <w:color w:val="auto"/>
          <w:spacing w:val="0"/>
          <w:highlight w:val="none"/>
        </w:rPr>
        <w:t>（公章）</w:t>
      </w:r>
    </w:p>
    <w:p w14:paraId="1AF9290B">
      <w:pPr>
        <w:keepNext w:val="0"/>
        <w:keepLines w:val="0"/>
        <w:pageBreakBefore w:val="0"/>
        <w:kinsoku/>
        <w:wordWrap/>
        <w:overflowPunct/>
        <w:topLinePunct w:val="0"/>
        <w:autoSpaceDE w:val="0"/>
        <w:autoSpaceDN w:val="0"/>
        <w:bidi w:val="0"/>
        <w:spacing w:line="360" w:lineRule="auto"/>
        <w:outlineLvl w:val="9"/>
        <w:rPr>
          <w:rFonts w:hint="default" w:ascii="Times New Roman" w:hAnsi="Times New Roman" w:eastAsia="宋体" w:cs="Times New Roman"/>
          <w:color w:val="auto"/>
          <w:spacing w:val="0"/>
          <w:highlight w:val="none"/>
        </w:rPr>
      </w:pPr>
    </w:p>
    <w:p w14:paraId="2BAF3DC3">
      <w:pPr>
        <w:keepNext w:val="0"/>
        <w:keepLines w:val="0"/>
        <w:pageBreakBefore w:val="0"/>
        <w:kinsoku/>
        <w:wordWrap/>
        <w:overflowPunct/>
        <w:topLinePunct w:val="0"/>
        <w:autoSpaceDE w:val="0"/>
        <w:autoSpaceDN w:val="0"/>
        <w:bidi w:val="0"/>
        <w:spacing w:line="360" w:lineRule="auto"/>
        <w:ind w:firstLine="5280" w:firstLineChars="2200"/>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日期：  年  月  日</w:t>
      </w:r>
    </w:p>
    <w:p w14:paraId="730F5204">
      <w:pPr>
        <w:keepNext w:val="0"/>
        <w:keepLines w:val="0"/>
        <w:pageBreakBefore w:val="0"/>
        <w:kinsoku/>
        <w:wordWrap/>
        <w:overflowPunct/>
        <w:topLinePunct w:val="0"/>
        <w:autoSpaceDE w:val="0"/>
        <w:autoSpaceDN w:val="0"/>
        <w:bidi w:val="0"/>
        <w:spacing w:before="0" w:after="0"/>
        <w:outlineLvl w:val="9"/>
        <w:rPr>
          <w:rStyle w:val="49"/>
          <w:rFonts w:hint="default" w:ascii="Times New Roman" w:hAnsi="Times New Roman" w:eastAsia="宋体" w:cs="Times New Roman"/>
          <w:color w:val="auto"/>
          <w:spacing w:val="0"/>
          <w:kern w:val="0"/>
          <w:sz w:val="30"/>
          <w:highlight w:val="none"/>
        </w:rPr>
      </w:pPr>
      <w:r>
        <w:rPr>
          <w:rFonts w:hint="default" w:ascii="Times New Roman" w:hAnsi="Times New Roman" w:cs="Times New Roman"/>
          <w:color w:val="auto"/>
          <w:spacing w:val="0"/>
          <w:highlight w:val="none"/>
        </w:rPr>
        <w:br w:type="page"/>
      </w:r>
      <w:bookmarkStart w:id="295" w:name="_Toc84948049"/>
      <w:bookmarkStart w:id="296" w:name="_Toc63757481"/>
      <w:r>
        <w:rPr>
          <w:rStyle w:val="49"/>
          <w:rFonts w:hint="default" w:ascii="Times New Roman" w:hAnsi="Times New Roman" w:eastAsia="宋体" w:cs="Times New Roman"/>
          <w:color w:val="auto"/>
          <w:spacing w:val="0"/>
          <w:kern w:val="0"/>
          <w:sz w:val="30"/>
          <w:highlight w:val="none"/>
        </w:rPr>
        <w:t>附件一：工作（需求）说明书</w:t>
      </w:r>
      <w:bookmarkEnd w:id="295"/>
      <w:bookmarkEnd w:id="296"/>
    </w:p>
    <w:p w14:paraId="5D788AEE">
      <w:pPr>
        <w:keepNext w:val="0"/>
        <w:keepLines w:val="0"/>
        <w:pageBreakBefore w:val="0"/>
        <w:kinsoku/>
        <w:wordWrap/>
        <w:overflowPunct/>
        <w:topLinePunct w:val="0"/>
        <w:autoSpaceDE w:val="0"/>
        <w:autoSpaceDN w:val="0"/>
        <w:bidi w:val="0"/>
        <w:spacing w:line="360" w:lineRule="auto"/>
        <w:ind w:firstLine="600" w:firstLineChars="200"/>
        <w:outlineLvl w:val="9"/>
        <w:rPr>
          <w:rStyle w:val="49"/>
          <w:rFonts w:hint="default" w:ascii="Times New Roman" w:hAnsi="Times New Roman" w:eastAsia="宋体" w:cs="Times New Roman"/>
          <w:color w:val="auto"/>
          <w:spacing w:val="0"/>
          <w:kern w:val="0"/>
          <w:sz w:val="30"/>
          <w:highlight w:val="none"/>
        </w:rPr>
      </w:pPr>
      <w:bookmarkStart w:id="297" w:name="_Toc84948050"/>
      <w:bookmarkStart w:id="298" w:name="_Toc63757482"/>
    </w:p>
    <w:p w14:paraId="60E368CE">
      <w:pPr>
        <w:keepNext w:val="0"/>
        <w:keepLines w:val="0"/>
        <w:pageBreakBefore w:val="0"/>
        <w:kinsoku/>
        <w:wordWrap/>
        <w:overflowPunct/>
        <w:topLinePunct w:val="0"/>
        <w:autoSpaceDE w:val="0"/>
        <w:autoSpaceDN w:val="0"/>
        <w:bidi w:val="0"/>
        <w:spacing w:before="0" w:after="0"/>
        <w:outlineLvl w:val="9"/>
        <w:rPr>
          <w:rStyle w:val="49"/>
          <w:rFonts w:hint="default" w:ascii="Times New Roman" w:hAnsi="Times New Roman" w:eastAsia="宋体" w:cs="Times New Roman"/>
          <w:color w:val="auto"/>
          <w:spacing w:val="0"/>
          <w:kern w:val="0"/>
          <w:sz w:val="30"/>
          <w:highlight w:val="none"/>
        </w:rPr>
      </w:pPr>
      <w:r>
        <w:rPr>
          <w:rStyle w:val="49"/>
          <w:rFonts w:hint="default" w:ascii="Times New Roman" w:hAnsi="Times New Roman" w:eastAsia="宋体" w:cs="Times New Roman"/>
          <w:color w:val="auto"/>
          <w:spacing w:val="0"/>
          <w:kern w:val="0"/>
          <w:sz w:val="30"/>
          <w:highlight w:val="none"/>
        </w:rPr>
        <w:br w:type="page"/>
      </w:r>
      <w:r>
        <w:rPr>
          <w:rStyle w:val="49"/>
          <w:rFonts w:hint="default" w:ascii="Times New Roman" w:hAnsi="Times New Roman" w:eastAsia="宋体" w:cs="Times New Roman"/>
          <w:color w:val="auto"/>
          <w:spacing w:val="0"/>
          <w:kern w:val="0"/>
          <w:sz w:val="30"/>
          <w:highlight w:val="none"/>
        </w:rPr>
        <w:t>附件二：项目人员名单及人员应急退出机制</w:t>
      </w:r>
      <w:bookmarkEnd w:id="297"/>
      <w:bookmarkEnd w:id="298"/>
    </w:p>
    <w:p w14:paraId="4EC61FE7">
      <w:pPr>
        <w:keepNext w:val="0"/>
        <w:keepLines w:val="0"/>
        <w:pageBreakBefore w:val="0"/>
        <w:kinsoku/>
        <w:wordWrap/>
        <w:overflowPunct/>
        <w:topLinePunct w:val="0"/>
        <w:autoSpaceDE w:val="0"/>
        <w:autoSpaceDN w:val="0"/>
        <w:bidi w:val="0"/>
        <w:spacing w:line="360" w:lineRule="auto"/>
        <w:outlineLvl w:val="9"/>
        <w:rPr>
          <w:rStyle w:val="49"/>
          <w:rFonts w:hint="default" w:ascii="Times New Roman" w:hAnsi="Times New Roman" w:eastAsia="宋体" w:cs="Times New Roman"/>
          <w:color w:val="auto"/>
          <w:spacing w:val="0"/>
          <w:kern w:val="0"/>
          <w:highlight w:val="none"/>
        </w:rPr>
      </w:pPr>
    </w:p>
    <w:p w14:paraId="5E1D1DA0">
      <w:pPr>
        <w:keepNext w:val="0"/>
        <w:keepLines w:val="0"/>
        <w:pageBreakBefore w:val="0"/>
        <w:kinsoku/>
        <w:wordWrap/>
        <w:overflowPunct/>
        <w:topLinePunct w:val="0"/>
        <w:autoSpaceDE w:val="0"/>
        <w:autoSpaceDN w:val="0"/>
        <w:bidi w:val="0"/>
        <w:spacing w:line="360" w:lineRule="auto"/>
        <w:ind w:firstLine="482" w:firstLineChars="200"/>
        <w:outlineLvl w:val="9"/>
        <w:rPr>
          <w:rStyle w:val="49"/>
          <w:rFonts w:hint="default" w:ascii="Times New Roman" w:hAnsi="Times New Roman" w:eastAsia="宋体" w:cs="Times New Roman"/>
          <w:b/>
          <w:color w:val="auto"/>
          <w:spacing w:val="0"/>
          <w:kern w:val="0"/>
          <w:highlight w:val="none"/>
        </w:rPr>
      </w:pPr>
      <w:r>
        <w:rPr>
          <w:rStyle w:val="49"/>
          <w:rFonts w:hint="default" w:ascii="Times New Roman" w:hAnsi="Times New Roman" w:eastAsia="宋体" w:cs="Times New Roman"/>
          <w:b/>
          <w:color w:val="auto"/>
          <w:spacing w:val="0"/>
          <w:kern w:val="0"/>
          <w:highlight w:val="none"/>
        </w:rPr>
        <w:t>一、项目人员名单</w:t>
      </w:r>
    </w:p>
    <w:p w14:paraId="70B15709">
      <w:pPr>
        <w:keepNext w:val="0"/>
        <w:keepLines w:val="0"/>
        <w:pageBreakBefore w:val="0"/>
        <w:kinsoku/>
        <w:wordWrap/>
        <w:overflowPunct/>
        <w:topLinePunct w:val="0"/>
        <w:autoSpaceDE w:val="0"/>
        <w:autoSpaceDN w:val="0"/>
        <w:bidi w:val="0"/>
        <w:spacing w:line="360" w:lineRule="auto"/>
        <w:ind w:firstLine="480" w:firstLineChars="200"/>
        <w:outlineLvl w:val="9"/>
        <w:rPr>
          <w:rStyle w:val="49"/>
          <w:rFonts w:hint="default" w:ascii="Times New Roman" w:hAnsi="Times New Roman" w:eastAsia="宋体" w:cs="Times New Roman"/>
          <w:color w:val="auto"/>
          <w:spacing w:val="0"/>
          <w:kern w:val="0"/>
          <w:highlight w:val="none"/>
        </w:rPr>
      </w:pPr>
      <w:r>
        <w:rPr>
          <w:rStyle w:val="49"/>
          <w:rFonts w:hint="default" w:ascii="Times New Roman" w:hAnsi="Times New Roman" w:eastAsia="宋体" w:cs="Times New Roman"/>
          <w:color w:val="auto"/>
          <w:spacing w:val="0"/>
          <w:kern w:val="0"/>
          <w:highlight w:val="none"/>
        </w:rPr>
        <w:t xml:space="preserve">项目经理： </w:t>
      </w:r>
    </w:p>
    <w:p w14:paraId="54A8CA6C">
      <w:pPr>
        <w:keepNext w:val="0"/>
        <w:keepLines w:val="0"/>
        <w:pageBreakBefore w:val="0"/>
        <w:kinsoku/>
        <w:wordWrap/>
        <w:overflowPunct/>
        <w:topLinePunct w:val="0"/>
        <w:autoSpaceDE w:val="0"/>
        <w:autoSpaceDN w:val="0"/>
        <w:bidi w:val="0"/>
        <w:spacing w:line="360" w:lineRule="auto"/>
        <w:ind w:firstLine="480" w:firstLineChars="200"/>
        <w:outlineLvl w:val="9"/>
        <w:rPr>
          <w:rStyle w:val="49"/>
          <w:rFonts w:hint="default" w:ascii="Times New Roman" w:hAnsi="Times New Roman" w:eastAsia="宋体" w:cs="Times New Roman"/>
          <w:color w:val="auto"/>
          <w:spacing w:val="0"/>
          <w:kern w:val="0"/>
          <w:highlight w:val="none"/>
        </w:rPr>
      </w:pPr>
      <w:r>
        <w:rPr>
          <w:rStyle w:val="49"/>
          <w:rFonts w:hint="default" w:ascii="Times New Roman" w:hAnsi="Times New Roman" w:eastAsia="宋体" w:cs="Times New Roman"/>
          <w:color w:val="auto"/>
          <w:spacing w:val="0"/>
          <w:kern w:val="0"/>
          <w:highlight w:val="none"/>
        </w:rPr>
        <w:t>技术骨干：</w:t>
      </w:r>
    </w:p>
    <w:p w14:paraId="69D61D9C">
      <w:pPr>
        <w:keepNext w:val="0"/>
        <w:keepLines w:val="0"/>
        <w:pageBreakBefore w:val="0"/>
        <w:kinsoku/>
        <w:wordWrap/>
        <w:overflowPunct/>
        <w:topLinePunct w:val="0"/>
        <w:autoSpaceDE w:val="0"/>
        <w:autoSpaceDN w:val="0"/>
        <w:bidi w:val="0"/>
        <w:spacing w:line="360" w:lineRule="auto"/>
        <w:ind w:firstLine="480" w:firstLineChars="200"/>
        <w:outlineLvl w:val="9"/>
        <w:rPr>
          <w:rStyle w:val="49"/>
          <w:rFonts w:hint="default" w:ascii="Times New Roman" w:hAnsi="Times New Roman" w:eastAsia="宋体" w:cs="Times New Roman"/>
          <w:color w:val="auto"/>
          <w:spacing w:val="0"/>
          <w:kern w:val="0"/>
          <w:highlight w:val="none"/>
        </w:rPr>
      </w:pPr>
      <w:r>
        <w:rPr>
          <w:rStyle w:val="49"/>
          <w:rFonts w:hint="default" w:ascii="Times New Roman" w:hAnsi="Times New Roman" w:eastAsia="宋体" w:cs="Times New Roman"/>
          <w:color w:val="auto"/>
          <w:spacing w:val="0"/>
          <w:kern w:val="0"/>
          <w:highlight w:val="none"/>
        </w:rPr>
        <w:t xml:space="preserve">项目组成员： </w:t>
      </w:r>
    </w:p>
    <w:p w14:paraId="069EF89B">
      <w:pPr>
        <w:keepNext w:val="0"/>
        <w:keepLines w:val="0"/>
        <w:pageBreakBefore w:val="0"/>
        <w:kinsoku/>
        <w:wordWrap/>
        <w:overflowPunct/>
        <w:topLinePunct w:val="0"/>
        <w:autoSpaceDE w:val="0"/>
        <w:autoSpaceDN w:val="0"/>
        <w:bidi w:val="0"/>
        <w:spacing w:line="360" w:lineRule="auto"/>
        <w:ind w:firstLine="480" w:firstLineChars="200"/>
        <w:outlineLvl w:val="9"/>
        <w:rPr>
          <w:rStyle w:val="49"/>
          <w:rFonts w:hint="default" w:ascii="Times New Roman" w:hAnsi="Times New Roman" w:eastAsia="宋体" w:cs="Times New Roman"/>
          <w:color w:val="auto"/>
          <w:spacing w:val="0"/>
          <w:kern w:val="0"/>
          <w:highlight w:val="none"/>
        </w:rPr>
      </w:pPr>
    </w:p>
    <w:p w14:paraId="3504258B">
      <w:pPr>
        <w:keepNext w:val="0"/>
        <w:keepLines w:val="0"/>
        <w:pageBreakBefore w:val="0"/>
        <w:kinsoku/>
        <w:wordWrap/>
        <w:overflowPunct/>
        <w:topLinePunct w:val="0"/>
        <w:autoSpaceDE w:val="0"/>
        <w:autoSpaceDN w:val="0"/>
        <w:bidi w:val="0"/>
        <w:spacing w:line="360" w:lineRule="auto"/>
        <w:ind w:firstLine="482" w:firstLineChars="200"/>
        <w:outlineLvl w:val="9"/>
        <w:rPr>
          <w:rStyle w:val="49"/>
          <w:rFonts w:hint="default" w:ascii="Times New Roman" w:hAnsi="Times New Roman" w:eastAsia="宋体" w:cs="Times New Roman"/>
          <w:b/>
          <w:color w:val="auto"/>
          <w:spacing w:val="0"/>
          <w:kern w:val="0"/>
          <w:highlight w:val="none"/>
        </w:rPr>
      </w:pPr>
      <w:r>
        <w:rPr>
          <w:rStyle w:val="49"/>
          <w:rFonts w:hint="default" w:ascii="Times New Roman" w:hAnsi="Times New Roman" w:eastAsia="宋体" w:cs="Times New Roman"/>
          <w:b/>
          <w:color w:val="auto"/>
          <w:spacing w:val="0"/>
          <w:kern w:val="0"/>
          <w:highlight w:val="none"/>
        </w:rPr>
        <w:t>二、人员应急退出机制</w:t>
      </w:r>
    </w:p>
    <w:p w14:paraId="007F047E">
      <w:pPr>
        <w:keepNext w:val="0"/>
        <w:keepLines w:val="0"/>
        <w:pageBreakBefore w:val="0"/>
        <w:kinsoku/>
        <w:wordWrap/>
        <w:overflowPunct/>
        <w:topLinePunct w:val="0"/>
        <w:autoSpaceDE w:val="0"/>
        <w:autoSpaceDN w:val="0"/>
        <w:bidi w:val="0"/>
        <w:spacing w:line="360" w:lineRule="auto"/>
        <w:ind w:firstLine="480" w:firstLineChars="200"/>
        <w:outlineLvl w:val="9"/>
        <w:rPr>
          <w:rStyle w:val="49"/>
          <w:rFonts w:hint="default" w:ascii="Times New Roman" w:hAnsi="Times New Roman" w:eastAsia="宋体" w:cs="Times New Roman"/>
          <w:color w:val="auto"/>
          <w:spacing w:val="0"/>
          <w:kern w:val="0"/>
          <w:highlight w:val="none"/>
        </w:rPr>
      </w:pPr>
      <w:r>
        <w:rPr>
          <w:rStyle w:val="49"/>
          <w:rFonts w:hint="default" w:ascii="Times New Roman" w:hAnsi="Times New Roman" w:eastAsia="宋体" w:cs="Times New Roman"/>
          <w:color w:val="auto"/>
          <w:spacing w:val="0"/>
          <w:kern w:val="0"/>
          <w:highlight w:val="none"/>
        </w:rPr>
        <w:t>在项目实施过程中，若项目经理、技术骨干、项目组成员因工作调动、辞职等原因要离开项目组，乙方应提前一个月向甲方提出申请，经甲方同意可以更换，乙方应委派本附件约定的备用项目经理、备用技术骨干替代，涉及人员变动引起的风险、责任由乙方承担，且乙方不能因此而中断对甲方的服务，并及时启用备用人员，确保项目实施的连续性，离开人员需与备用人员办理好工作交接手续。</w:t>
      </w:r>
    </w:p>
    <w:p w14:paraId="43011800">
      <w:pPr>
        <w:keepNext w:val="0"/>
        <w:keepLines w:val="0"/>
        <w:pageBreakBefore w:val="0"/>
        <w:kinsoku/>
        <w:wordWrap/>
        <w:overflowPunct/>
        <w:topLinePunct w:val="0"/>
        <w:autoSpaceDE w:val="0"/>
        <w:autoSpaceDN w:val="0"/>
        <w:bidi w:val="0"/>
        <w:spacing w:line="360" w:lineRule="auto"/>
        <w:ind w:firstLine="465"/>
        <w:outlineLvl w:val="9"/>
        <w:rPr>
          <w:rStyle w:val="49"/>
          <w:rFonts w:hint="default" w:ascii="Times New Roman" w:hAnsi="Times New Roman" w:eastAsia="宋体" w:cs="Times New Roman"/>
          <w:color w:val="auto"/>
          <w:spacing w:val="0"/>
          <w:kern w:val="0"/>
          <w:highlight w:val="none"/>
        </w:rPr>
      </w:pPr>
      <w:r>
        <w:rPr>
          <w:rStyle w:val="49"/>
          <w:rFonts w:hint="default" w:ascii="Times New Roman" w:hAnsi="Times New Roman" w:eastAsia="宋体" w:cs="Times New Roman"/>
          <w:color w:val="auto"/>
          <w:spacing w:val="0"/>
          <w:kern w:val="0"/>
          <w:highlight w:val="none"/>
        </w:rPr>
        <w:t>备用项目经理：</w:t>
      </w:r>
    </w:p>
    <w:p w14:paraId="2EB0660E">
      <w:pPr>
        <w:keepNext w:val="0"/>
        <w:keepLines w:val="0"/>
        <w:pageBreakBefore w:val="0"/>
        <w:kinsoku/>
        <w:wordWrap/>
        <w:overflowPunct/>
        <w:topLinePunct w:val="0"/>
        <w:autoSpaceDE w:val="0"/>
        <w:autoSpaceDN w:val="0"/>
        <w:bidi w:val="0"/>
        <w:spacing w:line="360" w:lineRule="auto"/>
        <w:ind w:firstLine="465"/>
        <w:outlineLvl w:val="9"/>
        <w:rPr>
          <w:rStyle w:val="49"/>
          <w:rFonts w:hint="default" w:ascii="Times New Roman" w:hAnsi="Times New Roman" w:eastAsia="宋体" w:cs="Times New Roman"/>
          <w:color w:val="auto"/>
          <w:spacing w:val="0"/>
          <w:kern w:val="0"/>
          <w:highlight w:val="none"/>
        </w:rPr>
      </w:pPr>
      <w:r>
        <w:rPr>
          <w:rStyle w:val="49"/>
          <w:rFonts w:hint="default" w:ascii="Times New Roman" w:hAnsi="Times New Roman" w:eastAsia="宋体" w:cs="Times New Roman"/>
          <w:color w:val="auto"/>
          <w:spacing w:val="0"/>
          <w:kern w:val="0"/>
          <w:highlight w:val="none"/>
        </w:rPr>
        <w:t>备用技术骨干：</w:t>
      </w:r>
    </w:p>
    <w:p w14:paraId="4DFC2C4E">
      <w:pPr>
        <w:keepNext w:val="0"/>
        <w:keepLines w:val="0"/>
        <w:pageBreakBefore w:val="0"/>
        <w:kinsoku/>
        <w:wordWrap/>
        <w:overflowPunct/>
        <w:topLinePunct w:val="0"/>
        <w:autoSpaceDE w:val="0"/>
        <w:autoSpaceDN w:val="0"/>
        <w:bidi w:val="0"/>
        <w:spacing w:before="0" w:after="0"/>
        <w:outlineLvl w:val="9"/>
        <w:rPr>
          <w:rStyle w:val="49"/>
          <w:rFonts w:hint="default" w:ascii="Times New Roman" w:hAnsi="Times New Roman" w:eastAsia="宋体" w:cs="Times New Roman"/>
          <w:color w:val="auto"/>
          <w:spacing w:val="0"/>
          <w:kern w:val="0"/>
          <w:sz w:val="30"/>
          <w:highlight w:val="none"/>
        </w:rPr>
      </w:pPr>
      <w:r>
        <w:rPr>
          <w:rStyle w:val="49"/>
          <w:rFonts w:hint="default" w:ascii="Times New Roman" w:hAnsi="Times New Roman" w:eastAsia="宋体" w:cs="Times New Roman"/>
          <w:b w:val="0"/>
          <w:color w:val="auto"/>
          <w:spacing w:val="0"/>
          <w:kern w:val="0"/>
          <w:sz w:val="30"/>
          <w:highlight w:val="none"/>
        </w:rPr>
        <w:br w:type="page"/>
      </w:r>
      <w:bookmarkStart w:id="299" w:name="_Toc63757483"/>
      <w:bookmarkStart w:id="300" w:name="_Toc84948051"/>
      <w:r>
        <w:rPr>
          <w:rStyle w:val="49"/>
          <w:rFonts w:hint="default" w:ascii="Times New Roman" w:hAnsi="Times New Roman" w:eastAsia="宋体" w:cs="Times New Roman"/>
          <w:color w:val="auto"/>
          <w:spacing w:val="0"/>
          <w:kern w:val="0"/>
          <w:sz w:val="30"/>
          <w:highlight w:val="none"/>
        </w:rPr>
        <w:t>附件三：验收标准及流程</w:t>
      </w:r>
      <w:bookmarkEnd w:id="299"/>
      <w:bookmarkEnd w:id="300"/>
    </w:p>
    <w:p w14:paraId="0AE23AD0">
      <w:pPr>
        <w:keepNext w:val="0"/>
        <w:keepLines w:val="0"/>
        <w:pageBreakBefore w:val="0"/>
        <w:kinsoku/>
        <w:wordWrap/>
        <w:overflowPunct/>
        <w:topLinePunct w:val="0"/>
        <w:autoSpaceDE w:val="0"/>
        <w:autoSpaceDN w:val="0"/>
        <w:bidi w:val="0"/>
        <w:spacing w:line="360" w:lineRule="auto"/>
        <w:ind w:firstLine="482" w:firstLineChars="200"/>
        <w:outlineLvl w:val="9"/>
        <w:rPr>
          <w:rStyle w:val="49"/>
          <w:rFonts w:hint="default" w:ascii="Times New Roman" w:hAnsi="Times New Roman" w:eastAsia="宋体" w:cs="Times New Roman"/>
          <w:color w:val="auto"/>
          <w:spacing w:val="0"/>
          <w:kern w:val="0"/>
          <w:highlight w:val="none"/>
        </w:rPr>
      </w:pPr>
      <w:r>
        <w:rPr>
          <w:rStyle w:val="49"/>
          <w:rFonts w:hint="default" w:ascii="Times New Roman" w:hAnsi="Times New Roman" w:eastAsia="宋体" w:cs="Times New Roman"/>
          <w:b/>
          <w:color w:val="auto"/>
          <w:spacing w:val="0"/>
          <w:kern w:val="0"/>
          <w:highlight w:val="none"/>
        </w:rPr>
        <w:t>一、验收标准</w:t>
      </w:r>
    </w:p>
    <w:p w14:paraId="55781A9C">
      <w:pPr>
        <w:keepNext w:val="0"/>
        <w:keepLines w:val="0"/>
        <w:pageBreakBefore w:val="0"/>
        <w:kinsoku/>
        <w:wordWrap/>
        <w:overflowPunct/>
        <w:topLinePunct w:val="0"/>
        <w:autoSpaceDE w:val="0"/>
        <w:autoSpaceDN w:val="0"/>
        <w:bidi w:val="0"/>
        <w:spacing w:line="360" w:lineRule="auto"/>
        <w:ind w:firstLine="360" w:firstLineChars="150"/>
        <w:outlineLvl w:val="9"/>
        <w:rPr>
          <w:rStyle w:val="49"/>
          <w:rFonts w:hint="default" w:ascii="Times New Roman" w:hAnsi="Times New Roman" w:eastAsia="宋体" w:cs="Times New Roman"/>
          <w:color w:val="auto"/>
          <w:spacing w:val="0"/>
          <w:kern w:val="0"/>
          <w:highlight w:val="none"/>
        </w:rPr>
      </w:pPr>
      <w:r>
        <w:rPr>
          <w:rStyle w:val="49"/>
          <w:rFonts w:hint="eastAsia" w:ascii="Times New Roman" w:hAnsi="Times New Roman" w:cs="Times New Roman"/>
          <w:color w:val="auto"/>
          <w:spacing w:val="0"/>
          <w:kern w:val="0"/>
          <w:highlight w:val="none"/>
          <w:lang w:val="en-US" w:eastAsia="zh-CN"/>
        </w:rPr>
        <w:t>1、</w:t>
      </w:r>
      <w:r>
        <w:rPr>
          <w:rStyle w:val="49"/>
          <w:rFonts w:hint="default" w:ascii="Times New Roman" w:hAnsi="Times New Roman" w:eastAsia="宋体" w:cs="Times New Roman"/>
          <w:color w:val="auto"/>
          <w:spacing w:val="0"/>
          <w:kern w:val="0"/>
          <w:highlight w:val="none"/>
        </w:rPr>
        <w:t>验收系统须满足试运行期内项目产品运行稳定、无遗留问题。</w:t>
      </w:r>
    </w:p>
    <w:p w14:paraId="0E7D40B6">
      <w:pPr>
        <w:keepNext w:val="0"/>
        <w:keepLines w:val="0"/>
        <w:pageBreakBefore w:val="0"/>
        <w:kinsoku/>
        <w:wordWrap/>
        <w:overflowPunct/>
        <w:topLinePunct w:val="0"/>
        <w:autoSpaceDE w:val="0"/>
        <w:autoSpaceDN w:val="0"/>
        <w:bidi w:val="0"/>
        <w:spacing w:line="360" w:lineRule="auto"/>
        <w:ind w:firstLine="360" w:firstLineChars="150"/>
        <w:outlineLvl w:val="9"/>
        <w:rPr>
          <w:rStyle w:val="49"/>
          <w:rFonts w:hint="default" w:ascii="Times New Roman" w:hAnsi="Times New Roman" w:eastAsia="宋体" w:cs="Times New Roman"/>
          <w:color w:val="auto"/>
          <w:spacing w:val="0"/>
          <w:kern w:val="0"/>
          <w:highlight w:val="none"/>
        </w:rPr>
      </w:pPr>
      <w:r>
        <w:rPr>
          <w:rStyle w:val="49"/>
          <w:rFonts w:hint="eastAsia" w:ascii="Times New Roman" w:hAnsi="Times New Roman" w:cs="Times New Roman"/>
          <w:color w:val="auto"/>
          <w:spacing w:val="0"/>
          <w:kern w:val="0"/>
          <w:highlight w:val="none"/>
          <w:lang w:val="en-US" w:eastAsia="zh-CN"/>
        </w:rPr>
        <w:t>2、</w:t>
      </w:r>
      <w:r>
        <w:rPr>
          <w:rStyle w:val="49"/>
          <w:rFonts w:hint="default" w:ascii="Times New Roman" w:hAnsi="Times New Roman" w:eastAsia="宋体" w:cs="Times New Roman"/>
          <w:color w:val="auto"/>
          <w:spacing w:val="0"/>
          <w:kern w:val="0"/>
          <w:highlight w:val="none"/>
        </w:rPr>
        <w:t>项目知识及文档已全部完成转移。</w:t>
      </w:r>
    </w:p>
    <w:p w14:paraId="40465673">
      <w:pPr>
        <w:keepNext w:val="0"/>
        <w:keepLines w:val="0"/>
        <w:pageBreakBefore w:val="0"/>
        <w:kinsoku/>
        <w:wordWrap/>
        <w:overflowPunct/>
        <w:topLinePunct w:val="0"/>
        <w:autoSpaceDE w:val="0"/>
        <w:autoSpaceDN w:val="0"/>
        <w:bidi w:val="0"/>
        <w:spacing w:line="360" w:lineRule="auto"/>
        <w:ind w:firstLine="360" w:firstLineChars="150"/>
        <w:outlineLvl w:val="9"/>
        <w:rPr>
          <w:rStyle w:val="49"/>
          <w:rFonts w:hint="default" w:ascii="Times New Roman" w:hAnsi="Times New Roman" w:eastAsia="宋体" w:cs="Times New Roman"/>
          <w:color w:val="auto"/>
          <w:spacing w:val="0"/>
          <w:kern w:val="0"/>
          <w:highlight w:val="none"/>
        </w:rPr>
      </w:pPr>
      <w:r>
        <w:rPr>
          <w:rStyle w:val="49"/>
          <w:rFonts w:hint="default" w:ascii="Times New Roman" w:hAnsi="Times New Roman" w:eastAsia="宋体" w:cs="Times New Roman"/>
          <w:color w:val="auto"/>
          <w:spacing w:val="0"/>
          <w:kern w:val="0"/>
          <w:highlight w:val="none"/>
        </w:rPr>
        <w:t>3、验收交付物包括：</w:t>
      </w:r>
    </w:p>
    <w:p w14:paraId="3D9BCA67">
      <w:pPr>
        <w:keepNext w:val="0"/>
        <w:keepLines w:val="0"/>
        <w:pageBreakBefore w:val="0"/>
        <w:kinsoku/>
        <w:wordWrap/>
        <w:overflowPunct/>
        <w:topLinePunct w:val="0"/>
        <w:autoSpaceDE w:val="0"/>
        <w:autoSpaceDN w:val="0"/>
        <w:bidi w:val="0"/>
        <w:spacing w:line="360" w:lineRule="auto"/>
        <w:outlineLvl w:val="9"/>
        <w:rPr>
          <w:rStyle w:val="49"/>
          <w:rFonts w:hint="default" w:ascii="Times New Roman" w:hAnsi="Times New Roman" w:eastAsia="宋体" w:cs="Times New Roman"/>
          <w:iCs/>
          <w:color w:val="auto"/>
          <w:spacing w:val="0"/>
          <w:kern w:val="0"/>
          <w:highlight w:val="none"/>
          <w:lang w:val="en-US" w:eastAsia="zh-CN"/>
        </w:rPr>
      </w:pPr>
      <w:r>
        <w:rPr>
          <w:rStyle w:val="49"/>
          <w:rFonts w:hint="default" w:ascii="Times New Roman" w:hAnsi="Times New Roman" w:eastAsia="宋体" w:cs="Times New Roman"/>
          <w:iCs/>
          <w:color w:val="auto"/>
          <w:spacing w:val="0"/>
          <w:kern w:val="0"/>
          <w:highlight w:val="none"/>
        </w:rPr>
        <w:t>《项目需求分析说明书》、《概要设计说明书》、《详细设计说明书》、《数据库设计说明书》、《系统安装部署手册》、《系统运行维护手册》、《用户操作手册》、《试运行报告》、《验收报告》</w:t>
      </w:r>
      <w:r>
        <w:rPr>
          <w:rStyle w:val="49"/>
          <w:rFonts w:hint="eastAsia" w:ascii="Times New Roman" w:hAnsi="Times New Roman" w:cs="Times New Roman"/>
          <w:iCs/>
          <w:color w:val="auto"/>
          <w:spacing w:val="0"/>
          <w:kern w:val="0"/>
          <w:highlight w:val="none"/>
          <w:lang w:eastAsia="zh-CN"/>
        </w:rPr>
        <w:t>、《</w:t>
      </w:r>
      <w:r>
        <w:rPr>
          <w:rFonts w:hint="default" w:ascii="Times New Roman" w:hAnsi="Times New Roman" w:cs="Times New Roman"/>
          <w:color w:val="auto"/>
          <w:highlight w:val="none"/>
          <w:lang w:val="en-US" w:eastAsia="zh-CN"/>
        </w:rPr>
        <w:t>数据中台</w:t>
      </w:r>
      <w:r>
        <w:rPr>
          <w:rFonts w:hint="eastAsia" w:ascii="Times New Roman" w:hAnsi="Times New Roman" w:cs="Times New Roman"/>
          <w:color w:val="auto"/>
          <w:highlight w:val="none"/>
          <w:lang w:val="en-US" w:eastAsia="zh-CN"/>
        </w:rPr>
        <w:t>技术</w:t>
      </w:r>
      <w:r>
        <w:rPr>
          <w:rFonts w:hint="default" w:ascii="Times New Roman" w:hAnsi="Times New Roman" w:cs="Times New Roman"/>
          <w:color w:val="auto"/>
          <w:highlight w:val="none"/>
          <w:lang w:val="en-US" w:eastAsia="zh-CN"/>
        </w:rPr>
        <w:t>架构设计方案</w:t>
      </w:r>
      <w:r>
        <w:rPr>
          <w:rStyle w:val="49"/>
          <w:rFonts w:hint="eastAsia" w:ascii="Times New Roman" w:hAnsi="Times New Roman" w:cs="Times New Roman"/>
          <w:iCs/>
          <w:color w:val="auto"/>
          <w:spacing w:val="0"/>
          <w:kern w:val="0"/>
          <w:highlight w:val="none"/>
          <w:lang w:eastAsia="zh-CN"/>
        </w:rPr>
        <w:t>》、《</w:t>
      </w:r>
      <w:r>
        <w:rPr>
          <w:rFonts w:hint="default" w:ascii="Times New Roman" w:hAnsi="Times New Roman" w:cs="Times New Roman"/>
          <w:color w:val="auto"/>
          <w:highlight w:val="none"/>
          <w:lang w:val="en-US" w:eastAsia="zh-CN"/>
        </w:rPr>
        <w:t>数据中台</w:t>
      </w:r>
      <w:r>
        <w:rPr>
          <w:rFonts w:hint="eastAsia" w:ascii="Times New Roman" w:hAnsi="Times New Roman" w:cs="Times New Roman"/>
          <w:color w:val="auto"/>
          <w:highlight w:val="none"/>
          <w:lang w:val="en-US" w:eastAsia="zh-CN"/>
        </w:rPr>
        <w:t>数据</w:t>
      </w:r>
      <w:r>
        <w:rPr>
          <w:rFonts w:hint="default" w:ascii="Times New Roman" w:hAnsi="Times New Roman" w:cs="Times New Roman"/>
          <w:color w:val="auto"/>
          <w:highlight w:val="none"/>
          <w:lang w:val="en-US" w:eastAsia="zh-CN"/>
        </w:rPr>
        <w:t>架构设计方案</w:t>
      </w:r>
      <w:r>
        <w:rPr>
          <w:rStyle w:val="49"/>
          <w:rFonts w:hint="eastAsia" w:ascii="Times New Roman" w:hAnsi="Times New Roman" w:cs="Times New Roman"/>
          <w:iCs/>
          <w:color w:val="auto"/>
          <w:spacing w:val="0"/>
          <w:kern w:val="0"/>
          <w:highlight w:val="none"/>
          <w:lang w:eastAsia="zh-CN"/>
        </w:rPr>
        <w:t>》、《</w:t>
      </w:r>
      <w:r>
        <w:rPr>
          <w:rFonts w:hint="default" w:ascii="Times New Roman" w:hAnsi="Times New Roman" w:cs="Times New Roman"/>
          <w:color w:val="auto"/>
          <w:highlight w:val="none"/>
          <w:lang w:val="en-US" w:eastAsia="zh-CN"/>
        </w:rPr>
        <w:t>数据中台</w:t>
      </w:r>
      <w:r>
        <w:rPr>
          <w:rFonts w:hint="eastAsia" w:ascii="Times New Roman" w:hAnsi="Times New Roman" w:cs="Times New Roman"/>
          <w:color w:val="auto"/>
          <w:highlight w:val="none"/>
          <w:lang w:val="en-US" w:eastAsia="zh-CN"/>
        </w:rPr>
        <w:t>灾备</w:t>
      </w:r>
      <w:r>
        <w:rPr>
          <w:rFonts w:hint="default" w:ascii="Times New Roman" w:hAnsi="Times New Roman" w:cs="Times New Roman"/>
          <w:color w:val="auto"/>
          <w:highlight w:val="none"/>
          <w:lang w:val="en-US" w:eastAsia="zh-CN"/>
        </w:rPr>
        <w:t>方案</w:t>
      </w:r>
      <w:r>
        <w:rPr>
          <w:rStyle w:val="49"/>
          <w:rFonts w:hint="eastAsia" w:ascii="Times New Roman" w:hAnsi="Times New Roman" w:cs="Times New Roman"/>
          <w:iCs/>
          <w:color w:val="auto"/>
          <w:spacing w:val="0"/>
          <w:kern w:val="0"/>
          <w:highlight w:val="none"/>
          <w:lang w:eastAsia="zh-CN"/>
        </w:rPr>
        <w:t>》、《</w:t>
      </w:r>
      <w:r>
        <w:rPr>
          <w:rFonts w:hint="default" w:ascii="Times New Roman" w:hAnsi="Times New Roman" w:cs="Times New Roman"/>
          <w:color w:val="auto"/>
          <w:highlight w:val="none"/>
          <w:lang w:val="en-US" w:eastAsia="zh-CN"/>
        </w:rPr>
        <w:t>数据中台实施</w:t>
      </w:r>
      <w:r>
        <w:rPr>
          <w:rFonts w:hint="eastAsia" w:ascii="Times New Roman" w:hAnsi="Times New Roman" w:cs="Times New Roman"/>
          <w:color w:val="auto"/>
          <w:highlight w:val="none"/>
          <w:lang w:val="en-US" w:eastAsia="zh-CN"/>
        </w:rPr>
        <w:t>和迁移</w:t>
      </w:r>
      <w:r>
        <w:rPr>
          <w:rFonts w:hint="default" w:ascii="Times New Roman" w:hAnsi="Times New Roman" w:cs="Times New Roman"/>
          <w:color w:val="auto"/>
          <w:highlight w:val="none"/>
          <w:lang w:val="en-US" w:eastAsia="zh-CN"/>
        </w:rPr>
        <w:t>方案</w:t>
      </w:r>
      <w:r>
        <w:rPr>
          <w:rStyle w:val="49"/>
          <w:rFonts w:hint="eastAsia" w:ascii="Times New Roman" w:hAnsi="Times New Roman" w:cs="Times New Roman"/>
          <w:iCs/>
          <w:color w:val="auto"/>
          <w:spacing w:val="0"/>
          <w:kern w:val="0"/>
          <w:highlight w:val="none"/>
          <w:lang w:eastAsia="zh-CN"/>
        </w:rPr>
        <w:t>》、</w:t>
      </w:r>
      <w:r>
        <w:rPr>
          <w:rStyle w:val="49"/>
          <w:rFonts w:hint="default" w:ascii="Times New Roman" w:hAnsi="Times New Roman" w:eastAsia="宋体" w:cs="Times New Roman"/>
          <w:color w:val="auto"/>
          <w:spacing w:val="0"/>
          <w:kern w:val="0"/>
          <w:highlight w:val="none"/>
        </w:rPr>
        <w:t>《系统测试计划》</w:t>
      </w:r>
      <w:r>
        <w:rPr>
          <w:rStyle w:val="49"/>
          <w:rFonts w:hint="eastAsia" w:ascii="Times New Roman" w:hAnsi="Times New Roman" w:cs="Times New Roman"/>
          <w:color w:val="auto"/>
          <w:spacing w:val="0"/>
          <w:kern w:val="0"/>
          <w:highlight w:val="none"/>
          <w:lang w:eastAsia="zh-CN"/>
        </w:rPr>
        <w:t>、</w:t>
      </w:r>
      <w:r>
        <w:rPr>
          <w:rStyle w:val="49"/>
          <w:rFonts w:hint="default" w:ascii="Times New Roman" w:hAnsi="Times New Roman" w:eastAsia="宋体" w:cs="Times New Roman"/>
          <w:color w:val="auto"/>
          <w:spacing w:val="0"/>
          <w:kern w:val="0"/>
          <w:highlight w:val="none"/>
        </w:rPr>
        <w:t>《系统测试报告》、《性能测试报告》、《安全测试报告》</w:t>
      </w:r>
      <w:r>
        <w:rPr>
          <w:rStyle w:val="49"/>
          <w:rFonts w:hint="eastAsia" w:ascii="Times New Roman" w:hAnsi="Times New Roman" w:cs="Times New Roman"/>
          <w:color w:val="auto"/>
          <w:spacing w:val="0"/>
          <w:kern w:val="0"/>
          <w:highlight w:val="none"/>
          <w:lang w:eastAsia="zh-CN"/>
        </w:rPr>
        <w:t>、</w:t>
      </w:r>
      <w:r>
        <w:rPr>
          <w:rStyle w:val="49"/>
          <w:rFonts w:hint="default" w:ascii="Times New Roman" w:hAnsi="Times New Roman" w:eastAsia="宋体" w:cs="Times New Roman"/>
          <w:color w:val="auto"/>
          <w:spacing w:val="0"/>
          <w:kern w:val="0"/>
          <w:highlight w:val="none"/>
        </w:rPr>
        <w:t>《软件兼容性方案》</w:t>
      </w:r>
      <w:r>
        <w:rPr>
          <w:rStyle w:val="49"/>
          <w:rFonts w:hint="eastAsia" w:ascii="Times New Roman" w:hAnsi="Times New Roman" w:cs="Times New Roman"/>
          <w:color w:val="auto"/>
          <w:spacing w:val="0"/>
          <w:kern w:val="0"/>
          <w:highlight w:val="none"/>
          <w:lang w:eastAsia="zh-CN"/>
        </w:rPr>
        <w:t>、</w:t>
      </w:r>
      <w:r>
        <w:rPr>
          <w:rStyle w:val="49"/>
          <w:rFonts w:hint="eastAsia" w:ascii="Times New Roman" w:hAnsi="Times New Roman" w:cs="Times New Roman"/>
          <w:color w:val="auto"/>
          <w:spacing w:val="0"/>
          <w:kern w:val="0"/>
          <w:highlight w:val="none"/>
          <w:lang w:val="en-US" w:eastAsia="zh-CN"/>
        </w:rPr>
        <w:t>系统源代码。</w:t>
      </w:r>
    </w:p>
    <w:p w14:paraId="5DDD5145">
      <w:pPr>
        <w:keepNext w:val="0"/>
        <w:keepLines w:val="0"/>
        <w:pageBreakBefore w:val="0"/>
        <w:kinsoku/>
        <w:wordWrap/>
        <w:overflowPunct/>
        <w:topLinePunct w:val="0"/>
        <w:autoSpaceDE w:val="0"/>
        <w:autoSpaceDN w:val="0"/>
        <w:bidi w:val="0"/>
        <w:spacing w:line="360" w:lineRule="auto"/>
        <w:ind w:firstLine="482" w:firstLineChars="200"/>
        <w:outlineLvl w:val="9"/>
        <w:rPr>
          <w:rStyle w:val="49"/>
          <w:rFonts w:hint="default" w:ascii="Times New Roman" w:hAnsi="Times New Roman" w:eastAsia="宋体" w:cs="Times New Roman"/>
          <w:b/>
          <w:color w:val="auto"/>
          <w:spacing w:val="0"/>
          <w:kern w:val="0"/>
          <w:highlight w:val="none"/>
        </w:rPr>
      </w:pPr>
      <w:r>
        <w:rPr>
          <w:rStyle w:val="49"/>
          <w:rFonts w:hint="default" w:ascii="Times New Roman" w:hAnsi="Times New Roman" w:eastAsia="宋体" w:cs="Times New Roman"/>
          <w:b/>
          <w:color w:val="auto"/>
          <w:spacing w:val="0"/>
          <w:kern w:val="0"/>
          <w:highlight w:val="none"/>
        </w:rPr>
        <w:t>二、验收流程</w:t>
      </w:r>
    </w:p>
    <w:p w14:paraId="19082A6B">
      <w:pPr>
        <w:keepNext w:val="0"/>
        <w:keepLines w:val="0"/>
        <w:pageBreakBefore w:val="0"/>
        <w:kinsoku/>
        <w:wordWrap/>
        <w:overflowPunct/>
        <w:topLinePunct w:val="0"/>
        <w:autoSpaceDE w:val="0"/>
        <w:autoSpaceDN w:val="0"/>
        <w:bidi w:val="0"/>
        <w:spacing w:line="360" w:lineRule="auto"/>
        <w:ind w:left="2" w:leftChars="1" w:firstLine="360" w:firstLineChars="150"/>
        <w:outlineLvl w:val="9"/>
        <w:rPr>
          <w:rStyle w:val="49"/>
          <w:rFonts w:hint="default" w:ascii="Times New Roman" w:hAnsi="Times New Roman" w:eastAsia="宋体" w:cs="Times New Roman"/>
          <w:color w:val="auto"/>
          <w:spacing w:val="0"/>
          <w:kern w:val="0"/>
          <w:highlight w:val="none"/>
        </w:rPr>
      </w:pPr>
      <w:r>
        <w:rPr>
          <w:rStyle w:val="49"/>
          <w:rFonts w:hint="default" w:ascii="Times New Roman" w:hAnsi="Times New Roman" w:eastAsia="宋体" w:cs="Times New Roman"/>
          <w:color w:val="auto"/>
          <w:spacing w:val="0"/>
          <w:kern w:val="0"/>
          <w:highlight w:val="none"/>
        </w:rPr>
        <w:t>乙方负责的部分上线三个月后，由甲方按照合同进行验收，验收通过，在验收表上签字或盖章；若验收过程中发现与合同有偏差或系统问题，则由甲方提交验收问题报告给乙方，乙方按验收问题报告进行相应改进。改进完成后，重新验收。</w:t>
      </w:r>
    </w:p>
    <w:p w14:paraId="68F91DCA">
      <w:pPr>
        <w:keepNext w:val="0"/>
        <w:keepLines w:val="0"/>
        <w:pageBreakBefore w:val="0"/>
        <w:kinsoku/>
        <w:wordWrap/>
        <w:overflowPunct/>
        <w:topLinePunct w:val="0"/>
        <w:autoSpaceDE w:val="0"/>
        <w:autoSpaceDN w:val="0"/>
        <w:bidi w:val="0"/>
        <w:spacing w:line="360" w:lineRule="auto"/>
        <w:ind w:left="-358"/>
        <w:outlineLvl w:val="9"/>
        <w:rPr>
          <w:rStyle w:val="49"/>
          <w:rFonts w:hint="default" w:ascii="Times New Roman" w:hAnsi="Times New Roman" w:eastAsia="宋体" w:cs="Times New Roman"/>
          <w:color w:val="auto"/>
          <w:spacing w:val="0"/>
          <w:kern w:val="0"/>
          <w:highlight w:val="none"/>
        </w:rPr>
      </w:pPr>
    </w:p>
    <w:p w14:paraId="670F8C7D">
      <w:pPr>
        <w:keepNext w:val="0"/>
        <w:keepLines w:val="0"/>
        <w:pageBreakBefore w:val="0"/>
        <w:kinsoku/>
        <w:wordWrap/>
        <w:overflowPunct/>
        <w:topLinePunct w:val="0"/>
        <w:autoSpaceDE w:val="0"/>
        <w:autoSpaceDN w:val="0"/>
        <w:bidi w:val="0"/>
        <w:spacing w:before="0" w:after="0"/>
        <w:outlineLvl w:val="9"/>
        <w:rPr>
          <w:rStyle w:val="49"/>
          <w:rFonts w:hint="default" w:ascii="Times New Roman" w:hAnsi="Times New Roman" w:eastAsia="宋体" w:cs="Times New Roman"/>
          <w:color w:val="auto"/>
          <w:spacing w:val="0"/>
          <w:kern w:val="0"/>
          <w:sz w:val="30"/>
          <w:highlight w:val="none"/>
        </w:rPr>
      </w:pPr>
      <w:r>
        <w:rPr>
          <w:rStyle w:val="49"/>
          <w:rFonts w:hint="default" w:ascii="Times New Roman" w:hAnsi="Times New Roman" w:eastAsia="宋体" w:cs="Times New Roman"/>
          <w:b w:val="0"/>
          <w:color w:val="auto"/>
          <w:spacing w:val="0"/>
          <w:kern w:val="0"/>
          <w:sz w:val="30"/>
          <w:highlight w:val="none"/>
        </w:rPr>
        <w:br w:type="page"/>
      </w:r>
      <w:bookmarkStart w:id="301" w:name="_Toc63757484"/>
      <w:bookmarkStart w:id="302" w:name="_Toc84948052"/>
      <w:r>
        <w:rPr>
          <w:rStyle w:val="49"/>
          <w:rFonts w:hint="default" w:ascii="Times New Roman" w:hAnsi="Times New Roman" w:eastAsia="宋体" w:cs="Times New Roman"/>
          <w:color w:val="auto"/>
          <w:spacing w:val="0"/>
          <w:kern w:val="0"/>
          <w:sz w:val="30"/>
          <w:highlight w:val="none"/>
        </w:rPr>
        <w:t>附件四：维护服务条款</w:t>
      </w:r>
      <w:bookmarkEnd w:id="301"/>
      <w:bookmarkEnd w:id="302"/>
    </w:p>
    <w:p w14:paraId="587C3CA1">
      <w:pPr>
        <w:keepNext w:val="0"/>
        <w:keepLines w:val="0"/>
        <w:pageBreakBefore w:val="0"/>
        <w:kinsoku/>
        <w:wordWrap/>
        <w:overflowPunct/>
        <w:topLinePunct w:val="0"/>
        <w:autoSpaceDE w:val="0"/>
        <w:autoSpaceDN w:val="0"/>
        <w:bidi w:val="0"/>
        <w:spacing w:line="360" w:lineRule="auto"/>
        <w:ind w:firstLine="480"/>
        <w:outlineLvl w:val="9"/>
        <w:rPr>
          <w:rStyle w:val="49"/>
          <w:rFonts w:hint="default" w:ascii="Times New Roman" w:hAnsi="Times New Roman" w:eastAsia="宋体" w:cs="Times New Roman"/>
          <w:color w:val="auto"/>
          <w:spacing w:val="0"/>
          <w:kern w:val="0"/>
          <w:highlight w:val="none"/>
        </w:rPr>
      </w:pPr>
      <w:r>
        <w:rPr>
          <w:rStyle w:val="49"/>
          <w:rFonts w:hint="default" w:ascii="Times New Roman" w:hAnsi="Times New Roman" w:eastAsia="宋体" w:cs="Times New Roman"/>
          <w:color w:val="auto"/>
          <w:spacing w:val="0"/>
          <w:kern w:val="0"/>
          <w:highlight w:val="none"/>
        </w:rPr>
        <w:t>乙方业务代表作为技术服务的第一联系人，项目经理作为该项目的技术服务第二联系人，随时接受客户的电话服务支持，并申请调配相关资源为客户提供及时服务。</w:t>
      </w:r>
    </w:p>
    <w:p w14:paraId="56696BB7">
      <w:pPr>
        <w:keepNext w:val="0"/>
        <w:keepLines w:val="0"/>
        <w:pageBreakBefore w:val="0"/>
        <w:numPr>
          <w:ilvl w:val="0"/>
          <w:numId w:val="39"/>
        </w:numPr>
        <w:tabs>
          <w:tab w:val="left" w:pos="420"/>
          <w:tab w:val="clear" w:pos="0"/>
        </w:tabs>
        <w:kinsoku/>
        <w:wordWrap/>
        <w:overflowPunct/>
        <w:topLinePunct w:val="0"/>
        <w:autoSpaceDE w:val="0"/>
        <w:autoSpaceDN w:val="0"/>
        <w:bidi w:val="0"/>
        <w:spacing w:line="360" w:lineRule="auto"/>
        <w:outlineLvl w:val="9"/>
        <w:rPr>
          <w:rStyle w:val="49"/>
          <w:rFonts w:hint="default" w:ascii="Times New Roman" w:hAnsi="Times New Roman" w:eastAsia="宋体" w:cs="Times New Roman"/>
          <w:color w:val="auto"/>
          <w:spacing w:val="0"/>
          <w:highlight w:val="none"/>
        </w:rPr>
      </w:pPr>
      <w:r>
        <w:rPr>
          <w:rStyle w:val="49"/>
          <w:rFonts w:hint="default" w:ascii="Times New Roman" w:hAnsi="Times New Roman" w:eastAsia="宋体" w:cs="Times New Roman"/>
          <w:color w:val="auto"/>
          <w:spacing w:val="0"/>
          <w:highlight w:val="none"/>
        </w:rPr>
        <w:t>系统正式验收通过，上线后提供三个月免费人员现场驻场维护，</w:t>
      </w:r>
      <w:r>
        <w:rPr>
          <w:rFonts w:hint="default" w:ascii="Times New Roman" w:hAnsi="Times New Roman" w:eastAsia="宋体" w:cs="Times New Roman"/>
          <w:color w:val="auto"/>
          <w:spacing w:val="0"/>
          <w:kern w:val="0"/>
          <w:highlight w:val="none"/>
        </w:rPr>
        <w:t>正式</w:t>
      </w:r>
      <w:r>
        <w:rPr>
          <w:rFonts w:hint="default" w:ascii="Times New Roman" w:hAnsi="Times New Roman" w:eastAsia="宋体" w:cs="Times New Roman"/>
          <w:color w:val="auto"/>
          <w:spacing w:val="0"/>
          <w:highlight w:val="none"/>
        </w:rPr>
        <w:t>验收合格次日</w:t>
      </w:r>
      <w:r>
        <w:rPr>
          <w:rStyle w:val="49"/>
          <w:rFonts w:hint="default" w:ascii="Times New Roman" w:hAnsi="Times New Roman" w:eastAsia="宋体" w:cs="Times New Roman"/>
          <w:color w:val="auto"/>
          <w:spacing w:val="0"/>
          <w:highlight w:val="none"/>
        </w:rPr>
        <w:t>至次年</w:t>
      </w:r>
      <w:r>
        <w:rPr>
          <w:rFonts w:hint="default" w:ascii="Times New Roman" w:hAnsi="Times New Roman" w:eastAsia="宋体" w:cs="Times New Roman"/>
          <w:color w:val="auto"/>
          <w:spacing w:val="0"/>
          <w:highlight w:val="none"/>
        </w:rPr>
        <w:t>并延期至6月30日或12月31日中较近日期（即维保延期最长不超过半年）</w:t>
      </w:r>
      <w:r>
        <w:rPr>
          <w:rStyle w:val="49"/>
          <w:rFonts w:hint="default" w:ascii="Times New Roman" w:hAnsi="Times New Roman" w:eastAsia="宋体" w:cs="Times New Roman"/>
          <w:color w:val="auto"/>
          <w:spacing w:val="0"/>
          <w:highlight w:val="none"/>
        </w:rPr>
        <w:t>提供支持和服务。</w:t>
      </w:r>
    </w:p>
    <w:p w14:paraId="676EACF2">
      <w:pPr>
        <w:keepNext w:val="0"/>
        <w:keepLines w:val="0"/>
        <w:pageBreakBefore w:val="0"/>
        <w:numPr>
          <w:ilvl w:val="0"/>
          <w:numId w:val="39"/>
        </w:numPr>
        <w:tabs>
          <w:tab w:val="left" w:pos="420"/>
          <w:tab w:val="clear" w:pos="0"/>
        </w:tabs>
        <w:kinsoku/>
        <w:wordWrap/>
        <w:overflowPunct/>
        <w:topLinePunct w:val="0"/>
        <w:autoSpaceDE w:val="0"/>
        <w:autoSpaceDN w:val="0"/>
        <w:bidi w:val="0"/>
        <w:spacing w:line="360" w:lineRule="auto"/>
        <w:outlineLvl w:val="9"/>
        <w:rPr>
          <w:rStyle w:val="49"/>
          <w:rFonts w:hint="default" w:ascii="Times New Roman" w:hAnsi="Times New Roman" w:eastAsia="宋体" w:cs="Times New Roman"/>
          <w:color w:val="auto"/>
          <w:spacing w:val="0"/>
          <w:highlight w:val="none"/>
        </w:rPr>
      </w:pPr>
      <w:r>
        <w:rPr>
          <w:rStyle w:val="49"/>
          <w:rFonts w:hint="default" w:ascii="Times New Roman" w:hAnsi="Times New Roman" w:eastAsia="宋体" w:cs="Times New Roman"/>
          <w:color w:val="auto"/>
          <w:spacing w:val="0"/>
          <w:highlight w:val="none"/>
        </w:rPr>
        <w:t>维护期内，提供平台升级及优化服务。</w:t>
      </w:r>
    </w:p>
    <w:p w14:paraId="37530029">
      <w:pPr>
        <w:keepNext w:val="0"/>
        <w:keepLines w:val="0"/>
        <w:pageBreakBefore w:val="0"/>
        <w:numPr>
          <w:ilvl w:val="0"/>
          <w:numId w:val="39"/>
        </w:numPr>
        <w:tabs>
          <w:tab w:val="left" w:pos="420"/>
          <w:tab w:val="clear" w:pos="0"/>
        </w:tabs>
        <w:kinsoku/>
        <w:wordWrap/>
        <w:overflowPunct/>
        <w:topLinePunct w:val="0"/>
        <w:autoSpaceDE w:val="0"/>
        <w:autoSpaceDN w:val="0"/>
        <w:bidi w:val="0"/>
        <w:spacing w:line="360" w:lineRule="auto"/>
        <w:outlineLvl w:val="9"/>
        <w:rPr>
          <w:rStyle w:val="49"/>
          <w:rFonts w:hint="default" w:ascii="Times New Roman" w:hAnsi="Times New Roman" w:eastAsia="宋体" w:cs="Times New Roman"/>
          <w:color w:val="auto"/>
          <w:spacing w:val="0"/>
          <w:highlight w:val="none"/>
        </w:rPr>
      </w:pPr>
      <w:r>
        <w:rPr>
          <w:rStyle w:val="49"/>
          <w:rFonts w:hint="default" w:ascii="Times New Roman" w:hAnsi="Times New Roman" w:eastAsia="宋体" w:cs="Times New Roman"/>
          <w:color w:val="auto"/>
          <w:spacing w:val="0"/>
          <w:highlight w:val="none"/>
        </w:rPr>
        <w:t>系统上线后，提供二次系统和产品的培训，时间为每次1天。在维护期内，也可以根据用户需求，随时到客户现场进行系统和产品的培训。</w:t>
      </w:r>
    </w:p>
    <w:p w14:paraId="51558228">
      <w:pPr>
        <w:keepNext w:val="0"/>
        <w:keepLines w:val="0"/>
        <w:pageBreakBefore w:val="0"/>
        <w:numPr>
          <w:ilvl w:val="0"/>
          <w:numId w:val="39"/>
        </w:numPr>
        <w:tabs>
          <w:tab w:val="left" w:pos="420"/>
          <w:tab w:val="clear" w:pos="0"/>
        </w:tabs>
        <w:kinsoku/>
        <w:wordWrap/>
        <w:overflowPunct/>
        <w:topLinePunct w:val="0"/>
        <w:autoSpaceDE w:val="0"/>
        <w:autoSpaceDN w:val="0"/>
        <w:bidi w:val="0"/>
        <w:spacing w:line="360" w:lineRule="auto"/>
        <w:outlineLvl w:val="9"/>
        <w:rPr>
          <w:rFonts w:hint="default" w:ascii="Times New Roman" w:hAnsi="Times New Roman" w:eastAsia="宋体" w:cs="Times New Roman"/>
          <w:color w:val="auto"/>
          <w:spacing w:val="0"/>
          <w:highlight w:val="none"/>
        </w:rPr>
      </w:pPr>
      <w:r>
        <w:rPr>
          <w:rStyle w:val="49"/>
          <w:rFonts w:hint="default" w:ascii="Times New Roman" w:hAnsi="Times New Roman" w:eastAsia="宋体" w:cs="Times New Roman"/>
          <w:color w:val="auto"/>
          <w:spacing w:val="0"/>
          <w:highlight w:val="none"/>
        </w:rPr>
        <w:t>维护期内，每季度派工程师现场巡检一次，并在巡检后提交巡检报告，针对巡检中发现的问题立即组织整改。</w:t>
      </w:r>
    </w:p>
    <w:p w14:paraId="62EE21AE">
      <w:pPr>
        <w:keepNext w:val="0"/>
        <w:keepLines w:val="0"/>
        <w:pageBreakBefore w:val="0"/>
        <w:kinsoku/>
        <w:wordWrap/>
        <w:overflowPunct/>
        <w:topLinePunct w:val="0"/>
        <w:autoSpaceDE w:val="0"/>
        <w:autoSpaceDN w:val="0"/>
        <w:bidi w:val="0"/>
        <w:spacing w:line="360" w:lineRule="auto"/>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支持方式和手段</w:t>
      </w:r>
    </w:p>
    <w:p w14:paraId="3F11E537">
      <w:pPr>
        <w:keepNext w:val="0"/>
        <w:keepLines w:val="0"/>
        <w:pageBreakBefore w:val="0"/>
        <w:numPr>
          <w:ilvl w:val="0"/>
          <w:numId w:val="40"/>
        </w:numPr>
        <w:tabs>
          <w:tab w:val="left" w:pos="420"/>
          <w:tab w:val="clear" w:pos="0"/>
        </w:tabs>
        <w:kinsoku/>
        <w:wordWrap/>
        <w:overflowPunct/>
        <w:topLinePunct w:val="0"/>
        <w:autoSpaceDE w:val="0"/>
        <w:autoSpaceDN w:val="0"/>
        <w:bidi w:val="0"/>
        <w:spacing w:line="360" w:lineRule="auto"/>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热线电话</w:t>
      </w:r>
      <w:r>
        <w:rPr>
          <w:rFonts w:hint="default" w:ascii="Times New Roman" w:hAnsi="Times New Roman" w:eastAsia="宋体" w:cs="Times New Roman"/>
          <w:color w:val="auto"/>
          <w:spacing w:val="0"/>
          <w:highlight w:val="none"/>
        </w:rPr>
        <w:br w:type="textWrapping"/>
      </w:r>
      <w:r>
        <w:rPr>
          <w:rFonts w:hint="default" w:ascii="Times New Roman" w:hAnsi="Times New Roman" w:eastAsia="宋体" w:cs="Times New Roman"/>
          <w:color w:val="auto"/>
          <w:spacing w:val="0"/>
          <w:highlight w:val="none"/>
        </w:rPr>
        <w:t>针对具体业务过程中产生的各种技术咨询，开设专线，提供7*24小时的技术服务支持。</w:t>
      </w:r>
    </w:p>
    <w:p w14:paraId="4BECC64F">
      <w:pPr>
        <w:keepNext w:val="0"/>
        <w:keepLines w:val="0"/>
        <w:pageBreakBefore w:val="0"/>
        <w:numPr>
          <w:ilvl w:val="0"/>
          <w:numId w:val="40"/>
        </w:numPr>
        <w:tabs>
          <w:tab w:val="left" w:pos="420"/>
          <w:tab w:val="clear" w:pos="0"/>
        </w:tabs>
        <w:kinsoku/>
        <w:wordWrap/>
        <w:overflowPunct/>
        <w:topLinePunct w:val="0"/>
        <w:autoSpaceDE w:val="0"/>
        <w:autoSpaceDN w:val="0"/>
        <w:bidi w:val="0"/>
        <w:spacing w:line="360" w:lineRule="auto"/>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E-mail</w:t>
      </w:r>
      <w:r>
        <w:rPr>
          <w:rFonts w:hint="default" w:ascii="Times New Roman" w:hAnsi="Times New Roman" w:eastAsia="宋体" w:cs="Times New Roman"/>
          <w:color w:val="auto"/>
          <w:spacing w:val="0"/>
          <w:highlight w:val="none"/>
        </w:rPr>
        <w:br w:type="textWrapping"/>
      </w:r>
      <w:r>
        <w:rPr>
          <w:rFonts w:hint="default" w:ascii="Times New Roman" w:hAnsi="Times New Roman" w:eastAsia="宋体" w:cs="Times New Roman"/>
          <w:color w:val="auto"/>
          <w:spacing w:val="0"/>
          <w:highlight w:val="none"/>
        </w:rPr>
        <w:t>客户建议、意见及技术支持同样可以通过</w:t>
      </w:r>
      <w:r>
        <w:rPr>
          <w:rFonts w:hint="default" w:ascii="Times New Roman" w:hAnsi="Times New Roman" w:eastAsia="宋体" w:cs="Times New Roman"/>
          <w:color w:val="auto"/>
          <w:spacing w:val="0"/>
          <w:highlight w:val="none"/>
          <w:u w:val="single"/>
        </w:rPr>
        <w:t xml:space="preserve">    XXXXX公司（乙方）  </w:t>
      </w:r>
      <w:r>
        <w:rPr>
          <w:rFonts w:hint="default" w:ascii="Times New Roman" w:hAnsi="Times New Roman" w:eastAsia="宋体" w:cs="Times New Roman"/>
          <w:color w:val="auto"/>
          <w:spacing w:val="0"/>
          <w:highlight w:val="none"/>
        </w:rPr>
        <w:t>提供的服务支持电子信箱获得响应，我们将做出详细、全面的服务解答，在半天内给予E-mail回复。</w:t>
      </w:r>
    </w:p>
    <w:p w14:paraId="4D0CC050">
      <w:pPr>
        <w:keepNext w:val="0"/>
        <w:keepLines w:val="0"/>
        <w:pageBreakBefore w:val="0"/>
        <w:numPr>
          <w:ilvl w:val="0"/>
          <w:numId w:val="40"/>
        </w:numPr>
        <w:tabs>
          <w:tab w:val="left" w:pos="420"/>
          <w:tab w:val="clear" w:pos="0"/>
        </w:tabs>
        <w:kinsoku/>
        <w:wordWrap/>
        <w:overflowPunct/>
        <w:topLinePunct w:val="0"/>
        <w:autoSpaceDE w:val="0"/>
        <w:autoSpaceDN w:val="0"/>
        <w:bidi w:val="0"/>
        <w:spacing w:line="360" w:lineRule="auto"/>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远程登录</w:t>
      </w:r>
      <w:r>
        <w:rPr>
          <w:rFonts w:hint="default" w:ascii="Times New Roman" w:hAnsi="Times New Roman" w:eastAsia="宋体" w:cs="Times New Roman"/>
          <w:color w:val="auto"/>
          <w:spacing w:val="0"/>
          <w:highlight w:val="none"/>
        </w:rPr>
        <w:br w:type="textWrapping"/>
      </w:r>
      <w:r>
        <w:rPr>
          <w:rFonts w:hint="default" w:ascii="Times New Roman" w:hAnsi="Times New Roman" w:eastAsia="宋体" w:cs="Times New Roman"/>
          <w:color w:val="auto"/>
          <w:spacing w:val="0"/>
          <w:highlight w:val="none"/>
        </w:rPr>
        <w:t>对客户所遇到技术问题可以在客户条件许可的情况下进行远程访问排除故障，以方便客户能够及时解决疑难杂症。</w:t>
      </w:r>
    </w:p>
    <w:p w14:paraId="7E644FC2">
      <w:pPr>
        <w:keepNext w:val="0"/>
        <w:keepLines w:val="0"/>
        <w:pageBreakBefore w:val="0"/>
        <w:numPr>
          <w:ilvl w:val="0"/>
          <w:numId w:val="40"/>
        </w:numPr>
        <w:tabs>
          <w:tab w:val="left" w:pos="420"/>
          <w:tab w:val="clear" w:pos="0"/>
        </w:tabs>
        <w:kinsoku/>
        <w:wordWrap/>
        <w:overflowPunct/>
        <w:topLinePunct w:val="0"/>
        <w:autoSpaceDE w:val="0"/>
        <w:autoSpaceDN w:val="0"/>
        <w:bidi w:val="0"/>
        <w:spacing w:line="360" w:lineRule="auto"/>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现场支持</w:t>
      </w:r>
      <w:r>
        <w:rPr>
          <w:rFonts w:hint="default" w:ascii="Times New Roman" w:hAnsi="Times New Roman" w:eastAsia="宋体" w:cs="Times New Roman"/>
          <w:color w:val="auto"/>
          <w:spacing w:val="0"/>
          <w:highlight w:val="none"/>
        </w:rPr>
        <w:br w:type="textWrapping"/>
      </w:r>
      <w:r>
        <w:rPr>
          <w:rFonts w:hint="default" w:ascii="Times New Roman" w:hAnsi="Times New Roman" w:eastAsia="宋体" w:cs="Times New Roman"/>
          <w:color w:val="auto"/>
          <w:spacing w:val="0"/>
          <w:highlight w:val="none"/>
        </w:rPr>
        <w:t>对于重大故障或者无法通过远程登录排除的故障，将安排工程师前往现场进行处理，使客户在最短的时间内解决故障，减少故障历时，从而最大限度地减少客户损失，保证在2小时内到现场。</w:t>
      </w:r>
    </w:p>
    <w:p w14:paraId="34A18315">
      <w:pPr>
        <w:keepNext w:val="0"/>
        <w:keepLines w:val="0"/>
        <w:pageBreakBefore w:val="0"/>
        <w:numPr>
          <w:ilvl w:val="0"/>
          <w:numId w:val="40"/>
        </w:numPr>
        <w:tabs>
          <w:tab w:val="left" w:pos="420"/>
          <w:tab w:val="clear" w:pos="0"/>
        </w:tabs>
        <w:kinsoku/>
        <w:wordWrap/>
        <w:overflowPunct/>
        <w:topLinePunct w:val="0"/>
        <w:autoSpaceDE w:val="0"/>
        <w:autoSpaceDN w:val="0"/>
        <w:bidi w:val="0"/>
        <w:spacing w:line="360" w:lineRule="auto"/>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运行日志定期检查</w:t>
      </w:r>
      <w:r>
        <w:rPr>
          <w:rFonts w:hint="default" w:ascii="Times New Roman" w:hAnsi="Times New Roman" w:eastAsia="宋体" w:cs="Times New Roman"/>
          <w:color w:val="auto"/>
          <w:spacing w:val="0"/>
          <w:highlight w:val="none"/>
        </w:rPr>
        <w:br w:type="textWrapping"/>
      </w:r>
      <w:r>
        <w:rPr>
          <w:rFonts w:hint="default" w:ascii="Times New Roman" w:hAnsi="Times New Roman" w:eastAsia="宋体" w:cs="Times New Roman"/>
          <w:color w:val="auto"/>
          <w:spacing w:val="0"/>
          <w:highlight w:val="none"/>
        </w:rPr>
        <w:t>最好的服务方式是提前发现问题，将问题解决于发生前，在</w:t>
      </w:r>
      <w:r>
        <w:rPr>
          <w:rStyle w:val="49"/>
          <w:rFonts w:hint="default" w:ascii="Times New Roman" w:hAnsi="Times New Roman" w:eastAsia="宋体" w:cs="Times New Roman"/>
          <w:color w:val="auto"/>
          <w:spacing w:val="0"/>
          <w:kern w:val="0"/>
          <w:highlight w:val="none"/>
        </w:rPr>
        <w:t>乙方</w:t>
      </w:r>
      <w:r>
        <w:rPr>
          <w:rFonts w:hint="default" w:ascii="Times New Roman" w:hAnsi="Times New Roman" w:eastAsia="宋体" w:cs="Times New Roman"/>
          <w:color w:val="auto"/>
          <w:spacing w:val="0"/>
          <w:highlight w:val="none"/>
        </w:rPr>
        <w:t>实施的系统中，提供了相关的运行日志，通过和客户的协商，通过客户定期提供的运行日志，可实现定期的日志检查，可以提前发现系统的运行问题，以起到防患于未然的效果。</w:t>
      </w:r>
    </w:p>
    <w:p w14:paraId="784625F6">
      <w:pPr>
        <w:keepNext w:val="0"/>
        <w:keepLines w:val="0"/>
        <w:pageBreakBefore w:val="0"/>
        <w:numPr>
          <w:ilvl w:val="0"/>
          <w:numId w:val="40"/>
        </w:numPr>
        <w:tabs>
          <w:tab w:val="left" w:pos="420"/>
          <w:tab w:val="clear" w:pos="0"/>
        </w:tabs>
        <w:kinsoku/>
        <w:wordWrap/>
        <w:overflowPunct/>
        <w:topLinePunct w:val="0"/>
        <w:autoSpaceDE w:val="0"/>
        <w:autoSpaceDN w:val="0"/>
        <w:bidi w:val="0"/>
        <w:spacing w:line="360" w:lineRule="auto"/>
        <w:outlineLvl w:val="9"/>
        <w:rPr>
          <w:rFonts w:hint="default" w:ascii="Times New Roman" w:hAnsi="Times New Roman" w:eastAsia="宋体" w:cs="Times New Roman"/>
          <w:color w:val="auto"/>
          <w:spacing w:val="0"/>
          <w:highlight w:val="none"/>
        </w:rPr>
      </w:pPr>
      <w:r>
        <w:rPr>
          <w:rFonts w:hint="default" w:ascii="Times New Roman" w:hAnsi="Times New Roman" w:eastAsia="宋体" w:cs="Times New Roman"/>
          <w:color w:val="auto"/>
          <w:spacing w:val="0"/>
          <w:highlight w:val="none"/>
        </w:rPr>
        <w:t>故障处理流程</w:t>
      </w:r>
    </w:p>
    <w:p w14:paraId="66E5C257">
      <w:pPr>
        <w:keepNext w:val="0"/>
        <w:keepLines w:val="0"/>
        <w:pageBreakBefore w:val="0"/>
        <w:kinsoku/>
        <w:wordWrap/>
        <w:overflowPunct/>
        <w:topLinePunct w:val="0"/>
        <w:autoSpaceDE w:val="0"/>
        <w:autoSpaceDN w:val="0"/>
        <w:bidi w:val="0"/>
        <w:spacing w:line="360" w:lineRule="auto"/>
        <w:ind w:left="420"/>
        <w:outlineLvl w:val="9"/>
        <w:rPr>
          <w:rFonts w:hint="default" w:ascii="Times New Roman" w:hAnsi="Times New Roman" w:eastAsia="宋体" w:cs="Times New Roman"/>
          <w:color w:val="auto"/>
          <w:spacing w:val="0"/>
          <w:highlight w:val="none"/>
        </w:rPr>
        <w:sectPr>
          <w:headerReference r:id="rId7" w:type="first"/>
          <w:footerReference r:id="rId10" w:type="first"/>
          <w:headerReference r:id="rId6" w:type="default"/>
          <w:footerReference r:id="rId8" w:type="default"/>
          <w:footerReference r:id="rId9" w:type="even"/>
          <w:pgSz w:w="11906" w:h="16838"/>
          <w:pgMar w:top="1440" w:right="1797" w:bottom="1440" w:left="1797" w:header="851" w:footer="992" w:gutter="0"/>
          <w:pgBorders>
            <w:top w:val="none" w:sz="0" w:space="0"/>
            <w:left w:val="none" w:sz="0" w:space="0"/>
            <w:bottom w:val="none" w:sz="0" w:space="0"/>
            <w:right w:val="none" w:sz="0" w:space="0"/>
          </w:pgBorders>
          <w:cols w:space="720" w:num="1"/>
          <w:docGrid w:type="lines" w:linePitch="326" w:charSpace="-4913"/>
        </w:sectPr>
      </w:pPr>
      <w:r>
        <w:rPr>
          <w:rFonts w:hint="default" w:ascii="Times New Roman" w:hAnsi="Times New Roman" w:eastAsia="宋体" w:cs="Times New Roman"/>
          <w:color w:val="auto"/>
          <w:spacing w:val="0"/>
          <w:highlight w:val="none"/>
        </w:rPr>
        <w:t>通过现象定位错误原因，编写处理说明书（包含处理完成时间）。</w:t>
      </w:r>
    </w:p>
    <w:p w14:paraId="53972A83">
      <w:pPr>
        <w:keepNext w:val="0"/>
        <w:keepLines w:val="0"/>
        <w:pageBreakBefore w:val="0"/>
        <w:kinsoku/>
        <w:wordWrap/>
        <w:overflowPunct/>
        <w:topLinePunct w:val="0"/>
        <w:autoSpaceDE w:val="0"/>
        <w:autoSpaceDN w:val="0"/>
        <w:bidi w:val="0"/>
        <w:spacing w:before="0" w:after="0"/>
        <w:outlineLvl w:val="9"/>
        <w:rPr>
          <w:rFonts w:hint="default" w:ascii="Times New Roman" w:hAnsi="Times New Roman" w:cs="Times New Roman"/>
          <w:color w:val="auto"/>
          <w:highlight w:val="none"/>
        </w:rPr>
      </w:pPr>
      <w:bookmarkStart w:id="303" w:name="_Toc84948053"/>
      <w:bookmarkStart w:id="304" w:name="_Toc63757485"/>
      <w:r>
        <w:rPr>
          <w:rStyle w:val="49"/>
          <w:rFonts w:hint="default" w:ascii="Times New Roman" w:hAnsi="Times New Roman" w:eastAsia="宋体" w:cs="Times New Roman"/>
          <w:color w:val="auto"/>
          <w:spacing w:val="0"/>
          <w:kern w:val="0"/>
          <w:sz w:val="30"/>
          <w:highlight w:val="none"/>
        </w:rPr>
        <w:t>附件五：服务水平协议（SLA）</w:t>
      </w:r>
      <w:bookmarkEnd w:id="303"/>
      <w:bookmarkEnd w:id="304"/>
    </w:p>
    <w:p w14:paraId="3FFEC120">
      <w:pPr>
        <w:keepNext w:val="0"/>
        <w:keepLines w:val="0"/>
        <w:pageBreakBefore w:val="0"/>
        <w:kinsoku/>
        <w:wordWrap/>
        <w:overflowPunct/>
        <w:topLinePunct w:val="0"/>
        <w:autoSpaceDE w:val="0"/>
        <w:autoSpaceDN w:val="0"/>
        <w:bidi w:val="0"/>
        <w:outlineLvl w:val="9"/>
        <w:rPr>
          <w:rFonts w:hint="default" w:ascii="Times New Roman" w:hAnsi="Times New Roman" w:eastAsia="宋体" w:cs="Times New Roman"/>
          <w:b/>
          <w:bCs/>
          <w:color w:val="auto"/>
          <w:spacing w:val="0"/>
          <w:szCs w:val="24"/>
          <w:highlight w:val="none"/>
        </w:rPr>
      </w:pPr>
      <w:bookmarkStart w:id="305" w:name="_Toc254884639"/>
      <w:r>
        <w:rPr>
          <w:rFonts w:hint="default" w:ascii="Times New Roman" w:hAnsi="Times New Roman" w:eastAsia="宋体" w:cs="Times New Roman"/>
          <w:b/>
          <w:bCs/>
          <w:color w:val="auto"/>
          <w:spacing w:val="0"/>
          <w:kern w:val="32"/>
          <w:szCs w:val="24"/>
          <w:highlight w:val="none"/>
        </w:rPr>
        <w:t>1. 目标</w:t>
      </w:r>
      <w:bookmarkEnd w:id="305"/>
    </w:p>
    <w:p w14:paraId="3EEFC440">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szCs w:val="24"/>
          <w:highlight w:val="none"/>
        </w:rPr>
      </w:pPr>
      <w:r>
        <w:rPr>
          <w:rFonts w:hint="default" w:ascii="Times New Roman" w:hAnsi="Times New Roman" w:eastAsia="宋体" w:cs="Times New Roman"/>
          <w:color w:val="auto"/>
          <w:spacing w:val="0"/>
          <w:szCs w:val="24"/>
          <w:highlight w:val="none"/>
        </w:rPr>
        <w:t>本服务水平协议（SLA）的目标是为了清晰地定义由XXXXXXXXXXXXXXXXXXX公司（乙方）在本项目中为重庆三峡银行（甲方）提供的服务水平，本SLA主要：</w:t>
      </w:r>
    </w:p>
    <w:p w14:paraId="404DD3C9">
      <w:pPr>
        <w:keepNext w:val="0"/>
        <w:keepLines w:val="0"/>
        <w:pageBreakBefore w:val="0"/>
        <w:widowControl/>
        <w:numPr>
          <w:ilvl w:val="0"/>
          <w:numId w:val="41"/>
        </w:numPr>
        <w:kinsoku/>
        <w:wordWrap/>
        <w:overflowPunct/>
        <w:topLinePunct w:val="0"/>
        <w:autoSpaceDE w:val="0"/>
        <w:autoSpaceDN w:val="0"/>
        <w:bidi w:val="0"/>
        <w:adjustRightInd/>
        <w:snapToGrid/>
        <w:spacing w:line="360" w:lineRule="auto"/>
        <w:ind w:left="0"/>
        <w:jc w:val="left"/>
        <w:textAlignment w:val="auto"/>
        <w:outlineLvl w:val="9"/>
        <w:rPr>
          <w:rFonts w:hint="default" w:ascii="Times New Roman" w:hAnsi="Times New Roman" w:eastAsia="宋体" w:cs="Times New Roman"/>
          <w:color w:val="auto"/>
          <w:spacing w:val="0"/>
          <w:szCs w:val="24"/>
          <w:highlight w:val="none"/>
        </w:rPr>
      </w:pPr>
      <w:r>
        <w:rPr>
          <w:rFonts w:hint="default" w:ascii="Times New Roman" w:hAnsi="Times New Roman" w:eastAsia="宋体" w:cs="Times New Roman"/>
          <w:color w:val="auto"/>
          <w:spacing w:val="0"/>
          <w:szCs w:val="24"/>
          <w:highlight w:val="none"/>
        </w:rPr>
        <w:t>明确甲方对外包乙方所提供服务水平的期望</w:t>
      </w:r>
    </w:p>
    <w:p w14:paraId="73F30AB7">
      <w:pPr>
        <w:keepNext w:val="0"/>
        <w:keepLines w:val="0"/>
        <w:pageBreakBefore w:val="0"/>
        <w:widowControl/>
        <w:numPr>
          <w:ilvl w:val="0"/>
          <w:numId w:val="41"/>
        </w:numPr>
        <w:kinsoku/>
        <w:wordWrap/>
        <w:overflowPunct/>
        <w:topLinePunct w:val="0"/>
        <w:autoSpaceDE w:val="0"/>
        <w:autoSpaceDN w:val="0"/>
        <w:bidi w:val="0"/>
        <w:adjustRightInd/>
        <w:snapToGrid/>
        <w:spacing w:line="360" w:lineRule="auto"/>
        <w:ind w:left="0"/>
        <w:jc w:val="left"/>
        <w:textAlignment w:val="auto"/>
        <w:outlineLvl w:val="9"/>
        <w:rPr>
          <w:rFonts w:hint="default" w:ascii="Times New Roman" w:hAnsi="Times New Roman" w:eastAsia="宋体" w:cs="Times New Roman"/>
          <w:color w:val="auto"/>
          <w:spacing w:val="0"/>
          <w:szCs w:val="24"/>
          <w:highlight w:val="none"/>
        </w:rPr>
      </w:pPr>
      <w:r>
        <w:rPr>
          <w:rFonts w:hint="default" w:ascii="Times New Roman" w:hAnsi="Times New Roman" w:eastAsia="宋体" w:cs="Times New Roman"/>
          <w:color w:val="auto"/>
          <w:spacing w:val="0"/>
          <w:szCs w:val="24"/>
          <w:highlight w:val="none"/>
        </w:rPr>
        <w:t>规范和加强甲方对乙方所提供服务水平的控制</w:t>
      </w:r>
    </w:p>
    <w:p w14:paraId="5344477C">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szCs w:val="24"/>
          <w:highlight w:val="none"/>
        </w:rPr>
      </w:pPr>
      <w:r>
        <w:rPr>
          <w:rFonts w:hint="default" w:ascii="Times New Roman" w:hAnsi="Times New Roman" w:eastAsia="宋体" w:cs="Times New Roman"/>
          <w:color w:val="auto"/>
          <w:spacing w:val="0"/>
          <w:szCs w:val="24"/>
          <w:highlight w:val="none"/>
        </w:rPr>
        <w:t>双方将针对本项目制定明确的职责分工表用来确定计划和管理服务水平协议的角色和职责。</w:t>
      </w:r>
    </w:p>
    <w:p w14:paraId="09749A0B">
      <w:pPr>
        <w:keepNext w:val="0"/>
        <w:keepLines w:val="0"/>
        <w:pageBreakBefore w:val="0"/>
        <w:kinsoku/>
        <w:wordWrap/>
        <w:overflowPunct/>
        <w:topLinePunct w:val="0"/>
        <w:autoSpaceDE w:val="0"/>
        <w:autoSpaceDN w:val="0"/>
        <w:bidi w:val="0"/>
        <w:outlineLvl w:val="9"/>
        <w:rPr>
          <w:rFonts w:hint="default" w:ascii="Times New Roman" w:hAnsi="Times New Roman" w:eastAsia="宋体" w:cs="Times New Roman"/>
          <w:b/>
          <w:bCs/>
          <w:color w:val="auto"/>
          <w:spacing w:val="0"/>
          <w:kern w:val="32"/>
          <w:szCs w:val="24"/>
          <w:highlight w:val="none"/>
        </w:rPr>
      </w:pPr>
      <w:bookmarkStart w:id="306" w:name="_Toc254884640"/>
      <w:r>
        <w:rPr>
          <w:rFonts w:hint="default" w:ascii="Times New Roman" w:hAnsi="Times New Roman" w:eastAsia="宋体" w:cs="Times New Roman"/>
          <w:b/>
          <w:bCs/>
          <w:color w:val="auto"/>
          <w:spacing w:val="0"/>
          <w:kern w:val="32"/>
          <w:szCs w:val="24"/>
          <w:highlight w:val="none"/>
        </w:rPr>
        <w:t>2. 协议期限</w:t>
      </w:r>
      <w:bookmarkEnd w:id="306"/>
    </w:p>
    <w:p w14:paraId="0E62C9BE">
      <w:pPr>
        <w:keepNext w:val="0"/>
        <w:keepLines w:val="0"/>
        <w:pageBreakBefore w:val="0"/>
        <w:kinsoku/>
        <w:wordWrap/>
        <w:overflowPunct/>
        <w:topLinePunct w:val="0"/>
        <w:autoSpaceDE w:val="0"/>
        <w:autoSpaceDN w:val="0"/>
        <w:bidi w:val="0"/>
        <w:spacing w:line="360" w:lineRule="auto"/>
        <w:ind w:firstLine="424" w:firstLineChars="177"/>
        <w:outlineLvl w:val="9"/>
        <w:rPr>
          <w:rFonts w:hint="default" w:ascii="Times New Roman" w:hAnsi="Times New Roman" w:eastAsia="宋体" w:cs="Times New Roman"/>
          <w:color w:val="auto"/>
          <w:spacing w:val="0"/>
          <w:szCs w:val="24"/>
          <w:highlight w:val="none"/>
        </w:rPr>
      </w:pPr>
      <w:r>
        <w:rPr>
          <w:rFonts w:hint="default" w:ascii="Times New Roman" w:hAnsi="Times New Roman" w:eastAsia="宋体" w:cs="Times New Roman"/>
          <w:color w:val="auto"/>
          <w:spacing w:val="0"/>
          <w:szCs w:val="24"/>
          <w:highlight w:val="none"/>
        </w:rPr>
        <w:t>根据双方达成的一致要求，本协议的有效期从本项目实施之日起到合同正文</w:t>
      </w:r>
      <w:r>
        <w:rPr>
          <w:rFonts w:hint="default" w:ascii="Times New Roman" w:hAnsi="Times New Roman" w:eastAsia="宋体" w:cs="Times New Roman"/>
          <w:color w:val="auto"/>
          <w:spacing w:val="0"/>
          <w:highlight w:val="none"/>
        </w:rPr>
        <w:t>6.1承诺的</w:t>
      </w:r>
      <w:r>
        <w:rPr>
          <w:rFonts w:hint="default" w:ascii="Times New Roman" w:hAnsi="Times New Roman" w:eastAsia="宋体" w:cs="Times New Roman"/>
          <w:color w:val="auto"/>
          <w:spacing w:val="0"/>
          <w:szCs w:val="24"/>
          <w:highlight w:val="none"/>
        </w:rPr>
        <w:t>维护期结束。</w:t>
      </w:r>
    </w:p>
    <w:p w14:paraId="4D52C272">
      <w:pPr>
        <w:keepNext w:val="0"/>
        <w:keepLines w:val="0"/>
        <w:pageBreakBefore w:val="0"/>
        <w:kinsoku/>
        <w:wordWrap/>
        <w:overflowPunct/>
        <w:topLinePunct w:val="0"/>
        <w:autoSpaceDE w:val="0"/>
        <w:autoSpaceDN w:val="0"/>
        <w:bidi w:val="0"/>
        <w:outlineLvl w:val="9"/>
        <w:rPr>
          <w:rFonts w:hint="default" w:ascii="Times New Roman" w:hAnsi="Times New Roman" w:eastAsia="宋体" w:cs="Times New Roman"/>
          <w:b/>
          <w:bCs/>
          <w:color w:val="auto"/>
          <w:spacing w:val="0"/>
          <w:kern w:val="32"/>
          <w:szCs w:val="24"/>
          <w:highlight w:val="none"/>
        </w:rPr>
      </w:pPr>
      <w:bookmarkStart w:id="307" w:name="_Toc254884641"/>
      <w:r>
        <w:rPr>
          <w:rFonts w:hint="default" w:ascii="Times New Roman" w:hAnsi="Times New Roman" w:eastAsia="宋体" w:cs="Times New Roman"/>
          <w:b/>
          <w:bCs/>
          <w:color w:val="auto"/>
          <w:spacing w:val="0"/>
          <w:kern w:val="32"/>
          <w:szCs w:val="24"/>
          <w:highlight w:val="none"/>
        </w:rPr>
        <w:t>3. 双方职责</w:t>
      </w:r>
      <w:bookmarkEnd w:id="307"/>
    </w:p>
    <w:p w14:paraId="0D86CF81">
      <w:pPr>
        <w:keepNext w:val="0"/>
        <w:keepLines w:val="0"/>
        <w:pageBreakBefore w:val="0"/>
        <w:kinsoku/>
        <w:wordWrap/>
        <w:overflowPunct/>
        <w:topLinePunct w:val="0"/>
        <w:autoSpaceDE w:val="0"/>
        <w:autoSpaceDN w:val="0"/>
        <w:bidi w:val="0"/>
        <w:outlineLvl w:val="9"/>
        <w:rPr>
          <w:rFonts w:hint="default" w:ascii="Times New Roman" w:hAnsi="Times New Roman" w:eastAsia="宋体" w:cs="Times New Roman"/>
          <w:b/>
          <w:bCs/>
          <w:color w:val="auto"/>
          <w:spacing w:val="0"/>
          <w:kern w:val="32"/>
          <w:szCs w:val="24"/>
          <w:highlight w:val="none"/>
        </w:rPr>
      </w:pPr>
      <w:bookmarkStart w:id="308" w:name="_Toc254884642"/>
      <w:r>
        <w:rPr>
          <w:rFonts w:hint="default" w:ascii="Times New Roman" w:hAnsi="Times New Roman" w:eastAsia="宋体" w:cs="Times New Roman"/>
          <w:b/>
          <w:bCs/>
          <w:color w:val="auto"/>
          <w:spacing w:val="0"/>
          <w:kern w:val="32"/>
          <w:szCs w:val="24"/>
          <w:highlight w:val="none"/>
        </w:rPr>
        <w:t>3.1乙方</w:t>
      </w:r>
      <w:bookmarkEnd w:id="308"/>
    </w:p>
    <w:p w14:paraId="4A4A736E">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szCs w:val="24"/>
          <w:highlight w:val="none"/>
        </w:rPr>
      </w:pPr>
      <w:r>
        <w:rPr>
          <w:rFonts w:hint="default" w:ascii="Times New Roman" w:hAnsi="Times New Roman" w:eastAsia="宋体" w:cs="Times New Roman"/>
          <w:color w:val="auto"/>
          <w:spacing w:val="0"/>
          <w:szCs w:val="24"/>
          <w:highlight w:val="none"/>
        </w:rPr>
        <w:t>除本协议描述的服务水平衡量和目标外，乙方还应：</w:t>
      </w:r>
    </w:p>
    <w:p w14:paraId="77B3510E">
      <w:pPr>
        <w:keepNext w:val="0"/>
        <w:keepLines w:val="0"/>
        <w:pageBreakBefore w:val="0"/>
        <w:widowControl/>
        <w:numPr>
          <w:ilvl w:val="0"/>
          <w:numId w:val="41"/>
        </w:numPr>
        <w:kinsoku/>
        <w:wordWrap/>
        <w:overflowPunct/>
        <w:topLinePunct w:val="0"/>
        <w:autoSpaceDE w:val="0"/>
        <w:autoSpaceDN w:val="0"/>
        <w:bidi w:val="0"/>
        <w:adjustRightInd/>
        <w:snapToGrid/>
        <w:spacing w:line="360" w:lineRule="auto"/>
        <w:ind w:left="0"/>
        <w:jc w:val="left"/>
        <w:textAlignment w:val="auto"/>
        <w:outlineLvl w:val="9"/>
        <w:rPr>
          <w:rFonts w:hint="default" w:ascii="Times New Roman" w:hAnsi="Times New Roman" w:eastAsia="宋体" w:cs="Times New Roman"/>
          <w:color w:val="auto"/>
          <w:spacing w:val="0"/>
          <w:szCs w:val="24"/>
          <w:highlight w:val="none"/>
        </w:rPr>
      </w:pPr>
      <w:r>
        <w:rPr>
          <w:rFonts w:hint="default" w:ascii="Times New Roman" w:hAnsi="Times New Roman" w:eastAsia="宋体" w:cs="Times New Roman"/>
          <w:color w:val="auto"/>
          <w:spacing w:val="0"/>
          <w:szCs w:val="24"/>
          <w:highlight w:val="none"/>
        </w:rPr>
        <w:t>尽快向甲方管理层汇报发现的问题；</w:t>
      </w:r>
    </w:p>
    <w:p w14:paraId="0ACABA7D">
      <w:pPr>
        <w:keepNext w:val="0"/>
        <w:keepLines w:val="0"/>
        <w:pageBreakBefore w:val="0"/>
        <w:widowControl/>
        <w:numPr>
          <w:ilvl w:val="0"/>
          <w:numId w:val="41"/>
        </w:numPr>
        <w:kinsoku/>
        <w:wordWrap/>
        <w:overflowPunct/>
        <w:topLinePunct w:val="0"/>
        <w:autoSpaceDE w:val="0"/>
        <w:autoSpaceDN w:val="0"/>
        <w:bidi w:val="0"/>
        <w:adjustRightInd/>
        <w:snapToGrid/>
        <w:spacing w:line="360" w:lineRule="auto"/>
        <w:ind w:left="0"/>
        <w:jc w:val="left"/>
        <w:textAlignment w:val="auto"/>
        <w:outlineLvl w:val="9"/>
        <w:rPr>
          <w:rFonts w:hint="default" w:ascii="Times New Roman" w:hAnsi="Times New Roman" w:eastAsia="宋体" w:cs="Times New Roman"/>
          <w:color w:val="auto"/>
          <w:spacing w:val="0"/>
          <w:szCs w:val="24"/>
          <w:highlight w:val="none"/>
        </w:rPr>
      </w:pPr>
      <w:r>
        <w:rPr>
          <w:rFonts w:hint="default" w:ascii="Times New Roman" w:hAnsi="Times New Roman" w:eastAsia="宋体" w:cs="Times New Roman"/>
          <w:color w:val="auto"/>
          <w:spacing w:val="0"/>
          <w:szCs w:val="24"/>
          <w:highlight w:val="none"/>
        </w:rPr>
        <w:t>任何可能影响SLA中规定服务的服务能力的事件，乙方应尽早向甲方提供预警信息，以及可能的影响和处置措施。事件包括：</w:t>
      </w:r>
    </w:p>
    <w:p w14:paraId="1A56ABEB">
      <w:pPr>
        <w:keepNext w:val="0"/>
        <w:keepLines w:val="0"/>
        <w:pageBreakBefore w:val="0"/>
        <w:widowControl/>
        <w:numPr>
          <w:ilvl w:val="0"/>
          <w:numId w:val="42"/>
        </w:numPr>
        <w:tabs>
          <w:tab w:val="left" w:pos="0"/>
          <w:tab w:val="clear" w:pos="420"/>
        </w:tabs>
        <w:kinsoku/>
        <w:wordWrap/>
        <w:overflowPunct/>
        <w:topLinePunct w:val="0"/>
        <w:autoSpaceDE w:val="0"/>
        <w:autoSpaceDN w:val="0"/>
        <w:bidi w:val="0"/>
        <w:adjustRightInd/>
        <w:snapToGrid/>
        <w:spacing w:line="360" w:lineRule="auto"/>
        <w:ind w:left="420" w:leftChars="0"/>
        <w:jc w:val="left"/>
        <w:textAlignment w:val="auto"/>
        <w:outlineLvl w:val="9"/>
        <w:rPr>
          <w:rFonts w:hint="default" w:ascii="Times New Roman" w:hAnsi="Times New Roman" w:eastAsia="宋体" w:cs="Times New Roman"/>
          <w:color w:val="auto"/>
          <w:spacing w:val="0"/>
          <w:szCs w:val="24"/>
          <w:highlight w:val="none"/>
        </w:rPr>
      </w:pPr>
      <w:r>
        <w:rPr>
          <w:rFonts w:hint="default" w:ascii="Times New Roman" w:hAnsi="Times New Roman" w:eastAsia="宋体" w:cs="Times New Roman"/>
          <w:color w:val="auto"/>
          <w:spacing w:val="0"/>
          <w:szCs w:val="24"/>
          <w:highlight w:val="none"/>
        </w:rPr>
        <w:t>组织架构变更</w:t>
      </w:r>
    </w:p>
    <w:p w14:paraId="4DD91BB9">
      <w:pPr>
        <w:keepNext w:val="0"/>
        <w:keepLines w:val="0"/>
        <w:pageBreakBefore w:val="0"/>
        <w:widowControl/>
        <w:numPr>
          <w:ilvl w:val="0"/>
          <w:numId w:val="42"/>
        </w:numPr>
        <w:tabs>
          <w:tab w:val="left" w:pos="0"/>
          <w:tab w:val="clear" w:pos="420"/>
        </w:tabs>
        <w:kinsoku/>
        <w:wordWrap/>
        <w:overflowPunct/>
        <w:topLinePunct w:val="0"/>
        <w:autoSpaceDE w:val="0"/>
        <w:autoSpaceDN w:val="0"/>
        <w:bidi w:val="0"/>
        <w:adjustRightInd/>
        <w:snapToGrid/>
        <w:spacing w:line="360" w:lineRule="auto"/>
        <w:ind w:left="420" w:leftChars="0"/>
        <w:jc w:val="left"/>
        <w:textAlignment w:val="auto"/>
        <w:outlineLvl w:val="9"/>
        <w:rPr>
          <w:rFonts w:hint="default" w:ascii="Times New Roman" w:hAnsi="Times New Roman" w:eastAsia="宋体" w:cs="Times New Roman"/>
          <w:color w:val="auto"/>
          <w:spacing w:val="0"/>
          <w:szCs w:val="24"/>
          <w:highlight w:val="none"/>
        </w:rPr>
      </w:pPr>
      <w:r>
        <w:rPr>
          <w:rFonts w:hint="default" w:ascii="Times New Roman" w:hAnsi="Times New Roman" w:eastAsia="宋体" w:cs="Times New Roman"/>
          <w:color w:val="auto"/>
          <w:spacing w:val="0"/>
          <w:szCs w:val="24"/>
          <w:highlight w:val="none"/>
        </w:rPr>
        <w:t>技术变更</w:t>
      </w:r>
    </w:p>
    <w:p w14:paraId="1D3CDA36">
      <w:pPr>
        <w:keepNext w:val="0"/>
        <w:keepLines w:val="0"/>
        <w:pageBreakBefore w:val="0"/>
        <w:widowControl/>
        <w:numPr>
          <w:ilvl w:val="0"/>
          <w:numId w:val="42"/>
        </w:numPr>
        <w:tabs>
          <w:tab w:val="left" w:pos="0"/>
          <w:tab w:val="clear" w:pos="420"/>
        </w:tabs>
        <w:kinsoku/>
        <w:wordWrap/>
        <w:overflowPunct/>
        <w:topLinePunct w:val="0"/>
        <w:autoSpaceDE w:val="0"/>
        <w:autoSpaceDN w:val="0"/>
        <w:bidi w:val="0"/>
        <w:adjustRightInd/>
        <w:snapToGrid/>
        <w:spacing w:line="360" w:lineRule="auto"/>
        <w:ind w:left="420" w:leftChars="0"/>
        <w:jc w:val="left"/>
        <w:textAlignment w:val="auto"/>
        <w:outlineLvl w:val="9"/>
        <w:rPr>
          <w:rFonts w:hint="default" w:ascii="Times New Roman" w:hAnsi="Times New Roman" w:eastAsia="宋体" w:cs="Times New Roman"/>
          <w:color w:val="auto"/>
          <w:spacing w:val="0"/>
          <w:szCs w:val="24"/>
          <w:highlight w:val="none"/>
        </w:rPr>
      </w:pPr>
      <w:r>
        <w:rPr>
          <w:rFonts w:hint="default" w:ascii="Times New Roman" w:hAnsi="Times New Roman" w:eastAsia="宋体" w:cs="Times New Roman"/>
          <w:color w:val="auto"/>
          <w:spacing w:val="0"/>
          <w:szCs w:val="24"/>
          <w:highlight w:val="none"/>
        </w:rPr>
        <w:t>职能变更</w:t>
      </w:r>
    </w:p>
    <w:p w14:paraId="7E62C550">
      <w:pPr>
        <w:keepNext w:val="0"/>
        <w:keepLines w:val="0"/>
        <w:pageBreakBefore w:val="0"/>
        <w:widowControl/>
        <w:numPr>
          <w:ilvl w:val="0"/>
          <w:numId w:val="42"/>
        </w:numPr>
        <w:tabs>
          <w:tab w:val="left" w:pos="0"/>
          <w:tab w:val="clear" w:pos="420"/>
        </w:tabs>
        <w:kinsoku/>
        <w:wordWrap/>
        <w:overflowPunct/>
        <w:topLinePunct w:val="0"/>
        <w:autoSpaceDE w:val="0"/>
        <w:autoSpaceDN w:val="0"/>
        <w:bidi w:val="0"/>
        <w:adjustRightInd/>
        <w:snapToGrid/>
        <w:spacing w:line="360" w:lineRule="auto"/>
        <w:ind w:left="420" w:leftChars="0"/>
        <w:jc w:val="left"/>
        <w:textAlignment w:val="auto"/>
        <w:outlineLvl w:val="9"/>
        <w:rPr>
          <w:rFonts w:hint="default" w:ascii="Times New Roman" w:hAnsi="Times New Roman" w:eastAsia="宋体" w:cs="Times New Roman"/>
          <w:color w:val="auto"/>
          <w:spacing w:val="0"/>
          <w:szCs w:val="24"/>
          <w:highlight w:val="none"/>
        </w:rPr>
      </w:pPr>
      <w:r>
        <w:rPr>
          <w:rFonts w:hint="default" w:ascii="Times New Roman" w:hAnsi="Times New Roman" w:eastAsia="宋体" w:cs="Times New Roman"/>
          <w:color w:val="auto"/>
          <w:spacing w:val="0"/>
          <w:szCs w:val="24"/>
          <w:highlight w:val="none"/>
        </w:rPr>
        <w:t>其他可能影响对甲方服务的突发事件</w:t>
      </w:r>
    </w:p>
    <w:p w14:paraId="09F26392">
      <w:pPr>
        <w:keepNext w:val="0"/>
        <w:keepLines w:val="0"/>
        <w:pageBreakBefore w:val="0"/>
        <w:widowControl/>
        <w:numPr>
          <w:ilvl w:val="0"/>
          <w:numId w:val="41"/>
        </w:numPr>
        <w:kinsoku/>
        <w:wordWrap/>
        <w:overflowPunct/>
        <w:topLinePunct w:val="0"/>
        <w:autoSpaceDE w:val="0"/>
        <w:autoSpaceDN w:val="0"/>
        <w:bidi w:val="0"/>
        <w:adjustRightInd/>
        <w:snapToGrid/>
        <w:spacing w:line="360" w:lineRule="auto"/>
        <w:ind w:left="0"/>
        <w:jc w:val="left"/>
        <w:textAlignment w:val="auto"/>
        <w:outlineLvl w:val="9"/>
        <w:rPr>
          <w:rFonts w:hint="default" w:ascii="Times New Roman" w:hAnsi="Times New Roman" w:eastAsia="宋体" w:cs="Times New Roman"/>
          <w:color w:val="auto"/>
          <w:spacing w:val="0"/>
          <w:szCs w:val="24"/>
          <w:highlight w:val="none"/>
        </w:rPr>
      </w:pPr>
      <w:r>
        <w:rPr>
          <w:rFonts w:hint="default" w:ascii="Times New Roman" w:hAnsi="Times New Roman" w:eastAsia="宋体" w:cs="Times New Roman"/>
          <w:color w:val="auto"/>
          <w:spacing w:val="0"/>
          <w:szCs w:val="24"/>
          <w:highlight w:val="none"/>
        </w:rPr>
        <w:t>协助甲方及时解决生产事件。当问题产生时，应尽快采取适当的措施识别并修复问题。</w:t>
      </w:r>
    </w:p>
    <w:p w14:paraId="5AB22F0A">
      <w:pPr>
        <w:keepNext w:val="0"/>
        <w:keepLines w:val="0"/>
        <w:pageBreakBefore w:val="0"/>
        <w:kinsoku/>
        <w:wordWrap/>
        <w:overflowPunct/>
        <w:topLinePunct w:val="0"/>
        <w:autoSpaceDE w:val="0"/>
        <w:autoSpaceDN w:val="0"/>
        <w:bidi w:val="0"/>
        <w:outlineLvl w:val="9"/>
        <w:rPr>
          <w:rFonts w:hint="default" w:ascii="Times New Roman" w:hAnsi="Times New Roman" w:eastAsia="宋体" w:cs="Times New Roman"/>
          <w:b/>
          <w:bCs/>
          <w:color w:val="auto"/>
          <w:spacing w:val="0"/>
          <w:kern w:val="32"/>
          <w:szCs w:val="24"/>
          <w:highlight w:val="none"/>
        </w:rPr>
      </w:pPr>
      <w:r>
        <w:rPr>
          <w:rFonts w:hint="default" w:ascii="Times New Roman" w:hAnsi="Times New Roman" w:eastAsia="宋体" w:cs="Times New Roman"/>
          <w:b/>
          <w:bCs/>
          <w:color w:val="auto"/>
          <w:spacing w:val="0"/>
          <w:kern w:val="32"/>
          <w:szCs w:val="24"/>
          <w:highlight w:val="none"/>
        </w:rPr>
        <w:t>3.2甲方</w:t>
      </w:r>
    </w:p>
    <w:p w14:paraId="0034BB9C">
      <w:pPr>
        <w:keepNext w:val="0"/>
        <w:keepLines w:val="0"/>
        <w:pageBreakBefore w:val="0"/>
        <w:widowControl/>
        <w:numPr>
          <w:ilvl w:val="0"/>
          <w:numId w:val="41"/>
        </w:numPr>
        <w:kinsoku/>
        <w:wordWrap/>
        <w:overflowPunct/>
        <w:topLinePunct w:val="0"/>
        <w:autoSpaceDE w:val="0"/>
        <w:autoSpaceDN w:val="0"/>
        <w:bidi w:val="0"/>
        <w:adjustRightInd/>
        <w:snapToGrid/>
        <w:spacing w:line="360" w:lineRule="auto"/>
        <w:ind w:left="0"/>
        <w:jc w:val="left"/>
        <w:textAlignment w:val="auto"/>
        <w:outlineLvl w:val="9"/>
        <w:rPr>
          <w:rFonts w:hint="default" w:ascii="Times New Roman" w:hAnsi="Times New Roman" w:eastAsia="宋体" w:cs="Times New Roman"/>
          <w:color w:val="auto"/>
          <w:spacing w:val="0"/>
          <w:szCs w:val="24"/>
          <w:highlight w:val="none"/>
        </w:rPr>
      </w:pPr>
      <w:r>
        <w:rPr>
          <w:rFonts w:hint="default" w:ascii="Times New Roman" w:hAnsi="Times New Roman" w:eastAsia="宋体" w:cs="Times New Roman"/>
          <w:color w:val="auto"/>
          <w:spacing w:val="0"/>
          <w:szCs w:val="24"/>
          <w:highlight w:val="none"/>
        </w:rPr>
        <w:t>甲方将尽快将问题汇报给乙方管理层；</w:t>
      </w:r>
    </w:p>
    <w:p w14:paraId="58287631">
      <w:pPr>
        <w:keepNext w:val="0"/>
        <w:keepLines w:val="0"/>
        <w:pageBreakBefore w:val="0"/>
        <w:widowControl/>
        <w:numPr>
          <w:ilvl w:val="0"/>
          <w:numId w:val="41"/>
        </w:numPr>
        <w:kinsoku/>
        <w:wordWrap/>
        <w:overflowPunct/>
        <w:topLinePunct w:val="0"/>
        <w:autoSpaceDE w:val="0"/>
        <w:autoSpaceDN w:val="0"/>
        <w:bidi w:val="0"/>
        <w:adjustRightInd/>
        <w:snapToGrid/>
        <w:spacing w:line="360" w:lineRule="auto"/>
        <w:ind w:left="0"/>
        <w:jc w:val="left"/>
        <w:textAlignment w:val="auto"/>
        <w:outlineLvl w:val="9"/>
        <w:rPr>
          <w:rFonts w:hint="default" w:ascii="Times New Roman" w:hAnsi="Times New Roman" w:eastAsia="宋体" w:cs="Times New Roman"/>
          <w:color w:val="auto"/>
          <w:spacing w:val="0"/>
          <w:szCs w:val="24"/>
          <w:highlight w:val="none"/>
        </w:rPr>
      </w:pPr>
      <w:r>
        <w:rPr>
          <w:rFonts w:hint="default" w:ascii="Times New Roman" w:hAnsi="Times New Roman" w:eastAsia="宋体" w:cs="Times New Roman"/>
          <w:color w:val="auto"/>
          <w:spacing w:val="0"/>
          <w:szCs w:val="24"/>
          <w:highlight w:val="none"/>
        </w:rPr>
        <w:t>提供任何可能影响乙方向甲方提供SLA中规定服务的服务能力的事件信息，包括：</w:t>
      </w:r>
    </w:p>
    <w:p w14:paraId="10E7D8A8">
      <w:pPr>
        <w:keepNext w:val="0"/>
        <w:keepLines w:val="0"/>
        <w:pageBreakBefore w:val="0"/>
        <w:widowControl/>
        <w:numPr>
          <w:ilvl w:val="0"/>
          <w:numId w:val="42"/>
        </w:numPr>
        <w:tabs>
          <w:tab w:val="left" w:pos="0"/>
          <w:tab w:val="clear" w:pos="420"/>
        </w:tabs>
        <w:kinsoku/>
        <w:wordWrap/>
        <w:overflowPunct/>
        <w:topLinePunct w:val="0"/>
        <w:autoSpaceDE w:val="0"/>
        <w:autoSpaceDN w:val="0"/>
        <w:bidi w:val="0"/>
        <w:adjustRightInd/>
        <w:snapToGrid/>
        <w:spacing w:line="360" w:lineRule="auto"/>
        <w:ind w:left="420" w:leftChars="0"/>
        <w:jc w:val="left"/>
        <w:textAlignment w:val="auto"/>
        <w:outlineLvl w:val="9"/>
        <w:rPr>
          <w:rFonts w:hint="default" w:ascii="Times New Roman" w:hAnsi="Times New Roman" w:eastAsia="宋体" w:cs="Times New Roman"/>
          <w:color w:val="auto"/>
          <w:spacing w:val="0"/>
          <w:szCs w:val="24"/>
          <w:highlight w:val="none"/>
        </w:rPr>
      </w:pPr>
      <w:r>
        <w:rPr>
          <w:rFonts w:hint="default" w:ascii="Times New Roman" w:hAnsi="Times New Roman" w:eastAsia="宋体" w:cs="Times New Roman"/>
          <w:color w:val="auto"/>
          <w:spacing w:val="0"/>
          <w:szCs w:val="24"/>
          <w:highlight w:val="none"/>
        </w:rPr>
        <w:t>组织架构变更</w:t>
      </w:r>
    </w:p>
    <w:p w14:paraId="1ACAE005">
      <w:pPr>
        <w:keepNext w:val="0"/>
        <w:keepLines w:val="0"/>
        <w:pageBreakBefore w:val="0"/>
        <w:widowControl/>
        <w:numPr>
          <w:ilvl w:val="0"/>
          <w:numId w:val="42"/>
        </w:numPr>
        <w:tabs>
          <w:tab w:val="left" w:pos="0"/>
          <w:tab w:val="clear" w:pos="420"/>
        </w:tabs>
        <w:kinsoku/>
        <w:wordWrap/>
        <w:overflowPunct/>
        <w:topLinePunct w:val="0"/>
        <w:autoSpaceDE w:val="0"/>
        <w:autoSpaceDN w:val="0"/>
        <w:bidi w:val="0"/>
        <w:adjustRightInd/>
        <w:snapToGrid/>
        <w:spacing w:line="360" w:lineRule="auto"/>
        <w:ind w:left="420" w:leftChars="0"/>
        <w:jc w:val="left"/>
        <w:textAlignment w:val="auto"/>
        <w:outlineLvl w:val="9"/>
        <w:rPr>
          <w:rFonts w:hint="default" w:ascii="Times New Roman" w:hAnsi="Times New Roman" w:eastAsia="宋体" w:cs="Times New Roman"/>
          <w:color w:val="auto"/>
          <w:spacing w:val="0"/>
          <w:szCs w:val="24"/>
          <w:highlight w:val="none"/>
        </w:rPr>
      </w:pPr>
      <w:r>
        <w:rPr>
          <w:rFonts w:hint="default" w:ascii="Times New Roman" w:hAnsi="Times New Roman" w:eastAsia="宋体" w:cs="Times New Roman"/>
          <w:color w:val="auto"/>
          <w:spacing w:val="0"/>
          <w:szCs w:val="24"/>
          <w:highlight w:val="none"/>
        </w:rPr>
        <w:t>技术变更</w:t>
      </w:r>
    </w:p>
    <w:p w14:paraId="6B83DA18">
      <w:pPr>
        <w:keepNext w:val="0"/>
        <w:keepLines w:val="0"/>
        <w:pageBreakBefore w:val="0"/>
        <w:widowControl/>
        <w:numPr>
          <w:ilvl w:val="0"/>
          <w:numId w:val="42"/>
        </w:numPr>
        <w:tabs>
          <w:tab w:val="left" w:pos="0"/>
          <w:tab w:val="clear" w:pos="420"/>
        </w:tabs>
        <w:kinsoku/>
        <w:wordWrap/>
        <w:overflowPunct/>
        <w:topLinePunct w:val="0"/>
        <w:autoSpaceDE w:val="0"/>
        <w:autoSpaceDN w:val="0"/>
        <w:bidi w:val="0"/>
        <w:adjustRightInd/>
        <w:snapToGrid/>
        <w:spacing w:line="360" w:lineRule="auto"/>
        <w:ind w:left="420" w:leftChars="0"/>
        <w:jc w:val="left"/>
        <w:textAlignment w:val="auto"/>
        <w:outlineLvl w:val="9"/>
        <w:rPr>
          <w:rFonts w:hint="default" w:ascii="Times New Roman" w:hAnsi="Times New Roman" w:eastAsia="宋体" w:cs="Times New Roman"/>
          <w:color w:val="auto"/>
          <w:spacing w:val="0"/>
          <w:szCs w:val="24"/>
          <w:highlight w:val="none"/>
        </w:rPr>
      </w:pPr>
      <w:r>
        <w:rPr>
          <w:rFonts w:hint="default" w:ascii="Times New Roman" w:hAnsi="Times New Roman" w:eastAsia="宋体" w:cs="Times New Roman"/>
          <w:color w:val="auto"/>
          <w:spacing w:val="0"/>
          <w:szCs w:val="24"/>
          <w:highlight w:val="none"/>
        </w:rPr>
        <w:t>职能变更</w:t>
      </w:r>
    </w:p>
    <w:p w14:paraId="512F80A0">
      <w:pPr>
        <w:keepNext w:val="0"/>
        <w:keepLines w:val="0"/>
        <w:pageBreakBefore w:val="0"/>
        <w:kinsoku/>
        <w:wordWrap/>
        <w:overflowPunct/>
        <w:topLinePunct w:val="0"/>
        <w:autoSpaceDE w:val="0"/>
        <w:autoSpaceDN w:val="0"/>
        <w:bidi w:val="0"/>
        <w:outlineLvl w:val="9"/>
        <w:rPr>
          <w:rFonts w:hint="default" w:ascii="Times New Roman" w:hAnsi="Times New Roman" w:eastAsia="宋体" w:cs="Times New Roman"/>
          <w:b/>
          <w:bCs/>
          <w:color w:val="auto"/>
          <w:spacing w:val="0"/>
          <w:kern w:val="32"/>
          <w:szCs w:val="24"/>
          <w:highlight w:val="none"/>
        </w:rPr>
      </w:pPr>
      <w:bookmarkStart w:id="309" w:name="_Toc254884644"/>
      <w:r>
        <w:rPr>
          <w:rFonts w:hint="default" w:ascii="Times New Roman" w:hAnsi="Times New Roman" w:eastAsia="宋体" w:cs="Times New Roman"/>
          <w:b/>
          <w:bCs/>
          <w:color w:val="auto"/>
          <w:spacing w:val="0"/>
          <w:kern w:val="32"/>
          <w:szCs w:val="24"/>
          <w:highlight w:val="none"/>
        </w:rPr>
        <w:t>4. 服务内容</w:t>
      </w:r>
      <w:bookmarkEnd w:id="309"/>
    </w:p>
    <w:tbl>
      <w:tblPr>
        <w:tblStyle w:val="22"/>
        <w:tblW w:w="889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6"/>
        <w:gridCol w:w="2022"/>
        <w:gridCol w:w="6059"/>
      </w:tblGrid>
      <w:tr w14:paraId="46394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8897" w:type="dxa"/>
            <w:gridSpan w:val="3"/>
            <w:tcBorders>
              <w:tl2br w:val="nil"/>
              <w:tr2bl w:val="nil"/>
            </w:tcBorders>
            <w:vAlign w:val="center"/>
          </w:tcPr>
          <w:p w14:paraId="6E9595CC">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b/>
                <w:bCs/>
                <w:color w:val="auto"/>
                <w:spacing w:val="0"/>
                <w:kern w:val="32"/>
                <w:sz w:val="21"/>
                <w:szCs w:val="21"/>
                <w:highlight w:val="none"/>
              </w:rPr>
              <w:t>4.1技术管理</w:t>
            </w:r>
          </w:p>
        </w:tc>
      </w:tr>
      <w:tr w14:paraId="438A1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1" w:hRule="exact"/>
        </w:trPr>
        <w:tc>
          <w:tcPr>
            <w:tcW w:w="816" w:type="dxa"/>
            <w:tcBorders>
              <w:tl2br w:val="nil"/>
              <w:tr2bl w:val="nil"/>
            </w:tcBorders>
            <w:vAlign w:val="center"/>
          </w:tcPr>
          <w:p w14:paraId="3F10E8B5">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4.1.1</w:t>
            </w:r>
          </w:p>
        </w:tc>
        <w:tc>
          <w:tcPr>
            <w:tcW w:w="2022" w:type="dxa"/>
            <w:tcBorders>
              <w:tl2br w:val="nil"/>
              <w:tr2bl w:val="nil"/>
            </w:tcBorders>
            <w:vAlign w:val="center"/>
          </w:tcPr>
          <w:p w14:paraId="1E4EF8EC">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项目执行控制</w:t>
            </w:r>
          </w:p>
        </w:tc>
        <w:tc>
          <w:tcPr>
            <w:tcW w:w="6059" w:type="dxa"/>
            <w:tcBorders>
              <w:tl2br w:val="nil"/>
              <w:tr2bl w:val="nil"/>
            </w:tcBorders>
            <w:vAlign w:val="center"/>
          </w:tcPr>
          <w:p w14:paraId="79412F40">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管理目标、沟通和范围</w:t>
            </w:r>
          </w:p>
        </w:tc>
      </w:tr>
      <w:tr w14:paraId="458E1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exact"/>
        </w:trPr>
        <w:tc>
          <w:tcPr>
            <w:tcW w:w="816" w:type="dxa"/>
            <w:tcBorders>
              <w:tl2br w:val="nil"/>
              <w:tr2bl w:val="nil"/>
            </w:tcBorders>
            <w:vAlign w:val="center"/>
          </w:tcPr>
          <w:p w14:paraId="29D85B5C">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4.1.2</w:t>
            </w:r>
          </w:p>
        </w:tc>
        <w:tc>
          <w:tcPr>
            <w:tcW w:w="2022" w:type="dxa"/>
            <w:tcBorders>
              <w:tl2br w:val="nil"/>
              <w:tr2bl w:val="nil"/>
            </w:tcBorders>
            <w:vAlign w:val="center"/>
          </w:tcPr>
          <w:p w14:paraId="774269B3">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系统部署</w:t>
            </w:r>
          </w:p>
        </w:tc>
        <w:tc>
          <w:tcPr>
            <w:tcW w:w="6059" w:type="dxa"/>
            <w:tcBorders>
              <w:tl2br w:val="nil"/>
              <w:tr2bl w:val="nil"/>
            </w:tcBorders>
            <w:vAlign w:val="center"/>
          </w:tcPr>
          <w:p w14:paraId="23A10A6D">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在甲方所提供的技术环境内配置和部署系统接入所需的资源</w:t>
            </w:r>
          </w:p>
        </w:tc>
      </w:tr>
      <w:tr w14:paraId="42291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5" w:hRule="exact"/>
        </w:trPr>
        <w:tc>
          <w:tcPr>
            <w:tcW w:w="816" w:type="dxa"/>
            <w:tcBorders>
              <w:tl2br w:val="nil"/>
              <w:tr2bl w:val="nil"/>
            </w:tcBorders>
            <w:vAlign w:val="center"/>
          </w:tcPr>
          <w:p w14:paraId="6A805524">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4.1.3</w:t>
            </w:r>
          </w:p>
        </w:tc>
        <w:tc>
          <w:tcPr>
            <w:tcW w:w="2022" w:type="dxa"/>
            <w:tcBorders>
              <w:tl2br w:val="nil"/>
              <w:tr2bl w:val="nil"/>
            </w:tcBorders>
            <w:vAlign w:val="center"/>
          </w:tcPr>
          <w:p w14:paraId="3D42341A">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管理系统</w:t>
            </w:r>
          </w:p>
        </w:tc>
        <w:tc>
          <w:tcPr>
            <w:tcW w:w="6059" w:type="dxa"/>
            <w:tcBorders>
              <w:tl2br w:val="nil"/>
              <w:tr2bl w:val="nil"/>
            </w:tcBorders>
            <w:vAlign w:val="center"/>
          </w:tcPr>
          <w:p w14:paraId="6673F12F">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管理运行过程中的各个环节和环境（如测试、培训、维护等）</w:t>
            </w:r>
          </w:p>
        </w:tc>
      </w:tr>
      <w:tr w14:paraId="0BCA2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exact"/>
        </w:trPr>
        <w:tc>
          <w:tcPr>
            <w:tcW w:w="8897" w:type="dxa"/>
            <w:gridSpan w:val="3"/>
            <w:tcBorders>
              <w:tl2br w:val="nil"/>
              <w:tr2bl w:val="nil"/>
            </w:tcBorders>
            <w:vAlign w:val="center"/>
          </w:tcPr>
          <w:p w14:paraId="32A2ABD1">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outlineLvl w:val="9"/>
              <w:rPr>
                <w:rFonts w:hint="default" w:ascii="Times New Roman" w:hAnsi="Times New Roman" w:eastAsia="宋体" w:cs="Times New Roman"/>
                <w:b/>
                <w:color w:val="auto"/>
                <w:spacing w:val="0"/>
                <w:sz w:val="21"/>
                <w:szCs w:val="21"/>
                <w:highlight w:val="none"/>
              </w:rPr>
            </w:pPr>
            <w:r>
              <w:rPr>
                <w:rFonts w:hint="default" w:ascii="Times New Roman" w:hAnsi="Times New Roman" w:eastAsia="宋体" w:cs="Times New Roman"/>
                <w:b/>
                <w:color w:val="auto"/>
                <w:spacing w:val="0"/>
                <w:sz w:val="21"/>
                <w:szCs w:val="21"/>
                <w:highlight w:val="none"/>
              </w:rPr>
              <w:t>4.2系统处理</w:t>
            </w:r>
          </w:p>
        </w:tc>
      </w:tr>
      <w:tr w14:paraId="2484D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9" w:hRule="atLeast"/>
        </w:trPr>
        <w:tc>
          <w:tcPr>
            <w:tcW w:w="816" w:type="dxa"/>
            <w:tcBorders>
              <w:tl2br w:val="nil"/>
              <w:tr2bl w:val="nil"/>
            </w:tcBorders>
            <w:vAlign w:val="center"/>
          </w:tcPr>
          <w:p w14:paraId="0D08A435">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4.2.1</w:t>
            </w:r>
          </w:p>
        </w:tc>
        <w:tc>
          <w:tcPr>
            <w:tcW w:w="2022" w:type="dxa"/>
            <w:tcBorders>
              <w:tl2br w:val="nil"/>
              <w:tr2bl w:val="nil"/>
            </w:tcBorders>
            <w:vAlign w:val="center"/>
          </w:tcPr>
          <w:p w14:paraId="1707C951">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备份</w:t>
            </w:r>
          </w:p>
        </w:tc>
        <w:tc>
          <w:tcPr>
            <w:tcW w:w="6059" w:type="dxa"/>
            <w:tcBorders>
              <w:tl2br w:val="nil"/>
              <w:tr2bl w:val="nil"/>
            </w:tcBorders>
            <w:vAlign w:val="center"/>
          </w:tcPr>
          <w:p w14:paraId="7A8D8A4C">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提供数据容量规划咨询，设计系统的备份策略，完成其有效性验证</w:t>
            </w:r>
          </w:p>
        </w:tc>
      </w:tr>
      <w:tr w14:paraId="0BF82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816" w:type="dxa"/>
            <w:tcBorders>
              <w:tl2br w:val="nil"/>
              <w:tr2bl w:val="nil"/>
            </w:tcBorders>
            <w:vAlign w:val="center"/>
          </w:tcPr>
          <w:p w14:paraId="7E07B8DD">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4.2.2</w:t>
            </w:r>
          </w:p>
        </w:tc>
        <w:tc>
          <w:tcPr>
            <w:tcW w:w="2022" w:type="dxa"/>
            <w:tcBorders>
              <w:tl2br w:val="nil"/>
              <w:tr2bl w:val="nil"/>
            </w:tcBorders>
            <w:vAlign w:val="center"/>
          </w:tcPr>
          <w:p w14:paraId="2C06F8D1">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恢复</w:t>
            </w:r>
          </w:p>
        </w:tc>
        <w:tc>
          <w:tcPr>
            <w:tcW w:w="6059" w:type="dxa"/>
            <w:tcBorders>
              <w:tl2br w:val="nil"/>
              <w:tr2bl w:val="nil"/>
            </w:tcBorders>
            <w:vAlign w:val="center"/>
          </w:tcPr>
          <w:p w14:paraId="1562A0EF">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设计系统的恢复策略，完成其有效性验证</w:t>
            </w:r>
          </w:p>
        </w:tc>
      </w:tr>
      <w:tr w14:paraId="3AA51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exact"/>
        </w:trPr>
        <w:tc>
          <w:tcPr>
            <w:tcW w:w="8897" w:type="dxa"/>
            <w:gridSpan w:val="3"/>
            <w:tcBorders>
              <w:tl2br w:val="nil"/>
              <w:tr2bl w:val="nil"/>
            </w:tcBorders>
            <w:vAlign w:val="center"/>
          </w:tcPr>
          <w:p w14:paraId="0ADE5CD9">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outlineLvl w:val="9"/>
              <w:rPr>
                <w:rFonts w:hint="default" w:ascii="Times New Roman" w:hAnsi="Times New Roman" w:eastAsia="宋体" w:cs="Times New Roman"/>
                <w:b/>
                <w:color w:val="auto"/>
                <w:spacing w:val="0"/>
                <w:sz w:val="21"/>
                <w:szCs w:val="21"/>
                <w:highlight w:val="none"/>
              </w:rPr>
            </w:pPr>
            <w:r>
              <w:rPr>
                <w:rFonts w:hint="default" w:ascii="Times New Roman" w:hAnsi="Times New Roman" w:eastAsia="宋体" w:cs="Times New Roman"/>
                <w:b/>
                <w:color w:val="auto"/>
                <w:spacing w:val="0"/>
                <w:sz w:val="21"/>
                <w:szCs w:val="21"/>
                <w:highlight w:val="none"/>
              </w:rPr>
              <w:t>4.3软件开发及测试</w:t>
            </w:r>
          </w:p>
        </w:tc>
      </w:tr>
      <w:tr w14:paraId="1ACA45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exact"/>
        </w:trPr>
        <w:tc>
          <w:tcPr>
            <w:tcW w:w="816" w:type="dxa"/>
            <w:tcBorders>
              <w:tl2br w:val="nil"/>
              <w:tr2bl w:val="nil"/>
            </w:tcBorders>
            <w:vAlign w:val="center"/>
          </w:tcPr>
          <w:p w14:paraId="77102855">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4.3.1</w:t>
            </w:r>
          </w:p>
        </w:tc>
        <w:tc>
          <w:tcPr>
            <w:tcW w:w="2022" w:type="dxa"/>
            <w:tcBorders>
              <w:tl2br w:val="nil"/>
              <w:tr2bl w:val="nil"/>
            </w:tcBorders>
            <w:vAlign w:val="center"/>
          </w:tcPr>
          <w:p w14:paraId="21B7CBD5">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软件管理</w:t>
            </w:r>
          </w:p>
        </w:tc>
        <w:tc>
          <w:tcPr>
            <w:tcW w:w="6059" w:type="dxa"/>
            <w:tcBorders>
              <w:tl2br w:val="nil"/>
              <w:tr2bl w:val="nil"/>
            </w:tcBorders>
            <w:vAlign w:val="center"/>
          </w:tcPr>
          <w:p w14:paraId="5AFD0F08">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负责管理和设计应用软件，配合进行软件过程开发管理</w:t>
            </w:r>
          </w:p>
        </w:tc>
      </w:tr>
      <w:tr w14:paraId="22566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1" w:hRule="exact"/>
        </w:trPr>
        <w:tc>
          <w:tcPr>
            <w:tcW w:w="816" w:type="dxa"/>
            <w:tcBorders>
              <w:tl2br w:val="nil"/>
              <w:tr2bl w:val="nil"/>
            </w:tcBorders>
            <w:vAlign w:val="center"/>
          </w:tcPr>
          <w:p w14:paraId="02335C6D">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4.3.2</w:t>
            </w:r>
          </w:p>
        </w:tc>
        <w:tc>
          <w:tcPr>
            <w:tcW w:w="2022" w:type="dxa"/>
            <w:tcBorders>
              <w:tl2br w:val="nil"/>
              <w:tr2bl w:val="nil"/>
            </w:tcBorders>
            <w:vAlign w:val="center"/>
          </w:tcPr>
          <w:p w14:paraId="40092A81">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系统接口开发</w:t>
            </w:r>
          </w:p>
        </w:tc>
        <w:tc>
          <w:tcPr>
            <w:tcW w:w="6059" w:type="dxa"/>
            <w:tcBorders>
              <w:tl2br w:val="nil"/>
              <w:tr2bl w:val="nil"/>
            </w:tcBorders>
            <w:vAlign w:val="center"/>
          </w:tcPr>
          <w:p w14:paraId="04CC2AE5">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设计和开发系统内部各模块的接口以及与外部系统进行数据交互的接口</w:t>
            </w:r>
          </w:p>
        </w:tc>
      </w:tr>
      <w:tr w14:paraId="77BAA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exact"/>
        </w:trPr>
        <w:tc>
          <w:tcPr>
            <w:tcW w:w="816" w:type="dxa"/>
            <w:tcBorders>
              <w:tl2br w:val="nil"/>
              <w:tr2bl w:val="nil"/>
            </w:tcBorders>
            <w:vAlign w:val="center"/>
          </w:tcPr>
          <w:p w14:paraId="603E79F3">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4.3.3</w:t>
            </w:r>
          </w:p>
        </w:tc>
        <w:tc>
          <w:tcPr>
            <w:tcW w:w="2022" w:type="dxa"/>
            <w:tcBorders>
              <w:tl2br w:val="nil"/>
              <w:tr2bl w:val="nil"/>
            </w:tcBorders>
            <w:vAlign w:val="center"/>
          </w:tcPr>
          <w:p w14:paraId="18A48F4B">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代码开发和测试</w:t>
            </w:r>
          </w:p>
        </w:tc>
        <w:tc>
          <w:tcPr>
            <w:tcW w:w="6059" w:type="dxa"/>
            <w:tcBorders>
              <w:tl2br w:val="nil"/>
              <w:tr2bl w:val="nil"/>
            </w:tcBorders>
            <w:vAlign w:val="center"/>
          </w:tcPr>
          <w:p w14:paraId="0351AD4C">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编写代码并且完成开发自测与系统测试</w:t>
            </w:r>
          </w:p>
        </w:tc>
      </w:tr>
      <w:tr w14:paraId="4C524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exact"/>
        </w:trPr>
        <w:tc>
          <w:tcPr>
            <w:tcW w:w="816" w:type="dxa"/>
            <w:tcBorders>
              <w:tl2br w:val="nil"/>
              <w:tr2bl w:val="nil"/>
            </w:tcBorders>
            <w:vAlign w:val="center"/>
          </w:tcPr>
          <w:p w14:paraId="01C4CA9D">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4.3.4</w:t>
            </w:r>
          </w:p>
        </w:tc>
        <w:tc>
          <w:tcPr>
            <w:tcW w:w="2022" w:type="dxa"/>
            <w:tcBorders>
              <w:tl2br w:val="nil"/>
              <w:tr2bl w:val="nil"/>
            </w:tcBorders>
            <w:vAlign w:val="center"/>
          </w:tcPr>
          <w:p w14:paraId="2E22BF7E">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知识转移</w:t>
            </w:r>
          </w:p>
        </w:tc>
        <w:tc>
          <w:tcPr>
            <w:tcW w:w="6059" w:type="dxa"/>
            <w:tcBorders>
              <w:tl2br w:val="nil"/>
              <w:tr2bl w:val="nil"/>
            </w:tcBorders>
            <w:vAlign w:val="center"/>
          </w:tcPr>
          <w:p w14:paraId="1A969D86">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负责现场培训</w:t>
            </w:r>
          </w:p>
        </w:tc>
      </w:tr>
      <w:tr w14:paraId="0F279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8897" w:type="dxa"/>
            <w:gridSpan w:val="3"/>
            <w:tcBorders>
              <w:tl2br w:val="nil"/>
              <w:tr2bl w:val="nil"/>
            </w:tcBorders>
            <w:vAlign w:val="center"/>
          </w:tcPr>
          <w:p w14:paraId="1E898F18">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outlineLvl w:val="9"/>
              <w:rPr>
                <w:rFonts w:hint="default" w:ascii="Times New Roman" w:hAnsi="Times New Roman" w:eastAsia="宋体" w:cs="Times New Roman"/>
                <w:b/>
                <w:color w:val="auto"/>
                <w:spacing w:val="0"/>
                <w:sz w:val="21"/>
                <w:szCs w:val="21"/>
                <w:highlight w:val="none"/>
              </w:rPr>
            </w:pPr>
            <w:r>
              <w:rPr>
                <w:rFonts w:hint="default" w:ascii="Times New Roman" w:hAnsi="Times New Roman" w:eastAsia="宋体" w:cs="Times New Roman"/>
                <w:b/>
                <w:color w:val="auto"/>
                <w:spacing w:val="0"/>
                <w:sz w:val="21"/>
                <w:szCs w:val="21"/>
                <w:highlight w:val="none"/>
              </w:rPr>
              <w:t>4.4 支持和维护</w:t>
            </w:r>
          </w:p>
        </w:tc>
      </w:tr>
      <w:tr w14:paraId="6A9E5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3" w:hRule="exact"/>
        </w:trPr>
        <w:tc>
          <w:tcPr>
            <w:tcW w:w="816" w:type="dxa"/>
            <w:tcBorders>
              <w:tl2br w:val="nil"/>
              <w:tr2bl w:val="nil"/>
            </w:tcBorders>
            <w:vAlign w:val="center"/>
          </w:tcPr>
          <w:p w14:paraId="1B9B7506">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4.4.1</w:t>
            </w:r>
          </w:p>
        </w:tc>
        <w:tc>
          <w:tcPr>
            <w:tcW w:w="2022" w:type="dxa"/>
            <w:tcBorders>
              <w:tl2br w:val="nil"/>
              <w:tr2bl w:val="nil"/>
            </w:tcBorders>
            <w:vAlign w:val="center"/>
          </w:tcPr>
          <w:p w14:paraId="1E2C251A">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变更管理</w:t>
            </w:r>
          </w:p>
        </w:tc>
        <w:tc>
          <w:tcPr>
            <w:tcW w:w="6059" w:type="dxa"/>
            <w:tcBorders>
              <w:tl2br w:val="nil"/>
              <w:tr2bl w:val="nil"/>
            </w:tcBorders>
            <w:vAlign w:val="center"/>
          </w:tcPr>
          <w:p w14:paraId="77102B5F">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根据变更需求在甲方的技术环境内设计并且执行所有平台和应用软件变更程序</w:t>
            </w:r>
          </w:p>
        </w:tc>
      </w:tr>
      <w:tr w14:paraId="05C7B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3" w:hRule="exact"/>
        </w:trPr>
        <w:tc>
          <w:tcPr>
            <w:tcW w:w="816" w:type="dxa"/>
            <w:tcBorders>
              <w:tl2br w:val="nil"/>
              <w:tr2bl w:val="nil"/>
            </w:tcBorders>
            <w:vAlign w:val="center"/>
          </w:tcPr>
          <w:p w14:paraId="17E5AEA6">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4.4.2</w:t>
            </w:r>
          </w:p>
        </w:tc>
        <w:tc>
          <w:tcPr>
            <w:tcW w:w="2022" w:type="dxa"/>
            <w:tcBorders>
              <w:tl2br w:val="nil"/>
              <w:tr2bl w:val="nil"/>
            </w:tcBorders>
            <w:vAlign w:val="center"/>
          </w:tcPr>
          <w:p w14:paraId="5409DF7F">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系统监控</w:t>
            </w:r>
          </w:p>
        </w:tc>
        <w:tc>
          <w:tcPr>
            <w:tcW w:w="6059" w:type="dxa"/>
            <w:tcBorders>
              <w:tl2br w:val="nil"/>
              <w:tr2bl w:val="nil"/>
            </w:tcBorders>
            <w:vAlign w:val="center"/>
          </w:tcPr>
          <w:p w14:paraId="413F6C4E">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提供对系统监控的支持，包括专有硬件设备（如有）、应用系统进程、日志、连接等</w:t>
            </w:r>
          </w:p>
        </w:tc>
      </w:tr>
      <w:tr w14:paraId="7A64F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4" w:hRule="exact"/>
        </w:trPr>
        <w:tc>
          <w:tcPr>
            <w:tcW w:w="816" w:type="dxa"/>
            <w:tcBorders>
              <w:tl2br w:val="nil"/>
              <w:tr2bl w:val="nil"/>
            </w:tcBorders>
            <w:vAlign w:val="center"/>
          </w:tcPr>
          <w:p w14:paraId="6D969765">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4.4.3</w:t>
            </w:r>
          </w:p>
        </w:tc>
        <w:tc>
          <w:tcPr>
            <w:tcW w:w="2022" w:type="dxa"/>
            <w:tcBorders>
              <w:tl2br w:val="nil"/>
              <w:tr2bl w:val="nil"/>
            </w:tcBorders>
            <w:vAlign w:val="center"/>
          </w:tcPr>
          <w:p w14:paraId="291AE160">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发布管理</w:t>
            </w:r>
          </w:p>
        </w:tc>
        <w:tc>
          <w:tcPr>
            <w:tcW w:w="6059" w:type="dxa"/>
            <w:tcBorders>
              <w:tl2br w:val="nil"/>
              <w:tr2bl w:val="nil"/>
            </w:tcBorders>
            <w:vAlign w:val="center"/>
          </w:tcPr>
          <w:p w14:paraId="1F4CD9FB">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制定测试环境发布方案，协助将具体的目标系统从测试环境移植到生产的上线方案</w:t>
            </w:r>
          </w:p>
        </w:tc>
      </w:tr>
      <w:tr w14:paraId="1C73D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exact"/>
        </w:trPr>
        <w:tc>
          <w:tcPr>
            <w:tcW w:w="816" w:type="dxa"/>
            <w:tcBorders>
              <w:tl2br w:val="nil"/>
              <w:tr2bl w:val="nil"/>
            </w:tcBorders>
            <w:vAlign w:val="center"/>
          </w:tcPr>
          <w:p w14:paraId="2A91D4C2">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4.4.4</w:t>
            </w:r>
          </w:p>
        </w:tc>
        <w:tc>
          <w:tcPr>
            <w:tcW w:w="2022" w:type="dxa"/>
            <w:tcBorders>
              <w:tl2br w:val="nil"/>
              <w:tr2bl w:val="nil"/>
            </w:tcBorders>
            <w:vAlign w:val="center"/>
          </w:tcPr>
          <w:p w14:paraId="7DF963FC">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安全管理</w:t>
            </w:r>
          </w:p>
        </w:tc>
        <w:tc>
          <w:tcPr>
            <w:tcW w:w="6059" w:type="dxa"/>
            <w:tcBorders>
              <w:tl2br w:val="nil"/>
              <w:tr2bl w:val="nil"/>
            </w:tcBorders>
            <w:vAlign w:val="center"/>
          </w:tcPr>
          <w:p w14:paraId="1946A4DB">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配合甲方完成上线前的漏洞扫描、渗透测试等安全评估工作，根据甲方要求完成发现漏洞的整改工作</w:t>
            </w:r>
          </w:p>
        </w:tc>
      </w:tr>
      <w:tr w14:paraId="0CF50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exact"/>
        </w:trPr>
        <w:tc>
          <w:tcPr>
            <w:tcW w:w="8897" w:type="dxa"/>
            <w:gridSpan w:val="3"/>
            <w:tcBorders>
              <w:tl2br w:val="nil"/>
              <w:tr2bl w:val="nil"/>
            </w:tcBorders>
            <w:vAlign w:val="center"/>
          </w:tcPr>
          <w:p w14:paraId="1E9F8013">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outlineLvl w:val="9"/>
              <w:rPr>
                <w:rFonts w:hint="default" w:ascii="Times New Roman" w:hAnsi="Times New Roman" w:eastAsia="宋体" w:cs="Times New Roman"/>
                <w:b/>
                <w:color w:val="auto"/>
                <w:spacing w:val="0"/>
                <w:sz w:val="21"/>
                <w:szCs w:val="21"/>
                <w:highlight w:val="none"/>
              </w:rPr>
            </w:pPr>
            <w:r>
              <w:rPr>
                <w:rFonts w:hint="default" w:ascii="Times New Roman" w:hAnsi="Times New Roman" w:eastAsia="宋体" w:cs="Times New Roman"/>
                <w:b/>
                <w:color w:val="auto"/>
                <w:spacing w:val="0"/>
                <w:sz w:val="21"/>
                <w:szCs w:val="21"/>
                <w:highlight w:val="none"/>
              </w:rPr>
              <w:t>4.5 后续支持</w:t>
            </w:r>
          </w:p>
        </w:tc>
      </w:tr>
      <w:tr w14:paraId="7A8AB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exact"/>
        </w:trPr>
        <w:tc>
          <w:tcPr>
            <w:tcW w:w="816" w:type="dxa"/>
            <w:tcBorders>
              <w:tl2br w:val="nil"/>
              <w:tr2bl w:val="nil"/>
            </w:tcBorders>
            <w:vAlign w:val="center"/>
          </w:tcPr>
          <w:p w14:paraId="03D3EFD4">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4.5.1</w:t>
            </w:r>
          </w:p>
        </w:tc>
        <w:tc>
          <w:tcPr>
            <w:tcW w:w="2022" w:type="dxa"/>
            <w:tcBorders>
              <w:tl2br w:val="nil"/>
              <w:tr2bl w:val="nil"/>
            </w:tcBorders>
            <w:vAlign w:val="center"/>
          </w:tcPr>
          <w:p w14:paraId="329A875F">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版本安装、更新和升级</w:t>
            </w:r>
          </w:p>
        </w:tc>
        <w:tc>
          <w:tcPr>
            <w:tcW w:w="6059" w:type="dxa"/>
            <w:tcBorders>
              <w:tl2br w:val="nil"/>
              <w:tr2bl w:val="nil"/>
            </w:tcBorders>
            <w:vAlign w:val="center"/>
          </w:tcPr>
          <w:p w14:paraId="08A41FEE">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提供系统版本安装和升级支持，包括响应甲方对生产、测试、开发、培训环境的安装和升级要求；提供硬件更换服务</w:t>
            </w:r>
          </w:p>
        </w:tc>
      </w:tr>
      <w:tr w14:paraId="37C25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exact"/>
        </w:trPr>
        <w:tc>
          <w:tcPr>
            <w:tcW w:w="816" w:type="dxa"/>
            <w:tcBorders>
              <w:tl2br w:val="nil"/>
              <w:tr2bl w:val="nil"/>
            </w:tcBorders>
            <w:vAlign w:val="center"/>
          </w:tcPr>
          <w:p w14:paraId="12ADCA46">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4.5.2</w:t>
            </w:r>
          </w:p>
        </w:tc>
        <w:tc>
          <w:tcPr>
            <w:tcW w:w="2022" w:type="dxa"/>
            <w:tcBorders>
              <w:tl2br w:val="nil"/>
              <w:tr2bl w:val="nil"/>
            </w:tcBorders>
            <w:vAlign w:val="center"/>
          </w:tcPr>
          <w:p w14:paraId="27EEBAF2">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安全漏洞整改</w:t>
            </w:r>
          </w:p>
        </w:tc>
        <w:tc>
          <w:tcPr>
            <w:tcW w:w="6059" w:type="dxa"/>
            <w:tcBorders>
              <w:tl2br w:val="nil"/>
              <w:tr2bl w:val="nil"/>
            </w:tcBorders>
            <w:vAlign w:val="center"/>
          </w:tcPr>
          <w:p w14:paraId="18086BFD">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针对系统运行过程中发现的安全漏洞，根据甲方要求完成整改工作</w:t>
            </w:r>
          </w:p>
        </w:tc>
      </w:tr>
      <w:tr w14:paraId="52C50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exact"/>
        </w:trPr>
        <w:tc>
          <w:tcPr>
            <w:tcW w:w="816" w:type="dxa"/>
            <w:tcBorders>
              <w:tl2br w:val="nil"/>
              <w:tr2bl w:val="nil"/>
            </w:tcBorders>
            <w:vAlign w:val="center"/>
          </w:tcPr>
          <w:p w14:paraId="67A50BF0">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4.5.3</w:t>
            </w:r>
          </w:p>
        </w:tc>
        <w:tc>
          <w:tcPr>
            <w:tcW w:w="2022" w:type="dxa"/>
            <w:tcBorders>
              <w:tl2br w:val="nil"/>
              <w:tr2bl w:val="nil"/>
            </w:tcBorders>
            <w:vAlign w:val="center"/>
          </w:tcPr>
          <w:p w14:paraId="30498E4C">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服务台支持</w:t>
            </w:r>
          </w:p>
        </w:tc>
        <w:tc>
          <w:tcPr>
            <w:tcW w:w="6059" w:type="dxa"/>
            <w:tcBorders>
              <w:tl2br w:val="nil"/>
              <w:tr2bl w:val="nil"/>
            </w:tcBorders>
            <w:vAlign w:val="center"/>
          </w:tcPr>
          <w:p w14:paraId="164ADB98">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提供7×24小时的技术支持服务</w:t>
            </w:r>
          </w:p>
        </w:tc>
      </w:tr>
      <w:tr w14:paraId="59234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exact"/>
        </w:trPr>
        <w:tc>
          <w:tcPr>
            <w:tcW w:w="816" w:type="dxa"/>
            <w:tcBorders>
              <w:tl2br w:val="nil"/>
              <w:tr2bl w:val="nil"/>
            </w:tcBorders>
            <w:vAlign w:val="center"/>
          </w:tcPr>
          <w:p w14:paraId="41891248">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4.5.4</w:t>
            </w:r>
          </w:p>
        </w:tc>
        <w:tc>
          <w:tcPr>
            <w:tcW w:w="2022" w:type="dxa"/>
            <w:tcBorders>
              <w:tl2br w:val="nil"/>
              <w:tr2bl w:val="nil"/>
            </w:tcBorders>
            <w:vAlign w:val="center"/>
          </w:tcPr>
          <w:p w14:paraId="5D3D5CC9">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巡检服务</w:t>
            </w:r>
          </w:p>
        </w:tc>
        <w:tc>
          <w:tcPr>
            <w:tcW w:w="6059" w:type="dxa"/>
            <w:tcBorders>
              <w:tl2br w:val="nil"/>
              <w:tr2bl w:val="nil"/>
            </w:tcBorders>
            <w:vAlign w:val="center"/>
          </w:tcPr>
          <w:p w14:paraId="02172259">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提供系统运行状况报告</w:t>
            </w:r>
          </w:p>
        </w:tc>
      </w:tr>
      <w:tr w14:paraId="649DE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exact"/>
        </w:trPr>
        <w:tc>
          <w:tcPr>
            <w:tcW w:w="816" w:type="dxa"/>
            <w:tcBorders>
              <w:tl2br w:val="nil"/>
              <w:tr2bl w:val="nil"/>
            </w:tcBorders>
            <w:vAlign w:val="center"/>
          </w:tcPr>
          <w:p w14:paraId="1361BC49">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4.5.5</w:t>
            </w:r>
          </w:p>
        </w:tc>
        <w:tc>
          <w:tcPr>
            <w:tcW w:w="2022" w:type="dxa"/>
            <w:tcBorders>
              <w:tl2br w:val="nil"/>
              <w:tr2bl w:val="nil"/>
            </w:tcBorders>
            <w:vAlign w:val="center"/>
          </w:tcPr>
          <w:p w14:paraId="4492BD42">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现场问题解决</w:t>
            </w:r>
          </w:p>
        </w:tc>
        <w:tc>
          <w:tcPr>
            <w:tcW w:w="6059" w:type="dxa"/>
            <w:tcBorders>
              <w:tl2br w:val="nil"/>
              <w:tr2bl w:val="nil"/>
            </w:tcBorders>
            <w:vAlign w:val="center"/>
          </w:tcPr>
          <w:p w14:paraId="3965A2BE">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提供重大问题现场解决，提供系统性能、容量、问题报告</w:t>
            </w:r>
          </w:p>
        </w:tc>
      </w:tr>
      <w:tr w14:paraId="3DCC9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2" w:hRule="exact"/>
        </w:trPr>
        <w:tc>
          <w:tcPr>
            <w:tcW w:w="816" w:type="dxa"/>
            <w:tcBorders>
              <w:tl2br w:val="nil"/>
              <w:tr2bl w:val="nil"/>
            </w:tcBorders>
            <w:vAlign w:val="center"/>
          </w:tcPr>
          <w:p w14:paraId="7CEC7A66">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4.5.6</w:t>
            </w:r>
          </w:p>
        </w:tc>
        <w:tc>
          <w:tcPr>
            <w:tcW w:w="2022" w:type="dxa"/>
            <w:tcBorders>
              <w:tl2br w:val="nil"/>
              <w:tr2bl w:val="nil"/>
            </w:tcBorders>
            <w:vAlign w:val="center"/>
          </w:tcPr>
          <w:p w14:paraId="2F82C443">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响应要求</w:t>
            </w:r>
          </w:p>
        </w:tc>
        <w:tc>
          <w:tcPr>
            <w:tcW w:w="6059" w:type="dxa"/>
            <w:tcBorders>
              <w:tl2br w:val="nil"/>
              <w:tr2bl w:val="nil"/>
            </w:tcBorders>
            <w:vAlign w:val="center"/>
          </w:tcPr>
          <w:p w14:paraId="3C27BE0B">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要求按服务水平和指标及时响应：</w:t>
            </w:r>
          </w:p>
          <w:p w14:paraId="4C726A4F">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一级响应：系统崩溃</w:t>
            </w:r>
            <w:r>
              <w:rPr>
                <w:rFonts w:hint="eastAsia" w:ascii="Times New Roman" w:hAnsi="Times New Roman" w:eastAsia="宋体" w:cs="Times New Roman"/>
                <w:color w:val="auto"/>
                <w:spacing w:val="0"/>
                <w:sz w:val="21"/>
                <w:szCs w:val="21"/>
                <w:highlight w:val="none"/>
                <w:lang w:eastAsia="zh-CN"/>
              </w:rPr>
              <w:t>，</w:t>
            </w:r>
            <w:r>
              <w:rPr>
                <w:rFonts w:hint="default" w:ascii="Times New Roman" w:hAnsi="Times New Roman" w:eastAsia="宋体" w:cs="Times New Roman"/>
                <w:color w:val="auto"/>
                <w:spacing w:val="0"/>
                <w:sz w:val="21"/>
                <w:szCs w:val="21"/>
                <w:highlight w:val="none"/>
              </w:rPr>
              <w:t>不能使用或效能严重削弱, 系统的某个主要功能不能正常工作，对业务的正常运行造成重大影响。响应时间15分钟，2小时到达现场，4小时内排除问题或给出备份解决方案，故障排除后三天内提交分析报告；</w:t>
            </w:r>
          </w:p>
          <w:p w14:paraId="6C327462">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二级响应：系统的运行性能严重下降，或性能明显下降，对业务运作产生明显影响。响应时间1小时内，必要时4小时到达，8小时内排除问题；</w:t>
            </w:r>
          </w:p>
          <w:p w14:paraId="09121A75">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三级响应：系统的运作性能受损，但业务仍可正常运行，响应时间12小时内，必要时24小时到达，1周内排除问题；</w:t>
            </w:r>
          </w:p>
          <w:p w14:paraId="73974DAF">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四级响应：对系统安装或配置方面需要咨询或支援，很显然对业务运作几乎无影响，或根本没有影响。响应时间24小时内，必要时48小时到达，2周内排除问题。</w:t>
            </w:r>
          </w:p>
        </w:tc>
      </w:tr>
    </w:tbl>
    <w:p w14:paraId="05FCC9E2">
      <w:pPr>
        <w:keepNext w:val="0"/>
        <w:keepLines w:val="0"/>
        <w:pageBreakBefore w:val="0"/>
        <w:kinsoku/>
        <w:wordWrap/>
        <w:overflowPunct/>
        <w:topLinePunct w:val="0"/>
        <w:autoSpaceDE w:val="0"/>
        <w:autoSpaceDN w:val="0"/>
        <w:bidi w:val="0"/>
        <w:outlineLvl w:val="9"/>
        <w:rPr>
          <w:rFonts w:hint="default" w:ascii="Times New Roman" w:hAnsi="Times New Roman" w:eastAsia="宋体" w:cs="Times New Roman"/>
          <w:b/>
          <w:bCs/>
          <w:color w:val="auto"/>
          <w:spacing w:val="0"/>
          <w:kern w:val="32"/>
          <w:szCs w:val="24"/>
          <w:highlight w:val="none"/>
        </w:rPr>
      </w:pPr>
      <w:bookmarkStart w:id="310" w:name="_Toc254884645"/>
      <w:r>
        <w:rPr>
          <w:rFonts w:hint="default" w:ascii="Times New Roman" w:hAnsi="Times New Roman" w:eastAsia="宋体" w:cs="Times New Roman"/>
          <w:b/>
          <w:bCs/>
          <w:color w:val="auto"/>
          <w:spacing w:val="0"/>
          <w:kern w:val="32"/>
          <w:szCs w:val="24"/>
          <w:highlight w:val="none"/>
        </w:rPr>
        <w:t>5. 问题管理流程</w:t>
      </w:r>
      <w:bookmarkEnd w:id="310"/>
    </w:p>
    <w:p w14:paraId="13582F47">
      <w:pPr>
        <w:keepNext w:val="0"/>
        <w:keepLines w:val="0"/>
        <w:pageBreakBefore w:val="0"/>
        <w:kinsoku/>
        <w:wordWrap/>
        <w:overflowPunct/>
        <w:topLinePunct w:val="0"/>
        <w:autoSpaceDE w:val="0"/>
        <w:autoSpaceDN w:val="0"/>
        <w:bidi w:val="0"/>
        <w:outlineLvl w:val="9"/>
        <w:rPr>
          <w:rFonts w:hint="default" w:ascii="Times New Roman" w:hAnsi="Times New Roman" w:eastAsia="宋体" w:cs="Times New Roman"/>
          <w:b/>
          <w:bCs/>
          <w:color w:val="auto"/>
          <w:spacing w:val="0"/>
          <w:kern w:val="32"/>
          <w:szCs w:val="24"/>
          <w:highlight w:val="none"/>
        </w:rPr>
      </w:pPr>
      <w:bookmarkStart w:id="311" w:name="_Toc254884646"/>
      <w:r>
        <w:rPr>
          <w:rFonts w:hint="default" w:ascii="Times New Roman" w:hAnsi="Times New Roman" w:eastAsia="宋体" w:cs="Times New Roman"/>
          <w:b/>
          <w:bCs/>
          <w:color w:val="auto"/>
          <w:spacing w:val="0"/>
          <w:kern w:val="32"/>
          <w:szCs w:val="24"/>
          <w:highlight w:val="none"/>
        </w:rPr>
        <w:t>5.1问题处理流程</w:t>
      </w:r>
      <w:bookmarkEnd w:id="311"/>
    </w:p>
    <w:p w14:paraId="5E0DC8A9">
      <w:pPr>
        <w:keepNext w:val="0"/>
        <w:keepLines w:val="0"/>
        <w:pageBreakBefore w:val="0"/>
        <w:widowControl/>
        <w:numPr>
          <w:ilvl w:val="0"/>
          <w:numId w:val="43"/>
        </w:numPr>
        <w:kinsoku/>
        <w:wordWrap/>
        <w:overflowPunct/>
        <w:topLinePunct w:val="0"/>
        <w:autoSpaceDE w:val="0"/>
        <w:autoSpaceDN w:val="0"/>
        <w:bidi w:val="0"/>
        <w:adjustRightInd/>
        <w:snapToGrid/>
        <w:spacing w:line="360" w:lineRule="auto"/>
        <w:ind w:left="0" w:firstLine="480" w:firstLineChars="200"/>
        <w:textAlignment w:val="auto"/>
        <w:outlineLvl w:val="9"/>
        <w:rPr>
          <w:rFonts w:hint="default" w:ascii="Times New Roman" w:hAnsi="Times New Roman" w:eastAsia="宋体" w:cs="Times New Roman"/>
          <w:color w:val="auto"/>
          <w:spacing w:val="0"/>
          <w:szCs w:val="24"/>
          <w:highlight w:val="none"/>
        </w:rPr>
      </w:pPr>
      <w:r>
        <w:rPr>
          <w:rFonts w:hint="default" w:ascii="Times New Roman" w:hAnsi="Times New Roman" w:eastAsia="宋体" w:cs="Times New Roman"/>
          <w:color w:val="auto"/>
          <w:spacing w:val="0"/>
          <w:szCs w:val="24"/>
          <w:highlight w:val="none"/>
        </w:rPr>
        <w:t>甲方或乙方均可以首先提出对问题解决方案有不同意见的看法；</w:t>
      </w:r>
    </w:p>
    <w:p w14:paraId="0D441923">
      <w:pPr>
        <w:keepNext w:val="0"/>
        <w:keepLines w:val="0"/>
        <w:pageBreakBefore w:val="0"/>
        <w:widowControl/>
        <w:numPr>
          <w:ilvl w:val="0"/>
          <w:numId w:val="43"/>
        </w:numPr>
        <w:kinsoku/>
        <w:wordWrap/>
        <w:overflowPunct/>
        <w:topLinePunct w:val="0"/>
        <w:autoSpaceDE w:val="0"/>
        <w:autoSpaceDN w:val="0"/>
        <w:bidi w:val="0"/>
        <w:adjustRightInd/>
        <w:snapToGrid/>
        <w:spacing w:line="360" w:lineRule="auto"/>
        <w:ind w:left="0" w:firstLine="480" w:firstLineChars="200"/>
        <w:textAlignment w:val="auto"/>
        <w:outlineLvl w:val="9"/>
        <w:rPr>
          <w:rFonts w:hint="default" w:ascii="Times New Roman" w:hAnsi="Times New Roman" w:eastAsia="宋体" w:cs="Times New Roman"/>
          <w:color w:val="auto"/>
          <w:spacing w:val="0"/>
          <w:szCs w:val="24"/>
          <w:highlight w:val="none"/>
        </w:rPr>
      </w:pPr>
      <w:r>
        <w:rPr>
          <w:rFonts w:hint="default" w:ascii="Times New Roman" w:hAnsi="Times New Roman" w:eastAsia="宋体" w:cs="Times New Roman"/>
          <w:color w:val="auto"/>
          <w:spacing w:val="0"/>
          <w:szCs w:val="24"/>
          <w:highlight w:val="none"/>
        </w:rPr>
        <w:t>甲方管理层和乙方管理层将决定问题是否需要提升到更高的管理层；</w:t>
      </w:r>
    </w:p>
    <w:p w14:paraId="2C6DCF64">
      <w:pPr>
        <w:keepNext w:val="0"/>
        <w:keepLines w:val="0"/>
        <w:pageBreakBefore w:val="0"/>
        <w:widowControl/>
        <w:numPr>
          <w:ilvl w:val="0"/>
          <w:numId w:val="43"/>
        </w:numPr>
        <w:kinsoku/>
        <w:wordWrap/>
        <w:overflowPunct/>
        <w:topLinePunct w:val="0"/>
        <w:autoSpaceDE w:val="0"/>
        <w:autoSpaceDN w:val="0"/>
        <w:bidi w:val="0"/>
        <w:adjustRightInd/>
        <w:snapToGrid/>
        <w:spacing w:line="360" w:lineRule="auto"/>
        <w:ind w:left="0" w:firstLine="480" w:firstLineChars="200"/>
        <w:textAlignment w:val="auto"/>
        <w:outlineLvl w:val="9"/>
        <w:rPr>
          <w:rFonts w:hint="default" w:ascii="Times New Roman" w:hAnsi="Times New Roman" w:eastAsia="宋体" w:cs="Times New Roman"/>
          <w:color w:val="auto"/>
          <w:spacing w:val="0"/>
          <w:szCs w:val="24"/>
          <w:highlight w:val="none"/>
        </w:rPr>
      </w:pPr>
      <w:r>
        <w:rPr>
          <w:rFonts w:hint="default" w:ascii="Times New Roman" w:hAnsi="Times New Roman" w:eastAsia="宋体" w:cs="Times New Roman"/>
          <w:color w:val="auto"/>
          <w:spacing w:val="0"/>
          <w:szCs w:val="24"/>
          <w:highlight w:val="none"/>
        </w:rPr>
        <w:t>及时召开相关的会议讨论和解决问题，问题的相关文档应提前一天发送到与会者；</w:t>
      </w:r>
    </w:p>
    <w:p w14:paraId="552DDC64">
      <w:pPr>
        <w:keepNext w:val="0"/>
        <w:keepLines w:val="0"/>
        <w:pageBreakBefore w:val="0"/>
        <w:widowControl/>
        <w:numPr>
          <w:ilvl w:val="0"/>
          <w:numId w:val="43"/>
        </w:numPr>
        <w:kinsoku/>
        <w:wordWrap/>
        <w:overflowPunct/>
        <w:topLinePunct w:val="0"/>
        <w:autoSpaceDE w:val="0"/>
        <w:autoSpaceDN w:val="0"/>
        <w:bidi w:val="0"/>
        <w:adjustRightInd/>
        <w:snapToGrid/>
        <w:spacing w:line="360" w:lineRule="auto"/>
        <w:ind w:left="0" w:firstLine="480" w:firstLineChars="200"/>
        <w:textAlignment w:val="auto"/>
        <w:outlineLvl w:val="9"/>
        <w:rPr>
          <w:rFonts w:hint="default" w:ascii="Times New Roman" w:hAnsi="Times New Roman" w:eastAsia="宋体" w:cs="Times New Roman"/>
          <w:color w:val="auto"/>
          <w:spacing w:val="0"/>
          <w:szCs w:val="24"/>
          <w:highlight w:val="none"/>
        </w:rPr>
      </w:pPr>
      <w:r>
        <w:rPr>
          <w:rFonts w:hint="default" w:ascii="Times New Roman" w:hAnsi="Times New Roman" w:eastAsia="宋体" w:cs="Times New Roman"/>
          <w:color w:val="auto"/>
          <w:spacing w:val="0"/>
          <w:szCs w:val="24"/>
          <w:highlight w:val="none"/>
        </w:rPr>
        <w:t>如有必要，甲方和乙方管理层在永久性解决方案出台之前可以先共同达成一套临时性的解决方案。乙方可以在会后与各利益相关方沟通并达成永久性的解决方案；</w:t>
      </w:r>
    </w:p>
    <w:p w14:paraId="4F622093">
      <w:pPr>
        <w:keepNext w:val="0"/>
        <w:keepLines w:val="0"/>
        <w:pageBreakBefore w:val="0"/>
        <w:widowControl/>
        <w:numPr>
          <w:ilvl w:val="0"/>
          <w:numId w:val="43"/>
        </w:numPr>
        <w:kinsoku/>
        <w:wordWrap/>
        <w:overflowPunct/>
        <w:topLinePunct w:val="0"/>
        <w:autoSpaceDE w:val="0"/>
        <w:autoSpaceDN w:val="0"/>
        <w:bidi w:val="0"/>
        <w:adjustRightInd/>
        <w:snapToGrid/>
        <w:spacing w:line="360" w:lineRule="auto"/>
        <w:ind w:left="0" w:firstLine="480" w:firstLineChars="200"/>
        <w:textAlignment w:val="auto"/>
        <w:outlineLvl w:val="9"/>
        <w:rPr>
          <w:rFonts w:hint="default" w:ascii="Times New Roman" w:hAnsi="Times New Roman" w:eastAsia="宋体" w:cs="Times New Roman"/>
          <w:color w:val="auto"/>
          <w:spacing w:val="0"/>
          <w:szCs w:val="24"/>
          <w:highlight w:val="none"/>
        </w:rPr>
      </w:pPr>
      <w:r>
        <w:rPr>
          <w:rFonts w:hint="default" w:ascii="Times New Roman" w:hAnsi="Times New Roman" w:eastAsia="宋体" w:cs="Times New Roman"/>
          <w:color w:val="auto"/>
          <w:spacing w:val="0"/>
          <w:szCs w:val="24"/>
          <w:highlight w:val="none"/>
        </w:rPr>
        <w:t>如果问题最终仍没解决，甲方和乙方双方可以申请仲裁来达成最终的一致方案。</w:t>
      </w:r>
    </w:p>
    <w:p w14:paraId="09166C85">
      <w:pPr>
        <w:keepNext w:val="0"/>
        <w:keepLines w:val="0"/>
        <w:pageBreakBefore w:val="0"/>
        <w:kinsoku/>
        <w:wordWrap/>
        <w:overflowPunct/>
        <w:topLinePunct w:val="0"/>
        <w:autoSpaceDE w:val="0"/>
        <w:autoSpaceDN w:val="0"/>
        <w:bidi w:val="0"/>
        <w:outlineLvl w:val="9"/>
        <w:rPr>
          <w:rFonts w:hint="default" w:ascii="Times New Roman" w:hAnsi="Times New Roman" w:eastAsia="宋体" w:cs="Times New Roman"/>
          <w:b/>
          <w:bCs/>
          <w:color w:val="auto"/>
          <w:spacing w:val="0"/>
          <w:kern w:val="32"/>
          <w:szCs w:val="24"/>
          <w:highlight w:val="none"/>
        </w:rPr>
      </w:pPr>
      <w:bookmarkStart w:id="312" w:name="_Toc254884647"/>
      <w:r>
        <w:rPr>
          <w:rFonts w:hint="default" w:ascii="Times New Roman" w:hAnsi="Times New Roman" w:eastAsia="宋体" w:cs="Times New Roman"/>
          <w:b/>
          <w:bCs/>
          <w:color w:val="auto"/>
          <w:spacing w:val="0"/>
          <w:kern w:val="32"/>
          <w:szCs w:val="24"/>
          <w:highlight w:val="none"/>
        </w:rPr>
        <w:t>5.2问题升级流程</w:t>
      </w:r>
      <w:bookmarkEnd w:id="312"/>
    </w:p>
    <w:p w14:paraId="22696991">
      <w:pPr>
        <w:keepNext w:val="0"/>
        <w:keepLines w:val="0"/>
        <w:pageBreakBefore w:val="0"/>
        <w:widowControl/>
        <w:numPr>
          <w:ilvl w:val="0"/>
          <w:numId w:val="44"/>
        </w:numPr>
        <w:kinsoku/>
        <w:wordWrap/>
        <w:overflowPunct/>
        <w:topLinePunct w:val="0"/>
        <w:autoSpaceDE w:val="0"/>
        <w:autoSpaceDN w:val="0"/>
        <w:bidi w:val="0"/>
        <w:adjustRightInd/>
        <w:snapToGrid/>
        <w:spacing w:line="600" w:lineRule="exact"/>
        <w:ind w:left="0" w:leftChars="0" w:firstLine="480" w:firstLineChars="200"/>
        <w:textAlignment w:val="auto"/>
        <w:outlineLvl w:val="9"/>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甲方或者乙方都有可能首先提出该流程；</w:t>
      </w:r>
    </w:p>
    <w:p w14:paraId="188DAD97">
      <w:pPr>
        <w:keepNext w:val="0"/>
        <w:keepLines w:val="0"/>
        <w:pageBreakBefore w:val="0"/>
        <w:widowControl/>
        <w:numPr>
          <w:ilvl w:val="0"/>
          <w:numId w:val="44"/>
        </w:numPr>
        <w:kinsoku/>
        <w:wordWrap/>
        <w:overflowPunct/>
        <w:topLinePunct w:val="0"/>
        <w:autoSpaceDE w:val="0"/>
        <w:autoSpaceDN w:val="0"/>
        <w:bidi w:val="0"/>
        <w:adjustRightInd/>
        <w:snapToGrid/>
        <w:spacing w:line="600" w:lineRule="exact"/>
        <w:ind w:left="0" w:leftChars="0" w:firstLine="480" w:firstLineChars="200"/>
        <w:textAlignment w:val="auto"/>
        <w:outlineLvl w:val="9"/>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首先提出的一方应及时通知对方问题升级流程已经启动；</w:t>
      </w:r>
    </w:p>
    <w:p w14:paraId="0DD89A50">
      <w:pPr>
        <w:keepNext w:val="0"/>
        <w:keepLines w:val="0"/>
        <w:pageBreakBefore w:val="0"/>
        <w:widowControl/>
        <w:numPr>
          <w:ilvl w:val="0"/>
          <w:numId w:val="44"/>
        </w:numPr>
        <w:kinsoku/>
        <w:wordWrap/>
        <w:overflowPunct/>
        <w:topLinePunct w:val="0"/>
        <w:autoSpaceDE w:val="0"/>
        <w:autoSpaceDN w:val="0"/>
        <w:bidi w:val="0"/>
        <w:adjustRightInd/>
        <w:snapToGrid/>
        <w:spacing w:line="600" w:lineRule="exact"/>
        <w:ind w:left="0" w:leftChars="0" w:firstLine="480" w:firstLineChars="200"/>
        <w:textAlignment w:val="auto"/>
        <w:outlineLvl w:val="9"/>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问题升级到的管理层应当事先定义在联络人表中；</w:t>
      </w:r>
    </w:p>
    <w:p w14:paraId="74152280">
      <w:pPr>
        <w:keepNext w:val="0"/>
        <w:keepLines w:val="0"/>
        <w:pageBreakBefore w:val="0"/>
        <w:widowControl/>
        <w:numPr>
          <w:ilvl w:val="0"/>
          <w:numId w:val="44"/>
        </w:numPr>
        <w:kinsoku/>
        <w:wordWrap/>
        <w:overflowPunct/>
        <w:topLinePunct w:val="0"/>
        <w:autoSpaceDE w:val="0"/>
        <w:autoSpaceDN w:val="0"/>
        <w:bidi w:val="0"/>
        <w:adjustRightInd/>
        <w:snapToGrid/>
        <w:spacing w:line="600" w:lineRule="exact"/>
        <w:ind w:left="0" w:leftChars="0" w:firstLine="480" w:firstLineChars="200"/>
        <w:textAlignment w:val="auto"/>
        <w:outlineLvl w:val="9"/>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问题升级的层次在甲方和乙方之间应当保持一致，直至解决该问题。</w:t>
      </w:r>
    </w:p>
    <w:p w14:paraId="103B5CC3">
      <w:pPr>
        <w:keepNext w:val="0"/>
        <w:keepLines w:val="0"/>
        <w:pageBreakBefore w:val="0"/>
        <w:kinsoku/>
        <w:wordWrap/>
        <w:overflowPunct/>
        <w:topLinePunct w:val="0"/>
        <w:autoSpaceDE w:val="0"/>
        <w:autoSpaceDN w:val="0"/>
        <w:bidi w:val="0"/>
        <w:outlineLvl w:val="9"/>
        <w:rPr>
          <w:rFonts w:hint="default" w:ascii="Times New Roman" w:hAnsi="Times New Roman" w:eastAsia="宋体" w:cs="Times New Roman"/>
          <w:b/>
          <w:bCs/>
          <w:color w:val="auto"/>
          <w:spacing w:val="0"/>
          <w:kern w:val="32"/>
          <w:szCs w:val="24"/>
          <w:highlight w:val="none"/>
        </w:rPr>
      </w:pPr>
      <w:bookmarkStart w:id="313" w:name="_Toc254884648"/>
      <w:r>
        <w:rPr>
          <w:rFonts w:hint="default" w:ascii="Times New Roman" w:hAnsi="Times New Roman" w:eastAsia="宋体" w:cs="Times New Roman"/>
          <w:b/>
          <w:bCs/>
          <w:color w:val="auto"/>
          <w:spacing w:val="0"/>
          <w:kern w:val="32"/>
          <w:szCs w:val="24"/>
          <w:highlight w:val="none"/>
        </w:rPr>
        <w:t>5.3联络表</w:t>
      </w:r>
      <w:bookmarkEnd w:id="313"/>
    </w:p>
    <w:tbl>
      <w:tblPr>
        <w:tblStyle w:val="22"/>
        <w:tblW w:w="8028" w:type="dxa"/>
        <w:tblInd w:w="675" w:type="dxa"/>
        <w:tblLayout w:type="fixed"/>
        <w:tblCellMar>
          <w:top w:w="0" w:type="dxa"/>
          <w:left w:w="108" w:type="dxa"/>
          <w:bottom w:w="0" w:type="dxa"/>
          <w:right w:w="108" w:type="dxa"/>
        </w:tblCellMar>
      </w:tblPr>
      <w:tblGrid>
        <w:gridCol w:w="2382"/>
        <w:gridCol w:w="2451"/>
        <w:gridCol w:w="3195"/>
      </w:tblGrid>
      <w:tr w14:paraId="30CF7443">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2BE42300">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b/>
                <w:color w:val="auto"/>
                <w:spacing w:val="0"/>
                <w:sz w:val="21"/>
                <w:szCs w:val="21"/>
                <w:highlight w:val="none"/>
              </w:rPr>
              <w:t>乙方</w:t>
            </w:r>
          </w:p>
        </w:tc>
        <w:tc>
          <w:tcPr>
            <w:tcW w:w="2451" w:type="dxa"/>
            <w:tcBorders>
              <w:top w:val="single" w:color="auto" w:sz="4" w:space="0"/>
              <w:left w:val="single" w:color="auto" w:sz="4" w:space="0"/>
              <w:bottom w:val="single" w:color="auto" w:sz="4" w:space="0"/>
              <w:right w:val="single" w:color="auto" w:sz="4" w:space="0"/>
              <w:tl2br w:val="nil"/>
              <w:tr2bl w:val="nil"/>
            </w:tcBorders>
          </w:tcPr>
          <w:p w14:paraId="7BE72A55">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outlineLvl w:val="9"/>
              <w:rPr>
                <w:rFonts w:hint="default" w:ascii="Times New Roman" w:hAnsi="Times New Roman" w:eastAsia="宋体" w:cs="Times New Roman"/>
                <w:b/>
                <w:color w:val="auto"/>
                <w:spacing w:val="0"/>
                <w:sz w:val="21"/>
                <w:szCs w:val="21"/>
                <w:highlight w:val="none"/>
              </w:rPr>
            </w:pPr>
            <w:r>
              <w:rPr>
                <w:rFonts w:hint="default" w:ascii="Times New Roman" w:hAnsi="Times New Roman" w:eastAsia="宋体" w:cs="Times New Roman"/>
                <w:b/>
                <w:color w:val="auto"/>
                <w:spacing w:val="0"/>
                <w:sz w:val="21"/>
                <w:szCs w:val="21"/>
                <w:highlight w:val="none"/>
              </w:rPr>
              <w:t>职务</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7874CB2B">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outlineLvl w:val="9"/>
              <w:rPr>
                <w:rFonts w:hint="default" w:ascii="Times New Roman" w:hAnsi="Times New Roman" w:eastAsia="宋体" w:cs="Times New Roman"/>
                <w:b/>
                <w:color w:val="auto"/>
                <w:spacing w:val="0"/>
                <w:sz w:val="21"/>
                <w:szCs w:val="21"/>
                <w:highlight w:val="none"/>
              </w:rPr>
            </w:pPr>
            <w:r>
              <w:rPr>
                <w:rFonts w:hint="default" w:ascii="Times New Roman" w:hAnsi="Times New Roman" w:eastAsia="宋体" w:cs="Times New Roman"/>
                <w:b/>
                <w:color w:val="auto"/>
                <w:spacing w:val="0"/>
                <w:sz w:val="21"/>
                <w:szCs w:val="21"/>
                <w:highlight w:val="none"/>
              </w:rPr>
              <w:t>电话</w:t>
            </w:r>
          </w:p>
        </w:tc>
      </w:tr>
      <w:tr w14:paraId="79F5E8C7">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22DAAAAF">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outlineLvl w:val="9"/>
              <w:rPr>
                <w:rFonts w:hint="default" w:ascii="Times New Roman" w:hAnsi="Times New Roman" w:eastAsia="宋体" w:cs="Times New Roman"/>
                <w:color w:val="auto"/>
                <w:spacing w:val="0"/>
                <w:sz w:val="21"/>
                <w:szCs w:val="21"/>
                <w:highlight w:val="none"/>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4E95FCD1">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商务代表</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04C707A0">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outlineLvl w:val="9"/>
              <w:rPr>
                <w:rFonts w:hint="default" w:ascii="Times New Roman" w:hAnsi="Times New Roman" w:eastAsia="宋体" w:cs="Times New Roman"/>
                <w:color w:val="auto"/>
                <w:spacing w:val="0"/>
                <w:sz w:val="21"/>
                <w:szCs w:val="21"/>
                <w:highlight w:val="none"/>
              </w:rPr>
            </w:pPr>
          </w:p>
        </w:tc>
      </w:tr>
      <w:tr w14:paraId="26BD2562">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06E4B925">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outlineLvl w:val="9"/>
              <w:rPr>
                <w:rFonts w:hint="default" w:ascii="Times New Roman" w:hAnsi="Times New Roman" w:eastAsia="宋体" w:cs="Times New Roman"/>
                <w:color w:val="auto"/>
                <w:spacing w:val="0"/>
                <w:sz w:val="21"/>
                <w:szCs w:val="21"/>
                <w:highlight w:val="none"/>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014240E6">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项目经理</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1A19AF60">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outlineLvl w:val="9"/>
              <w:rPr>
                <w:rFonts w:hint="default" w:ascii="Times New Roman" w:hAnsi="Times New Roman" w:eastAsia="宋体" w:cs="Times New Roman"/>
                <w:color w:val="auto"/>
                <w:spacing w:val="0"/>
                <w:sz w:val="21"/>
                <w:szCs w:val="21"/>
                <w:highlight w:val="none"/>
              </w:rPr>
            </w:pPr>
          </w:p>
        </w:tc>
      </w:tr>
      <w:tr w14:paraId="4C2820B9">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7408A845">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outlineLvl w:val="9"/>
              <w:rPr>
                <w:rFonts w:hint="default" w:ascii="Times New Roman" w:hAnsi="Times New Roman" w:eastAsia="宋体" w:cs="Times New Roman"/>
                <w:color w:val="auto"/>
                <w:spacing w:val="0"/>
                <w:sz w:val="21"/>
                <w:szCs w:val="21"/>
                <w:highlight w:val="none"/>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0C13B4D2">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项目总监</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7D939CB1">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outlineLvl w:val="9"/>
              <w:rPr>
                <w:rFonts w:hint="default" w:ascii="Times New Roman" w:hAnsi="Times New Roman" w:eastAsia="宋体" w:cs="Times New Roman"/>
                <w:color w:val="auto"/>
                <w:spacing w:val="0"/>
                <w:sz w:val="21"/>
                <w:szCs w:val="21"/>
                <w:highlight w:val="none"/>
              </w:rPr>
            </w:pPr>
          </w:p>
        </w:tc>
      </w:tr>
      <w:tr w14:paraId="577C7239">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759E7485">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outlineLvl w:val="9"/>
              <w:rPr>
                <w:rFonts w:hint="default" w:ascii="Times New Roman" w:hAnsi="Times New Roman" w:eastAsia="宋体" w:cs="Times New Roman"/>
                <w:color w:val="auto"/>
                <w:spacing w:val="0"/>
                <w:sz w:val="21"/>
                <w:szCs w:val="21"/>
                <w:highlight w:val="none"/>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7EED806E">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总经理</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697ED57D">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outlineLvl w:val="9"/>
              <w:rPr>
                <w:rFonts w:hint="default" w:ascii="Times New Roman" w:hAnsi="Times New Roman" w:eastAsia="宋体" w:cs="Times New Roman"/>
                <w:color w:val="auto"/>
                <w:spacing w:val="0"/>
                <w:sz w:val="21"/>
                <w:szCs w:val="21"/>
                <w:highlight w:val="none"/>
              </w:rPr>
            </w:pPr>
          </w:p>
        </w:tc>
      </w:tr>
    </w:tbl>
    <w:p w14:paraId="15F892A1">
      <w:pPr>
        <w:keepNext w:val="0"/>
        <w:keepLines w:val="0"/>
        <w:pageBreakBefore w:val="0"/>
        <w:kinsoku/>
        <w:wordWrap/>
        <w:overflowPunct/>
        <w:topLinePunct w:val="0"/>
        <w:autoSpaceDE w:val="0"/>
        <w:autoSpaceDN w:val="0"/>
        <w:bidi w:val="0"/>
        <w:outlineLvl w:val="9"/>
        <w:rPr>
          <w:rFonts w:hint="default" w:ascii="Times New Roman" w:hAnsi="Times New Roman" w:eastAsia="宋体" w:cs="Times New Roman"/>
          <w:b/>
          <w:bCs/>
          <w:color w:val="auto"/>
          <w:spacing w:val="0"/>
          <w:kern w:val="32"/>
          <w:szCs w:val="24"/>
          <w:highlight w:val="none"/>
        </w:rPr>
      </w:pPr>
      <w:bookmarkStart w:id="314" w:name="_Toc254884649"/>
      <w:r>
        <w:rPr>
          <w:rFonts w:hint="default" w:ascii="Times New Roman" w:hAnsi="Times New Roman" w:eastAsia="宋体" w:cs="Times New Roman"/>
          <w:b/>
          <w:bCs/>
          <w:color w:val="auto"/>
          <w:spacing w:val="0"/>
          <w:kern w:val="32"/>
          <w:szCs w:val="24"/>
          <w:highlight w:val="none"/>
        </w:rPr>
        <w:t>6. 汇报内容及流程</w:t>
      </w:r>
      <w:bookmarkEnd w:id="314"/>
    </w:p>
    <w:p w14:paraId="16119867">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szCs w:val="24"/>
          <w:highlight w:val="none"/>
        </w:rPr>
      </w:pPr>
      <w:r>
        <w:rPr>
          <w:rFonts w:hint="default" w:ascii="Times New Roman" w:hAnsi="Times New Roman" w:eastAsia="宋体" w:cs="Times New Roman"/>
          <w:color w:val="auto"/>
          <w:spacing w:val="0"/>
          <w:szCs w:val="24"/>
          <w:highlight w:val="none"/>
        </w:rPr>
        <w:t>乙方应当在每星期五向甲方提交工作周报，包括项目情况跟踪及问题报告等，附带的性能报告（如有）也将递交给甲方项目经理。如发生突发事件，乙方也应第一时间向甲方项目经理报告。</w:t>
      </w:r>
    </w:p>
    <w:p w14:paraId="60C66794">
      <w:pPr>
        <w:keepNext w:val="0"/>
        <w:keepLines w:val="0"/>
        <w:pageBreakBefore w:val="0"/>
        <w:kinsoku/>
        <w:wordWrap/>
        <w:overflowPunct/>
        <w:topLinePunct w:val="0"/>
        <w:autoSpaceDE w:val="0"/>
        <w:autoSpaceDN w:val="0"/>
        <w:bidi w:val="0"/>
        <w:outlineLvl w:val="9"/>
        <w:rPr>
          <w:rFonts w:hint="default" w:ascii="Times New Roman" w:hAnsi="Times New Roman" w:eastAsia="宋体" w:cs="Times New Roman"/>
          <w:b/>
          <w:bCs/>
          <w:color w:val="auto"/>
          <w:spacing w:val="0"/>
          <w:kern w:val="32"/>
          <w:szCs w:val="24"/>
          <w:highlight w:val="none"/>
        </w:rPr>
      </w:pPr>
      <w:bookmarkStart w:id="315" w:name="_Toc254884650"/>
      <w:r>
        <w:rPr>
          <w:rFonts w:hint="default" w:ascii="Times New Roman" w:hAnsi="Times New Roman" w:eastAsia="宋体" w:cs="Times New Roman"/>
          <w:b/>
          <w:bCs/>
          <w:color w:val="auto"/>
          <w:spacing w:val="0"/>
          <w:kern w:val="32"/>
          <w:szCs w:val="24"/>
          <w:highlight w:val="none"/>
        </w:rPr>
        <w:t>7. 服务水平和指标</w:t>
      </w:r>
      <w:bookmarkEnd w:id="315"/>
    </w:p>
    <w:p w14:paraId="3F5F61FC">
      <w:pPr>
        <w:keepNext w:val="0"/>
        <w:keepLines w:val="0"/>
        <w:pageBreakBefore w:val="0"/>
        <w:kinsoku/>
        <w:wordWrap/>
        <w:overflowPunct/>
        <w:topLinePunct w:val="0"/>
        <w:autoSpaceDE w:val="0"/>
        <w:autoSpaceDN w:val="0"/>
        <w:bidi w:val="0"/>
        <w:spacing w:line="360" w:lineRule="auto"/>
        <w:ind w:firstLine="480" w:firstLineChars="200"/>
        <w:outlineLvl w:val="9"/>
        <w:rPr>
          <w:rFonts w:hint="default" w:ascii="Times New Roman" w:hAnsi="Times New Roman" w:eastAsia="宋体" w:cs="Times New Roman"/>
          <w:color w:val="auto"/>
          <w:spacing w:val="0"/>
          <w:szCs w:val="24"/>
          <w:highlight w:val="none"/>
        </w:rPr>
      </w:pPr>
      <w:r>
        <w:rPr>
          <w:rFonts w:hint="default" w:ascii="Times New Roman" w:hAnsi="Times New Roman" w:eastAsia="宋体" w:cs="Times New Roman"/>
          <w:color w:val="auto"/>
          <w:spacing w:val="0"/>
          <w:szCs w:val="24"/>
          <w:highlight w:val="none"/>
        </w:rPr>
        <w:t>甲方将定期对乙方进行考评，乙方提供的服务必须满足以下服务水平和指标要求，否则按违约金标准收取相应金额违约金。合计金额按主合同违约责任约定限定，以人民币计算，由甲方直接扣除合同款项。乙方签订本合同即认可其派驻的项目经理被赋予项目管理的签字权，其签字内容承担相应的违约责任。</w:t>
      </w:r>
    </w:p>
    <w:tbl>
      <w:tblPr>
        <w:tblStyle w:val="22"/>
        <w:tblW w:w="9813"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710"/>
        <w:gridCol w:w="1134"/>
        <w:gridCol w:w="1701"/>
        <w:gridCol w:w="1559"/>
        <w:gridCol w:w="1691"/>
        <w:gridCol w:w="1757"/>
        <w:gridCol w:w="694"/>
      </w:tblGrid>
      <w:tr w14:paraId="74295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7" w:type="dxa"/>
            <w:shd w:val="clear" w:color="auto" w:fill="auto"/>
            <w:vAlign w:val="center"/>
          </w:tcPr>
          <w:p w14:paraId="782AD303">
            <w:pPr>
              <w:keepNext w:val="0"/>
              <w:keepLines w:val="0"/>
              <w:pageBreakBefore w:val="0"/>
              <w:widowControl/>
              <w:kinsoku/>
              <w:wordWrap/>
              <w:overflowPunct/>
              <w:topLinePunct w:val="0"/>
              <w:autoSpaceDE w:val="0"/>
              <w:autoSpaceDN w:val="0"/>
              <w:bidi w:val="0"/>
              <w:adjustRightInd/>
              <w:spacing w:line="400" w:lineRule="exact"/>
              <w:ind w:firstLine="0" w:firstLineChars="0"/>
              <w:jc w:val="center"/>
              <w:textAlignment w:val="auto"/>
              <w:outlineLvl w:val="9"/>
              <w:rPr>
                <w:rFonts w:hint="default" w:ascii="Times New Roman" w:hAnsi="Times New Roman" w:eastAsia="宋体" w:cs="Times New Roman"/>
                <w:b/>
                <w:color w:val="auto"/>
                <w:spacing w:val="0"/>
                <w:sz w:val="21"/>
                <w:szCs w:val="21"/>
                <w:highlight w:val="none"/>
              </w:rPr>
            </w:pPr>
            <w:r>
              <w:rPr>
                <w:rFonts w:hint="default" w:ascii="Times New Roman" w:hAnsi="Times New Roman" w:eastAsia="宋体" w:cs="Times New Roman"/>
                <w:b/>
                <w:color w:val="auto"/>
                <w:spacing w:val="0"/>
                <w:sz w:val="21"/>
                <w:szCs w:val="21"/>
                <w:highlight w:val="none"/>
              </w:rPr>
              <w:t>序号</w:t>
            </w:r>
          </w:p>
        </w:tc>
        <w:tc>
          <w:tcPr>
            <w:tcW w:w="710" w:type="dxa"/>
            <w:shd w:val="clear" w:color="auto" w:fill="auto"/>
            <w:vAlign w:val="center"/>
          </w:tcPr>
          <w:p w14:paraId="3BE8D29A">
            <w:pPr>
              <w:keepNext w:val="0"/>
              <w:keepLines w:val="0"/>
              <w:pageBreakBefore w:val="0"/>
              <w:widowControl/>
              <w:kinsoku/>
              <w:wordWrap/>
              <w:overflowPunct/>
              <w:topLinePunct w:val="0"/>
              <w:autoSpaceDE w:val="0"/>
              <w:autoSpaceDN w:val="0"/>
              <w:bidi w:val="0"/>
              <w:adjustRightInd/>
              <w:spacing w:line="400" w:lineRule="exact"/>
              <w:ind w:firstLine="0" w:firstLineChars="0"/>
              <w:jc w:val="center"/>
              <w:textAlignment w:val="auto"/>
              <w:outlineLvl w:val="9"/>
              <w:rPr>
                <w:rFonts w:hint="default" w:ascii="Times New Roman" w:hAnsi="Times New Roman" w:eastAsia="宋体" w:cs="Times New Roman"/>
                <w:b/>
                <w:color w:val="auto"/>
                <w:spacing w:val="0"/>
                <w:sz w:val="21"/>
                <w:szCs w:val="21"/>
                <w:highlight w:val="none"/>
              </w:rPr>
            </w:pPr>
            <w:r>
              <w:rPr>
                <w:rFonts w:hint="default" w:ascii="Times New Roman" w:hAnsi="Times New Roman" w:eastAsia="宋体" w:cs="Times New Roman"/>
                <w:b/>
                <w:color w:val="auto"/>
                <w:spacing w:val="0"/>
                <w:sz w:val="21"/>
                <w:szCs w:val="21"/>
                <w:highlight w:val="none"/>
              </w:rPr>
              <w:t>服务内容</w:t>
            </w:r>
          </w:p>
        </w:tc>
        <w:tc>
          <w:tcPr>
            <w:tcW w:w="1134" w:type="dxa"/>
            <w:shd w:val="clear" w:color="auto" w:fill="auto"/>
            <w:vAlign w:val="center"/>
          </w:tcPr>
          <w:p w14:paraId="5561E430">
            <w:pPr>
              <w:keepNext w:val="0"/>
              <w:keepLines w:val="0"/>
              <w:pageBreakBefore w:val="0"/>
              <w:widowControl/>
              <w:kinsoku/>
              <w:wordWrap/>
              <w:overflowPunct/>
              <w:topLinePunct w:val="0"/>
              <w:autoSpaceDE w:val="0"/>
              <w:autoSpaceDN w:val="0"/>
              <w:bidi w:val="0"/>
              <w:adjustRightInd/>
              <w:spacing w:line="400" w:lineRule="exact"/>
              <w:ind w:firstLine="0" w:firstLineChars="0"/>
              <w:jc w:val="center"/>
              <w:textAlignment w:val="auto"/>
              <w:outlineLvl w:val="9"/>
              <w:rPr>
                <w:rFonts w:hint="default" w:ascii="Times New Roman" w:hAnsi="Times New Roman" w:eastAsia="宋体" w:cs="Times New Roman"/>
                <w:b/>
                <w:color w:val="auto"/>
                <w:spacing w:val="0"/>
                <w:sz w:val="21"/>
                <w:szCs w:val="21"/>
                <w:highlight w:val="none"/>
              </w:rPr>
            </w:pPr>
            <w:r>
              <w:rPr>
                <w:rFonts w:hint="default" w:ascii="Times New Roman" w:hAnsi="Times New Roman" w:eastAsia="宋体" w:cs="Times New Roman"/>
                <w:b/>
                <w:color w:val="auto"/>
                <w:spacing w:val="0"/>
                <w:sz w:val="21"/>
                <w:szCs w:val="21"/>
                <w:highlight w:val="none"/>
              </w:rPr>
              <w:t>服务定义</w:t>
            </w:r>
          </w:p>
        </w:tc>
        <w:tc>
          <w:tcPr>
            <w:tcW w:w="1701" w:type="dxa"/>
            <w:shd w:val="clear" w:color="auto" w:fill="auto"/>
            <w:vAlign w:val="center"/>
          </w:tcPr>
          <w:p w14:paraId="2D1B6F3A">
            <w:pPr>
              <w:keepNext w:val="0"/>
              <w:keepLines w:val="0"/>
              <w:pageBreakBefore w:val="0"/>
              <w:widowControl/>
              <w:kinsoku/>
              <w:wordWrap/>
              <w:overflowPunct/>
              <w:topLinePunct w:val="0"/>
              <w:autoSpaceDE w:val="0"/>
              <w:autoSpaceDN w:val="0"/>
              <w:bidi w:val="0"/>
              <w:adjustRightInd/>
              <w:spacing w:line="400" w:lineRule="exact"/>
              <w:ind w:firstLine="0" w:firstLineChars="0"/>
              <w:jc w:val="center"/>
              <w:textAlignment w:val="auto"/>
              <w:outlineLvl w:val="9"/>
              <w:rPr>
                <w:rFonts w:hint="default" w:ascii="Times New Roman" w:hAnsi="Times New Roman" w:eastAsia="宋体" w:cs="Times New Roman"/>
                <w:b/>
                <w:color w:val="auto"/>
                <w:spacing w:val="0"/>
                <w:sz w:val="21"/>
                <w:szCs w:val="21"/>
                <w:highlight w:val="none"/>
              </w:rPr>
            </w:pPr>
            <w:r>
              <w:rPr>
                <w:rFonts w:hint="default" w:ascii="Times New Roman" w:hAnsi="Times New Roman" w:eastAsia="宋体" w:cs="Times New Roman"/>
                <w:b/>
                <w:color w:val="auto"/>
                <w:spacing w:val="0"/>
                <w:sz w:val="21"/>
                <w:szCs w:val="21"/>
                <w:highlight w:val="none"/>
              </w:rPr>
              <w:t>服务标准</w:t>
            </w:r>
          </w:p>
        </w:tc>
        <w:tc>
          <w:tcPr>
            <w:tcW w:w="1559" w:type="dxa"/>
            <w:shd w:val="clear" w:color="auto" w:fill="auto"/>
            <w:vAlign w:val="center"/>
          </w:tcPr>
          <w:p w14:paraId="131F4D4B">
            <w:pPr>
              <w:keepNext w:val="0"/>
              <w:keepLines w:val="0"/>
              <w:pageBreakBefore w:val="0"/>
              <w:widowControl/>
              <w:kinsoku/>
              <w:wordWrap/>
              <w:overflowPunct/>
              <w:topLinePunct w:val="0"/>
              <w:autoSpaceDE w:val="0"/>
              <w:autoSpaceDN w:val="0"/>
              <w:bidi w:val="0"/>
              <w:adjustRightInd/>
              <w:spacing w:line="400" w:lineRule="exact"/>
              <w:ind w:firstLine="0" w:firstLineChars="0"/>
              <w:jc w:val="center"/>
              <w:textAlignment w:val="auto"/>
              <w:outlineLvl w:val="9"/>
              <w:rPr>
                <w:rFonts w:hint="default" w:ascii="Times New Roman" w:hAnsi="Times New Roman" w:eastAsia="宋体" w:cs="Times New Roman"/>
                <w:b/>
                <w:color w:val="auto"/>
                <w:spacing w:val="0"/>
                <w:sz w:val="21"/>
                <w:szCs w:val="21"/>
                <w:highlight w:val="none"/>
              </w:rPr>
            </w:pPr>
            <w:r>
              <w:rPr>
                <w:rFonts w:hint="default" w:ascii="Times New Roman" w:hAnsi="Times New Roman" w:eastAsia="宋体" w:cs="Times New Roman"/>
                <w:b/>
                <w:color w:val="auto"/>
                <w:spacing w:val="0"/>
                <w:sz w:val="21"/>
                <w:szCs w:val="21"/>
                <w:highlight w:val="none"/>
              </w:rPr>
              <w:t>指标计算</w:t>
            </w:r>
          </w:p>
        </w:tc>
        <w:tc>
          <w:tcPr>
            <w:tcW w:w="1691" w:type="dxa"/>
            <w:shd w:val="clear" w:color="auto" w:fill="auto"/>
            <w:vAlign w:val="center"/>
          </w:tcPr>
          <w:p w14:paraId="12F1DB13">
            <w:pPr>
              <w:keepNext w:val="0"/>
              <w:keepLines w:val="0"/>
              <w:pageBreakBefore w:val="0"/>
              <w:widowControl/>
              <w:kinsoku/>
              <w:wordWrap/>
              <w:overflowPunct/>
              <w:topLinePunct w:val="0"/>
              <w:autoSpaceDE w:val="0"/>
              <w:autoSpaceDN w:val="0"/>
              <w:bidi w:val="0"/>
              <w:adjustRightInd/>
              <w:spacing w:line="400" w:lineRule="exact"/>
              <w:ind w:firstLine="0" w:firstLineChars="0"/>
              <w:jc w:val="center"/>
              <w:textAlignment w:val="auto"/>
              <w:outlineLvl w:val="9"/>
              <w:rPr>
                <w:rFonts w:hint="default" w:ascii="Times New Roman" w:hAnsi="Times New Roman" w:eastAsia="宋体" w:cs="Times New Roman"/>
                <w:b/>
                <w:bCs/>
                <w:color w:val="auto"/>
                <w:spacing w:val="0"/>
                <w:sz w:val="21"/>
                <w:szCs w:val="21"/>
                <w:highlight w:val="none"/>
              </w:rPr>
            </w:pPr>
            <w:r>
              <w:rPr>
                <w:rFonts w:hint="default" w:ascii="Times New Roman" w:hAnsi="Times New Roman" w:eastAsia="宋体" w:cs="Times New Roman"/>
                <w:b/>
                <w:bCs/>
                <w:color w:val="auto"/>
                <w:spacing w:val="0"/>
                <w:sz w:val="21"/>
                <w:szCs w:val="21"/>
                <w:highlight w:val="none"/>
              </w:rPr>
              <w:t>服务水平要求</w:t>
            </w:r>
          </w:p>
        </w:tc>
        <w:tc>
          <w:tcPr>
            <w:tcW w:w="1757" w:type="dxa"/>
            <w:shd w:val="clear" w:color="auto" w:fill="auto"/>
            <w:vAlign w:val="center"/>
          </w:tcPr>
          <w:p w14:paraId="51E6F3AA">
            <w:pPr>
              <w:keepNext w:val="0"/>
              <w:keepLines w:val="0"/>
              <w:pageBreakBefore w:val="0"/>
              <w:widowControl/>
              <w:kinsoku/>
              <w:wordWrap/>
              <w:overflowPunct/>
              <w:topLinePunct w:val="0"/>
              <w:autoSpaceDE w:val="0"/>
              <w:autoSpaceDN w:val="0"/>
              <w:bidi w:val="0"/>
              <w:adjustRightInd/>
              <w:spacing w:line="400" w:lineRule="exact"/>
              <w:ind w:firstLine="0" w:firstLineChars="0"/>
              <w:jc w:val="center"/>
              <w:textAlignment w:val="auto"/>
              <w:outlineLvl w:val="9"/>
              <w:rPr>
                <w:rFonts w:hint="default" w:ascii="Times New Roman" w:hAnsi="Times New Roman" w:eastAsia="宋体" w:cs="Times New Roman"/>
                <w:b/>
                <w:color w:val="auto"/>
                <w:spacing w:val="0"/>
                <w:sz w:val="21"/>
                <w:szCs w:val="21"/>
                <w:highlight w:val="none"/>
              </w:rPr>
            </w:pPr>
            <w:r>
              <w:rPr>
                <w:rFonts w:hint="default" w:ascii="Times New Roman" w:hAnsi="Times New Roman" w:eastAsia="宋体" w:cs="Times New Roman"/>
                <w:b/>
                <w:color w:val="auto"/>
                <w:spacing w:val="0"/>
                <w:sz w:val="21"/>
                <w:szCs w:val="21"/>
                <w:highlight w:val="none"/>
              </w:rPr>
              <w:t>违约金标准</w:t>
            </w:r>
          </w:p>
        </w:tc>
        <w:tc>
          <w:tcPr>
            <w:tcW w:w="694" w:type="dxa"/>
            <w:vAlign w:val="center"/>
          </w:tcPr>
          <w:p w14:paraId="57F3A8AB">
            <w:pPr>
              <w:keepNext w:val="0"/>
              <w:keepLines w:val="0"/>
              <w:pageBreakBefore w:val="0"/>
              <w:widowControl/>
              <w:kinsoku/>
              <w:wordWrap/>
              <w:overflowPunct/>
              <w:topLinePunct w:val="0"/>
              <w:autoSpaceDE w:val="0"/>
              <w:autoSpaceDN w:val="0"/>
              <w:bidi w:val="0"/>
              <w:adjustRightInd/>
              <w:spacing w:line="400" w:lineRule="exact"/>
              <w:ind w:firstLine="0" w:firstLineChars="0"/>
              <w:jc w:val="center"/>
              <w:textAlignment w:val="auto"/>
              <w:outlineLvl w:val="9"/>
              <w:rPr>
                <w:rFonts w:hint="default" w:ascii="Times New Roman" w:hAnsi="Times New Roman" w:eastAsia="宋体" w:cs="Times New Roman"/>
                <w:b/>
                <w:color w:val="auto"/>
                <w:spacing w:val="0"/>
                <w:sz w:val="21"/>
                <w:szCs w:val="21"/>
                <w:highlight w:val="none"/>
              </w:rPr>
            </w:pPr>
            <w:r>
              <w:rPr>
                <w:rFonts w:hint="default" w:ascii="Times New Roman" w:hAnsi="Times New Roman" w:eastAsia="宋体" w:cs="Times New Roman"/>
                <w:b/>
                <w:color w:val="auto"/>
                <w:spacing w:val="0"/>
                <w:sz w:val="21"/>
                <w:szCs w:val="21"/>
                <w:highlight w:val="none"/>
              </w:rPr>
              <w:t>是否满足</w:t>
            </w:r>
          </w:p>
        </w:tc>
      </w:tr>
      <w:tr w14:paraId="77A9B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567" w:type="dxa"/>
            <w:shd w:val="clear" w:color="auto" w:fill="auto"/>
            <w:vAlign w:val="center"/>
          </w:tcPr>
          <w:p w14:paraId="0F22DF8E">
            <w:pPr>
              <w:keepNext w:val="0"/>
              <w:keepLines w:val="0"/>
              <w:pageBreakBefore w:val="0"/>
              <w:widowControl/>
              <w:kinsoku/>
              <w:wordWrap/>
              <w:overflowPunct/>
              <w:topLinePunct w:val="0"/>
              <w:autoSpaceDE w:val="0"/>
              <w:autoSpaceDN w:val="0"/>
              <w:bidi w:val="0"/>
              <w:adjustRightInd/>
              <w:spacing w:line="400" w:lineRule="exact"/>
              <w:ind w:firstLine="0" w:firstLineChars="0"/>
              <w:jc w:val="center"/>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1</w:t>
            </w:r>
          </w:p>
        </w:tc>
        <w:tc>
          <w:tcPr>
            <w:tcW w:w="710" w:type="dxa"/>
            <w:shd w:val="clear" w:color="auto" w:fill="auto"/>
            <w:vAlign w:val="center"/>
          </w:tcPr>
          <w:p w14:paraId="35E1A64E">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任务响应</w:t>
            </w:r>
          </w:p>
        </w:tc>
        <w:tc>
          <w:tcPr>
            <w:tcW w:w="1134" w:type="dxa"/>
            <w:shd w:val="clear" w:color="auto" w:fill="auto"/>
            <w:vAlign w:val="center"/>
          </w:tcPr>
          <w:p w14:paraId="333ECCE7">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衡量乙方在需求与问题响应方面的能力</w:t>
            </w:r>
          </w:p>
        </w:tc>
        <w:tc>
          <w:tcPr>
            <w:tcW w:w="1701" w:type="dxa"/>
            <w:shd w:val="clear" w:color="auto" w:fill="auto"/>
            <w:vAlign w:val="center"/>
          </w:tcPr>
          <w:p w14:paraId="625DCE3A">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乙方在收到甲方任务后2个工作日内，向甲方反馈确认任务的实施方案、计划和工作量等</w:t>
            </w:r>
          </w:p>
        </w:tc>
        <w:tc>
          <w:tcPr>
            <w:tcW w:w="1559" w:type="dxa"/>
            <w:shd w:val="clear" w:color="auto" w:fill="auto"/>
            <w:vAlign w:val="center"/>
          </w:tcPr>
          <w:p w14:paraId="77573E7E">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甲方应当明确任务提出时间，乙方应当向甲方发出一个确认任务响应信息</w:t>
            </w:r>
          </w:p>
        </w:tc>
        <w:tc>
          <w:tcPr>
            <w:tcW w:w="1691" w:type="dxa"/>
            <w:shd w:val="clear" w:color="auto" w:fill="auto"/>
            <w:vAlign w:val="center"/>
          </w:tcPr>
          <w:p w14:paraId="404BC93D">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乙方不得违反承诺响应时间</w:t>
            </w:r>
          </w:p>
        </w:tc>
        <w:tc>
          <w:tcPr>
            <w:tcW w:w="1757" w:type="dxa"/>
            <w:shd w:val="clear" w:color="auto" w:fill="auto"/>
            <w:vAlign w:val="center"/>
          </w:tcPr>
          <w:p w14:paraId="350CE08F">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如违反承诺的响应时间要求，每次扣除1000元违约金</w:t>
            </w:r>
          </w:p>
        </w:tc>
        <w:tc>
          <w:tcPr>
            <w:tcW w:w="694" w:type="dxa"/>
          </w:tcPr>
          <w:p w14:paraId="177FE8B5">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p>
        </w:tc>
      </w:tr>
      <w:tr w14:paraId="3D31D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trPr>
        <w:tc>
          <w:tcPr>
            <w:tcW w:w="567" w:type="dxa"/>
            <w:shd w:val="clear" w:color="auto" w:fill="auto"/>
            <w:vAlign w:val="center"/>
          </w:tcPr>
          <w:p w14:paraId="51DDE87C">
            <w:pPr>
              <w:keepNext w:val="0"/>
              <w:keepLines w:val="0"/>
              <w:pageBreakBefore w:val="0"/>
              <w:widowControl/>
              <w:kinsoku/>
              <w:wordWrap/>
              <w:overflowPunct/>
              <w:topLinePunct w:val="0"/>
              <w:autoSpaceDE w:val="0"/>
              <w:autoSpaceDN w:val="0"/>
              <w:bidi w:val="0"/>
              <w:adjustRightInd/>
              <w:spacing w:line="400" w:lineRule="exact"/>
              <w:ind w:firstLine="0" w:firstLineChars="0"/>
              <w:jc w:val="center"/>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2</w:t>
            </w:r>
          </w:p>
        </w:tc>
        <w:tc>
          <w:tcPr>
            <w:tcW w:w="710" w:type="dxa"/>
            <w:shd w:val="clear" w:color="auto" w:fill="auto"/>
            <w:vAlign w:val="center"/>
          </w:tcPr>
          <w:p w14:paraId="238F5D23">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项目延期</w:t>
            </w:r>
          </w:p>
        </w:tc>
        <w:tc>
          <w:tcPr>
            <w:tcW w:w="1134" w:type="dxa"/>
            <w:shd w:val="clear" w:color="auto" w:fill="auto"/>
            <w:vAlign w:val="center"/>
          </w:tcPr>
          <w:p w14:paraId="24054427">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衡量乙方对项目整体实施进度的控制能力</w:t>
            </w:r>
          </w:p>
        </w:tc>
        <w:tc>
          <w:tcPr>
            <w:tcW w:w="1701" w:type="dxa"/>
            <w:shd w:val="clear" w:color="auto" w:fill="auto"/>
            <w:vAlign w:val="center"/>
          </w:tcPr>
          <w:p w14:paraId="57D47563">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乙方原因导致的项目进度偏差</w:t>
            </w:r>
          </w:p>
        </w:tc>
        <w:tc>
          <w:tcPr>
            <w:tcW w:w="1559" w:type="dxa"/>
            <w:shd w:val="clear" w:color="auto" w:fill="auto"/>
            <w:vAlign w:val="center"/>
          </w:tcPr>
          <w:p w14:paraId="615BEEB4">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按项目计划为基准计算进度偏差天数（进度偏差率≤20%）</w:t>
            </w:r>
          </w:p>
        </w:tc>
        <w:tc>
          <w:tcPr>
            <w:tcW w:w="1691" w:type="dxa"/>
            <w:shd w:val="clear" w:color="auto" w:fill="auto"/>
            <w:vAlign w:val="center"/>
          </w:tcPr>
          <w:p w14:paraId="3ED72689">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进度偏差率=进度偏差天数/项目计划中进度天数（进度偏差率≤20%）</w:t>
            </w:r>
          </w:p>
        </w:tc>
        <w:tc>
          <w:tcPr>
            <w:tcW w:w="1757" w:type="dxa"/>
            <w:shd w:val="clear" w:color="auto" w:fill="auto"/>
            <w:vAlign w:val="center"/>
          </w:tcPr>
          <w:p w14:paraId="2EE8A7C5">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20%＜进度偏差率≤30%，每偏差一天按合同总金额的0.1%计违约金，进度偏差率＞30%并且延期3个月以上，违约金为合同总金额的10%</w:t>
            </w:r>
          </w:p>
        </w:tc>
        <w:tc>
          <w:tcPr>
            <w:tcW w:w="694" w:type="dxa"/>
          </w:tcPr>
          <w:p w14:paraId="2CAE9093">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p>
        </w:tc>
      </w:tr>
      <w:tr w14:paraId="601E3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567" w:type="dxa"/>
            <w:shd w:val="clear" w:color="auto" w:fill="auto"/>
            <w:vAlign w:val="center"/>
          </w:tcPr>
          <w:p w14:paraId="161C4761">
            <w:pPr>
              <w:keepNext w:val="0"/>
              <w:keepLines w:val="0"/>
              <w:pageBreakBefore w:val="0"/>
              <w:widowControl/>
              <w:kinsoku/>
              <w:wordWrap/>
              <w:overflowPunct/>
              <w:topLinePunct w:val="0"/>
              <w:autoSpaceDE w:val="0"/>
              <w:autoSpaceDN w:val="0"/>
              <w:bidi w:val="0"/>
              <w:adjustRightInd/>
              <w:spacing w:line="400" w:lineRule="exact"/>
              <w:ind w:firstLine="0" w:firstLineChars="0"/>
              <w:jc w:val="center"/>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3</w:t>
            </w:r>
          </w:p>
        </w:tc>
        <w:tc>
          <w:tcPr>
            <w:tcW w:w="710" w:type="dxa"/>
            <w:shd w:val="clear" w:color="auto" w:fill="auto"/>
            <w:vAlign w:val="center"/>
          </w:tcPr>
          <w:p w14:paraId="6CEBA705">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任务完成情况</w:t>
            </w:r>
          </w:p>
        </w:tc>
        <w:tc>
          <w:tcPr>
            <w:tcW w:w="1134" w:type="dxa"/>
            <w:shd w:val="clear" w:color="auto" w:fill="auto"/>
            <w:vAlign w:val="center"/>
          </w:tcPr>
          <w:p w14:paraId="47C3375C">
            <w:pPr>
              <w:keepNext w:val="0"/>
              <w:keepLines w:val="0"/>
              <w:pageBreakBefore w:val="0"/>
              <w:widowControl/>
              <w:kinsoku/>
              <w:wordWrap/>
              <w:overflowPunct/>
              <w:topLinePunct w:val="0"/>
              <w:autoSpaceDE w:val="0"/>
              <w:autoSpaceDN w:val="0"/>
              <w:bidi w:val="0"/>
              <w:adjustRightInd/>
              <w:snapToGrid w:val="0"/>
              <w:spacing w:line="400" w:lineRule="exact"/>
              <w:ind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0"/>
                <w:sz w:val="21"/>
                <w:szCs w:val="21"/>
                <w:highlight w:val="none"/>
              </w:rPr>
              <w:t>衡量乙方按计划完成任务的能力</w:t>
            </w:r>
          </w:p>
        </w:tc>
        <w:tc>
          <w:tcPr>
            <w:tcW w:w="1701" w:type="dxa"/>
            <w:shd w:val="clear" w:color="auto" w:fill="auto"/>
            <w:vAlign w:val="center"/>
          </w:tcPr>
          <w:p w14:paraId="0721A57C">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乙方应当在双方确认的时间内完成任务</w:t>
            </w:r>
          </w:p>
        </w:tc>
        <w:tc>
          <w:tcPr>
            <w:tcW w:w="1559" w:type="dxa"/>
            <w:shd w:val="clear" w:color="auto" w:fill="auto"/>
            <w:vAlign w:val="center"/>
          </w:tcPr>
          <w:p w14:paraId="1C857C64">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p>
          <w:p w14:paraId="7C840C3D">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甲方标识出每一项任务完成的具体时间，对比乙方给出的任务完成计划时间</w:t>
            </w:r>
          </w:p>
        </w:tc>
        <w:tc>
          <w:tcPr>
            <w:tcW w:w="1691" w:type="dxa"/>
            <w:shd w:val="clear" w:color="auto" w:fill="auto"/>
            <w:vAlign w:val="center"/>
          </w:tcPr>
          <w:p w14:paraId="20238EEA">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1.需求分析说明、概要设计、详细设计100%完成；</w:t>
            </w:r>
          </w:p>
          <w:p w14:paraId="585A23BF">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2.软件编码100%完成；</w:t>
            </w:r>
          </w:p>
          <w:p w14:paraId="0795AE6D">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3.测试案例需求覆盖率100%，且测试案例执行率100%</w:t>
            </w:r>
          </w:p>
        </w:tc>
        <w:tc>
          <w:tcPr>
            <w:tcW w:w="1757" w:type="dxa"/>
            <w:shd w:val="clear" w:color="auto" w:fill="auto"/>
            <w:vAlign w:val="center"/>
          </w:tcPr>
          <w:p w14:paraId="6341E9A1">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以上三个指标之一低于90%甲方有权终止合同，追回支付款项，要求赔偿损失</w:t>
            </w:r>
          </w:p>
        </w:tc>
        <w:tc>
          <w:tcPr>
            <w:tcW w:w="694" w:type="dxa"/>
          </w:tcPr>
          <w:p w14:paraId="09A09E9F">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p>
        </w:tc>
      </w:tr>
      <w:tr w14:paraId="5CF1B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567" w:type="dxa"/>
            <w:shd w:val="clear" w:color="auto" w:fill="auto"/>
            <w:vAlign w:val="center"/>
          </w:tcPr>
          <w:p w14:paraId="2A871666">
            <w:pPr>
              <w:keepNext w:val="0"/>
              <w:keepLines w:val="0"/>
              <w:pageBreakBefore w:val="0"/>
              <w:widowControl/>
              <w:kinsoku/>
              <w:wordWrap/>
              <w:overflowPunct/>
              <w:topLinePunct w:val="0"/>
              <w:autoSpaceDE w:val="0"/>
              <w:autoSpaceDN w:val="0"/>
              <w:bidi w:val="0"/>
              <w:adjustRightInd/>
              <w:spacing w:line="400" w:lineRule="exact"/>
              <w:ind w:firstLine="0" w:firstLineChars="0"/>
              <w:jc w:val="center"/>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4</w:t>
            </w:r>
          </w:p>
        </w:tc>
        <w:tc>
          <w:tcPr>
            <w:tcW w:w="710" w:type="dxa"/>
            <w:shd w:val="clear" w:color="auto" w:fill="auto"/>
            <w:vAlign w:val="center"/>
          </w:tcPr>
          <w:p w14:paraId="3379540F">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上线后重大质量缺陷</w:t>
            </w:r>
          </w:p>
        </w:tc>
        <w:tc>
          <w:tcPr>
            <w:tcW w:w="1134" w:type="dxa"/>
            <w:shd w:val="clear" w:color="auto" w:fill="auto"/>
            <w:vAlign w:val="center"/>
          </w:tcPr>
          <w:p w14:paraId="27DB060C">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衡量乙方在系统上线运行后的稳定性</w:t>
            </w:r>
          </w:p>
        </w:tc>
        <w:tc>
          <w:tcPr>
            <w:tcW w:w="1701" w:type="dxa"/>
            <w:shd w:val="clear" w:color="auto" w:fill="auto"/>
            <w:vAlign w:val="center"/>
          </w:tcPr>
          <w:p w14:paraId="64DD1817">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系统上线后不能发生较大运营中断事件和重大质量缺陷</w:t>
            </w:r>
          </w:p>
        </w:tc>
        <w:tc>
          <w:tcPr>
            <w:tcW w:w="1559" w:type="dxa"/>
            <w:shd w:val="clear" w:color="auto" w:fill="auto"/>
            <w:vAlign w:val="center"/>
          </w:tcPr>
          <w:p w14:paraId="7C77355C">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甲方根据系统生产缺陷程度和数量判定</w:t>
            </w:r>
          </w:p>
        </w:tc>
        <w:tc>
          <w:tcPr>
            <w:tcW w:w="1691" w:type="dxa"/>
            <w:shd w:val="clear" w:color="auto" w:fill="auto"/>
            <w:vAlign w:val="center"/>
          </w:tcPr>
          <w:p w14:paraId="55D792D0">
            <w:pPr>
              <w:keepNext w:val="0"/>
              <w:keepLines w:val="0"/>
              <w:pageBreakBefore w:val="0"/>
              <w:kinsoku/>
              <w:wordWrap/>
              <w:overflowPunct/>
              <w:topLinePunct w:val="0"/>
              <w:autoSpaceDE w:val="0"/>
              <w:autoSpaceDN w:val="0"/>
              <w:bidi w:val="0"/>
              <w:adjustRightInd/>
              <w:spacing w:line="400" w:lineRule="exact"/>
              <w:ind w:firstLine="0" w:firstLineChars="0"/>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1、应用软件未出现III级(含)以上的运营中断事件；</w:t>
            </w:r>
          </w:p>
          <w:p w14:paraId="62BDF23F">
            <w:pPr>
              <w:keepNext w:val="0"/>
              <w:keepLines w:val="0"/>
              <w:pageBreakBefore w:val="0"/>
              <w:kinsoku/>
              <w:wordWrap/>
              <w:overflowPunct/>
              <w:topLinePunct w:val="0"/>
              <w:autoSpaceDE w:val="0"/>
              <w:autoSpaceDN w:val="0"/>
              <w:bidi w:val="0"/>
              <w:adjustRightInd/>
              <w:spacing w:line="400" w:lineRule="exact"/>
              <w:ind w:firstLine="0" w:firstLineChars="0"/>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2、应用软件未出现严重缺陷和致命缺陷；</w:t>
            </w:r>
          </w:p>
          <w:p w14:paraId="7CAADC73">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 xml:space="preserve">3、一般和微小缺陷逃逸率≤4.5% </w:t>
            </w:r>
          </w:p>
        </w:tc>
        <w:tc>
          <w:tcPr>
            <w:tcW w:w="1757" w:type="dxa"/>
            <w:shd w:val="clear" w:color="auto" w:fill="auto"/>
            <w:vAlign w:val="center"/>
          </w:tcPr>
          <w:p w14:paraId="6988ED5C">
            <w:pPr>
              <w:keepNext w:val="0"/>
              <w:keepLines w:val="0"/>
              <w:pageBreakBefore w:val="0"/>
              <w:kinsoku/>
              <w:wordWrap/>
              <w:overflowPunct/>
              <w:topLinePunct w:val="0"/>
              <w:autoSpaceDE w:val="0"/>
              <w:autoSpaceDN w:val="0"/>
              <w:bidi w:val="0"/>
              <w:adjustRightInd/>
              <w:spacing w:line="400" w:lineRule="exact"/>
              <w:ind w:firstLine="0" w:firstLineChars="0"/>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不满足该项任一标准扣除2万元违约金并要求乙方赔偿损失</w:t>
            </w:r>
          </w:p>
        </w:tc>
        <w:tc>
          <w:tcPr>
            <w:tcW w:w="694" w:type="dxa"/>
          </w:tcPr>
          <w:p w14:paraId="3D3D473C">
            <w:pPr>
              <w:keepNext w:val="0"/>
              <w:keepLines w:val="0"/>
              <w:pageBreakBefore w:val="0"/>
              <w:kinsoku/>
              <w:wordWrap/>
              <w:overflowPunct/>
              <w:topLinePunct w:val="0"/>
              <w:autoSpaceDE w:val="0"/>
              <w:autoSpaceDN w:val="0"/>
              <w:bidi w:val="0"/>
              <w:adjustRightInd/>
              <w:spacing w:line="400" w:lineRule="exact"/>
              <w:ind w:firstLine="0" w:firstLineChars="0"/>
              <w:textAlignment w:val="auto"/>
              <w:outlineLvl w:val="9"/>
              <w:rPr>
                <w:rFonts w:hint="default" w:ascii="Times New Roman" w:hAnsi="Times New Roman" w:eastAsia="宋体" w:cs="Times New Roman"/>
                <w:color w:val="auto"/>
                <w:spacing w:val="0"/>
                <w:sz w:val="21"/>
                <w:szCs w:val="21"/>
                <w:highlight w:val="none"/>
              </w:rPr>
            </w:pPr>
          </w:p>
        </w:tc>
      </w:tr>
      <w:tr w14:paraId="6CCC3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567" w:type="dxa"/>
            <w:shd w:val="clear" w:color="auto" w:fill="auto"/>
            <w:vAlign w:val="center"/>
          </w:tcPr>
          <w:p w14:paraId="416B9A90">
            <w:pPr>
              <w:keepNext w:val="0"/>
              <w:keepLines w:val="0"/>
              <w:pageBreakBefore w:val="0"/>
              <w:widowControl/>
              <w:kinsoku/>
              <w:wordWrap/>
              <w:overflowPunct/>
              <w:topLinePunct w:val="0"/>
              <w:autoSpaceDE w:val="0"/>
              <w:autoSpaceDN w:val="0"/>
              <w:bidi w:val="0"/>
              <w:adjustRightInd/>
              <w:spacing w:line="400" w:lineRule="exact"/>
              <w:ind w:firstLine="0" w:firstLineChars="0"/>
              <w:jc w:val="center"/>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5</w:t>
            </w:r>
          </w:p>
        </w:tc>
        <w:tc>
          <w:tcPr>
            <w:tcW w:w="710" w:type="dxa"/>
            <w:shd w:val="clear" w:color="auto" w:fill="auto"/>
            <w:vAlign w:val="center"/>
          </w:tcPr>
          <w:p w14:paraId="5729E95C">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上线后重大问题处理</w:t>
            </w:r>
          </w:p>
        </w:tc>
        <w:tc>
          <w:tcPr>
            <w:tcW w:w="1134" w:type="dxa"/>
            <w:shd w:val="clear" w:color="auto" w:fill="auto"/>
            <w:vAlign w:val="center"/>
          </w:tcPr>
          <w:p w14:paraId="43A0F2F3">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衡量乙方在系统上线运行后及时处理重大问题的能力</w:t>
            </w:r>
          </w:p>
        </w:tc>
        <w:tc>
          <w:tcPr>
            <w:tcW w:w="1701" w:type="dxa"/>
            <w:shd w:val="clear" w:color="auto" w:fill="auto"/>
            <w:vAlign w:val="center"/>
          </w:tcPr>
          <w:p w14:paraId="21FB10E2">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上线后遗留问题或生产缺陷解决的及时性</w:t>
            </w:r>
          </w:p>
        </w:tc>
        <w:tc>
          <w:tcPr>
            <w:tcW w:w="1559" w:type="dxa"/>
            <w:shd w:val="clear" w:color="auto" w:fill="auto"/>
            <w:vAlign w:val="center"/>
          </w:tcPr>
          <w:p w14:paraId="4705B5E5">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甲方根据系统上线运行后的重大问题处理情况判定</w:t>
            </w:r>
          </w:p>
        </w:tc>
        <w:tc>
          <w:tcPr>
            <w:tcW w:w="1691" w:type="dxa"/>
            <w:shd w:val="clear" w:color="auto" w:fill="auto"/>
            <w:vAlign w:val="center"/>
          </w:tcPr>
          <w:p w14:paraId="2FC1852D">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生产缺陷解决及时率=100%</w:t>
            </w:r>
          </w:p>
        </w:tc>
        <w:tc>
          <w:tcPr>
            <w:tcW w:w="1757" w:type="dxa"/>
            <w:shd w:val="clear" w:color="auto" w:fill="auto"/>
            <w:vAlign w:val="center"/>
          </w:tcPr>
          <w:p w14:paraId="1A4B4C77">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重大生产缺陷、问题不能得到及时解决，每次按合同总金额的5%计违约金</w:t>
            </w:r>
          </w:p>
        </w:tc>
        <w:tc>
          <w:tcPr>
            <w:tcW w:w="694" w:type="dxa"/>
          </w:tcPr>
          <w:p w14:paraId="27874013">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p>
        </w:tc>
      </w:tr>
      <w:tr w14:paraId="15F8A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567" w:type="dxa"/>
            <w:shd w:val="clear" w:color="auto" w:fill="auto"/>
            <w:vAlign w:val="center"/>
          </w:tcPr>
          <w:p w14:paraId="40C8EDA7">
            <w:pPr>
              <w:keepNext w:val="0"/>
              <w:keepLines w:val="0"/>
              <w:pageBreakBefore w:val="0"/>
              <w:widowControl/>
              <w:kinsoku/>
              <w:wordWrap/>
              <w:overflowPunct/>
              <w:topLinePunct w:val="0"/>
              <w:autoSpaceDE w:val="0"/>
              <w:autoSpaceDN w:val="0"/>
              <w:bidi w:val="0"/>
              <w:adjustRightInd/>
              <w:snapToGrid w:val="0"/>
              <w:spacing w:line="400" w:lineRule="exact"/>
              <w:ind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w:t>
            </w:r>
          </w:p>
        </w:tc>
        <w:tc>
          <w:tcPr>
            <w:tcW w:w="710" w:type="dxa"/>
            <w:shd w:val="clear" w:color="auto" w:fill="auto"/>
            <w:vAlign w:val="center"/>
          </w:tcPr>
          <w:p w14:paraId="5C6146AC">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人力资源投入及人员稳定性</w:t>
            </w:r>
          </w:p>
        </w:tc>
        <w:tc>
          <w:tcPr>
            <w:tcW w:w="1134" w:type="dxa"/>
            <w:shd w:val="clear" w:color="auto" w:fill="auto"/>
            <w:vAlign w:val="center"/>
          </w:tcPr>
          <w:p w14:paraId="7A0B0B22">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衡量乙方人员服务的符合度及人员稳定性</w:t>
            </w:r>
          </w:p>
        </w:tc>
        <w:tc>
          <w:tcPr>
            <w:tcW w:w="1701" w:type="dxa"/>
            <w:shd w:val="clear" w:color="auto" w:fill="auto"/>
            <w:vAlign w:val="center"/>
          </w:tcPr>
          <w:p w14:paraId="1457C372">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投入人员情况符合投标文件或合同要求，乙方项目组人员变动比例不得高于30%</w:t>
            </w:r>
          </w:p>
        </w:tc>
        <w:tc>
          <w:tcPr>
            <w:tcW w:w="1559" w:type="dxa"/>
            <w:shd w:val="clear" w:color="auto" w:fill="auto"/>
            <w:vAlign w:val="center"/>
          </w:tcPr>
          <w:p w14:paraId="60B10D69">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甲方按合同要求判定乙方人员投入及变动情况</w:t>
            </w:r>
          </w:p>
        </w:tc>
        <w:tc>
          <w:tcPr>
            <w:tcW w:w="1691" w:type="dxa"/>
            <w:shd w:val="clear" w:color="auto" w:fill="auto"/>
            <w:vAlign w:val="center"/>
          </w:tcPr>
          <w:p w14:paraId="48FC0D7D">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人员数量差异=承诺人数-实际人数</w:t>
            </w:r>
          </w:p>
          <w:p w14:paraId="00FB5826">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人员变动率=人员变动人数/原项目组人员总人数</w:t>
            </w:r>
            <w:r>
              <w:rPr>
                <w:rFonts w:hint="default" w:ascii="Times New Roman" w:hAnsi="Times New Roman" w:eastAsia="宋体" w:cs="Times New Roman"/>
                <w:color w:val="auto"/>
                <w:spacing w:val="0"/>
                <w:sz w:val="21"/>
                <w:szCs w:val="21"/>
                <w:highlight w:val="none"/>
              </w:rPr>
              <w:br w:type="textWrapping"/>
            </w:r>
            <w:r>
              <w:rPr>
                <w:rFonts w:hint="default" w:ascii="Times New Roman" w:hAnsi="Times New Roman" w:eastAsia="宋体" w:cs="Times New Roman"/>
                <w:color w:val="auto"/>
                <w:spacing w:val="0"/>
                <w:sz w:val="21"/>
                <w:szCs w:val="21"/>
                <w:highlight w:val="none"/>
              </w:rPr>
              <w:t>（人员数量差异≤2；技术骨干及项目经理不得变动；技术人员变动率≤30%）</w:t>
            </w:r>
          </w:p>
        </w:tc>
        <w:tc>
          <w:tcPr>
            <w:tcW w:w="1757" w:type="dxa"/>
            <w:shd w:val="clear" w:color="auto" w:fill="auto"/>
            <w:vAlign w:val="center"/>
          </w:tcPr>
          <w:p w14:paraId="06F4160F">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技术骨干及项目经理变动扣除技术骨干人月单价（至少不低于3万元），技术人员变动超过30%，扣除合同总金额10%</w:t>
            </w:r>
          </w:p>
        </w:tc>
        <w:tc>
          <w:tcPr>
            <w:tcW w:w="694" w:type="dxa"/>
          </w:tcPr>
          <w:p w14:paraId="078C944B">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p>
        </w:tc>
      </w:tr>
      <w:tr w14:paraId="15DD8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567" w:type="dxa"/>
            <w:shd w:val="clear" w:color="auto" w:fill="auto"/>
            <w:vAlign w:val="center"/>
          </w:tcPr>
          <w:p w14:paraId="4243958A">
            <w:pPr>
              <w:keepNext w:val="0"/>
              <w:keepLines w:val="0"/>
              <w:pageBreakBefore w:val="0"/>
              <w:widowControl/>
              <w:kinsoku/>
              <w:wordWrap/>
              <w:overflowPunct/>
              <w:topLinePunct w:val="0"/>
              <w:autoSpaceDE w:val="0"/>
              <w:autoSpaceDN w:val="0"/>
              <w:bidi w:val="0"/>
              <w:adjustRightInd/>
              <w:spacing w:line="400" w:lineRule="exact"/>
              <w:ind w:firstLine="0" w:firstLineChars="0"/>
              <w:jc w:val="center"/>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7</w:t>
            </w:r>
          </w:p>
        </w:tc>
        <w:tc>
          <w:tcPr>
            <w:tcW w:w="710" w:type="dxa"/>
            <w:shd w:val="clear" w:color="auto" w:fill="auto"/>
            <w:vAlign w:val="center"/>
          </w:tcPr>
          <w:p w14:paraId="2CAE6CCF">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测试人员配置</w:t>
            </w:r>
          </w:p>
        </w:tc>
        <w:tc>
          <w:tcPr>
            <w:tcW w:w="1134" w:type="dxa"/>
            <w:shd w:val="clear" w:color="auto" w:fill="auto"/>
            <w:vAlign w:val="center"/>
          </w:tcPr>
          <w:p w14:paraId="1C934D39">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衡量乙方投入系统测试人员的符合度</w:t>
            </w:r>
          </w:p>
        </w:tc>
        <w:tc>
          <w:tcPr>
            <w:tcW w:w="1701" w:type="dxa"/>
            <w:shd w:val="clear" w:color="auto" w:fill="auto"/>
            <w:vAlign w:val="center"/>
          </w:tcPr>
          <w:p w14:paraId="703AD507">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投入系统测试人员情况符合投标文件或合同要求</w:t>
            </w:r>
          </w:p>
        </w:tc>
        <w:tc>
          <w:tcPr>
            <w:tcW w:w="1559" w:type="dxa"/>
            <w:shd w:val="clear" w:color="auto" w:fill="auto"/>
            <w:vAlign w:val="center"/>
          </w:tcPr>
          <w:p w14:paraId="00B3835B">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甲方按照合同或标书要求判定乙方测试人员投入情况</w:t>
            </w:r>
          </w:p>
        </w:tc>
        <w:tc>
          <w:tcPr>
            <w:tcW w:w="1691" w:type="dxa"/>
            <w:shd w:val="clear" w:color="auto" w:fill="auto"/>
            <w:vAlign w:val="center"/>
          </w:tcPr>
          <w:p w14:paraId="10DC655F">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人员重合率=测试人员/开发人员（人员重合率=0）</w:t>
            </w:r>
          </w:p>
        </w:tc>
        <w:tc>
          <w:tcPr>
            <w:tcW w:w="1757" w:type="dxa"/>
            <w:shd w:val="clear" w:color="auto" w:fill="auto"/>
            <w:vAlign w:val="center"/>
          </w:tcPr>
          <w:p w14:paraId="457258BE">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p>
        </w:tc>
        <w:tc>
          <w:tcPr>
            <w:tcW w:w="694" w:type="dxa"/>
          </w:tcPr>
          <w:p w14:paraId="0E09FFE4">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p>
        </w:tc>
      </w:tr>
      <w:tr w14:paraId="2A07A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567" w:type="dxa"/>
            <w:shd w:val="clear" w:color="auto" w:fill="auto"/>
            <w:vAlign w:val="center"/>
          </w:tcPr>
          <w:p w14:paraId="7CA68912">
            <w:pPr>
              <w:keepNext w:val="0"/>
              <w:keepLines w:val="0"/>
              <w:pageBreakBefore w:val="0"/>
              <w:widowControl/>
              <w:kinsoku/>
              <w:wordWrap/>
              <w:overflowPunct/>
              <w:topLinePunct w:val="0"/>
              <w:autoSpaceDE w:val="0"/>
              <w:autoSpaceDN w:val="0"/>
              <w:bidi w:val="0"/>
              <w:adjustRightInd/>
              <w:spacing w:line="400" w:lineRule="exact"/>
              <w:ind w:firstLine="0" w:firstLineChars="0"/>
              <w:jc w:val="center"/>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8</w:t>
            </w:r>
          </w:p>
        </w:tc>
        <w:tc>
          <w:tcPr>
            <w:tcW w:w="710" w:type="dxa"/>
            <w:shd w:val="clear" w:color="auto" w:fill="auto"/>
            <w:vAlign w:val="center"/>
          </w:tcPr>
          <w:p w14:paraId="4D523593">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人员异常退出</w:t>
            </w:r>
          </w:p>
        </w:tc>
        <w:tc>
          <w:tcPr>
            <w:tcW w:w="1134" w:type="dxa"/>
            <w:shd w:val="clear" w:color="auto" w:fill="auto"/>
            <w:vAlign w:val="center"/>
          </w:tcPr>
          <w:p w14:paraId="6B8CCA7C">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衡量乙方人员是否提供持续服务</w:t>
            </w:r>
          </w:p>
        </w:tc>
        <w:tc>
          <w:tcPr>
            <w:tcW w:w="1701" w:type="dxa"/>
            <w:shd w:val="clear" w:color="auto" w:fill="auto"/>
            <w:vAlign w:val="center"/>
          </w:tcPr>
          <w:p w14:paraId="2EB9A4D4">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未经甲方同意，乙方人员辞职和离职或无计划的调离项目组</w:t>
            </w:r>
          </w:p>
        </w:tc>
        <w:tc>
          <w:tcPr>
            <w:tcW w:w="1559" w:type="dxa"/>
            <w:shd w:val="clear" w:color="auto" w:fill="auto"/>
            <w:vAlign w:val="center"/>
          </w:tcPr>
          <w:p w14:paraId="168977B4">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甲方根据乙方人员退出的具体时间和原因测算</w:t>
            </w:r>
          </w:p>
        </w:tc>
        <w:tc>
          <w:tcPr>
            <w:tcW w:w="1691" w:type="dxa"/>
            <w:shd w:val="clear" w:color="auto" w:fill="auto"/>
            <w:vAlign w:val="center"/>
          </w:tcPr>
          <w:p w14:paraId="0934A741">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人员异常退出次数=0</w:t>
            </w:r>
          </w:p>
        </w:tc>
        <w:tc>
          <w:tcPr>
            <w:tcW w:w="1757" w:type="dxa"/>
            <w:shd w:val="clear" w:color="auto" w:fill="auto"/>
            <w:vAlign w:val="center"/>
          </w:tcPr>
          <w:p w14:paraId="11C09613">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每次人员异常退出扣除乙方金额人民币1000元</w:t>
            </w:r>
          </w:p>
        </w:tc>
        <w:tc>
          <w:tcPr>
            <w:tcW w:w="694" w:type="dxa"/>
          </w:tcPr>
          <w:p w14:paraId="34096C71">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p>
        </w:tc>
      </w:tr>
      <w:tr w14:paraId="417CC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567" w:type="dxa"/>
            <w:shd w:val="clear" w:color="auto" w:fill="auto"/>
            <w:vAlign w:val="center"/>
          </w:tcPr>
          <w:p w14:paraId="07B0E806">
            <w:pPr>
              <w:keepNext w:val="0"/>
              <w:keepLines w:val="0"/>
              <w:pageBreakBefore w:val="0"/>
              <w:widowControl/>
              <w:kinsoku/>
              <w:wordWrap/>
              <w:overflowPunct/>
              <w:topLinePunct w:val="0"/>
              <w:autoSpaceDE w:val="0"/>
              <w:autoSpaceDN w:val="0"/>
              <w:bidi w:val="0"/>
              <w:adjustRightInd/>
              <w:spacing w:line="400" w:lineRule="exact"/>
              <w:ind w:firstLine="0" w:firstLineChars="0"/>
              <w:jc w:val="center"/>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9</w:t>
            </w:r>
          </w:p>
        </w:tc>
        <w:tc>
          <w:tcPr>
            <w:tcW w:w="710" w:type="dxa"/>
            <w:shd w:val="clear" w:color="auto" w:fill="auto"/>
            <w:vAlign w:val="center"/>
          </w:tcPr>
          <w:p w14:paraId="56FFB654">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人员纪律性</w:t>
            </w:r>
          </w:p>
        </w:tc>
        <w:tc>
          <w:tcPr>
            <w:tcW w:w="1134" w:type="dxa"/>
            <w:shd w:val="clear" w:color="auto" w:fill="auto"/>
            <w:vAlign w:val="center"/>
          </w:tcPr>
          <w:p w14:paraId="2C1E1F9C">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衡量乙方人员是否遵守甲方的日常规章和操作规范</w:t>
            </w:r>
          </w:p>
        </w:tc>
        <w:tc>
          <w:tcPr>
            <w:tcW w:w="1701" w:type="dxa"/>
            <w:shd w:val="clear" w:color="auto" w:fill="auto"/>
            <w:vAlign w:val="center"/>
          </w:tcPr>
          <w:p w14:paraId="6A954F88">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乙方人员不得违反甲方的各项规章制度和操作规范</w:t>
            </w:r>
          </w:p>
        </w:tc>
        <w:tc>
          <w:tcPr>
            <w:tcW w:w="1559" w:type="dxa"/>
            <w:shd w:val="clear" w:color="auto" w:fill="auto"/>
            <w:vAlign w:val="center"/>
          </w:tcPr>
          <w:p w14:paraId="7FD5F7BD">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甲方根据自身检查及其他管理部门的检查结果为依据统计乙方人员违规次数。</w:t>
            </w:r>
          </w:p>
        </w:tc>
        <w:tc>
          <w:tcPr>
            <w:tcW w:w="1691" w:type="dxa"/>
            <w:shd w:val="clear" w:color="auto" w:fill="auto"/>
            <w:vAlign w:val="center"/>
          </w:tcPr>
          <w:p w14:paraId="60FD39EE">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人员违规次数=0次</w:t>
            </w:r>
          </w:p>
        </w:tc>
        <w:tc>
          <w:tcPr>
            <w:tcW w:w="1757" w:type="dxa"/>
            <w:shd w:val="clear" w:color="auto" w:fill="auto"/>
            <w:vAlign w:val="center"/>
          </w:tcPr>
          <w:p w14:paraId="3A479180">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乙方人员违反甲方规章制度或操作规范，每次扣除乙方金额人民币500元</w:t>
            </w:r>
          </w:p>
        </w:tc>
        <w:tc>
          <w:tcPr>
            <w:tcW w:w="694" w:type="dxa"/>
          </w:tcPr>
          <w:p w14:paraId="4D5F410F">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p>
        </w:tc>
      </w:tr>
      <w:tr w14:paraId="7E24D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567" w:type="dxa"/>
            <w:shd w:val="clear" w:color="auto" w:fill="auto"/>
            <w:vAlign w:val="center"/>
          </w:tcPr>
          <w:p w14:paraId="70449320">
            <w:pPr>
              <w:keepNext w:val="0"/>
              <w:keepLines w:val="0"/>
              <w:pageBreakBefore w:val="0"/>
              <w:widowControl/>
              <w:kinsoku/>
              <w:wordWrap/>
              <w:overflowPunct/>
              <w:topLinePunct w:val="0"/>
              <w:autoSpaceDE w:val="0"/>
              <w:autoSpaceDN w:val="0"/>
              <w:bidi w:val="0"/>
              <w:adjustRightInd/>
              <w:spacing w:line="400" w:lineRule="exact"/>
              <w:ind w:firstLine="0" w:firstLineChars="0"/>
              <w:jc w:val="center"/>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10</w:t>
            </w:r>
          </w:p>
        </w:tc>
        <w:tc>
          <w:tcPr>
            <w:tcW w:w="710" w:type="dxa"/>
            <w:shd w:val="clear" w:color="auto" w:fill="auto"/>
            <w:vAlign w:val="center"/>
          </w:tcPr>
          <w:p w14:paraId="4B0B66B1">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安全管理</w:t>
            </w:r>
          </w:p>
        </w:tc>
        <w:tc>
          <w:tcPr>
            <w:tcW w:w="1134" w:type="dxa"/>
            <w:shd w:val="clear" w:color="auto" w:fill="auto"/>
            <w:vAlign w:val="center"/>
          </w:tcPr>
          <w:p w14:paraId="7029CF72">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衡量乙方网络和信息安全服务的管理能力</w:t>
            </w:r>
          </w:p>
        </w:tc>
        <w:tc>
          <w:tcPr>
            <w:tcW w:w="1701" w:type="dxa"/>
            <w:shd w:val="clear" w:color="auto" w:fill="auto"/>
            <w:vAlign w:val="center"/>
          </w:tcPr>
          <w:p w14:paraId="050A4AA4">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针对发现的安全漏洞及安全缺陷（包括源代码、第三方SDK或第三方小程序、第三方软件产品及开源组件等），须按甲方要求完成整改。</w:t>
            </w:r>
          </w:p>
        </w:tc>
        <w:tc>
          <w:tcPr>
            <w:tcW w:w="1559" w:type="dxa"/>
            <w:shd w:val="clear" w:color="auto" w:fill="auto"/>
            <w:vAlign w:val="center"/>
          </w:tcPr>
          <w:p w14:paraId="711283A1">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甲方根据整改情况统计整改及时性及整改通过率。</w:t>
            </w:r>
          </w:p>
        </w:tc>
        <w:tc>
          <w:tcPr>
            <w:tcW w:w="1691" w:type="dxa"/>
            <w:shd w:val="clear" w:color="auto" w:fill="auto"/>
            <w:vAlign w:val="center"/>
          </w:tcPr>
          <w:p w14:paraId="357299DE">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互联网或电子银行类系统：</w:t>
            </w:r>
          </w:p>
          <w:p w14:paraId="630BEF1D">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1.安全漏洞及安全缺陷整改及时率=100%</w:t>
            </w:r>
          </w:p>
          <w:p w14:paraId="001CF256">
            <w:pPr>
              <w:keepNext w:val="0"/>
              <w:keepLines w:val="0"/>
              <w:pageBreakBefore w:val="0"/>
              <w:kinsoku/>
              <w:wordWrap/>
              <w:overflowPunct/>
              <w:topLinePunct w:val="0"/>
              <w:autoSpaceDE w:val="0"/>
              <w:autoSpaceDN w:val="0"/>
              <w:bidi w:val="0"/>
              <w:adjustRightInd/>
              <w:spacing w:line="400" w:lineRule="exact"/>
              <w:ind w:firstLine="0" w:firstLineChars="0"/>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2.安全漏洞及安全缺陷整改通过率=100%</w:t>
            </w:r>
          </w:p>
          <w:p w14:paraId="13094A33">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非互联网或电子银行类系统：</w:t>
            </w:r>
          </w:p>
          <w:p w14:paraId="2064F4A5">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1.中高危安全漏洞及安全缺陷整改及时率=100%</w:t>
            </w:r>
          </w:p>
          <w:p w14:paraId="365DA90B">
            <w:pPr>
              <w:keepNext w:val="0"/>
              <w:keepLines w:val="0"/>
              <w:pageBreakBefore w:val="0"/>
              <w:kinsoku/>
              <w:wordWrap/>
              <w:overflowPunct/>
              <w:topLinePunct w:val="0"/>
              <w:autoSpaceDE w:val="0"/>
              <w:autoSpaceDN w:val="0"/>
              <w:bidi w:val="0"/>
              <w:adjustRightInd/>
              <w:spacing w:line="400" w:lineRule="exact"/>
              <w:ind w:firstLine="0" w:firstLineChars="0"/>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2.中高危安全漏洞及安全缺陷整改通过率=100%</w:t>
            </w:r>
          </w:p>
        </w:tc>
        <w:tc>
          <w:tcPr>
            <w:tcW w:w="1757" w:type="dxa"/>
            <w:shd w:val="clear" w:color="auto" w:fill="auto"/>
            <w:vAlign w:val="center"/>
          </w:tcPr>
          <w:p w14:paraId="5E657919">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不满足该项任一标准扣除2万元违约金并要求乙方赔偿损失</w:t>
            </w:r>
          </w:p>
        </w:tc>
        <w:tc>
          <w:tcPr>
            <w:tcW w:w="694" w:type="dxa"/>
          </w:tcPr>
          <w:p w14:paraId="2FAE05D7">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p>
        </w:tc>
      </w:tr>
      <w:tr w14:paraId="5E888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567" w:type="dxa"/>
            <w:shd w:val="clear" w:color="auto" w:fill="auto"/>
            <w:vAlign w:val="center"/>
          </w:tcPr>
          <w:p w14:paraId="17701E1D">
            <w:pPr>
              <w:keepNext w:val="0"/>
              <w:keepLines w:val="0"/>
              <w:pageBreakBefore w:val="0"/>
              <w:widowControl/>
              <w:kinsoku/>
              <w:wordWrap/>
              <w:overflowPunct/>
              <w:topLinePunct w:val="0"/>
              <w:autoSpaceDE w:val="0"/>
              <w:autoSpaceDN w:val="0"/>
              <w:bidi w:val="0"/>
              <w:adjustRightInd/>
              <w:spacing w:line="400" w:lineRule="exact"/>
              <w:ind w:firstLine="0" w:firstLineChars="0"/>
              <w:jc w:val="center"/>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11</w:t>
            </w:r>
          </w:p>
        </w:tc>
        <w:tc>
          <w:tcPr>
            <w:tcW w:w="710" w:type="dxa"/>
            <w:shd w:val="clear" w:color="auto" w:fill="auto"/>
            <w:vAlign w:val="center"/>
          </w:tcPr>
          <w:p w14:paraId="7FA8AFE1">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网络安全事件</w:t>
            </w:r>
          </w:p>
        </w:tc>
        <w:tc>
          <w:tcPr>
            <w:tcW w:w="1134" w:type="dxa"/>
            <w:shd w:val="clear" w:color="auto" w:fill="auto"/>
            <w:vAlign w:val="center"/>
          </w:tcPr>
          <w:p w14:paraId="33DB3C3A">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控制网络安全风险</w:t>
            </w:r>
          </w:p>
        </w:tc>
        <w:tc>
          <w:tcPr>
            <w:tcW w:w="1701" w:type="dxa"/>
            <w:shd w:val="clear" w:color="auto" w:fill="auto"/>
            <w:vAlign w:val="center"/>
          </w:tcPr>
          <w:p w14:paraId="760D2E99">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不得因乙方原因（含乙方合作的第三方）导致甲方发生网络安全事件</w:t>
            </w:r>
          </w:p>
        </w:tc>
        <w:tc>
          <w:tcPr>
            <w:tcW w:w="1559" w:type="dxa"/>
            <w:shd w:val="clear" w:color="auto" w:fill="auto"/>
            <w:vAlign w:val="center"/>
          </w:tcPr>
          <w:p w14:paraId="25228A9B">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甲方根据监管及本行要求及事件危害程度判定。</w:t>
            </w:r>
          </w:p>
        </w:tc>
        <w:tc>
          <w:tcPr>
            <w:tcW w:w="1691" w:type="dxa"/>
            <w:shd w:val="clear" w:color="auto" w:fill="auto"/>
            <w:vAlign w:val="center"/>
          </w:tcPr>
          <w:p w14:paraId="05F8583D">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网络安全事件=0</w:t>
            </w:r>
          </w:p>
        </w:tc>
        <w:tc>
          <w:tcPr>
            <w:tcW w:w="1757" w:type="dxa"/>
            <w:shd w:val="clear" w:color="auto" w:fill="auto"/>
            <w:vAlign w:val="center"/>
          </w:tcPr>
          <w:p w14:paraId="70EB3820">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每发生一次网络安全事件扣除乙方合同金额不低于3%,并要求乙方赔偿实际损失。</w:t>
            </w:r>
          </w:p>
        </w:tc>
        <w:tc>
          <w:tcPr>
            <w:tcW w:w="694" w:type="dxa"/>
          </w:tcPr>
          <w:p w14:paraId="65BA6F87">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p>
        </w:tc>
      </w:tr>
      <w:tr w14:paraId="1C6BD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rPr>
        <w:tc>
          <w:tcPr>
            <w:tcW w:w="567" w:type="dxa"/>
            <w:shd w:val="clear" w:color="auto" w:fill="auto"/>
            <w:vAlign w:val="center"/>
          </w:tcPr>
          <w:p w14:paraId="2E2195E5">
            <w:pPr>
              <w:keepNext w:val="0"/>
              <w:keepLines w:val="0"/>
              <w:pageBreakBefore w:val="0"/>
              <w:widowControl/>
              <w:kinsoku/>
              <w:wordWrap/>
              <w:overflowPunct/>
              <w:topLinePunct w:val="0"/>
              <w:autoSpaceDE w:val="0"/>
              <w:autoSpaceDN w:val="0"/>
              <w:bidi w:val="0"/>
              <w:adjustRightInd/>
              <w:spacing w:line="400" w:lineRule="exact"/>
              <w:ind w:firstLine="0" w:firstLineChars="0"/>
              <w:jc w:val="center"/>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12</w:t>
            </w:r>
          </w:p>
        </w:tc>
        <w:tc>
          <w:tcPr>
            <w:tcW w:w="710" w:type="dxa"/>
            <w:shd w:val="clear" w:color="auto" w:fill="auto"/>
            <w:vAlign w:val="center"/>
          </w:tcPr>
          <w:p w14:paraId="75649CC3">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外包安全事件</w:t>
            </w:r>
          </w:p>
        </w:tc>
        <w:tc>
          <w:tcPr>
            <w:tcW w:w="1134" w:type="dxa"/>
            <w:shd w:val="clear" w:color="auto" w:fill="auto"/>
            <w:vAlign w:val="center"/>
          </w:tcPr>
          <w:p w14:paraId="0F88C7C4">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控制外包操作风险</w:t>
            </w:r>
          </w:p>
        </w:tc>
        <w:tc>
          <w:tcPr>
            <w:tcW w:w="1701" w:type="dxa"/>
            <w:shd w:val="clear" w:color="auto" w:fill="auto"/>
            <w:vAlign w:val="center"/>
          </w:tcPr>
          <w:p w14:paraId="7937FB36">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乙方不得出现危害甲方生产运行安全、数据安全等并造成后果的外包安全事件。</w:t>
            </w:r>
          </w:p>
        </w:tc>
        <w:tc>
          <w:tcPr>
            <w:tcW w:w="1559" w:type="dxa"/>
            <w:shd w:val="clear" w:color="auto" w:fill="auto"/>
            <w:vAlign w:val="center"/>
          </w:tcPr>
          <w:p w14:paraId="3B5C558D">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根据甲方监管要求定义的安全事件，包括不限于造成办公环境物理安全隐患，破坏测试环境数据，在生产运营系统上违反规定进行数据操作或在实施过程中留下信息系统后门等行为。</w:t>
            </w:r>
          </w:p>
        </w:tc>
        <w:tc>
          <w:tcPr>
            <w:tcW w:w="1691" w:type="dxa"/>
            <w:shd w:val="clear" w:color="auto" w:fill="auto"/>
            <w:vAlign w:val="center"/>
          </w:tcPr>
          <w:p w14:paraId="6CE1125A">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外包安全事件=0</w:t>
            </w:r>
          </w:p>
        </w:tc>
        <w:tc>
          <w:tcPr>
            <w:tcW w:w="1757" w:type="dxa"/>
            <w:shd w:val="clear" w:color="auto" w:fill="auto"/>
            <w:vAlign w:val="center"/>
          </w:tcPr>
          <w:p w14:paraId="480A8080">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每次事件扣罚乙方金额不低于人民币1000元，并要求乙方赔偿实际损失。</w:t>
            </w:r>
          </w:p>
        </w:tc>
        <w:tc>
          <w:tcPr>
            <w:tcW w:w="694" w:type="dxa"/>
          </w:tcPr>
          <w:p w14:paraId="7CC18976">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p>
        </w:tc>
      </w:tr>
      <w:tr w14:paraId="008BB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567" w:type="dxa"/>
            <w:shd w:val="clear" w:color="auto" w:fill="auto"/>
            <w:vAlign w:val="center"/>
          </w:tcPr>
          <w:p w14:paraId="0CFF4129">
            <w:pPr>
              <w:keepNext w:val="0"/>
              <w:keepLines w:val="0"/>
              <w:pageBreakBefore w:val="0"/>
              <w:widowControl/>
              <w:kinsoku/>
              <w:wordWrap/>
              <w:overflowPunct/>
              <w:topLinePunct w:val="0"/>
              <w:autoSpaceDE w:val="0"/>
              <w:autoSpaceDN w:val="0"/>
              <w:bidi w:val="0"/>
              <w:adjustRightInd/>
              <w:spacing w:line="400" w:lineRule="exact"/>
              <w:ind w:firstLine="0" w:firstLineChars="0"/>
              <w:jc w:val="center"/>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13</w:t>
            </w:r>
          </w:p>
        </w:tc>
        <w:tc>
          <w:tcPr>
            <w:tcW w:w="710" w:type="dxa"/>
            <w:shd w:val="clear" w:color="auto" w:fill="auto"/>
            <w:vAlign w:val="center"/>
          </w:tcPr>
          <w:p w14:paraId="4CADB229">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交付文档数量及质量</w:t>
            </w:r>
          </w:p>
        </w:tc>
        <w:tc>
          <w:tcPr>
            <w:tcW w:w="1134" w:type="dxa"/>
            <w:shd w:val="clear" w:color="auto" w:fill="auto"/>
            <w:vAlign w:val="center"/>
          </w:tcPr>
          <w:p w14:paraId="3D7DE31E">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衡量甲方内部人员对乙方所提供文档的满意情况</w:t>
            </w:r>
          </w:p>
        </w:tc>
        <w:tc>
          <w:tcPr>
            <w:tcW w:w="1701" w:type="dxa"/>
            <w:shd w:val="clear" w:color="auto" w:fill="auto"/>
            <w:vAlign w:val="center"/>
          </w:tcPr>
          <w:p w14:paraId="69677CA3">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交付文档数量及质量满足甲方要求</w:t>
            </w:r>
          </w:p>
        </w:tc>
        <w:tc>
          <w:tcPr>
            <w:tcW w:w="1559" w:type="dxa"/>
            <w:shd w:val="clear" w:color="auto" w:fill="auto"/>
            <w:vAlign w:val="center"/>
          </w:tcPr>
          <w:p w14:paraId="10B56B08">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甲方根据乙方实际交付的文档数量及文档质量计算</w:t>
            </w:r>
          </w:p>
        </w:tc>
        <w:tc>
          <w:tcPr>
            <w:tcW w:w="1691" w:type="dxa"/>
            <w:shd w:val="clear" w:color="auto" w:fill="auto"/>
            <w:vAlign w:val="center"/>
          </w:tcPr>
          <w:p w14:paraId="4F58963A">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文档实际交付数量不少于甲方要求数量（文档实际交付数量是指文档交付甲方后甲方确认文档质量并实际接收的文档数量）</w:t>
            </w:r>
          </w:p>
        </w:tc>
        <w:tc>
          <w:tcPr>
            <w:tcW w:w="1757" w:type="dxa"/>
            <w:shd w:val="clear" w:color="auto" w:fill="auto"/>
            <w:vAlign w:val="center"/>
          </w:tcPr>
          <w:p w14:paraId="56C45659">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文档每缺少一个扣除合同金额2000元；每有一个文档质量不合格扣除合同金额2000元</w:t>
            </w:r>
          </w:p>
        </w:tc>
        <w:tc>
          <w:tcPr>
            <w:tcW w:w="694" w:type="dxa"/>
            <w:vAlign w:val="center"/>
          </w:tcPr>
          <w:p w14:paraId="700E2F17">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p>
        </w:tc>
      </w:tr>
      <w:tr w14:paraId="0E0A7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3" w:hRule="atLeast"/>
        </w:trPr>
        <w:tc>
          <w:tcPr>
            <w:tcW w:w="567" w:type="dxa"/>
            <w:shd w:val="clear" w:color="auto" w:fill="auto"/>
            <w:vAlign w:val="center"/>
          </w:tcPr>
          <w:p w14:paraId="397ABD7B">
            <w:pPr>
              <w:keepNext w:val="0"/>
              <w:keepLines w:val="0"/>
              <w:pageBreakBefore w:val="0"/>
              <w:widowControl/>
              <w:kinsoku/>
              <w:wordWrap/>
              <w:overflowPunct/>
              <w:topLinePunct w:val="0"/>
              <w:autoSpaceDE w:val="0"/>
              <w:autoSpaceDN w:val="0"/>
              <w:bidi w:val="0"/>
              <w:adjustRightInd/>
              <w:spacing w:line="400" w:lineRule="exact"/>
              <w:ind w:firstLine="0" w:firstLineChars="0"/>
              <w:jc w:val="center"/>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14</w:t>
            </w:r>
          </w:p>
        </w:tc>
        <w:tc>
          <w:tcPr>
            <w:tcW w:w="710" w:type="dxa"/>
            <w:shd w:val="clear" w:color="auto" w:fill="auto"/>
            <w:vAlign w:val="center"/>
          </w:tcPr>
          <w:p w14:paraId="0F824419">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服务满意度</w:t>
            </w:r>
          </w:p>
        </w:tc>
        <w:tc>
          <w:tcPr>
            <w:tcW w:w="1134" w:type="dxa"/>
            <w:shd w:val="clear" w:color="auto" w:fill="auto"/>
            <w:vAlign w:val="center"/>
          </w:tcPr>
          <w:p w14:paraId="4561A91C">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衡量甲方内部人员对乙方所提供服务的满意情况</w:t>
            </w:r>
          </w:p>
        </w:tc>
        <w:tc>
          <w:tcPr>
            <w:tcW w:w="1701" w:type="dxa"/>
            <w:shd w:val="clear" w:color="auto" w:fill="auto"/>
            <w:vAlign w:val="center"/>
          </w:tcPr>
          <w:p w14:paraId="5AFE5CC7">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服务满意度指标</w:t>
            </w:r>
          </w:p>
        </w:tc>
        <w:tc>
          <w:tcPr>
            <w:tcW w:w="1559" w:type="dxa"/>
            <w:shd w:val="clear" w:color="auto" w:fill="auto"/>
            <w:vAlign w:val="center"/>
          </w:tcPr>
          <w:p w14:paraId="11A66350">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服务满意度评级判定</w:t>
            </w:r>
          </w:p>
        </w:tc>
        <w:tc>
          <w:tcPr>
            <w:tcW w:w="1691" w:type="dxa"/>
            <w:shd w:val="clear" w:color="auto" w:fill="auto"/>
            <w:vAlign w:val="center"/>
          </w:tcPr>
          <w:p w14:paraId="1239DEFA">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客户满意度级别为：1级（非常不满意）；2级（不满意）；3级（一般满意）；4级（满意）；5级（非常满意）（服务满意不低于3级）</w:t>
            </w:r>
          </w:p>
        </w:tc>
        <w:tc>
          <w:tcPr>
            <w:tcW w:w="1757" w:type="dxa"/>
            <w:shd w:val="clear" w:color="auto" w:fill="auto"/>
            <w:vAlign w:val="center"/>
          </w:tcPr>
          <w:p w14:paraId="690E181D">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　</w:t>
            </w:r>
          </w:p>
        </w:tc>
        <w:tc>
          <w:tcPr>
            <w:tcW w:w="694" w:type="dxa"/>
          </w:tcPr>
          <w:p w14:paraId="2EC2DFA3">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p>
        </w:tc>
      </w:tr>
      <w:tr w14:paraId="57441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567" w:type="dxa"/>
            <w:shd w:val="clear" w:color="auto" w:fill="auto"/>
            <w:noWrap/>
            <w:vAlign w:val="center"/>
          </w:tcPr>
          <w:p w14:paraId="744083B8">
            <w:pPr>
              <w:keepNext w:val="0"/>
              <w:keepLines w:val="0"/>
              <w:pageBreakBefore w:val="0"/>
              <w:widowControl/>
              <w:kinsoku/>
              <w:wordWrap/>
              <w:overflowPunct/>
              <w:topLinePunct w:val="0"/>
              <w:autoSpaceDE w:val="0"/>
              <w:autoSpaceDN w:val="0"/>
              <w:bidi w:val="0"/>
              <w:adjustRightInd/>
              <w:spacing w:line="400" w:lineRule="exact"/>
              <w:ind w:firstLine="0" w:firstLineChars="0"/>
              <w:jc w:val="center"/>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合计</w:t>
            </w:r>
          </w:p>
        </w:tc>
        <w:tc>
          <w:tcPr>
            <w:tcW w:w="710" w:type="dxa"/>
            <w:shd w:val="clear" w:color="auto" w:fill="auto"/>
            <w:noWrap/>
            <w:vAlign w:val="center"/>
          </w:tcPr>
          <w:p w14:paraId="229C26E5">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SLA满足率</w:t>
            </w:r>
          </w:p>
        </w:tc>
        <w:tc>
          <w:tcPr>
            <w:tcW w:w="1134" w:type="dxa"/>
            <w:shd w:val="clear" w:color="auto" w:fill="auto"/>
            <w:noWrap/>
            <w:vAlign w:val="center"/>
          </w:tcPr>
          <w:p w14:paraId="0521A326">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此数据是衡量满足要求的SLA个数与整体SLA个数的百分之整体的比率</w:t>
            </w:r>
          </w:p>
        </w:tc>
        <w:tc>
          <w:tcPr>
            <w:tcW w:w="1701" w:type="dxa"/>
            <w:shd w:val="clear" w:color="auto" w:fill="auto"/>
            <w:noWrap/>
            <w:vAlign w:val="center"/>
          </w:tcPr>
          <w:p w14:paraId="26C6F8C4">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衡量乙方达到要求的SLA占全部SLA的百分比。</w:t>
            </w:r>
          </w:p>
        </w:tc>
        <w:tc>
          <w:tcPr>
            <w:tcW w:w="1559" w:type="dxa"/>
            <w:shd w:val="clear" w:color="auto" w:fill="auto"/>
            <w:noWrap/>
            <w:vAlign w:val="center"/>
          </w:tcPr>
          <w:p w14:paraId="5C2F112E">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为了这个度量报告，需要持续汇报SOW中所有SLA情况。</w:t>
            </w:r>
          </w:p>
        </w:tc>
        <w:tc>
          <w:tcPr>
            <w:tcW w:w="1691" w:type="dxa"/>
            <w:shd w:val="clear" w:color="auto" w:fill="auto"/>
            <w:noWrap/>
            <w:vAlign w:val="center"/>
          </w:tcPr>
          <w:p w14:paraId="78A8A8C2">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SLA满足率＝（满足SLA的个数/总体SLA的个数）×100%（SLA满足率≥70%）</w:t>
            </w:r>
          </w:p>
        </w:tc>
        <w:tc>
          <w:tcPr>
            <w:tcW w:w="1757" w:type="dxa"/>
            <w:shd w:val="clear" w:color="auto" w:fill="auto"/>
            <w:noWrap/>
            <w:vAlign w:val="center"/>
          </w:tcPr>
          <w:p w14:paraId="587BE5E3">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SLA满足率每低于标准5%，扣除合同总金额的1%</w:t>
            </w:r>
          </w:p>
        </w:tc>
        <w:tc>
          <w:tcPr>
            <w:tcW w:w="694" w:type="dxa"/>
          </w:tcPr>
          <w:p w14:paraId="3792C4AC">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p>
        </w:tc>
      </w:tr>
      <w:tr w14:paraId="748D5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9813" w:type="dxa"/>
            <w:gridSpan w:val="8"/>
            <w:shd w:val="clear" w:color="auto" w:fill="auto"/>
            <w:noWrap/>
            <w:vAlign w:val="center"/>
          </w:tcPr>
          <w:p w14:paraId="509839BB">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综合评价：</w:t>
            </w:r>
          </w:p>
          <w:p w14:paraId="24929923">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p>
          <w:p w14:paraId="34DB8EDD">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p>
          <w:p w14:paraId="56206C9E">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p>
          <w:p w14:paraId="7F137A50">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 xml:space="preserve">评价人：    </w:t>
            </w:r>
          </w:p>
        </w:tc>
      </w:tr>
    </w:tbl>
    <w:p w14:paraId="4E921F94">
      <w:pPr>
        <w:keepNext w:val="0"/>
        <w:keepLines w:val="0"/>
        <w:pageBreakBefore w:val="0"/>
        <w:kinsoku/>
        <w:wordWrap/>
        <w:overflowPunct/>
        <w:topLinePunct w:val="0"/>
        <w:autoSpaceDE w:val="0"/>
        <w:autoSpaceDN w:val="0"/>
        <w:bidi w:val="0"/>
        <w:spacing w:line="360" w:lineRule="auto"/>
        <w:outlineLvl w:val="9"/>
        <w:rPr>
          <w:rStyle w:val="49"/>
          <w:rFonts w:hint="default" w:ascii="Times New Roman" w:hAnsi="Times New Roman" w:eastAsia="宋体" w:cs="Times New Roman"/>
          <w:color w:val="auto"/>
          <w:spacing w:val="0"/>
          <w:kern w:val="0"/>
          <w:highlight w:val="none"/>
        </w:rPr>
      </w:pPr>
    </w:p>
    <w:p w14:paraId="3450B50E">
      <w:pPr>
        <w:keepNext w:val="0"/>
        <w:keepLines w:val="0"/>
        <w:pageBreakBefore w:val="0"/>
        <w:kinsoku/>
        <w:wordWrap/>
        <w:overflowPunct/>
        <w:topLinePunct w:val="0"/>
        <w:autoSpaceDE w:val="0"/>
        <w:autoSpaceDN w:val="0"/>
        <w:bidi w:val="0"/>
        <w:spacing w:line="360" w:lineRule="auto"/>
        <w:outlineLvl w:val="9"/>
        <w:rPr>
          <w:rStyle w:val="49"/>
          <w:rFonts w:hint="default" w:ascii="Times New Roman" w:hAnsi="Times New Roman" w:eastAsia="宋体" w:cs="Times New Roman"/>
          <w:color w:val="auto"/>
          <w:spacing w:val="0"/>
          <w:kern w:val="0"/>
          <w:highlight w:val="none"/>
        </w:rPr>
      </w:pPr>
    </w:p>
    <w:p w14:paraId="1CCC7AC8">
      <w:pPr>
        <w:rPr>
          <w:rStyle w:val="49"/>
          <w:rFonts w:hint="default" w:ascii="Times New Roman" w:hAnsi="Times New Roman" w:eastAsia="宋体" w:cs="Times New Roman"/>
          <w:color w:val="auto"/>
          <w:spacing w:val="0"/>
          <w:kern w:val="0"/>
          <w:highlight w:val="none"/>
        </w:rPr>
      </w:pPr>
      <w:r>
        <w:rPr>
          <w:rStyle w:val="49"/>
          <w:rFonts w:hint="default" w:ascii="Times New Roman" w:hAnsi="Times New Roman" w:eastAsia="宋体" w:cs="Times New Roman"/>
          <w:color w:val="auto"/>
          <w:spacing w:val="0"/>
          <w:kern w:val="0"/>
          <w:highlight w:val="none"/>
        </w:rPr>
        <w:br w:type="page"/>
      </w:r>
    </w:p>
    <w:p w14:paraId="7F8CCF5D">
      <w:pPr>
        <w:keepNext w:val="0"/>
        <w:keepLines w:val="0"/>
        <w:pageBreakBefore w:val="0"/>
        <w:kinsoku/>
        <w:wordWrap/>
        <w:overflowPunct/>
        <w:topLinePunct w:val="0"/>
        <w:autoSpaceDE w:val="0"/>
        <w:autoSpaceDN w:val="0"/>
        <w:bidi w:val="0"/>
        <w:spacing w:before="0" w:after="0"/>
        <w:outlineLvl w:val="9"/>
        <w:rPr>
          <w:rStyle w:val="49"/>
          <w:rFonts w:hint="default" w:ascii="Times New Roman" w:hAnsi="Times New Roman" w:eastAsia="宋体" w:cs="Times New Roman"/>
          <w:color w:val="auto"/>
          <w:spacing w:val="0"/>
          <w:kern w:val="0"/>
          <w:sz w:val="30"/>
          <w:highlight w:val="none"/>
        </w:rPr>
      </w:pPr>
      <w:r>
        <w:rPr>
          <w:rStyle w:val="49"/>
          <w:rFonts w:hint="default" w:ascii="Times New Roman" w:hAnsi="Times New Roman" w:eastAsia="宋体" w:cs="Times New Roman"/>
          <w:color w:val="auto"/>
          <w:spacing w:val="0"/>
          <w:kern w:val="0"/>
          <w:sz w:val="30"/>
          <w:highlight w:val="none"/>
        </w:rPr>
        <w:t>附件六：服务连续性预案</w:t>
      </w:r>
    </w:p>
    <w:p w14:paraId="5F6E7D98">
      <w:pPr>
        <w:keepNext w:val="0"/>
        <w:keepLines w:val="0"/>
        <w:pageBreakBefore w:val="0"/>
        <w:kinsoku/>
        <w:wordWrap/>
        <w:overflowPunct/>
        <w:topLinePunct w:val="0"/>
        <w:autoSpaceDE w:val="0"/>
        <w:autoSpaceDN w:val="0"/>
        <w:bidi w:val="0"/>
        <w:ind w:firstLine="482" w:firstLineChars="200"/>
        <w:outlineLvl w:val="9"/>
        <w:rPr>
          <w:rFonts w:hint="default" w:ascii="Times New Roman" w:hAnsi="Times New Roman" w:eastAsia="宋体" w:cs="Times New Roman"/>
          <w:b/>
          <w:color w:val="auto"/>
          <w:spacing w:val="0"/>
          <w:szCs w:val="24"/>
          <w:highlight w:val="none"/>
        </w:rPr>
      </w:pPr>
      <w:r>
        <w:rPr>
          <w:rFonts w:hint="default" w:ascii="Times New Roman" w:hAnsi="Times New Roman" w:eastAsia="宋体" w:cs="Times New Roman"/>
          <w:b/>
          <w:color w:val="auto"/>
          <w:spacing w:val="0"/>
          <w:szCs w:val="24"/>
          <w:highlight w:val="none"/>
        </w:rPr>
        <w:t>一、目的</w:t>
      </w:r>
    </w:p>
    <w:p w14:paraId="642E28A4">
      <w:pPr>
        <w:keepNext w:val="0"/>
        <w:keepLines w:val="0"/>
        <w:pageBreakBefore w:val="0"/>
        <w:kinsoku/>
        <w:wordWrap/>
        <w:overflowPunct/>
        <w:topLinePunct w:val="0"/>
        <w:autoSpaceDE w:val="0"/>
        <w:autoSpaceDN w:val="0"/>
        <w:bidi w:val="0"/>
        <w:spacing w:line="360" w:lineRule="auto"/>
        <w:ind w:firstLine="559" w:firstLineChars="233"/>
        <w:outlineLvl w:val="9"/>
        <w:rPr>
          <w:rFonts w:hint="default" w:ascii="Times New Roman" w:hAnsi="Times New Roman" w:eastAsia="宋体" w:cs="Times New Roman"/>
          <w:color w:val="auto"/>
          <w:spacing w:val="0"/>
          <w:szCs w:val="24"/>
          <w:highlight w:val="none"/>
        </w:rPr>
      </w:pPr>
      <w:r>
        <w:rPr>
          <w:rFonts w:hint="default" w:ascii="Times New Roman" w:hAnsi="Times New Roman" w:eastAsia="宋体" w:cs="Times New Roman"/>
          <w:color w:val="auto"/>
          <w:spacing w:val="0"/>
          <w:szCs w:val="24"/>
          <w:highlight w:val="none"/>
        </w:rPr>
        <w:t>为保证甲方项目实施的及时性、连续性和稳定性，避免由于外包服务中断而引起项目中断、项目目标无法达成，故拟定本外包服务中断场景时的应急方案，作为突发外包服务中断事件时的服务恢复依据。</w:t>
      </w:r>
    </w:p>
    <w:p w14:paraId="72F04BBD">
      <w:pPr>
        <w:keepNext w:val="0"/>
        <w:keepLines w:val="0"/>
        <w:pageBreakBefore w:val="0"/>
        <w:kinsoku/>
        <w:wordWrap/>
        <w:overflowPunct/>
        <w:topLinePunct w:val="0"/>
        <w:autoSpaceDE w:val="0"/>
        <w:autoSpaceDN w:val="0"/>
        <w:bidi w:val="0"/>
        <w:ind w:firstLine="482" w:firstLineChars="200"/>
        <w:outlineLvl w:val="9"/>
        <w:rPr>
          <w:rFonts w:hint="default" w:ascii="Times New Roman" w:hAnsi="Times New Roman" w:eastAsia="宋体" w:cs="Times New Roman"/>
          <w:b/>
          <w:color w:val="auto"/>
          <w:spacing w:val="0"/>
          <w:szCs w:val="24"/>
          <w:highlight w:val="none"/>
        </w:rPr>
      </w:pPr>
      <w:r>
        <w:rPr>
          <w:rFonts w:hint="default" w:ascii="Times New Roman" w:hAnsi="Times New Roman" w:eastAsia="宋体" w:cs="Times New Roman"/>
          <w:b/>
          <w:color w:val="auto"/>
          <w:spacing w:val="0"/>
          <w:szCs w:val="24"/>
          <w:highlight w:val="none"/>
        </w:rPr>
        <w:t>二、应急组织架构及职责</w:t>
      </w:r>
    </w:p>
    <w:p w14:paraId="7ED9A16E">
      <w:pPr>
        <w:keepNext w:val="0"/>
        <w:keepLines w:val="0"/>
        <w:pageBreakBefore w:val="0"/>
        <w:kinsoku/>
        <w:wordWrap/>
        <w:overflowPunct/>
        <w:topLinePunct w:val="0"/>
        <w:autoSpaceDE w:val="0"/>
        <w:autoSpaceDN w:val="0"/>
        <w:bidi w:val="0"/>
        <w:ind w:firstLine="482" w:firstLineChars="200"/>
        <w:outlineLvl w:val="9"/>
        <w:rPr>
          <w:rFonts w:hint="default" w:ascii="Times New Roman" w:hAnsi="Times New Roman" w:eastAsia="宋体" w:cs="Times New Roman"/>
          <w:b/>
          <w:color w:val="auto"/>
          <w:spacing w:val="0"/>
          <w:szCs w:val="24"/>
          <w:highlight w:val="none"/>
        </w:rPr>
      </w:pPr>
      <w:r>
        <w:rPr>
          <w:rFonts w:hint="default" w:ascii="Times New Roman" w:hAnsi="Times New Roman" w:eastAsia="宋体" w:cs="Times New Roman"/>
          <w:b/>
          <w:color w:val="auto"/>
          <w:spacing w:val="0"/>
          <w:szCs w:val="24"/>
          <w:highlight w:val="none"/>
        </w:rPr>
        <w:t>（一）决策层</w:t>
      </w:r>
    </w:p>
    <w:tbl>
      <w:tblPr>
        <w:tblStyle w:val="22"/>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230"/>
        <w:gridCol w:w="1830"/>
        <w:gridCol w:w="4066"/>
      </w:tblGrid>
      <w:tr w14:paraId="2E9FC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7C41B0D0">
            <w:pPr>
              <w:keepNext w:val="0"/>
              <w:keepLines w:val="0"/>
              <w:pageBreakBefore w:val="0"/>
              <w:kinsoku/>
              <w:wordWrap/>
              <w:overflowPunct/>
              <w:topLinePunct w:val="0"/>
              <w:autoSpaceDE w:val="0"/>
              <w:autoSpaceDN w:val="0"/>
              <w:bidi w:val="0"/>
              <w:spacing w:line="360" w:lineRule="auto"/>
              <w:ind w:firstLine="559" w:firstLineChars="233"/>
              <w:outlineLvl w:val="9"/>
              <w:rPr>
                <w:rFonts w:hint="default" w:ascii="Times New Roman" w:hAnsi="Times New Roman" w:eastAsia="宋体" w:cs="Times New Roman"/>
                <w:color w:val="auto"/>
                <w:spacing w:val="0"/>
                <w:szCs w:val="24"/>
                <w:highlight w:val="none"/>
              </w:rPr>
            </w:pPr>
            <w:r>
              <w:rPr>
                <w:rFonts w:hint="default" w:ascii="Times New Roman" w:hAnsi="Times New Roman" w:eastAsia="宋体" w:cs="Times New Roman"/>
                <w:color w:val="auto"/>
                <w:spacing w:val="0"/>
                <w:szCs w:val="24"/>
                <w:highlight w:val="none"/>
              </w:rPr>
              <w:t>角色</w:t>
            </w:r>
          </w:p>
        </w:tc>
        <w:tc>
          <w:tcPr>
            <w:tcW w:w="1230" w:type="dxa"/>
            <w:tcBorders>
              <w:top w:val="single" w:color="auto" w:sz="4" w:space="0"/>
              <w:left w:val="nil"/>
              <w:bottom w:val="single" w:color="auto" w:sz="4" w:space="0"/>
              <w:right w:val="single" w:color="auto" w:sz="4" w:space="0"/>
              <w:tl2br w:val="nil"/>
              <w:tr2bl w:val="nil"/>
            </w:tcBorders>
            <w:shd w:val="clear" w:color="auto" w:fill="8DB3E2"/>
          </w:tcPr>
          <w:p w14:paraId="278A089E">
            <w:pPr>
              <w:keepNext w:val="0"/>
              <w:keepLines w:val="0"/>
              <w:pageBreakBefore w:val="0"/>
              <w:kinsoku/>
              <w:wordWrap/>
              <w:overflowPunct/>
              <w:topLinePunct w:val="0"/>
              <w:autoSpaceDE w:val="0"/>
              <w:autoSpaceDN w:val="0"/>
              <w:bidi w:val="0"/>
              <w:spacing w:line="360" w:lineRule="auto"/>
              <w:jc w:val="center"/>
              <w:outlineLvl w:val="9"/>
              <w:rPr>
                <w:rFonts w:hint="default" w:ascii="Times New Roman" w:hAnsi="Times New Roman" w:eastAsia="宋体" w:cs="Times New Roman"/>
                <w:color w:val="auto"/>
                <w:spacing w:val="0"/>
                <w:szCs w:val="24"/>
                <w:highlight w:val="none"/>
              </w:rPr>
            </w:pPr>
            <w:r>
              <w:rPr>
                <w:rFonts w:hint="default" w:ascii="Times New Roman" w:hAnsi="Times New Roman" w:eastAsia="宋体" w:cs="Times New Roman"/>
                <w:color w:val="auto"/>
                <w:spacing w:val="0"/>
                <w:szCs w:val="24"/>
                <w:highlight w:val="none"/>
              </w:rPr>
              <w:t>姓名</w:t>
            </w:r>
          </w:p>
        </w:tc>
        <w:tc>
          <w:tcPr>
            <w:tcW w:w="1830" w:type="dxa"/>
            <w:tcBorders>
              <w:top w:val="single" w:color="auto" w:sz="4" w:space="0"/>
              <w:left w:val="nil"/>
              <w:bottom w:val="single" w:color="auto" w:sz="4" w:space="0"/>
              <w:right w:val="single" w:color="auto" w:sz="4" w:space="0"/>
              <w:tl2br w:val="nil"/>
              <w:tr2bl w:val="nil"/>
            </w:tcBorders>
            <w:shd w:val="clear" w:color="auto" w:fill="8DB3E2"/>
          </w:tcPr>
          <w:p w14:paraId="33B05772">
            <w:pPr>
              <w:keepNext w:val="0"/>
              <w:keepLines w:val="0"/>
              <w:pageBreakBefore w:val="0"/>
              <w:kinsoku/>
              <w:wordWrap/>
              <w:overflowPunct/>
              <w:topLinePunct w:val="0"/>
              <w:autoSpaceDE w:val="0"/>
              <w:autoSpaceDN w:val="0"/>
              <w:bidi w:val="0"/>
              <w:spacing w:line="360" w:lineRule="auto"/>
              <w:jc w:val="center"/>
              <w:outlineLvl w:val="9"/>
              <w:rPr>
                <w:rFonts w:hint="default" w:ascii="Times New Roman" w:hAnsi="Times New Roman" w:eastAsia="宋体" w:cs="Times New Roman"/>
                <w:color w:val="auto"/>
                <w:spacing w:val="0"/>
                <w:szCs w:val="24"/>
                <w:highlight w:val="none"/>
              </w:rPr>
            </w:pPr>
            <w:r>
              <w:rPr>
                <w:rFonts w:hint="default" w:ascii="Times New Roman" w:hAnsi="Times New Roman" w:eastAsia="宋体" w:cs="Times New Roman"/>
                <w:color w:val="auto"/>
                <w:spacing w:val="0"/>
                <w:szCs w:val="24"/>
                <w:highlight w:val="none"/>
              </w:rPr>
              <w:t>联系方式</w:t>
            </w:r>
          </w:p>
        </w:tc>
        <w:tc>
          <w:tcPr>
            <w:tcW w:w="4066" w:type="dxa"/>
            <w:tcBorders>
              <w:top w:val="single" w:color="auto" w:sz="4" w:space="0"/>
              <w:left w:val="nil"/>
              <w:bottom w:val="single" w:color="auto" w:sz="4" w:space="0"/>
              <w:right w:val="single" w:color="auto" w:sz="4" w:space="0"/>
              <w:tl2br w:val="nil"/>
              <w:tr2bl w:val="nil"/>
            </w:tcBorders>
            <w:shd w:val="clear" w:color="auto" w:fill="8DB3E2"/>
          </w:tcPr>
          <w:p w14:paraId="333C1AC6">
            <w:pPr>
              <w:keepNext w:val="0"/>
              <w:keepLines w:val="0"/>
              <w:pageBreakBefore w:val="0"/>
              <w:kinsoku/>
              <w:wordWrap/>
              <w:overflowPunct/>
              <w:topLinePunct w:val="0"/>
              <w:autoSpaceDE w:val="0"/>
              <w:autoSpaceDN w:val="0"/>
              <w:bidi w:val="0"/>
              <w:spacing w:line="360" w:lineRule="auto"/>
              <w:jc w:val="center"/>
              <w:outlineLvl w:val="9"/>
              <w:rPr>
                <w:rFonts w:hint="default" w:ascii="Times New Roman" w:hAnsi="Times New Roman" w:eastAsia="宋体" w:cs="Times New Roman"/>
                <w:color w:val="auto"/>
                <w:spacing w:val="0"/>
                <w:szCs w:val="24"/>
                <w:highlight w:val="none"/>
              </w:rPr>
            </w:pPr>
            <w:r>
              <w:rPr>
                <w:rFonts w:hint="default" w:ascii="Times New Roman" w:hAnsi="Times New Roman" w:eastAsia="宋体" w:cs="Times New Roman"/>
                <w:color w:val="auto"/>
                <w:spacing w:val="0"/>
                <w:szCs w:val="24"/>
                <w:highlight w:val="none"/>
              </w:rPr>
              <w:t>职责</w:t>
            </w:r>
          </w:p>
        </w:tc>
      </w:tr>
      <w:tr w14:paraId="495D6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72E1B3A5">
            <w:pPr>
              <w:keepNext w:val="0"/>
              <w:keepLines w:val="0"/>
              <w:pageBreakBefore w:val="0"/>
              <w:widowControl/>
              <w:kinsoku/>
              <w:wordWrap/>
              <w:overflowPunct/>
              <w:topLinePunct w:val="0"/>
              <w:autoSpaceDE w:val="0"/>
              <w:autoSpaceDN w:val="0"/>
              <w:bidi w:val="0"/>
              <w:jc w:val="center"/>
              <w:outlineLvl w:val="9"/>
              <w:rPr>
                <w:rFonts w:hint="default" w:ascii="Times New Roman" w:hAnsi="Times New Roman" w:eastAsia="宋体" w:cs="Times New Roman"/>
                <w:color w:val="auto"/>
                <w:spacing w:val="0"/>
                <w:sz w:val="21"/>
                <w:szCs w:val="24"/>
                <w:highlight w:val="none"/>
              </w:rPr>
            </w:pPr>
          </w:p>
        </w:tc>
        <w:tc>
          <w:tcPr>
            <w:tcW w:w="1230" w:type="dxa"/>
            <w:tcBorders>
              <w:top w:val="single" w:color="auto" w:sz="4" w:space="0"/>
              <w:left w:val="nil"/>
              <w:bottom w:val="single" w:color="auto" w:sz="4" w:space="0"/>
              <w:right w:val="single" w:color="auto" w:sz="4" w:space="0"/>
              <w:tl2br w:val="nil"/>
              <w:tr2bl w:val="nil"/>
            </w:tcBorders>
            <w:vAlign w:val="center"/>
          </w:tcPr>
          <w:p w14:paraId="480AEACB">
            <w:pPr>
              <w:keepNext w:val="0"/>
              <w:keepLines w:val="0"/>
              <w:pageBreakBefore w:val="0"/>
              <w:widowControl/>
              <w:kinsoku/>
              <w:wordWrap/>
              <w:overflowPunct/>
              <w:topLinePunct w:val="0"/>
              <w:autoSpaceDE w:val="0"/>
              <w:autoSpaceDN w:val="0"/>
              <w:bidi w:val="0"/>
              <w:jc w:val="center"/>
              <w:outlineLvl w:val="9"/>
              <w:rPr>
                <w:rFonts w:hint="default" w:ascii="Times New Roman" w:hAnsi="Times New Roman" w:eastAsia="宋体" w:cs="Times New Roman"/>
                <w:color w:val="auto"/>
                <w:spacing w:val="0"/>
                <w:sz w:val="21"/>
                <w:szCs w:val="24"/>
                <w:highlight w:val="none"/>
              </w:rPr>
            </w:pPr>
          </w:p>
        </w:tc>
        <w:tc>
          <w:tcPr>
            <w:tcW w:w="1830" w:type="dxa"/>
            <w:tcBorders>
              <w:top w:val="single" w:color="auto" w:sz="4" w:space="0"/>
              <w:left w:val="nil"/>
              <w:bottom w:val="single" w:color="auto" w:sz="4" w:space="0"/>
              <w:right w:val="single" w:color="auto" w:sz="4" w:space="0"/>
              <w:tl2br w:val="nil"/>
              <w:tr2bl w:val="nil"/>
            </w:tcBorders>
            <w:vAlign w:val="center"/>
          </w:tcPr>
          <w:p w14:paraId="231A982E">
            <w:pPr>
              <w:keepNext w:val="0"/>
              <w:keepLines w:val="0"/>
              <w:pageBreakBefore w:val="0"/>
              <w:widowControl/>
              <w:kinsoku/>
              <w:wordWrap/>
              <w:overflowPunct/>
              <w:topLinePunct w:val="0"/>
              <w:autoSpaceDE w:val="0"/>
              <w:autoSpaceDN w:val="0"/>
              <w:bidi w:val="0"/>
              <w:jc w:val="center"/>
              <w:outlineLvl w:val="9"/>
              <w:rPr>
                <w:rFonts w:hint="default" w:ascii="Times New Roman" w:hAnsi="Times New Roman" w:eastAsia="宋体" w:cs="Times New Roman"/>
                <w:color w:val="auto"/>
                <w:spacing w:val="0"/>
                <w:sz w:val="21"/>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2F2F68FF">
            <w:pPr>
              <w:keepNext w:val="0"/>
              <w:keepLines w:val="0"/>
              <w:pageBreakBefore w:val="0"/>
              <w:widowControl/>
              <w:kinsoku/>
              <w:wordWrap/>
              <w:overflowPunct/>
              <w:topLinePunct w:val="0"/>
              <w:autoSpaceDE w:val="0"/>
              <w:autoSpaceDN w:val="0"/>
              <w:bidi w:val="0"/>
              <w:jc w:val="center"/>
              <w:outlineLvl w:val="9"/>
              <w:rPr>
                <w:rFonts w:hint="default" w:ascii="Times New Roman" w:hAnsi="Times New Roman" w:eastAsia="宋体" w:cs="Times New Roman"/>
                <w:color w:val="auto"/>
                <w:spacing w:val="0"/>
                <w:sz w:val="21"/>
                <w:szCs w:val="24"/>
                <w:highlight w:val="none"/>
              </w:rPr>
            </w:pPr>
          </w:p>
        </w:tc>
      </w:tr>
      <w:tr w14:paraId="4864F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6323F51C">
            <w:pPr>
              <w:keepNext w:val="0"/>
              <w:keepLines w:val="0"/>
              <w:pageBreakBefore w:val="0"/>
              <w:widowControl/>
              <w:kinsoku/>
              <w:wordWrap/>
              <w:overflowPunct/>
              <w:topLinePunct w:val="0"/>
              <w:autoSpaceDE w:val="0"/>
              <w:autoSpaceDN w:val="0"/>
              <w:bidi w:val="0"/>
              <w:jc w:val="center"/>
              <w:outlineLvl w:val="9"/>
              <w:rPr>
                <w:rFonts w:hint="default" w:ascii="Times New Roman" w:hAnsi="Times New Roman" w:eastAsia="宋体" w:cs="Times New Roman"/>
                <w:color w:val="auto"/>
                <w:spacing w:val="0"/>
                <w:sz w:val="21"/>
                <w:szCs w:val="24"/>
                <w:highlight w:val="none"/>
              </w:rPr>
            </w:pPr>
          </w:p>
        </w:tc>
        <w:tc>
          <w:tcPr>
            <w:tcW w:w="1230" w:type="dxa"/>
            <w:tcBorders>
              <w:top w:val="single" w:color="auto" w:sz="4" w:space="0"/>
              <w:left w:val="nil"/>
              <w:bottom w:val="single" w:color="auto" w:sz="4" w:space="0"/>
              <w:right w:val="single" w:color="auto" w:sz="4" w:space="0"/>
              <w:tl2br w:val="nil"/>
              <w:tr2bl w:val="nil"/>
            </w:tcBorders>
            <w:vAlign w:val="center"/>
          </w:tcPr>
          <w:p w14:paraId="32A2EE2A">
            <w:pPr>
              <w:keepNext w:val="0"/>
              <w:keepLines w:val="0"/>
              <w:pageBreakBefore w:val="0"/>
              <w:widowControl/>
              <w:kinsoku/>
              <w:wordWrap/>
              <w:overflowPunct/>
              <w:topLinePunct w:val="0"/>
              <w:autoSpaceDE w:val="0"/>
              <w:autoSpaceDN w:val="0"/>
              <w:bidi w:val="0"/>
              <w:jc w:val="center"/>
              <w:outlineLvl w:val="9"/>
              <w:rPr>
                <w:rFonts w:hint="default" w:ascii="Times New Roman" w:hAnsi="Times New Roman" w:eastAsia="宋体" w:cs="Times New Roman"/>
                <w:color w:val="auto"/>
                <w:spacing w:val="0"/>
                <w:sz w:val="21"/>
                <w:szCs w:val="24"/>
                <w:highlight w:val="none"/>
              </w:rPr>
            </w:pPr>
          </w:p>
        </w:tc>
        <w:tc>
          <w:tcPr>
            <w:tcW w:w="1830" w:type="dxa"/>
            <w:tcBorders>
              <w:top w:val="single" w:color="auto" w:sz="4" w:space="0"/>
              <w:left w:val="nil"/>
              <w:bottom w:val="single" w:color="auto" w:sz="4" w:space="0"/>
              <w:right w:val="single" w:color="auto" w:sz="4" w:space="0"/>
              <w:tl2br w:val="nil"/>
              <w:tr2bl w:val="nil"/>
            </w:tcBorders>
            <w:vAlign w:val="center"/>
          </w:tcPr>
          <w:p w14:paraId="75617D36">
            <w:pPr>
              <w:keepNext w:val="0"/>
              <w:keepLines w:val="0"/>
              <w:pageBreakBefore w:val="0"/>
              <w:widowControl/>
              <w:kinsoku/>
              <w:wordWrap/>
              <w:overflowPunct/>
              <w:topLinePunct w:val="0"/>
              <w:autoSpaceDE w:val="0"/>
              <w:autoSpaceDN w:val="0"/>
              <w:bidi w:val="0"/>
              <w:jc w:val="center"/>
              <w:outlineLvl w:val="9"/>
              <w:rPr>
                <w:rFonts w:hint="default" w:ascii="Times New Roman" w:hAnsi="Times New Roman" w:eastAsia="宋体" w:cs="Times New Roman"/>
                <w:color w:val="auto"/>
                <w:spacing w:val="0"/>
                <w:sz w:val="21"/>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6CA9132F">
            <w:pPr>
              <w:keepNext w:val="0"/>
              <w:keepLines w:val="0"/>
              <w:pageBreakBefore w:val="0"/>
              <w:widowControl/>
              <w:kinsoku/>
              <w:wordWrap/>
              <w:overflowPunct/>
              <w:topLinePunct w:val="0"/>
              <w:autoSpaceDE w:val="0"/>
              <w:autoSpaceDN w:val="0"/>
              <w:bidi w:val="0"/>
              <w:jc w:val="center"/>
              <w:outlineLvl w:val="9"/>
              <w:rPr>
                <w:rFonts w:hint="default" w:ascii="Times New Roman" w:hAnsi="Times New Roman" w:eastAsia="宋体" w:cs="Times New Roman"/>
                <w:color w:val="auto"/>
                <w:spacing w:val="0"/>
                <w:sz w:val="21"/>
                <w:szCs w:val="24"/>
                <w:highlight w:val="none"/>
              </w:rPr>
            </w:pPr>
          </w:p>
        </w:tc>
      </w:tr>
      <w:tr w14:paraId="4663E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38E2BFB2">
            <w:pPr>
              <w:keepNext w:val="0"/>
              <w:keepLines w:val="0"/>
              <w:pageBreakBefore w:val="0"/>
              <w:widowControl/>
              <w:kinsoku/>
              <w:wordWrap/>
              <w:overflowPunct/>
              <w:topLinePunct w:val="0"/>
              <w:autoSpaceDE w:val="0"/>
              <w:autoSpaceDN w:val="0"/>
              <w:bidi w:val="0"/>
              <w:jc w:val="center"/>
              <w:outlineLvl w:val="9"/>
              <w:rPr>
                <w:rFonts w:hint="default" w:ascii="Times New Roman" w:hAnsi="Times New Roman" w:eastAsia="宋体" w:cs="Times New Roman"/>
                <w:color w:val="auto"/>
                <w:spacing w:val="0"/>
                <w:sz w:val="21"/>
                <w:szCs w:val="24"/>
                <w:highlight w:val="none"/>
              </w:rPr>
            </w:pPr>
          </w:p>
        </w:tc>
        <w:tc>
          <w:tcPr>
            <w:tcW w:w="1230" w:type="dxa"/>
            <w:tcBorders>
              <w:top w:val="single" w:color="auto" w:sz="4" w:space="0"/>
              <w:left w:val="nil"/>
              <w:bottom w:val="single" w:color="auto" w:sz="4" w:space="0"/>
              <w:right w:val="single" w:color="auto" w:sz="4" w:space="0"/>
              <w:tl2br w:val="nil"/>
              <w:tr2bl w:val="nil"/>
            </w:tcBorders>
            <w:vAlign w:val="center"/>
          </w:tcPr>
          <w:p w14:paraId="470E6316">
            <w:pPr>
              <w:keepNext w:val="0"/>
              <w:keepLines w:val="0"/>
              <w:pageBreakBefore w:val="0"/>
              <w:widowControl/>
              <w:kinsoku/>
              <w:wordWrap/>
              <w:overflowPunct/>
              <w:topLinePunct w:val="0"/>
              <w:autoSpaceDE w:val="0"/>
              <w:autoSpaceDN w:val="0"/>
              <w:bidi w:val="0"/>
              <w:jc w:val="center"/>
              <w:outlineLvl w:val="9"/>
              <w:rPr>
                <w:rFonts w:hint="default" w:ascii="Times New Roman" w:hAnsi="Times New Roman" w:eastAsia="宋体" w:cs="Times New Roman"/>
                <w:color w:val="auto"/>
                <w:spacing w:val="0"/>
                <w:sz w:val="21"/>
                <w:szCs w:val="24"/>
                <w:highlight w:val="none"/>
              </w:rPr>
            </w:pPr>
          </w:p>
        </w:tc>
        <w:tc>
          <w:tcPr>
            <w:tcW w:w="1830" w:type="dxa"/>
            <w:tcBorders>
              <w:top w:val="single" w:color="auto" w:sz="4" w:space="0"/>
              <w:left w:val="nil"/>
              <w:bottom w:val="single" w:color="auto" w:sz="4" w:space="0"/>
              <w:right w:val="single" w:color="auto" w:sz="4" w:space="0"/>
              <w:tl2br w:val="nil"/>
              <w:tr2bl w:val="nil"/>
            </w:tcBorders>
            <w:vAlign w:val="center"/>
          </w:tcPr>
          <w:p w14:paraId="12FA7AE0">
            <w:pPr>
              <w:keepNext w:val="0"/>
              <w:keepLines w:val="0"/>
              <w:pageBreakBefore w:val="0"/>
              <w:widowControl/>
              <w:kinsoku/>
              <w:wordWrap/>
              <w:overflowPunct/>
              <w:topLinePunct w:val="0"/>
              <w:autoSpaceDE w:val="0"/>
              <w:autoSpaceDN w:val="0"/>
              <w:bidi w:val="0"/>
              <w:jc w:val="center"/>
              <w:outlineLvl w:val="9"/>
              <w:rPr>
                <w:rFonts w:hint="default" w:ascii="Times New Roman" w:hAnsi="Times New Roman" w:eastAsia="宋体" w:cs="Times New Roman"/>
                <w:color w:val="auto"/>
                <w:spacing w:val="0"/>
                <w:sz w:val="21"/>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321ABF84">
            <w:pPr>
              <w:keepNext w:val="0"/>
              <w:keepLines w:val="0"/>
              <w:pageBreakBefore w:val="0"/>
              <w:widowControl/>
              <w:kinsoku/>
              <w:wordWrap/>
              <w:overflowPunct/>
              <w:topLinePunct w:val="0"/>
              <w:autoSpaceDE w:val="0"/>
              <w:autoSpaceDN w:val="0"/>
              <w:bidi w:val="0"/>
              <w:jc w:val="center"/>
              <w:outlineLvl w:val="9"/>
              <w:rPr>
                <w:rFonts w:hint="default" w:ascii="Times New Roman" w:hAnsi="Times New Roman" w:eastAsia="宋体" w:cs="Times New Roman"/>
                <w:color w:val="auto"/>
                <w:spacing w:val="0"/>
                <w:sz w:val="21"/>
                <w:szCs w:val="24"/>
                <w:highlight w:val="none"/>
              </w:rPr>
            </w:pPr>
          </w:p>
        </w:tc>
      </w:tr>
    </w:tbl>
    <w:p w14:paraId="115D8998">
      <w:pPr>
        <w:keepNext w:val="0"/>
        <w:keepLines w:val="0"/>
        <w:pageBreakBefore w:val="0"/>
        <w:kinsoku/>
        <w:wordWrap/>
        <w:overflowPunct/>
        <w:topLinePunct w:val="0"/>
        <w:autoSpaceDE w:val="0"/>
        <w:autoSpaceDN w:val="0"/>
        <w:bidi w:val="0"/>
        <w:ind w:firstLine="482" w:firstLineChars="200"/>
        <w:outlineLvl w:val="9"/>
        <w:rPr>
          <w:rFonts w:hint="default" w:ascii="Times New Roman" w:hAnsi="Times New Roman" w:eastAsia="宋体" w:cs="Times New Roman"/>
          <w:b/>
          <w:color w:val="auto"/>
          <w:spacing w:val="0"/>
          <w:szCs w:val="24"/>
          <w:highlight w:val="none"/>
        </w:rPr>
      </w:pPr>
      <w:r>
        <w:rPr>
          <w:rFonts w:hint="default" w:ascii="Times New Roman" w:hAnsi="Times New Roman" w:eastAsia="宋体" w:cs="Times New Roman"/>
          <w:b/>
          <w:color w:val="auto"/>
          <w:spacing w:val="0"/>
          <w:szCs w:val="24"/>
          <w:highlight w:val="none"/>
        </w:rPr>
        <w:t>（二）危机处理层</w:t>
      </w:r>
    </w:p>
    <w:tbl>
      <w:tblPr>
        <w:tblStyle w:val="22"/>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3"/>
        <w:gridCol w:w="1215"/>
        <w:gridCol w:w="1845"/>
        <w:gridCol w:w="4067"/>
      </w:tblGrid>
      <w:tr w14:paraId="579A2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188796ED">
            <w:pPr>
              <w:keepNext w:val="0"/>
              <w:keepLines w:val="0"/>
              <w:pageBreakBefore w:val="0"/>
              <w:kinsoku/>
              <w:wordWrap/>
              <w:overflowPunct/>
              <w:topLinePunct w:val="0"/>
              <w:autoSpaceDE w:val="0"/>
              <w:autoSpaceDN w:val="0"/>
              <w:bidi w:val="0"/>
              <w:spacing w:line="360" w:lineRule="auto"/>
              <w:ind w:firstLine="559" w:firstLineChars="233"/>
              <w:outlineLvl w:val="9"/>
              <w:rPr>
                <w:rFonts w:hint="default" w:ascii="Times New Roman" w:hAnsi="Times New Roman" w:eastAsia="宋体" w:cs="Times New Roman"/>
                <w:color w:val="auto"/>
                <w:spacing w:val="0"/>
                <w:szCs w:val="24"/>
                <w:highlight w:val="none"/>
              </w:rPr>
            </w:pPr>
            <w:r>
              <w:rPr>
                <w:rFonts w:hint="default" w:ascii="Times New Roman" w:hAnsi="Times New Roman" w:eastAsia="宋体" w:cs="Times New Roman"/>
                <w:color w:val="auto"/>
                <w:spacing w:val="0"/>
                <w:szCs w:val="24"/>
                <w:highlight w:val="none"/>
              </w:rPr>
              <w:t>角色</w:t>
            </w:r>
          </w:p>
        </w:tc>
        <w:tc>
          <w:tcPr>
            <w:tcW w:w="1215" w:type="dxa"/>
            <w:tcBorders>
              <w:top w:val="single" w:color="auto" w:sz="4" w:space="0"/>
              <w:left w:val="nil"/>
              <w:bottom w:val="single" w:color="auto" w:sz="4" w:space="0"/>
              <w:right w:val="single" w:color="auto" w:sz="4" w:space="0"/>
              <w:tl2br w:val="nil"/>
              <w:tr2bl w:val="nil"/>
            </w:tcBorders>
            <w:shd w:val="clear" w:color="auto" w:fill="8DB3E2"/>
          </w:tcPr>
          <w:p w14:paraId="32E80EE4">
            <w:pPr>
              <w:keepNext w:val="0"/>
              <w:keepLines w:val="0"/>
              <w:pageBreakBefore w:val="0"/>
              <w:kinsoku/>
              <w:wordWrap/>
              <w:overflowPunct/>
              <w:topLinePunct w:val="0"/>
              <w:autoSpaceDE w:val="0"/>
              <w:autoSpaceDN w:val="0"/>
              <w:bidi w:val="0"/>
              <w:spacing w:line="360" w:lineRule="auto"/>
              <w:jc w:val="center"/>
              <w:outlineLvl w:val="9"/>
              <w:rPr>
                <w:rFonts w:hint="default" w:ascii="Times New Roman" w:hAnsi="Times New Roman" w:eastAsia="宋体" w:cs="Times New Roman"/>
                <w:color w:val="auto"/>
                <w:spacing w:val="0"/>
                <w:szCs w:val="24"/>
                <w:highlight w:val="none"/>
              </w:rPr>
            </w:pPr>
            <w:r>
              <w:rPr>
                <w:rFonts w:hint="default" w:ascii="Times New Roman" w:hAnsi="Times New Roman" w:eastAsia="宋体" w:cs="Times New Roman"/>
                <w:color w:val="auto"/>
                <w:spacing w:val="0"/>
                <w:szCs w:val="24"/>
                <w:highlight w:val="none"/>
              </w:rPr>
              <w:t>姓名</w:t>
            </w:r>
          </w:p>
        </w:tc>
        <w:tc>
          <w:tcPr>
            <w:tcW w:w="1845" w:type="dxa"/>
            <w:tcBorders>
              <w:top w:val="single" w:color="auto" w:sz="4" w:space="0"/>
              <w:left w:val="nil"/>
              <w:bottom w:val="single" w:color="auto" w:sz="4" w:space="0"/>
              <w:right w:val="single" w:color="auto" w:sz="4" w:space="0"/>
              <w:tl2br w:val="nil"/>
              <w:tr2bl w:val="nil"/>
            </w:tcBorders>
            <w:shd w:val="clear" w:color="auto" w:fill="8DB3E2"/>
          </w:tcPr>
          <w:p w14:paraId="65693DF4">
            <w:pPr>
              <w:keepNext w:val="0"/>
              <w:keepLines w:val="0"/>
              <w:pageBreakBefore w:val="0"/>
              <w:kinsoku/>
              <w:wordWrap/>
              <w:overflowPunct/>
              <w:topLinePunct w:val="0"/>
              <w:autoSpaceDE w:val="0"/>
              <w:autoSpaceDN w:val="0"/>
              <w:bidi w:val="0"/>
              <w:spacing w:line="360" w:lineRule="auto"/>
              <w:jc w:val="center"/>
              <w:outlineLvl w:val="9"/>
              <w:rPr>
                <w:rFonts w:hint="default" w:ascii="Times New Roman" w:hAnsi="Times New Roman" w:eastAsia="宋体" w:cs="Times New Roman"/>
                <w:color w:val="auto"/>
                <w:spacing w:val="0"/>
                <w:szCs w:val="24"/>
                <w:highlight w:val="none"/>
              </w:rPr>
            </w:pPr>
            <w:r>
              <w:rPr>
                <w:rFonts w:hint="default" w:ascii="Times New Roman" w:hAnsi="Times New Roman" w:eastAsia="宋体" w:cs="Times New Roman"/>
                <w:color w:val="auto"/>
                <w:spacing w:val="0"/>
                <w:szCs w:val="24"/>
                <w:highlight w:val="none"/>
              </w:rPr>
              <w:t>联系方式</w:t>
            </w:r>
          </w:p>
        </w:tc>
        <w:tc>
          <w:tcPr>
            <w:tcW w:w="4067" w:type="dxa"/>
            <w:tcBorders>
              <w:top w:val="single" w:color="auto" w:sz="4" w:space="0"/>
              <w:left w:val="nil"/>
              <w:bottom w:val="single" w:color="auto" w:sz="4" w:space="0"/>
              <w:right w:val="single" w:color="auto" w:sz="4" w:space="0"/>
              <w:tl2br w:val="nil"/>
              <w:tr2bl w:val="nil"/>
            </w:tcBorders>
            <w:shd w:val="clear" w:color="auto" w:fill="8DB3E2"/>
          </w:tcPr>
          <w:p w14:paraId="42512C14">
            <w:pPr>
              <w:keepNext w:val="0"/>
              <w:keepLines w:val="0"/>
              <w:pageBreakBefore w:val="0"/>
              <w:kinsoku/>
              <w:wordWrap/>
              <w:overflowPunct/>
              <w:topLinePunct w:val="0"/>
              <w:autoSpaceDE w:val="0"/>
              <w:autoSpaceDN w:val="0"/>
              <w:bidi w:val="0"/>
              <w:spacing w:line="360" w:lineRule="auto"/>
              <w:jc w:val="center"/>
              <w:outlineLvl w:val="9"/>
              <w:rPr>
                <w:rFonts w:hint="default" w:ascii="Times New Roman" w:hAnsi="Times New Roman" w:eastAsia="宋体" w:cs="Times New Roman"/>
                <w:color w:val="auto"/>
                <w:spacing w:val="0"/>
                <w:szCs w:val="24"/>
                <w:highlight w:val="none"/>
              </w:rPr>
            </w:pPr>
            <w:r>
              <w:rPr>
                <w:rFonts w:hint="default" w:ascii="Times New Roman" w:hAnsi="Times New Roman" w:eastAsia="宋体" w:cs="Times New Roman"/>
                <w:color w:val="auto"/>
                <w:spacing w:val="0"/>
                <w:szCs w:val="24"/>
                <w:highlight w:val="none"/>
              </w:rPr>
              <w:t>职责</w:t>
            </w:r>
          </w:p>
        </w:tc>
      </w:tr>
      <w:tr w14:paraId="5690F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tcPr>
          <w:p w14:paraId="02EED5E2">
            <w:pPr>
              <w:keepNext w:val="0"/>
              <w:keepLines w:val="0"/>
              <w:pageBreakBefore w:val="0"/>
              <w:widowControl/>
              <w:kinsoku/>
              <w:wordWrap/>
              <w:overflowPunct/>
              <w:topLinePunct w:val="0"/>
              <w:autoSpaceDE w:val="0"/>
              <w:autoSpaceDN w:val="0"/>
              <w:bidi w:val="0"/>
              <w:jc w:val="center"/>
              <w:outlineLvl w:val="9"/>
              <w:rPr>
                <w:rFonts w:hint="default" w:ascii="Times New Roman" w:hAnsi="Times New Roman" w:eastAsia="宋体" w:cs="Times New Roman"/>
                <w:color w:val="auto"/>
                <w:spacing w:val="0"/>
                <w:sz w:val="21"/>
                <w:szCs w:val="24"/>
                <w:highlight w:val="none"/>
              </w:rPr>
            </w:pPr>
          </w:p>
        </w:tc>
        <w:tc>
          <w:tcPr>
            <w:tcW w:w="1215" w:type="dxa"/>
            <w:tcBorders>
              <w:top w:val="single" w:color="auto" w:sz="4" w:space="0"/>
              <w:left w:val="nil"/>
              <w:bottom w:val="single" w:color="auto" w:sz="4" w:space="0"/>
              <w:right w:val="single" w:color="auto" w:sz="4" w:space="0"/>
              <w:tl2br w:val="nil"/>
              <w:tr2bl w:val="nil"/>
            </w:tcBorders>
            <w:vAlign w:val="center"/>
          </w:tcPr>
          <w:p w14:paraId="262FF088">
            <w:pPr>
              <w:keepNext w:val="0"/>
              <w:keepLines w:val="0"/>
              <w:pageBreakBefore w:val="0"/>
              <w:widowControl/>
              <w:kinsoku/>
              <w:wordWrap/>
              <w:overflowPunct/>
              <w:topLinePunct w:val="0"/>
              <w:autoSpaceDE w:val="0"/>
              <w:autoSpaceDN w:val="0"/>
              <w:bidi w:val="0"/>
              <w:jc w:val="center"/>
              <w:outlineLvl w:val="9"/>
              <w:rPr>
                <w:rFonts w:hint="default" w:ascii="Times New Roman" w:hAnsi="Times New Roman" w:eastAsia="宋体" w:cs="Times New Roman"/>
                <w:color w:val="auto"/>
                <w:spacing w:val="0"/>
                <w:sz w:val="21"/>
                <w:szCs w:val="24"/>
                <w:highlight w:val="none"/>
              </w:rPr>
            </w:pPr>
          </w:p>
        </w:tc>
        <w:tc>
          <w:tcPr>
            <w:tcW w:w="1845" w:type="dxa"/>
            <w:tcBorders>
              <w:top w:val="single" w:color="auto" w:sz="4" w:space="0"/>
              <w:left w:val="nil"/>
              <w:bottom w:val="single" w:color="auto" w:sz="4" w:space="0"/>
              <w:right w:val="single" w:color="auto" w:sz="4" w:space="0"/>
              <w:tl2br w:val="nil"/>
              <w:tr2bl w:val="nil"/>
            </w:tcBorders>
            <w:vAlign w:val="center"/>
          </w:tcPr>
          <w:p w14:paraId="138FD0EE">
            <w:pPr>
              <w:keepNext w:val="0"/>
              <w:keepLines w:val="0"/>
              <w:pageBreakBefore w:val="0"/>
              <w:widowControl/>
              <w:kinsoku/>
              <w:wordWrap/>
              <w:overflowPunct/>
              <w:topLinePunct w:val="0"/>
              <w:autoSpaceDE w:val="0"/>
              <w:autoSpaceDN w:val="0"/>
              <w:bidi w:val="0"/>
              <w:jc w:val="center"/>
              <w:outlineLvl w:val="9"/>
              <w:rPr>
                <w:rFonts w:hint="default" w:ascii="Times New Roman" w:hAnsi="Times New Roman" w:eastAsia="宋体" w:cs="Times New Roman"/>
                <w:color w:val="auto"/>
                <w:spacing w:val="0"/>
                <w:sz w:val="21"/>
                <w:szCs w:val="24"/>
                <w:highlight w:val="none"/>
              </w:rPr>
            </w:pPr>
          </w:p>
        </w:tc>
        <w:tc>
          <w:tcPr>
            <w:tcW w:w="4067" w:type="dxa"/>
            <w:tcBorders>
              <w:top w:val="single" w:color="auto" w:sz="4" w:space="0"/>
              <w:left w:val="nil"/>
              <w:bottom w:val="single" w:color="auto" w:sz="4" w:space="0"/>
              <w:right w:val="single" w:color="auto" w:sz="4" w:space="0"/>
              <w:tl2br w:val="nil"/>
              <w:tr2bl w:val="nil"/>
            </w:tcBorders>
          </w:tcPr>
          <w:p w14:paraId="553EAA2C">
            <w:pPr>
              <w:keepNext w:val="0"/>
              <w:keepLines w:val="0"/>
              <w:pageBreakBefore w:val="0"/>
              <w:widowControl/>
              <w:kinsoku/>
              <w:wordWrap/>
              <w:overflowPunct/>
              <w:topLinePunct w:val="0"/>
              <w:autoSpaceDE w:val="0"/>
              <w:autoSpaceDN w:val="0"/>
              <w:bidi w:val="0"/>
              <w:jc w:val="center"/>
              <w:outlineLvl w:val="9"/>
              <w:rPr>
                <w:rFonts w:hint="default" w:ascii="Times New Roman" w:hAnsi="Times New Roman" w:eastAsia="宋体" w:cs="Times New Roman"/>
                <w:color w:val="auto"/>
                <w:spacing w:val="0"/>
                <w:sz w:val="21"/>
                <w:szCs w:val="24"/>
                <w:highlight w:val="none"/>
              </w:rPr>
            </w:pPr>
          </w:p>
        </w:tc>
      </w:tr>
      <w:tr w14:paraId="1809D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tcPr>
          <w:p w14:paraId="508A4AF4">
            <w:pPr>
              <w:keepNext w:val="0"/>
              <w:keepLines w:val="0"/>
              <w:pageBreakBefore w:val="0"/>
              <w:widowControl/>
              <w:kinsoku/>
              <w:wordWrap/>
              <w:overflowPunct/>
              <w:topLinePunct w:val="0"/>
              <w:autoSpaceDE w:val="0"/>
              <w:autoSpaceDN w:val="0"/>
              <w:bidi w:val="0"/>
              <w:jc w:val="center"/>
              <w:outlineLvl w:val="9"/>
              <w:rPr>
                <w:rFonts w:hint="default" w:ascii="Times New Roman" w:hAnsi="Times New Roman" w:eastAsia="宋体" w:cs="Times New Roman"/>
                <w:color w:val="auto"/>
                <w:spacing w:val="0"/>
                <w:sz w:val="21"/>
                <w:szCs w:val="24"/>
                <w:highlight w:val="none"/>
              </w:rPr>
            </w:pPr>
          </w:p>
        </w:tc>
        <w:tc>
          <w:tcPr>
            <w:tcW w:w="1215" w:type="dxa"/>
            <w:tcBorders>
              <w:top w:val="single" w:color="auto" w:sz="4" w:space="0"/>
              <w:left w:val="nil"/>
              <w:bottom w:val="single" w:color="auto" w:sz="4" w:space="0"/>
              <w:right w:val="single" w:color="auto" w:sz="4" w:space="0"/>
              <w:tl2br w:val="nil"/>
              <w:tr2bl w:val="nil"/>
            </w:tcBorders>
            <w:vAlign w:val="center"/>
          </w:tcPr>
          <w:p w14:paraId="64A2178C">
            <w:pPr>
              <w:keepNext w:val="0"/>
              <w:keepLines w:val="0"/>
              <w:pageBreakBefore w:val="0"/>
              <w:widowControl/>
              <w:kinsoku/>
              <w:wordWrap/>
              <w:overflowPunct/>
              <w:topLinePunct w:val="0"/>
              <w:autoSpaceDE w:val="0"/>
              <w:autoSpaceDN w:val="0"/>
              <w:bidi w:val="0"/>
              <w:jc w:val="center"/>
              <w:outlineLvl w:val="9"/>
              <w:rPr>
                <w:rFonts w:hint="default" w:ascii="Times New Roman" w:hAnsi="Times New Roman" w:eastAsia="宋体" w:cs="Times New Roman"/>
                <w:color w:val="auto"/>
                <w:spacing w:val="0"/>
                <w:sz w:val="21"/>
                <w:szCs w:val="24"/>
                <w:highlight w:val="none"/>
              </w:rPr>
            </w:pPr>
          </w:p>
        </w:tc>
        <w:tc>
          <w:tcPr>
            <w:tcW w:w="1845" w:type="dxa"/>
            <w:tcBorders>
              <w:top w:val="single" w:color="auto" w:sz="4" w:space="0"/>
              <w:left w:val="nil"/>
              <w:bottom w:val="single" w:color="auto" w:sz="4" w:space="0"/>
              <w:right w:val="single" w:color="auto" w:sz="4" w:space="0"/>
              <w:tl2br w:val="nil"/>
              <w:tr2bl w:val="nil"/>
            </w:tcBorders>
            <w:vAlign w:val="center"/>
          </w:tcPr>
          <w:p w14:paraId="10DC0E7F">
            <w:pPr>
              <w:keepNext w:val="0"/>
              <w:keepLines w:val="0"/>
              <w:pageBreakBefore w:val="0"/>
              <w:widowControl/>
              <w:kinsoku/>
              <w:wordWrap/>
              <w:overflowPunct/>
              <w:topLinePunct w:val="0"/>
              <w:autoSpaceDE w:val="0"/>
              <w:autoSpaceDN w:val="0"/>
              <w:bidi w:val="0"/>
              <w:jc w:val="center"/>
              <w:outlineLvl w:val="9"/>
              <w:rPr>
                <w:rFonts w:hint="default" w:ascii="Times New Roman" w:hAnsi="Times New Roman" w:eastAsia="宋体" w:cs="Times New Roman"/>
                <w:color w:val="auto"/>
                <w:spacing w:val="0"/>
                <w:sz w:val="21"/>
                <w:szCs w:val="24"/>
                <w:highlight w:val="none"/>
              </w:rPr>
            </w:pPr>
          </w:p>
        </w:tc>
        <w:tc>
          <w:tcPr>
            <w:tcW w:w="4067" w:type="dxa"/>
            <w:tcBorders>
              <w:top w:val="single" w:color="auto" w:sz="4" w:space="0"/>
              <w:left w:val="nil"/>
              <w:bottom w:val="single" w:color="auto" w:sz="4" w:space="0"/>
              <w:right w:val="single" w:color="auto" w:sz="4" w:space="0"/>
              <w:tl2br w:val="nil"/>
              <w:tr2bl w:val="nil"/>
            </w:tcBorders>
          </w:tcPr>
          <w:p w14:paraId="256F7095">
            <w:pPr>
              <w:keepNext w:val="0"/>
              <w:keepLines w:val="0"/>
              <w:pageBreakBefore w:val="0"/>
              <w:widowControl/>
              <w:kinsoku/>
              <w:wordWrap/>
              <w:overflowPunct/>
              <w:topLinePunct w:val="0"/>
              <w:autoSpaceDE w:val="0"/>
              <w:autoSpaceDN w:val="0"/>
              <w:bidi w:val="0"/>
              <w:jc w:val="center"/>
              <w:outlineLvl w:val="9"/>
              <w:rPr>
                <w:rFonts w:hint="default" w:ascii="Times New Roman" w:hAnsi="Times New Roman" w:eastAsia="宋体" w:cs="Times New Roman"/>
                <w:color w:val="auto"/>
                <w:spacing w:val="0"/>
                <w:sz w:val="21"/>
                <w:szCs w:val="24"/>
                <w:highlight w:val="none"/>
              </w:rPr>
            </w:pPr>
          </w:p>
        </w:tc>
      </w:tr>
    </w:tbl>
    <w:p w14:paraId="46C2F410">
      <w:pPr>
        <w:keepNext w:val="0"/>
        <w:keepLines w:val="0"/>
        <w:pageBreakBefore w:val="0"/>
        <w:kinsoku/>
        <w:wordWrap/>
        <w:overflowPunct/>
        <w:topLinePunct w:val="0"/>
        <w:autoSpaceDE w:val="0"/>
        <w:autoSpaceDN w:val="0"/>
        <w:bidi w:val="0"/>
        <w:ind w:firstLine="482" w:firstLineChars="200"/>
        <w:outlineLvl w:val="9"/>
        <w:rPr>
          <w:rFonts w:hint="default" w:ascii="Times New Roman" w:hAnsi="Times New Roman" w:eastAsia="宋体" w:cs="Times New Roman"/>
          <w:b/>
          <w:color w:val="auto"/>
          <w:spacing w:val="0"/>
          <w:szCs w:val="24"/>
          <w:highlight w:val="none"/>
        </w:rPr>
      </w:pPr>
      <w:r>
        <w:rPr>
          <w:rFonts w:hint="default" w:ascii="Times New Roman" w:hAnsi="Times New Roman" w:eastAsia="宋体" w:cs="Times New Roman"/>
          <w:b/>
          <w:color w:val="auto"/>
          <w:spacing w:val="0"/>
          <w:szCs w:val="24"/>
          <w:highlight w:val="none"/>
        </w:rPr>
        <w:t>（三）具体业务层</w:t>
      </w:r>
    </w:p>
    <w:tbl>
      <w:tblPr>
        <w:tblStyle w:val="22"/>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215"/>
        <w:gridCol w:w="1845"/>
        <w:gridCol w:w="4066"/>
      </w:tblGrid>
      <w:tr w14:paraId="75C81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4"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462E937A">
            <w:pPr>
              <w:keepNext w:val="0"/>
              <w:keepLines w:val="0"/>
              <w:pageBreakBefore w:val="0"/>
              <w:kinsoku/>
              <w:wordWrap/>
              <w:overflowPunct/>
              <w:topLinePunct w:val="0"/>
              <w:autoSpaceDE w:val="0"/>
              <w:autoSpaceDN w:val="0"/>
              <w:bidi w:val="0"/>
              <w:spacing w:line="360" w:lineRule="auto"/>
              <w:ind w:firstLine="559" w:firstLineChars="233"/>
              <w:outlineLvl w:val="9"/>
              <w:rPr>
                <w:rFonts w:hint="default" w:ascii="Times New Roman" w:hAnsi="Times New Roman" w:eastAsia="宋体" w:cs="Times New Roman"/>
                <w:color w:val="auto"/>
                <w:spacing w:val="0"/>
                <w:szCs w:val="24"/>
                <w:highlight w:val="none"/>
              </w:rPr>
            </w:pPr>
            <w:r>
              <w:rPr>
                <w:rFonts w:hint="default" w:ascii="Times New Roman" w:hAnsi="Times New Roman" w:eastAsia="宋体" w:cs="Times New Roman"/>
                <w:color w:val="auto"/>
                <w:spacing w:val="0"/>
                <w:szCs w:val="24"/>
                <w:highlight w:val="none"/>
              </w:rPr>
              <w:t>角色</w:t>
            </w:r>
          </w:p>
        </w:tc>
        <w:tc>
          <w:tcPr>
            <w:tcW w:w="1215" w:type="dxa"/>
            <w:tcBorders>
              <w:top w:val="single" w:color="auto" w:sz="4" w:space="0"/>
              <w:left w:val="nil"/>
              <w:bottom w:val="single" w:color="auto" w:sz="4" w:space="0"/>
              <w:right w:val="single" w:color="auto" w:sz="4" w:space="0"/>
              <w:tl2br w:val="nil"/>
              <w:tr2bl w:val="nil"/>
            </w:tcBorders>
            <w:shd w:val="clear" w:color="auto" w:fill="8DB3E2"/>
          </w:tcPr>
          <w:p w14:paraId="180A5602">
            <w:pPr>
              <w:keepNext w:val="0"/>
              <w:keepLines w:val="0"/>
              <w:pageBreakBefore w:val="0"/>
              <w:kinsoku/>
              <w:wordWrap/>
              <w:overflowPunct/>
              <w:topLinePunct w:val="0"/>
              <w:autoSpaceDE w:val="0"/>
              <w:autoSpaceDN w:val="0"/>
              <w:bidi w:val="0"/>
              <w:spacing w:line="360" w:lineRule="auto"/>
              <w:jc w:val="center"/>
              <w:outlineLvl w:val="9"/>
              <w:rPr>
                <w:rFonts w:hint="default" w:ascii="Times New Roman" w:hAnsi="Times New Roman" w:eastAsia="宋体" w:cs="Times New Roman"/>
                <w:color w:val="auto"/>
                <w:spacing w:val="0"/>
                <w:szCs w:val="24"/>
                <w:highlight w:val="none"/>
              </w:rPr>
            </w:pPr>
            <w:r>
              <w:rPr>
                <w:rFonts w:hint="default" w:ascii="Times New Roman" w:hAnsi="Times New Roman" w:eastAsia="宋体" w:cs="Times New Roman"/>
                <w:color w:val="auto"/>
                <w:spacing w:val="0"/>
                <w:szCs w:val="24"/>
                <w:highlight w:val="none"/>
              </w:rPr>
              <w:t>姓名</w:t>
            </w:r>
          </w:p>
        </w:tc>
        <w:tc>
          <w:tcPr>
            <w:tcW w:w="1845" w:type="dxa"/>
            <w:tcBorders>
              <w:top w:val="single" w:color="auto" w:sz="4" w:space="0"/>
              <w:left w:val="nil"/>
              <w:bottom w:val="single" w:color="auto" w:sz="4" w:space="0"/>
              <w:right w:val="single" w:color="auto" w:sz="4" w:space="0"/>
              <w:tl2br w:val="nil"/>
              <w:tr2bl w:val="nil"/>
            </w:tcBorders>
            <w:shd w:val="clear" w:color="auto" w:fill="8DB3E2"/>
          </w:tcPr>
          <w:p w14:paraId="0B16ED45">
            <w:pPr>
              <w:keepNext w:val="0"/>
              <w:keepLines w:val="0"/>
              <w:pageBreakBefore w:val="0"/>
              <w:kinsoku/>
              <w:wordWrap/>
              <w:overflowPunct/>
              <w:topLinePunct w:val="0"/>
              <w:autoSpaceDE w:val="0"/>
              <w:autoSpaceDN w:val="0"/>
              <w:bidi w:val="0"/>
              <w:spacing w:line="360" w:lineRule="auto"/>
              <w:jc w:val="center"/>
              <w:outlineLvl w:val="9"/>
              <w:rPr>
                <w:rFonts w:hint="default" w:ascii="Times New Roman" w:hAnsi="Times New Roman" w:eastAsia="宋体" w:cs="Times New Roman"/>
                <w:color w:val="auto"/>
                <w:spacing w:val="0"/>
                <w:szCs w:val="24"/>
                <w:highlight w:val="none"/>
              </w:rPr>
            </w:pPr>
            <w:r>
              <w:rPr>
                <w:rFonts w:hint="default" w:ascii="Times New Roman" w:hAnsi="Times New Roman" w:eastAsia="宋体" w:cs="Times New Roman"/>
                <w:color w:val="auto"/>
                <w:spacing w:val="0"/>
                <w:szCs w:val="24"/>
                <w:highlight w:val="none"/>
              </w:rPr>
              <w:t>联系方式</w:t>
            </w:r>
          </w:p>
        </w:tc>
        <w:tc>
          <w:tcPr>
            <w:tcW w:w="4066" w:type="dxa"/>
            <w:tcBorders>
              <w:top w:val="single" w:color="auto" w:sz="4" w:space="0"/>
              <w:left w:val="nil"/>
              <w:bottom w:val="single" w:color="auto" w:sz="4" w:space="0"/>
              <w:right w:val="single" w:color="auto" w:sz="4" w:space="0"/>
              <w:tl2br w:val="nil"/>
              <w:tr2bl w:val="nil"/>
            </w:tcBorders>
            <w:shd w:val="clear" w:color="auto" w:fill="8DB3E2"/>
          </w:tcPr>
          <w:p w14:paraId="57C7E7CD">
            <w:pPr>
              <w:keepNext w:val="0"/>
              <w:keepLines w:val="0"/>
              <w:pageBreakBefore w:val="0"/>
              <w:kinsoku/>
              <w:wordWrap/>
              <w:overflowPunct/>
              <w:topLinePunct w:val="0"/>
              <w:autoSpaceDE w:val="0"/>
              <w:autoSpaceDN w:val="0"/>
              <w:bidi w:val="0"/>
              <w:spacing w:line="360" w:lineRule="auto"/>
              <w:jc w:val="center"/>
              <w:outlineLvl w:val="9"/>
              <w:rPr>
                <w:rFonts w:hint="default" w:ascii="Times New Roman" w:hAnsi="Times New Roman" w:eastAsia="宋体" w:cs="Times New Roman"/>
                <w:color w:val="auto"/>
                <w:spacing w:val="0"/>
                <w:szCs w:val="24"/>
                <w:highlight w:val="none"/>
              </w:rPr>
            </w:pPr>
            <w:r>
              <w:rPr>
                <w:rFonts w:hint="default" w:ascii="Times New Roman" w:hAnsi="Times New Roman" w:eastAsia="宋体" w:cs="Times New Roman"/>
                <w:color w:val="auto"/>
                <w:spacing w:val="0"/>
                <w:szCs w:val="24"/>
                <w:highlight w:val="none"/>
              </w:rPr>
              <w:t>职责</w:t>
            </w:r>
          </w:p>
        </w:tc>
      </w:tr>
      <w:tr w14:paraId="0495F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vAlign w:val="center"/>
          </w:tcPr>
          <w:p w14:paraId="4AAC8291">
            <w:pPr>
              <w:keepNext w:val="0"/>
              <w:keepLines w:val="0"/>
              <w:pageBreakBefore w:val="0"/>
              <w:widowControl/>
              <w:kinsoku/>
              <w:wordWrap/>
              <w:overflowPunct/>
              <w:topLinePunct w:val="0"/>
              <w:autoSpaceDE w:val="0"/>
              <w:autoSpaceDN w:val="0"/>
              <w:bidi w:val="0"/>
              <w:jc w:val="center"/>
              <w:outlineLvl w:val="9"/>
              <w:rPr>
                <w:rFonts w:hint="default" w:ascii="Times New Roman" w:hAnsi="Times New Roman" w:eastAsia="宋体" w:cs="Times New Roman"/>
                <w:color w:val="auto"/>
                <w:spacing w:val="0"/>
                <w:sz w:val="21"/>
                <w:szCs w:val="24"/>
                <w:highlight w:val="none"/>
              </w:rPr>
            </w:pPr>
          </w:p>
        </w:tc>
        <w:tc>
          <w:tcPr>
            <w:tcW w:w="1215" w:type="dxa"/>
            <w:tcBorders>
              <w:top w:val="single" w:color="auto" w:sz="4" w:space="0"/>
              <w:left w:val="nil"/>
              <w:bottom w:val="single" w:color="auto" w:sz="4" w:space="0"/>
              <w:right w:val="single" w:color="auto" w:sz="4" w:space="0"/>
              <w:tl2br w:val="nil"/>
              <w:tr2bl w:val="nil"/>
            </w:tcBorders>
            <w:vAlign w:val="center"/>
          </w:tcPr>
          <w:p w14:paraId="7121E443">
            <w:pPr>
              <w:keepNext w:val="0"/>
              <w:keepLines w:val="0"/>
              <w:pageBreakBefore w:val="0"/>
              <w:widowControl/>
              <w:kinsoku/>
              <w:wordWrap/>
              <w:overflowPunct/>
              <w:topLinePunct w:val="0"/>
              <w:autoSpaceDE w:val="0"/>
              <w:autoSpaceDN w:val="0"/>
              <w:bidi w:val="0"/>
              <w:jc w:val="center"/>
              <w:outlineLvl w:val="9"/>
              <w:rPr>
                <w:rFonts w:hint="default" w:ascii="Times New Roman" w:hAnsi="Times New Roman" w:eastAsia="宋体" w:cs="Times New Roman"/>
                <w:color w:val="auto"/>
                <w:spacing w:val="0"/>
                <w:sz w:val="21"/>
                <w:szCs w:val="24"/>
                <w:highlight w:val="none"/>
              </w:rPr>
            </w:pPr>
          </w:p>
        </w:tc>
        <w:tc>
          <w:tcPr>
            <w:tcW w:w="1845" w:type="dxa"/>
            <w:tcBorders>
              <w:top w:val="single" w:color="auto" w:sz="4" w:space="0"/>
              <w:left w:val="nil"/>
              <w:bottom w:val="single" w:color="auto" w:sz="4" w:space="0"/>
              <w:right w:val="single" w:color="auto" w:sz="4" w:space="0"/>
              <w:tl2br w:val="nil"/>
              <w:tr2bl w:val="nil"/>
            </w:tcBorders>
            <w:vAlign w:val="center"/>
          </w:tcPr>
          <w:p w14:paraId="35637C6B">
            <w:pPr>
              <w:keepNext w:val="0"/>
              <w:keepLines w:val="0"/>
              <w:pageBreakBefore w:val="0"/>
              <w:widowControl/>
              <w:kinsoku/>
              <w:wordWrap/>
              <w:overflowPunct/>
              <w:topLinePunct w:val="0"/>
              <w:autoSpaceDE w:val="0"/>
              <w:autoSpaceDN w:val="0"/>
              <w:bidi w:val="0"/>
              <w:outlineLvl w:val="9"/>
              <w:rPr>
                <w:rFonts w:hint="default" w:ascii="Times New Roman" w:hAnsi="Times New Roman" w:eastAsia="宋体" w:cs="Times New Roman"/>
                <w:color w:val="auto"/>
                <w:spacing w:val="0"/>
                <w:sz w:val="21"/>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30201636">
            <w:pPr>
              <w:keepNext w:val="0"/>
              <w:keepLines w:val="0"/>
              <w:pageBreakBefore w:val="0"/>
              <w:widowControl/>
              <w:kinsoku/>
              <w:wordWrap/>
              <w:overflowPunct/>
              <w:topLinePunct w:val="0"/>
              <w:autoSpaceDE w:val="0"/>
              <w:autoSpaceDN w:val="0"/>
              <w:bidi w:val="0"/>
              <w:jc w:val="center"/>
              <w:outlineLvl w:val="9"/>
              <w:rPr>
                <w:rFonts w:hint="default" w:ascii="Times New Roman" w:hAnsi="Times New Roman" w:eastAsia="宋体" w:cs="Times New Roman"/>
                <w:color w:val="auto"/>
                <w:spacing w:val="0"/>
                <w:sz w:val="21"/>
                <w:szCs w:val="24"/>
                <w:highlight w:val="none"/>
              </w:rPr>
            </w:pPr>
          </w:p>
        </w:tc>
      </w:tr>
      <w:tr w14:paraId="6A3FE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vAlign w:val="center"/>
          </w:tcPr>
          <w:p w14:paraId="33FDD670">
            <w:pPr>
              <w:keepNext w:val="0"/>
              <w:keepLines w:val="0"/>
              <w:pageBreakBefore w:val="0"/>
              <w:widowControl/>
              <w:kinsoku/>
              <w:wordWrap/>
              <w:overflowPunct/>
              <w:topLinePunct w:val="0"/>
              <w:autoSpaceDE w:val="0"/>
              <w:autoSpaceDN w:val="0"/>
              <w:bidi w:val="0"/>
              <w:jc w:val="center"/>
              <w:outlineLvl w:val="9"/>
              <w:rPr>
                <w:rFonts w:hint="default" w:ascii="Times New Roman" w:hAnsi="Times New Roman" w:eastAsia="宋体" w:cs="Times New Roman"/>
                <w:color w:val="auto"/>
                <w:spacing w:val="0"/>
                <w:sz w:val="21"/>
                <w:szCs w:val="24"/>
                <w:highlight w:val="none"/>
              </w:rPr>
            </w:pPr>
          </w:p>
        </w:tc>
        <w:tc>
          <w:tcPr>
            <w:tcW w:w="1215" w:type="dxa"/>
            <w:tcBorders>
              <w:top w:val="single" w:color="auto" w:sz="4" w:space="0"/>
              <w:left w:val="nil"/>
              <w:bottom w:val="single" w:color="auto" w:sz="4" w:space="0"/>
              <w:right w:val="single" w:color="auto" w:sz="4" w:space="0"/>
              <w:tl2br w:val="nil"/>
              <w:tr2bl w:val="nil"/>
            </w:tcBorders>
            <w:vAlign w:val="center"/>
          </w:tcPr>
          <w:p w14:paraId="612FC93F">
            <w:pPr>
              <w:keepNext w:val="0"/>
              <w:keepLines w:val="0"/>
              <w:pageBreakBefore w:val="0"/>
              <w:widowControl/>
              <w:kinsoku/>
              <w:wordWrap/>
              <w:overflowPunct/>
              <w:topLinePunct w:val="0"/>
              <w:autoSpaceDE w:val="0"/>
              <w:autoSpaceDN w:val="0"/>
              <w:bidi w:val="0"/>
              <w:jc w:val="center"/>
              <w:outlineLvl w:val="9"/>
              <w:rPr>
                <w:rFonts w:hint="default" w:ascii="Times New Roman" w:hAnsi="Times New Roman" w:eastAsia="宋体" w:cs="Times New Roman"/>
                <w:color w:val="auto"/>
                <w:spacing w:val="0"/>
                <w:sz w:val="21"/>
                <w:szCs w:val="24"/>
                <w:highlight w:val="none"/>
              </w:rPr>
            </w:pPr>
          </w:p>
        </w:tc>
        <w:tc>
          <w:tcPr>
            <w:tcW w:w="1845" w:type="dxa"/>
            <w:tcBorders>
              <w:top w:val="single" w:color="auto" w:sz="4" w:space="0"/>
              <w:left w:val="nil"/>
              <w:bottom w:val="single" w:color="auto" w:sz="4" w:space="0"/>
              <w:right w:val="single" w:color="auto" w:sz="4" w:space="0"/>
              <w:tl2br w:val="nil"/>
              <w:tr2bl w:val="nil"/>
            </w:tcBorders>
            <w:vAlign w:val="center"/>
          </w:tcPr>
          <w:p w14:paraId="7C0392CB">
            <w:pPr>
              <w:keepNext w:val="0"/>
              <w:keepLines w:val="0"/>
              <w:pageBreakBefore w:val="0"/>
              <w:widowControl/>
              <w:kinsoku/>
              <w:wordWrap/>
              <w:overflowPunct/>
              <w:topLinePunct w:val="0"/>
              <w:autoSpaceDE w:val="0"/>
              <w:autoSpaceDN w:val="0"/>
              <w:bidi w:val="0"/>
              <w:outlineLvl w:val="9"/>
              <w:rPr>
                <w:rFonts w:hint="default" w:ascii="Times New Roman" w:hAnsi="Times New Roman" w:eastAsia="宋体" w:cs="Times New Roman"/>
                <w:color w:val="auto"/>
                <w:spacing w:val="0"/>
                <w:sz w:val="21"/>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48401B48">
            <w:pPr>
              <w:keepNext w:val="0"/>
              <w:keepLines w:val="0"/>
              <w:pageBreakBefore w:val="0"/>
              <w:widowControl/>
              <w:kinsoku/>
              <w:wordWrap/>
              <w:overflowPunct/>
              <w:topLinePunct w:val="0"/>
              <w:autoSpaceDE w:val="0"/>
              <w:autoSpaceDN w:val="0"/>
              <w:bidi w:val="0"/>
              <w:jc w:val="center"/>
              <w:outlineLvl w:val="9"/>
              <w:rPr>
                <w:rFonts w:hint="default" w:ascii="Times New Roman" w:hAnsi="Times New Roman" w:eastAsia="宋体" w:cs="Times New Roman"/>
                <w:color w:val="auto"/>
                <w:spacing w:val="0"/>
                <w:sz w:val="21"/>
                <w:szCs w:val="24"/>
                <w:highlight w:val="none"/>
              </w:rPr>
            </w:pPr>
          </w:p>
        </w:tc>
      </w:tr>
    </w:tbl>
    <w:p w14:paraId="496F381F">
      <w:pPr>
        <w:keepNext w:val="0"/>
        <w:keepLines w:val="0"/>
        <w:pageBreakBefore w:val="0"/>
        <w:kinsoku/>
        <w:wordWrap/>
        <w:overflowPunct/>
        <w:topLinePunct w:val="0"/>
        <w:autoSpaceDE w:val="0"/>
        <w:autoSpaceDN w:val="0"/>
        <w:bidi w:val="0"/>
        <w:ind w:firstLine="482" w:firstLineChars="200"/>
        <w:outlineLvl w:val="9"/>
        <w:rPr>
          <w:rFonts w:hint="default" w:ascii="Times New Roman" w:hAnsi="Times New Roman" w:eastAsia="宋体" w:cs="Times New Roman"/>
          <w:b/>
          <w:color w:val="auto"/>
          <w:spacing w:val="0"/>
          <w:szCs w:val="24"/>
          <w:highlight w:val="none"/>
        </w:rPr>
      </w:pPr>
      <w:r>
        <w:rPr>
          <w:rFonts w:hint="default" w:ascii="Times New Roman" w:hAnsi="Times New Roman" w:eastAsia="宋体" w:cs="Times New Roman"/>
          <w:b/>
          <w:color w:val="auto"/>
          <w:spacing w:val="0"/>
          <w:szCs w:val="24"/>
          <w:highlight w:val="none"/>
        </w:rPr>
        <w:t>（四）应急领导小组职责</w:t>
      </w:r>
    </w:p>
    <w:p w14:paraId="610B515C">
      <w:pPr>
        <w:keepNext w:val="0"/>
        <w:keepLines w:val="0"/>
        <w:pageBreakBefore w:val="0"/>
        <w:kinsoku/>
        <w:wordWrap/>
        <w:overflowPunct/>
        <w:topLinePunct w:val="0"/>
        <w:autoSpaceDE w:val="0"/>
        <w:autoSpaceDN w:val="0"/>
        <w:bidi w:val="0"/>
        <w:spacing w:line="360" w:lineRule="auto"/>
        <w:ind w:firstLine="559" w:firstLineChars="233"/>
        <w:outlineLvl w:val="9"/>
        <w:rPr>
          <w:rFonts w:hint="default" w:ascii="Times New Roman" w:hAnsi="Times New Roman" w:eastAsia="宋体" w:cs="Times New Roman"/>
          <w:color w:val="auto"/>
          <w:spacing w:val="0"/>
          <w:szCs w:val="24"/>
          <w:highlight w:val="none"/>
        </w:rPr>
      </w:pPr>
      <w:r>
        <w:rPr>
          <w:rFonts w:hint="default" w:ascii="Times New Roman" w:hAnsi="Times New Roman" w:eastAsia="宋体" w:cs="Times New Roman"/>
          <w:color w:val="auto"/>
          <w:spacing w:val="0"/>
          <w:szCs w:val="24"/>
          <w:highlight w:val="none"/>
        </w:rPr>
        <w:t>1.启动应急预案</w:t>
      </w:r>
    </w:p>
    <w:p w14:paraId="75DE7F1D">
      <w:pPr>
        <w:keepNext w:val="0"/>
        <w:keepLines w:val="0"/>
        <w:pageBreakBefore w:val="0"/>
        <w:kinsoku/>
        <w:wordWrap/>
        <w:overflowPunct/>
        <w:topLinePunct w:val="0"/>
        <w:autoSpaceDE w:val="0"/>
        <w:autoSpaceDN w:val="0"/>
        <w:bidi w:val="0"/>
        <w:spacing w:line="360" w:lineRule="auto"/>
        <w:ind w:firstLine="559" w:firstLineChars="233"/>
        <w:outlineLvl w:val="9"/>
        <w:rPr>
          <w:rFonts w:hint="default" w:ascii="Times New Roman" w:hAnsi="Times New Roman" w:eastAsia="宋体" w:cs="Times New Roman"/>
          <w:color w:val="auto"/>
          <w:spacing w:val="0"/>
          <w:szCs w:val="24"/>
          <w:highlight w:val="none"/>
        </w:rPr>
      </w:pPr>
      <w:r>
        <w:rPr>
          <w:rFonts w:hint="default" w:ascii="Times New Roman" w:hAnsi="Times New Roman" w:eastAsia="宋体" w:cs="Times New Roman"/>
          <w:color w:val="auto"/>
          <w:spacing w:val="0"/>
          <w:szCs w:val="24"/>
          <w:highlight w:val="none"/>
        </w:rPr>
        <w:t>对突发事件进行处置，确保业务的持续性；对项目突发事件业务影响情况进行分析和评估；收集分析项目突发事件应急处置过程中的业务信息、数据、日志；向甲方报告应急处置进展情况和事态发展情况。</w:t>
      </w:r>
    </w:p>
    <w:p w14:paraId="59AF5947">
      <w:pPr>
        <w:keepNext w:val="0"/>
        <w:keepLines w:val="0"/>
        <w:pageBreakBefore w:val="0"/>
        <w:kinsoku/>
        <w:wordWrap/>
        <w:overflowPunct/>
        <w:topLinePunct w:val="0"/>
        <w:autoSpaceDE w:val="0"/>
        <w:autoSpaceDN w:val="0"/>
        <w:bidi w:val="0"/>
        <w:spacing w:line="360" w:lineRule="auto"/>
        <w:ind w:firstLine="559" w:firstLineChars="233"/>
        <w:outlineLvl w:val="9"/>
        <w:rPr>
          <w:rFonts w:hint="default" w:ascii="Times New Roman" w:hAnsi="Times New Roman" w:eastAsia="宋体" w:cs="Times New Roman"/>
          <w:color w:val="auto"/>
          <w:spacing w:val="0"/>
          <w:szCs w:val="24"/>
          <w:highlight w:val="none"/>
        </w:rPr>
      </w:pPr>
      <w:r>
        <w:rPr>
          <w:rFonts w:hint="default" w:ascii="Times New Roman" w:hAnsi="Times New Roman" w:eastAsia="宋体" w:cs="Times New Roman"/>
          <w:color w:val="auto"/>
          <w:spacing w:val="0"/>
          <w:szCs w:val="24"/>
          <w:highlight w:val="none"/>
        </w:rPr>
        <w:t>2.应急事件处理</w:t>
      </w:r>
    </w:p>
    <w:p w14:paraId="24D80278">
      <w:pPr>
        <w:keepNext w:val="0"/>
        <w:keepLines w:val="0"/>
        <w:pageBreakBefore w:val="0"/>
        <w:kinsoku/>
        <w:wordWrap/>
        <w:overflowPunct/>
        <w:topLinePunct w:val="0"/>
        <w:autoSpaceDE w:val="0"/>
        <w:autoSpaceDN w:val="0"/>
        <w:bidi w:val="0"/>
        <w:spacing w:line="360" w:lineRule="auto"/>
        <w:ind w:firstLine="559" w:firstLineChars="233"/>
        <w:outlineLvl w:val="9"/>
        <w:rPr>
          <w:rFonts w:hint="default" w:ascii="Times New Roman" w:hAnsi="Times New Roman" w:eastAsia="宋体" w:cs="Times New Roman"/>
          <w:color w:val="auto"/>
          <w:spacing w:val="0"/>
          <w:szCs w:val="24"/>
          <w:highlight w:val="none"/>
        </w:rPr>
      </w:pPr>
      <w:r>
        <w:rPr>
          <w:rFonts w:hint="default" w:ascii="Times New Roman" w:hAnsi="Times New Roman" w:eastAsia="宋体" w:cs="Times New Roman"/>
          <w:color w:val="auto"/>
          <w:spacing w:val="0"/>
          <w:szCs w:val="24"/>
          <w:highlight w:val="none"/>
        </w:rPr>
        <w:t>负责详细记录并分析应急事件，在项目组人员及其他资源的协助下，提出应急事件解决方案，并负责向甲方解释应急事件及方案；当解决方案通过甲方审核后，由危机处理层负责方案的实施，并在实施结束后，提交</w:t>
      </w:r>
      <w:r>
        <w:rPr>
          <w:rFonts w:hint="eastAsia" w:ascii="Times New Roman" w:hAnsi="Times New Roman" w:cs="Times New Roman"/>
          <w:color w:val="auto"/>
          <w:spacing w:val="0"/>
          <w:szCs w:val="24"/>
          <w:highlight w:val="none"/>
          <w:lang w:eastAsia="zh-CN"/>
        </w:rPr>
        <w:t>“</w:t>
      </w:r>
      <w:r>
        <w:rPr>
          <w:rFonts w:hint="default" w:ascii="Times New Roman" w:hAnsi="Times New Roman" w:eastAsia="宋体" w:cs="Times New Roman"/>
          <w:color w:val="auto"/>
          <w:spacing w:val="0"/>
          <w:szCs w:val="24"/>
          <w:highlight w:val="none"/>
        </w:rPr>
        <w:t>应急事件处理报告</w:t>
      </w:r>
      <w:r>
        <w:rPr>
          <w:rFonts w:hint="eastAsia" w:ascii="Times New Roman" w:hAnsi="Times New Roman" w:cs="Times New Roman"/>
          <w:color w:val="auto"/>
          <w:spacing w:val="0"/>
          <w:szCs w:val="24"/>
          <w:highlight w:val="none"/>
          <w:lang w:eastAsia="zh-CN"/>
        </w:rPr>
        <w:t>”</w:t>
      </w:r>
      <w:r>
        <w:rPr>
          <w:rFonts w:hint="default" w:ascii="Times New Roman" w:hAnsi="Times New Roman" w:eastAsia="宋体" w:cs="Times New Roman"/>
          <w:color w:val="auto"/>
          <w:spacing w:val="0"/>
          <w:szCs w:val="24"/>
          <w:highlight w:val="none"/>
        </w:rPr>
        <w:t>。</w:t>
      </w:r>
    </w:p>
    <w:p w14:paraId="23E07904">
      <w:pPr>
        <w:keepNext w:val="0"/>
        <w:keepLines w:val="0"/>
        <w:pageBreakBefore w:val="0"/>
        <w:kinsoku/>
        <w:wordWrap/>
        <w:overflowPunct/>
        <w:topLinePunct w:val="0"/>
        <w:autoSpaceDE w:val="0"/>
        <w:autoSpaceDN w:val="0"/>
        <w:bidi w:val="0"/>
        <w:spacing w:line="360" w:lineRule="auto"/>
        <w:ind w:firstLine="559" w:firstLineChars="233"/>
        <w:outlineLvl w:val="9"/>
        <w:rPr>
          <w:rFonts w:hint="default" w:ascii="Times New Roman" w:hAnsi="Times New Roman" w:eastAsia="宋体" w:cs="Times New Roman"/>
          <w:color w:val="auto"/>
          <w:spacing w:val="0"/>
          <w:szCs w:val="24"/>
          <w:highlight w:val="none"/>
        </w:rPr>
      </w:pPr>
      <w:r>
        <w:rPr>
          <w:rFonts w:hint="default" w:ascii="Times New Roman" w:hAnsi="Times New Roman" w:eastAsia="宋体" w:cs="Times New Roman"/>
          <w:color w:val="auto"/>
          <w:spacing w:val="0"/>
          <w:szCs w:val="24"/>
          <w:highlight w:val="none"/>
        </w:rPr>
        <w:t>3.业务持续性计划及应急预案优化</w:t>
      </w:r>
    </w:p>
    <w:p w14:paraId="6614FA4E">
      <w:pPr>
        <w:keepNext w:val="0"/>
        <w:keepLines w:val="0"/>
        <w:pageBreakBefore w:val="0"/>
        <w:kinsoku/>
        <w:wordWrap/>
        <w:overflowPunct/>
        <w:topLinePunct w:val="0"/>
        <w:autoSpaceDE w:val="0"/>
        <w:autoSpaceDN w:val="0"/>
        <w:bidi w:val="0"/>
        <w:spacing w:line="360" w:lineRule="auto"/>
        <w:ind w:firstLine="559" w:firstLineChars="233"/>
        <w:outlineLvl w:val="9"/>
        <w:rPr>
          <w:rFonts w:hint="default" w:ascii="Times New Roman" w:hAnsi="Times New Roman" w:eastAsia="宋体" w:cs="Times New Roman"/>
          <w:color w:val="auto"/>
          <w:spacing w:val="0"/>
          <w:szCs w:val="24"/>
          <w:highlight w:val="none"/>
        </w:rPr>
      </w:pPr>
      <w:r>
        <w:rPr>
          <w:rFonts w:hint="default" w:ascii="Times New Roman" w:hAnsi="Times New Roman" w:eastAsia="宋体" w:cs="Times New Roman"/>
          <w:color w:val="auto"/>
          <w:spacing w:val="0"/>
          <w:szCs w:val="24"/>
          <w:highlight w:val="none"/>
        </w:rPr>
        <w:t>负责每个月针对当月及以往产生的应急事件实施报告，对现有的业务持续性计划及应急预案进行评估，当发现存在风险时，需要进行相应的优化；优化后的业务持续性计划及应急预案必须提交甲方审核，并按照审核通过后的新计划进行实施。</w:t>
      </w:r>
    </w:p>
    <w:p w14:paraId="2D76F533">
      <w:pPr>
        <w:keepNext w:val="0"/>
        <w:keepLines w:val="0"/>
        <w:pageBreakBefore w:val="0"/>
        <w:kinsoku/>
        <w:wordWrap/>
        <w:overflowPunct/>
        <w:topLinePunct w:val="0"/>
        <w:autoSpaceDE w:val="0"/>
        <w:autoSpaceDN w:val="0"/>
        <w:bidi w:val="0"/>
        <w:ind w:firstLine="482" w:firstLineChars="200"/>
        <w:outlineLvl w:val="9"/>
        <w:rPr>
          <w:rFonts w:hint="default" w:ascii="Times New Roman" w:hAnsi="Times New Roman" w:eastAsia="宋体" w:cs="Times New Roman"/>
          <w:b/>
          <w:color w:val="auto"/>
          <w:spacing w:val="0"/>
          <w:szCs w:val="24"/>
          <w:highlight w:val="none"/>
        </w:rPr>
      </w:pPr>
      <w:r>
        <w:rPr>
          <w:rFonts w:hint="default" w:ascii="Times New Roman" w:hAnsi="Times New Roman" w:eastAsia="宋体" w:cs="Times New Roman"/>
          <w:b/>
          <w:color w:val="auto"/>
          <w:spacing w:val="0"/>
          <w:szCs w:val="24"/>
          <w:highlight w:val="none"/>
        </w:rPr>
        <w:t>三、应急场景</w:t>
      </w:r>
    </w:p>
    <w:p w14:paraId="37E3C388">
      <w:pPr>
        <w:keepNext w:val="0"/>
        <w:keepLines w:val="0"/>
        <w:pageBreakBefore w:val="0"/>
        <w:kinsoku/>
        <w:wordWrap/>
        <w:overflowPunct/>
        <w:topLinePunct w:val="0"/>
        <w:autoSpaceDE w:val="0"/>
        <w:autoSpaceDN w:val="0"/>
        <w:bidi w:val="0"/>
        <w:ind w:firstLine="482" w:firstLineChars="200"/>
        <w:outlineLvl w:val="9"/>
        <w:rPr>
          <w:rFonts w:hint="default" w:ascii="Times New Roman" w:hAnsi="Times New Roman" w:eastAsia="宋体" w:cs="Times New Roman"/>
          <w:b/>
          <w:color w:val="auto"/>
          <w:spacing w:val="0"/>
          <w:szCs w:val="24"/>
          <w:highlight w:val="none"/>
        </w:rPr>
      </w:pPr>
      <w:r>
        <w:rPr>
          <w:rFonts w:hint="default" w:ascii="Times New Roman" w:hAnsi="Times New Roman" w:eastAsia="宋体" w:cs="Times New Roman"/>
          <w:b/>
          <w:color w:val="auto"/>
          <w:spacing w:val="0"/>
          <w:szCs w:val="24"/>
          <w:highlight w:val="none"/>
        </w:rPr>
        <w:t>（一）单个核心成员或某个角色无法提供正常服务</w:t>
      </w:r>
    </w:p>
    <w:p w14:paraId="39981B1C">
      <w:pPr>
        <w:keepNext w:val="0"/>
        <w:keepLines w:val="0"/>
        <w:pageBreakBefore w:val="0"/>
        <w:kinsoku/>
        <w:wordWrap/>
        <w:overflowPunct/>
        <w:topLinePunct w:val="0"/>
        <w:autoSpaceDE w:val="0"/>
        <w:autoSpaceDN w:val="0"/>
        <w:bidi w:val="0"/>
        <w:spacing w:line="360" w:lineRule="auto"/>
        <w:ind w:firstLine="559" w:firstLineChars="233"/>
        <w:outlineLvl w:val="9"/>
        <w:rPr>
          <w:rFonts w:hint="default" w:ascii="Times New Roman" w:hAnsi="Times New Roman" w:eastAsia="宋体" w:cs="Times New Roman"/>
          <w:color w:val="auto"/>
          <w:spacing w:val="0"/>
          <w:szCs w:val="24"/>
          <w:highlight w:val="none"/>
        </w:rPr>
      </w:pPr>
      <w:r>
        <w:rPr>
          <w:rFonts w:hint="default" w:ascii="Times New Roman" w:hAnsi="Times New Roman" w:eastAsia="宋体" w:cs="Times New Roman"/>
          <w:color w:val="auto"/>
          <w:spacing w:val="0"/>
          <w:szCs w:val="24"/>
          <w:highlight w:val="none"/>
        </w:rPr>
        <w:t>1.影响程度：外包服务部分中断</w:t>
      </w:r>
    </w:p>
    <w:p w14:paraId="23A4DE0D">
      <w:pPr>
        <w:keepNext w:val="0"/>
        <w:keepLines w:val="0"/>
        <w:pageBreakBefore w:val="0"/>
        <w:kinsoku/>
        <w:wordWrap/>
        <w:overflowPunct/>
        <w:topLinePunct w:val="0"/>
        <w:autoSpaceDE w:val="0"/>
        <w:autoSpaceDN w:val="0"/>
        <w:bidi w:val="0"/>
        <w:spacing w:line="360" w:lineRule="auto"/>
        <w:ind w:firstLine="559" w:firstLineChars="233"/>
        <w:outlineLvl w:val="9"/>
        <w:rPr>
          <w:rFonts w:hint="default" w:ascii="Times New Roman" w:hAnsi="Times New Roman" w:eastAsia="宋体" w:cs="Times New Roman"/>
          <w:color w:val="auto"/>
          <w:spacing w:val="0"/>
          <w:szCs w:val="24"/>
          <w:highlight w:val="none"/>
        </w:rPr>
      </w:pPr>
      <w:r>
        <w:rPr>
          <w:rFonts w:hint="default" w:ascii="Times New Roman" w:hAnsi="Times New Roman" w:eastAsia="宋体" w:cs="Times New Roman"/>
          <w:color w:val="auto"/>
          <w:spacing w:val="0"/>
          <w:szCs w:val="24"/>
          <w:highlight w:val="none"/>
        </w:rPr>
        <w:t>2.规避措施：</w:t>
      </w:r>
    </w:p>
    <w:p w14:paraId="7B22070D">
      <w:pPr>
        <w:keepNext w:val="0"/>
        <w:keepLines w:val="0"/>
        <w:pageBreakBefore w:val="0"/>
        <w:kinsoku/>
        <w:wordWrap/>
        <w:overflowPunct/>
        <w:topLinePunct w:val="0"/>
        <w:autoSpaceDE w:val="0"/>
        <w:autoSpaceDN w:val="0"/>
        <w:bidi w:val="0"/>
        <w:spacing w:line="360" w:lineRule="auto"/>
        <w:ind w:firstLine="559" w:firstLineChars="233"/>
        <w:outlineLvl w:val="9"/>
        <w:rPr>
          <w:rFonts w:hint="default" w:ascii="Times New Roman" w:hAnsi="Times New Roman" w:eastAsia="宋体" w:cs="Times New Roman"/>
          <w:color w:val="auto"/>
          <w:spacing w:val="0"/>
          <w:szCs w:val="24"/>
          <w:highlight w:val="none"/>
        </w:rPr>
      </w:pPr>
      <w:r>
        <w:rPr>
          <w:rFonts w:hint="default" w:ascii="Times New Roman" w:hAnsi="Times New Roman" w:eastAsia="宋体" w:cs="Times New Roman"/>
          <w:color w:val="auto"/>
          <w:spacing w:val="0"/>
          <w:szCs w:val="24"/>
          <w:highlight w:val="none"/>
        </w:rPr>
        <w:t>1）乙方在2小时内协调重庆本地高于该成员资历水平的的员工来厂商现场进行顶替，直到合适的补充人员入场能够接替该成员的工作为止，否则按照SLA第6调更换人员的相关条款进行罚款。</w:t>
      </w:r>
    </w:p>
    <w:p w14:paraId="4744C308">
      <w:pPr>
        <w:keepNext w:val="0"/>
        <w:keepLines w:val="0"/>
        <w:pageBreakBefore w:val="0"/>
        <w:kinsoku/>
        <w:wordWrap/>
        <w:overflowPunct/>
        <w:topLinePunct w:val="0"/>
        <w:autoSpaceDE w:val="0"/>
        <w:autoSpaceDN w:val="0"/>
        <w:bidi w:val="0"/>
        <w:spacing w:line="360" w:lineRule="auto"/>
        <w:ind w:firstLine="559" w:firstLineChars="233"/>
        <w:outlineLvl w:val="9"/>
        <w:rPr>
          <w:rFonts w:hint="default" w:ascii="Times New Roman" w:hAnsi="Times New Roman" w:eastAsia="宋体" w:cs="Times New Roman"/>
          <w:color w:val="auto"/>
          <w:spacing w:val="0"/>
          <w:szCs w:val="24"/>
          <w:highlight w:val="none"/>
        </w:rPr>
      </w:pPr>
      <w:r>
        <w:rPr>
          <w:rFonts w:hint="default" w:ascii="Times New Roman" w:hAnsi="Times New Roman" w:eastAsia="宋体" w:cs="Times New Roman"/>
          <w:color w:val="auto"/>
          <w:spacing w:val="0"/>
          <w:szCs w:val="24"/>
          <w:highlight w:val="none"/>
        </w:rPr>
        <w:t>2）乙方服务团队在合同有效期内，建立人才储备机制和培训机制，同时由A角和B角对项目进行支持工作。因乙方原因造成甲方损失的，乙方按照SLA进行赔偿。</w:t>
      </w:r>
    </w:p>
    <w:p w14:paraId="55C0E8A3">
      <w:pPr>
        <w:keepNext w:val="0"/>
        <w:keepLines w:val="0"/>
        <w:pageBreakBefore w:val="0"/>
        <w:kinsoku/>
        <w:wordWrap/>
        <w:overflowPunct/>
        <w:topLinePunct w:val="0"/>
        <w:autoSpaceDE w:val="0"/>
        <w:autoSpaceDN w:val="0"/>
        <w:bidi w:val="0"/>
        <w:ind w:firstLine="482" w:firstLineChars="200"/>
        <w:outlineLvl w:val="9"/>
        <w:rPr>
          <w:rFonts w:hint="default" w:ascii="Times New Roman" w:hAnsi="Times New Roman" w:eastAsia="宋体" w:cs="Times New Roman"/>
          <w:b/>
          <w:color w:val="auto"/>
          <w:spacing w:val="0"/>
          <w:szCs w:val="24"/>
          <w:highlight w:val="none"/>
        </w:rPr>
      </w:pPr>
      <w:r>
        <w:rPr>
          <w:rFonts w:hint="default" w:ascii="Times New Roman" w:hAnsi="Times New Roman" w:eastAsia="宋体" w:cs="Times New Roman"/>
          <w:b/>
          <w:color w:val="auto"/>
          <w:spacing w:val="0"/>
          <w:szCs w:val="24"/>
          <w:highlight w:val="none"/>
        </w:rPr>
        <w:t>（二）乙方服务团队无法提供正常服务，但乙方仍具备履约能力</w:t>
      </w:r>
    </w:p>
    <w:p w14:paraId="65881D1D">
      <w:pPr>
        <w:keepNext w:val="0"/>
        <w:keepLines w:val="0"/>
        <w:pageBreakBefore w:val="0"/>
        <w:kinsoku/>
        <w:wordWrap/>
        <w:overflowPunct/>
        <w:topLinePunct w:val="0"/>
        <w:autoSpaceDE w:val="0"/>
        <w:autoSpaceDN w:val="0"/>
        <w:bidi w:val="0"/>
        <w:spacing w:line="360" w:lineRule="auto"/>
        <w:ind w:firstLine="559" w:firstLineChars="233"/>
        <w:outlineLvl w:val="9"/>
        <w:rPr>
          <w:rFonts w:hint="default" w:ascii="Times New Roman" w:hAnsi="Times New Roman" w:eastAsia="宋体" w:cs="Times New Roman"/>
          <w:color w:val="auto"/>
          <w:spacing w:val="0"/>
          <w:szCs w:val="24"/>
          <w:highlight w:val="none"/>
        </w:rPr>
      </w:pPr>
      <w:r>
        <w:rPr>
          <w:rFonts w:hint="default" w:ascii="Times New Roman" w:hAnsi="Times New Roman" w:eastAsia="宋体" w:cs="Times New Roman"/>
          <w:color w:val="auto"/>
          <w:spacing w:val="0"/>
          <w:szCs w:val="24"/>
          <w:highlight w:val="none"/>
        </w:rPr>
        <w:t>1.影响程度：外包服务完全中断</w:t>
      </w:r>
    </w:p>
    <w:p w14:paraId="15E87ADC">
      <w:pPr>
        <w:keepNext w:val="0"/>
        <w:keepLines w:val="0"/>
        <w:pageBreakBefore w:val="0"/>
        <w:kinsoku/>
        <w:wordWrap/>
        <w:overflowPunct/>
        <w:topLinePunct w:val="0"/>
        <w:autoSpaceDE w:val="0"/>
        <w:autoSpaceDN w:val="0"/>
        <w:bidi w:val="0"/>
        <w:spacing w:line="360" w:lineRule="auto"/>
        <w:ind w:firstLine="559" w:firstLineChars="233"/>
        <w:outlineLvl w:val="9"/>
        <w:rPr>
          <w:rFonts w:hint="default" w:ascii="Times New Roman" w:hAnsi="Times New Roman" w:eastAsia="宋体" w:cs="Times New Roman"/>
          <w:color w:val="auto"/>
          <w:spacing w:val="0"/>
          <w:szCs w:val="24"/>
          <w:highlight w:val="none"/>
        </w:rPr>
      </w:pPr>
      <w:r>
        <w:rPr>
          <w:rFonts w:hint="default" w:ascii="Times New Roman" w:hAnsi="Times New Roman" w:eastAsia="宋体" w:cs="Times New Roman"/>
          <w:color w:val="auto"/>
          <w:spacing w:val="0"/>
          <w:szCs w:val="24"/>
          <w:highlight w:val="none"/>
        </w:rPr>
        <w:t>2.规避措施：</w:t>
      </w:r>
    </w:p>
    <w:p w14:paraId="07E33EFB">
      <w:pPr>
        <w:keepNext w:val="0"/>
        <w:keepLines w:val="0"/>
        <w:pageBreakBefore w:val="0"/>
        <w:kinsoku/>
        <w:wordWrap/>
        <w:overflowPunct/>
        <w:topLinePunct w:val="0"/>
        <w:autoSpaceDE w:val="0"/>
        <w:autoSpaceDN w:val="0"/>
        <w:bidi w:val="0"/>
        <w:spacing w:line="360" w:lineRule="auto"/>
        <w:ind w:firstLine="559" w:firstLineChars="233"/>
        <w:outlineLvl w:val="9"/>
        <w:rPr>
          <w:rFonts w:hint="default" w:ascii="Times New Roman" w:hAnsi="Times New Roman" w:eastAsia="宋体" w:cs="Times New Roman"/>
          <w:color w:val="auto"/>
          <w:spacing w:val="0"/>
          <w:szCs w:val="24"/>
          <w:highlight w:val="none"/>
        </w:rPr>
      </w:pPr>
      <w:r>
        <w:rPr>
          <w:rFonts w:hint="default" w:ascii="Times New Roman" w:hAnsi="Times New Roman" w:eastAsia="宋体" w:cs="Times New Roman"/>
          <w:color w:val="auto"/>
          <w:spacing w:val="0"/>
          <w:szCs w:val="24"/>
          <w:highlight w:val="none"/>
        </w:rPr>
        <w:t>1）乙方服务团队需按时按照甲方流程及制度规范提交项目各类文档；</w:t>
      </w:r>
    </w:p>
    <w:p w14:paraId="2701507B">
      <w:pPr>
        <w:keepNext w:val="0"/>
        <w:keepLines w:val="0"/>
        <w:pageBreakBefore w:val="0"/>
        <w:kinsoku/>
        <w:wordWrap/>
        <w:overflowPunct/>
        <w:topLinePunct w:val="0"/>
        <w:autoSpaceDE w:val="0"/>
        <w:autoSpaceDN w:val="0"/>
        <w:bidi w:val="0"/>
        <w:spacing w:line="360" w:lineRule="auto"/>
        <w:ind w:firstLine="559" w:firstLineChars="233"/>
        <w:outlineLvl w:val="9"/>
        <w:rPr>
          <w:rFonts w:hint="default" w:ascii="Times New Roman" w:hAnsi="Times New Roman" w:eastAsia="宋体" w:cs="Times New Roman"/>
          <w:color w:val="auto"/>
          <w:spacing w:val="0"/>
          <w:szCs w:val="24"/>
          <w:highlight w:val="none"/>
        </w:rPr>
      </w:pPr>
      <w:r>
        <w:rPr>
          <w:rFonts w:hint="default" w:ascii="Times New Roman" w:hAnsi="Times New Roman" w:eastAsia="宋体" w:cs="Times New Roman"/>
          <w:color w:val="auto"/>
          <w:spacing w:val="0"/>
          <w:szCs w:val="24"/>
          <w:highlight w:val="none"/>
        </w:rPr>
        <w:t>2）乙方服务团队需制定合理的培训计划和培训内容，加强知识转移；</w:t>
      </w:r>
    </w:p>
    <w:p w14:paraId="345DD87E">
      <w:pPr>
        <w:keepNext w:val="0"/>
        <w:keepLines w:val="0"/>
        <w:pageBreakBefore w:val="0"/>
        <w:kinsoku/>
        <w:wordWrap/>
        <w:overflowPunct/>
        <w:topLinePunct w:val="0"/>
        <w:autoSpaceDE w:val="0"/>
        <w:autoSpaceDN w:val="0"/>
        <w:bidi w:val="0"/>
        <w:spacing w:line="360" w:lineRule="auto"/>
        <w:ind w:firstLine="559" w:firstLineChars="233"/>
        <w:outlineLvl w:val="9"/>
        <w:rPr>
          <w:rFonts w:hint="default" w:ascii="Times New Roman" w:hAnsi="Times New Roman" w:eastAsia="宋体" w:cs="Times New Roman"/>
          <w:color w:val="auto"/>
          <w:spacing w:val="0"/>
          <w:szCs w:val="24"/>
          <w:highlight w:val="none"/>
        </w:rPr>
      </w:pPr>
      <w:r>
        <w:rPr>
          <w:rFonts w:hint="default" w:ascii="Times New Roman" w:hAnsi="Times New Roman" w:eastAsia="宋体" w:cs="Times New Roman"/>
          <w:color w:val="auto"/>
          <w:spacing w:val="0"/>
          <w:szCs w:val="24"/>
          <w:highlight w:val="none"/>
        </w:rPr>
        <w:t>3）如遇类似事件乙方提前10个工作日书面通知甲方项目经理；</w:t>
      </w:r>
    </w:p>
    <w:p w14:paraId="1F932973">
      <w:pPr>
        <w:keepNext w:val="0"/>
        <w:keepLines w:val="0"/>
        <w:pageBreakBefore w:val="0"/>
        <w:kinsoku/>
        <w:wordWrap/>
        <w:overflowPunct/>
        <w:topLinePunct w:val="0"/>
        <w:autoSpaceDE w:val="0"/>
        <w:autoSpaceDN w:val="0"/>
        <w:bidi w:val="0"/>
        <w:spacing w:line="360" w:lineRule="auto"/>
        <w:ind w:firstLine="559" w:firstLineChars="233"/>
        <w:outlineLvl w:val="9"/>
        <w:rPr>
          <w:rFonts w:hint="default" w:ascii="Times New Roman" w:hAnsi="Times New Roman" w:eastAsia="宋体" w:cs="Times New Roman"/>
          <w:color w:val="auto"/>
          <w:spacing w:val="0"/>
          <w:szCs w:val="24"/>
          <w:highlight w:val="none"/>
        </w:rPr>
      </w:pPr>
      <w:r>
        <w:rPr>
          <w:rFonts w:hint="default" w:ascii="Times New Roman" w:hAnsi="Times New Roman" w:eastAsia="宋体" w:cs="Times New Roman"/>
          <w:color w:val="auto"/>
          <w:spacing w:val="0"/>
          <w:szCs w:val="24"/>
          <w:highlight w:val="none"/>
        </w:rPr>
        <w:t>4）乙方负责提前协调备用团队，并协调相应角色做好交接工作，协调方案经过甲方认可后，在10个工作日内将补充团队派驻入场，保障工作连续开展。因乙方原因造成甲方损失的，乙方在双方协商后做出赔偿。</w:t>
      </w:r>
    </w:p>
    <w:p w14:paraId="500E4D6E">
      <w:pPr>
        <w:keepNext w:val="0"/>
        <w:keepLines w:val="0"/>
        <w:pageBreakBefore w:val="0"/>
        <w:kinsoku/>
        <w:wordWrap/>
        <w:overflowPunct/>
        <w:topLinePunct w:val="0"/>
        <w:autoSpaceDE w:val="0"/>
        <w:autoSpaceDN w:val="0"/>
        <w:bidi w:val="0"/>
        <w:ind w:firstLine="482" w:firstLineChars="200"/>
        <w:outlineLvl w:val="9"/>
        <w:rPr>
          <w:rFonts w:hint="default" w:ascii="Times New Roman" w:hAnsi="Times New Roman" w:eastAsia="宋体" w:cs="Times New Roman"/>
          <w:b/>
          <w:color w:val="auto"/>
          <w:spacing w:val="0"/>
          <w:szCs w:val="24"/>
          <w:highlight w:val="none"/>
        </w:rPr>
      </w:pPr>
      <w:r>
        <w:rPr>
          <w:rFonts w:hint="default" w:ascii="Times New Roman" w:hAnsi="Times New Roman" w:eastAsia="宋体" w:cs="Times New Roman"/>
          <w:b/>
          <w:color w:val="auto"/>
          <w:spacing w:val="0"/>
          <w:szCs w:val="24"/>
          <w:highlight w:val="none"/>
        </w:rPr>
        <w:t>（三）乙方服务团队无法提供正常服务且乙方不具备恢复服务能力或意愿</w:t>
      </w:r>
    </w:p>
    <w:p w14:paraId="6E9A7195">
      <w:pPr>
        <w:keepNext w:val="0"/>
        <w:keepLines w:val="0"/>
        <w:pageBreakBefore w:val="0"/>
        <w:kinsoku/>
        <w:wordWrap/>
        <w:overflowPunct/>
        <w:topLinePunct w:val="0"/>
        <w:autoSpaceDE w:val="0"/>
        <w:autoSpaceDN w:val="0"/>
        <w:bidi w:val="0"/>
        <w:spacing w:line="360" w:lineRule="auto"/>
        <w:ind w:firstLine="559" w:firstLineChars="233"/>
        <w:outlineLvl w:val="9"/>
        <w:rPr>
          <w:rFonts w:hint="default" w:ascii="Times New Roman" w:hAnsi="Times New Roman" w:eastAsia="宋体" w:cs="Times New Roman"/>
          <w:color w:val="auto"/>
          <w:spacing w:val="0"/>
          <w:szCs w:val="24"/>
          <w:highlight w:val="none"/>
        </w:rPr>
      </w:pPr>
      <w:r>
        <w:rPr>
          <w:rFonts w:hint="default" w:ascii="Times New Roman" w:hAnsi="Times New Roman" w:eastAsia="宋体" w:cs="Times New Roman"/>
          <w:color w:val="auto"/>
          <w:spacing w:val="0"/>
          <w:szCs w:val="24"/>
          <w:highlight w:val="none"/>
        </w:rPr>
        <w:t>1.影响程度：外包服务完全中断</w:t>
      </w:r>
    </w:p>
    <w:p w14:paraId="74280F60">
      <w:pPr>
        <w:keepNext w:val="0"/>
        <w:keepLines w:val="0"/>
        <w:pageBreakBefore w:val="0"/>
        <w:kinsoku/>
        <w:wordWrap/>
        <w:overflowPunct/>
        <w:topLinePunct w:val="0"/>
        <w:autoSpaceDE w:val="0"/>
        <w:autoSpaceDN w:val="0"/>
        <w:bidi w:val="0"/>
        <w:spacing w:line="360" w:lineRule="auto"/>
        <w:ind w:firstLine="559" w:firstLineChars="233"/>
        <w:outlineLvl w:val="9"/>
        <w:rPr>
          <w:rFonts w:hint="default" w:ascii="Times New Roman" w:hAnsi="Times New Roman" w:eastAsia="宋体" w:cs="Times New Roman"/>
          <w:color w:val="auto"/>
          <w:spacing w:val="0"/>
          <w:szCs w:val="24"/>
          <w:highlight w:val="none"/>
        </w:rPr>
      </w:pPr>
      <w:r>
        <w:rPr>
          <w:rFonts w:hint="default" w:ascii="Times New Roman" w:hAnsi="Times New Roman" w:eastAsia="宋体" w:cs="Times New Roman"/>
          <w:color w:val="auto"/>
          <w:spacing w:val="0"/>
          <w:szCs w:val="24"/>
          <w:highlight w:val="none"/>
        </w:rPr>
        <w:t>2.规避措施：</w:t>
      </w:r>
    </w:p>
    <w:p w14:paraId="24749A56">
      <w:pPr>
        <w:keepNext w:val="0"/>
        <w:keepLines w:val="0"/>
        <w:pageBreakBefore w:val="0"/>
        <w:kinsoku/>
        <w:wordWrap/>
        <w:overflowPunct/>
        <w:topLinePunct w:val="0"/>
        <w:autoSpaceDE w:val="0"/>
        <w:autoSpaceDN w:val="0"/>
        <w:bidi w:val="0"/>
        <w:spacing w:line="360" w:lineRule="auto"/>
        <w:ind w:firstLine="559" w:firstLineChars="233"/>
        <w:outlineLvl w:val="9"/>
        <w:rPr>
          <w:rFonts w:hint="default" w:ascii="Times New Roman" w:hAnsi="Times New Roman" w:eastAsia="宋体" w:cs="Times New Roman"/>
          <w:color w:val="auto"/>
          <w:spacing w:val="0"/>
          <w:szCs w:val="24"/>
          <w:highlight w:val="none"/>
        </w:rPr>
      </w:pPr>
      <w:r>
        <w:rPr>
          <w:rFonts w:hint="default" w:ascii="Times New Roman" w:hAnsi="Times New Roman" w:eastAsia="宋体" w:cs="Times New Roman"/>
          <w:color w:val="auto"/>
          <w:spacing w:val="0"/>
          <w:szCs w:val="24"/>
          <w:highlight w:val="none"/>
        </w:rPr>
        <w:t>1）如遇类似事件乙方提前15个工作日书面通知甲方项目经理；</w:t>
      </w:r>
    </w:p>
    <w:p w14:paraId="1F8062D6">
      <w:pPr>
        <w:keepNext w:val="0"/>
        <w:keepLines w:val="0"/>
        <w:pageBreakBefore w:val="0"/>
        <w:kinsoku/>
        <w:wordWrap/>
        <w:overflowPunct/>
        <w:topLinePunct w:val="0"/>
        <w:autoSpaceDE w:val="0"/>
        <w:autoSpaceDN w:val="0"/>
        <w:bidi w:val="0"/>
        <w:spacing w:line="360" w:lineRule="auto"/>
        <w:ind w:firstLine="559" w:firstLineChars="233"/>
        <w:outlineLvl w:val="9"/>
        <w:rPr>
          <w:rFonts w:hint="default" w:ascii="Times New Roman" w:hAnsi="Times New Roman" w:eastAsia="宋体" w:cs="Times New Roman"/>
          <w:color w:val="auto"/>
          <w:spacing w:val="0"/>
          <w:szCs w:val="24"/>
          <w:highlight w:val="none"/>
        </w:rPr>
      </w:pPr>
      <w:r>
        <w:rPr>
          <w:rFonts w:hint="default" w:ascii="Times New Roman" w:hAnsi="Times New Roman" w:eastAsia="宋体" w:cs="Times New Roman"/>
          <w:color w:val="auto"/>
          <w:spacing w:val="0"/>
          <w:szCs w:val="24"/>
          <w:highlight w:val="none"/>
        </w:rPr>
        <w:t>2）乙方保证提前沟通协调人力资源，于10个工作日内提交所有阶段性项目文档，并完成甲方认可的所有工作交接和知识转移，包括不限于对替代供应商进行培训；</w:t>
      </w:r>
    </w:p>
    <w:p w14:paraId="7B58FE24">
      <w:pPr>
        <w:keepNext w:val="0"/>
        <w:keepLines w:val="0"/>
        <w:pageBreakBefore w:val="0"/>
        <w:kinsoku/>
        <w:wordWrap/>
        <w:overflowPunct/>
        <w:topLinePunct w:val="0"/>
        <w:autoSpaceDE w:val="0"/>
        <w:autoSpaceDN w:val="0"/>
        <w:bidi w:val="0"/>
        <w:spacing w:line="360" w:lineRule="auto"/>
        <w:ind w:firstLine="559" w:firstLineChars="233"/>
        <w:outlineLvl w:val="9"/>
        <w:rPr>
          <w:rFonts w:hint="default" w:ascii="Times New Roman" w:hAnsi="Times New Roman" w:eastAsia="宋体" w:cs="Times New Roman"/>
          <w:color w:val="auto"/>
          <w:spacing w:val="0"/>
          <w:szCs w:val="24"/>
          <w:highlight w:val="none"/>
        </w:rPr>
      </w:pPr>
      <w:r>
        <w:rPr>
          <w:rFonts w:hint="default" w:ascii="Times New Roman" w:hAnsi="Times New Roman" w:eastAsia="宋体" w:cs="Times New Roman"/>
          <w:color w:val="auto"/>
          <w:spacing w:val="0"/>
          <w:szCs w:val="24"/>
          <w:highlight w:val="none"/>
        </w:rPr>
        <w:t>3）允许推荐项目成员到与甲方合作良好的其他供应商任职或由甲方直接聘用。因乙方原因造成甲方损失的，乙方在双方协商后做出赔偿。</w:t>
      </w:r>
    </w:p>
    <w:p w14:paraId="5C01D77D">
      <w:pPr>
        <w:keepNext w:val="0"/>
        <w:keepLines w:val="0"/>
        <w:pageBreakBefore w:val="0"/>
        <w:kinsoku/>
        <w:wordWrap/>
        <w:overflowPunct/>
        <w:topLinePunct w:val="0"/>
        <w:autoSpaceDE w:val="0"/>
        <w:autoSpaceDN w:val="0"/>
        <w:bidi w:val="0"/>
        <w:ind w:firstLine="482" w:firstLineChars="200"/>
        <w:outlineLvl w:val="9"/>
        <w:rPr>
          <w:rFonts w:hint="default" w:ascii="Times New Roman" w:hAnsi="Times New Roman" w:eastAsia="宋体" w:cs="Times New Roman"/>
          <w:b/>
          <w:color w:val="auto"/>
          <w:spacing w:val="0"/>
          <w:szCs w:val="24"/>
          <w:highlight w:val="none"/>
        </w:rPr>
      </w:pPr>
      <w:r>
        <w:rPr>
          <w:rFonts w:hint="default" w:ascii="Times New Roman" w:hAnsi="Times New Roman" w:eastAsia="宋体" w:cs="Times New Roman"/>
          <w:b/>
          <w:color w:val="auto"/>
          <w:spacing w:val="0"/>
          <w:szCs w:val="24"/>
          <w:highlight w:val="none"/>
        </w:rPr>
        <w:t>（四）乙方因资质变更、被收购、兼并或破产等原因致使其无法继续提供服务</w:t>
      </w:r>
    </w:p>
    <w:p w14:paraId="34E991CC">
      <w:pPr>
        <w:keepNext w:val="0"/>
        <w:keepLines w:val="0"/>
        <w:pageBreakBefore w:val="0"/>
        <w:kinsoku/>
        <w:wordWrap/>
        <w:overflowPunct/>
        <w:topLinePunct w:val="0"/>
        <w:autoSpaceDE w:val="0"/>
        <w:autoSpaceDN w:val="0"/>
        <w:bidi w:val="0"/>
        <w:spacing w:line="360" w:lineRule="auto"/>
        <w:ind w:firstLine="559" w:firstLineChars="233"/>
        <w:outlineLvl w:val="9"/>
        <w:rPr>
          <w:rFonts w:hint="default" w:ascii="Times New Roman" w:hAnsi="Times New Roman" w:eastAsia="宋体" w:cs="Times New Roman"/>
          <w:color w:val="auto"/>
          <w:spacing w:val="0"/>
          <w:szCs w:val="24"/>
          <w:highlight w:val="none"/>
        </w:rPr>
      </w:pPr>
      <w:r>
        <w:rPr>
          <w:rFonts w:hint="default" w:ascii="Times New Roman" w:hAnsi="Times New Roman" w:eastAsia="宋体" w:cs="Times New Roman"/>
          <w:color w:val="auto"/>
          <w:spacing w:val="0"/>
          <w:szCs w:val="24"/>
          <w:highlight w:val="none"/>
        </w:rPr>
        <w:t>1.影响程度：外包服务完全中断</w:t>
      </w:r>
    </w:p>
    <w:p w14:paraId="7BED6AFC">
      <w:pPr>
        <w:keepNext w:val="0"/>
        <w:keepLines w:val="0"/>
        <w:pageBreakBefore w:val="0"/>
        <w:kinsoku/>
        <w:wordWrap/>
        <w:overflowPunct/>
        <w:topLinePunct w:val="0"/>
        <w:autoSpaceDE w:val="0"/>
        <w:autoSpaceDN w:val="0"/>
        <w:bidi w:val="0"/>
        <w:spacing w:line="360" w:lineRule="auto"/>
        <w:ind w:firstLine="559" w:firstLineChars="233"/>
        <w:outlineLvl w:val="9"/>
        <w:rPr>
          <w:rFonts w:hint="default" w:ascii="Times New Roman" w:hAnsi="Times New Roman" w:eastAsia="宋体" w:cs="Times New Roman"/>
          <w:color w:val="auto"/>
          <w:spacing w:val="0"/>
          <w:szCs w:val="24"/>
          <w:highlight w:val="none"/>
        </w:rPr>
      </w:pPr>
      <w:r>
        <w:rPr>
          <w:rFonts w:hint="default" w:ascii="Times New Roman" w:hAnsi="Times New Roman" w:eastAsia="宋体" w:cs="Times New Roman"/>
          <w:color w:val="auto"/>
          <w:spacing w:val="0"/>
          <w:szCs w:val="24"/>
          <w:highlight w:val="none"/>
        </w:rPr>
        <w:t>2.规避措施：</w:t>
      </w:r>
    </w:p>
    <w:p w14:paraId="184F4FA7">
      <w:pPr>
        <w:keepNext w:val="0"/>
        <w:keepLines w:val="0"/>
        <w:pageBreakBefore w:val="0"/>
        <w:kinsoku/>
        <w:wordWrap/>
        <w:overflowPunct/>
        <w:topLinePunct w:val="0"/>
        <w:autoSpaceDE w:val="0"/>
        <w:autoSpaceDN w:val="0"/>
        <w:bidi w:val="0"/>
        <w:spacing w:line="360" w:lineRule="auto"/>
        <w:ind w:firstLine="559" w:firstLineChars="233"/>
        <w:outlineLvl w:val="9"/>
        <w:rPr>
          <w:rFonts w:hint="default" w:ascii="Times New Roman" w:hAnsi="Times New Roman" w:eastAsia="宋体" w:cs="Times New Roman"/>
          <w:color w:val="auto"/>
          <w:spacing w:val="0"/>
          <w:szCs w:val="24"/>
          <w:highlight w:val="none"/>
        </w:rPr>
      </w:pPr>
      <w:r>
        <w:rPr>
          <w:rFonts w:hint="default" w:ascii="Times New Roman" w:hAnsi="Times New Roman" w:eastAsia="宋体" w:cs="Times New Roman"/>
          <w:color w:val="auto"/>
          <w:spacing w:val="0"/>
          <w:szCs w:val="24"/>
          <w:highlight w:val="none"/>
        </w:rPr>
        <w:t>1）如遇类似事件乙方提前20个工作日通知甲方项目经理；</w:t>
      </w:r>
    </w:p>
    <w:p w14:paraId="487E1A4F">
      <w:pPr>
        <w:keepNext w:val="0"/>
        <w:keepLines w:val="0"/>
        <w:pageBreakBefore w:val="0"/>
        <w:kinsoku/>
        <w:wordWrap/>
        <w:overflowPunct/>
        <w:topLinePunct w:val="0"/>
        <w:autoSpaceDE w:val="0"/>
        <w:autoSpaceDN w:val="0"/>
        <w:bidi w:val="0"/>
        <w:spacing w:line="360" w:lineRule="auto"/>
        <w:ind w:firstLine="559" w:firstLineChars="233"/>
        <w:outlineLvl w:val="9"/>
        <w:rPr>
          <w:rFonts w:hint="default" w:ascii="Times New Roman" w:hAnsi="Times New Roman" w:eastAsia="宋体" w:cs="Times New Roman"/>
          <w:color w:val="auto"/>
          <w:spacing w:val="0"/>
          <w:szCs w:val="24"/>
          <w:highlight w:val="none"/>
        </w:rPr>
      </w:pPr>
      <w:r>
        <w:rPr>
          <w:rFonts w:hint="default" w:ascii="Times New Roman" w:hAnsi="Times New Roman" w:eastAsia="宋体" w:cs="Times New Roman"/>
          <w:color w:val="auto"/>
          <w:spacing w:val="0"/>
          <w:szCs w:val="24"/>
          <w:highlight w:val="none"/>
        </w:rPr>
        <w:t>2）根据开发合同约定提前与甲方进行沟通协商，做好代码、文档、服务等交接工作，减少对甲方的影响；</w:t>
      </w:r>
    </w:p>
    <w:p w14:paraId="6CAE9AEF">
      <w:pPr>
        <w:keepNext w:val="0"/>
        <w:keepLines w:val="0"/>
        <w:pageBreakBefore w:val="0"/>
        <w:kinsoku/>
        <w:wordWrap/>
        <w:overflowPunct/>
        <w:topLinePunct w:val="0"/>
        <w:autoSpaceDE w:val="0"/>
        <w:autoSpaceDN w:val="0"/>
        <w:bidi w:val="0"/>
        <w:spacing w:line="360" w:lineRule="auto"/>
        <w:ind w:firstLine="559" w:firstLineChars="233"/>
        <w:outlineLvl w:val="9"/>
        <w:rPr>
          <w:rFonts w:hint="default" w:ascii="Times New Roman" w:hAnsi="Times New Roman" w:eastAsia="宋体" w:cs="Times New Roman"/>
          <w:color w:val="auto"/>
          <w:spacing w:val="0"/>
          <w:szCs w:val="24"/>
          <w:highlight w:val="none"/>
        </w:rPr>
      </w:pPr>
      <w:r>
        <w:rPr>
          <w:rFonts w:hint="default" w:ascii="Times New Roman" w:hAnsi="Times New Roman" w:eastAsia="宋体" w:cs="Times New Roman"/>
          <w:color w:val="auto"/>
          <w:spacing w:val="0"/>
          <w:szCs w:val="24"/>
          <w:highlight w:val="none"/>
        </w:rPr>
        <w:t>3）乙方保证提前沟通协调人力资源，于15个工作日内提交所有阶段性项目文档，并完成甲方认可的所有工作交接和知识转移，包括不限于对替代供应商进行培训。因乙方原因造成甲方损失的，乙方在双方协商后做出赔偿；</w:t>
      </w:r>
    </w:p>
    <w:p w14:paraId="625E8C39">
      <w:pPr>
        <w:keepNext w:val="0"/>
        <w:keepLines w:val="0"/>
        <w:pageBreakBefore w:val="0"/>
        <w:kinsoku/>
        <w:wordWrap/>
        <w:overflowPunct/>
        <w:topLinePunct w:val="0"/>
        <w:autoSpaceDE w:val="0"/>
        <w:autoSpaceDN w:val="0"/>
        <w:bidi w:val="0"/>
        <w:spacing w:line="360" w:lineRule="auto"/>
        <w:ind w:firstLine="559" w:firstLineChars="233"/>
        <w:outlineLvl w:val="9"/>
        <w:rPr>
          <w:rFonts w:hint="default" w:ascii="Times New Roman" w:hAnsi="Times New Roman" w:eastAsia="宋体" w:cs="Times New Roman"/>
          <w:color w:val="auto"/>
          <w:spacing w:val="0"/>
          <w:szCs w:val="24"/>
          <w:highlight w:val="none"/>
        </w:rPr>
      </w:pPr>
      <w:r>
        <w:rPr>
          <w:rFonts w:hint="default" w:ascii="Times New Roman" w:hAnsi="Times New Roman" w:eastAsia="宋体" w:cs="Times New Roman"/>
          <w:color w:val="auto"/>
          <w:spacing w:val="0"/>
          <w:szCs w:val="24"/>
          <w:highlight w:val="none"/>
        </w:rPr>
        <w:t>4）允许推荐项目成员到与甲方合作良好的其他供应商任职或由甲方直接聘用。</w:t>
      </w:r>
    </w:p>
    <w:p w14:paraId="54B924CC">
      <w:pPr>
        <w:keepNext w:val="0"/>
        <w:keepLines w:val="0"/>
        <w:pageBreakBefore w:val="0"/>
        <w:kinsoku/>
        <w:wordWrap/>
        <w:overflowPunct/>
        <w:topLinePunct w:val="0"/>
        <w:autoSpaceDE w:val="0"/>
        <w:autoSpaceDN w:val="0"/>
        <w:bidi w:val="0"/>
        <w:ind w:firstLine="482" w:firstLineChars="200"/>
        <w:outlineLvl w:val="9"/>
        <w:rPr>
          <w:rFonts w:hint="default" w:ascii="Times New Roman" w:hAnsi="Times New Roman" w:eastAsia="宋体" w:cs="Times New Roman"/>
          <w:b/>
          <w:color w:val="auto"/>
          <w:spacing w:val="0"/>
          <w:szCs w:val="24"/>
          <w:highlight w:val="none"/>
        </w:rPr>
      </w:pPr>
      <w:r>
        <w:rPr>
          <w:rFonts w:hint="default" w:ascii="Times New Roman" w:hAnsi="Times New Roman" w:eastAsia="宋体" w:cs="Times New Roman"/>
          <w:b/>
          <w:color w:val="auto"/>
          <w:spacing w:val="0"/>
          <w:szCs w:val="24"/>
          <w:highlight w:val="none"/>
        </w:rPr>
        <w:t>（五）乙方因不可抗力导致其主动退出（国家相关法律法规调整、遭受大规模自然灾害等）</w:t>
      </w:r>
    </w:p>
    <w:p w14:paraId="6A48679F">
      <w:pPr>
        <w:keepNext w:val="0"/>
        <w:keepLines w:val="0"/>
        <w:pageBreakBefore w:val="0"/>
        <w:kinsoku/>
        <w:wordWrap/>
        <w:overflowPunct/>
        <w:topLinePunct w:val="0"/>
        <w:autoSpaceDE w:val="0"/>
        <w:autoSpaceDN w:val="0"/>
        <w:bidi w:val="0"/>
        <w:spacing w:line="360" w:lineRule="auto"/>
        <w:ind w:firstLine="559" w:firstLineChars="233"/>
        <w:outlineLvl w:val="9"/>
        <w:rPr>
          <w:rFonts w:hint="default" w:ascii="Times New Roman" w:hAnsi="Times New Roman" w:eastAsia="宋体" w:cs="Times New Roman"/>
          <w:color w:val="auto"/>
          <w:spacing w:val="0"/>
          <w:szCs w:val="24"/>
          <w:highlight w:val="none"/>
        </w:rPr>
      </w:pPr>
      <w:r>
        <w:rPr>
          <w:rFonts w:hint="default" w:ascii="Times New Roman" w:hAnsi="Times New Roman" w:eastAsia="宋体" w:cs="Times New Roman"/>
          <w:color w:val="auto"/>
          <w:spacing w:val="0"/>
          <w:szCs w:val="24"/>
          <w:highlight w:val="none"/>
        </w:rPr>
        <w:t>1.影响程度：外包服务完全中断</w:t>
      </w:r>
    </w:p>
    <w:p w14:paraId="75CE2716">
      <w:pPr>
        <w:keepNext w:val="0"/>
        <w:keepLines w:val="0"/>
        <w:pageBreakBefore w:val="0"/>
        <w:kinsoku/>
        <w:wordWrap/>
        <w:overflowPunct/>
        <w:topLinePunct w:val="0"/>
        <w:autoSpaceDE w:val="0"/>
        <w:autoSpaceDN w:val="0"/>
        <w:bidi w:val="0"/>
        <w:spacing w:line="360" w:lineRule="auto"/>
        <w:ind w:firstLine="559" w:firstLineChars="233"/>
        <w:outlineLvl w:val="9"/>
        <w:rPr>
          <w:rFonts w:hint="default" w:ascii="Times New Roman" w:hAnsi="Times New Roman" w:eastAsia="宋体" w:cs="Times New Roman"/>
          <w:color w:val="auto"/>
          <w:spacing w:val="0"/>
          <w:szCs w:val="24"/>
          <w:highlight w:val="none"/>
        </w:rPr>
      </w:pPr>
      <w:r>
        <w:rPr>
          <w:rFonts w:hint="default" w:ascii="Times New Roman" w:hAnsi="Times New Roman" w:eastAsia="宋体" w:cs="Times New Roman"/>
          <w:color w:val="auto"/>
          <w:spacing w:val="0"/>
          <w:szCs w:val="24"/>
          <w:highlight w:val="none"/>
        </w:rPr>
        <w:t>2.规避措施：</w:t>
      </w:r>
    </w:p>
    <w:p w14:paraId="50FC5673">
      <w:pPr>
        <w:keepNext w:val="0"/>
        <w:keepLines w:val="0"/>
        <w:pageBreakBefore w:val="0"/>
        <w:kinsoku/>
        <w:wordWrap/>
        <w:overflowPunct/>
        <w:topLinePunct w:val="0"/>
        <w:autoSpaceDE w:val="0"/>
        <w:autoSpaceDN w:val="0"/>
        <w:bidi w:val="0"/>
        <w:spacing w:line="360" w:lineRule="auto"/>
        <w:ind w:firstLine="559" w:firstLineChars="233"/>
        <w:outlineLvl w:val="9"/>
        <w:rPr>
          <w:rFonts w:hint="default" w:ascii="Times New Roman" w:hAnsi="Times New Roman" w:eastAsia="宋体" w:cs="Times New Roman"/>
          <w:color w:val="auto"/>
          <w:spacing w:val="0"/>
          <w:szCs w:val="24"/>
          <w:highlight w:val="none"/>
        </w:rPr>
      </w:pPr>
      <w:r>
        <w:rPr>
          <w:rFonts w:hint="default" w:ascii="Times New Roman" w:hAnsi="Times New Roman" w:eastAsia="宋体" w:cs="Times New Roman"/>
          <w:color w:val="auto"/>
          <w:spacing w:val="0"/>
          <w:szCs w:val="24"/>
          <w:highlight w:val="none"/>
        </w:rPr>
        <w:t>1）如遇类似事件乙方应立即通知甲方项目经理。</w:t>
      </w:r>
    </w:p>
    <w:p w14:paraId="3C829965">
      <w:pPr>
        <w:keepNext w:val="0"/>
        <w:keepLines w:val="0"/>
        <w:pageBreakBefore w:val="0"/>
        <w:kinsoku/>
        <w:wordWrap/>
        <w:overflowPunct/>
        <w:topLinePunct w:val="0"/>
        <w:autoSpaceDE w:val="0"/>
        <w:autoSpaceDN w:val="0"/>
        <w:bidi w:val="0"/>
        <w:spacing w:line="360" w:lineRule="auto"/>
        <w:ind w:firstLine="559" w:firstLineChars="233"/>
        <w:outlineLvl w:val="9"/>
        <w:rPr>
          <w:rFonts w:hint="default" w:ascii="Times New Roman" w:hAnsi="Times New Roman" w:eastAsia="宋体" w:cs="Times New Roman"/>
          <w:color w:val="auto"/>
          <w:spacing w:val="0"/>
          <w:szCs w:val="24"/>
          <w:highlight w:val="none"/>
        </w:rPr>
      </w:pPr>
      <w:r>
        <w:rPr>
          <w:rFonts w:hint="default" w:ascii="Times New Roman" w:hAnsi="Times New Roman" w:eastAsia="宋体" w:cs="Times New Roman"/>
          <w:color w:val="auto"/>
          <w:spacing w:val="0"/>
          <w:szCs w:val="24"/>
          <w:highlight w:val="none"/>
        </w:rPr>
        <w:t>2）乙方与甲方及时进行协商，得出一致性解决方案，于15个工作日内提交所有阶段性项目文档，并完成甲方认可的所有工作交接和知识转移，降低突发事件的影响；</w:t>
      </w:r>
    </w:p>
    <w:p w14:paraId="006E7733">
      <w:pPr>
        <w:keepNext w:val="0"/>
        <w:keepLines w:val="0"/>
        <w:pageBreakBefore w:val="0"/>
        <w:kinsoku/>
        <w:wordWrap/>
        <w:overflowPunct/>
        <w:topLinePunct w:val="0"/>
        <w:autoSpaceDE w:val="0"/>
        <w:autoSpaceDN w:val="0"/>
        <w:bidi w:val="0"/>
        <w:spacing w:line="360" w:lineRule="auto"/>
        <w:ind w:firstLine="559" w:firstLineChars="233"/>
        <w:outlineLvl w:val="9"/>
        <w:rPr>
          <w:rFonts w:hint="default" w:ascii="Times New Roman" w:hAnsi="Times New Roman" w:eastAsia="宋体" w:cs="Times New Roman"/>
          <w:color w:val="auto"/>
          <w:spacing w:val="0"/>
          <w:szCs w:val="24"/>
          <w:highlight w:val="none"/>
        </w:rPr>
      </w:pPr>
      <w:r>
        <w:rPr>
          <w:rFonts w:hint="default" w:ascii="Times New Roman" w:hAnsi="Times New Roman" w:eastAsia="宋体" w:cs="Times New Roman"/>
          <w:color w:val="auto"/>
          <w:spacing w:val="0"/>
          <w:szCs w:val="24"/>
          <w:highlight w:val="none"/>
        </w:rPr>
        <w:t>3）允许推荐项目成员到与甲方合作良好的其他供应商任职或由甲方直接聘用。因乙方原因造成甲方损失的，乙方在双方协商后做出赔偿。</w:t>
      </w:r>
    </w:p>
    <w:p w14:paraId="6E31B33F">
      <w:pPr>
        <w:keepNext w:val="0"/>
        <w:keepLines w:val="0"/>
        <w:pageBreakBefore w:val="0"/>
        <w:kinsoku/>
        <w:wordWrap/>
        <w:overflowPunct/>
        <w:topLinePunct w:val="0"/>
        <w:autoSpaceDE w:val="0"/>
        <w:autoSpaceDN w:val="0"/>
        <w:bidi w:val="0"/>
        <w:ind w:firstLine="482" w:firstLineChars="200"/>
        <w:outlineLvl w:val="9"/>
        <w:rPr>
          <w:rFonts w:hint="default" w:ascii="Times New Roman" w:hAnsi="Times New Roman" w:eastAsia="宋体" w:cs="Times New Roman"/>
          <w:color w:val="auto"/>
          <w:spacing w:val="0"/>
          <w:szCs w:val="24"/>
          <w:highlight w:val="none"/>
        </w:rPr>
      </w:pPr>
      <w:r>
        <w:rPr>
          <w:rFonts w:hint="default" w:ascii="Times New Roman" w:hAnsi="Times New Roman" w:eastAsia="宋体" w:cs="Times New Roman"/>
          <w:b/>
          <w:color w:val="auto"/>
          <w:spacing w:val="0"/>
          <w:szCs w:val="24"/>
          <w:highlight w:val="none"/>
        </w:rPr>
        <w:t>四、应急处理阶段</w:t>
      </w:r>
    </w:p>
    <w:p w14:paraId="1BE26BAD">
      <w:pPr>
        <w:keepNext w:val="0"/>
        <w:keepLines w:val="0"/>
        <w:pageBreakBefore w:val="0"/>
        <w:kinsoku/>
        <w:wordWrap/>
        <w:overflowPunct/>
        <w:topLinePunct w:val="0"/>
        <w:autoSpaceDE w:val="0"/>
        <w:autoSpaceDN w:val="0"/>
        <w:bidi w:val="0"/>
        <w:ind w:firstLine="482" w:firstLineChars="200"/>
        <w:outlineLvl w:val="9"/>
        <w:rPr>
          <w:rFonts w:hint="default" w:ascii="Times New Roman" w:hAnsi="Times New Roman" w:eastAsia="宋体" w:cs="Times New Roman"/>
          <w:b/>
          <w:color w:val="auto"/>
          <w:spacing w:val="0"/>
          <w:szCs w:val="24"/>
          <w:highlight w:val="none"/>
        </w:rPr>
      </w:pPr>
      <w:r>
        <w:rPr>
          <w:rFonts w:hint="default" w:ascii="Times New Roman" w:hAnsi="Times New Roman" w:eastAsia="宋体" w:cs="Times New Roman"/>
          <w:b/>
          <w:color w:val="auto"/>
          <w:spacing w:val="0"/>
          <w:szCs w:val="24"/>
          <w:highlight w:val="none"/>
        </w:rPr>
        <w:t>（一）项目实施过程中应急服务</w:t>
      </w:r>
    </w:p>
    <w:p w14:paraId="0E2395B7">
      <w:pPr>
        <w:keepNext w:val="0"/>
        <w:keepLines w:val="0"/>
        <w:pageBreakBefore w:val="0"/>
        <w:kinsoku/>
        <w:wordWrap/>
        <w:overflowPunct/>
        <w:topLinePunct w:val="0"/>
        <w:autoSpaceDE w:val="0"/>
        <w:autoSpaceDN w:val="0"/>
        <w:bidi w:val="0"/>
        <w:spacing w:line="360" w:lineRule="auto"/>
        <w:ind w:firstLine="559" w:firstLineChars="233"/>
        <w:outlineLvl w:val="9"/>
        <w:rPr>
          <w:rFonts w:hint="default" w:ascii="Times New Roman" w:hAnsi="Times New Roman" w:eastAsia="宋体" w:cs="Times New Roman"/>
          <w:color w:val="auto"/>
          <w:spacing w:val="0"/>
          <w:szCs w:val="24"/>
          <w:highlight w:val="none"/>
        </w:rPr>
      </w:pPr>
      <w:r>
        <w:rPr>
          <w:rFonts w:hint="default" w:ascii="Times New Roman" w:hAnsi="Times New Roman" w:eastAsia="宋体" w:cs="Times New Roman"/>
          <w:color w:val="auto"/>
          <w:spacing w:val="0"/>
          <w:szCs w:val="24"/>
          <w:highlight w:val="none"/>
        </w:rPr>
        <w:t>乙方应急小组进行突发事件业务影响情况的分析和评估，应急领导小组根据事态发展情况提出应急事件处理方案，并进行应急任务的分配和人员及应急资源的调度工作，保证在最短时间内完成项目现场的应急行动，并向甲方及时反馈后续事件的处理。</w:t>
      </w:r>
    </w:p>
    <w:p w14:paraId="6B975490">
      <w:pPr>
        <w:keepNext w:val="0"/>
        <w:keepLines w:val="0"/>
        <w:pageBreakBefore w:val="0"/>
        <w:kinsoku/>
        <w:wordWrap/>
        <w:overflowPunct/>
        <w:topLinePunct w:val="0"/>
        <w:autoSpaceDE w:val="0"/>
        <w:autoSpaceDN w:val="0"/>
        <w:bidi w:val="0"/>
        <w:spacing w:line="360" w:lineRule="auto"/>
        <w:ind w:firstLine="559" w:firstLineChars="233"/>
        <w:outlineLvl w:val="9"/>
        <w:rPr>
          <w:rFonts w:hint="default" w:ascii="Times New Roman" w:hAnsi="Times New Roman" w:eastAsia="宋体" w:cs="Times New Roman"/>
          <w:color w:val="auto"/>
          <w:spacing w:val="0"/>
          <w:szCs w:val="24"/>
          <w:highlight w:val="none"/>
        </w:rPr>
      </w:pPr>
      <w:r>
        <w:rPr>
          <w:rFonts w:hint="default" w:ascii="Times New Roman" w:hAnsi="Times New Roman" w:eastAsia="宋体" w:cs="Times New Roman"/>
          <w:color w:val="auto"/>
          <w:spacing w:val="0"/>
          <w:szCs w:val="24"/>
          <w:highlight w:val="none"/>
        </w:rPr>
        <w:t>在应急事件处理完毕后，由乙方应急小组对事件发生原因、性质、影响、后果、责任及应急处置能力、恢复重建等问题进行全面调查评估，总结经验教训，完善应急处理预案，整改项目服务过程中存在的隐患问题。</w:t>
      </w:r>
    </w:p>
    <w:p w14:paraId="08A5EF43">
      <w:pPr>
        <w:keepNext w:val="0"/>
        <w:keepLines w:val="0"/>
        <w:pageBreakBefore w:val="0"/>
        <w:kinsoku/>
        <w:wordWrap/>
        <w:overflowPunct/>
        <w:topLinePunct w:val="0"/>
        <w:autoSpaceDE w:val="0"/>
        <w:autoSpaceDN w:val="0"/>
        <w:bidi w:val="0"/>
        <w:ind w:firstLine="482" w:firstLineChars="200"/>
        <w:outlineLvl w:val="9"/>
        <w:rPr>
          <w:rFonts w:hint="default" w:ascii="Times New Roman" w:hAnsi="Times New Roman" w:eastAsia="宋体" w:cs="Times New Roman"/>
          <w:b/>
          <w:color w:val="auto"/>
          <w:spacing w:val="0"/>
          <w:szCs w:val="24"/>
          <w:highlight w:val="none"/>
        </w:rPr>
      </w:pPr>
      <w:r>
        <w:rPr>
          <w:rFonts w:hint="default" w:ascii="Times New Roman" w:hAnsi="Times New Roman" w:eastAsia="宋体" w:cs="Times New Roman"/>
          <w:b/>
          <w:color w:val="auto"/>
          <w:spacing w:val="0"/>
          <w:szCs w:val="24"/>
          <w:highlight w:val="none"/>
        </w:rPr>
        <w:t>（二）系统上线后应急服务</w:t>
      </w:r>
    </w:p>
    <w:p w14:paraId="36913812">
      <w:pPr>
        <w:keepNext w:val="0"/>
        <w:keepLines w:val="0"/>
        <w:pageBreakBefore w:val="0"/>
        <w:kinsoku/>
        <w:wordWrap/>
        <w:overflowPunct/>
        <w:topLinePunct w:val="0"/>
        <w:autoSpaceDE w:val="0"/>
        <w:autoSpaceDN w:val="0"/>
        <w:bidi w:val="0"/>
        <w:spacing w:line="360" w:lineRule="auto"/>
        <w:ind w:firstLine="559" w:firstLineChars="233"/>
        <w:outlineLvl w:val="9"/>
        <w:rPr>
          <w:rFonts w:hint="default" w:ascii="Times New Roman" w:hAnsi="Times New Roman" w:eastAsia="宋体" w:cs="Times New Roman"/>
          <w:color w:val="auto"/>
          <w:spacing w:val="0"/>
          <w:szCs w:val="24"/>
          <w:highlight w:val="none"/>
        </w:rPr>
      </w:pPr>
      <w:r>
        <w:rPr>
          <w:rFonts w:hint="default" w:ascii="Times New Roman" w:hAnsi="Times New Roman" w:eastAsia="宋体" w:cs="Times New Roman"/>
          <w:color w:val="auto"/>
          <w:spacing w:val="0"/>
          <w:szCs w:val="24"/>
          <w:highlight w:val="none"/>
        </w:rPr>
        <w:t>甲方可以通过拨打乙方服务团队技术支持热线电话或发送邮件的方式，向乙方专业技术人员咨询应用系统的有关问题、报告故障信息、获得排除系统运行故障的方法或指导。乙方开发人员及联系方式如下：</w:t>
      </w:r>
    </w:p>
    <w:p w14:paraId="540CD5D1">
      <w:pPr>
        <w:keepNext w:val="0"/>
        <w:keepLines w:val="0"/>
        <w:pageBreakBefore w:val="0"/>
        <w:kinsoku/>
        <w:wordWrap/>
        <w:overflowPunct/>
        <w:topLinePunct w:val="0"/>
        <w:autoSpaceDE w:val="0"/>
        <w:autoSpaceDN w:val="0"/>
        <w:bidi w:val="0"/>
        <w:spacing w:line="360" w:lineRule="auto"/>
        <w:ind w:firstLine="559" w:firstLineChars="233"/>
        <w:outlineLvl w:val="9"/>
        <w:rPr>
          <w:rFonts w:hint="default" w:ascii="Times New Roman" w:hAnsi="Times New Roman" w:eastAsia="宋体" w:cs="Times New Roman"/>
          <w:color w:val="auto"/>
          <w:spacing w:val="0"/>
          <w:szCs w:val="24"/>
          <w:highlight w:val="none"/>
        </w:rPr>
      </w:pPr>
      <w:r>
        <w:rPr>
          <w:rFonts w:hint="default" w:ascii="Times New Roman" w:hAnsi="Times New Roman" w:eastAsia="宋体" w:cs="Times New Roman"/>
          <w:color w:val="auto"/>
          <w:spacing w:val="0"/>
          <w:szCs w:val="24"/>
          <w:highlight w:val="none"/>
        </w:rPr>
        <w:t>姓名:        手机号码：        邮箱：</w:t>
      </w:r>
    </w:p>
    <w:p w14:paraId="59BC6DBA">
      <w:pPr>
        <w:keepNext w:val="0"/>
        <w:keepLines w:val="0"/>
        <w:pageBreakBefore w:val="0"/>
        <w:kinsoku/>
        <w:wordWrap/>
        <w:overflowPunct/>
        <w:topLinePunct w:val="0"/>
        <w:autoSpaceDE w:val="0"/>
        <w:autoSpaceDN w:val="0"/>
        <w:bidi w:val="0"/>
        <w:spacing w:line="360" w:lineRule="auto"/>
        <w:ind w:firstLine="559" w:firstLineChars="233"/>
        <w:outlineLvl w:val="9"/>
        <w:rPr>
          <w:rStyle w:val="49"/>
          <w:rFonts w:ascii="宋体" w:eastAsia="宋体"/>
          <w:color w:val="auto"/>
          <w:spacing w:val="0"/>
          <w:kern w:val="0"/>
          <w:highlight w:val="none"/>
        </w:rPr>
      </w:pPr>
      <w:r>
        <w:rPr>
          <w:rFonts w:hint="default" w:ascii="Times New Roman" w:hAnsi="Times New Roman" w:eastAsia="宋体" w:cs="Times New Roman"/>
          <w:color w:val="auto"/>
          <w:spacing w:val="0"/>
          <w:szCs w:val="24"/>
          <w:highlight w:val="none"/>
        </w:rPr>
        <w:t>姓名:        手机号码：        邮箱：</w:t>
      </w:r>
    </w:p>
    <w:p w14:paraId="1168A90A">
      <w:pPr>
        <w:ind w:firstLine="0" w:firstLineChars="0"/>
        <w:jc w:val="center"/>
        <w:rPr>
          <w:rFonts w:hint="default" w:ascii="Times New Roman" w:hAnsi="Times New Roman" w:cs="Times New Roman"/>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197856E1">
      <w:pPr>
        <w:rPr>
          <w:rFonts w:hint="default" w:ascii="Times New Roman" w:hAnsi="Times New Roman" w:cs="Times New Roman"/>
          <w:color w:val="auto"/>
          <w:highlight w:val="none"/>
        </w:rPr>
      </w:pPr>
    </w:p>
    <w:p w14:paraId="7F4B5A37">
      <w:pPr>
        <w:pStyle w:val="2"/>
        <w:rPr>
          <w:rFonts w:hint="default" w:ascii="Times New Roman" w:hAnsi="Times New Roman" w:cs="Times New Roman"/>
          <w:color w:val="auto"/>
          <w:highlight w:val="none"/>
        </w:rPr>
      </w:pPr>
      <w:bookmarkStart w:id="316" w:name="_Toc17799"/>
      <w:bookmarkStart w:id="317" w:name="_Toc38"/>
      <w:r>
        <w:rPr>
          <w:rFonts w:hint="default" w:ascii="Times New Roman" w:hAnsi="Times New Roman" w:cs="Times New Roman"/>
          <w:color w:val="auto"/>
          <w:highlight w:val="none"/>
        </w:rPr>
        <w:t>第六章 参选文件</w:t>
      </w:r>
      <w:bookmarkEnd w:id="262"/>
      <w:bookmarkEnd w:id="263"/>
      <w:bookmarkStart w:id="318" w:name="_Toc303066035"/>
      <w:r>
        <w:rPr>
          <w:rFonts w:hint="default" w:ascii="Times New Roman" w:hAnsi="Times New Roman" w:cs="Times New Roman"/>
          <w:color w:val="auto"/>
          <w:highlight w:val="none"/>
        </w:rPr>
        <w:t>格式</w:t>
      </w:r>
      <w:bookmarkEnd w:id="316"/>
      <w:bookmarkEnd w:id="317"/>
    </w:p>
    <w:bookmarkEnd w:id="318"/>
    <w:p w14:paraId="77CC0EBD">
      <w:pPr>
        <w:tabs>
          <w:tab w:val="left" w:pos="6516"/>
        </w:tabs>
        <w:adjustRightInd w:val="0"/>
        <w:snapToGrid w:val="0"/>
        <w:spacing w:line="360" w:lineRule="auto"/>
        <w:ind w:firstLine="0" w:firstLineChars="0"/>
        <w:jc w:val="center"/>
        <w:rPr>
          <w:rFonts w:hint="default" w:ascii="Times New Roman" w:hAnsi="Times New Roman" w:cs="Times New Roman"/>
          <w:b/>
          <w:color w:val="auto"/>
          <w:kern w:val="0"/>
          <w:highlight w:val="none"/>
          <w:u w:val="single"/>
        </w:rPr>
      </w:pPr>
    </w:p>
    <w:p w14:paraId="38BB49D8">
      <w:pPr>
        <w:spacing w:line="360" w:lineRule="auto"/>
        <w:ind w:firstLine="0" w:firstLineChars="0"/>
        <w:jc w:val="center"/>
        <w:rPr>
          <w:rFonts w:hint="default" w:ascii="Times New Roman" w:hAnsi="Times New Roman" w:cs="Times New Roman"/>
          <w:b/>
          <w:snapToGrid w:val="0"/>
          <w:color w:val="auto"/>
          <w:kern w:val="0"/>
          <w:sz w:val="48"/>
          <w:szCs w:val="84"/>
          <w:highlight w:val="none"/>
        </w:rPr>
      </w:pPr>
      <w:r>
        <w:rPr>
          <w:rFonts w:hint="default" w:ascii="Times New Roman" w:hAnsi="Times New Roman" w:cs="Times New Roman"/>
          <w:b/>
          <w:snapToGrid w:val="0"/>
          <w:color w:val="auto"/>
          <w:kern w:val="0"/>
          <w:sz w:val="48"/>
          <w:szCs w:val="84"/>
          <w:highlight w:val="none"/>
        </w:rPr>
        <w:t>重庆三峡银行</w:t>
      </w:r>
    </w:p>
    <w:p w14:paraId="19439018">
      <w:pPr>
        <w:tabs>
          <w:tab w:val="left" w:pos="3600"/>
          <w:tab w:val="left" w:pos="4480"/>
          <w:tab w:val="left" w:pos="5360"/>
        </w:tabs>
        <w:adjustRightInd w:val="0"/>
        <w:snapToGrid w:val="0"/>
        <w:spacing w:line="360" w:lineRule="auto"/>
        <w:ind w:firstLine="0" w:firstLineChars="0"/>
        <w:jc w:val="center"/>
        <w:rPr>
          <w:rFonts w:hint="default" w:ascii="Times New Roman" w:hAnsi="Times New Roman" w:cs="Times New Roman"/>
          <w:color w:val="auto"/>
          <w:kern w:val="0"/>
          <w:sz w:val="44"/>
          <w:highlight w:val="none"/>
          <w:u w:val="single"/>
        </w:rPr>
      </w:pPr>
      <w:r>
        <w:rPr>
          <w:rFonts w:hint="default" w:ascii="Times New Roman" w:hAnsi="Times New Roman" w:cs="Times New Roman"/>
          <w:b/>
          <w:snapToGrid w:val="0"/>
          <w:color w:val="auto"/>
          <w:kern w:val="0"/>
          <w:sz w:val="48"/>
          <w:szCs w:val="84"/>
          <w:highlight w:val="none"/>
          <w:u w:val="single"/>
        </w:rPr>
        <w:t xml:space="preserve"> </w:t>
      </w:r>
      <w:r>
        <w:rPr>
          <w:rFonts w:hint="eastAsia" w:ascii="Times New Roman" w:hAnsi="Times New Roman" w:cs="Times New Roman"/>
          <w:b/>
          <w:snapToGrid w:val="0"/>
          <w:color w:val="auto"/>
          <w:kern w:val="0"/>
          <w:sz w:val="48"/>
          <w:szCs w:val="84"/>
          <w:highlight w:val="none"/>
          <w:u w:val="single"/>
          <w:lang w:val="en-US" w:eastAsia="zh-CN"/>
        </w:rPr>
        <w:t>新一代数据中台项目（一期）</w:t>
      </w:r>
    </w:p>
    <w:p w14:paraId="0039BD47">
      <w:pPr>
        <w:tabs>
          <w:tab w:val="left" w:pos="3600"/>
          <w:tab w:val="left" w:pos="4480"/>
          <w:tab w:val="left" w:pos="5360"/>
        </w:tabs>
        <w:adjustRightInd w:val="0"/>
        <w:snapToGrid w:val="0"/>
        <w:spacing w:line="360" w:lineRule="auto"/>
        <w:ind w:firstLine="0" w:firstLineChars="0"/>
        <w:jc w:val="center"/>
        <w:rPr>
          <w:rFonts w:hint="default" w:ascii="Times New Roman" w:hAnsi="Times New Roman" w:cs="Times New Roman"/>
          <w:color w:val="auto"/>
          <w:kern w:val="0"/>
          <w:sz w:val="44"/>
          <w:highlight w:val="none"/>
        </w:rPr>
      </w:pPr>
    </w:p>
    <w:p w14:paraId="68285DD3">
      <w:pPr>
        <w:tabs>
          <w:tab w:val="left" w:pos="3600"/>
          <w:tab w:val="left" w:pos="4480"/>
          <w:tab w:val="left" w:pos="5360"/>
        </w:tabs>
        <w:adjustRightInd w:val="0"/>
        <w:snapToGrid w:val="0"/>
        <w:spacing w:line="360" w:lineRule="auto"/>
        <w:ind w:firstLine="0" w:firstLineChars="0"/>
        <w:jc w:val="center"/>
        <w:rPr>
          <w:rFonts w:hint="default" w:ascii="Times New Roman" w:hAnsi="Times New Roman" w:cs="Times New Roman"/>
          <w:color w:val="auto"/>
          <w:kern w:val="0"/>
          <w:sz w:val="44"/>
          <w:highlight w:val="none"/>
        </w:rPr>
      </w:pPr>
    </w:p>
    <w:p w14:paraId="291C3A4A">
      <w:pPr>
        <w:tabs>
          <w:tab w:val="left" w:pos="3600"/>
          <w:tab w:val="left" w:pos="4480"/>
          <w:tab w:val="left" w:pos="5360"/>
        </w:tabs>
        <w:adjustRightInd w:val="0"/>
        <w:snapToGrid w:val="0"/>
        <w:spacing w:line="360" w:lineRule="auto"/>
        <w:ind w:firstLine="0" w:firstLineChars="0"/>
        <w:jc w:val="center"/>
        <w:rPr>
          <w:rFonts w:hint="default" w:ascii="Times New Roman" w:hAnsi="Times New Roman" w:cs="Times New Roman"/>
          <w:b/>
          <w:color w:val="auto"/>
          <w:kern w:val="0"/>
          <w:sz w:val="84"/>
          <w:highlight w:val="none"/>
        </w:rPr>
      </w:pPr>
      <w:r>
        <w:rPr>
          <w:rFonts w:hint="default" w:ascii="Times New Roman" w:hAnsi="Times New Roman" w:cs="Times New Roman"/>
          <w:b/>
          <w:color w:val="auto"/>
          <w:kern w:val="0"/>
          <w:sz w:val="84"/>
          <w:highlight w:val="none"/>
        </w:rPr>
        <w:t>参  选  文  件</w:t>
      </w:r>
    </w:p>
    <w:p w14:paraId="64776FFF">
      <w:pPr>
        <w:adjustRightInd w:val="0"/>
        <w:snapToGrid w:val="0"/>
        <w:spacing w:line="360" w:lineRule="auto"/>
        <w:ind w:firstLine="0" w:firstLineChars="0"/>
        <w:jc w:val="center"/>
        <w:rPr>
          <w:rFonts w:hint="default" w:ascii="Times New Roman" w:hAnsi="Times New Roman" w:cs="Times New Roman"/>
          <w:color w:val="auto"/>
          <w:kern w:val="0"/>
          <w:sz w:val="16"/>
          <w:highlight w:val="none"/>
        </w:rPr>
      </w:pPr>
    </w:p>
    <w:p w14:paraId="46676523">
      <w:pPr>
        <w:adjustRightInd w:val="0"/>
        <w:snapToGrid w:val="0"/>
        <w:spacing w:line="360" w:lineRule="auto"/>
        <w:ind w:firstLine="0" w:firstLineChars="0"/>
        <w:jc w:val="center"/>
        <w:rPr>
          <w:rFonts w:hint="default" w:ascii="Times New Roman" w:hAnsi="Times New Roman" w:cs="Times New Roman"/>
          <w:b/>
          <w:color w:val="auto"/>
          <w:kern w:val="0"/>
          <w:sz w:val="20"/>
          <w:highlight w:val="none"/>
        </w:rPr>
      </w:pPr>
    </w:p>
    <w:p w14:paraId="00D1FA93">
      <w:pPr>
        <w:adjustRightInd w:val="0"/>
        <w:snapToGrid w:val="0"/>
        <w:spacing w:line="360" w:lineRule="auto"/>
        <w:ind w:firstLine="0" w:firstLineChars="0"/>
        <w:jc w:val="center"/>
        <w:rPr>
          <w:rFonts w:hint="default" w:ascii="Times New Roman" w:hAnsi="Times New Roman" w:cs="Times New Roman"/>
          <w:b/>
          <w:color w:val="auto"/>
          <w:kern w:val="0"/>
          <w:sz w:val="20"/>
          <w:highlight w:val="none"/>
        </w:rPr>
      </w:pPr>
    </w:p>
    <w:p w14:paraId="594328A8">
      <w:pPr>
        <w:adjustRightInd w:val="0"/>
        <w:snapToGrid w:val="0"/>
        <w:spacing w:line="360" w:lineRule="auto"/>
        <w:ind w:firstLine="0" w:firstLineChars="0"/>
        <w:jc w:val="center"/>
        <w:rPr>
          <w:rFonts w:hint="default" w:ascii="Times New Roman" w:hAnsi="Times New Roman" w:cs="Times New Roman"/>
          <w:b/>
          <w:color w:val="auto"/>
          <w:kern w:val="0"/>
          <w:sz w:val="20"/>
          <w:highlight w:val="none"/>
        </w:rPr>
      </w:pPr>
    </w:p>
    <w:p w14:paraId="0A71F991">
      <w:pPr>
        <w:adjustRightInd w:val="0"/>
        <w:snapToGrid w:val="0"/>
        <w:spacing w:line="360" w:lineRule="auto"/>
        <w:ind w:firstLine="0" w:firstLineChars="0"/>
        <w:jc w:val="center"/>
        <w:rPr>
          <w:rFonts w:hint="default" w:ascii="Times New Roman" w:hAnsi="Times New Roman" w:cs="Times New Roman"/>
          <w:b/>
          <w:color w:val="auto"/>
          <w:kern w:val="0"/>
          <w:sz w:val="20"/>
          <w:highlight w:val="none"/>
        </w:rPr>
      </w:pPr>
    </w:p>
    <w:p w14:paraId="36FBBA99">
      <w:pPr>
        <w:adjustRightInd w:val="0"/>
        <w:snapToGrid w:val="0"/>
        <w:spacing w:line="360" w:lineRule="auto"/>
        <w:ind w:firstLine="0" w:firstLineChars="0"/>
        <w:jc w:val="center"/>
        <w:rPr>
          <w:rFonts w:hint="default" w:ascii="Times New Roman" w:hAnsi="Times New Roman" w:cs="Times New Roman"/>
          <w:b/>
          <w:color w:val="auto"/>
          <w:kern w:val="0"/>
          <w:sz w:val="20"/>
          <w:highlight w:val="none"/>
        </w:rPr>
      </w:pPr>
    </w:p>
    <w:p w14:paraId="3E5E9148">
      <w:pPr>
        <w:adjustRightInd w:val="0"/>
        <w:snapToGrid w:val="0"/>
        <w:spacing w:line="360" w:lineRule="auto"/>
        <w:ind w:firstLine="0" w:firstLineChars="0"/>
        <w:jc w:val="center"/>
        <w:rPr>
          <w:rFonts w:hint="default" w:ascii="Times New Roman" w:hAnsi="Times New Roman" w:cs="Times New Roman"/>
          <w:b/>
          <w:color w:val="auto"/>
          <w:kern w:val="0"/>
          <w:sz w:val="20"/>
          <w:highlight w:val="none"/>
        </w:rPr>
      </w:pPr>
    </w:p>
    <w:p w14:paraId="5A8D1726">
      <w:pPr>
        <w:adjustRightInd w:val="0"/>
        <w:snapToGrid w:val="0"/>
        <w:spacing w:line="360" w:lineRule="auto"/>
        <w:ind w:firstLine="0" w:firstLineChars="0"/>
        <w:jc w:val="center"/>
        <w:rPr>
          <w:rFonts w:hint="default" w:ascii="Times New Roman" w:hAnsi="Times New Roman" w:cs="Times New Roman"/>
          <w:b/>
          <w:color w:val="auto"/>
          <w:kern w:val="0"/>
          <w:sz w:val="20"/>
          <w:highlight w:val="none"/>
        </w:rPr>
      </w:pPr>
    </w:p>
    <w:p w14:paraId="66A46D7E">
      <w:pPr>
        <w:adjustRightInd w:val="0"/>
        <w:snapToGrid w:val="0"/>
        <w:spacing w:line="360" w:lineRule="auto"/>
        <w:ind w:firstLine="0" w:firstLineChars="0"/>
        <w:jc w:val="center"/>
        <w:rPr>
          <w:rFonts w:hint="default" w:ascii="Times New Roman" w:hAnsi="Times New Roman" w:cs="Times New Roman"/>
          <w:b/>
          <w:color w:val="auto"/>
          <w:kern w:val="0"/>
          <w:sz w:val="20"/>
          <w:highlight w:val="none"/>
        </w:rPr>
      </w:pPr>
    </w:p>
    <w:p w14:paraId="61DD855F">
      <w:pPr>
        <w:adjustRightInd w:val="0"/>
        <w:snapToGrid w:val="0"/>
        <w:spacing w:line="360" w:lineRule="auto"/>
        <w:ind w:firstLine="0" w:firstLineChars="0"/>
        <w:jc w:val="center"/>
        <w:rPr>
          <w:rFonts w:hint="default" w:ascii="Times New Roman" w:hAnsi="Times New Roman" w:cs="Times New Roman"/>
          <w:b/>
          <w:color w:val="auto"/>
          <w:kern w:val="0"/>
          <w:sz w:val="20"/>
          <w:highlight w:val="none"/>
        </w:rPr>
      </w:pPr>
    </w:p>
    <w:p w14:paraId="786F061C">
      <w:pPr>
        <w:spacing w:line="360" w:lineRule="auto"/>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参选人：</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（盖单位公章）</w:t>
      </w:r>
    </w:p>
    <w:p w14:paraId="43256921">
      <w:pPr>
        <w:spacing w:line="360" w:lineRule="auto"/>
        <w:ind w:firstLine="0" w:firstLineChars="0"/>
        <w:jc w:val="center"/>
        <w:rPr>
          <w:rFonts w:hint="default" w:ascii="Times New Roman" w:hAnsi="Times New Roman" w:cs="Times New Roman"/>
          <w:color w:val="auto"/>
          <w:highlight w:val="none"/>
        </w:rPr>
      </w:pPr>
      <w:r>
        <w:rPr>
          <w:rFonts w:hint="default" w:ascii="Times New Roman" w:hAnsi="Times New Roman" w:cs="Times New Roman"/>
          <w:snapToGrid w:val="0"/>
          <w:color w:val="auto"/>
          <w:kern w:val="0"/>
          <w:highlight w:val="none"/>
        </w:rPr>
        <w:t>法定代表人</w:t>
      </w:r>
      <w:r>
        <w:rPr>
          <w:rFonts w:hint="default" w:ascii="Times New Roman" w:hAnsi="Times New Roman" w:cs="Times New Roman"/>
          <w:color w:val="auto"/>
          <w:highlight w:val="none"/>
        </w:rPr>
        <w:t>/委托代理人：</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（签字</w:t>
      </w:r>
      <w:r>
        <w:rPr>
          <w:rFonts w:hint="eastAsia" w:ascii="Times New Roman" w:hAnsi="Times New Roman" w:cs="Times New Roman"/>
          <w:color w:val="auto"/>
          <w:highlight w:val="none"/>
          <w:lang w:val="en-US" w:eastAsia="zh-CN"/>
        </w:rPr>
        <w:t>或盖章</w:t>
      </w:r>
      <w:r>
        <w:rPr>
          <w:rFonts w:hint="default" w:ascii="Times New Roman" w:hAnsi="Times New Roman" w:cs="Times New Roman"/>
          <w:color w:val="auto"/>
          <w:highlight w:val="none"/>
        </w:rPr>
        <w:t>）</w:t>
      </w:r>
    </w:p>
    <w:p w14:paraId="60BA9131">
      <w:pPr>
        <w:spacing w:line="360" w:lineRule="auto"/>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年     月     日</w:t>
      </w:r>
    </w:p>
    <w:p w14:paraId="212A4CF2">
      <w:pPr>
        <w:tabs>
          <w:tab w:val="left" w:pos="3280"/>
          <w:tab w:val="left" w:pos="4680"/>
          <w:tab w:val="left" w:pos="6080"/>
        </w:tabs>
        <w:adjustRightInd w:val="0"/>
        <w:snapToGrid w:val="0"/>
        <w:spacing w:line="360" w:lineRule="auto"/>
        <w:ind w:firstLine="0" w:firstLineChars="0"/>
        <w:jc w:val="center"/>
        <w:rPr>
          <w:rFonts w:hint="default" w:ascii="Times New Roman" w:hAnsi="Times New Roman" w:cs="Times New Roman"/>
          <w:b/>
          <w:color w:val="auto"/>
          <w:kern w:val="0"/>
          <w:highlight w:val="none"/>
        </w:rPr>
      </w:pPr>
    </w:p>
    <w:p w14:paraId="21B1DEE4">
      <w:pPr>
        <w:tabs>
          <w:tab w:val="left" w:pos="6300"/>
        </w:tabs>
        <w:snapToGrid w:val="0"/>
        <w:spacing w:line="360" w:lineRule="auto"/>
        <w:ind w:firstLine="0" w:firstLineChars="0"/>
        <w:jc w:val="center"/>
        <w:rPr>
          <w:rFonts w:hint="default" w:ascii="Times New Roman" w:hAnsi="Times New Roman" w:cs="Times New Roman"/>
          <w:snapToGrid w:val="0"/>
          <w:color w:val="auto"/>
          <w:kern w:val="0"/>
          <w:szCs w:val="28"/>
          <w:highlight w:val="none"/>
        </w:rPr>
      </w:pPr>
    </w:p>
    <w:p w14:paraId="02E16C54">
      <w:pPr>
        <w:tabs>
          <w:tab w:val="left" w:pos="6300"/>
        </w:tabs>
        <w:snapToGrid w:val="0"/>
        <w:spacing w:line="360" w:lineRule="auto"/>
        <w:ind w:firstLine="0" w:firstLineChars="0"/>
        <w:jc w:val="center"/>
        <w:rPr>
          <w:rFonts w:hint="default" w:ascii="Times New Roman" w:hAnsi="Times New Roman" w:cs="Times New Roman"/>
          <w:snapToGrid w:val="0"/>
          <w:color w:val="auto"/>
          <w:kern w:val="0"/>
          <w:szCs w:val="28"/>
          <w:highlight w:val="none"/>
        </w:rPr>
      </w:pPr>
    </w:p>
    <w:p w14:paraId="675D701E">
      <w:pPr>
        <w:tabs>
          <w:tab w:val="left" w:pos="6300"/>
        </w:tabs>
        <w:snapToGrid w:val="0"/>
        <w:spacing w:line="360" w:lineRule="auto"/>
        <w:ind w:firstLine="0" w:firstLineChars="0"/>
        <w:jc w:val="center"/>
        <w:rPr>
          <w:rFonts w:hint="default" w:ascii="Times New Roman" w:hAnsi="Times New Roman" w:cs="Times New Roman"/>
          <w:snapToGrid w:val="0"/>
          <w:color w:val="auto"/>
          <w:kern w:val="0"/>
          <w:szCs w:val="28"/>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6CE48639">
      <w:pPr>
        <w:tabs>
          <w:tab w:val="left" w:pos="6300"/>
        </w:tabs>
        <w:snapToGrid w:val="0"/>
        <w:spacing w:line="360" w:lineRule="auto"/>
        <w:ind w:firstLine="0" w:firstLineChars="0"/>
        <w:jc w:val="center"/>
        <w:outlineLvl w:val="1"/>
        <w:rPr>
          <w:rFonts w:hint="default" w:ascii="Times New Roman" w:hAnsi="Times New Roman" w:cs="Times New Roman"/>
          <w:b/>
          <w:snapToGrid w:val="0"/>
          <w:color w:val="auto"/>
          <w:kern w:val="0"/>
          <w:sz w:val="36"/>
          <w:szCs w:val="28"/>
          <w:highlight w:val="none"/>
        </w:rPr>
      </w:pPr>
      <w:r>
        <w:rPr>
          <w:rFonts w:hint="default" w:ascii="Times New Roman" w:hAnsi="Times New Roman" w:cs="Times New Roman"/>
          <w:b/>
          <w:snapToGrid w:val="0"/>
          <w:color w:val="auto"/>
          <w:kern w:val="0"/>
          <w:sz w:val="36"/>
          <w:szCs w:val="28"/>
          <w:highlight w:val="none"/>
        </w:rPr>
        <w:t>目  录</w:t>
      </w:r>
    </w:p>
    <w:p w14:paraId="75DD4876">
      <w:pPr>
        <w:rPr>
          <w:rFonts w:hint="default" w:ascii="Times New Roman" w:hAnsi="Times New Roman" w:cs="Times New Roman"/>
          <w:color w:val="auto"/>
          <w:highlight w:val="none"/>
        </w:rPr>
      </w:pPr>
      <w:r>
        <w:rPr>
          <w:rFonts w:hint="default" w:ascii="Times New Roman" w:hAnsi="Times New Roman" w:cs="Times New Roman"/>
          <w:color w:val="auto"/>
          <w:highlight w:val="none"/>
        </w:rPr>
        <w:t>一、参选函</w:t>
      </w:r>
    </w:p>
    <w:p w14:paraId="5F42CF13">
      <w:pP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二、</w:t>
      </w:r>
      <w:r>
        <w:rPr>
          <w:rFonts w:hint="eastAsia" w:ascii="Times New Roman" w:hAnsi="Times New Roman" w:cs="Times New Roman"/>
          <w:color w:val="auto"/>
          <w:highlight w:val="none"/>
          <w:lang w:val="en-US" w:eastAsia="zh-CN"/>
        </w:rPr>
        <w:t>报价清单</w:t>
      </w:r>
    </w:p>
    <w:p w14:paraId="79265E11">
      <w:pPr>
        <w:rPr>
          <w:rFonts w:hint="default" w:ascii="Times New Roman" w:hAnsi="Times New Roman" w:cs="Times New Roman"/>
          <w:color w:val="auto"/>
          <w:highlight w:val="none"/>
        </w:rPr>
      </w:pPr>
      <w:r>
        <w:rPr>
          <w:rFonts w:hint="default" w:ascii="Times New Roman" w:hAnsi="Times New Roman" w:cs="Times New Roman"/>
          <w:color w:val="auto"/>
          <w:highlight w:val="none"/>
        </w:rPr>
        <w:t>（一）分项</w:t>
      </w:r>
      <w:r>
        <w:rPr>
          <w:rFonts w:hint="eastAsia" w:ascii="Times New Roman" w:hAnsi="Times New Roman" w:cs="Times New Roman"/>
          <w:color w:val="auto"/>
          <w:highlight w:val="none"/>
          <w:lang w:val="en-US" w:eastAsia="zh-CN"/>
        </w:rPr>
        <w:t>报价</w:t>
      </w:r>
      <w:r>
        <w:rPr>
          <w:rFonts w:hint="default" w:ascii="Times New Roman" w:hAnsi="Times New Roman" w:cs="Times New Roman"/>
          <w:color w:val="auto"/>
          <w:highlight w:val="none"/>
        </w:rPr>
        <w:t>汇总表</w:t>
      </w:r>
    </w:p>
    <w:p w14:paraId="4C8578E2">
      <w:pPr>
        <w:rPr>
          <w:rFonts w:hint="default" w:ascii="Times New Roman" w:hAnsi="Times New Roman" w:cs="Times New Roman"/>
          <w:color w:val="auto"/>
          <w:highlight w:val="none"/>
        </w:rPr>
      </w:pPr>
      <w:r>
        <w:rPr>
          <w:rFonts w:hint="default" w:ascii="Times New Roman" w:hAnsi="Times New Roman" w:cs="Times New Roman"/>
          <w:color w:val="auto"/>
          <w:highlight w:val="none"/>
        </w:rPr>
        <w:t>（二）分项</w:t>
      </w:r>
      <w:r>
        <w:rPr>
          <w:rFonts w:hint="eastAsia" w:ascii="Times New Roman" w:hAnsi="Times New Roman" w:cs="Times New Roman"/>
          <w:color w:val="auto"/>
          <w:highlight w:val="none"/>
          <w:lang w:val="en-US" w:eastAsia="zh-CN"/>
        </w:rPr>
        <w:t>报价明细</w:t>
      </w:r>
      <w:r>
        <w:rPr>
          <w:rFonts w:hint="default" w:ascii="Times New Roman" w:hAnsi="Times New Roman" w:cs="Times New Roman"/>
          <w:color w:val="auto"/>
          <w:highlight w:val="none"/>
        </w:rPr>
        <w:t>表</w:t>
      </w:r>
    </w:p>
    <w:p w14:paraId="470EA12E">
      <w:pPr>
        <w:rPr>
          <w:rFonts w:hint="default" w:ascii="Times New Roman" w:hAnsi="Times New Roman" w:cs="Times New Roman"/>
          <w:color w:val="auto"/>
          <w:highlight w:val="none"/>
        </w:rPr>
      </w:pPr>
      <w:r>
        <w:rPr>
          <w:rFonts w:hint="default" w:ascii="Times New Roman" w:hAnsi="Times New Roman" w:cs="Times New Roman"/>
          <w:color w:val="auto"/>
          <w:highlight w:val="none"/>
        </w:rPr>
        <w:t>三、资格性文件</w:t>
      </w:r>
    </w:p>
    <w:p w14:paraId="1FE50916">
      <w:pPr>
        <w:rPr>
          <w:rFonts w:hint="default" w:ascii="Times New Roman" w:hAnsi="Times New Roman" w:cs="Times New Roman"/>
          <w:color w:val="auto"/>
          <w:highlight w:val="none"/>
        </w:rPr>
      </w:pPr>
      <w:r>
        <w:rPr>
          <w:rFonts w:hint="default" w:ascii="Times New Roman" w:hAnsi="Times New Roman" w:cs="Times New Roman"/>
          <w:color w:val="auto"/>
          <w:highlight w:val="none"/>
        </w:rPr>
        <w:t>（一）参选人基本情况介绍，资质证明等</w:t>
      </w:r>
    </w:p>
    <w:p w14:paraId="2350A6E2">
      <w:pPr>
        <w:rPr>
          <w:rFonts w:hint="default" w:ascii="Times New Roman" w:hAnsi="Times New Roman" w:cs="Times New Roman"/>
          <w:color w:val="auto"/>
          <w:highlight w:val="none"/>
        </w:rPr>
      </w:pPr>
      <w:r>
        <w:rPr>
          <w:rFonts w:hint="default" w:ascii="Times New Roman" w:hAnsi="Times New Roman" w:cs="Times New Roman"/>
          <w:color w:val="auto"/>
          <w:highlight w:val="none"/>
        </w:rPr>
        <w:t>（二）法定代表人身份证明及授权委托书</w:t>
      </w:r>
    </w:p>
    <w:p w14:paraId="029DFEC9">
      <w:pPr>
        <w:rPr>
          <w:rFonts w:hint="default" w:ascii="Times New Roman" w:hAnsi="Times New Roman" w:cs="Times New Roman"/>
          <w:color w:val="auto"/>
          <w:highlight w:val="none"/>
        </w:rPr>
      </w:pPr>
      <w:r>
        <w:rPr>
          <w:rFonts w:hint="default" w:ascii="Times New Roman" w:hAnsi="Times New Roman" w:cs="Times New Roman"/>
          <w:color w:val="auto"/>
          <w:highlight w:val="none"/>
        </w:rPr>
        <w:t>（三）书面声明</w:t>
      </w:r>
    </w:p>
    <w:p w14:paraId="48FF20DE">
      <w:pPr>
        <w:rPr>
          <w:rFonts w:hint="default" w:ascii="Times New Roman" w:hAnsi="Times New Roman" w:cs="Times New Roman"/>
          <w:color w:val="auto"/>
          <w:highlight w:val="none"/>
        </w:rPr>
      </w:pPr>
      <w:r>
        <w:rPr>
          <w:rFonts w:hint="default" w:ascii="Times New Roman" w:hAnsi="Times New Roman" w:cs="Times New Roman"/>
          <w:color w:val="auto"/>
          <w:highlight w:val="none"/>
        </w:rPr>
        <w:t>（四）中国执行信息公开网截图</w:t>
      </w:r>
    </w:p>
    <w:p w14:paraId="5D7034A9">
      <w:pPr>
        <w:rPr>
          <w:rFonts w:hint="default" w:ascii="Times New Roman" w:hAnsi="Times New Roman" w:cs="Times New Roman"/>
          <w:color w:val="auto"/>
          <w:highlight w:val="none"/>
        </w:rPr>
      </w:pPr>
      <w:r>
        <w:rPr>
          <w:rFonts w:hint="default" w:ascii="Times New Roman" w:hAnsi="Times New Roman" w:cs="Times New Roman"/>
          <w:color w:val="auto"/>
          <w:highlight w:val="none"/>
          <w:lang w:val="zh-CN"/>
        </w:rPr>
        <w:t>（</w:t>
      </w:r>
      <w:r>
        <w:rPr>
          <w:rFonts w:hint="default" w:ascii="Times New Roman" w:hAnsi="Times New Roman" w:cs="Times New Roman"/>
          <w:color w:val="auto"/>
          <w:highlight w:val="none"/>
        </w:rPr>
        <w:t>五</w:t>
      </w:r>
      <w:r>
        <w:rPr>
          <w:rFonts w:hint="default" w:ascii="Times New Roman" w:hAnsi="Times New Roman" w:cs="Times New Roman"/>
          <w:color w:val="auto"/>
          <w:highlight w:val="none"/>
          <w:lang w:val="zh-CN"/>
        </w:rPr>
        <w:t>）项目案例</w:t>
      </w:r>
      <w:r>
        <w:rPr>
          <w:rFonts w:hint="default" w:ascii="Times New Roman" w:hAnsi="Times New Roman" w:cs="Times New Roman"/>
          <w:color w:val="auto"/>
          <w:highlight w:val="none"/>
        </w:rPr>
        <w:t>证明文件复印件</w:t>
      </w:r>
    </w:p>
    <w:p w14:paraId="28B64544">
      <w:pPr>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（六）</w:t>
      </w:r>
      <w:r>
        <w:rPr>
          <w:rFonts w:hint="default" w:ascii="Times New Roman" w:hAnsi="Times New Roman" w:cs="Times New Roman"/>
          <w:color w:val="auto"/>
          <w:highlight w:val="none"/>
          <w:lang w:val="en-US" w:eastAsia="zh-CN"/>
        </w:rPr>
        <w:t>软件能力成熟度模型集成认证</w:t>
      </w:r>
      <w:r>
        <w:rPr>
          <w:rFonts w:hint="eastAsia" w:ascii="Times New Roman" w:hAnsi="Times New Roman" w:cs="Times New Roman"/>
          <w:color w:val="auto"/>
          <w:highlight w:val="none"/>
          <w:lang w:val="en-US" w:eastAsia="zh-CN"/>
        </w:rPr>
        <w:t>5级证书和</w:t>
      </w:r>
      <w:r>
        <w:rPr>
          <w:rFonts w:hint="default" w:ascii="Times New Roman" w:hAnsi="Times New Roman" w:cs="Times New Roman"/>
          <w:color w:val="auto"/>
          <w:highlight w:val="none"/>
          <w:lang w:val="en-US" w:eastAsia="zh-CN"/>
        </w:rPr>
        <w:t>IS</w:t>
      </w:r>
      <w:r>
        <w:rPr>
          <w:rFonts w:hint="eastAsia" w:ascii="Times New Roman" w:hAnsi="Times New Roman" w:cs="Times New Roman"/>
          <w:color w:val="auto"/>
          <w:highlight w:val="none"/>
          <w:lang w:val="en-US" w:eastAsia="zh-CN"/>
        </w:rPr>
        <w:t>O</w:t>
      </w:r>
      <w:r>
        <w:rPr>
          <w:rFonts w:hint="default" w:ascii="Times New Roman" w:hAnsi="Times New Roman" w:cs="Times New Roman"/>
          <w:color w:val="auto"/>
          <w:highlight w:val="none"/>
          <w:lang w:val="en-US" w:eastAsia="zh-CN"/>
        </w:rPr>
        <w:t>9001质量管理体系认证证书</w:t>
      </w:r>
    </w:p>
    <w:p w14:paraId="2FED60D9">
      <w:pP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（七）原厂授权函（如有）</w:t>
      </w:r>
    </w:p>
    <w:p w14:paraId="014C43EB">
      <w:pP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（八）原厂售后服务质保承诺函</w:t>
      </w:r>
    </w:p>
    <w:p w14:paraId="56FD3AEA">
      <w:pPr>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（九）承诺书</w:t>
      </w:r>
    </w:p>
    <w:p w14:paraId="525DE417">
      <w:pPr>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四、响应</w:t>
      </w:r>
      <w:r>
        <w:rPr>
          <w:rFonts w:hint="eastAsia" w:ascii="Times New Roman" w:hAnsi="Times New Roman" w:cs="Times New Roman"/>
          <w:color w:val="auto"/>
          <w:highlight w:val="none"/>
          <w:lang w:val="en-US" w:eastAsia="zh-CN"/>
        </w:rPr>
        <w:t>性文件</w:t>
      </w:r>
    </w:p>
    <w:p w14:paraId="6770405D">
      <w:pPr>
        <w:rPr>
          <w:rFonts w:hint="default" w:ascii="Times New Roman" w:hAnsi="Times New Roman" w:cs="Times New Roman"/>
          <w:color w:val="auto"/>
          <w:highlight w:val="none"/>
        </w:rPr>
      </w:pPr>
      <w:r>
        <w:rPr>
          <w:rFonts w:hint="default" w:ascii="Times New Roman" w:hAnsi="Times New Roman" w:cs="Times New Roman"/>
          <w:color w:val="auto"/>
          <w:highlight w:val="none"/>
        </w:rPr>
        <w:t>（一）响应承诺函</w:t>
      </w:r>
    </w:p>
    <w:p w14:paraId="6265CE51">
      <w:pPr>
        <w:rPr>
          <w:rFonts w:hint="default" w:ascii="Times New Roman" w:hAnsi="Times New Roman" w:cs="Times New Roman"/>
          <w:color w:val="auto"/>
          <w:highlight w:val="none"/>
          <w:lang w:val="en-US" w:eastAsia="zh-CN"/>
        </w:rPr>
      </w:pPr>
      <w:r>
        <w:rPr>
          <w:rFonts w:hint="eastAsia" w:ascii="Times New Roman" w:hAnsi="Times New Roman" w:cs="Times New Roman"/>
          <w:color w:val="auto"/>
          <w:szCs w:val="24"/>
          <w:highlight w:val="none"/>
          <w:shd w:val="clear" w:color="auto" w:fill="FFFFFF"/>
          <w:lang w:val="en-US" w:eastAsia="zh-CN"/>
        </w:rPr>
        <w:t>（二）项目组成员简历信息</w:t>
      </w:r>
    </w:p>
    <w:p w14:paraId="00C27306">
      <w:pPr>
        <w:rPr>
          <w:rFonts w:ascii="Times New Roman" w:hAnsi="Times New Roman" w:cs="Times New Roman"/>
          <w:color w:val="auto"/>
          <w:highlight w:val="none"/>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三</w:t>
      </w:r>
      <w:r>
        <w:rPr>
          <w:rFonts w:hint="eastAsia" w:ascii="Times New Roman" w:hAnsi="Times New Roman" w:cs="Times New Roman"/>
          <w:color w:val="auto"/>
          <w:highlight w:val="none"/>
          <w:lang w:eastAsia="zh-CN"/>
        </w:rPr>
        <w:t>）</w:t>
      </w:r>
      <w:r>
        <w:rPr>
          <w:rFonts w:ascii="Times New Roman" w:hAnsi="Times New Roman" w:cs="Times New Roman"/>
          <w:color w:val="auto"/>
          <w:highlight w:val="none"/>
        </w:rPr>
        <w:t>售后服务方案</w:t>
      </w:r>
    </w:p>
    <w:p w14:paraId="6EF8E3E5">
      <w:pPr>
        <w:rPr>
          <w:rFonts w:hint="default"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四</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培训方案</w:t>
      </w:r>
    </w:p>
    <w:p w14:paraId="0C4DA19F">
      <w:pPr>
        <w:rPr>
          <w:rFonts w:hint="default" w:ascii="Times New Roman" w:hAnsi="Times New Roman" w:cs="Times New Roman"/>
          <w:color w:val="auto"/>
          <w:highlight w:val="none"/>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五</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服务连续性预案</w:t>
      </w:r>
    </w:p>
    <w:p w14:paraId="48F042D5">
      <w:pPr>
        <w:rPr>
          <w:rFonts w:hint="default" w:ascii="Times New Roman" w:hAnsi="Times New Roman" w:cs="Times New Roman"/>
          <w:color w:val="auto"/>
          <w:highlight w:val="none"/>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六</w:t>
      </w:r>
      <w:r>
        <w:rPr>
          <w:rFonts w:hint="eastAsia" w:ascii="Times New Roman" w:hAnsi="Times New Roman" w:cs="Times New Roman"/>
          <w:color w:val="auto"/>
          <w:highlight w:val="none"/>
          <w:lang w:eastAsia="zh-CN"/>
        </w:rPr>
        <w:t>）</w:t>
      </w:r>
      <w:r>
        <w:rPr>
          <w:rFonts w:ascii="Times New Roman" w:hAnsi="Times New Roman" w:cs="Times New Roman"/>
          <w:color w:val="auto"/>
          <w:highlight w:val="none"/>
        </w:rPr>
        <w:t>项目实施方案</w:t>
      </w:r>
    </w:p>
    <w:p w14:paraId="101D82E2">
      <w:pPr>
        <w:rPr>
          <w:rFonts w:hint="default" w:ascii="Times New Roman" w:hAnsi="Times New Roman" w:cs="Times New Roman"/>
          <w:color w:val="auto"/>
          <w:highlight w:val="none"/>
        </w:rPr>
      </w:pPr>
      <w:r>
        <w:rPr>
          <w:rFonts w:hint="default" w:ascii="Times New Roman" w:hAnsi="Times New Roman" w:cs="Times New Roman"/>
          <w:color w:val="auto"/>
          <w:highlight w:val="none"/>
        </w:rPr>
        <w:t>五、参选保证金</w:t>
      </w:r>
    </w:p>
    <w:p w14:paraId="40707DBA">
      <w:pPr>
        <w:rPr>
          <w:rFonts w:hint="default" w:ascii="Times New Roman" w:hAnsi="Times New Roman" w:cs="Times New Roman"/>
          <w:color w:val="auto"/>
          <w:highlight w:val="none"/>
        </w:rPr>
      </w:pPr>
      <w:r>
        <w:rPr>
          <w:rFonts w:hint="default" w:ascii="Times New Roman" w:hAnsi="Times New Roman" w:cs="Times New Roman"/>
          <w:color w:val="auto"/>
          <w:highlight w:val="none"/>
        </w:rPr>
        <w:t>六、服务水平协议（SLA）</w:t>
      </w:r>
    </w:p>
    <w:p w14:paraId="26B2FF04">
      <w:pPr>
        <w:rPr>
          <w:rFonts w:hint="default" w:ascii="Times New Roman" w:hAnsi="Times New Roman" w:cs="Times New Roman"/>
          <w:color w:val="auto"/>
          <w:highlight w:val="none"/>
        </w:rPr>
      </w:pPr>
      <w:r>
        <w:rPr>
          <w:rFonts w:hint="default" w:ascii="Times New Roman" w:hAnsi="Times New Roman" w:cs="Times New Roman"/>
          <w:color w:val="auto"/>
          <w:highlight w:val="none"/>
        </w:rPr>
        <w:t>七、其他（如有）</w:t>
      </w:r>
    </w:p>
    <w:p w14:paraId="6D7979B0">
      <w:pPr>
        <w:spacing w:line="360" w:lineRule="auto"/>
        <w:rPr>
          <w:rFonts w:hint="default" w:ascii="Times New Roman" w:hAnsi="Times New Roman" w:cs="Times New Roman"/>
          <w:color w:val="auto"/>
          <w:highlight w:val="none"/>
        </w:rPr>
      </w:pPr>
    </w:p>
    <w:p w14:paraId="54C997E1">
      <w:pPr>
        <w:spacing w:line="360" w:lineRule="auto"/>
        <w:rPr>
          <w:rFonts w:hint="default" w:ascii="Times New Roman" w:hAnsi="Times New Roman" w:cs="Times New Roman"/>
          <w:color w:val="auto"/>
          <w:highlight w:val="none"/>
        </w:rPr>
      </w:pPr>
    </w:p>
    <w:p w14:paraId="1D5AAD0C">
      <w:pPr>
        <w:spacing w:line="360" w:lineRule="auto"/>
        <w:ind w:firstLine="0" w:firstLineChars="0"/>
        <w:jc w:val="center"/>
        <w:outlineLvl w:val="1"/>
        <w:rPr>
          <w:rStyle w:val="32"/>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r>
        <w:rPr>
          <w:rStyle w:val="32"/>
          <w:rFonts w:hint="default" w:ascii="Times New Roman" w:hAnsi="Times New Roman" w:cs="Times New Roman"/>
          <w:color w:val="auto"/>
          <w:highlight w:val="none"/>
        </w:rPr>
        <w:t>一、参选函</w:t>
      </w:r>
    </w:p>
    <w:p w14:paraId="02BC509D">
      <w:pPr>
        <w:tabs>
          <w:tab w:val="left" w:pos="6300"/>
        </w:tabs>
        <w:snapToGrid w:val="0"/>
        <w:spacing w:line="360" w:lineRule="auto"/>
        <w:ind w:right="-34" w:rightChars="-14"/>
        <w:rPr>
          <w:rFonts w:hint="default" w:ascii="Times New Roman" w:hAnsi="Times New Roman" w:cs="Times New Roman"/>
          <w:snapToGrid w:val="0"/>
          <w:color w:val="auto"/>
          <w:kern w:val="0"/>
          <w:szCs w:val="24"/>
          <w:highlight w:val="none"/>
          <w:u w:val="single"/>
        </w:rPr>
      </w:pPr>
    </w:p>
    <w:p w14:paraId="7E1238DB">
      <w:pPr>
        <w:tabs>
          <w:tab w:val="left" w:pos="6300"/>
        </w:tabs>
        <w:snapToGrid w:val="0"/>
        <w:spacing w:line="360" w:lineRule="auto"/>
        <w:ind w:right="-34" w:rightChars="-14"/>
        <w:rPr>
          <w:rFonts w:hint="default" w:ascii="Times New Roman" w:hAnsi="Times New Roman" w:cs="Times New Roman"/>
          <w:snapToGrid w:val="0"/>
          <w:color w:val="auto"/>
          <w:kern w:val="0"/>
          <w:szCs w:val="24"/>
          <w:highlight w:val="none"/>
        </w:rPr>
      </w:pPr>
      <w:r>
        <w:rPr>
          <w:rFonts w:hint="default" w:ascii="Times New Roman" w:hAnsi="Times New Roman" w:cs="Times New Roman"/>
          <w:snapToGrid w:val="0"/>
          <w:color w:val="auto"/>
          <w:kern w:val="0"/>
          <w:szCs w:val="24"/>
          <w:highlight w:val="none"/>
          <w:u w:val="single"/>
        </w:rPr>
        <w:t>重庆三峡银行股份有限公司</w:t>
      </w:r>
      <w:r>
        <w:rPr>
          <w:rFonts w:hint="default" w:ascii="Times New Roman" w:hAnsi="Times New Roman" w:cs="Times New Roman"/>
          <w:snapToGrid w:val="0"/>
          <w:color w:val="auto"/>
          <w:kern w:val="0"/>
          <w:szCs w:val="24"/>
          <w:highlight w:val="none"/>
        </w:rPr>
        <w:t>：</w:t>
      </w:r>
    </w:p>
    <w:p w14:paraId="54382FD4">
      <w:pPr>
        <w:tabs>
          <w:tab w:val="left" w:pos="6300"/>
        </w:tabs>
        <w:snapToGrid w:val="0"/>
        <w:spacing w:line="360" w:lineRule="auto"/>
        <w:ind w:right="-34" w:rightChars="-14"/>
        <w:rPr>
          <w:rFonts w:hint="default" w:ascii="Times New Roman" w:hAnsi="Times New Roman" w:cs="Times New Roman"/>
          <w:snapToGrid w:val="0"/>
          <w:color w:val="auto"/>
          <w:kern w:val="0"/>
          <w:szCs w:val="24"/>
          <w:highlight w:val="none"/>
        </w:rPr>
      </w:pPr>
      <w:r>
        <w:rPr>
          <w:rFonts w:hint="default" w:ascii="Times New Roman" w:hAnsi="Times New Roman" w:cs="Times New Roman"/>
          <w:snapToGrid w:val="0"/>
          <w:color w:val="auto"/>
          <w:kern w:val="0"/>
          <w:szCs w:val="24"/>
          <w:highlight w:val="none"/>
        </w:rPr>
        <w:t>我方收到___________________比选文件，经详细研究，决定参加该比选项目的参选。</w:t>
      </w:r>
    </w:p>
    <w:p w14:paraId="6AFF8B24">
      <w:pPr>
        <w:tabs>
          <w:tab w:val="left" w:pos="6300"/>
        </w:tabs>
        <w:snapToGrid w:val="0"/>
        <w:spacing w:line="360" w:lineRule="auto"/>
        <w:ind w:right="-34" w:rightChars="-14" w:firstLine="573" w:firstLineChars="0"/>
        <w:rPr>
          <w:rFonts w:hint="eastAsia" w:ascii="Times New Roman" w:hAnsi="Times New Roman" w:eastAsia="宋体" w:cs="Times New Roman"/>
          <w:snapToGrid w:val="0"/>
          <w:color w:val="auto"/>
          <w:kern w:val="0"/>
          <w:szCs w:val="24"/>
          <w:highlight w:val="none"/>
          <w:u w:val="single"/>
          <w:lang w:eastAsia="zh-CN"/>
        </w:rPr>
      </w:pPr>
      <w:r>
        <w:rPr>
          <w:rFonts w:hint="default" w:ascii="Times New Roman" w:hAnsi="Times New Roman" w:cs="Times New Roman"/>
          <w:snapToGrid w:val="0"/>
          <w:color w:val="auto"/>
          <w:kern w:val="0"/>
          <w:szCs w:val="24"/>
          <w:highlight w:val="none"/>
        </w:rPr>
        <w:t>1、愿意按照比选文件中的一切要求，以人民币小写：</w:t>
      </w:r>
      <w:r>
        <w:rPr>
          <w:rFonts w:hint="default" w:ascii="Times New Roman" w:hAnsi="Times New Roman" w:cs="Times New Roman"/>
          <w:snapToGrid w:val="0"/>
          <w:color w:val="auto"/>
          <w:kern w:val="0"/>
          <w:szCs w:val="24"/>
          <w:highlight w:val="none"/>
          <w:u w:val="single"/>
        </w:rPr>
        <w:t xml:space="preserve">          </w:t>
      </w:r>
      <w:r>
        <w:rPr>
          <w:rFonts w:hint="default" w:ascii="Times New Roman" w:hAnsi="Times New Roman" w:cs="Times New Roman"/>
          <w:snapToGrid w:val="0"/>
          <w:color w:val="auto"/>
          <w:kern w:val="0"/>
          <w:szCs w:val="24"/>
          <w:highlight w:val="none"/>
        </w:rPr>
        <w:t>，人民币大写：</w:t>
      </w:r>
      <w:r>
        <w:rPr>
          <w:rFonts w:hint="default" w:ascii="Times New Roman" w:hAnsi="Times New Roman" w:cs="Times New Roman"/>
          <w:snapToGrid w:val="0"/>
          <w:color w:val="auto"/>
          <w:kern w:val="0"/>
          <w:szCs w:val="24"/>
          <w:highlight w:val="none"/>
          <w:u w:val="single"/>
        </w:rPr>
        <w:t xml:space="preserve">          </w:t>
      </w:r>
      <w:r>
        <w:rPr>
          <w:rFonts w:hint="default" w:ascii="Times New Roman" w:hAnsi="Times New Roman" w:cs="Times New Roman"/>
          <w:snapToGrid w:val="0"/>
          <w:color w:val="auto"/>
          <w:kern w:val="0"/>
          <w:szCs w:val="24"/>
          <w:highlight w:val="none"/>
        </w:rPr>
        <w:t>的参选总价（含税）承担和完成本项目</w:t>
      </w:r>
      <w:r>
        <w:rPr>
          <w:rFonts w:hint="eastAsia" w:ascii="Times New Roman" w:hAnsi="Times New Roman" w:cs="Times New Roman"/>
          <w:snapToGrid w:val="0"/>
          <w:color w:val="auto"/>
          <w:kern w:val="0"/>
          <w:szCs w:val="24"/>
          <w:highlight w:val="none"/>
          <w:lang w:eastAsia="zh-CN"/>
        </w:rPr>
        <w:t>。</w:t>
      </w:r>
    </w:p>
    <w:p w14:paraId="2EFFCCCE">
      <w:pPr>
        <w:tabs>
          <w:tab w:val="left" w:pos="6300"/>
        </w:tabs>
        <w:snapToGrid w:val="0"/>
        <w:spacing w:line="360" w:lineRule="auto"/>
        <w:ind w:right="-34" w:rightChars="-14"/>
        <w:rPr>
          <w:rFonts w:hint="default" w:ascii="Times New Roman" w:hAnsi="Times New Roman" w:cs="Times New Roman"/>
          <w:snapToGrid w:val="0"/>
          <w:color w:val="auto"/>
          <w:kern w:val="0"/>
          <w:szCs w:val="24"/>
          <w:highlight w:val="none"/>
        </w:rPr>
      </w:pPr>
      <w:r>
        <w:rPr>
          <w:rFonts w:hint="default" w:ascii="Times New Roman" w:hAnsi="Times New Roman" w:cs="Times New Roman"/>
          <w:snapToGrid w:val="0"/>
          <w:color w:val="auto"/>
          <w:kern w:val="0"/>
          <w:szCs w:val="24"/>
          <w:highlight w:val="none"/>
        </w:rPr>
        <w:t>2、我方现提交的参选文件为：参选文件正本一份，副本一份，电子文件一份。</w:t>
      </w:r>
    </w:p>
    <w:p w14:paraId="10A02525">
      <w:pPr>
        <w:tabs>
          <w:tab w:val="left" w:pos="6300"/>
        </w:tabs>
        <w:snapToGrid w:val="0"/>
        <w:spacing w:line="360" w:lineRule="auto"/>
        <w:ind w:right="-34" w:rightChars="-14"/>
        <w:rPr>
          <w:rFonts w:hint="default" w:ascii="Times New Roman" w:hAnsi="Times New Roman" w:cs="Times New Roman"/>
          <w:snapToGrid w:val="0"/>
          <w:color w:val="auto"/>
          <w:kern w:val="0"/>
          <w:szCs w:val="24"/>
          <w:highlight w:val="none"/>
        </w:rPr>
      </w:pPr>
      <w:r>
        <w:rPr>
          <w:rFonts w:hint="default" w:ascii="Times New Roman" w:hAnsi="Times New Roman" w:cs="Times New Roman"/>
          <w:snapToGrid w:val="0"/>
          <w:color w:val="auto"/>
          <w:kern w:val="0"/>
          <w:szCs w:val="24"/>
          <w:highlight w:val="none"/>
        </w:rPr>
        <w:t>3、如果我方参选文件被接受，我方将履行比选文件中规定的各项要求，按相关法律法规和合同约定条款承担我方的责任。</w:t>
      </w:r>
    </w:p>
    <w:p w14:paraId="53673E8E">
      <w:pPr>
        <w:tabs>
          <w:tab w:val="left" w:pos="6300"/>
        </w:tabs>
        <w:snapToGrid w:val="0"/>
        <w:spacing w:line="360" w:lineRule="auto"/>
        <w:ind w:right="-34" w:rightChars="-14"/>
        <w:rPr>
          <w:rFonts w:hint="default" w:ascii="Times New Roman" w:hAnsi="Times New Roman" w:cs="Times New Roman"/>
          <w:snapToGrid w:val="0"/>
          <w:color w:val="auto"/>
          <w:kern w:val="0"/>
          <w:szCs w:val="24"/>
          <w:highlight w:val="none"/>
        </w:rPr>
      </w:pPr>
      <w:r>
        <w:rPr>
          <w:rFonts w:hint="default" w:ascii="Times New Roman" w:hAnsi="Times New Roman" w:cs="Times New Roman"/>
          <w:snapToGrid w:val="0"/>
          <w:color w:val="auto"/>
          <w:kern w:val="0"/>
          <w:szCs w:val="24"/>
          <w:highlight w:val="none"/>
        </w:rPr>
        <w:t>4、我方愿意提供比选文件中要求的所有资料，并对其真实性负责。</w:t>
      </w:r>
    </w:p>
    <w:p w14:paraId="70F0E0A1">
      <w:pPr>
        <w:tabs>
          <w:tab w:val="left" w:pos="6300"/>
        </w:tabs>
        <w:snapToGrid w:val="0"/>
        <w:spacing w:line="360" w:lineRule="auto"/>
        <w:ind w:right="-34" w:rightChars="-14"/>
        <w:rPr>
          <w:rFonts w:hint="default" w:ascii="Times New Roman" w:hAnsi="Times New Roman" w:cs="Times New Roman"/>
          <w:snapToGrid w:val="0"/>
          <w:color w:val="auto"/>
          <w:kern w:val="0"/>
          <w:szCs w:val="24"/>
          <w:highlight w:val="none"/>
        </w:rPr>
      </w:pPr>
      <w:r>
        <w:rPr>
          <w:rFonts w:hint="default" w:ascii="Times New Roman" w:hAnsi="Times New Roman" w:cs="Times New Roman"/>
          <w:snapToGrid w:val="0"/>
          <w:color w:val="auto"/>
          <w:kern w:val="0"/>
          <w:szCs w:val="24"/>
          <w:highlight w:val="none"/>
        </w:rPr>
        <w:t>5、我方理解最低价格不是中选的唯一条件。</w:t>
      </w:r>
    </w:p>
    <w:p w14:paraId="1C53318F">
      <w:pPr>
        <w:tabs>
          <w:tab w:val="left" w:pos="6300"/>
        </w:tabs>
        <w:snapToGrid w:val="0"/>
        <w:spacing w:line="360" w:lineRule="auto"/>
        <w:ind w:right="-34" w:rightChars="-14"/>
        <w:rPr>
          <w:rFonts w:hint="default" w:ascii="Times New Roman" w:hAnsi="Times New Roman" w:cs="Times New Roman"/>
          <w:snapToGrid w:val="0"/>
          <w:color w:val="auto"/>
          <w:kern w:val="0"/>
          <w:szCs w:val="24"/>
          <w:highlight w:val="none"/>
        </w:rPr>
      </w:pPr>
      <w:r>
        <w:rPr>
          <w:rFonts w:hint="default" w:ascii="Times New Roman" w:hAnsi="Times New Roman" w:cs="Times New Roman"/>
          <w:snapToGrid w:val="0"/>
          <w:color w:val="auto"/>
          <w:kern w:val="0"/>
          <w:szCs w:val="24"/>
          <w:highlight w:val="none"/>
        </w:rPr>
        <w:t>6、参选有效期为参选截止日期后90天内。</w:t>
      </w:r>
    </w:p>
    <w:p w14:paraId="12A0C4BC">
      <w:pPr>
        <w:tabs>
          <w:tab w:val="left" w:pos="6300"/>
        </w:tabs>
        <w:snapToGrid w:val="0"/>
        <w:spacing w:line="360" w:lineRule="auto"/>
        <w:ind w:right="-34" w:rightChars="-14"/>
        <w:rPr>
          <w:rFonts w:hint="eastAsia" w:ascii="Times New Roman" w:hAnsi="Times New Roman" w:eastAsia="宋体" w:cs="Times New Roman"/>
          <w:snapToGrid w:val="0"/>
          <w:color w:val="auto"/>
          <w:kern w:val="0"/>
          <w:szCs w:val="24"/>
          <w:highlight w:val="none"/>
          <w:lang w:val="en-US" w:eastAsia="zh-CN"/>
        </w:rPr>
      </w:pPr>
      <w:r>
        <w:rPr>
          <w:rFonts w:hint="default" w:ascii="Times New Roman" w:hAnsi="Times New Roman" w:cs="Times New Roman"/>
          <w:snapToGrid w:val="0"/>
          <w:color w:val="auto"/>
          <w:kern w:val="0"/>
          <w:szCs w:val="24"/>
          <w:highlight w:val="none"/>
        </w:rPr>
        <w:t>7、若我方中选，我方开具</w:t>
      </w:r>
      <w:r>
        <w:rPr>
          <w:rFonts w:hint="eastAsia" w:ascii="Times New Roman" w:hAnsi="Times New Roman" w:cs="Times New Roman"/>
          <w:snapToGrid w:val="0"/>
          <w:color w:val="auto"/>
          <w:kern w:val="0"/>
          <w:szCs w:val="24"/>
          <w:highlight w:val="none"/>
          <w:lang w:val="en-US" w:eastAsia="zh-CN"/>
        </w:rPr>
        <w:t>产品</w:t>
      </w:r>
      <w:r>
        <w:rPr>
          <w:rFonts w:hint="default" w:ascii="Times New Roman" w:hAnsi="Times New Roman" w:cs="Times New Roman"/>
          <w:snapToGrid w:val="0"/>
          <w:color w:val="auto"/>
          <w:kern w:val="0"/>
          <w:szCs w:val="24"/>
          <w:highlight w:val="none"/>
        </w:rPr>
        <w:t>税率为_</w:t>
      </w:r>
      <w:r>
        <w:rPr>
          <w:rFonts w:hint="eastAsia" w:ascii="Times New Roman" w:hAnsi="Times New Roman" w:cs="Times New Roman"/>
          <w:snapToGrid w:val="0"/>
          <w:color w:val="auto"/>
          <w:kern w:val="0"/>
          <w:szCs w:val="24"/>
          <w:highlight w:val="none"/>
          <w:lang w:val="en-US" w:eastAsia="zh-CN"/>
        </w:rPr>
        <w:t>13</w:t>
      </w:r>
      <w:r>
        <w:rPr>
          <w:rFonts w:hint="default" w:ascii="Times New Roman" w:hAnsi="Times New Roman" w:cs="Times New Roman"/>
          <w:snapToGrid w:val="0"/>
          <w:color w:val="auto"/>
          <w:kern w:val="0"/>
          <w:szCs w:val="24"/>
          <w:highlight w:val="none"/>
        </w:rPr>
        <w:t>_%的增值税专用发票</w:t>
      </w:r>
      <w:r>
        <w:rPr>
          <w:rFonts w:hint="eastAsia" w:ascii="Times New Roman" w:hAnsi="Times New Roman" w:cs="Times New Roman"/>
          <w:snapToGrid w:val="0"/>
          <w:color w:val="auto"/>
          <w:kern w:val="0"/>
          <w:szCs w:val="24"/>
          <w:highlight w:val="none"/>
          <w:lang w:val="en-US" w:eastAsia="zh-CN"/>
        </w:rPr>
        <w:t>和实施服务税率为</w:t>
      </w:r>
      <w:r>
        <w:rPr>
          <w:rFonts w:hint="default" w:ascii="Times New Roman" w:hAnsi="Times New Roman" w:cs="Times New Roman"/>
          <w:snapToGrid w:val="0"/>
          <w:color w:val="auto"/>
          <w:kern w:val="0"/>
          <w:szCs w:val="24"/>
          <w:highlight w:val="none"/>
        </w:rPr>
        <w:t>_</w:t>
      </w:r>
      <w:r>
        <w:rPr>
          <w:rFonts w:hint="eastAsia" w:ascii="Times New Roman" w:hAnsi="Times New Roman" w:cs="Times New Roman"/>
          <w:snapToGrid w:val="0"/>
          <w:color w:val="auto"/>
          <w:kern w:val="0"/>
          <w:szCs w:val="24"/>
          <w:highlight w:val="none"/>
          <w:lang w:val="en-US" w:eastAsia="zh-CN"/>
        </w:rPr>
        <w:t>6</w:t>
      </w:r>
      <w:r>
        <w:rPr>
          <w:rFonts w:hint="default" w:ascii="Times New Roman" w:hAnsi="Times New Roman" w:cs="Times New Roman"/>
          <w:snapToGrid w:val="0"/>
          <w:color w:val="auto"/>
          <w:kern w:val="0"/>
          <w:szCs w:val="24"/>
          <w:highlight w:val="none"/>
        </w:rPr>
        <w:t>_%的增值税专用发票</w:t>
      </w:r>
      <w:r>
        <w:rPr>
          <w:rFonts w:hint="eastAsia" w:ascii="Times New Roman" w:hAnsi="Times New Roman" w:cs="Times New Roman"/>
          <w:snapToGrid w:val="0"/>
          <w:color w:val="auto"/>
          <w:kern w:val="0"/>
          <w:szCs w:val="24"/>
          <w:highlight w:val="none"/>
          <w:lang w:eastAsia="zh-CN"/>
        </w:rPr>
        <w:t>。</w:t>
      </w:r>
    </w:p>
    <w:p w14:paraId="13E70F89">
      <w:pPr>
        <w:tabs>
          <w:tab w:val="left" w:pos="6300"/>
        </w:tabs>
        <w:snapToGrid w:val="0"/>
        <w:spacing w:line="360" w:lineRule="auto"/>
        <w:ind w:right="-34" w:rightChars="-14"/>
        <w:rPr>
          <w:rFonts w:hint="default" w:ascii="Times New Roman" w:hAnsi="Times New Roman" w:cs="Times New Roman"/>
          <w:snapToGrid w:val="0"/>
          <w:color w:val="auto"/>
          <w:kern w:val="0"/>
          <w:szCs w:val="24"/>
          <w:highlight w:val="none"/>
        </w:rPr>
      </w:pPr>
    </w:p>
    <w:p w14:paraId="3ABB47EE">
      <w:pPr>
        <w:tabs>
          <w:tab w:val="left" w:pos="6300"/>
        </w:tabs>
        <w:snapToGrid w:val="0"/>
        <w:spacing w:line="360" w:lineRule="auto"/>
        <w:ind w:right="-34" w:rightChars="-14"/>
        <w:rPr>
          <w:rFonts w:hint="default" w:ascii="Times New Roman" w:hAnsi="Times New Roman" w:cs="Times New Roman"/>
          <w:snapToGrid w:val="0"/>
          <w:color w:val="auto"/>
          <w:kern w:val="0"/>
          <w:szCs w:val="24"/>
          <w:highlight w:val="none"/>
        </w:rPr>
      </w:pPr>
      <w:r>
        <w:rPr>
          <w:rFonts w:hint="default" w:ascii="Times New Roman" w:hAnsi="Times New Roman" w:cs="Times New Roman"/>
          <w:snapToGrid w:val="0"/>
          <w:color w:val="auto"/>
          <w:kern w:val="0"/>
          <w:szCs w:val="24"/>
          <w:highlight w:val="none"/>
        </w:rPr>
        <w:t>参选人（公章）：</w:t>
      </w:r>
    </w:p>
    <w:p w14:paraId="139268ED">
      <w:pPr>
        <w:tabs>
          <w:tab w:val="left" w:pos="6300"/>
        </w:tabs>
        <w:snapToGrid w:val="0"/>
        <w:spacing w:line="360" w:lineRule="auto"/>
        <w:ind w:right="-34" w:rightChars="-14"/>
        <w:rPr>
          <w:rFonts w:hint="default" w:ascii="Times New Roman" w:hAnsi="Times New Roman" w:cs="Times New Roman"/>
          <w:snapToGrid w:val="0"/>
          <w:color w:val="auto"/>
          <w:kern w:val="0"/>
          <w:szCs w:val="24"/>
          <w:highlight w:val="none"/>
        </w:rPr>
      </w:pPr>
      <w:r>
        <w:rPr>
          <w:rFonts w:hint="default" w:ascii="Times New Roman" w:hAnsi="Times New Roman" w:cs="Times New Roman"/>
          <w:snapToGrid w:val="0"/>
          <w:color w:val="auto"/>
          <w:kern w:val="0"/>
          <w:szCs w:val="24"/>
          <w:highlight w:val="none"/>
        </w:rPr>
        <w:t xml:space="preserve">地址：  </w:t>
      </w:r>
    </w:p>
    <w:p w14:paraId="11C91049">
      <w:pPr>
        <w:tabs>
          <w:tab w:val="left" w:pos="6300"/>
        </w:tabs>
        <w:snapToGrid w:val="0"/>
        <w:spacing w:line="360" w:lineRule="auto"/>
        <w:ind w:right="-34" w:rightChars="-14"/>
        <w:rPr>
          <w:rFonts w:hint="default" w:ascii="Times New Roman" w:hAnsi="Times New Roman" w:cs="Times New Roman"/>
          <w:snapToGrid w:val="0"/>
          <w:color w:val="auto"/>
          <w:kern w:val="0"/>
          <w:szCs w:val="24"/>
          <w:highlight w:val="none"/>
        </w:rPr>
      </w:pPr>
      <w:r>
        <w:rPr>
          <w:rFonts w:hint="default" w:ascii="Times New Roman" w:hAnsi="Times New Roman" w:cs="Times New Roman"/>
          <w:snapToGrid w:val="0"/>
          <w:color w:val="auto"/>
          <w:kern w:val="0"/>
          <w:szCs w:val="24"/>
          <w:highlight w:val="none"/>
        </w:rPr>
        <w:t>电话：                           传真：</w:t>
      </w:r>
    </w:p>
    <w:p w14:paraId="1906515B">
      <w:pPr>
        <w:tabs>
          <w:tab w:val="left" w:pos="6300"/>
        </w:tabs>
        <w:snapToGrid w:val="0"/>
        <w:spacing w:line="360" w:lineRule="auto"/>
        <w:ind w:right="-34" w:rightChars="-14"/>
        <w:rPr>
          <w:rFonts w:hint="default" w:ascii="Times New Roman" w:hAnsi="Times New Roman" w:cs="Times New Roman"/>
          <w:snapToGrid w:val="0"/>
          <w:color w:val="auto"/>
          <w:kern w:val="0"/>
          <w:szCs w:val="24"/>
          <w:highlight w:val="none"/>
        </w:rPr>
      </w:pPr>
      <w:r>
        <w:rPr>
          <w:rFonts w:hint="default" w:ascii="Times New Roman" w:hAnsi="Times New Roman" w:cs="Times New Roman"/>
          <w:snapToGrid w:val="0"/>
          <w:color w:val="auto"/>
          <w:kern w:val="0"/>
          <w:szCs w:val="24"/>
          <w:highlight w:val="none"/>
        </w:rPr>
        <w:t xml:space="preserve">网址：                         </w:t>
      </w:r>
    </w:p>
    <w:p w14:paraId="0D6324E9">
      <w:pPr>
        <w:tabs>
          <w:tab w:val="left" w:pos="6300"/>
        </w:tabs>
        <w:snapToGrid w:val="0"/>
        <w:spacing w:line="360" w:lineRule="auto"/>
        <w:ind w:right="-34" w:rightChars="-14" w:firstLine="6540" w:firstLineChars="2725"/>
        <w:rPr>
          <w:rFonts w:hint="default" w:ascii="Times New Roman" w:hAnsi="Times New Roman" w:cs="Times New Roman"/>
          <w:snapToGrid w:val="0"/>
          <w:color w:val="auto"/>
          <w:kern w:val="0"/>
          <w:szCs w:val="24"/>
          <w:highlight w:val="none"/>
        </w:rPr>
      </w:pPr>
    </w:p>
    <w:p w14:paraId="720EDD34">
      <w:pPr>
        <w:tabs>
          <w:tab w:val="left" w:pos="6300"/>
        </w:tabs>
        <w:snapToGrid w:val="0"/>
        <w:spacing w:line="360" w:lineRule="auto"/>
        <w:ind w:right="-34" w:rightChars="-14" w:firstLine="5400" w:firstLineChars="2250"/>
        <w:rPr>
          <w:rFonts w:hint="default" w:ascii="Times New Roman" w:hAnsi="Times New Roman" w:cs="Times New Roman"/>
          <w:snapToGrid w:val="0"/>
          <w:color w:val="auto"/>
          <w:kern w:val="0"/>
          <w:szCs w:val="24"/>
          <w:highlight w:val="none"/>
        </w:rPr>
      </w:pPr>
      <w:r>
        <w:rPr>
          <w:rFonts w:hint="default" w:ascii="Times New Roman" w:hAnsi="Times New Roman" w:cs="Times New Roman"/>
          <w:snapToGrid w:val="0"/>
          <w:color w:val="auto"/>
          <w:kern w:val="0"/>
          <w:szCs w:val="24"/>
          <w:highlight w:val="none"/>
        </w:rPr>
        <w:t>年     月     日</w:t>
      </w:r>
    </w:p>
    <w:p w14:paraId="376F8A39">
      <w:pPr>
        <w:widowControl/>
        <w:spacing w:line="360" w:lineRule="auto"/>
        <w:jc w:val="left"/>
        <w:rPr>
          <w:rFonts w:hint="default" w:ascii="Times New Roman" w:hAnsi="Times New Roman" w:cs="Times New Roman"/>
          <w:snapToGrid w:val="0"/>
          <w:color w:val="auto"/>
          <w:kern w:val="0"/>
          <w:szCs w:val="24"/>
          <w:highlight w:val="none"/>
        </w:rPr>
      </w:pPr>
    </w:p>
    <w:p w14:paraId="025E72D4">
      <w:pPr>
        <w:tabs>
          <w:tab w:val="left" w:pos="6300"/>
        </w:tabs>
        <w:snapToGrid w:val="0"/>
        <w:spacing w:line="360" w:lineRule="auto"/>
        <w:rPr>
          <w:rFonts w:hint="default" w:ascii="Times New Roman" w:hAnsi="Times New Roman" w:cs="Times New Roman"/>
          <w:snapToGrid w:val="0"/>
          <w:color w:val="auto"/>
          <w:kern w:val="0"/>
          <w:szCs w:val="24"/>
          <w:highlight w:val="none"/>
        </w:rPr>
      </w:pPr>
    </w:p>
    <w:p w14:paraId="701907E3">
      <w:pPr>
        <w:widowControl/>
        <w:spacing w:line="360" w:lineRule="auto"/>
        <w:jc w:val="left"/>
        <w:rPr>
          <w:rFonts w:hint="default" w:ascii="Times New Roman" w:hAnsi="Times New Roman" w:cs="Times New Roman"/>
          <w:snapToGrid w:val="0"/>
          <w:color w:val="auto"/>
          <w:kern w:val="0"/>
          <w:szCs w:val="24"/>
          <w:highlight w:val="none"/>
        </w:rPr>
      </w:pPr>
    </w:p>
    <w:p w14:paraId="56FE9C49">
      <w:pPr>
        <w:widowControl/>
        <w:spacing w:line="360" w:lineRule="auto"/>
        <w:jc w:val="left"/>
        <w:rPr>
          <w:rFonts w:hint="default" w:ascii="Times New Roman" w:hAnsi="Times New Roman" w:cs="Times New Roman"/>
          <w:snapToGrid w:val="0"/>
          <w:color w:val="auto"/>
          <w:kern w:val="0"/>
          <w:szCs w:val="24"/>
          <w:highlight w:val="none"/>
        </w:rPr>
      </w:pPr>
    </w:p>
    <w:p w14:paraId="4501757A">
      <w:pPr>
        <w:widowControl/>
        <w:spacing w:line="360" w:lineRule="auto"/>
        <w:jc w:val="left"/>
        <w:rPr>
          <w:rFonts w:hint="default" w:ascii="Times New Roman" w:hAnsi="Times New Roman" w:cs="Times New Roman"/>
          <w:snapToGrid w:val="0"/>
          <w:color w:val="auto"/>
          <w:kern w:val="0"/>
          <w:szCs w:val="24"/>
          <w:highlight w:val="none"/>
        </w:rPr>
      </w:pPr>
    </w:p>
    <w:p w14:paraId="0AFFF337">
      <w:pPr>
        <w:widowControl/>
        <w:spacing w:line="360" w:lineRule="auto"/>
        <w:jc w:val="left"/>
        <w:rPr>
          <w:rFonts w:hint="default" w:ascii="Times New Roman" w:hAnsi="Times New Roman" w:cs="Times New Roman"/>
          <w:snapToGrid w:val="0"/>
          <w:color w:val="auto"/>
          <w:kern w:val="0"/>
          <w:szCs w:val="24"/>
          <w:highlight w:val="none"/>
        </w:rPr>
      </w:pPr>
    </w:p>
    <w:p w14:paraId="034786C7">
      <w:pPr>
        <w:snapToGrid w:val="0"/>
        <w:spacing w:line="360" w:lineRule="auto"/>
        <w:rPr>
          <w:rFonts w:hint="default" w:ascii="Times New Roman" w:hAnsi="Times New Roman" w:cs="Times New Roman"/>
          <w:snapToGrid w:val="0"/>
          <w:color w:val="auto"/>
          <w:kern w:val="0"/>
          <w:szCs w:val="24"/>
          <w:highlight w:val="none"/>
        </w:rPr>
      </w:pPr>
      <w:r>
        <w:rPr>
          <w:rFonts w:hint="default" w:ascii="Times New Roman" w:hAnsi="Times New Roman" w:cs="Times New Roman"/>
          <w:color w:val="auto"/>
          <w:kern w:val="0"/>
          <w:highlight w:val="none"/>
        </w:rPr>
        <w:br w:type="page"/>
      </w:r>
    </w:p>
    <w:p w14:paraId="57E02891">
      <w:pPr>
        <w:pStyle w:val="34"/>
        <w:numPr>
          <w:ilvl w:val="0"/>
          <w:numId w:val="45"/>
        </w:numPr>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报价清单</w:t>
      </w:r>
    </w:p>
    <w:p w14:paraId="5EF946CC">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outlineLvl w:val="2"/>
        <w:rPr>
          <w:rFonts w:hint="default" w:eastAsia="宋体"/>
          <w:color w:val="auto"/>
          <w:highlight w:val="none"/>
          <w:lang w:val="en-US" w:eastAsia="zh-CN"/>
        </w:rPr>
      </w:pPr>
      <w:r>
        <w:rPr>
          <w:rFonts w:hint="eastAsia" w:ascii="Times New Roman" w:hAnsi="Times New Roman" w:cs="Times New Roman"/>
          <w:color w:val="auto"/>
          <w:highlight w:val="none"/>
          <w:lang w:val="en-US" w:eastAsia="zh-CN"/>
        </w:rPr>
        <w:t>（一）分项报价汇总表</w:t>
      </w:r>
    </w:p>
    <w:tbl>
      <w:tblPr>
        <w:tblStyle w:val="23"/>
        <w:tblW w:w="89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9"/>
        <w:gridCol w:w="2209"/>
        <w:gridCol w:w="1085"/>
        <w:gridCol w:w="1285"/>
        <w:gridCol w:w="3271"/>
      </w:tblGrid>
      <w:tr w14:paraId="3AE41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39" w:type="dxa"/>
            <w:gridSpan w:val="5"/>
            <w:vAlign w:val="center"/>
          </w:tcPr>
          <w:p w14:paraId="53B7C94F">
            <w:pPr>
              <w:pStyle w:val="44"/>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default" w:ascii="Times New Roman" w:hAnsi="Times New Roman" w:eastAsia="宋体" w:cs="Times New Roman"/>
                <w:b w:val="0"/>
                <w:color w:val="auto"/>
                <w:spacing w:val="0"/>
                <w:sz w:val="21"/>
                <w:szCs w:val="21"/>
                <w:highlight w:val="none"/>
                <w:lang w:val="en-US"/>
              </w:rPr>
            </w:pPr>
            <w:r>
              <w:rPr>
                <w:rFonts w:hint="default" w:ascii="Times New Roman" w:hAnsi="Times New Roman" w:eastAsia="宋体" w:cs="Times New Roman"/>
                <w:b w:val="0"/>
                <w:color w:val="auto"/>
                <w:spacing w:val="0"/>
                <w:sz w:val="21"/>
                <w:szCs w:val="21"/>
                <w:highlight w:val="none"/>
              </w:rPr>
              <w:t>项目</w:t>
            </w:r>
            <w:r>
              <w:rPr>
                <w:rFonts w:hint="default" w:ascii="Times New Roman" w:hAnsi="Times New Roman" w:cs="Times New Roman"/>
                <w:b w:val="0"/>
                <w:color w:val="auto"/>
                <w:spacing w:val="0"/>
                <w:sz w:val="21"/>
                <w:szCs w:val="21"/>
                <w:highlight w:val="none"/>
                <w:lang w:val="en-US" w:eastAsia="zh-CN"/>
              </w:rPr>
              <w:t>名称</w:t>
            </w:r>
            <w:r>
              <w:rPr>
                <w:rFonts w:hint="default" w:ascii="Times New Roman" w:hAnsi="Times New Roman" w:cs="Times New Roman"/>
                <w:b w:val="0"/>
                <w:color w:val="auto"/>
                <w:spacing w:val="0"/>
                <w:sz w:val="21"/>
                <w:szCs w:val="21"/>
                <w:highlight w:val="none"/>
                <w:lang w:eastAsia="zh-CN"/>
              </w:rPr>
              <w:t>：</w:t>
            </w:r>
            <w:r>
              <w:rPr>
                <w:rFonts w:hint="eastAsia" w:ascii="Times New Roman" w:hAnsi="Times New Roman" w:cs="Times New Roman"/>
                <w:b w:val="0"/>
                <w:color w:val="auto"/>
                <w:spacing w:val="0"/>
                <w:sz w:val="21"/>
                <w:szCs w:val="21"/>
                <w:highlight w:val="none"/>
                <w:lang w:val="en-US" w:eastAsia="zh-CN"/>
              </w:rPr>
              <w:t>新一代数据中台项目（一期）</w:t>
            </w:r>
          </w:p>
        </w:tc>
      </w:tr>
      <w:tr w14:paraId="78806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089" w:type="dxa"/>
            <w:vMerge w:val="restart"/>
            <w:vAlign w:val="center"/>
          </w:tcPr>
          <w:p w14:paraId="1F650047">
            <w:pPr>
              <w:pStyle w:val="44"/>
              <w:keepNext w:val="0"/>
              <w:keepLines w:val="0"/>
              <w:pageBreakBefore w:val="0"/>
              <w:widowControl w:val="0"/>
              <w:kinsoku/>
              <w:wordWrap/>
              <w:overflowPunct/>
              <w:topLinePunct w:val="0"/>
              <w:autoSpaceDE w:val="0"/>
              <w:autoSpaceDN w:val="0"/>
              <w:bidi w:val="0"/>
              <w:adjustRightInd/>
              <w:snapToGrid/>
              <w:spacing w:line="400" w:lineRule="exact"/>
              <w:ind w:left="0" w:leftChars="0" w:firstLine="0" w:firstLineChars="0"/>
              <w:jc w:val="center"/>
              <w:textAlignment w:val="auto"/>
              <w:rPr>
                <w:rFonts w:hint="default" w:ascii="Times New Roman" w:hAnsi="Times New Roman" w:eastAsia="宋体" w:cs="Times New Roman"/>
                <w:b w:val="0"/>
                <w:color w:val="auto"/>
                <w:spacing w:val="0"/>
                <w:sz w:val="21"/>
                <w:szCs w:val="21"/>
                <w:highlight w:val="none"/>
              </w:rPr>
            </w:pPr>
            <w:r>
              <w:rPr>
                <w:rFonts w:hint="default" w:ascii="Times New Roman" w:hAnsi="Times New Roman" w:eastAsia="宋体" w:cs="Times New Roman"/>
                <w:b w:val="0"/>
                <w:color w:val="auto"/>
                <w:spacing w:val="0"/>
                <w:sz w:val="21"/>
                <w:szCs w:val="21"/>
                <w:highlight w:val="none"/>
              </w:rPr>
              <w:t>含税</w:t>
            </w:r>
            <w:r>
              <w:rPr>
                <w:rFonts w:hint="default" w:ascii="Times New Roman" w:hAnsi="Times New Roman" w:cs="Times New Roman"/>
                <w:b w:val="0"/>
                <w:color w:val="auto"/>
                <w:spacing w:val="0"/>
                <w:sz w:val="21"/>
                <w:szCs w:val="21"/>
                <w:highlight w:val="none"/>
                <w:lang w:val="en-US" w:eastAsia="zh-CN"/>
              </w:rPr>
              <w:t>参选分项</w:t>
            </w:r>
            <w:r>
              <w:rPr>
                <w:rFonts w:hint="default" w:ascii="Times New Roman" w:hAnsi="Times New Roman" w:eastAsia="宋体" w:cs="Times New Roman"/>
                <w:b w:val="0"/>
                <w:color w:val="auto"/>
                <w:spacing w:val="0"/>
                <w:sz w:val="21"/>
                <w:szCs w:val="21"/>
                <w:highlight w:val="none"/>
              </w:rPr>
              <w:t>报价</w:t>
            </w:r>
          </w:p>
        </w:tc>
        <w:tc>
          <w:tcPr>
            <w:tcW w:w="2209" w:type="dxa"/>
            <w:vMerge w:val="restart"/>
            <w:vAlign w:val="center"/>
          </w:tcPr>
          <w:p w14:paraId="19625904">
            <w:pPr>
              <w:pStyle w:val="44"/>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cs="Times New Roman"/>
                <w:b w:val="0"/>
                <w:color w:val="auto"/>
                <w:spacing w:val="0"/>
                <w:sz w:val="21"/>
                <w:szCs w:val="21"/>
                <w:highlight w:val="none"/>
                <w:lang w:val="en-US" w:eastAsia="zh-CN"/>
              </w:rPr>
            </w:pPr>
            <w:r>
              <w:rPr>
                <w:rFonts w:hint="eastAsia" w:ascii="Times New Roman" w:hAnsi="Times New Roman" w:cs="Times New Roman"/>
                <w:b w:val="0"/>
                <w:color w:val="auto"/>
                <w:spacing w:val="0"/>
                <w:sz w:val="21"/>
                <w:szCs w:val="21"/>
                <w:highlight w:val="none"/>
                <w:lang w:val="en-US" w:eastAsia="zh-CN"/>
              </w:rPr>
              <w:t>湖仓一体底座</w:t>
            </w:r>
          </w:p>
        </w:tc>
        <w:tc>
          <w:tcPr>
            <w:tcW w:w="1085" w:type="dxa"/>
            <w:vMerge w:val="restart"/>
            <w:vAlign w:val="center"/>
          </w:tcPr>
          <w:p w14:paraId="327ADB18">
            <w:pPr>
              <w:pStyle w:val="44"/>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cs="Times New Roman"/>
                <w:b w:val="0"/>
                <w:color w:val="auto"/>
                <w:spacing w:val="0"/>
                <w:sz w:val="21"/>
                <w:szCs w:val="21"/>
                <w:highlight w:val="none"/>
                <w:lang w:val="en-US" w:eastAsia="zh-CN"/>
              </w:rPr>
            </w:pPr>
            <w:r>
              <w:rPr>
                <w:rFonts w:hint="eastAsia" w:ascii="Times New Roman" w:hAnsi="Times New Roman" w:cs="Times New Roman"/>
                <w:b w:val="0"/>
                <w:color w:val="auto"/>
                <w:spacing w:val="0"/>
                <w:sz w:val="21"/>
                <w:szCs w:val="21"/>
                <w:highlight w:val="none"/>
                <w:lang w:val="en-US" w:eastAsia="zh-CN"/>
              </w:rPr>
              <w:t>测试网段</w:t>
            </w:r>
          </w:p>
        </w:tc>
        <w:tc>
          <w:tcPr>
            <w:tcW w:w="1285" w:type="dxa"/>
            <w:vAlign w:val="center"/>
          </w:tcPr>
          <w:p w14:paraId="68B18290">
            <w:pPr>
              <w:pStyle w:val="44"/>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cs="Times New Roman"/>
                <w:b w:val="0"/>
                <w:color w:val="auto"/>
                <w:spacing w:val="0"/>
                <w:sz w:val="21"/>
                <w:szCs w:val="21"/>
                <w:highlight w:val="none"/>
                <w:lang w:val="en-US" w:eastAsia="zh-CN"/>
              </w:rPr>
            </w:pPr>
            <w:r>
              <w:rPr>
                <w:rFonts w:hint="eastAsia" w:ascii="Times New Roman" w:hAnsi="Times New Roman" w:cs="Times New Roman"/>
                <w:b w:val="0"/>
                <w:color w:val="auto"/>
                <w:spacing w:val="0"/>
                <w:sz w:val="21"/>
                <w:szCs w:val="21"/>
                <w:highlight w:val="none"/>
                <w:lang w:val="en-US" w:eastAsia="zh-CN"/>
              </w:rPr>
              <w:t>单价</w:t>
            </w:r>
          </w:p>
        </w:tc>
        <w:tc>
          <w:tcPr>
            <w:tcW w:w="3271" w:type="dxa"/>
            <w:vAlign w:val="center"/>
          </w:tcPr>
          <w:p w14:paraId="215B8208">
            <w:pPr>
              <w:pStyle w:val="44"/>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default" w:ascii="Times New Roman" w:hAnsi="Times New Roman" w:eastAsia="宋体" w:cs="Times New Roman"/>
                <w:b w:val="0"/>
                <w:color w:val="auto"/>
                <w:spacing w:val="0"/>
                <w:sz w:val="21"/>
                <w:szCs w:val="21"/>
                <w:highlight w:val="none"/>
                <w:lang w:val="en-US" w:eastAsia="zh-CN"/>
              </w:rPr>
            </w:pPr>
            <w:r>
              <w:rPr>
                <w:rFonts w:hint="default" w:ascii="Times New Roman" w:hAnsi="Times New Roman" w:eastAsia="宋体" w:cs="Times New Roman"/>
                <w:b w:val="0"/>
                <w:color w:val="auto"/>
                <w:spacing w:val="0"/>
                <w:sz w:val="21"/>
                <w:szCs w:val="21"/>
                <w:highlight w:val="none"/>
                <w:lang w:val="en-US" w:eastAsia="zh-CN"/>
              </w:rPr>
              <w:t>人民币：</w:t>
            </w:r>
            <w:r>
              <w:rPr>
                <w:rFonts w:hint="default" w:ascii="Times New Roman" w:hAnsi="Times New Roman" w:eastAsia="宋体" w:cs="Times New Roman"/>
                <w:b w:val="0"/>
                <w:color w:val="auto"/>
                <w:spacing w:val="0"/>
                <w:sz w:val="21"/>
                <w:szCs w:val="21"/>
                <w:highlight w:val="none"/>
                <w:u w:val="single"/>
              </w:rPr>
              <w:t xml:space="preserve">   </w:t>
            </w:r>
            <w:r>
              <w:rPr>
                <w:rFonts w:hint="eastAsia" w:ascii="Times New Roman" w:hAnsi="Times New Roman" w:eastAsia="宋体" w:cs="Times New Roman"/>
                <w:b w:val="0"/>
                <w:color w:val="auto"/>
                <w:spacing w:val="0"/>
                <w:sz w:val="21"/>
                <w:szCs w:val="21"/>
                <w:highlight w:val="none"/>
                <w:u w:val="single"/>
                <w:lang w:val="en-US" w:eastAsia="zh-CN"/>
              </w:rPr>
              <w:t xml:space="preserve">  </w:t>
            </w:r>
            <w:r>
              <w:rPr>
                <w:rFonts w:hint="default" w:ascii="Times New Roman" w:hAnsi="Times New Roman" w:eastAsia="宋体" w:cs="Times New Roman"/>
                <w:b w:val="0"/>
                <w:color w:val="auto"/>
                <w:spacing w:val="0"/>
                <w:sz w:val="21"/>
                <w:szCs w:val="21"/>
                <w:highlight w:val="none"/>
                <w:lang w:val="en-US" w:eastAsia="zh-CN"/>
              </w:rPr>
              <w:t>元（大写：</w:t>
            </w:r>
            <w:r>
              <w:rPr>
                <w:rFonts w:hint="default" w:ascii="Times New Roman" w:hAnsi="Times New Roman" w:eastAsia="宋体" w:cs="Times New Roman"/>
                <w:b w:val="0"/>
                <w:color w:val="auto"/>
                <w:spacing w:val="0"/>
                <w:sz w:val="21"/>
                <w:szCs w:val="21"/>
                <w:highlight w:val="none"/>
                <w:u w:val="single"/>
              </w:rPr>
              <w:t xml:space="preserve">   </w:t>
            </w:r>
            <w:r>
              <w:rPr>
                <w:rFonts w:hint="eastAsia" w:ascii="Times New Roman" w:hAnsi="Times New Roman" w:eastAsia="宋体" w:cs="Times New Roman"/>
                <w:b w:val="0"/>
                <w:color w:val="auto"/>
                <w:spacing w:val="0"/>
                <w:sz w:val="21"/>
                <w:szCs w:val="21"/>
                <w:highlight w:val="none"/>
                <w:u w:val="single"/>
                <w:lang w:val="en-US" w:eastAsia="zh-CN"/>
              </w:rPr>
              <w:t xml:space="preserve">  </w:t>
            </w:r>
            <w:r>
              <w:rPr>
                <w:rFonts w:hint="default" w:ascii="Times New Roman" w:hAnsi="Times New Roman" w:eastAsia="宋体" w:cs="Times New Roman"/>
                <w:b w:val="0"/>
                <w:color w:val="auto"/>
                <w:spacing w:val="0"/>
                <w:sz w:val="21"/>
                <w:szCs w:val="21"/>
                <w:highlight w:val="none"/>
                <w:lang w:val="en-US" w:eastAsia="zh-CN"/>
              </w:rPr>
              <w:t>）</w:t>
            </w:r>
          </w:p>
        </w:tc>
      </w:tr>
      <w:tr w14:paraId="33CF3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89" w:type="dxa"/>
            <w:vMerge w:val="continue"/>
            <w:vAlign w:val="center"/>
          </w:tcPr>
          <w:p w14:paraId="667D2822">
            <w:pPr>
              <w:pStyle w:val="44"/>
              <w:keepNext w:val="0"/>
              <w:keepLines w:val="0"/>
              <w:pageBreakBefore w:val="0"/>
              <w:widowControl w:val="0"/>
              <w:kinsoku/>
              <w:wordWrap/>
              <w:overflowPunct/>
              <w:topLinePunct w:val="0"/>
              <w:autoSpaceDE w:val="0"/>
              <w:autoSpaceDN w:val="0"/>
              <w:bidi w:val="0"/>
              <w:adjustRightInd/>
              <w:snapToGrid/>
              <w:spacing w:line="400" w:lineRule="exact"/>
              <w:ind w:left="0" w:leftChars="0" w:firstLine="0" w:firstLineChars="0"/>
              <w:jc w:val="center"/>
              <w:textAlignment w:val="auto"/>
              <w:rPr>
                <w:rFonts w:hint="default" w:ascii="Times New Roman" w:hAnsi="Times New Roman" w:eastAsia="宋体" w:cs="Times New Roman"/>
                <w:b w:val="0"/>
                <w:color w:val="auto"/>
                <w:spacing w:val="0"/>
                <w:sz w:val="21"/>
                <w:szCs w:val="21"/>
                <w:highlight w:val="none"/>
              </w:rPr>
            </w:pPr>
          </w:p>
        </w:tc>
        <w:tc>
          <w:tcPr>
            <w:tcW w:w="2209" w:type="dxa"/>
            <w:vMerge w:val="continue"/>
            <w:vAlign w:val="center"/>
          </w:tcPr>
          <w:p w14:paraId="3FBDCFA5">
            <w:pPr>
              <w:pStyle w:val="44"/>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eastAsia" w:ascii="Times New Roman" w:hAnsi="Times New Roman" w:cs="Times New Roman"/>
                <w:b w:val="0"/>
                <w:color w:val="auto"/>
                <w:spacing w:val="0"/>
                <w:sz w:val="21"/>
                <w:szCs w:val="21"/>
                <w:highlight w:val="none"/>
                <w:lang w:val="en-US" w:eastAsia="zh-CN"/>
              </w:rPr>
            </w:pPr>
          </w:p>
        </w:tc>
        <w:tc>
          <w:tcPr>
            <w:tcW w:w="1085" w:type="dxa"/>
            <w:vMerge w:val="continue"/>
            <w:vAlign w:val="center"/>
          </w:tcPr>
          <w:p w14:paraId="0C82C04B">
            <w:pPr>
              <w:pStyle w:val="44"/>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eastAsia" w:ascii="Times New Roman" w:hAnsi="Times New Roman" w:cs="Times New Roman"/>
                <w:b w:val="0"/>
                <w:color w:val="auto"/>
                <w:spacing w:val="0"/>
                <w:sz w:val="21"/>
                <w:szCs w:val="21"/>
                <w:highlight w:val="none"/>
                <w:lang w:val="en-US" w:eastAsia="zh-CN"/>
              </w:rPr>
            </w:pPr>
          </w:p>
        </w:tc>
        <w:tc>
          <w:tcPr>
            <w:tcW w:w="1285" w:type="dxa"/>
            <w:vAlign w:val="center"/>
          </w:tcPr>
          <w:p w14:paraId="0DACD4B3">
            <w:pPr>
              <w:pStyle w:val="44"/>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eastAsia" w:ascii="Times New Roman" w:hAnsi="Times New Roman" w:cs="Times New Roman"/>
                <w:b w:val="0"/>
                <w:color w:val="auto"/>
                <w:spacing w:val="0"/>
                <w:sz w:val="21"/>
                <w:szCs w:val="21"/>
                <w:highlight w:val="none"/>
                <w:lang w:val="en-US" w:eastAsia="zh-CN"/>
              </w:rPr>
            </w:pPr>
            <w:r>
              <w:rPr>
                <w:rFonts w:hint="eastAsia" w:ascii="Times New Roman" w:hAnsi="Times New Roman" w:cs="Times New Roman"/>
                <w:b w:val="0"/>
                <w:color w:val="auto"/>
                <w:spacing w:val="0"/>
                <w:sz w:val="21"/>
                <w:szCs w:val="21"/>
                <w:highlight w:val="none"/>
                <w:lang w:val="en-US" w:eastAsia="zh-CN"/>
              </w:rPr>
              <w:t>数量</w:t>
            </w:r>
          </w:p>
        </w:tc>
        <w:tc>
          <w:tcPr>
            <w:tcW w:w="3271" w:type="dxa"/>
            <w:vAlign w:val="center"/>
          </w:tcPr>
          <w:p w14:paraId="49F77831">
            <w:pPr>
              <w:pStyle w:val="44"/>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default" w:ascii="Times New Roman" w:hAnsi="Times New Roman" w:eastAsia="宋体" w:cs="Times New Roman"/>
                <w:b w:val="0"/>
                <w:color w:val="auto"/>
                <w:spacing w:val="0"/>
                <w:kern w:val="2"/>
                <w:sz w:val="21"/>
                <w:szCs w:val="21"/>
                <w:highlight w:val="none"/>
                <w:lang w:val="en-US" w:eastAsia="zh-CN" w:bidi="ar-SA"/>
              </w:rPr>
            </w:pPr>
            <w:r>
              <w:rPr>
                <w:rFonts w:hint="default" w:ascii="Times New Roman" w:hAnsi="Times New Roman" w:eastAsia="宋体" w:cs="Times New Roman"/>
                <w:b w:val="0"/>
                <w:color w:val="auto"/>
                <w:spacing w:val="0"/>
                <w:sz w:val="21"/>
                <w:szCs w:val="21"/>
                <w:highlight w:val="none"/>
                <w:u w:val="single"/>
              </w:rPr>
              <w:t xml:space="preserve">   </w:t>
            </w:r>
            <w:r>
              <w:rPr>
                <w:rFonts w:hint="eastAsia" w:ascii="Times New Roman" w:hAnsi="Times New Roman" w:eastAsia="宋体" w:cs="Times New Roman"/>
                <w:b w:val="0"/>
                <w:color w:val="auto"/>
                <w:spacing w:val="0"/>
                <w:sz w:val="21"/>
                <w:szCs w:val="21"/>
                <w:highlight w:val="none"/>
                <w:u w:val="single"/>
                <w:lang w:val="en-US" w:eastAsia="zh-CN"/>
              </w:rPr>
              <w:t xml:space="preserve">  </w:t>
            </w:r>
            <w:r>
              <w:rPr>
                <w:rFonts w:hint="eastAsia" w:ascii="Times New Roman" w:hAnsi="Times New Roman" w:eastAsia="宋体" w:cs="Times New Roman"/>
                <w:b w:val="0"/>
                <w:color w:val="auto"/>
                <w:spacing w:val="0"/>
                <w:sz w:val="21"/>
                <w:szCs w:val="21"/>
                <w:highlight w:val="none"/>
                <w:lang w:val="en-US" w:eastAsia="zh-CN"/>
              </w:rPr>
              <w:t>个</w:t>
            </w:r>
            <w:r>
              <w:rPr>
                <w:rFonts w:hint="eastAsia" w:ascii="Times New Roman" w:hAnsi="Times New Roman" w:cs="Times New Roman"/>
                <w:b w:val="0"/>
                <w:color w:val="auto"/>
                <w:spacing w:val="0"/>
                <w:sz w:val="21"/>
                <w:szCs w:val="21"/>
                <w:highlight w:val="none"/>
                <w:lang w:val="en-US" w:eastAsia="zh-CN"/>
              </w:rPr>
              <w:t>（不得少于最低要求）</w:t>
            </w:r>
          </w:p>
        </w:tc>
      </w:tr>
      <w:tr w14:paraId="2A143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089" w:type="dxa"/>
            <w:vMerge w:val="continue"/>
            <w:vAlign w:val="center"/>
          </w:tcPr>
          <w:p w14:paraId="6639E9CD">
            <w:pPr>
              <w:pStyle w:val="44"/>
              <w:keepNext w:val="0"/>
              <w:keepLines w:val="0"/>
              <w:pageBreakBefore w:val="0"/>
              <w:widowControl w:val="0"/>
              <w:kinsoku/>
              <w:wordWrap/>
              <w:overflowPunct/>
              <w:topLinePunct w:val="0"/>
              <w:autoSpaceDE w:val="0"/>
              <w:autoSpaceDN w:val="0"/>
              <w:bidi w:val="0"/>
              <w:adjustRightInd/>
              <w:snapToGrid/>
              <w:spacing w:line="400" w:lineRule="exact"/>
              <w:ind w:left="0" w:leftChars="0" w:firstLine="0" w:firstLineChars="0"/>
              <w:jc w:val="center"/>
              <w:textAlignment w:val="auto"/>
              <w:rPr>
                <w:rFonts w:hint="default" w:ascii="Times New Roman" w:hAnsi="Times New Roman" w:eastAsia="宋体" w:cs="Times New Roman"/>
                <w:b w:val="0"/>
                <w:color w:val="auto"/>
                <w:spacing w:val="0"/>
                <w:sz w:val="21"/>
                <w:szCs w:val="21"/>
                <w:highlight w:val="none"/>
              </w:rPr>
            </w:pPr>
          </w:p>
        </w:tc>
        <w:tc>
          <w:tcPr>
            <w:tcW w:w="2209" w:type="dxa"/>
            <w:vMerge w:val="continue"/>
            <w:vAlign w:val="center"/>
          </w:tcPr>
          <w:p w14:paraId="7C27EE8C">
            <w:pPr>
              <w:pStyle w:val="44"/>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eastAsia" w:ascii="Times New Roman" w:hAnsi="Times New Roman" w:cs="Times New Roman"/>
                <w:b w:val="0"/>
                <w:color w:val="auto"/>
                <w:spacing w:val="0"/>
                <w:sz w:val="21"/>
                <w:szCs w:val="21"/>
                <w:highlight w:val="none"/>
                <w:lang w:val="en-US" w:eastAsia="zh-CN"/>
              </w:rPr>
            </w:pPr>
          </w:p>
        </w:tc>
        <w:tc>
          <w:tcPr>
            <w:tcW w:w="1085" w:type="dxa"/>
            <w:vMerge w:val="restart"/>
            <w:vAlign w:val="center"/>
          </w:tcPr>
          <w:p w14:paraId="50429DA7">
            <w:pPr>
              <w:pStyle w:val="44"/>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cs="Times New Roman"/>
                <w:b w:val="0"/>
                <w:color w:val="auto"/>
                <w:spacing w:val="0"/>
                <w:sz w:val="21"/>
                <w:szCs w:val="21"/>
                <w:highlight w:val="none"/>
                <w:lang w:val="en-US" w:eastAsia="zh-CN"/>
              </w:rPr>
            </w:pPr>
            <w:r>
              <w:rPr>
                <w:rFonts w:hint="eastAsia" w:ascii="Times New Roman" w:hAnsi="Times New Roman" w:cs="Times New Roman"/>
                <w:b w:val="0"/>
                <w:color w:val="auto"/>
                <w:spacing w:val="0"/>
                <w:sz w:val="21"/>
                <w:szCs w:val="21"/>
                <w:highlight w:val="none"/>
                <w:lang w:val="en-US" w:eastAsia="zh-CN"/>
              </w:rPr>
              <w:t>生产网段</w:t>
            </w:r>
          </w:p>
        </w:tc>
        <w:tc>
          <w:tcPr>
            <w:tcW w:w="1285" w:type="dxa"/>
            <w:vAlign w:val="center"/>
          </w:tcPr>
          <w:p w14:paraId="73A7EF77">
            <w:pPr>
              <w:pStyle w:val="44"/>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cs="Times New Roman"/>
                <w:b w:val="0"/>
                <w:color w:val="auto"/>
                <w:spacing w:val="0"/>
                <w:sz w:val="21"/>
                <w:szCs w:val="21"/>
                <w:highlight w:val="none"/>
                <w:lang w:val="en-US" w:eastAsia="zh-CN"/>
              </w:rPr>
            </w:pPr>
            <w:r>
              <w:rPr>
                <w:rFonts w:hint="eastAsia" w:ascii="Times New Roman" w:hAnsi="Times New Roman" w:cs="Times New Roman"/>
                <w:b w:val="0"/>
                <w:color w:val="auto"/>
                <w:spacing w:val="0"/>
                <w:sz w:val="21"/>
                <w:szCs w:val="21"/>
                <w:highlight w:val="none"/>
                <w:lang w:val="en-US" w:eastAsia="zh-CN"/>
              </w:rPr>
              <w:t>单价</w:t>
            </w:r>
          </w:p>
        </w:tc>
        <w:tc>
          <w:tcPr>
            <w:tcW w:w="3271" w:type="dxa"/>
            <w:vAlign w:val="center"/>
          </w:tcPr>
          <w:p w14:paraId="67780D1A">
            <w:pPr>
              <w:pStyle w:val="44"/>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default" w:ascii="Times New Roman" w:hAnsi="Times New Roman" w:eastAsia="宋体" w:cs="Times New Roman"/>
                <w:b w:val="0"/>
                <w:color w:val="auto"/>
                <w:spacing w:val="0"/>
                <w:sz w:val="21"/>
                <w:szCs w:val="21"/>
                <w:highlight w:val="none"/>
                <w:lang w:val="en-US" w:eastAsia="zh-CN"/>
              </w:rPr>
            </w:pPr>
            <w:r>
              <w:rPr>
                <w:rFonts w:hint="default" w:ascii="Times New Roman" w:hAnsi="Times New Roman" w:eastAsia="宋体" w:cs="Times New Roman"/>
                <w:b w:val="0"/>
                <w:color w:val="auto"/>
                <w:spacing w:val="0"/>
                <w:sz w:val="21"/>
                <w:szCs w:val="21"/>
                <w:highlight w:val="none"/>
                <w:lang w:val="en-US" w:eastAsia="zh-CN"/>
              </w:rPr>
              <w:t>人民币：</w:t>
            </w:r>
            <w:r>
              <w:rPr>
                <w:rFonts w:hint="default" w:ascii="Times New Roman" w:hAnsi="Times New Roman" w:eastAsia="宋体" w:cs="Times New Roman"/>
                <w:b w:val="0"/>
                <w:color w:val="auto"/>
                <w:spacing w:val="0"/>
                <w:sz w:val="21"/>
                <w:szCs w:val="21"/>
                <w:highlight w:val="none"/>
                <w:u w:val="single"/>
              </w:rPr>
              <w:t xml:space="preserve">   </w:t>
            </w:r>
            <w:r>
              <w:rPr>
                <w:rFonts w:hint="eastAsia" w:ascii="Times New Roman" w:hAnsi="Times New Roman" w:eastAsia="宋体" w:cs="Times New Roman"/>
                <w:b w:val="0"/>
                <w:color w:val="auto"/>
                <w:spacing w:val="0"/>
                <w:sz w:val="21"/>
                <w:szCs w:val="21"/>
                <w:highlight w:val="none"/>
                <w:u w:val="single"/>
                <w:lang w:val="en-US" w:eastAsia="zh-CN"/>
              </w:rPr>
              <w:t xml:space="preserve">  </w:t>
            </w:r>
            <w:r>
              <w:rPr>
                <w:rFonts w:hint="default" w:ascii="Times New Roman" w:hAnsi="Times New Roman" w:eastAsia="宋体" w:cs="Times New Roman"/>
                <w:b w:val="0"/>
                <w:color w:val="auto"/>
                <w:spacing w:val="0"/>
                <w:sz w:val="21"/>
                <w:szCs w:val="21"/>
                <w:highlight w:val="none"/>
                <w:lang w:val="en-US" w:eastAsia="zh-CN"/>
              </w:rPr>
              <w:t>元（大写：</w:t>
            </w:r>
            <w:r>
              <w:rPr>
                <w:rFonts w:hint="default" w:ascii="Times New Roman" w:hAnsi="Times New Roman" w:eastAsia="宋体" w:cs="Times New Roman"/>
                <w:b w:val="0"/>
                <w:color w:val="auto"/>
                <w:spacing w:val="0"/>
                <w:sz w:val="21"/>
                <w:szCs w:val="21"/>
                <w:highlight w:val="none"/>
                <w:u w:val="single"/>
              </w:rPr>
              <w:t xml:space="preserve">   </w:t>
            </w:r>
            <w:r>
              <w:rPr>
                <w:rFonts w:hint="eastAsia" w:ascii="Times New Roman" w:hAnsi="Times New Roman" w:eastAsia="宋体" w:cs="Times New Roman"/>
                <w:b w:val="0"/>
                <w:color w:val="auto"/>
                <w:spacing w:val="0"/>
                <w:sz w:val="21"/>
                <w:szCs w:val="21"/>
                <w:highlight w:val="none"/>
                <w:u w:val="single"/>
                <w:lang w:val="en-US" w:eastAsia="zh-CN"/>
              </w:rPr>
              <w:t xml:space="preserve">  </w:t>
            </w:r>
            <w:r>
              <w:rPr>
                <w:rFonts w:hint="default" w:ascii="Times New Roman" w:hAnsi="Times New Roman" w:eastAsia="宋体" w:cs="Times New Roman"/>
                <w:b w:val="0"/>
                <w:color w:val="auto"/>
                <w:spacing w:val="0"/>
                <w:sz w:val="21"/>
                <w:szCs w:val="21"/>
                <w:highlight w:val="none"/>
                <w:lang w:val="en-US" w:eastAsia="zh-CN"/>
              </w:rPr>
              <w:t>）</w:t>
            </w:r>
          </w:p>
        </w:tc>
      </w:tr>
      <w:tr w14:paraId="173ED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089" w:type="dxa"/>
            <w:vMerge w:val="continue"/>
            <w:vAlign w:val="center"/>
          </w:tcPr>
          <w:p w14:paraId="61691B00">
            <w:pPr>
              <w:pStyle w:val="44"/>
              <w:keepNext w:val="0"/>
              <w:keepLines w:val="0"/>
              <w:pageBreakBefore w:val="0"/>
              <w:widowControl w:val="0"/>
              <w:kinsoku/>
              <w:wordWrap/>
              <w:overflowPunct/>
              <w:topLinePunct w:val="0"/>
              <w:autoSpaceDE w:val="0"/>
              <w:autoSpaceDN w:val="0"/>
              <w:bidi w:val="0"/>
              <w:adjustRightInd/>
              <w:snapToGrid/>
              <w:spacing w:line="400" w:lineRule="exact"/>
              <w:ind w:left="0" w:leftChars="0" w:firstLine="0" w:firstLineChars="0"/>
              <w:jc w:val="center"/>
              <w:textAlignment w:val="auto"/>
              <w:rPr>
                <w:rFonts w:hint="default" w:ascii="Times New Roman" w:hAnsi="Times New Roman" w:eastAsia="宋体" w:cs="Times New Roman"/>
                <w:b w:val="0"/>
                <w:color w:val="auto"/>
                <w:spacing w:val="0"/>
                <w:sz w:val="21"/>
                <w:szCs w:val="21"/>
                <w:highlight w:val="none"/>
              </w:rPr>
            </w:pPr>
          </w:p>
        </w:tc>
        <w:tc>
          <w:tcPr>
            <w:tcW w:w="2209" w:type="dxa"/>
            <w:vMerge w:val="continue"/>
            <w:vAlign w:val="center"/>
          </w:tcPr>
          <w:p w14:paraId="4D7171F8">
            <w:pPr>
              <w:pStyle w:val="44"/>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eastAsia" w:ascii="Times New Roman" w:hAnsi="Times New Roman" w:cs="Times New Roman"/>
                <w:b w:val="0"/>
                <w:color w:val="auto"/>
                <w:spacing w:val="0"/>
                <w:sz w:val="21"/>
                <w:szCs w:val="21"/>
                <w:highlight w:val="none"/>
                <w:lang w:val="en-US" w:eastAsia="zh-CN"/>
              </w:rPr>
            </w:pPr>
          </w:p>
        </w:tc>
        <w:tc>
          <w:tcPr>
            <w:tcW w:w="1085" w:type="dxa"/>
            <w:vMerge w:val="continue"/>
            <w:vAlign w:val="center"/>
          </w:tcPr>
          <w:p w14:paraId="7A29BC25">
            <w:pPr>
              <w:pStyle w:val="44"/>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eastAsia" w:ascii="Times New Roman" w:hAnsi="Times New Roman" w:cs="Times New Roman"/>
                <w:b w:val="0"/>
                <w:color w:val="auto"/>
                <w:spacing w:val="0"/>
                <w:sz w:val="21"/>
                <w:szCs w:val="21"/>
                <w:highlight w:val="none"/>
                <w:lang w:val="en-US" w:eastAsia="zh-CN"/>
              </w:rPr>
            </w:pPr>
          </w:p>
        </w:tc>
        <w:tc>
          <w:tcPr>
            <w:tcW w:w="1285" w:type="dxa"/>
            <w:vAlign w:val="center"/>
          </w:tcPr>
          <w:p w14:paraId="5BD80C3F">
            <w:pPr>
              <w:pStyle w:val="44"/>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eastAsia" w:ascii="Times New Roman" w:hAnsi="Times New Roman" w:cs="Times New Roman"/>
                <w:b w:val="0"/>
                <w:color w:val="auto"/>
                <w:spacing w:val="0"/>
                <w:sz w:val="21"/>
                <w:szCs w:val="21"/>
                <w:highlight w:val="none"/>
                <w:lang w:val="en-US" w:eastAsia="zh-CN"/>
              </w:rPr>
            </w:pPr>
            <w:r>
              <w:rPr>
                <w:rFonts w:hint="eastAsia" w:ascii="Times New Roman" w:hAnsi="Times New Roman" w:cs="Times New Roman"/>
                <w:b w:val="0"/>
                <w:color w:val="auto"/>
                <w:spacing w:val="0"/>
                <w:sz w:val="21"/>
                <w:szCs w:val="21"/>
                <w:highlight w:val="none"/>
                <w:lang w:val="en-US" w:eastAsia="zh-CN"/>
              </w:rPr>
              <w:t>数量</w:t>
            </w:r>
          </w:p>
        </w:tc>
        <w:tc>
          <w:tcPr>
            <w:tcW w:w="3271" w:type="dxa"/>
            <w:vAlign w:val="center"/>
          </w:tcPr>
          <w:p w14:paraId="072E6BA6">
            <w:pPr>
              <w:pStyle w:val="44"/>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default" w:ascii="Times New Roman" w:hAnsi="Times New Roman" w:eastAsia="宋体" w:cs="Times New Roman"/>
                <w:b w:val="0"/>
                <w:color w:val="auto"/>
                <w:spacing w:val="0"/>
                <w:sz w:val="21"/>
                <w:szCs w:val="21"/>
                <w:highlight w:val="none"/>
                <w:lang w:val="en-US" w:eastAsia="zh-CN"/>
              </w:rPr>
            </w:pPr>
            <w:r>
              <w:rPr>
                <w:rFonts w:hint="default" w:ascii="Times New Roman" w:hAnsi="Times New Roman" w:eastAsia="宋体" w:cs="Times New Roman"/>
                <w:b w:val="0"/>
                <w:color w:val="auto"/>
                <w:spacing w:val="0"/>
                <w:sz w:val="21"/>
                <w:szCs w:val="21"/>
                <w:highlight w:val="none"/>
                <w:u w:val="single"/>
              </w:rPr>
              <w:t xml:space="preserve">   </w:t>
            </w:r>
            <w:r>
              <w:rPr>
                <w:rFonts w:hint="eastAsia" w:ascii="Times New Roman" w:hAnsi="Times New Roman" w:eastAsia="宋体" w:cs="Times New Roman"/>
                <w:b w:val="0"/>
                <w:color w:val="auto"/>
                <w:spacing w:val="0"/>
                <w:sz w:val="21"/>
                <w:szCs w:val="21"/>
                <w:highlight w:val="none"/>
                <w:u w:val="single"/>
                <w:lang w:val="en-US" w:eastAsia="zh-CN"/>
              </w:rPr>
              <w:t xml:space="preserve">  </w:t>
            </w:r>
            <w:r>
              <w:rPr>
                <w:rFonts w:hint="eastAsia" w:ascii="Times New Roman" w:hAnsi="Times New Roman" w:eastAsia="宋体" w:cs="Times New Roman"/>
                <w:b w:val="0"/>
                <w:color w:val="auto"/>
                <w:spacing w:val="0"/>
                <w:sz w:val="21"/>
                <w:szCs w:val="21"/>
                <w:highlight w:val="none"/>
                <w:lang w:val="en-US" w:eastAsia="zh-CN"/>
              </w:rPr>
              <w:t>个</w:t>
            </w:r>
            <w:r>
              <w:rPr>
                <w:rFonts w:hint="eastAsia" w:ascii="Times New Roman" w:hAnsi="Times New Roman" w:cs="Times New Roman"/>
                <w:b w:val="0"/>
                <w:color w:val="auto"/>
                <w:spacing w:val="0"/>
                <w:sz w:val="21"/>
                <w:szCs w:val="21"/>
                <w:highlight w:val="none"/>
                <w:lang w:val="en-US" w:eastAsia="zh-CN"/>
              </w:rPr>
              <w:t>（不得少于最低要求）</w:t>
            </w:r>
          </w:p>
        </w:tc>
      </w:tr>
      <w:tr w14:paraId="5B4B8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089" w:type="dxa"/>
            <w:vMerge w:val="continue"/>
            <w:vAlign w:val="center"/>
          </w:tcPr>
          <w:p w14:paraId="5060C943">
            <w:pPr>
              <w:pStyle w:val="44"/>
              <w:keepNext w:val="0"/>
              <w:keepLines w:val="0"/>
              <w:pageBreakBefore w:val="0"/>
              <w:widowControl w:val="0"/>
              <w:kinsoku/>
              <w:wordWrap/>
              <w:overflowPunct/>
              <w:topLinePunct w:val="0"/>
              <w:autoSpaceDE w:val="0"/>
              <w:autoSpaceDN w:val="0"/>
              <w:bidi w:val="0"/>
              <w:adjustRightInd/>
              <w:snapToGrid/>
              <w:spacing w:line="400" w:lineRule="exact"/>
              <w:ind w:left="0" w:leftChars="0" w:firstLine="0" w:firstLineChars="0"/>
              <w:jc w:val="center"/>
              <w:textAlignment w:val="auto"/>
              <w:rPr>
                <w:rFonts w:hint="default" w:ascii="Times New Roman" w:hAnsi="Times New Roman" w:eastAsia="宋体" w:cs="Times New Roman"/>
                <w:b w:val="0"/>
                <w:color w:val="auto"/>
                <w:spacing w:val="0"/>
                <w:sz w:val="21"/>
                <w:szCs w:val="21"/>
                <w:highlight w:val="none"/>
              </w:rPr>
            </w:pPr>
          </w:p>
        </w:tc>
        <w:tc>
          <w:tcPr>
            <w:tcW w:w="2209" w:type="dxa"/>
            <w:vMerge w:val="continue"/>
            <w:vAlign w:val="center"/>
          </w:tcPr>
          <w:p w14:paraId="43878B2E">
            <w:pPr>
              <w:pStyle w:val="44"/>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cs="Times New Roman"/>
                <w:b w:val="0"/>
                <w:color w:val="auto"/>
                <w:spacing w:val="0"/>
                <w:sz w:val="21"/>
                <w:szCs w:val="21"/>
                <w:highlight w:val="none"/>
                <w:lang w:val="en-US" w:eastAsia="zh-CN"/>
              </w:rPr>
            </w:pPr>
          </w:p>
        </w:tc>
        <w:tc>
          <w:tcPr>
            <w:tcW w:w="2370" w:type="dxa"/>
            <w:gridSpan w:val="2"/>
            <w:vAlign w:val="center"/>
          </w:tcPr>
          <w:p w14:paraId="55E319E6">
            <w:pPr>
              <w:pStyle w:val="44"/>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default" w:ascii="Times New Roman" w:hAnsi="Times New Roman" w:cs="Times New Roman"/>
                <w:b w:val="0"/>
                <w:color w:val="auto"/>
                <w:spacing w:val="0"/>
                <w:sz w:val="21"/>
                <w:szCs w:val="21"/>
                <w:highlight w:val="none"/>
                <w:lang w:val="en-US" w:eastAsia="zh-CN"/>
              </w:rPr>
            </w:pPr>
            <w:r>
              <w:rPr>
                <w:rFonts w:hint="eastAsia" w:ascii="Times New Roman" w:hAnsi="Times New Roman" w:cs="Times New Roman"/>
                <w:b w:val="0"/>
                <w:color w:val="auto"/>
                <w:spacing w:val="0"/>
                <w:sz w:val="21"/>
                <w:szCs w:val="21"/>
                <w:highlight w:val="none"/>
                <w:lang w:val="en-US" w:eastAsia="zh-CN"/>
              </w:rPr>
              <w:t>数量计量单位（单选）</w:t>
            </w:r>
          </w:p>
        </w:tc>
        <w:tc>
          <w:tcPr>
            <w:tcW w:w="3271" w:type="dxa"/>
            <w:vAlign w:val="center"/>
          </w:tcPr>
          <w:p w14:paraId="555A2A15">
            <w:pPr>
              <w:pStyle w:val="44"/>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default" w:ascii="Times New Roman" w:hAnsi="Times New Roman" w:eastAsia="宋体" w:cs="Times New Roman"/>
                <w:b w:val="0"/>
                <w:color w:val="auto"/>
                <w:spacing w:val="0"/>
                <w:sz w:val="21"/>
                <w:szCs w:val="21"/>
                <w:highlight w:val="none"/>
                <w:lang w:val="en-US" w:eastAsia="zh-CN"/>
              </w:rPr>
            </w:pPr>
            <w:r>
              <w:rPr>
                <w:rFonts w:hint="eastAsia" w:ascii="Times New Roman" w:hAnsi="Times New Roman" w:cs="Times New Roman"/>
                <w:b w:val="0"/>
                <w:color w:val="auto"/>
                <w:spacing w:val="0"/>
                <w:sz w:val="21"/>
                <w:szCs w:val="21"/>
                <w:highlight w:val="none"/>
                <w:lang w:val="en-US" w:eastAsia="zh-CN"/>
              </w:rPr>
              <w:sym w:font="Wingdings 2" w:char="00A3"/>
            </w:r>
            <w:r>
              <w:rPr>
                <w:rFonts w:hint="eastAsia" w:ascii="Times New Roman" w:hAnsi="Times New Roman" w:cs="Times New Roman"/>
                <w:b w:val="0"/>
                <w:color w:val="auto"/>
                <w:spacing w:val="0"/>
                <w:sz w:val="21"/>
                <w:szCs w:val="21"/>
                <w:highlight w:val="none"/>
                <w:lang w:val="en-US" w:eastAsia="zh-CN"/>
              </w:rPr>
              <w:t xml:space="preserve">节点    </w:t>
            </w:r>
            <w:r>
              <w:rPr>
                <w:rFonts w:hint="eastAsia" w:ascii="Times New Roman" w:hAnsi="Times New Roman" w:cs="Times New Roman"/>
                <w:b w:val="0"/>
                <w:color w:val="auto"/>
                <w:spacing w:val="0"/>
                <w:sz w:val="21"/>
                <w:szCs w:val="21"/>
                <w:highlight w:val="none"/>
                <w:lang w:val="en-US" w:eastAsia="zh-CN"/>
              </w:rPr>
              <w:sym w:font="Wingdings 2" w:char="00A3"/>
            </w:r>
            <w:r>
              <w:rPr>
                <w:rFonts w:hint="eastAsia" w:ascii="Times New Roman" w:hAnsi="Times New Roman" w:cs="Times New Roman"/>
                <w:b w:val="0"/>
                <w:color w:val="auto"/>
                <w:spacing w:val="0"/>
                <w:sz w:val="21"/>
                <w:szCs w:val="21"/>
                <w:highlight w:val="none"/>
                <w:lang w:val="en-US" w:eastAsia="zh-CN"/>
              </w:rPr>
              <w:t>VCpu</w:t>
            </w:r>
          </w:p>
        </w:tc>
      </w:tr>
      <w:tr w14:paraId="1E1DA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089" w:type="dxa"/>
            <w:vMerge w:val="continue"/>
            <w:vAlign w:val="center"/>
          </w:tcPr>
          <w:p w14:paraId="6C8E0133">
            <w:pPr>
              <w:pStyle w:val="44"/>
              <w:keepNext w:val="0"/>
              <w:keepLines w:val="0"/>
              <w:pageBreakBefore w:val="0"/>
              <w:widowControl w:val="0"/>
              <w:kinsoku/>
              <w:wordWrap/>
              <w:overflowPunct/>
              <w:topLinePunct w:val="0"/>
              <w:autoSpaceDE w:val="0"/>
              <w:autoSpaceDN w:val="0"/>
              <w:bidi w:val="0"/>
              <w:adjustRightInd/>
              <w:snapToGrid/>
              <w:spacing w:line="400" w:lineRule="exact"/>
              <w:ind w:left="0" w:leftChars="0" w:firstLine="0" w:firstLineChars="0"/>
              <w:jc w:val="center"/>
              <w:textAlignment w:val="auto"/>
              <w:rPr>
                <w:rFonts w:hint="default" w:ascii="Times New Roman" w:hAnsi="Times New Roman" w:eastAsia="宋体" w:cs="Times New Roman"/>
                <w:b w:val="0"/>
                <w:color w:val="auto"/>
                <w:spacing w:val="0"/>
                <w:sz w:val="21"/>
                <w:szCs w:val="21"/>
                <w:highlight w:val="none"/>
              </w:rPr>
            </w:pPr>
          </w:p>
        </w:tc>
        <w:tc>
          <w:tcPr>
            <w:tcW w:w="2209" w:type="dxa"/>
            <w:vMerge w:val="continue"/>
            <w:vAlign w:val="center"/>
          </w:tcPr>
          <w:p w14:paraId="4709D757">
            <w:pPr>
              <w:pStyle w:val="44"/>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cs="Times New Roman"/>
                <w:b w:val="0"/>
                <w:color w:val="auto"/>
                <w:spacing w:val="0"/>
                <w:sz w:val="21"/>
                <w:szCs w:val="21"/>
                <w:highlight w:val="none"/>
                <w:lang w:val="en-US" w:eastAsia="zh-CN"/>
              </w:rPr>
            </w:pPr>
          </w:p>
        </w:tc>
        <w:tc>
          <w:tcPr>
            <w:tcW w:w="2370" w:type="dxa"/>
            <w:gridSpan w:val="2"/>
            <w:vAlign w:val="center"/>
          </w:tcPr>
          <w:p w14:paraId="1D831B20">
            <w:pPr>
              <w:pStyle w:val="44"/>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eastAsia" w:ascii="Times New Roman" w:hAnsi="Times New Roman" w:eastAsia="宋体" w:cs="Times New Roman"/>
                <w:b w:val="0"/>
                <w:color w:val="auto"/>
                <w:spacing w:val="0"/>
                <w:kern w:val="2"/>
                <w:sz w:val="21"/>
                <w:szCs w:val="21"/>
                <w:highlight w:val="none"/>
                <w:lang w:val="en-US" w:eastAsia="zh-CN" w:bidi="ar-SA"/>
              </w:rPr>
            </w:pPr>
            <w:r>
              <w:rPr>
                <w:rFonts w:hint="eastAsia" w:ascii="Times New Roman" w:hAnsi="Times New Roman" w:cs="Times New Roman"/>
                <w:b w:val="0"/>
                <w:color w:val="auto"/>
                <w:spacing w:val="0"/>
                <w:sz w:val="21"/>
                <w:szCs w:val="21"/>
                <w:highlight w:val="none"/>
                <w:lang w:val="en-US" w:eastAsia="zh-CN"/>
              </w:rPr>
              <w:t>本产品整体价格</w:t>
            </w:r>
          </w:p>
        </w:tc>
        <w:tc>
          <w:tcPr>
            <w:tcW w:w="3271" w:type="dxa"/>
            <w:vAlign w:val="center"/>
          </w:tcPr>
          <w:p w14:paraId="00E16CFC">
            <w:pPr>
              <w:pStyle w:val="44"/>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default" w:ascii="Times New Roman" w:hAnsi="Times New Roman" w:eastAsia="宋体" w:cs="Times New Roman"/>
                <w:b w:val="0"/>
                <w:color w:val="auto"/>
                <w:spacing w:val="0"/>
                <w:kern w:val="2"/>
                <w:sz w:val="21"/>
                <w:szCs w:val="21"/>
                <w:highlight w:val="none"/>
                <w:lang w:val="en-US" w:eastAsia="zh-CN" w:bidi="ar-SA"/>
              </w:rPr>
            </w:pPr>
            <w:r>
              <w:rPr>
                <w:rFonts w:hint="default" w:ascii="Times New Roman" w:hAnsi="Times New Roman" w:eastAsia="宋体" w:cs="Times New Roman"/>
                <w:b w:val="0"/>
                <w:color w:val="auto"/>
                <w:spacing w:val="0"/>
                <w:sz w:val="21"/>
                <w:szCs w:val="21"/>
                <w:highlight w:val="none"/>
                <w:lang w:val="en-US" w:eastAsia="zh-CN"/>
              </w:rPr>
              <w:t>人民币：</w:t>
            </w:r>
            <w:r>
              <w:rPr>
                <w:rFonts w:hint="default" w:ascii="Times New Roman" w:hAnsi="Times New Roman" w:eastAsia="宋体" w:cs="Times New Roman"/>
                <w:b w:val="0"/>
                <w:color w:val="auto"/>
                <w:spacing w:val="0"/>
                <w:sz w:val="21"/>
                <w:szCs w:val="21"/>
                <w:highlight w:val="none"/>
                <w:u w:val="single"/>
              </w:rPr>
              <w:t xml:space="preserve">   </w:t>
            </w:r>
            <w:r>
              <w:rPr>
                <w:rFonts w:hint="eastAsia" w:ascii="Times New Roman" w:hAnsi="Times New Roman" w:eastAsia="宋体" w:cs="Times New Roman"/>
                <w:b w:val="0"/>
                <w:color w:val="auto"/>
                <w:spacing w:val="0"/>
                <w:sz w:val="21"/>
                <w:szCs w:val="21"/>
                <w:highlight w:val="none"/>
                <w:u w:val="single"/>
                <w:lang w:val="en-US" w:eastAsia="zh-CN"/>
              </w:rPr>
              <w:t xml:space="preserve">  </w:t>
            </w:r>
            <w:r>
              <w:rPr>
                <w:rFonts w:hint="default" w:ascii="Times New Roman" w:hAnsi="Times New Roman" w:eastAsia="宋体" w:cs="Times New Roman"/>
                <w:b w:val="0"/>
                <w:color w:val="auto"/>
                <w:spacing w:val="0"/>
                <w:sz w:val="21"/>
                <w:szCs w:val="21"/>
                <w:highlight w:val="none"/>
                <w:lang w:val="en-US" w:eastAsia="zh-CN"/>
              </w:rPr>
              <w:t>元（大写：</w:t>
            </w:r>
            <w:r>
              <w:rPr>
                <w:rFonts w:hint="default" w:ascii="Times New Roman" w:hAnsi="Times New Roman" w:eastAsia="宋体" w:cs="Times New Roman"/>
                <w:b w:val="0"/>
                <w:color w:val="auto"/>
                <w:spacing w:val="0"/>
                <w:sz w:val="21"/>
                <w:szCs w:val="21"/>
                <w:highlight w:val="none"/>
                <w:u w:val="single"/>
              </w:rPr>
              <w:t xml:space="preserve">   </w:t>
            </w:r>
            <w:r>
              <w:rPr>
                <w:rFonts w:hint="eastAsia" w:ascii="Times New Roman" w:hAnsi="Times New Roman" w:eastAsia="宋体" w:cs="Times New Roman"/>
                <w:b w:val="0"/>
                <w:color w:val="auto"/>
                <w:spacing w:val="0"/>
                <w:sz w:val="21"/>
                <w:szCs w:val="21"/>
                <w:highlight w:val="none"/>
                <w:u w:val="single"/>
                <w:lang w:val="en-US" w:eastAsia="zh-CN"/>
              </w:rPr>
              <w:t xml:space="preserve">  </w:t>
            </w:r>
            <w:r>
              <w:rPr>
                <w:rFonts w:hint="default" w:ascii="Times New Roman" w:hAnsi="Times New Roman" w:eastAsia="宋体" w:cs="Times New Roman"/>
                <w:b w:val="0"/>
                <w:color w:val="auto"/>
                <w:spacing w:val="0"/>
                <w:sz w:val="21"/>
                <w:szCs w:val="21"/>
                <w:highlight w:val="none"/>
                <w:lang w:val="en-US" w:eastAsia="zh-CN"/>
              </w:rPr>
              <w:t>）</w:t>
            </w:r>
          </w:p>
        </w:tc>
      </w:tr>
      <w:tr w14:paraId="6DD35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089" w:type="dxa"/>
            <w:vMerge w:val="continue"/>
            <w:vAlign w:val="center"/>
          </w:tcPr>
          <w:p w14:paraId="72F4715E">
            <w:pPr>
              <w:pStyle w:val="44"/>
              <w:keepNext w:val="0"/>
              <w:keepLines w:val="0"/>
              <w:pageBreakBefore w:val="0"/>
              <w:widowControl w:val="0"/>
              <w:kinsoku/>
              <w:wordWrap/>
              <w:overflowPunct/>
              <w:topLinePunct w:val="0"/>
              <w:autoSpaceDE w:val="0"/>
              <w:autoSpaceDN w:val="0"/>
              <w:bidi w:val="0"/>
              <w:adjustRightInd/>
              <w:snapToGrid/>
              <w:spacing w:line="400" w:lineRule="exact"/>
              <w:ind w:left="0" w:leftChars="0" w:firstLine="0" w:firstLineChars="0"/>
              <w:jc w:val="center"/>
              <w:textAlignment w:val="auto"/>
              <w:rPr>
                <w:rFonts w:hint="default" w:ascii="Times New Roman" w:hAnsi="Times New Roman" w:eastAsia="宋体" w:cs="Times New Roman"/>
                <w:b w:val="0"/>
                <w:color w:val="auto"/>
                <w:spacing w:val="0"/>
                <w:sz w:val="21"/>
                <w:szCs w:val="21"/>
                <w:highlight w:val="none"/>
              </w:rPr>
            </w:pPr>
          </w:p>
        </w:tc>
        <w:tc>
          <w:tcPr>
            <w:tcW w:w="2209" w:type="dxa"/>
            <w:vMerge w:val="continue"/>
            <w:vAlign w:val="center"/>
          </w:tcPr>
          <w:p w14:paraId="31B673C9">
            <w:pPr>
              <w:pStyle w:val="44"/>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cs="Times New Roman"/>
                <w:b w:val="0"/>
                <w:color w:val="auto"/>
                <w:spacing w:val="0"/>
                <w:sz w:val="21"/>
                <w:szCs w:val="21"/>
                <w:highlight w:val="none"/>
                <w:lang w:val="en-US" w:eastAsia="zh-CN"/>
              </w:rPr>
            </w:pPr>
          </w:p>
        </w:tc>
        <w:tc>
          <w:tcPr>
            <w:tcW w:w="2370" w:type="dxa"/>
            <w:gridSpan w:val="2"/>
            <w:vAlign w:val="center"/>
          </w:tcPr>
          <w:p w14:paraId="72DEE996">
            <w:pPr>
              <w:pStyle w:val="44"/>
              <w:keepNext w:val="0"/>
              <w:keepLines w:val="0"/>
              <w:pageBreakBefore w:val="0"/>
              <w:widowControl w:val="0"/>
              <w:tabs>
                <w:tab w:val="clear" w:pos="1200"/>
              </w:tabs>
              <w:kinsoku/>
              <w:wordWrap/>
              <w:overflowPunct/>
              <w:topLinePunct w:val="0"/>
              <w:autoSpaceDE w:val="0"/>
              <w:autoSpaceDN w:val="0"/>
              <w:bidi w:val="0"/>
              <w:adjustRightInd/>
              <w:snapToGrid/>
              <w:spacing w:line="400" w:lineRule="exact"/>
              <w:ind w:firstLine="0" w:firstLineChars="0"/>
              <w:jc w:val="left"/>
              <w:textAlignment w:val="auto"/>
              <w:rPr>
                <w:rFonts w:hint="default" w:ascii="Times New Roman" w:hAnsi="Times New Roman" w:cs="Times New Roman"/>
                <w:b w:val="0"/>
                <w:color w:val="auto"/>
                <w:spacing w:val="0"/>
                <w:sz w:val="21"/>
                <w:szCs w:val="21"/>
                <w:highlight w:val="none"/>
                <w:lang w:val="en-US" w:eastAsia="zh-CN"/>
              </w:rPr>
            </w:pPr>
            <w:r>
              <w:rPr>
                <w:rFonts w:hint="eastAsia" w:ascii="Times New Roman" w:hAnsi="Times New Roman" w:cs="Times New Roman"/>
                <w:b w:val="0"/>
                <w:color w:val="auto"/>
                <w:spacing w:val="0"/>
                <w:sz w:val="21"/>
                <w:szCs w:val="21"/>
                <w:highlight w:val="none"/>
                <w:lang w:val="en-US" w:eastAsia="zh-CN"/>
              </w:rPr>
              <w:t>免费维保期</w:t>
            </w:r>
          </w:p>
        </w:tc>
        <w:tc>
          <w:tcPr>
            <w:tcW w:w="3271" w:type="dxa"/>
            <w:vAlign w:val="center"/>
          </w:tcPr>
          <w:p w14:paraId="5E1FAB13">
            <w:pPr>
              <w:pStyle w:val="44"/>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default" w:ascii="Times New Roman" w:hAnsi="Times New Roman" w:eastAsia="宋体" w:cs="Times New Roman"/>
                <w:b w:val="0"/>
                <w:color w:val="auto"/>
                <w:spacing w:val="0"/>
                <w:sz w:val="21"/>
                <w:szCs w:val="21"/>
                <w:highlight w:val="none"/>
                <w:lang w:val="en-US" w:eastAsia="zh-CN"/>
              </w:rPr>
            </w:pPr>
            <w:r>
              <w:rPr>
                <w:rFonts w:hint="default" w:ascii="Times New Roman" w:hAnsi="Times New Roman" w:eastAsia="宋体" w:cs="Times New Roman"/>
                <w:b w:val="0"/>
                <w:color w:val="auto"/>
                <w:spacing w:val="0"/>
                <w:sz w:val="21"/>
                <w:szCs w:val="21"/>
                <w:highlight w:val="none"/>
                <w:u w:val="single"/>
              </w:rPr>
              <w:t xml:space="preserve">   </w:t>
            </w:r>
            <w:r>
              <w:rPr>
                <w:rFonts w:hint="eastAsia" w:ascii="Times New Roman" w:hAnsi="Times New Roman" w:eastAsia="宋体" w:cs="Times New Roman"/>
                <w:b w:val="0"/>
                <w:color w:val="auto"/>
                <w:spacing w:val="0"/>
                <w:sz w:val="21"/>
                <w:szCs w:val="21"/>
                <w:highlight w:val="none"/>
                <w:u w:val="single"/>
                <w:lang w:val="en-US" w:eastAsia="zh-CN"/>
              </w:rPr>
              <w:t xml:space="preserve">  </w:t>
            </w:r>
            <w:r>
              <w:rPr>
                <w:rFonts w:hint="eastAsia" w:ascii="Times New Roman" w:hAnsi="Times New Roman" w:cs="Times New Roman"/>
                <w:b w:val="0"/>
                <w:color w:val="auto"/>
                <w:spacing w:val="0"/>
                <w:sz w:val="21"/>
                <w:szCs w:val="21"/>
                <w:highlight w:val="none"/>
                <w:lang w:val="en-US" w:eastAsia="zh-CN"/>
              </w:rPr>
              <w:t>年（不低于3年）</w:t>
            </w:r>
          </w:p>
        </w:tc>
      </w:tr>
      <w:tr w14:paraId="623D7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089" w:type="dxa"/>
            <w:vMerge w:val="continue"/>
            <w:vAlign w:val="center"/>
          </w:tcPr>
          <w:p w14:paraId="3AA1F35D">
            <w:pPr>
              <w:pStyle w:val="44"/>
              <w:keepNext w:val="0"/>
              <w:keepLines w:val="0"/>
              <w:pageBreakBefore w:val="0"/>
              <w:widowControl w:val="0"/>
              <w:kinsoku/>
              <w:wordWrap/>
              <w:overflowPunct/>
              <w:topLinePunct w:val="0"/>
              <w:autoSpaceDE w:val="0"/>
              <w:autoSpaceDN w:val="0"/>
              <w:bidi w:val="0"/>
              <w:adjustRightInd/>
              <w:snapToGrid/>
              <w:spacing w:line="400" w:lineRule="exact"/>
              <w:ind w:left="0" w:leftChars="0" w:firstLine="0" w:firstLineChars="0"/>
              <w:jc w:val="center"/>
              <w:textAlignment w:val="auto"/>
              <w:rPr>
                <w:rFonts w:hint="default" w:ascii="Times New Roman" w:hAnsi="Times New Roman" w:eastAsia="宋体" w:cs="Times New Roman"/>
                <w:b w:val="0"/>
                <w:color w:val="auto"/>
                <w:spacing w:val="0"/>
                <w:sz w:val="21"/>
                <w:szCs w:val="21"/>
                <w:highlight w:val="none"/>
              </w:rPr>
            </w:pPr>
          </w:p>
        </w:tc>
        <w:tc>
          <w:tcPr>
            <w:tcW w:w="2209" w:type="dxa"/>
            <w:vMerge w:val="continue"/>
            <w:vAlign w:val="center"/>
          </w:tcPr>
          <w:p w14:paraId="66F9F478">
            <w:pPr>
              <w:pStyle w:val="44"/>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cs="Times New Roman"/>
                <w:b w:val="0"/>
                <w:color w:val="auto"/>
                <w:spacing w:val="0"/>
                <w:sz w:val="21"/>
                <w:szCs w:val="21"/>
                <w:highlight w:val="none"/>
                <w:lang w:val="en-US" w:eastAsia="zh-CN"/>
              </w:rPr>
            </w:pPr>
          </w:p>
        </w:tc>
        <w:tc>
          <w:tcPr>
            <w:tcW w:w="2370" w:type="dxa"/>
            <w:gridSpan w:val="2"/>
            <w:vAlign w:val="center"/>
          </w:tcPr>
          <w:p w14:paraId="378B33AC">
            <w:pPr>
              <w:pStyle w:val="44"/>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default" w:ascii="Times New Roman" w:hAnsi="Times New Roman" w:eastAsia="宋体" w:cs="Times New Roman"/>
                <w:b w:val="0"/>
                <w:color w:val="auto"/>
                <w:spacing w:val="0"/>
                <w:sz w:val="21"/>
                <w:szCs w:val="21"/>
                <w:highlight w:val="none"/>
                <w:lang w:val="en-US" w:eastAsia="zh-CN"/>
              </w:rPr>
            </w:pPr>
            <w:r>
              <w:rPr>
                <w:rFonts w:hint="eastAsia" w:ascii="Times New Roman" w:hAnsi="Times New Roman" w:cs="Times New Roman"/>
                <w:b w:val="0"/>
                <w:color w:val="auto"/>
                <w:spacing w:val="0"/>
                <w:sz w:val="21"/>
                <w:szCs w:val="21"/>
                <w:highlight w:val="none"/>
                <w:lang w:val="en-US" w:eastAsia="zh-CN"/>
              </w:rPr>
              <w:t>免费维保期后维保费用</w:t>
            </w:r>
          </w:p>
        </w:tc>
        <w:tc>
          <w:tcPr>
            <w:tcW w:w="3271" w:type="dxa"/>
            <w:vAlign w:val="center"/>
          </w:tcPr>
          <w:p w14:paraId="5057A41B">
            <w:pPr>
              <w:pStyle w:val="44"/>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default" w:ascii="Times New Roman" w:hAnsi="Times New Roman" w:eastAsia="宋体" w:cs="Times New Roman"/>
                <w:b w:val="0"/>
                <w:color w:val="auto"/>
                <w:spacing w:val="0"/>
                <w:sz w:val="21"/>
                <w:szCs w:val="21"/>
                <w:highlight w:val="none"/>
                <w:lang w:val="en-US" w:eastAsia="zh-CN"/>
              </w:rPr>
            </w:pPr>
            <w:r>
              <w:rPr>
                <w:rFonts w:hint="eastAsia" w:ascii="Times New Roman" w:hAnsi="Times New Roman" w:cs="Times New Roman"/>
                <w:b w:val="0"/>
                <w:color w:val="auto"/>
                <w:spacing w:val="0"/>
                <w:sz w:val="21"/>
                <w:szCs w:val="21"/>
                <w:highlight w:val="none"/>
                <w:lang w:val="en-US" w:eastAsia="zh-CN"/>
              </w:rPr>
              <w:t>本产品整体价格的</w:t>
            </w:r>
            <w:r>
              <w:rPr>
                <w:rFonts w:hint="default" w:ascii="Times New Roman" w:hAnsi="Times New Roman" w:eastAsia="宋体" w:cs="Times New Roman"/>
                <w:b w:val="0"/>
                <w:color w:val="auto"/>
                <w:spacing w:val="0"/>
                <w:sz w:val="21"/>
                <w:szCs w:val="21"/>
                <w:highlight w:val="none"/>
                <w:u w:val="single"/>
              </w:rPr>
              <w:t xml:space="preserve">   </w:t>
            </w:r>
            <w:r>
              <w:rPr>
                <w:rFonts w:hint="eastAsia" w:ascii="Times New Roman" w:hAnsi="Times New Roman" w:eastAsia="宋体" w:cs="Times New Roman"/>
                <w:b w:val="0"/>
                <w:color w:val="auto"/>
                <w:spacing w:val="0"/>
                <w:sz w:val="21"/>
                <w:szCs w:val="21"/>
                <w:highlight w:val="none"/>
                <w:u w:val="single"/>
                <w:lang w:val="en-US" w:eastAsia="zh-CN"/>
              </w:rPr>
              <w:t xml:space="preserve">  </w:t>
            </w:r>
            <w:r>
              <w:rPr>
                <w:rFonts w:hint="eastAsia" w:ascii="Times New Roman" w:hAnsi="Times New Roman" w:cs="Times New Roman"/>
                <w:b w:val="0"/>
                <w:color w:val="auto"/>
                <w:spacing w:val="0"/>
                <w:sz w:val="21"/>
                <w:szCs w:val="21"/>
                <w:highlight w:val="none"/>
                <w:lang w:val="en-US" w:eastAsia="zh-CN"/>
              </w:rPr>
              <w:t>%</w:t>
            </w:r>
          </w:p>
        </w:tc>
      </w:tr>
      <w:tr w14:paraId="361CD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089" w:type="dxa"/>
            <w:vMerge w:val="continue"/>
            <w:vAlign w:val="center"/>
          </w:tcPr>
          <w:p w14:paraId="58BA263B">
            <w:pPr>
              <w:pStyle w:val="44"/>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default" w:ascii="Times New Roman" w:hAnsi="Times New Roman" w:eastAsia="宋体" w:cs="Times New Roman"/>
                <w:b w:val="0"/>
                <w:color w:val="auto"/>
                <w:spacing w:val="0"/>
                <w:sz w:val="21"/>
                <w:szCs w:val="21"/>
                <w:highlight w:val="none"/>
              </w:rPr>
            </w:pPr>
          </w:p>
        </w:tc>
        <w:tc>
          <w:tcPr>
            <w:tcW w:w="2209" w:type="dxa"/>
            <w:vMerge w:val="restart"/>
            <w:vAlign w:val="center"/>
          </w:tcPr>
          <w:p w14:paraId="33A126F6">
            <w:pPr>
              <w:pStyle w:val="44"/>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b w:val="0"/>
                <w:color w:val="auto"/>
                <w:spacing w:val="0"/>
                <w:sz w:val="21"/>
                <w:szCs w:val="21"/>
                <w:highlight w:val="none"/>
                <w:lang w:val="en-US" w:eastAsia="zh-CN"/>
              </w:rPr>
            </w:pPr>
            <w:r>
              <w:rPr>
                <w:rFonts w:hint="default" w:ascii="Times New Roman" w:hAnsi="Times New Roman" w:cs="Times New Roman"/>
                <w:b w:val="0"/>
                <w:color w:val="auto"/>
                <w:spacing w:val="0"/>
                <w:sz w:val="21"/>
                <w:szCs w:val="21"/>
                <w:highlight w:val="none"/>
                <w:lang w:val="en-US" w:eastAsia="zh-CN"/>
              </w:rPr>
              <w:t>数据作业平台</w:t>
            </w:r>
          </w:p>
        </w:tc>
        <w:tc>
          <w:tcPr>
            <w:tcW w:w="2370" w:type="dxa"/>
            <w:gridSpan w:val="2"/>
            <w:vAlign w:val="center"/>
          </w:tcPr>
          <w:p w14:paraId="13C3E2A8">
            <w:pPr>
              <w:pStyle w:val="44"/>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default" w:ascii="Times New Roman" w:hAnsi="Times New Roman" w:eastAsia="宋体" w:cs="Times New Roman"/>
                <w:b w:val="0"/>
                <w:color w:val="auto"/>
                <w:spacing w:val="0"/>
                <w:sz w:val="21"/>
                <w:szCs w:val="21"/>
                <w:highlight w:val="none"/>
              </w:rPr>
            </w:pPr>
            <w:r>
              <w:rPr>
                <w:rFonts w:hint="eastAsia" w:ascii="Times New Roman" w:hAnsi="Times New Roman" w:cs="Times New Roman"/>
                <w:b w:val="0"/>
                <w:color w:val="auto"/>
                <w:spacing w:val="0"/>
                <w:sz w:val="21"/>
                <w:szCs w:val="21"/>
                <w:highlight w:val="none"/>
                <w:lang w:val="en-US" w:eastAsia="zh-CN"/>
              </w:rPr>
              <w:t>本产品整体价格</w:t>
            </w:r>
          </w:p>
        </w:tc>
        <w:tc>
          <w:tcPr>
            <w:tcW w:w="3271" w:type="dxa"/>
            <w:vAlign w:val="center"/>
          </w:tcPr>
          <w:p w14:paraId="7B9D2CDF">
            <w:pPr>
              <w:pStyle w:val="44"/>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default" w:ascii="Times New Roman" w:hAnsi="Times New Roman" w:eastAsia="宋体" w:cs="Times New Roman"/>
                <w:b w:val="0"/>
                <w:color w:val="auto"/>
                <w:spacing w:val="0"/>
                <w:sz w:val="21"/>
                <w:szCs w:val="21"/>
                <w:highlight w:val="none"/>
              </w:rPr>
            </w:pPr>
            <w:r>
              <w:rPr>
                <w:rFonts w:hint="default" w:ascii="Times New Roman" w:hAnsi="Times New Roman" w:eastAsia="宋体" w:cs="Times New Roman"/>
                <w:b w:val="0"/>
                <w:color w:val="auto"/>
                <w:spacing w:val="0"/>
                <w:sz w:val="21"/>
                <w:szCs w:val="21"/>
                <w:highlight w:val="none"/>
                <w:lang w:val="en-US" w:eastAsia="zh-CN"/>
              </w:rPr>
              <w:t>人民币：</w:t>
            </w:r>
            <w:r>
              <w:rPr>
                <w:rFonts w:hint="default" w:ascii="Times New Roman" w:hAnsi="Times New Roman" w:eastAsia="宋体" w:cs="Times New Roman"/>
                <w:b w:val="0"/>
                <w:color w:val="auto"/>
                <w:spacing w:val="0"/>
                <w:sz w:val="21"/>
                <w:szCs w:val="21"/>
                <w:highlight w:val="none"/>
                <w:u w:val="single"/>
              </w:rPr>
              <w:t xml:space="preserve">   </w:t>
            </w:r>
            <w:r>
              <w:rPr>
                <w:rFonts w:hint="eastAsia" w:ascii="Times New Roman" w:hAnsi="Times New Roman" w:eastAsia="宋体" w:cs="Times New Roman"/>
                <w:b w:val="0"/>
                <w:color w:val="auto"/>
                <w:spacing w:val="0"/>
                <w:sz w:val="21"/>
                <w:szCs w:val="21"/>
                <w:highlight w:val="none"/>
                <w:u w:val="single"/>
                <w:lang w:val="en-US" w:eastAsia="zh-CN"/>
              </w:rPr>
              <w:t xml:space="preserve">  </w:t>
            </w:r>
            <w:r>
              <w:rPr>
                <w:rFonts w:hint="default" w:ascii="Times New Roman" w:hAnsi="Times New Roman" w:eastAsia="宋体" w:cs="Times New Roman"/>
                <w:b w:val="0"/>
                <w:color w:val="auto"/>
                <w:spacing w:val="0"/>
                <w:sz w:val="21"/>
                <w:szCs w:val="21"/>
                <w:highlight w:val="none"/>
                <w:lang w:val="en-US" w:eastAsia="zh-CN"/>
              </w:rPr>
              <w:t>元（大写：</w:t>
            </w:r>
            <w:r>
              <w:rPr>
                <w:rFonts w:hint="default" w:ascii="Times New Roman" w:hAnsi="Times New Roman" w:eastAsia="宋体" w:cs="Times New Roman"/>
                <w:b w:val="0"/>
                <w:color w:val="auto"/>
                <w:spacing w:val="0"/>
                <w:sz w:val="21"/>
                <w:szCs w:val="21"/>
                <w:highlight w:val="none"/>
                <w:u w:val="single"/>
              </w:rPr>
              <w:t xml:space="preserve">   </w:t>
            </w:r>
            <w:r>
              <w:rPr>
                <w:rFonts w:hint="eastAsia" w:ascii="Times New Roman" w:hAnsi="Times New Roman" w:eastAsia="宋体" w:cs="Times New Roman"/>
                <w:b w:val="0"/>
                <w:color w:val="auto"/>
                <w:spacing w:val="0"/>
                <w:sz w:val="21"/>
                <w:szCs w:val="21"/>
                <w:highlight w:val="none"/>
                <w:u w:val="single"/>
                <w:lang w:val="en-US" w:eastAsia="zh-CN"/>
              </w:rPr>
              <w:t xml:space="preserve">  </w:t>
            </w:r>
            <w:r>
              <w:rPr>
                <w:rFonts w:hint="default" w:ascii="Times New Roman" w:hAnsi="Times New Roman" w:eastAsia="宋体" w:cs="Times New Roman"/>
                <w:b w:val="0"/>
                <w:color w:val="auto"/>
                <w:spacing w:val="0"/>
                <w:sz w:val="21"/>
                <w:szCs w:val="21"/>
                <w:highlight w:val="none"/>
                <w:lang w:val="en-US" w:eastAsia="zh-CN"/>
              </w:rPr>
              <w:t>）</w:t>
            </w:r>
          </w:p>
        </w:tc>
      </w:tr>
      <w:tr w14:paraId="6906E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1089" w:type="dxa"/>
            <w:vMerge w:val="continue"/>
            <w:vAlign w:val="center"/>
          </w:tcPr>
          <w:p w14:paraId="62BE910A">
            <w:pPr>
              <w:pStyle w:val="44"/>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default" w:ascii="Times New Roman" w:hAnsi="Times New Roman" w:eastAsia="宋体" w:cs="Times New Roman"/>
                <w:b w:val="0"/>
                <w:color w:val="auto"/>
                <w:spacing w:val="0"/>
                <w:sz w:val="21"/>
                <w:szCs w:val="21"/>
                <w:highlight w:val="none"/>
              </w:rPr>
            </w:pPr>
          </w:p>
        </w:tc>
        <w:tc>
          <w:tcPr>
            <w:tcW w:w="2209" w:type="dxa"/>
            <w:vMerge w:val="continue"/>
            <w:vAlign w:val="center"/>
          </w:tcPr>
          <w:p w14:paraId="5585F8D3">
            <w:pPr>
              <w:pStyle w:val="44"/>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cs="Times New Roman"/>
                <w:b w:val="0"/>
                <w:color w:val="auto"/>
                <w:spacing w:val="0"/>
                <w:sz w:val="21"/>
                <w:szCs w:val="21"/>
                <w:highlight w:val="none"/>
                <w:lang w:val="en-US" w:eastAsia="zh-CN"/>
              </w:rPr>
            </w:pPr>
          </w:p>
        </w:tc>
        <w:tc>
          <w:tcPr>
            <w:tcW w:w="2370" w:type="dxa"/>
            <w:gridSpan w:val="2"/>
            <w:vAlign w:val="center"/>
          </w:tcPr>
          <w:p w14:paraId="120D5536">
            <w:pPr>
              <w:pStyle w:val="44"/>
              <w:keepNext w:val="0"/>
              <w:keepLines w:val="0"/>
              <w:pageBreakBefore w:val="0"/>
              <w:widowControl w:val="0"/>
              <w:tabs>
                <w:tab w:val="clear" w:pos="1200"/>
              </w:tabs>
              <w:kinsoku/>
              <w:wordWrap/>
              <w:overflowPunct/>
              <w:topLinePunct w:val="0"/>
              <w:autoSpaceDE w:val="0"/>
              <w:autoSpaceDN w:val="0"/>
              <w:bidi w:val="0"/>
              <w:adjustRightInd/>
              <w:snapToGrid/>
              <w:spacing w:line="400" w:lineRule="exact"/>
              <w:ind w:firstLine="0" w:firstLineChars="0"/>
              <w:jc w:val="left"/>
              <w:textAlignment w:val="auto"/>
              <w:rPr>
                <w:rFonts w:hint="eastAsia" w:ascii="Times New Roman" w:hAnsi="Times New Roman" w:eastAsia="宋体" w:cs="Times New Roman"/>
                <w:b w:val="0"/>
                <w:color w:val="auto"/>
                <w:spacing w:val="0"/>
                <w:kern w:val="2"/>
                <w:sz w:val="21"/>
                <w:szCs w:val="21"/>
                <w:highlight w:val="none"/>
                <w:lang w:val="en-US" w:eastAsia="zh-CN" w:bidi="ar-SA"/>
              </w:rPr>
            </w:pPr>
            <w:r>
              <w:rPr>
                <w:rFonts w:hint="eastAsia" w:ascii="Times New Roman" w:hAnsi="Times New Roman" w:cs="Times New Roman"/>
                <w:b w:val="0"/>
                <w:color w:val="auto"/>
                <w:spacing w:val="0"/>
                <w:sz w:val="21"/>
                <w:szCs w:val="21"/>
                <w:highlight w:val="none"/>
                <w:lang w:val="en-US" w:eastAsia="zh-CN"/>
              </w:rPr>
              <w:t>免费维保期</w:t>
            </w:r>
          </w:p>
        </w:tc>
        <w:tc>
          <w:tcPr>
            <w:tcW w:w="3271" w:type="dxa"/>
            <w:vAlign w:val="center"/>
          </w:tcPr>
          <w:p w14:paraId="48C91202">
            <w:pPr>
              <w:pStyle w:val="44"/>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default" w:ascii="Times New Roman" w:hAnsi="Times New Roman" w:eastAsia="宋体" w:cs="Times New Roman"/>
                <w:b w:val="0"/>
                <w:color w:val="auto"/>
                <w:spacing w:val="0"/>
                <w:kern w:val="2"/>
                <w:sz w:val="21"/>
                <w:szCs w:val="21"/>
                <w:highlight w:val="none"/>
                <w:lang w:val="en-US" w:eastAsia="zh-CN" w:bidi="ar-SA"/>
              </w:rPr>
            </w:pPr>
            <w:r>
              <w:rPr>
                <w:rFonts w:hint="default" w:ascii="Times New Roman" w:hAnsi="Times New Roman" w:eastAsia="宋体" w:cs="Times New Roman"/>
                <w:b w:val="0"/>
                <w:color w:val="auto"/>
                <w:spacing w:val="0"/>
                <w:sz w:val="21"/>
                <w:szCs w:val="21"/>
                <w:highlight w:val="none"/>
                <w:u w:val="single"/>
              </w:rPr>
              <w:t xml:space="preserve">   </w:t>
            </w:r>
            <w:r>
              <w:rPr>
                <w:rFonts w:hint="eastAsia" w:ascii="Times New Roman" w:hAnsi="Times New Roman" w:eastAsia="宋体" w:cs="Times New Roman"/>
                <w:b w:val="0"/>
                <w:color w:val="auto"/>
                <w:spacing w:val="0"/>
                <w:sz w:val="21"/>
                <w:szCs w:val="21"/>
                <w:highlight w:val="none"/>
                <w:u w:val="single"/>
                <w:lang w:val="en-US" w:eastAsia="zh-CN"/>
              </w:rPr>
              <w:t xml:space="preserve">  </w:t>
            </w:r>
            <w:r>
              <w:rPr>
                <w:rFonts w:hint="eastAsia" w:ascii="Times New Roman" w:hAnsi="Times New Roman" w:cs="Times New Roman"/>
                <w:b w:val="0"/>
                <w:color w:val="auto"/>
                <w:spacing w:val="0"/>
                <w:sz w:val="21"/>
                <w:szCs w:val="21"/>
                <w:highlight w:val="none"/>
                <w:lang w:val="en-US" w:eastAsia="zh-CN"/>
              </w:rPr>
              <w:t>年（不低于3年）</w:t>
            </w:r>
          </w:p>
        </w:tc>
      </w:tr>
      <w:tr w14:paraId="1A5C9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9" w:type="dxa"/>
            <w:vMerge w:val="continue"/>
            <w:vAlign w:val="center"/>
          </w:tcPr>
          <w:p w14:paraId="700D5FB7">
            <w:pPr>
              <w:pStyle w:val="44"/>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default" w:ascii="Times New Roman" w:hAnsi="Times New Roman" w:eastAsia="宋体" w:cs="Times New Roman"/>
                <w:b w:val="0"/>
                <w:color w:val="auto"/>
                <w:spacing w:val="0"/>
                <w:sz w:val="21"/>
                <w:szCs w:val="21"/>
                <w:highlight w:val="none"/>
              </w:rPr>
            </w:pPr>
          </w:p>
        </w:tc>
        <w:tc>
          <w:tcPr>
            <w:tcW w:w="2209" w:type="dxa"/>
            <w:vMerge w:val="continue"/>
            <w:vAlign w:val="center"/>
          </w:tcPr>
          <w:p w14:paraId="00BB7B4D">
            <w:pPr>
              <w:pStyle w:val="44"/>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cs="Times New Roman"/>
                <w:b w:val="0"/>
                <w:color w:val="auto"/>
                <w:spacing w:val="0"/>
                <w:sz w:val="21"/>
                <w:szCs w:val="21"/>
                <w:highlight w:val="none"/>
                <w:lang w:val="en-US" w:eastAsia="zh-CN"/>
              </w:rPr>
            </w:pPr>
          </w:p>
        </w:tc>
        <w:tc>
          <w:tcPr>
            <w:tcW w:w="2370" w:type="dxa"/>
            <w:gridSpan w:val="2"/>
            <w:vAlign w:val="center"/>
          </w:tcPr>
          <w:p w14:paraId="76051526">
            <w:pPr>
              <w:pStyle w:val="44"/>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default" w:ascii="Times New Roman" w:hAnsi="Times New Roman" w:eastAsia="宋体" w:cs="Times New Roman"/>
                <w:b w:val="0"/>
                <w:color w:val="auto"/>
                <w:spacing w:val="0"/>
                <w:sz w:val="21"/>
                <w:szCs w:val="21"/>
                <w:highlight w:val="none"/>
                <w:lang w:val="en-US" w:eastAsia="zh-CN"/>
              </w:rPr>
            </w:pPr>
            <w:r>
              <w:rPr>
                <w:rFonts w:hint="eastAsia" w:ascii="Times New Roman" w:hAnsi="Times New Roman" w:cs="Times New Roman"/>
                <w:b w:val="0"/>
                <w:color w:val="auto"/>
                <w:spacing w:val="0"/>
                <w:sz w:val="21"/>
                <w:szCs w:val="21"/>
                <w:highlight w:val="none"/>
                <w:lang w:val="en-US" w:eastAsia="zh-CN"/>
              </w:rPr>
              <w:t>免费维保期后维保费用</w:t>
            </w:r>
          </w:p>
        </w:tc>
        <w:tc>
          <w:tcPr>
            <w:tcW w:w="3271" w:type="dxa"/>
            <w:vAlign w:val="center"/>
          </w:tcPr>
          <w:p w14:paraId="6F6CC67E">
            <w:pPr>
              <w:pStyle w:val="44"/>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default" w:ascii="Times New Roman" w:hAnsi="Times New Roman" w:eastAsia="宋体" w:cs="Times New Roman"/>
                <w:b w:val="0"/>
                <w:color w:val="auto"/>
                <w:spacing w:val="0"/>
                <w:sz w:val="21"/>
                <w:szCs w:val="21"/>
                <w:highlight w:val="none"/>
                <w:lang w:val="en-US" w:eastAsia="zh-CN"/>
              </w:rPr>
            </w:pPr>
            <w:r>
              <w:rPr>
                <w:rFonts w:hint="eastAsia" w:ascii="Times New Roman" w:hAnsi="Times New Roman" w:cs="Times New Roman"/>
                <w:b w:val="0"/>
                <w:color w:val="auto"/>
                <w:spacing w:val="0"/>
                <w:sz w:val="21"/>
                <w:szCs w:val="21"/>
                <w:highlight w:val="none"/>
                <w:lang w:val="en-US" w:eastAsia="zh-CN"/>
              </w:rPr>
              <w:t>本产品整体价格的</w:t>
            </w:r>
            <w:r>
              <w:rPr>
                <w:rFonts w:hint="default" w:ascii="Times New Roman" w:hAnsi="Times New Roman" w:eastAsia="宋体" w:cs="Times New Roman"/>
                <w:b w:val="0"/>
                <w:color w:val="auto"/>
                <w:spacing w:val="0"/>
                <w:sz w:val="21"/>
                <w:szCs w:val="21"/>
                <w:highlight w:val="none"/>
                <w:u w:val="single"/>
              </w:rPr>
              <w:t xml:space="preserve">   </w:t>
            </w:r>
            <w:r>
              <w:rPr>
                <w:rFonts w:hint="eastAsia" w:ascii="Times New Roman" w:hAnsi="Times New Roman" w:eastAsia="宋体" w:cs="Times New Roman"/>
                <w:b w:val="0"/>
                <w:color w:val="auto"/>
                <w:spacing w:val="0"/>
                <w:sz w:val="21"/>
                <w:szCs w:val="21"/>
                <w:highlight w:val="none"/>
                <w:u w:val="single"/>
                <w:lang w:val="en-US" w:eastAsia="zh-CN"/>
              </w:rPr>
              <w:t xml:space="preserve">  </w:t>
            </w:r>
            <w:r>
              <w:rPr>
                <w:rFonts w:hint="eastAsia" w:ascii="Times New Roman" w:hAnsi="Times New Roman" w:cs="Times New Roman"/>
                <w:b w:val="0"/>
                <w:color w:val="auto"/>
                <w:spacing w:val="0"/>
                <w:sz w:val="21"/>
                <w:szCs w:val="21"/>
                <w:highlight w:val="none"/>
                <w:lang w:val="en-US" w:eastAsia="zh-CN"/>
              </w:rPr>
              <w:t>%</w:t>
            </w:r>
          </w:p>
        </w:tc>
      </w:tr>
      <w:tr w14:paraId="16C94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089" w:type="dxa"/>
            <w:vMerge w:val="continue"/>
            <w:vAlign w:val="center"/>
          </w:tcPr>
          <w:p w14:paraId="09B985C7">
            <w:pPr>
              <w:pStyle w:val="44"/>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default" w:ascii="Times New Roman" w:hAnsi="Times New Roman" w:eastAsia="宋体" w:cs="Times New Roman"/>
                <w:b w:val="0"/>
                <w:color w:val="auto"/>
                <w:spacing w:val="0"/>
                <w:sz w:val="21"/>
                <w:szCs w:val="21"/>
                <w:highlight w:val="none"/>
              </w:rPr>
            </w:pPr>
          </w:p>
        </w:tc>
        <w:tc>
          <w:tcPr>
            <w:tcW w:w="2209" w:type="dxa"/>
            <w:vAlign w:val="center"/>
          </w:tcPr>
          <w:p w14:paraId="1DEA56ED">
            <w:pPr>
              <w:pStyle w:val="44"/>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b w:val="0"/>
                <w:color w:val="auto"/>
                <w:spacing w:val="0"/>
                <w:sz w:val="21"/>
                <w:szCs w:val="21"/>
                <w:highlight w:val="none"/>
                <w:lang w:val="en-US" w:eastAsia="zh-CN"/>
              </w:rPr>
            </w:pPr>
            <w:r>
              <w:rPr>
                <w:rFonts w:hint="eastAsia" w:ascii="Times New Roman" w:hAnsi="Times New Roman" w:cs="Times New Roman"/>
                <w:b w:val="0"/>
                <w:color w:val="auto"/>
                <w:spacing w:val="0"/>
                <w:sz w:val="21"/>
                <w:szCs w:val="21"/>
                <w:highlight w:val="none"/>
                <w:lang w:val="en-US" w:eastAsia="zh-CN"/>
              </w:rPr>
              <w:t>数据中台</w:t>
            </w:r>
            <w:r>
              <w:rPr>
                <w:rFonts w:hint="default" w:ascii="Times New Roman" w:hAnsi="Times New Roman" w:cs="Times New Roman"/>
                <w:b w:val="0"/>
                <w:color w:val="auto"/>
                <w:spacing w:val="0"/>
                <w:sz w:val="21"/>
                <w:szCs w:val="21"/>
                <w:highlight w:val="none"/>
                <w:lang w:val="en-US" w:eastAsia="zh-CN"/>
              </w:rPr>
              <w:t>实施和迁移</w:t>
            </w:r>
          </w:p>
        </w:tc>
        <w:tc>
          <w:tcPr>
            <w:tcW w:w="5641" w:type="dxa"/>
            <w:gridSpan w:val="3"/>
            <w:vAlign w:val="center"/>
          </w:tcPr>
          <w:p w14:paraId="1AD26B40">
            <w:pPr>
              <w:pStyle w:val="44"/>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default" w:ascii="Times New Roman" w:hAnsi="Times New Roman" w:eastAsia="宋体" w:cs="Times New Roman"/>
                <w:b w:val="0"/>
                <w:color w:val="auto"/>
                <w:spacing w:val="0"/>
                <w:kern w:val="2"/>
                <w:sz w:val="21"/>
                <w:szCs w:val="21"/>
                <w:highlight w:val="none"/>
                <w:lang w:val="en-US" w:eastAsia="zh-CN" w:bidi="ar-SA"/>
              </w:rPr>
            </w:pPr>
            <w:r>
              <w:rPr>
                <w:rFonts w:hint="default" w:ascii="Times New Roman" w:hAnsi="Times New Roman" w:eastAsia="宋体" w:cs="Times New Roman"/>
                <w:b w:val="0"/>
                <w:color w:val="auto"/>
                <w:spacing w:val="0"/>
                <w:sz w:val="21"/>
                <w:szCs w:val="21"/>
                <w:highlight w:val="none"/>
                <w:lang w:val="en-US" w:eastAsia="zh-CN"/>
              </w:rPr>
              <w:t>人民币：</w:t>
            </w:r>
            <w:r>
              <w:rPr>
                <w:rFonts w:hint="default" w:ascii="Times New Roman" w:hAnsi="Times New Roman" w:eastAsia="宋体" w:cs="Times New Roman"/>
                <w:b w:val="0"/>
                <w:color w:val="auto"/>
                <w:spacing w:val="0"/>
                <w:sz w:val="21"/>
                <w:szCs w:val="21"/>
                <w:highlight w:val="none"/>
                <w:u w:val="single"/>
              </w:rPr>
              <w:t xml:space="preserve">   </w:t>
            </w:r>
            <w:r>
              <w:rPr>
                <w:rFonts w:hint="eastAsia" w:ascii="Times New Roman" w:hAnsi="Times New Roman" w:eastAsia="宋体" w:cs="Times New Roman"/>
                <w:b w:val="0"/>
                <w:color w:val="auto"/>
                <w:spacing w:val="0"/>
                <w:sz w:val="21"/>
                <w:szCs w:val="21"/>
                <w:highlight w:val="none"/>
                <w:u w:val="single"/>
                <w:lang w:val="en-US" w:eastAsia="zh-CN"/>
              </w:rPr>
              <w:t xml:space="preserve">  </w:t>
            </w:r>
            <w:r>
              <w:rPr>
                <w:rFonts w:hint="default" w:ascii="Times New Roman" w:hAnsi="Times New Roman" w:eastAsia="宋体" w:cs="Times New Roman"/>
                <w:b w:val="0"/>
                <w:color w:val="auto"/>
                <w:spacing w:val="0"/>
                <w:sz w:val="21"/>
                <w:szCs w:val="21"/>
                <w:highlight w:val="none"/>
                <w:lang w:val="en-US" w:eastAsia="zh-CN"/>
              </w:rPr>
              <w:t>元（大写：</w:t>
            </w:r>
            <w:r>
              <w:rPr>
                <w:rFonts w:hint="default" w:ascii="Times New Roman" w:hAnsi="Times New Roman" w:eastAsia="宋体" w:cs="Times New Roman"/>
                <w:b w:val="0"/>
                <w:color w:val="auto"/>
                <w:spacing w:val="0"/>
                <w:sz w:val="21"/>
                <w:szCs w:val="21"/>
                <w:highlight w:val="none"/>
                <w:u w:val="single"/>
              </w:rPr>
              <w:t xml:space="preserve">   </w:t>
            </w:r>
            <w:r>
              <w:rPr>
                <w:rFonts w:hint="eastAsia" w:ascii="Times New Roman" w:hAnsi="Times New Roman" w:eastAsia="宋体" w:cs="Times New Roman"/>
                <w:b w:val="0"/>
                <w:color w:val="auto"/>
                <w:spacing w:val="0"/>
                <w:sz w:val="21"/>
                <w:szCs w:val="21"/>
                <w:highlight w:val="none"/>
                <w:u w:val="single"/>
                <w:lang w:val="en-US" w:eastAsia="zh-CN"/>
              </w:rPr>
              <w:t xml:space="preserve">  </w:t>
            </w:r>
            <w:r>
              <w:rPr>
                <w:rFonts w:hint="default" w:ascii="Times New Roman" w:hAnsi="Times New Roman" w:eastAsia="宋体" w:cs="Times New Roman"/>
                <w:b w:val="0"/>
                <w:color w:val="auto"/>
                <w:spacing w:val="0"/>
                <w:sz w:val="21"/>
                <w:szCs w:val="21"/>
                <w:highlight w:val="none"/>
                <w:lang w:val="en-US" w:eastAsia="zh-CN"/>
              </w:rPr>
              <w:t>）</w:t>
            </w:r>
          </w:p>
        </w:tc>
      </w:tr>
      <w:tr w14:paraId="01981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3298" w:type="dxa"/>
            <w:gridSpan w:val="2"/>
            <w:vAlign w:val="center"/>
          </w:tcPr>
          <w:p w14:paraId="7EE817B9">
            <w:pPr>
              <w:pStyle w:val="44"/>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default" w:ascii="Times New Roman" w:hAnsi="Times New Roman" w:eastAsia="宋体" w:cs="Times New Roman"/>
                <w:b w:val="0"/>
                <w:color w:val="auto"/>
                <w:spacing w:val="0"/>
                <w:sz w:val="21"/>
                <w:szCs w:val="21"/>
                <w:highlight w:val="none"/>
                <w:lang w:val="en-US" w:eastAsia="zh-CN"/>
              </w:rPr>
            </w:pPr>
            <w:r>
              <w:rPr>
                <w:rFonts w:hint="eastAsia" w:ascii="Times New Roman" w:hAnsi="Times New Roman" w:cs="Times New Roman"/>
                <w:b w:val="0"/>
                <w:color w:val="auto"/>
                <w:spacing w:val="0"/>
                <w:sz w:val="21"/>
                <w:szCs w:val="21"/>
                <w:highlight w:val="none"/>
                <w:lang w:val="en-US" w:eastAsia="zh-CN"/>
              </w:rPr>
              <w:t>不</w:t>
            </w:r>
            <w:r>
              <w:rPr>
                <w:rFonts w:hint="default" w:ascii="Times New Roman" w:hAnsi="Times New Roman" w:eastAsia="宋体" w:cs="Times New Roman"/>
                <w:b w:val="0"/>
                <w:color w:val="auto"/>
                <w:spacing w:val="0"/>
                <w:sz w:val="21"/>
                <w:szCs w:val="21"/>
                <w:highlight w:val="none"/>
              </w:rPr>
              <w:t>含税</w:t>
            </w:r>
            <w:r>
              <w:rPr>
                <w:rFonts w:hint="default" w:ascii="Times New Roman" w:hAnsi="Times New Roman" w:eastAsia="宋体" w:cs="Times New Roman"/>
                <w:b w:val="0"/>
                <w:color w:val="auto"/>
                <w:spacing w:val="0"/>
                <w:sz w:val="21"/>
                <w:szCs w:val="21"/>
                <w:highlight w:val="none"/>
                <w:lang w:val="en-US" w:eastAsia="zh-CN"/>
              </w:rPr>
              <w:t>参选报价</w:t>
            </w:r>
            <w:r>
              <w:rPr>
                <w:rFonts w:hint="default" w:ascii="Times New Roman" w:hAnsi="Times New Roman" w:cs="Times New Roman"/>
                <w:b w:val="0"/>
                <w:color w:val="auto"/>
                <w:spacing w:val="0"/>
                <w:sz w:val="21"/>
                <w:szCs w:val="21"/>
                <w:highlight w:val="none"/>
                <w:lang w:val="en-US" w:eastAsia="zh-CN"/>
              </w:rPr>
              <w:t>合计</w:t>
            </w:r>
          </w:p>
        </w:tc>
        <w:tc>
          <w:tcPr>
            <w:tcW w:w="5641" w:type="dxa"/>
            <w:gridSpan w:val="3"/>
            <w:vAlign w:val="center"/>
          </w:tcPr>
          <w:p w14:paraId="4BDB7F67">
            <w:pPr>
              <w:pStyle w:val="44"/>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default" w:ascii="Times New Roman" w:hAnsi="Times New Roman" w:eastAsia="宋体" w:cs="Times New Roman"/>
                <w:b w:val="0"/>
                <w:color w:val="auto"/>
                <w:spacing w:val="0"/>
                <w:sz w:val="21"/>
                <w:szCs w:val="21"/>
                <w:highlight w:val="none"/>
              </w:rPr>
            </w:pPr>
            <w:r>
              <w:rPr>
                <w:rFonts w:hint="default" w:ascii="Times New Roman" w:hAnsi="Times New Roman" w:eastAsia="宋体" w:cs="Times New Roman"/>
                <w:b w:val="0"/>
                <w:color w:val="auto"/>
                <w:spacing w:val="0"/>
                <w:sz w:val="21"/>
                <w:szCs w:val="21"/>
                <w:highlight w:val="none"/>
                <w:lang w:val="en-US" w:eastAsia="zh-CN"/>
              </w:rPr>
              <w:t>人民币：</w:t>
            </w:r>
            <w:r>
              <w:rPr>
                <w:rFonts w:hint="default" w:ascii="Times New Roman" w:hAnsi="Times New Roman" w:eastAsia="宋体" w:cs="Times New Roman"/>
                <w:b w:val="0"/>
                <w:color w:val="auto"/>
                <w:spacing w:val="0"/>
                <w:sz w:val="21"/>
                <w:szCs w:val="21"/>
                <w:highlight w:val="none"/>
                <w:u w:val="single"/>
              </w:rPr>
              <w:t xml:space="preserve">   </w:t>
            </w:r>
            <w:r>
              <w:rPr>
                <w:rFonts w:hint="eastAsia" w:ascii="Times New Roman" w:hAnsi="Times New Roman" w:eastAsia="宋体" w:cs="Times New Roman"/>
                <w:b w:val="0"/>
                <w:color w:val="auto"/>
                <w:spacing w:val="0"/>
                <w:sz w:val="21"/>
                <w:szCs w:val="21"/>
                <w:highlight w:val="none"/>
                <w:u w:val="single"/>
                <w:lang w:val="en-US" w:eastAsia="zh-CN"/>
              </w:rPr>
              <w:t xml:space="preserve">  </w:t>
            </w:r>
            <w:r>
              <w:rPr>
                <w:rFonts w:hint="default" w:ascii="Times New Roman" w:hAnsi="Times New Roman" w:eastAsia="宋体" w:cs="Times New Roman"/>
                <w:b w:val="0"/>
                <w:color w:val="auto"/>
                <w:spacing w:val="0"/>
                <w:sz w:val="21"/>
                <w:szCs w:val="21"/>
                <w:highlight w:val="none"/>
                <w:lang w:val="en-US" w:eastAsia="zh-CN"/>
              </w:rPr>
              <w:t>元（大写：</w:t>
            </w:r>
            <w:r>
              <w:rPr>
                <w:rFonts w:hint="default" w:ascii="Times New Roman" w:hAnsi="Times New Roman" w:eastAsia="宋体" w:cs="Times New Roman"/>
                <w:b w:val="0"/>
                <w:color w:val="auto"/>
                <w:spacing w:val="0"/>
                <w:sz w:val="21"/>
                <w:szCs w:val="21"/>
                <w:highlight w:val="none"/>
                <w:u w:val="single"/>
              </w:rPr>
              <w:t xml:space="preserve">   </w:t>
            </w:r>
            <w:r>
              <w:rPr>
                <w:rFonts w:hint="eastAsia" w:ascii="Times New Roman" w:hAnsi="Times New Roman" w:eastAsia="宋体" w:cs="Times New Roman"/>
                <w:b w:val="0"/>
                <w:color w:val="auto"/>
                <w:spacing w:val="0"/>
                <w:sz w:val="21"/>
                <w:szCs w:val="21"/>
                <w:highlight w:val="none"/>
                <w:u w:val="single"/>
                <w:lang w:val="en-US" w:eastAsia="zh-CN"/>
              </w:rPr>
              <w:t xml:space="preserve">  </w:t>
            </w:r>
            <w:r>
              <w:rPr>
                <w:rFonts w:hint="default" w:ascii="Times New Roman" w:hAnsi="Times New Roman" w:eastAsia="宋体" w:cs="Times New Roman"/>
                <w:b w:val="0"/>
                <w:color w:val="auto"/>
                <w:spacing w:val="0"/>
                <w:sz w:val="21"/>
                <w:szCs w:val="21"/>
                <w:highlight w:val="none"/>
                <w:lang w:val="en-US" w:eastAsia="zh-CN"/>
              </w:rPr>
              <w:t>）</w:t>
            </w:r>
          </w:p>
        </w:tc>
      </w:tr>
      <w:tr w14:paraId="3A7A5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3298" w:type="dxa"/>
            <w:gridSpan w:val="2"/>
            <w:vAlign w:val="center"/>
          </w:tcPr>
          <w:p w14:paraId="6FF167B9">
            <w:pPr>
              <w:pStyle w:val="44"/>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default" w:ascii="Times New Roman" w:hAnsi="Times New Roman" w:eastAsia="宋体" w:cs="Times New Roman"/>
                <w:b w:val="0"/>
                <w:color w:val="auto"/>
                <w:spacing w:val="0"/>
                <w:sz w:val="21"/>
                <w:szCs w:val="21"/>
                <w:highlight w:val="none"/>
                <w:lang w:val="en-US" w:eastAsia="zh-CN"/>
              </w:rPr>
            </w:pPr>
            <w:r>
              <w:rPr>
                <w:rFonts w:hint="eastAsia" w:ascii="Times New Roman" w:hAnsi="Times New Roman" w:cs="Times New Roman"/>
                <w:b w:val="0"/>
                <w:color w:val="auto"/>
                <w:spacing w:val="0"/>
                <w:sz w:val="21"/>
                <w:szCs w:val="21"/>
                <w:highlight w:val="none"/>
                <w:lang w:val="en-US" w:eastAsia="zh-CN"/>
              </w:rPr>
              <w:t>含税参选报价合计</w:t>
            </w:r>
          </w:p>
        </w:tc>
        <w:tc>
          <w:tcPr>
            <w:tcW w:w="5641" w:type="dxa"/>
            <w:gridSpan w:val="3"/>
            <w:vAlign w:val="center"/>
          </w:tcPr>
          <w:p w14:paraId="53AF20BC">
            <w:pPr>
              <w:pStyle w:val="44"/>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default" w:ascii="Times New Roman" w:hAnsi="Times New Roman" w:eastAsia="宋体" w:cs="Times New Roman"/>
                <w:b w:val="0"/>
                <w:color w:val="auto"/>
                <w:spacing w:val="0"/>
                <w:kern w:val="2"/>
                <w:sz w:val="21"/>
                <w:szCs w:val="21"/>
                <w:highlight w:val="none"/>
                <w:lang w:val="en-US" w:eastAsia="zh-CN" w:bidi="ar-SA"/>
              </w:rPr>
            </w:pPr>
            <w:r>
              <w:rPr>
                <w:rFonts w:hint="default" w:ascii="Times New Roman" w:hAnsi="Times New Roman" w:eastAsia="宋体" w:cs="Times New Roman"/>
                <w:b w:val="0"/>
                <w:color w:val="auto"/>
                <w:spacing w:val="0"/>
                <w:sz w:val="21"/>
                <w:szCs w:val="21"/>
                <w:highlight w:val="none"/>
                <w:lang w:val="en-US" w:eastAsia="zh-CN"/>
              </w:rPr>
              <w:t>人民币：</w:t>
            </w:r>
            <w:r>
              <w:rPr>
                <w:rFonts w:hint="default" w:ascii="Times New Roman" w:hAnsi="Times New Roman" w:eastAsia="宋体" w:cs="Times New Roman"/>
                <w:b w:val="0"/>
                <w:color w:val="auto"/>
                <w:spacing w:val="0"/>
                <w:sz w:val="21"/>
                <w:szCs w:val="21"/>
                <w:highlight w:val="none"/>
                <w:u w:val="single"/>
              </w:rPr>
              <w:t xml:space="preserve">   </w:t>
            </w:r>
            <w:r>
              <w:rPr>
                <w:rFonts w:hint="eastAsia" w:ascii="Times New Roman" w:hAnsi="Times New Roman" w:eastAsia="宋体" w:cs="Times New Roman"/>
                <w:b w:val="0"/>
                <w:color w:val="auto"/>
                <w:spacing w:val="0"/>
                <w:sz w:val="21"/>
                <w:szCs w:val="21"/>
                <w:highlight w:val="none"/>
                <w:u w:val="single"/>
                <w:lang w:val="en-US" w:eastAsia="zh-CN"/>
              </w:rPr>
              <w:t xml:space="preserve">  </w:t>
            </w:r>
            <w:r>
              <w:rPr>
                <w:rFonts w:hint="default" w:ascii="Times New Roman" w:hAnsi="Times New Roman" w:eastAsia="宋体" w:cs="Times New Roman"/>
                <w:b w:val="0"/>
                <w:color w:val="auto"/>
                <w:spacing w:val="0"/>
                <w:sz w:val="21"/>
                <w:szCs w:val="21"/>
                <w:highlight w:val="none"/>
                <w:lang w:val="en-US" w:eastAsia="zh-CN"/>
              </w:rPr>
              <w:t>元（大写：</w:t>
            </w:r>
            <w:r>
              <w:rPr>
                <w:rFonts w:hint="default" w:ascii="Times New Roman" w:hAnsi="Times New Roman" w:eastAsia="宋体" w:cs="Times New Roman"/>
                <w:b w:val="0"/>
                <w:color w:val="auto"/>
                <w:spacing w:val="0"/>
                <w:sz w:val="21"/>
                <w:szCs w:val="21"/>
                <w:highlight w:val="none"/>
                <w:u w:val="single"/>
              </w:rPr>
              <w:t xml:space="preserve">   </w:t>
            </w:r>
            <w:r>
              <w:rPr>
                <w:rFonts w:hint="eastAsia" w:ascii="Times New Roman" w:hAnsi="Times New Roman" w:eastAsia="宋体" w:cs="Times New Roman"/>
                <w:b w:val="0"/>
                <w:color w:val="auto"/>
                <w:spacing w:val="0"/>
                <w:sz w:val="21"/>
                <w:szCs w:val="21"/>
                <w:highlight w:val="none"/>
                <w:u w:val="single"/>
                <w:lang w:val="en-US" w:eastAsia="zh-CN"/>
              </w:rPr>
              <w:t xml:space="preserve">  </w:t>
            </w:r>
            <w:r>
              <w:rPr>
                <w:rFonts w:hint="default" w:ascii="Times New Roman" w:hAnsi="Times New Roman" w:eastAsia="宋体" w:cs="Times New Roman"/>
                <w:b w:val="0"/>
                <w:color w:val="auto"/>
                <w:spacing w:val="0"/>
                <w:sz w:val="21"/>
                <w:szCs w:val="21"/>
                <w:highlight w:val="none"/>
                <w:lang w:val="en-US" w:eastAsia="zh-CN"/>
              </w:rPr>
              <w:t>）</w:t>
            </w:r>
          </w:p>
        </w:tc>
      </w:tr>
      <w:tr w14:paraId="7C395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3298" w:type="dxa"/>
            <w:gridSpan w:val="2"/>
            <w:vAlign w:val="center"/>
          </w:tcPr>
          <w:p w14:paraId="76A98459">
            <w:pPr>
              <w:pStyle w:val="44"/>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default" w:ascii="Times New Roman" w:hAnsi="Times New Roman" w:eastAsia="宋体" w:cs="Times New Roman"/>
                <w:b w:val="0"/>
                <w:color w:val="auto"/>
                <w:spacing w:val="0"/>
                <w:sz w:val="21"/>
                <w:szCs w:val="21"/>
                <w:highlight w:val="none"/>
              </w:rPr>
            </w:pPr>
            <w:r>
              <w:rPr>
                <w:rFonts w:hint="default" w:ascii="Times New Roman" w:hAnsi="Times New Roman" w:eastAsia="宋体" w:cs="Times New Roman"/>
                <w:b w:val="0"/>
                <w:color w:val="auto"/>
                <w:spacing w:val="0"/>
                <w:sz w:val="21"/>
                <w:szCs w:val="21"/>
                <w:highlight w:val="none"/>
              </w:rPr>
              <w:t>增值税专用发票税率</w:t>
            </w:r>
          </w:p>
        </w:tc>
        <w:tc>
          <w:tcPr>
            <w:tcW w:w="5641" w:type="dxa"/>
            <w:gridSpan w:val="3"/>
            <w:vAlign w:val="center"/>
          </w:tcPr>
          <w:p w14:paraId="4951EA8D">
            <w:pPr>
              <w:pStyle w:val="44"/>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default" w:ascii="Times New Roman" w:hAnsi="Times New Roman" w:eastAsia="宋体" w:cs="Times New Roman"/>
                <w:b w:val="0"/>
                <w:color w:val="auto"/>
                <w:spacing w:val="0"/>
                <w:sz w:val="21"/>
                <w:szCs w:val="21"/>
                <w:highlight w:val="none"/>
              </w:rPr>
            </w:pPr>
            <w:r>
              <w:rPr>
                <w:rFonts w:hint="default" w:ascii="Times New Roman" w:hAnsi="Times New Roman" w:eastAsia="宋体" w:cs="Times New Roman"/>
                <w:b w:val="0"/>
                <w:color w:val="auto"/>
                <w:spacing w:val="0"/>
                <w:sz w:val="21"/>
                <w:szCs w:val="21"/>
                <w:highlight w:val="none"/>
              </w:rPr>
              <w:t>产品增值税专用发票税率：</w:t>
            </w:r>
            <w:r>
              <w:rPr>
                <w:rFonts w:hint="default" w:ascii="Times New Roman" w:hAnsi="Times New Roman" w:eastAsia="宋体" w:cs="Times New Roman"/>
                <w:b w:val="0"/>
                <w:color w:val="auto"/>
                <w:spacing w:val="0"/>
                <w:sz w:val="21"/>
                <w:szCs w:val="21"/>
                <w:highlight w:val="none"/>
                <w:u w:val="single"/>
              </w:rPr>
              <w:t xml:space="preserve">   </w:t>
            </w:r>
            <w:r>
              <w:rPr>
                <w:rFonts w:hint="eastAsia" w:ascii="Times New Roman" w:hAnsi="Times New Roman" w:cs="Times New Roman"/>
                <w:b w:val="0"/>
                <w:color w:val="auto"/>
                <w:spacing w:val="0"/>
                <w:sz w:val="21"/>
                <w:szCs w:val="21"/>
                <w:highlight w:val="none"/>
                <w:u w:val="single"/>
                <w:lang w:val="en-US" w:eastAsia="zh-CN"/>
              </w:rPr>
              <w:t>13</w:t>
            </w:r>
            <w:r>
              <w:rPr>
                <w:rFonts w:hint="eastAsia" w:ascii="Times New Roman" w:hAnsi="Times New Roman" w:eastAsia="宋体" w:cs="Times New Roman"/>
                <w:b w:val="0"/>
                <w:color w:val="auto"/>
                <w:spacing w:val="0"/>
                <w:sz w:val="21"/>
                <w:szCs w:val="21"/>
                <w:highlight w:val="none"/>
                <w:u w:val="single"/>
                <w:lang w:val="en-US" w:eastAsia="zh-CN"/>
              </w:rPr>
              <w:t xml:space="preserve">  </w:t>
            </w:r>
            <w:r>
              <w:rPr>
                <w:rFonts w:hint="default" w:ascii="Times New Roman" w:hAnsi="Times New Roman" w:eastAsia="宋体" w:cs="Times New Roman"/>
                <w:b w:val="0"/>
                <w:color w:val="auto"/>
                <w:spacing w:val="0"/>
                <w:sz w:val="21"/>
                <w:szCs w:val="21"/>
                <w:highlight w:val="none"/>
              </w:rPr>
              <w:t>%</w:t>
            </w:r>
          </w:p>
          <w:p w14:paraId="6E04590A">
            <w:pPr>
              <w:pStyle w:val="44"/>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default" w:ascii="Times New Roman" w:hAnsi="Times New Roman" w:eastAsia="宋体" w:cs="Times New Roman"/>
                <w:b w:val="0"/>
                <w:color w:val="auto"/>
                <w:spacing w:val="0"/>
                <w:sz w:val="21"/>
                <w:szCs w:val="21"/>
                <w:highlight w:val="none"/>
              </w:rPr>
            </w:pPr>
            <w:r>
              <w:rPr>
                <w:rFonts w:hint="default" w:ascii="Times New Roman" w:hAnsi="Times New Roman" w:eastAsia="宋体" w:cs="Times New Roman"/>
                <w:b w:val="0"/>
                <w:color w:val="auto"/>
                <w:spacing w:val="0"/>
                <w:sz w:val="21"/>
                <w:szCs w:val="21"/>
                <w:highlight w:val="none"/>
              </w:rPr>
              <w:t>实施服务增值税专用发票税率：</w:t>
            </w:r>
            <w:r>
              <w:rPr>
                <w:rFonts w:hint="default" w:ascii="Times New Roman" w:hAnsi="Times New Roman" w:eastAsia="宋体" w:cs="Times New Roman"/>
                <w:b w:val="0"/>
                <w:color w:val="auto"/>
                <w:spacing w:val="0"/>
                <w:sz w:val="21"/>
                <w:szCs w:val="21"/>
                <w:highlight w:val="none"/>
                <w:u w:val="single"/>
              </w:rPr>
              <w:t xml:space="preserve">   </w:t>
            </w:r>
            <w:r>
              <w:rPr>
                <w:rFonts w:hint="eastAsia" w:ascii="Times New Roman" w:hAnsi="Times New Roman" w:cs="Times New Roman"/>
                <w:b w:val="0"/>
                <w:color w:val="auto"/>
                <w:spacing w:val="0"/>
                <w:sz w:val="21"/>
                <w:szCs w:val="21"/>
                <w:highlight w:val="none"/>
                <w:u w:val="single"/>
                <w:lang w:val="en-US" w:eastAsia="zh-CN"/>
              </w:rPr>
              <w:t>6</w:t>
            </w:r>
            <w:r>
              <w:rPr>
                <w:rFonts w:hint="eastAsia" w:ascii="Times New Roman" w:hAnsi="Times New Roman" w:eastAsia="宋体" w:cs="Times New Roman"/>
                <w:b w:val="0"/>
                <w:color w:val="auto"/>
                <w:spacing w:val="0"/>
                <w:sz w:val="21"/>
                <w:szCs w:val="21"/>
                <w:highlight w:val="none"/>
                <w:u w:val="single"/>
                <w:lang w:val="en-US" w:eastAsia="zh-CN"/>
              </w:rPr>
              <w:t xml:space="preserve">  </w:t>
            </w:r>
            <w:r>
              <w:rPr>
                <w:rFonts w:hint="default" w:ascii="Times New Roman" w:hAnsi="Times New Roman" w:eastAsia="宋体" w:cs="Times New Roman"/>
                <w:b w:val="0"/>
                <w:color w:val="auto"/>
                <w:spacing w:val="0"/>
                <w:sz w:val="21"/>
                <w:szCs w:val="21"/>
                <w:highlight w:val="none"/>
              </w:rPr>
              <w:t>%</w:t>
            </w:r>
          </w:p>
        </w:tc>
      </w:tr>
      <w:tr w14:paraId="589C0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3298" w:type="dxa"/>
            <w:gridSpan w:val="2"/>
            <w:vAlign w:val="center"/>
          </w:tcPr>
          <w:p w14:paraId="7D1BBFEE">
            <w:pPr>
              <w:pStyle w:val="44"/>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default" w:ascii="Times New Roman" w:hAnsi="Times New Roman" w:eastAsia="宋体" w:cs="Times New Roman"/>
                <w:b w:val="0"/>
                <w:color w:val="auto"/>
                <w:spacing w:val="0"/>
                <w:sz w:val="21"/>
                <w:szCs w:val="21"/>
                <w:highlight w:val="none"/>
              </w:rPr>
            </w:pPr>
            <w:r>
              <w:rPr>
                <w:rFonts w:hint="default" w:ascii="Times New Roman" w:hAnsi="Times New Roman" w:eastAsia="宋体" w:cs="Times New Roman"/>
                <w:b w:val="0"/>
                <w:color w:val="auto"/>
                <w:spacing w:val="0"/>
                <w:sz w:val="21"/>
                <w:szCs w:val="21"/>
                <w:highlight w:val="none"/>
              </w:rPr>
              <w:t>备注</w:t>
            </w:r>
          </w:p>
        </w:tc>
        <w:tc>
          <w:tcPr>
            <w:tcW w:w="5641" w:type="dxa"/>
            <w:gridSpan w:val="3"/>
          </w:tcPr>
          <w:p w14:paraId="2E1AB3FC">
            <w:pPr>
              <w:pStyle w:val="44"/>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both"/>
              <w:textAlignment w:val="auto"/>
              <w:rPr>
                <w:rFonts w:hint="default" w:ascii="Times New Roman" w:hAnsi="Times New Roman" w:eastAsia="宋体" w:cs="Times New Roman"/>
                <w:b w:val="0"/>
                <w:color w:val="auto"/>
                <w:spacing w:val="0"/>
                <w:sz w:val="21"/>
                <w:szCs w:val="21"/>
                <w:highlight w:val="none"/>
                <w:lang w:val="en-US" w:eastAsia="zh-CN"/>
              </w:rPr>
            </w:pPr>
          </w:p>
        </w:tc>
      </w:tr>
      <w:tr w14:paraId="7E306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8939" w:type="dxa"/>
            <w:gridSpan w:val="5"/>
          </w:tcPr>
          <w:p w14:paraId="1D953101">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lang w:eastAsia="zh-CN"/>
              </w:rPr>
              <w:t>人全称（盖章）：</w:t>
            </w:r>
          </w:p>
          <w:p w14:paraId="7A3B02B7">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法定代表人或其委托代理人（签字或盖章）：</w:t>
            </w:r>
          </w:p>
          <w:p w14:paraId="0F3F29B6">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lang w:eastAsia="zh-CN"/>
              </w:rPr>
              <w:t>日期：</w:t>
            </w:r>
          </w:p>
        </w:tc>
      </w:tr>
    </w:tbl>
    <w:p w14:paraId="6B668CF0">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eastAsia="zh-CN"/>
        </w:rPr>
        <w:t>注：</w:t>
      </w:r>
    </w:p>
    <w:p w14:paraId="51EC619F">
      <w:pPr>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textAlignment w:val="auto"/>
        <w:rPr>
          <w:rFonts w:hint="default"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highlight w:val="none"/>
          <w:lang w:val="en-US" w:eastAsia="zh-CN"/>
        </w:rPr>
        <w:t>（1）</w:t>
      </w:r>
      <w:r>
        <w:rPr>
          <w:rFonts w:hint="default" w:ascii="Times New Roman" w:hAnsi="Times New Roman"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lang w:eastAsia="zh-CN"/>
        </w:rPr>
        <w:t>报价为完成本项目所需的一切费用</w:t>
      </w:r>
      <w:r>
        <w:rPr>
          <w:rFonts w:hint="eastAsia" w:ascii="Times New Roman" w:hAnsi="Times New Roman" w:cs="Times New Roman"/>
          <w:color w:val="auto"/>
          <w:sz w:val="21"/>
          <w:szCs w:val="21"/>
          <w:highlight w:val="none"/>
          <w:lang w:eastAsia="zh-CN"/>
        </w:rPr>
        <w:t>；</w:t>
      </w:r>
    </w:p>
    <w:p w14:paraId="6BC84F4F">
      <w:pPr>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textAlignment w:val="auto"/>
        <w:rPr>
          <w:rFonts w:hint="default"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highlight w:val="none"/>
          <w:lang w:val="en-US" w:eastAsia="zh-CN"/>
        </w:rPr>
        <w:t>（</w:t>
      </w:r>
      <w:r>
        <w:rPr>
          <w:rFonts w:hint="default" w:ascii="Times New Roman" w:hAnsi="Times New Roman" w:cs="Times New Roman"/>
          <w:color w:val="auto"/>
          <w:sz w:val="21"/>
          <w:szCs w:val="21"/>
          <w:highlight w:val="none"/>
          <w:lang w:val="en-US" w:eastAsia="zh-CN"/>
        </w:rPr>
        <w:t>2）</w:t>
      </w:r>
      <w:r>
        <w:rPr>
          <w:rFonts w:hint="eastAsia"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分项</w:t>
      </w:r>
      <w:r>
        <w:rPr>
          <w:rFonts w:hint="eastAsia" w:ascii="Times New Roman" w:hAnsi="Times New Roman" w:cs="Times New Roman"/>
          <w:color w:val="auto"/>
          <w:sz w:val="21"/>
          <w:szCs w:val="21"/>
          <w:highlight w:val="none"/>
          <w:lang w:val="en-US" w:eastAsia="zh-CN"/>
        </w:rPr>
        <w:t>报价</w:t>
      </w:r>
      <w:r>
        <w:rPr>
          <w:rFonts w:hint="default" w:ascii="Times New Roman" w:hAnsi="Times New Roman" w:cs="Times New Roman"/>
          <w:color w:val="auto"/>
          <w:sz w:val="21"/>
          <w:szCs w:val="21"/>
          <w:highlight w:val="none"/>
          <w:lang w:val="en-US" w:eastAsia="zh-CN"/>
        </w:rPr>
        <w:t>汇总表</w:t>
      </w:r>
      <w:r>
        <w:rPr>
          <w:rFonts w:hint="eastAsia" w:ascii="Times New Roman" w:hAnsi="Times New Roman"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eastAsia="zh-CN"/>
        </w:rPr>
        <w:t>为多页的，每页均须加盖</w:t>
      </w:r>
      <w:r>
        <w:rPr>
          <w:rFonts w:hint="eastAsia" w:ascii="Times New Roman" w:hAnsi="Times New Roman" w:cs="Times New Roman"/>
          <w:color w:val="auto"/>
          <w:sz w:val="21"/>
          <w:szCs w:val="21"/>
          <w:highlight w:val="none"/>
          <w:lang w:val="en-US" w:eastAsia="zh-CN"/>
        </w:rPr>
        <w:t>参选人</w:t>
      </w:r>
      <w:r>
        <w:rPr>
          <w:rFonts w:hint="default" w:ascii="Times New Roman" w:hAnsi="Times New Roman" w:eastAsia="宋体" w:cs="Times New Roman"/>
          <w:color w:val="auto"/>
          <w:sz w:val="21"/>
          <w:szCs w:val="21"/>
          <w:highlight w:val="none"/>
          <w:lang w:eastAsia="zh-CN"/>
        </w:rPr>
        <w:t>公章</w:t>
      </w:r>
      <w:r>
        <w:rPr>
          <w:rFonts w:hint="eastAsia" w:ascii="Times New Roman" w:hAnsi="Times New Roman" w:cs="Times New Roman"/>
          <w:color w:val="auto"/>
          <w:sz w:val="21"/>
          <w:szCs w:val="21"/>
          <w:highlight w:val="none"/>
          <w:lang w:eastAsia="zh-CN"/>
        </w:rPr>
        <w:t>；</w:t>
      </w:r>
    </w:p>
    <w:p w14:paraId="0DDD2847">
      <w:pPr>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textAlignment w:val="auto"/>
        <w:rPr>
          <w:rFonts w:hint="default"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highlight w:val="none"/>
          <w:lang w:val="en-US" w:eastAsia="zh-CN"/>
        </w:rPr>
        <w:t>（</w:t>
      </w:r>
      <w:r>
        <w:rPr>
          <w:rFonts w:hint="default" w:ascii="Times New Roman" w:hAnsi="Times New Roman" w:cs="Times New Roman"/>
          <w:color w:val="auto"/>
          <w:sz w:val="21"/>
          <w:szCs w:val="21"/>
          <w:highlight w:val="none"/>
          <w:lang w:val="en-US" w:eastAsia="zh-CN"/>
        </w:rPr>
        <w:t>3）含税参选</w:t>
      </w:r>
      <w:r>
        <w:rPr>
          <w:rFonts w:hint="default" w:ascii="Times New Roman" w:hAnsi="Times New Roman" w:eastAsia="宋体" w:cs="Times New Roman"/>
          <w:color w:val="auto"/>
          <w:sz w:val="21"/>
          <w:szCs w:val="21"/>
          <w:highlight w:val="none"/>
          <w:lang w:eastAsia="zh-CN"/>
        </w:rPr>
        <w:t>报价四舍五入保留小数点后两位</w:t>
      </w:r>
      <w:r>
        <w:rPr>
          <w:rFonts w:hint="eastAsia" w:ascii="Times New Roman" w:hAnsi="Times New Roman" w:cs="Times New Roman"/>
          <w:color w:val="auto"/>
          <w:sz w:val="21"/>
          <w:szCs w:val="21"/>
          <w:highlight w:val="none"/>
          <w:lang w:eastAsia="zh-CN"/>
        </w:rPr>
        <w:t>；</w:t>
      </w:r>
    </w:p>
    <w:p w14:paraId="0240273A">
      <w:pPr>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textAlignment w:val="auto"/>
        <w:rPr>
          <w:rFonts w:hint="eastAsia" w:ascii="Times New Roman" w:hAnsi="Times New Roman" w:cs="Times New Roman"/>
          <w:color w:val="auto"/>
          <w:sz w:val="21"/>
          <w:szCs w:val="21"/>
          <w:highlight w:val="none"/>
          <w:lang w:eastAsia="zh-CN"/>
        </w:rPr>
      </w:pPr>
      <w:r>
        <w:rPr>
          <w:rFonts w:hint="eastAsia" w:ascii="Times New Roman" w:hAnsi="Times New Roman" w:cs="Times New Roman"/>
          <w:color w:val="auto"/>
          <w:sz w:val="21"/>
          <w:szCs w:val="21"/>
          <w:highlight w:val="none"/>
          <w:lang w:val="en-US" w:eastAsia="zh-CN"/>
        </w:rPr>
        <w:t>（</w:t>
      </w:r>
      <w:r>
        <w:rPr>
          <w:rFonts w:hint="default" w:ascii="Times New Roman" w:hAnsi="Times New Roman" w:cs="Times New Roman"/>
          <w:color w:val="auto"/>
          <w:sz w:val="21"/>
          <w:szCs w:val="21"/>
          <w:highlight w:val="none"/>
          <w:lang w:val="en-US" w:eastAsia="zh-CN"/>
        </w:rPr>
        <w:t>4）含税参选分项报价或含税参选报价合计</w:t>
      </w:r>
      <w:r>
        <w:rPr>
          <w:rFonts w:hint="default" w:ascii="Times New Roman" w:hAnsi="Times New Roman" w:eastAsia="宋体" w:cs="Times New Roman"/>
          <w:color w:val="auto"/>
          <w:sz w:val="21"/>
          <w:szCs w:val="21"/>
          <w:highlight w:val="none"/>
          <w:lang w:eastAsia="zh-CN"/>
        </w:rPr>
        <w:t>超过</w:t>
      </w:r>
      <w:r>
        <w:rPr>
          <w:rFonts w:hint="default" w:ascii="Times New Roman" w:hAnsi="Times New Roman" w:cs="Times New Roman"/>
          <w:color w:val="auto"/>
          <w:sz w:val="21"/>
          <w:szCs w:val="21"/>
          <w:highlight w:val="none"/>
          <w:lang w:val="en-US" w:eastAsia="zh-CN"/>
        </w:rPr>
        <w:t>对应</w:t>
      </w:r>
      <w:r>
        <w:rPr>
          <w:rFonts w:hint="default" w:ascii="Times New Roman" w:hAnsi="Times New Roman" w:eastAsia="宋体" w:cs="Times New Roman"/>
          <w:color w:val="auto"/>
          <w:sz w:val="21"/>
          <w:szCs w:val="21"/>
          <w:highlight w:val="none"/>
          <w:lang w:eastAsia="zh-CN"/>
        </w:rPr>
        <w:t>最高限价的，</w:t>
      </w:r>
      <w:r>
        <w:rPr>
          <w:rFonts w:hint="default" w:ascii="Times New Roman" w:hAnsi="Times New Roman"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lang w:eastAsia="zh-CN"/>
        </w:rPr>
        <w:t>将被否决</w:t>
      </w:r>
      <w:r>
        <w:rPr>
          <w:rFonts w:hint="eastAsia" w:ascii="Times New Roman" w:hAnsi="Times New Roman" w:cs="Times New Roman"/>
          <w:color w:val="auto"/>
          <w:sz w:val="21"/>
          <w:szCs w:val="21"/>
          <w:highlight w:val="none"/>
          <w:lang w:eastAsia="zh-CN"/>
        </w:rPr>
        <w:t>；</w:t>
      </w:r>
    </w:p>
    <w:p w14:paraId="6F935380">
      <w:pPr>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textAlignment w:val="auto"/>
        <w:rPr>
          <w:rFonts w:hint="default"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highlight w:val="none"/>
          <w:lang w:val="en-US" w:eastAsia="zh-CN"/>
        </w:rPr>
        <w:t>（5）湖仓一体</w:t>
      </w:r>
      <w:r>
        <w:rPr>
          <w:rFonts w:hint="eastAsia" w:ascii="Times New Roman" w:hAnsi="Times New Roman" w:cs="Times New Roman"/>
          <w:b w:val="0"/>
          <w:color w:val="auto"/>
          <w:spacing w:val="0"/>
          <w:sz w:val="21"/>
          <w:szCs w:val="21"/>
          <w:highlight w:val="none"/>
          <w:lang w:val="en-US" w:eastAsia="zh-CN"/>
        </w:rPr>
        <w:t>产品整体价格=生产网段节点或VCpu数量</w:t>
      </w:r>
      <w:r>
        <w:rPr>
          <w:rFonts w:hint="default" w:ascii="Arial" w:hAnsi="Arial" w:cs="Arial"/>
          <w:b w:val="0"/>
          <w:color w:val="auto"/>
          <w:spacing w:val="0"/>
          <w:sz w:val="21"/>
          <w:szCs w:val="21"/>
          <w:highlight w:val="none"/>
          <w:lang w:val="en-US" w:eastAsia="zh-CN"/>
        </w:rPr>
        <w:t>×</w:t>
      </w:r>
      <w:r>
        <w:rPr>
          <w:rFonts w:hint="eastAsia" w:ascii="Arial" w:hAnsi="Arial" w:cs="Arial"/>
          <w:b w:val="0"/>
          <w:color w:val="auto"/>
          <w:spacing w:val="0"/>
          <w:sz w:val="21"/>
          <w:szCs w:val="21"/>
          <w:highlight w:val="none"/>
          <w:lang w:val="en-US" w:eastAsia="zh-CN"/>
        </w:rPr>
        <w:t>生产网段</w:t>
      </w:r>
      <w:r>
        <w:rPr>
          <w:rFonts w:hint="eastAsia" w:ascii="Times New Roman" w:hAnsi="Times New Roman" w:cs="Times New Roman"/>
          <w:b w:val="0"/>
          <w:color w:val="auto"/>
          <w:spacing w:val="0"/>
          <w:sz w:val="21"/>
          <w:szCs w:val="21"/>
          <w:highlight w:val="none"/>
          <w:lang w:val="en-US" w:eastAsia="zh-CN"/>
        </w:rPr>
        <w:t>节点或VCpu单价+测试网段节点或VCpu数量</w:t>
      </w:r>
      <w:r>
        <w:rPr>
          <w:rFonts w:hint="default" w:ascii="Arial" w:hAnsi="Arial" w:cs="Arial"/>
          <w:b w:val="0"/>
          <w:color w:val="auto"/>
          <w:spacing w:val="0"/>
          <w:sz w:val="21"/>
          <w:szCs w:val="21"/>
          <w:highlight w:val="none"/>
          <w:lang w:val="en-US" w:eastAsia="zh-CN"/>
        </w:rPr>
        <w:t>×</w:t>
      </w:r>
      <w:r>
        <w:rPr>
          <w:rFonts w:hint="eastAsia" w:ascii="Arial" w:hAnsi="Arial" w:cs="Arial"/>
          <w:b w:val="0"/>
          <w:color w:val="auto"/>
          <w:spacing w:val="0"/>
          <w:sz w:val="21"/>
          <w:szCs w:val="21"/>
          <w:highlight w:val="none"/>
          <w:lang w:val="en-US" w:eastAsia="zh-CN"/>
        </w:rPr>
        <w:t>测试网段</w:t>
      </w:r>
      <w:r>
        <w:rPr>
          <w:rFonts w:hint="eastAsia" w:ascii="Times New Roman" w:hAnsi="Times New Roman" w:cs="Times New Roman"/>
          <w:b w:val="0"/>
          <w:color w:val="auto"/>
          <w:spacing w:val="0"/>
          <w:sz w:val="21"/>
          <w:szCs w:val="21"/>
          <w:highlight w:val="none"/>
          <w:lang w:val="en-US" w:eastAsia="zh-CN"/>
        </w:rPr>
        <w:t>节点或VCpu单价。</w:t>
      </w:r>
    </w:p>
    <w:p w14:paraId="08EBE984">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outlineLvl w:val="2"/>
        <w:rPr>
          <w:rFonts w:hint="default" w:eastAsia="宋体"/>
          <w:color w:val="auto"/>
          <w:highlight w:val="none"/>
          <w:lang w:val="en-US"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二</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分项报价明细表</w:t>
      </w:r>
    </w:p>
    <w:tbl>
      <w:tblPr>
        <w:tblStyle w:val="23"/>
        <w:tblW w:w="8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7"/>
        <w:gridCol w:w="3342"/>
        <w:gridCol w:w="1385"/>
        <w:gridCol w:w="1339"/>
      </w:tblGrid>
      <w:tr w14:paraId="3A7E0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3" w:type="dxa"/>
            <w:gridSpan w:val="4"/>
            <w:vAlign w:val="center"/>
          </w:tcPr>
          <w:p w14:paraId="6052EC04">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eastAsia" w:ascii="Times New Roman" w:hAnsi="Times New Roman" w:cs="Times New Roman"/>
                <w:color w:val="auto"/>
                <w:sz w:val="21"/>
                <w:szCs w:val="21"/>
                <w:highlight w:val="none"/>
                <w:vertAlign w:val="baseline"/>
                <w:lang w:val="en-US" w:eastAsia="zh-CN"/>
              </w:rPr>
            </w:pPr>
            <w:r>
              <w:rPr>
                <w:rFonts w:hint="default" w:ascii="Times New Roman" w:hAnsi="Times New Roman" w:eastAsia="宋体" w:cs="Times New Roman"/>
                <w:b w:val="0"/>
                <w:color w:val="auto"/>
                <w:spacing w:val="0"/>
                <w:sz w:val="21"/>
                <w:szCs w:val="21"/>
                <w:highlight w:val="none"/>
              </w:rPr>
              <w:t>项目</w:t>
            </w:r>
            <w:r>
              <w:rPr>
                <w:rFonts w:hint="default" w:ascii="Times New Roman" w:hAnsi="Times New Roman" w:cs="Times New Roman"/>
                <w:b w:val="0"/>
                <w:color w:val="auto"/>
                <w:spacing w:val="0"/>
                <w:sz w:val="21"/>
                <w:szCs w:val="21"/>
                <w:highlight w:val="none"/>
                <w:lang w:val="en-US" w:eastAsia="zh-CN"/>
              </w:rPr>
              <w:t>名称</w:t>
            </w:r>
            <w:r>
              <w:rPr>
                <w:rFonts w:hint="default" w:ascii="Times New Roman" w:hAnsi="Times New Roman" w:cs="Times New Roman"/>
                <w:b w:val="0"/>
                <w:color w:val="auto"/>
                <w:spacing w:val="0"/>
                <w:sz w:val="21"/>
                <w:szCs w:val="21"/>
                <w:highlight w:val="none"/>
                <w:lang w:eastAsia="zh-CN"/>
              </w:rPr>
              <w:t>：</w:t>
            </w:r>
            <w:r>
              <w:rPr>
                <w:rFonts w:hint="eastAsia" w:ascii="Times New Roman" w:hAnsi="Times New Roman" w:cs="Times New Roman"/>
                <w:b w:val="0"/>
                <w:color w:val="auto"/>
                <w:spacing w:val="0"/>
                <w:sz w:val="21"/>
                <w:szCs w:val="21"/>
                <w:highlight w:val="none"/>
                <w:lang w:val="en-US" w:eastAsia="zh-CN"/>
              </w:rPr>
              <w:t>新一代数据中台项目（一期）</w:t>
            </w:r>
          </w:p>
        </w:tc>
      </w:tr>
      <w:tr w14:paraId="211F6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7" w:type="dxa"/>
            <w:vAlign w:val="center"/>
          </w:tcPr>
          <w:p w14:paraId="2DE121CE">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分项名称</w:t>
            </w:r>
          </w:p>
        </w:tc>
        <w:tc>
          <w:tcPr>
            <w:tcW w:w="3342" w:type="dxa"/>
            <w:vAlign w:val="center"/>
          </w:tcPr>
          <w:p w14:paraId="60CD1962">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实施或功能模块名称</w:t>
            </w:r>
          </w:p>
        </w:tc>
        <w:tc>
          <w:tcPr>
            <w:tcW w:w="1385" w:type="dxa"/>
            <w:vAlign w:val="center"/>
          </w:tcPr>
          <w:p w14:paraId="4D529649">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数量</w:t>
            </w:r>
          </w:p>
        </w:tc>
        <w:tc>
          <w:tcPr>
            <w:tcW w:w="1339" w:type="dxa"/>
            <w:vAlign w:val="center"/>
          </w:tcPr>
          <w:p w14:paraId="1E5D8912">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单价（元）</w:t>
            </w:r>
          </w:p>
        </w:tc>
      </w:tr>
      <w:tr w14:paraId="6B8F3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7" w:type="dxa"/>
            <w:vMerge w:val="restart"/>
            <w:vAlign w:val="center"/>
          </w:tcPr>
          <w:p w14:paraId="05CAC406">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湖仓一体底座</w:t>
            </w:r>
          </w:p>
        </w:tc>
        <w:tc>
          <w:tcPr>
            <w:tcW w:w="3342" w:type="dxa"/>
            <w:vAlign w:val="center"/>
          </w:tcPr>
          <w:p w14:paraId="5C213E3D">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default" w:ascii="Times New Roman" w:hAnsi="Times New Roman"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1.</w:t>
            </w:r>
          </w:p>
        </w:tc>
        <w:tc>
          <w:tcPr>
            <w:tcW w:w="1385" w:type="dxa"/>
            <w:vAlign w:val="center"/>
          </w:tcPr>
          <w:p w14:paraId="6C060803">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default" w:ascii="Times New Roman" w:hAnsi="Times New Roman" w:cs="Times New Roman"/>
                <w:color w:val="auto"/>
                <w:sz w:val="21"/>
                <w:szCs w:val="21"/>
                <w:highlight w:val="none"/>
                <w:vertAlign w:val="baseline"/>
                <w:lang w:val="en-US" w:eastAsia="zh-CN"/>
              </w:rPr>
            </w:pPr>
          </w:p>
        </w:tc>
        <w:tc>
          <w:tcPr>
            <w:tcW w:w="1339" w:type="dxa"/>
            <w:vAlign w:val="center"/>
          </w:tcPr>
          <w:p w14:paraId="0FBC56EF">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default" w:ascii="Times New Roman" w:hAnsi="Times New Roman" w:cs="Times New Roman"/>
                <w:color w:val="auto"/>
                <w:sz w:val="21"/>
                <w:szCs w:val="21"/>
                <w:highlight w:val="none"/>
                <w:vertAlign w:val="baseline"/>
                <w:lang w:val="en-US" w:eastAsia="zh-CN"/>
              </w:rPr>
            </w:pPr>
          </w:p>
        </w:tc>
      </w:tr>
      <w:tr w14:paraId="4A2B4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7" w:type="dxa"/>
            <w:vMerge w:val="continue"/>
            <w:vAlign w:val="center"/>
          </w:tcPr>
          <w:p w14:paraId="07F3F8F2">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p>
        </w:tc>
        <w:tc>
          <w:tcPr>
            <w:tcW w:w="3342" w:type="dxa"/>
            <w:vAlign w:val="center"/>
          </w:tcPr>
          <w:p w14:paraId="2030C1AB">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default" w:ascii="Times New Roman" w:hAnsi="Times New Roman"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2.</w:t>
            </w:r>
          </w:p>
        </w:tc>
        <w:tc>
          <w:tcPr>
            <w:tcW w:w="1385" w:type="dxa"/>
            <w:vAlign w:val="center"/>
          </w:tcPr>
          <w:p w14:paraId="53BDB0FA">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default" w:ascii="Times New Roman" w:hAnsi="Times New Roman" w:cs="Times New Roman"/>
                <w:color w:val="auto"/>
                <w:sz w:val="21"/>
                <w:szCs w:val="21"/>
                <w:highlight w:val="none"/>
                <w:vertAlign w:val="baseline"/>
                <w:lang w:val="en-US" w:eastAsia="zh-CN"/>
              </w:rPr>
            </w:pPr>
          </w:p>
        </w:tc>
        <w:tc>
          <w:tcPr>
            <w:tcW w:w="1339" w:type="dxa"/>
            <w:vAlign w:val="center"/>
          </w:tcPr>
          <w:p w14:paraId="05E26107">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default" w:ascii="Times New Roman" w:hAnsi="Times New Roman" w:cs="Times New Roman"/>
                <w:color w:val="auto"/>
                <w:sz w:val="21"/>
                <w:szCs w:val="21"/>
                <w:highlight w:val="none"/>
                <w:vertAlign w:val="baseline"/>
                <w:lang w:val="en-US" w:eastAsia="zh-CN"/>
              </w:rPr>
            </w:pPr>
          </w:p>
        </w:tc>
      </w:tr>
      <w:tr w14:paraId="00035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7" w:type="dxa"/>
            <w:vMerge w:val="continue"/>
            <w:vAlign w:val="center"/>
          </w:tcPr>
          <w:p w14:paraId="2BC3A864">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p>
        </w:tc>
        <w:tc>
          <w:tcPr>
            <w:tcW w:w="3342" w:type="dxa"/>
            <w:vAlign w:val="center"/>
          </w:tcPr>
          <w:p w14:paraId="42562B94">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default" w:ascii="Times New Roman" w:hAnsi="Times New Roman"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3.</w:t>
            </w:r>
          </w:p>
        </w:tc>
        <w:tc>
          <w:tcPr>
            <w:tcW w:w="1385" w:type="dxa"/>
            <w:vAlign w:val="center"/>
          </w:tcPr>
          <w:p w14:paraId="4811FA1B">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default" w:ascii="Times New Roman" w:hAnsi="Times New Roman" w:cs="Times New Roman"/>
                <w:color w:val="auto"/>
                <w:sz w:val="21"/>
                <w:szCs w:val="21"/>
                <w:highlight w:val="none"/>
                <w:vertAlign w:val="baseline"/>
                <w:lang w:val="en-US" w:eastAsia="zh-CN"/>
              </w:rPr>
            </w:pPr>
          </w:p>
        </w:tc>
        <w:tc>
          <w:tcPr>
            <w:tcW w:w="1339" w:type="dxa"/>
            <w:vAlign w:val="center"/>
          </w:tcPr>
          <w:p w14:paraId="3E2D619D">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default" w:ascii="Times New Roman" w:hAnsi="Times New Roman" w:cs="Times New Roman"/>
                <w:color w:val="auto"/>
                <w:sz w:val="21"/>
                <w:szCs w:val="21"/>
                <w:highlight w:val="none"/>
                <w:vertAlign w:val="baseline"/>
                <w:lang w:val="en-US" w:eastAsia="zh-CN"/>
              </w:rPr>
            </w:pPr>
          </w:p>
        </w:tc>
      </w:tr>
      <w:tr w14:paraId="1A7E5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7" w:type="dxa"/>
            <w:vMerge w:val="continue"/>
            <w:vAlign w:val="center"/>
          </w:tcPr>
          <w:p w14:paraId="5A5DB753">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p>
        </w:tc>
        <w:tc>
          <w:tcPr>
            <w:tcW w:w="3342" w:type="dxa"/>
            <w:vAlign w:val="center"/>
          </w:tcPr>
          <w:p w14:paraId="57B0714C">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w:t>
            </w:r>
          </w:p>
        </w:tc>
        <w:tc>
          <w:tcPr>
            <w:tcW w:w="1385" w:type="dxa"/>
            <w:vAlign w:val="center"/>
          </w:tcPr>
          <w:p w14:paraId="3088565F">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default" w:ascii="Times New Roman" w:hAnsi="Times New Roman" w:cs="Times New Roman"/>
                <w:color w:val="auto"/>
                <w:sz w:val="21"/>
                <w:szCs w:val="21"/>
                <w:highlight w:val="none"/>
                <w:vertAlign w:val="baseline"/>
                <w:lang w:val="en-US" w:eastAsia="zh-CN"/>
              </w:rPr>
            </w:pPr>
          </w:p>
        </w:tc>
        <w:tc>
          <w:tcPr>
            <w:tcW w:w="1339" w:type="dxa"/>
            <w:vAlign w:val="center"/>
          </w:tcPr>
          <w:p w14:paraId="390771E6">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default" w:ascii="Times New Roman" w:hAnsi="Times New Roman" w:cs="Times New Roman"/>
                <w:color w:val="auto"/>
                <w:sz w:val="21"/>
                <w:szCs w:val="21"/>
                <w:highlight w:val="none"/>
                <w:vertAlign w:val="baseline"/>
                <w:lang w:val="en-US" w:eastAsia="zh-CN"/>
              </w:rPr>
            </w:pPr>
          </w:p>
        </w:tc>
      </w:tr>
      <w:tr w14:paraId="7F1CE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7" w:type="dxa"/>
            <w:vMerge w:val="restart"/>
            <w:vAlign w:val="center"/>
          </w:tcPr>
          <w:p w14:paraId="4C844F9A">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数据作业平台</w:t>
            </w:r>
          </w:p>
        </w:tc>
        <w:tc>
          <w:tcPr>
            <w:tcW w:w="3342" w:type="dxa"/>
            <w:vAlign w:val="center"/>
          </w:tcPr>
          <w:p w14:paraId="348BC187">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cs="Times New Roman"/>
                <w:color w:val="auto"/>
                <w:sz w:val="21"/>
                <w:szCs w:val="21"/>
                <w:highlight w:val="none"/>
                <w:vertAlign w:val="baseline"/>
                <w:lang w:val="en-US" w:eastAsia="zh-CN"/>
              </w:rPr>
              <w:t>1.</w:t>
            </w:r>
          </w:p>
        </w:tc>
        <w:tc>
          <w:tcPr>
            <w:tcW w:w="1385" w:type="dxa"/>
            <w:vAlign w:val="center"/>
          </w:tcPr>
          <w:p w14:paraId="32C95675">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default" w:ascii="Times New Roman" w:hAnsi="Times New Roman" w:cs="Times New Roman"/>
                <w:color w:val="auto"/>
                <w:sz w:val="21"/>
                <w:szCs w:val="21"/>
                <w:highlight w:val="none"/>
                <w:vertAlign w:val="baseline"/>
                <w:lang w:val="en-US" w:eastAsia="zh-CN"/>
              </w:rPr>
            </w:pPr>
          </w:p>
        </w:tc>
        <w:tc>
          <w:tcPr>
            <w:tcW w:w="1339" w:type="dxa"/>
            <w:vAlign w:val="center"/>
          </w:tcPr>
          <w:p w14:paraId="5E377B42">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default" w:ascii="Times New Roman" w:hAnsi="Times New Roman" w:cs="Times New Roman"/>
                <w:color w:val="auto"/>
                <w:sz w:val="21"/>
                <w:szCs w:val="21"/>
                <w:highlight w:val="none"/>
                <w:vertAlign w:val="baseline"/>
                <w:lang w:val="en-US" w:eastAsia="zh-CN"/>
              </w:rPr>
            </w:pPr>
          </w:p>
        </w:tc>
      </w:tr>
      <w:tr w14:paraId="3D2B5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7" w:type="dxa"/>
            <w:vMerge w:val="continue"/>
            <w:vAlign w:val="center"/>
          </w:tcPr>
          <w:p w14:paraId="3E7B8103">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p>
        </w:tc>
        <w:tc>
          <w:tcPr>
            <w:tcW w:w="3342" w:type="dxa"/>
            <w:vAlign w:val="center"/>
          </w:tcPr>
          <w:p w14:paraId="6A8D5440">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cs="Times New Roman"/>
                <w:color w:val="auto"/>
                <w:sz w:val="21"/>
                <w:szCs w:val="21"/>
                <w:highlight w:val="none"/>
                <w:vertAlign w:val="baseline"/>
                <w:lang w:val="en-US" w:eastAsia="zh-CN"/>
              </w:rPr>
              <w:t>2.</w:t>
            </w:r>
          </w:p>
        </w:tc>
        <w:tc>
          <w:tcPr>
            <w:tcW w:w="1385" w:type="dxa"/>
            <w:vAlign w:val="center"/>
          </w:tcPr>
          <w:p w14:paraId="7C6D3B05">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default" w:ascii="Times New Roman" w:hAnsi="Times New Roman" w:cs="Times New Roman"/>
                <w:color w:val="auto"/>
                <w:sz w:val="21"/>
                <w:szCs w:val="21"/>
                <w:highlight w:val="none"/>
                <w:vertAlign w:val="baseline"/>
                <w:lang w:val="en-US" w:eastAsia="zh-CN"/>
              </w:rPr>
            </w:pPr>
          </w:p>
        </w:tc>
        <w:tc>
          <w:tcPr>
            <w:tcW w:w="1339" w:type="dxa"/>
            <w:vAlign w:val="center"/>
          </w:tcPr>
          <w:p w14:paraId="0E66CEDE">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default" w:ascii="Times New Roman" w:hAnsi="Times New Roman" w:cs="Times New Roman"/>
                <w:color w:val="auto"/>
                <w:sz w:val="21"/>
                <w:szCs w:val="21"/>
                <w:highlight w:val="none"/>
                <w:vertAlign w:val="baseline"/>
                <w:lang w:val="en-US" w:eastAsia="zh-CN"/>
              </w:rPr>
            </w:pPr>
          </w:p>
        </w:tc>
      </w:tr>
      <w:tr w14:paraId="69772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7" w:type="dxa"/>
            <w:vMerge w:val="continue"/>
            <w:vAlign w:val="center"/>
          </w:tcPr>
          <w:p w14:paraId="0A480E4B">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p>
        </w:tc>
        <w:tc>
          <w:tcPr>
            <w:tcW w:w="3342" w:type="dxa"/>
            <w:vAlign w:val="center"/>
          </w:tcPr>
          <w:p w14:paraId="0A3F7AE9">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cs="Times New Roman"/>
                <w:color w:val="auto"/>
                <w:sz w:val="21"/>
                <w:szCs w:val="21"/>
                <w:highlight w:val="none"/>
                <w:vertAlign w:val="baseline"/>
                <w:lang w:val="en-US" w:eastAsia="zh-CN"/>
              </w:rPr>
              <w:t>3.</w:t>
            </w:r>
          </w:p>
        </w:tc>
        <w:tc>
          <w:tcPr>
            <w:tcW w:w="1385" w:type="dxa"/>
            <w:vAlign w:val="center"/>
          </w:tcPr>
          <w:p w14:paraId="142CD6F5">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default" w:ascii="Times New Roman" w:hAnsi="Times New Roman" w:cs="Times New Roman"/>
                <w:color w:val="auto"/>
                <w:sz w:val="21"/>
                <w:szCs w:val="21"/>
                <w:highlight w:val="none"/>
                <w:vertAlign w:val="baseline"/>
                <w:lang w:val="en-US" w:eastAsia="zh-CN"/>
              </w:rPr>
            </w:pPr>
          </w:p>
        </w:tc>
        <w:tc>
          <w:tcPr>
            <w:tcW w:w="1339" w:type="dxa"/>
            <w:vAlign w:val="center"/>
          </w:tcPr>
          <w:p w14:paraId="69F6D01D">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default" w:ascii="Times New Roman" w:hAnsi="Times New Roman" w:cs="Times New Roman"/>
                <w:color w:val="auto"/>
                <w:sz w:val="21"/>
                <w:szCs w:val="21"/>
                <w:highlight w:val="none"/>
                <w:vertAlign w:val="baseline"/>
                <w:lang w:val="en-US" w:eastAsia="zh-CN"/>
              </w:rPr>
            </w:pPr>
          </w:p>
        </w:tc>
      </w:tr>
      <w:tr w14:paraId="43F82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7" w:type="dxa"/>
            <w:vMerge w:val="continue"/>
            <w:vAlign w:val="center"/>
          </w:tcPr>
          <w:p w14:paraId="6F817A3D">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p>
        </w:tc>
        <w:tc>
          <w:tcPr>
            <w:tcW w:w="3342" w:type="dxa"/>
            <w:vAlign w:val="center"/>
          </w:tcPr>
          <w:p w14:paraId="2B81DAA0">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w:t>
            </w:r>
          </w:p>
        </w:tc>
        <w:tc>
          <w:tcPr>
            <w:tcW w:w="1385" w:type="dxa"/>
            <w:vAlign w:val="center"/>
          </w:tcPr>
          <w:p w14:paraId="5F93D4FF">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default" w:ascii="Times New Roman" w:hAnsi="Times New Roman" w:cs="Times New Roman"/>
                <w:color w:val="auto"/>
                <w:sz w:val="21"/>
                <w:szCs w:val="21"/>
                <w:highlight w:val="none"/>
                <w:vertAlign w:val="baseline"/>
                <w:lang w:val="en-US" w:eastAsia="zh-CN"/>
              </w:rPr>
            </w:pPr>
          </w:p>
        </w:tc>
        <w:tc>
          <w:tcPr>
            <w:tcW w:w="1339" w:type="dxa"/>
            <w:vAlign w:val="center"/>
          </w:tcPr>
          <w:p w14:paraId="0B49A04B">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default" w:ascii="Times New Roman" w:hAnsi="Times New Roman" w:cs="Times New Roman"/>
                <w:color w:val="auto"/>
                <w:sz w:val="21"/>
                <w:szCs w:val="21"/>
                <w:highlight w:val="none"/>
                <w:vertAlign w:val="baseline"/>
                <w:lang w:val="en-US" w:eastAsia="zh-CN"/>
              </w:rPr>
            </w:pPr>
          </w:p>
        </w:tc>
      </w:tr>
      <w:tr w14:paraId="2A368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7" w:type="dxa"/>
            <w:vMerge w:val="restart"/>
            <w:vAlign w:val="center"/>
          </w:tcPr>
          <w:p w14:paraId="6B94CFE2">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数据中台实施和迁移</w:t>
            </w:r>
          </w:p>
        </w:tc>
        <w:tc>
          <w:tcPr>
            <w:tcW w:w="3342" w:type="dxa"/>
            <w:vAlign w:val="center"/>
          </w:tcPr>
          <w:p w14:paraId="643ABD3E">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cs="Times New Roman"/>
                <w:color w:val="auto"/>
                <w:sz w:val="21"/>
                <w:szCs w:val="21"/>
                <w:highlight w:val="none"/>
                <w:vertAlign w:val="baseline"/>
                <w:lang w:val="en-US" w:eastAsia="zh-CN"/>
              </w:rPr>
              <w:t>1.</w:t>
            </w:r>
          </w:p>
        </w:tc>
        <w:tc>
          <w:tcPr>
            <w:tcW w:w="1385" w:type="dxa"/>
            <w:vAlign w:val="center"/>
          </w:tcPr>
          <w:p w14:paraId="77350D5D">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default" w:ascii="Times New Roman" w:hAnsi="Times New Roman" w:cs="Times New Roman"/>
                <w:color w:val="auto"/>
                <w:sz w:val="21"/>
                <w:szCs w:val="21"/>
                <w:highlight w:val="none"/>
                <w:vertAlign w:val="baseline"/>
                <w:lang w:val="en-US" w:eastAsia="zh-CN"/>
              </w:rPr>
            </w:pPr>
          </w:p>
        </w:tc>
        <w:tc>
          <w:tcPr>
            <w:tcW w:w="1339" w:type="dxa"/>
            <w:vAlign w:val="center"/>
          </w:tcPr>
          <w:p w14:paraId="3204403E">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default" w:ascii="Times New Roman" w:hAnsi="Times New Roman" w:cs="Times New Roman"/>
                <w:color w:val="auto"/>
                <w:sz w:val="21"/>
                <w:szCs w:val="21"/>
                <w:highlight w:val="none"/>
                <w:vertAlign w:val="baseline"/>
                <w:lang w:val="en-US" w:eastAsia="zh-CN"/>
              </w:rPr>
            </w:pPr>
          </w:p>
        </w:tc>
      </w:tr>
      <w:tr w14:paraId="7AFC6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7" w:type="dxa"/>
            <w:vMerge w:val="continue"/>
            <w:vAlign w:val="center"/>
          </w:tcPr>
          <w:p w14:paraId="65243EFB">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default" w:ascii="Times New Roman" w:hAnsi="Times New Roman" w:cs="Times New Roman"/>
                <w:color w:val="auto"/>
                <w:sz w:val="21"/>
                <w:szCs w:val="21"/>
                <w:highlight w:val="none"/>
                <w:vertAlign w:val="baseline"/>
                <w:lang w:val="en-US" w:eastAsia="zh-CN"/>
              </w:rPr>
            </w:pPr>
          </w:p>
        </w:tc>
        <w:tc>
          <w:tcPr>
            <w:tcW w:w="3342" w:type="dxa"/>
            <w:vAlign w:val="center"/>
          </w:tcPr>
          <w:p w14:paraId="49B58D5B">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cs="Times New Roman"/>
                <w:color w:val="auto"/>
                <w:sz w:val="21"/>
                <w:szCs w:val="21"/>
                <w:highlight w:val="none"/>
                <w:vertAlign w:val="baseline"/>
                <w:lang w:val="en-US" w:eastAsia="zh-CN"/>
              </w:rPr>
              <w:t>2.</w:t>
            </w:r>
          </w:p>
        </w:tc>
        <w:tc>
          <w:tcPr>
            <w:tcW w:w="1385" w:type="dxa"/>
            <w:vAlign w:val="center"/>
          </w:tcPr>
          <w:p w14:paraId="7E39C990">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default" w:ascii="Times New Roman" w:hAnsi="Times New Roman" w:cs="Times New Roman"/>
                <w:color w:val="auto"/>
                <w:sz w:val="21"/>
                <w:szCs w:val="21"/>
                <w:highlight w:val="none"/>
                <w:vertAlign w:val="baseline"/>
                <w:lang w:val="en-US" w:eastAsia="zh-CN"/>
              </w:rPr>
            </w:pPr>
          </w:p>
        </w:tc>
        <w:tc>
          <w:tcPr>
            <w:tcW w:w="1339" w:type="dxa"/>
            <w:vAlign w:val="center"/>
          </w:tcPr>
          <w:p w14:paraId="4599D66E">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default" w:ascii="Times New Roman" w:hAnsi="Times New Roman" w:cs="Times New Roman"/>
                <w:color w:val="auto"/>
                <w:sz w:val="21"/>
                <w:szCs w:val="21"/>
                <w:highlight w:val="none"/>
                <w:vertAlign w:val="baseline"/>
                <w:lang w:val="en-US" w:eastAsia="zh-CN"/>
              </w:rPr>
            </w:pPr>
          </w:p>
        </w:tc>
      </w:tr>
      <w:tr w14:paraId="2C789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7" w:type="dxa"/>
            <w:vMerge w:val="continue"/>
            <w:vAlign w:val="center"/>
          </w:tcPr>
          <w:p w14:paraId="779D15BA">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default" w:ascii="Times New Roman" w:hAnsi="Times New Roman" w:cs="Times New Roman"/>
                <w:color w:val="auto"/>
                <w:sz w:val="21"/>
                <w:szCs w:val="21"/>
                <w:highlight w:val="none"/>
                <w:vertAlign w:val="baseline"/>
                <w:lang w:val="en-US" w:eastAsia="zh-CN"/>
              </w:rPr>
            </w:pPr>
          </w:p>
        </w:tc>
        <w:tc>
          <w:tcPr>
            <w:tcW w:w="3342" w:type="dxa"/>
            <w:vAlign w:val="center"/>
          </w:tcPr>
          <w:p w14:paraId="08FDD38D">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cs="Times New Roman"/>
                <w:color w:val="auto"/>
                <w:sz w:val="21"/>
                <w:szCs w:val="21"/>
                <w:highlight w:val="none"/>
                <w:vertAlign w:val="baseline"/>
                <w:lang w:val="en-US" w:eastAsia="zh-CN"/>
              </w:rPr>
              <w:t>3.</w:t>
            </w:r>
          </w:p>
        </w:tc>
        <w:tc>
          <w:tcPr>
            <w:tcW w:w="1385" w:type="dxa"/>
            <w:vAlign w:val="center"/>
          </w:tcPr>
          <w:p w14:paraId="3DEE2B5A">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default" w:ascii="Times New Roman" w:hAnsi="Times New Roman" w:cs="Times New Roman"/>
                <w:color w:val="auto"/>
                <w:sz w:val="21"/>
                <w:szCs w:val="21"/>
                <w:highlight w:val="none"/>
                <w:vertAlign w:val="baseline"/>
                <w:lang w:val="en-US" w:eastAsia="zh-CN"/>
              </w:rPr>
            </w:pPr>
          </w:p>
        </w:tc>
        <w:tc>
          <w:tcPr>
            <w:tcW w:w="1339" w:type="dxa"/>
            <w:vAlign w:val="center"/>
          </w:tcPr>
          <w:p w14:paraId="71734E55">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default" w:ascii="Times New Roman" w:hAnsi="Times New Roman" w:cs="Times New Roman"/>
                <w:color w:val="auto"/>
                <w:sz w:val="21"/>
                <w:szCs w:val="21"/>
                <w:highlight w:val="none"/>
                <w:vertAlign w:val="baseline"/>
                <w:lang w:val="en-US" w:eastAsia="zh-CN"/>
              </w:rPr>
            </w:pPr>
          </w:p>
        </w:tc>
      </w:tr>
      <w:tr w14:paraId="12120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7" w:type="dxa"/>
            <w:vMerge w:val="continue"/>
            <w:vAlign w:val="center"/>
          </w:tcPr>
          <w:p w14:paraId="75DA6B14">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default" w:ascii="Times New Roman" w:hAnsi="Times New Roman" w:cs="Times New Roman"/>
                <w:color w:val="auto"/>
                <w:sz w:val="21"/>
                <w:szCs w:val="21"/>
                <w:highlight w:val="none"/>
                <w:vertAlign w:val="baseline"/>
                <w:lang w:val="en-US" w:eastAsia="zh-CN"/>
              </w:rPr>
            </w:pPr>
          </w:p>
        </w:tc>
        <w:tc>
          <w:tcPr>
            <w:tcW w:w="3342" w:type="dxa"/>
            <w:vAlign w:val="center"/>
          </w:tcPr>
          <w:p w14:paraId="4A015B12">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w:t>
            </w:r>
          </w:p>
        </w:tc>
        <w:tc>
          <w:tcPr>
            <w:tcW w:w="1385" w:type="dxa"/>
            <w:vAlign w:val="center"/>
          </w:tcPr>
          <w:p w14:paraId="7BDE1425">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default" w:ascii="Times New Roman" w:hAnsi="Times New Roman" w:cs="Times New Roman"/>
                <w:color w:val="auto"/>
                <w:sz w:val="21"/>
                <w:szCs w:val="21"/>
                <w:highlight w:val="none"/>
                <w:vertAlign w:val="baseline"/>
                <w:lang w:val="en-US" w:eastAsia="zh-CN"/>
              </w:rPr>
            </w:pPr>
          </w:p>
        </w:tc>
        <w:tc>
          <w:tcPr>
            <w:tcW w:w="1339" w:type="dxa"/>
            <w:vAlign w:val="center"/>
          </w:tcPr>
          <w:p w14:paraId="09BACCFE">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default" w:ascii="Times New Roman" w:hAnsi="Times New Roman" w:cs="Times New Roman"/>
                <w:color w:val="auto"/>
                <w:sz w:val="21"/>
                <w:szCs w:val="21"/>
                <w:highlight w:val="none"/>
                <w:vertAlign w:val="baseline"/>
                <w:lang w:val="en-US" w:eastAsia="zh-CN"/>
              </w:rPr>
            </w:pPr>
          </w:p>
        </w:tc>
      </w:tr>
      <w:tr w14:paraId="1938A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7" w:type="dxa"/>
            <w:vAlign w:val="center"/>
          </w:tcPr>
          <w:p w14:paraId="26FD5E86">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备注</w:t>
            </w:r>
          </w:p>
        </w:tc>
        <w:tc>
          <w:tcPr>
            <w:tcW w:w="6066" w:type="dxa"/>
            <w:gridSpan w:val="3"/>
            <w:vAlign w:val="center"/>
          </w:tcPr>
          <w:p w14:paraId="5B6C376B">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default" w:ascii="Times New Roman" w:hAnsi="Times New Roman" w:cs="Times New Roman"/>
                <w:color w:val="auto"/>
                <w:sz w:val="21"/>
                <w:szCs w:val="21"/>
                <w:highlight w:val="none"/>
                <w:vertAlign w:val="baseline"/>
                <w:lang w:val="en-US" w:eastAsia="zh-CN"/>
              </w:rPr>
            </w:pPr>
          </w:p>
        </w:tc>
      </w:tr>
      <w:tr w14:paraId="64D6A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3" w:type="dxa"/>
            <w:gridSpan w:val="4"/>
            <w:vAlign w:val="center"/>
          </w:tcPr>
          <w:p w14:paraId="1B65B70A">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lang w:eastAsia="zh-CN"/>
              </w:rPr>
              <w:t>人全称（盖章）：</w:t>
            </w:r>
          </w:p>
          <w:p w14:paraId="0B21BA49">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法定代表人或其委托代理人（签字或盖章）：</w:t>
            </w:r>
          </w:p>
          <w:p w14:paraId="211F5ADA">
            <w:pPr>
              <w:keepNext w:val="0"/>
              <w:keepLines w:val="0"/>
              <w:pageBreakBefore w:val="0"/>
              <w:widowControl w:val="0"/>
              <w:tabs>
                <w:tab w:val="left" w:pos="1800"/>
              </w:tabs>
              <w:kinsoku/>
              <w:wordWrap/>
              <w:overflowPunct/>
              <w:topLinePunct w:val="0"/>
              <w:autoSpaceDE w:val="0"/>
              <w:autoSpaceDN w:val="0"/>
              <w:bidi w:val="0"/>
              <w:adjustRightInd/>
              <w:snapToGrid/>
              <w:spacing w:line="400" w:lineRule="exact"/>
              <w:ind w:firstLine="0" w:firstLineChars="0"/>
              <w:jc w:val="left"/>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lang w:eastAsia="zh-CN"/>
              </w:rPr>
              <w:t>日期：</w:t>
            </w:r>
          </w:p>
        </w:tc>
      </w:tr>
    </w:tbl>
    <w:p w14:paraId="71490A5F">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Times New Roman" w:hAnsi="Times New Roman" w:cs="Times New Roman"/>
          <w:b/>
          <w:bCs/>
          <w:color w:val="auto"/>
          <w:sz w:val="21"/>
          <w:szCs w:val="21"/>
          <w:highlight w:val="none"/>
          <w:lang w:val="en-US" w:eastAsia="zh-CN"/>
        </w:rPr>
      </w:pPr>
      <w:r>
        <w:rPr>
          <w:rFonts w:hint="eastAsia" w:ascii="Times New Roman" w:hAnsi="Times New Roman" w:cs="Times New Roman"/>
          <w:b/>
          <w:bCs/>
          <w:color w:val="auto"/>
          <w:sz w:val="21"/>
          <w:szCs w:val="21"/>
          <w:highlight w:val="none"/>
          <w:lang w:val="en-US" w:eastAsia="zh-CN"/>
        </w:rPr>
        <w:t>注：</w:t>
      </w:r>
    </w:p>
    <w:p w14:paraId="1F805CD1">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ind w:firstLine="420" w:firstLineChars="200"/>
        <w:textAlignment w:val="auto"/>
        <w:rPr>
          <w:rFonts w:hint="default" w:ascii="Times New Roman" w:hAnsi="Times New Roman" w:eastAsia="宋体" w:cs="Times New Roman"/>
          <w:b w:val="0"/>
          <w:bCs w:val="0"/>
          <w:color w:val="auto"/>
          <w:sz w:val="21"/>
          <w:szCs w:val="21"/>
          <w:highlight w:val="none"/>
          <w:lang w:eastAsia="zh-CN"/>
        </w:rPr>
      </w:pPr>
      <w:r>
        <w:rPr>
          <w:rFonts w:hint="eastAsia" w:ascii="Times New Roman" w:hAnsi="Times New Roman" w:cs="Times New Roman"/>
          <w:b w:val="0"/>
          <w:bCs w:val="0"/>
          <w:color w:val="auto"/>
          <w:kern w:val="2"/>
          <w:sz w:val="21"/>
          <w:szCs w:val="21"/>
          <w:highlight w:val="none"/>
          <w:lang w:val="en-US" w:eastAsia="zh-CN" w:bidi="ar-SA"/>
        </w:rPr>
        <w:t>（1）</w:t>
      </w:r>
      <w:r>
        <w:rPr>
          <w:rFonts w:hint="eastAsia" w:ascii="Times New Roman" w:hAnsi="Times New Roman" w:cs="Times New Roman"/>
          <w:b w:val="0"/>
          <w:bCs w:val="0"/>
          <w:color w:val="auto"/>
          <w:sz w:val="21"/>
          <w:szCs w:val="21"/>
          <w:highlight w:val="none"/>
          <w:lang w:eastAsia="zh-CN"/>
        </w:rPr>
        <w:t>“</w:t>
      </w:r>
      <w:r>
        <w:rPr>
          <w:rFonts w:hint="eastAsia" w:ascii="Times New Roman" w:hAnsi="Times New Roman" w:cs="Times New Roman"/>
          <w:b w:val="0"/>
          <w:bCs w:val="0"/>
          <w:color w:val="auto"/>
          <w:sz w:val="21"/>
          <w:szCs w:val="21"/>
          <w:highlight w:val="none"/>
          <w:lang w:val="en-US" w:eastAsia="zh-CN"/>
        </w:rPr>
        <w:t>分项报价明细</w:t>
      </w:r>
      <w:r>
        <w:rPr>
          <w:rFonts w:hint="default" w:ascii="Times New Roman" w:hAnsi="Times New Roman" w:cs="Times New Roman"/>
          <w:b w:val="0"/>
          <w:bCs w:val="0"/>
          <w:color w:val="auto"/>
          <w:sz w:val="21"/>
          <w:szCs w:val="21"/>
          <w:highlight w:val="none"/>
          <w:lang w:val="en-US" w:eastAsia="zh-CN"/>
        </w:rPr>
        <w:t>表</w:t>
      </w:r>
      <w:r>
        <w:rPr>
          <w:rFonts w:hint="eastAsia" w:ascii="Times New Roman" w:hAnsi="Times New Roman"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lang w:eastAsia="zh-CN"/>
        </w:rPr>
        <w:t>为多页的，每页均须加盖</w:t>
      </w:r>
      <w:r>
        <w:rPr>
          <w:rFonts w:hint="eastAsia" w:ascii="Times New Roman" w:hAnsi="Times New Roman" w:cs="Times New Roman"/>
          <w:b w:val="0"/>
          <w:bCs w:val="0"/>
          <w:color w:val="auto"/>
          <w:sz w:val="21"/>
          <w:szCs w:val="21"/>
          <w:highlight w:val="none"/>
          <w:lang w:val="en-US" w:eastAsia="zh-CN"/>
        </w:rPr>
        <w:t>参选人</w:t>
      </w:r>
      <w:r>
        <w:rPr>
          <w:rFonts w:hint="default" w:ascii="Times New Roman" w:hAnsi="Times New Roman" w:eastAsia="宋体" w:cs="Times New Roman"/>
          <w:b w:val="0"/>
          <w:bCs w:val="0"/>
          <w:color w:val="auto"/>
          <w:sz w:val="21"/>
          <w:szCs w:val="21"/>
          <w:highlight w:val="none"/>
          <w:lang w:eastAsia="zh-CN"/>
        </w:rPr>
        <w:t>公章</w:t>
      </w:r>
      <w:r>
        <w:rPr>
          <w:rFonts w:hint="eastAsia" w:ascii="Times New Roman" w:hAnsi="Times New Roman" w:cs="Times New Roman"/>
          <w:b w:val="0"/>
          <w:bCs w:val="0"/>
          <w:color w:val="auto"/>
          <w:sz w:val="21"/>
          <w:szCs w:val="21"/>
          <w:highlight w:val="none"/>
          <w:lang w:eastAsia="zh-CN"/>
        </w:rPr>
        <w:t>；</w:t>
      </w:r>
    </w:p>
    <w:p w14:paraId="252965BC">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ind w:firstLine="420" w:firstLineChars="200"/>
        <w:textAlignment w:val="auto"/>
        <w:rPr>
          <w:rFonts w:hint="default" w:ascii="Times New Roman" w:hAnsi="Times New Roman" w:eastAsia="宋体" w:cs="Times New Roman"/>
          <w:b w:val="0"/>
          <w:bCs w:val="0"/>
          <w:color w:val="auto"/>
          <w:sz w:val="21"/>
          <w:szCs w:val="21"/>
          <w:highlight w:val="none"/>
          <w:lang w:eastAsia="zh-CN"/>
        </w:rPr>
      </w:pPr>
      <w:r>
        <w:rPr>
          <w:rFonts w:hint="eastAsia" w:ascii="Times New Roman" w:hAnsi="Times New Roman" w:cs="Times New Roman"/>
          <w:b w:val="0"/>
          <w:bCs w:val="0"/>
          <w:color w:val="auto"/>
          <w:kern w:val="2"/>
          <w:sz w:val="21"/>
          <w:szCs w:val="21"/>
          <w:highlight w:val="none"/>
          <w:lang w:val="en-US" w:eastAsia="zh-CN" w:bidi="ar-SA"/>
        </w:rPr>
        <w:t>（2</w:t>
      </w:r>
      <w:r>
        <w:rPr>
          <w:rFonts w:hint="default" w:ascii="Times New Roman" w:hAnsi="Times New Roman" w:eastAsia="宋体" w:cs="Times New Roman"/>
          <w:b w:val="0"/>
          <w:bCs w:val="0"/>
          <w:color w:val="auto"/>
          <w:kern w:val="2"/>
          <w:sz w:val="21"/>
          <w:szCs w:val="21"/>
          <w:highlight w:val="none"/>
          <w:lang w:val="en-US" w:eastAsia="zh-CN" w:bidi="ar-SA"/>
        </w:rPr>
        <w:t>）</w:t>
      </w:r>
      <w:r>
        <w:rPr>
          <w:rFonts w:hint="eastAsia" w:ascii="Times New Roman" w:hAnsi="Times New Roman" w:cs="Times New Roman"/>
          <w:b w:val="0"/>
          <w:bCs w:val="0"/>
          <w:color w:val="auto"/>
          <w:sz w:val="21"/>
          <w:szCs w:val="21"/>
          <w:highlight w:val="none"/>
          <w:lang w:val="en-US" w:eastAsia="zh-CN"/>
        </w:rPr>
        <w:t>若湖仓一体底座和数据作业平台中的模块涉及按节点授权，则需在“数量”一栏填写授权数量，“单价”一栏填写单个节点授权的价格。</w:t>
      </w:r>
    </w:p>
    <w:p w14:paraId="13C57923">
      <w:pPr>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textAlignment w:val="auto"/>
        <w:rPr>
          <w:rFonts w:hint="default" w:ascii="Times New Roman" w:hAnsi="Times New Roman" w:cs="Times New Roman"/>
          <w:color w:val="auto"/>
          <w:sz w:val="21"/>
          <w:szCs w:val="21"/>
          <w:highlight w:val="none"/>
          <w:lang w:val="en-US" w:eastAsia="zh-CN"/>
        </w:rPr>
      </w:pPr>
    </w:p>
    <w:p w14:paraId="1A17AEF1">
      <w:pPr>
        <w:ind w:left="0" w:leftChars="0" w:firstLine="0" w:firstLineChars="0"/>
        <w:rPr>
          <w:rStyle w:val="31"/>
          <w:rFonts w:hint="default" w:ascii="Times New Roman" w:hAnsi="Times New Roman" w:cs="Times New Roman"/>
          <w:b/>
          <w:color w:val="auto"/>
          <w:highlight w:val="none"/>
        </w:rPr>
      </w:pPr>
      <w:r>
        <w:rPr>
          <w:rStyle w:val="31"/>
          <w:rFonts w:hint="default" w:ascii="Times New Roman" w:hAnsi="Times New Roman" w:cs="Times New Roman"/>
          <w:b/>
          <w:color w:val="auto"/>
          <w:highlight w:val="none"/>
        </w:rPr>
        <w:br w:type="page"/>
      </w:r>
    </w:p>
    <w:p w14:paraId="538153B5">
      <w:pPr>
        <w:pStyle w:val="34"/>
        <w:rPr>
          <w:rFonts w:hint="default" w:ascii="Times New Roman" w:hAnsi="Times New Roman" w:cs="Times New Roman"/>
          <w:color w:val="auto"/>
          <w:highlight w:val="none"/>
        </w:rPr>
      </w:pPr>
      <w:r>
        <w:rPr>
          <w:rFonts w:hint="default" w:ascii="Times New Roman" w:hAnsi="Times New Roman" w:cs="Times New Roman"/>
          <w:color w:val="auto"/>
          <w:highlight w:val="none"/>
        </w:rPr>
        <w:t>三、资格性文件</w:t>
      </w:r>
    </w:p>
    <w:p w14:paraId="50A17724">
      <w:pPr>
        <w:pStyle w:val="36"/>
        <w:rPr>
          <w:rFonts w:hint="default" w:ascii="Times New Roman" w:hAnsi="Times New Roman" w:cs="Times New Roman"/>
          <w:color w:val="auto"/>
          <w:highlight w:val="none"/>
        </w:rPr>
      </w:pPr>
      <w:r>
        <w:rPr>
          <w:rFonts w:hint="default" w:ascii="Times New Roman" w:hAnsi="Times New Roman" w:cs="Times New Roman"/>
          <w:color w:val="auto"/>
          <w:highlight w:val="none"/>
        </w:rPr>
        <w:t>（一）参选人基本情况介绍，资质证明等</w:t>
      </w:r>
    </w:p>
    <w:tbl>
      <w:tblPr>
        <w:tblStyle w:val="22"/>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719E8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42B91299">
            <w:pPr>
              <w:spacing w:line="360" w:lineRule="auto"/>
              <w:ind w:firstLine="0" w:firstLineChars="0"/>
              <w:jc w:val="center"/>
              <w:rPr>
                <w:rFonts w:hint="default" w:ascii="Times New Roman" w:hAnsi="Times New Roman" w:cs="Times New Roman"/>
                <w:color w:val="auto"/>
                <w:sz w:val="22"/>
                <w:szCs w:val="24"/>
                <w:highlight w:val="none"/>
              </w:rPr>
            </w:pPr>
            <w:r>
              <w:rPr>
                <w:rFonts w:hint="default" w:ascii="Times New Roman" w:hAnsi="Times New Roman" w:cs="Times New Roman"/>
                <w:color w:val="auto"/>
                <w:sz w:val="22"/>
                <w:szCs w:val="24"/>
                <w:highlight w:val="none"/>
              </w:rPr>
              <w:t>参选人名称</w:t>
            </w:r>
          </w:p>
        </w:tc>
        <w:tc>
          <w:tcPr>
            <w:tcW w:w="7114" w:type="dxa"/>
            <w:gridSpan w:val="8"/>
          </w:tcPr>
          <w:p w14:paraId="051171A5">
            <w:pPr>
              <w:spacing w:line="360" w:lineRule="auto"/>
              <w:ind w:firstLine="0" w:firstLineChars="0"/>
              <w:jc w:val="center"/>
              <w:rPr>
                <w:rFonts w:hint="default" w:ascii="Times New Roman" w:hAnsi="Times New Roman" w:cs="Times New Roman"/>
                <w:color w:val="auto"/>
                <w:sz w:val="22"/>
                <w:szCs w:val="24"/>
                <w:highlight w:val="none"/>
              </w:rPr>
            </w:pPr>
          </w:p>
        </w:tc>
      </w:tr>
      <w:tr w14:paraId="30406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52315D47">
            <w:pPr>
              <w:spacing w:line="360" w:lineRule="auto"/>
              <w:ind w:firstLine="0" w:firstLineChars="0"/>
              <w:jc w:val="center"/>
              <w:rPr>
                <w:rFonts w:hint="default" w:ascii="Times New Roman" w:hAnsi="Times New Roman" w:cs="Times New Roman"/>
                <w:color w:val="auto"/>
                <w:sz w:val="22"/>
                <w:szCs w:val="24"/>
                <w:highlight w:val="none"/>
              </w:rPr>
            </w:pPr>
            <w:r>
              <w:rPr>
                <w:rFonts w:hint="default" w:ascii="Times New Roman" w:hAnsi="Times New Roman" w:cs="Times New Roman"/>
                <w:color w:val="auto"/>
                <w:sz w:val="22"/>
                <w:szCs w:val="24"/>
                <w:highlight w:val="none"/>
              </w:rPr>
              <w:t>注册地址</w:t>
            </w:r>
          </w:p>
        </w:tc>
        <w:tc>
          <w:tcPr>
            <w:tcW w:w="4132" w:type="dxa"/>
            <w:gridSpan w:val="4"/>
            <w:tcBorders>
              <w:top w:val="single" w:color="auto" w:sz="4" w:space="0"/>
              <w:left w:val="single" w:color="auto" w:sz="4" w:space="0"/>
              <w:right w:val="single" w:color="auto" w:sz="4" w:space="0"/>
            </w:tcBorders>
          </w:tcPr>
          <w:p w14:paraId="08907B2D">
            <w:pPr>
              <w:spacing w:line="360" w:lineRule="auto"/>
              <w:ind w:firstLine="0" w:firstLineChars="0"/>
              <w:jc w:val="center"/>
              <w:rPr>
                <w:rFonts w:hint="default" w:ascii="Times New Roman" w:hAnsi="Times New Roman" w:cs="Times New Roman"/>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5D6F75E9">
            <w:pPr>
              <w:spacing w:line="360" w:lineRule="auto"/>
              <w:ind w:firstLine="0" w:firstLineChars="0"/>
              <w:jc w:val="center"/>
              <w:rPr>
                <w:rFonts w:hint="default" w:ascii="Times New Roman" w:hAnsi="Times New Roman" w:cs="Times New Roman"/>
                <w:color w:val="auto"/>
                <w:sz w:val="22"/>
                <w:szCs w:val="24"/>
                <w:highlight w:val="none"/>
              </w:rPr>
            </w:pPr>
            <w:r>
              <w:rPr>
                <w:rFonts w:hint="default" w:ascii="Times New Roman" w:hAnsi="Times New Roman" w:cs="Times New Roman"/>
                <w:color w:val="auto"/>
                <w:sz w:val="22"/>
                <w:szCs w:val="24"/>
                <w:highlight w:val="none"/>
              </w:rPr>
              <w:t>邮政编码</w:t>
            </w:r>
          </w:p>
        </w:tc>
        <w:tc>
          <w:tcPr>
            <w:tcW w:w="1657" w:type="dxa"/>
            <w:gridSpan w:val="3"/>
            <w:tcBorders>
              <w:left w:val="single" w:color="auto" w:sz="4" w:space="0"/>
            </w:tcBorders>
          </w:tcPr>
          <w:p w14:paraId="070E6D11">
            <w:pPr>
              <w:spacing w:line="360" w:lineRule="auto"/>
              <w:ind w:firstLine="0" w:firstLineChars="0"/>
              <w:jc w:val="center"/>
              <w:rPr>
                <w:rFonts w:hint="default" w:ascii="Times New Roman" w:hAnsi="Times New Roman" w:cs="Times New Roman"/>
                <w:color w:val="auto"/>
                <w:sz w:val="22"/>
                <w:szCs w:val="24"/>
                <w:highlight w:val="none"/>
              </w:rPr>
            </w:pPr>
          </w:p>
        </w:tc>
      </w:tr>
      <w:tr w14:paraId="75878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04203225">
            <w:pPr>
              <w:spacing w:line="360" w:lineRule="auto"/>
              <w:ind w:firstLine="0" w:firstLineChars="0"/>
              <w:jc w:val="center"/>
              <w:rPr>
                <w:rFonts w:hint="default" w:ascii="Times New Roman" w:hAnsi="Times New Roman" w:cs="Times New Roman"/>
                <w:color w:val="auto"/>
                <w:sz w:val="22"/>
                <w:szCs w:val="24"/>
                <w:highlight w:val="none"/>
              </w:rPr>
            </w:pPr>
            <w:r>
              <w:rPr>
                <w:rFonts w:hint="default" w:ascii="Times New Roman" w:hAnsi="Times New Roman" w:cs="Times New Roman"/>
                <w:color w:val="auto"/>
                <w:sz w:val="22"/>
                <w:szCs w:val="24"/>
                <w:highlight w:val="none"/>
              </w:rPr>
              <w:t>联系方式</w:t>
            </w:r>
          </w:p>
        </w:tc>
        <w:tc>
          <w:tcPr>
            <w:tcW w:w="1077" w:type="dxa"/>
            <w:tcBorders>
              <w:top w:val="single" w:color="auto" w:sz="4" w:space="0"/>
              <w:left w:val="single" w:color="auto" w:sz="4" w:space="0"/>
              <w:right w:val="single" w:color="auto" w:sz="4" w:space="0"/>
            </w:tcBorders>
            <w:vAlign w:val="center"/>
          </w:tcPr>
          <w:p w14:paraId="1C0B685E">
            <w:pPr>
              <w:spacing w:line="360" w:lineRule="auto"/>
              <w:ind w:firstLine="0" w:firstLineChars="0"/>
              <w:jc w:val="center"/>
              <w:rPr>
                <w:rFonts w:hint="default" w:ascii="Times New Roman" w:hAnsi="Times New Roman" w:cs="Times New Roman"/>
                <w:color w:val="auto"/>
                <w:sz w:val="22"/>
                <w:szCs w:val="24"/>
                <w:highlight w:val="none"/>
              </w:rPr>
            </w:pPr>
            <w:r>
              <w:rPr>
                <w:rFonts w:hint="default" w:ascii="Times New Roman" w:hAnsi="Times New Roman" w:cs="Times New Roman"/>
                <w:color w:val="auto"/>
                <w:sz w:val="22"/>
                <w:szCs w:val="24"/>
                <w:highlight w:val="none"/>
              </w:rPr>
              <w:t>联系人</w:t>
            </w:r>
          </w:p>
        </w:tc>
        <w:tc>
          <w:tcPr>
            <w:tcW w:w="3055" w:type="dxa"/>
            <w:gridSpan w:val="3"/>
            <w:tcBorders>
              <w:top w:val="single" w:color="auto" w:sz="4" w:space="0"/>
              <w:left w:val="single" w:color="auto" w:sz="4" w:space="0"/>
              <w:right w:val="single" w:color="auto" w:sz="4" w:space="0"/>
            </w:tcBorders>
          </w:tcPr>
          <w:p w14:paraId="76A1FF11">
            <w:pPr>
              <w:spacing w:line="360" w:lineRule="auto"/>
              <w:ind w:firstLine="0" w:firstLineChars="0"/>
              <w:jc w:val="center"/>
              <w:rPr>
                <w:rFonts w:hint="default" w:ascii="Times New Roman" w:hAnsi="Times New Roman" w:cs="Times New Roman"/>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713F37CA">
            <w:pPr>
              <w:spacing w:line="360" w:lineRule="auto"/>
              <w:ind w:firstLine="0" w:firstLineChars="0"/>
              <w:jc w:val="center"/>
              <w:rPr>
                <w:rFonts w:hint="default" w:ascii="Times New Roman" w:hAnsi="Times New Roman" w:cs="Times New Roman"/>
                <w:color w:val="auto"/>
                <w:sz w:val="22"/>
                <w:szCs w:val="24"/>
                <w:highlight w:val="none"/>
              </w:rPr>
            </w:pPr>
            <w:r>
              <w:rPr>
                <w:rFonts w:hint="default" w:ascii="Times New Roman" w:hAnsi="Times New Roman" w:cs="Times New Roman"/>
                <w:color w:val="auto"/>
                <w:sz w:val="22"/>
                <w:szCs w:val="24"/>
                <w:highlight w:val="none"/>
              </w:rPr>
              <w:t>电话</w:t>
            </w:r>
          </w:p>
        </w:tc>
        <w:tc>
          <w:tcPr>
            <w:tcW w:w="1657" w:type="dxa"/>
            <w:gridSpan w:val="3"/>
            <w:tcBorders>
              <w:left w:val="single" w:color="auto" w:sz="4" w:space="0"/>
            </w:tcBorders>
          </w:tcPr>
          <w:p w14:paraId="11A512CB">
            <w:pPr>
              <w:spacing w:line="360" w:lineRule="auto"/>
              <w:ind w:firstLine="0" w:firstLineChars="0"/>
              <w:jc w:val="center"/>
              <w:rPr>
                <w:rFonts w:hint="default" w:ascii="Times New Roman" w:hAnsi="Times New Roman" w:cs="Times New Roman"/>
                <w:color w:val="auto"/>
                <w:sz w:val="22"/>
                <w:szCs w:val="24"/>
                <w:highlight w:val="none"/>
              </w:rPr>
            </w:pPr>
          </w:p>
        </w:tc>
      </w:tr>
      <w:tr w14:paraId="65425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544D4622">
            <w:pPr>
              <w:rPr>
                <w:rFonts w:hint="default" w:ascii="Times New Roman" w:hAnsi="Times New Roman" w:cs="Times New Roman"/>
                <w:color w:val="auto"/>
                <w:highlight w:val="none"/>
              </w:rPr>
            </w:pPr>
          </w:p>
        </w:tc>
        <w:tc>
          <w:tcPr>
            <w:tcW w:w="1077" w:type="dxa"/>
            <w:tcBorders>
              <w:top w:val="single" w:color="auto" w:sz="4" w:space="0"/>
              <w:left w:val="single" w:color="auto" w:sz="4" w:space="0"/>
              <w:right w:val="single" w:color="auto" w:sz="4" w:space="0"/>
            </w:tcBorders>
            <w:vAlign w:val="center"/>
          </w:tcPr>
          <w:p w14:paraId="5705A2E0">
            <w:pPr>
              <w:spacing w:line="360" w:lineRule="auto"/>
              <w:ind w:firstLine="0" w:firstLineChars="0"/>
              <w:jc w:val="center"/>
              <w:rPr>
                <w:rFonts w:hint="default" w:ascii="Times New Roman" w:hAnsi="Times New Roman" w:cs="Times New Roman"/>
                <w:color w:val="auto"/>
                <w:sz w:val="22"/>
                <w:szCs w:val="24"/>
                <w:highlight w:val="none"/>
              </w:rPr>
            </w:pPr>
            <w:r>
              <w:rPr>
                <w:rFonts w:hint="default" w:ascii="Times New Roman" w:hAnsi="Times New Roman" w:cs="Times New Roman"/>
                <w:color w:val="auto"/>
                <w:sz w:val="22"/>
                <w:szCs w:val="24"/>
                <w:highlight w:val="none"/>
              </w:rPr>
              <w:t>传真</w:t>
            </w:r>
          </w:p>
        </w:tc>
        <w:tc>
          <w:tcPr>
            <w:tcW w:w="3055" w:type="dxa"/>
            <w:gridSpan w:val="3"/>
            <w:tcBorders>
              <w:top w:val="single" w:color="auto" w:sz="4" w:space="0"/>
              <w:left w:val="single" w:color="auto" w:sz="4" w:space="0"/>
              <w:right w:val="single" w:color="auto" w:sz="4" w:space="0"/>
            </w:tcBorders>
          </w:tcPr>
          <w:p w14:paraId="34BF66FD">
            <w:pPr>
              <w:spacing w:line="360" w:lineRule="auto"/>
              <w:ind w:firstLine="0" w:firstLineChars="0"/>
              <w:jc w:val="center"/>
              <w:rPr>
                <w:rFonts w:hint="default" w:ascii="Times New Roman" w:hAnsi="Times New Roman" w:cs="Times New Roman"/>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3CCF5509">
            <w:pPr>
              <w:spacing w:line="360" w:lineRule="auto"/>
              <w:ind w:firstLine="0" w:firstLineChars="0"/>
              <w:jc w:val="center"/>
              <w:rPr>
                <w:rFonts w:hint="default" w:ascii="Times New Roman" w:hAnsi="Times New Roman" w:cs="Times New Roman"/>
                <w:color w:val="auto"/>
                <w:sz w:val="22"/>
                <w:szCs w:val="24"/>
                <w:highlight w:val="none"/>
              </w:rPr>
            </w:pPr>
            <w:r>
              <w:rPr>
                <w:rFonts w:hint="default" w:ascii="Times New Roman" w:hAnsi="Times New Roman" w:cs="Times New Roman"/>
                <w:color w:val="auto"/>
                <w:sz w:val="22"/>
                <w:szCs w:val="24"/>
                <w:highlight w:val="none"/>
              </w:rPr>
              <w:t>网址</w:t>
            </w:r>
          </w:p>
        </w:tc>
        <w:tc>
          <w:tcPr>
            <w:tcW w:w="1657" w:type="dxa"/>
            <w:gridSpan w:val="3"/>
            <w:tcBorders>
              <w:left w:val="single" w:color="auto" w:sz="4" w:space="0"/>
            </w:tcBorders>
          </w:tcPr>
          <w:p w14:paraId="38794262">
            <w:pPr>
              <w:spacing w:line="360" w:lineRule="auto"/>
              <w:ind w:firstLine="0" w:firstLineChars="0"/>
              <w:jc w:val="center"/>
              <w:rPr>
                <w:rFonts w:hint="default" w:ascii="Times New Roman" w:hAnsi="Times New Roman" w:cs="Times New Roman"/>
                <w:color w:val="auto"/>
                <w:sz w:val="22"/>
                <w:szCs w:val="24"/>
                <w:highlight w:val="none"/>
              </w:rPr>
            </w:pPr>
          </w:p>
        </w:tc>
      </w:tr>
      <w:tr w14:paraId="358EF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4E5DC98E">
            <w:pPr>
              <w:spacing w:line="360" w:lineRule="auto"/>
              <w:ind w:firstLine="0" w:firstLineChars="0"/>
              <w:jc w:val="center"/>
              <w:rPr>
                <w:rFonts w:hint="default" w:ascii="Times New Roman" w:hAnsi="Times New Roman" w:cs="Times New Roman"/>
                <w:color w:val="auto"/>
                <w:sz w:val="22"/>
                <w:szCs w:val="24"/>
                <w:highlight w:val="none"/>
              </w:rPr>
            </w:pPr>
            <w:r>
              <w:rPr>
                <w:rFonts w:hint="default" w:ascii="Times New Roman" w:hAnsi="Times New Roman" w:cs="Times New Roman"/>
                <w:color w:val="auto"/>
                <w:sz w:val="22"/>
                <w:szCs w:val="24"/>
                <w:highlight w:val="none"/>
              </w:rPr>
              <w:t>组织结构</w:t>
            </w:r>
          </w:p>
        </w:tc>
        <w:tc>
          <w:tcPr>
            <w:tcW w:w="7114" w:type="dxa"/>
            <w:gridSpan w:val="8"/>
            <w:tcBorders>
              <w:left w:val="single" w:color="auto" w:sz="4" w:space="0"/>
            </w:tcBorders>
            <w:vAlign w:val="center"/>
          </w:tcPr>
          <w:p w14:paraId="79040C50">
            <w:pPr>
              <w:spacing w:line="360" w:lineRule="auto"/>
              <w:ind w:firstLine="0" w:firstLineChars="0"/>
              <w:jc w:val="center"/>
              <w:rPr>
                <w:rFonts w:hint="default" w:ascii="Times New Roman" w:hAnsi="Times New Roman" w:cs="Times New Roman"/>
                <w:color w:val="auto"/>
                <w:sz w:val="22"/>
                <w:szCs w:val="24"/>
                <w:highlight w:val="none"/>
              </w:rPr>
            </w:pPr>
          </w:p>
        </w:tc>
      </w:tr>
      <w:tr w14:paraId="2D2EB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29A265B6">
            <w:pPr>
              <w:spacing w:line="360" w:lineRule="auto"/>
              <w:ind w:firstLine="0" w:firstLineChars="0"/>
              <w:jc w:val="center"/>
              <w:rPr>
                <w:rFonts w:hint="default" w:ascii="Times New Roman" w:hAnsi="Times New Roman" w:cs="Times New Roman"/>
                <w:color w:val="auto"/>
                <w:sz w:val="22"/>
                <w:szCs w:val="24"/>
                <w:highlight w:val="none"/>
              </w:rPr>
            </w:pPr>
            <w:r>
              <w:rPr>
                <w:rFonts w:hint="default" w:ascii="Times New Roman" w:hAnsi="Times New Roman" w:cs="Times New Roman"/>
                <w:color w:val="auto"/>
                <w:sz w:val="22"/>
                <w:szCs w:val="24"/>
                <w:highlight w:val="none"/>
              </w:rPr>
              <w:t>法定代表人</w:t>
            </w:r>
          </w:p>
        </w:tc>
        <w:tc>
          <w:tcPr>
            <w:tcW w:w="1077" w:type="dxa"/>
            <w:tcBorders>
              <w:top w:val="single" w:color="auto" w:sz="4" w:space="0"/>
              <w:left w:val="single" w:color="auto" w:sz="4" w:space="0"/>
              <w:right w:val="single" w:color="auto" w:sz="4" w:space="0"/>
            </w:tcBorders>
            <w:vAlign w:val="center"/>
          </w:tcPr>
          <w:p w14:paraId="6C2A8168">
            <w:pPr>
              <w:spacing w:line="360" w:lineRule="auto"/>
              <w:ind w:firstLine="0" w:firstLineChars="0"/>
              <w:jc w:val="center"/>
              <w:rPr>
                <w:rFonts w:hint="default" w:ascii="Times New Roman" w:hAnsi="Times New Roman" w:cs="Times New Roman"/>
                <w:color w:val="auto"/>
                <w:sz w:val="22"/>
                <w:szCs w:val="24"/>
                <w:highlight w:val="none"/>
              </w:rPr>
            </w:pPr>
            <w:r>
              <w:rPr>
                <w:rFonts w:hint="default" w:ascii="Times New Roman" w:hAnsi="Times New Roman" w:cs="Times New Roman"/>
                <w:color w:val="auto"/>
                <w:sz w:val="22"/>
                <w:szCs w:val="24"/>
                <w:highlight w:val="none"/>
              </w:rPr>
              <w:t>姓名</w:t>
            </w:r>
          </w:p>
        </w:tc>
        <w:tc>
          <w:tcPr>
            <w:tcW w:w="1803" w:type="dxa"/>
            <w:tcBorders>
              <w:top w:val="single" w:color="auto" w:sz="4" w:space="0"/>
              <w:left w:val="single" w:color="auto" w:sz="4" w:space="0"/>
              <w:right w:val="single" w:color="auto" w:sz="4" w:space="0"/>
            </w:tcBorders>
          </w:tcPr>
          <w:p w14:paraId="29501290">
            <w:pPr>
              <w:spacing w:line="360" w:lineRule="auto"/>
              <w:ind w:firstLine="0" w:firstLineChars="0"/>
              <w:jc w:val="center"/>
              <w:rPr>
                <w:rFonts w:hint="default" w:ascii="Times New Roman" w:hAnsi="Times New Roman" w:cs="Times New Roman"/>
                <w:color w:val="auto"/>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14:paraId="183ED1A7">
            <w:pPr>
              <w:spacing w:line="360" w:lineRule="auto"/>
              <w:ind w:firstLine="0" w:firstLineChars="0"/>
              <w:jc w:val="center"/>
              <w:rPr>
                <w:rFonts w:hint="default" w:ascii="Times New Roman" w:hAnsi="Times New Roman" w:cs="Times New Roman"/>
                <w:color w:val="auto"/>
                <w:sz w:val="22"/>
                <w:szCs w:val="24"/>
                <w:highlight w:val="none"/>
              </w:rPr>
            </w:pPr>
            <w:r>
              <w:rPr>
                <w:rFonts w:hint="default" w:ascii="Times New Roman" w:hAnsi="Times New Roman" w:cs="Times New Roman"/>
                <w:color w:val="auto"/>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654EE068">
            <w:pPr>
              <w:spacing w:line="360" w:lineRule="auto"/>
              <w:ind w:firstLine="0" w:firstLineChars="0"/>
              <w:jc w:val="center"/>
              <w:rPr>
                <w:rFonts w:hint="default" w:ascii="Times New Roman" w:hAnsi="Times New Roman" w:cs="Times New Roman"/>
                <w:color w:val="auto"/>
                <w:sz w:val="22"/>
                <w:szCs w:val="24"/>
                <w:highlight w:val="none"/>
              </w:rPr>
            </w:pPr>
          </w:p>
        </w:tc>
        <w:tc>
          <w:tcPr>
            <w:tcW w:w="723" w:type="dxa"/>
            <w:tcBorders>
              <w:top w:val="single" w:color="auto" w:sz="4" w:space="0"/>
              <w:left w:val="single" w:color="auto" w:sz="4" w:space="0"/>
              <w:right w:val="single" w:color="auto" w:sz="4" w:space="0"/>
            </w:tcBorders>
            <w:vAlign w:val="center"/>
          </w:tcPr>
          <w:p w14:paraId="0B8ED861">
            <w:pPr>
              <w:spacing w:line="360" w:lineRule="auto"/>
              <w:ind w:firstLine="0" w:firstLineChars="0"/>
              <w:jc w:val="center"/>
              <w:rPr>
                <w:rFonts w:hint="default" w:ascii="Times New Roman" w:hAnsi="Times New Roman" w:cs="Times New Roman"/>
                <w:color w:val="auto"/>
                <w:sz w:val="22"/>
                <w:szCs w:val="24"/>
                <w:highlight w:val="none"/>
              </w:rPr>
            </w:pPr>
            <w:r>
              <w:rPr>
                <w:rFonts w:hint="default" w:ascii="Times New Roman" w:hAnsi="Times New Roman" w:cs="Times New Roman"/>
                <w:color w:val="auto"/>
                <w:sz w:val="22"/>
                <w:szCs w:val="24"/>
                <w:highlight w:val="none"/>
              </w:rPr>
              <w:t>电话</w:t>
            </w:r>
          </w:p>
        </w:tc>
        <w:tc>
          <w:tcPr>
            <w:tcW w:w="758" w:type="dxa"/>
            <w:tcBorders>
              <w:left w:val="single" w:color="auto" w:sz="4" w:space="0"/>
            </w:tcBorders>
          </w:tcPr>
          <w:p w14:paraId="196ECEE6">
            <w:pPr>
              <w:spacing w:line="360" w:lineRule="auto"/>
              <w:ind w:firstLine="0" w:firstLineChars="0"/>
              <w:jc w:val="center"/>
              <w:rPr>
                <w:rFonts w:hint="default" w:ascii="Times New Roman" w:hAnsi="Times New Roman" w:cs="Times New Roman"/>
                <w:color w:val="auto"/>
                <w:sz w:val="22"/>
                <w:szCs w:val="24"/>
                <w:highlight w:val="none"/>
              </w:rPr>
            </w:pPr>
          </w:p>
        </w:tc>
      </w:tr>
      <w:tr w14:paraId="79046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70495E3E">
            <w:pPr>
              <w:spacing w:line="360" w:lineRule="auto"/>
              <w:ind w:firstLine="0" w:firstLineChars="0"/>
              <w:jc w:val="center"/>
              <w:rPr>
                <w:rFonts w:hint="default" w:ascii="Times New Roman" w:hAnsi="Times New Roman" w:cs="Times New Roman"/>
                <w:color w:val="auto"/>
                <w:sz w:val="22"/>
                <w:szCs w:val="24"/>
                <w:highlight w:val="none"/>
              </w:rPr>
            </w:pPr>
            <w:r>
              <w:rPr>
                <w:rFonts w:hint="default" w:ascii="Times New Roman" w:hAnsi="Times New Roman" w:cs="Times New Roman"/>
                <w:color w:val="auto"/>
                <w:sz w:val="22"/>
                <w:szCs w:val="24"/>
                <w:highlight w:val="none"/>
              </w:rPr>
              <w:t>技术负责人</w:t>
            </w:r>
          </w:p>
        </w:tc>
        <w:tc>
          <w:tcPr>
            <w:tcW w:w="1077" w:type="dxa"/>
            <w:tcBorders>
              <w:top w:val="single" w:color="auto" w:sz="4" w:space="0"/>
              <w:left w:val="single" w:color="auto" w:sz="4" w:space="0"/>
              <w:right w:val="single" w:color="auto" w:sz="4" w:space="0"/>
            </w:tcBorders>
            <w:vAlign w:val="center"/>
          </w:tcPr>
          <w:p w14:paraId="022B9A93">
            <w:pPr>
              <w:spacing w:line="360" w:lineRule="auto"/>
              <w:ind w:firstLine="0" w:firstLineChars="0"/>
              <w:jc w:val="center"/>
              <w:rPr>
                <w:rFonts w:hint="default" w:ascii="Times New Roman" w:hAnsi="Times New Roman" w:cs="Times New Roman"/>
                <w:color w:val="auto"/>
                <w:sz w:val="22"/>
                <w:szCs w:val="24"/>
                <w:highlight w:val="none"/>
              </w:rPr>
            </w:pPr>
            <w:r>
              <w:rPr>
                <w:rFonts w:hint="default" w:ascii="Times New Roman" w:hAnsi="Times New Roman" w:cs="Times New Roman"/>
                <w:color w:val="auto"/>
                <w:sz w:val="22"/>
                <w:szCs w:val="24"/>
                <w:highlight w:val="none"/>
              </w:rPr>
              <w:t>姓名</w:t>
            </w:r>
          </w:p>
        </w:tc>
        <w:tc>
          <w:tcPr>
            <w:tcW w:w="1803" w:type="dxa"/>
            <w:tcBorders>
              <w:top w:val="single" w:color="auto" w:sz="4" w:space="0"/>
              <w:left w:val="single" w:color="auto" w:sz="4" w:space="0"/>
              <w:right w:val="single" w:color="auto" w:sz="4" w:space="0"/>
            </w:tcBorders>
          </w:tcPr>
          <w:p w14:paraId="26F0A61B">
            <w:pPr>
              <w:spacing w:line="360" w:lineRule="auto"/>
              <w:ind w:firstLine="0" w:firstLineChars="0"/>
              <w:jc w:val="center"/>
              <w:rPr>
                <w:rFonts w:hint="default" w:ascii="Times New Roman" w:hAnsi="Times New Roman" w:cs="Times New Roman"/>
                <w:color w:val="auto"/>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14:paraId="6CA50F32">
            <w:pPr>
              <w:spacing w:line="360" w:lineRule="auto"/>
              <w:ind w:firstLine="0" w:firstLineChars="0"/>
              <w:jc w:val="center"/>
              <w:rPr>
                <w:rFonts w:hint="default" w:ascii="Times New Roman" w:hAnsi="Times New Roman" w:cs="Times New Roman"/>
                <w:color w:val="auto"/>
                <w:sz w:val="22"/>
                <w:szCs w:val="24"/>
                <w:highlight w:val="none"/>
              </w:rPr>
            </w:pPr>
            <w:r>
              <w:rPr>
                <w:rFonts w:hint="default" w:ascii="Times New Roman" w:hAnsi="Times New Roman" w:cs="Times New Roman"/>
                <w:color w:val="auto"/>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34861494">
            <w:pPr>
              <w:spacing w:line="360" w:lineRule="auto"/>
              <w:ind w:firstLine="0" w:firstLineChars="0"/>
              <w:jc w:val="center"/>
              <w:rPr>
                <w:rFonts w:hint="default" w:ascii="Times New Roman" w:hAnsi="Times New Roman" w:cs="Times New Roman"/>
                <w:color w:val="auto"/>
                <w:sz w:val="22"/>
                <w:szCs w:val="24"/>
                <w:highlight w:val="none"/>
              </w:rPr>
            </w:pPr>
          </w:p>
        </w:tc>
        <w:tc>
          <w:tcPr>
            <w:tcW w:w="723" w:type="dxa"/>
            <w:tcBorders>
              <w:top w:val="single" w:color="auto" w:sz="4" w:space="0"/>
              <w:left w:val="single" w:color="auto" w:sz="4" w:space="0"/>
              <w:right w:val="single" w:color="auto" w:sz="4" w:space="0"/>
            </w:tcBorders>
            <w:vAlign w:val="center"/>
          </w:tcPr>
          <w:p w14:paraId="415FF341">
            <w:pPr>
              <w:spacing w:line="360" w:lineRule="auto"/>
              <w:ind w:firstLine="0" w:firstLineChars="0"/>
              <w:jc w:val="center"/>
              <w:rPr>
                <w:rFonts w:hint="default" w:ascii="Times New Roman" w:hAnsi="Times New Roman" w:cs="Times New Roman"/>
                <w:color w:val="auto"/>
                <w:sz w:val="22"/>
                <w:szCs w:val="24"/>
                <w:highlight w:val="none"/>
              </w:rPr>
            </w:pPr>
            <w:r>
              <w:rPr>
                <w:rFonts w:hint="default" w:ascii="Times New Roman" w:hAnsi="Times New Roman" w:cs="Times New Roman"/>
                <w:color w:val="auto"/>
                <w:sz w:val="22"/>
                <w:szCs w:val="24"/>
                <w:highlight w:val="none"/>
              </w:rPr>
              <w:t>电话</w:t>
            </w:r>
          </w:p>
        </w:tc>
        <w:tc>
          <w:tcPr>
            <w:tcW w:w="758" w:type="dxa"/>
            <w:tcBorders>
              <w:left w:val="single" w:color="auto" w:sz="4" w:space="0"/>
            </w:tcBorders>
          </w:tcPr>
          <w:p w14:paraId="188EAB56">
            <w:pPr>
              <w:spacing w:line="360" w:lineRule="auto"/>
              <w:ind w:firstLine="0" w:firstLineChars="0"/>
              <w:jc w:val="center"/>
              <w:rPr>
                <w:rFonts w:hint="default" w:ascii="Times New Roman" w:hAnsi="Times New Roman" w:cs="Times New Roman"/>
                <w:color w:val="auto"/>
                <w:sz w:val="22"/>
                <w:szCs w:val="24"/>
                <w:highlight w:val="none"/>
              </w:rPr>
            </w:pPr>
          </w:p>
        </w:tc>
      </w:tr>
      <w:tr w14:paraId="7B0D4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3B75A3B6">
            <w:pPr>
              <w:spacing w:line="360" w:lineRule="auto"/>
              <w:ind w:firstLine="0" w:firstLineChars="0"/>
              <w:jc w:val="center"/>
              <w:rPr>
                <w:rFonts w:hint="default" w:ascii="Times New Roman" w:hAnsi="Times New Roman" w:cs="Times New Roman"/>
                <w:color w:val="auto"/>
                <w:sz w:val="22"/>
                <w:szCs w:val="24"/>
                <w:highlight w:val="none"/>
              </w:rPr>
            </w:pPr>
            <w:r>
              <w:rPr>
                <w:rFonts w:hint="default" w:ascii="Times New Roman" w:hAnsi="Times New Roman" w:cs="Times New Roman"/>
                <w:color w:val="auto"/>
                <w:sz w:val="22"/>
                <w:szCs w:val="24"/>
                <w:highlight w:val="none"/>
              </w:rPr>
              <w:t>成立时间</w:t>
            </w:r>
          </w:p>
        </w:tc>
        <w:tc>
          <w:tcPr>
            <w:tcW w:w="2880" w:type="dxa"/>
            <w:gridSpan w:val="2"/>
            <w:tcBorders>
              <w:top w:val="single" w:color="auto" w:sz="4" w:space="0"/>
              <w:left w:val="single" w:color="auto" w:sz="4" w:space="0"/>
              <w:right w:val="single" w:color="auto" w:sz="4" w:space="0"/>
            </w:tcBorders>
          </w:tcPr>
          <w:p w14:paraId="06E0FD72">
            <w:pPr>
              <w:spacing w:line="360" w:lineRule="auto"/>
              <w:ind w:firstLine="0" w:firstLineChars="0"/>
              <w:jc w:val="center"/>
              <w:rPr>
                <w:rFonts w:hint="default" w:ascii="Times New Roman" w:hAnsi="Times New Roman" w:cs="Times New Roman"/>
                <w:color w:val="auto"/>
                <w:sz w:val="22"/>
                <w:szCs w:val="24"/>
                <w:highlight w:val="none"/>
              </w:rPr>
            </w:pPr>
          </w:p>
        </w:tc>
        <w:tc>
          <w:tcPr>
            <w:tcW w:w="4234" w:type="dxa"/>
            <w:gridSpan w:val="6"/>
            <w:tcBorders>
              <w:left w:val="single" w:color="auto" w:sz="4" w:space="0"/>
            </w:tcBorders>
          </w:tcPr>
          <w:p w14:paraId="046EF105">
            <w:pPr>
              <w:spacing w:line="360" w:lineRule="auto"/>
              <w:ind w:firstLine="0" w:firstLineChars="0"/>
              <w:jc w:val="center"/>
              <w:rPr>
                <w:rFonts w:hint="default" w:ascii="Times New Roman" w:hAnsi="Times New Roman" w:cs="Times New Roman"/>
                <w:color w:val="auto"/>
                <w:sz w:val="22"/>
                <w:szCs w:val="24"/>
                <w:highlight w:val="none"/>
              </w:rPr>
            </w:pPr>
            <w:r>
              <w:rPr>
                <w:rFonts w:hint="default" w:ascii="Times New Roman" w:hAnsi="Times New Roman" w:cs="Times New Roman"/>
                <w:color w:val="auto"/>
                <w:sz w:val="22"/>
                <w:szCs w:val="24"/>
                <w:highlight w:val="none"/>
              </w:rPr>
              <w:t>员工总人数：</w:t>
            </w:r>
          </w:p>
        </w:tc>
      </w:tr>
      <w:tr w14:paraId="4EAA4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4FACEF3D">
            <w:pPr>
              <w:spacing w:line="360" w:lineRule="auto"/>
              <w:ind w:firstLine="0" w:firstLineChars="0"/>
              <w:jc w:val="center"/>
              <w:rPr>
                <w:rFonts w:hint="default" w:ascii="Times New Roman" w:hAnsi="Times New Roman" w:cs="Times New Roman"/>
                <w:color w:val="auto"/>
                <w:sz w:val="22"/>
                <w:szCs w:val="24"/>
                <w:highlight w:val="none"/>
              </w:rPr>
            </w:pPr>
            <w:r>
              <w:rPr>
                <w:rFonts w:hint="default" w:ascii="Times New Roman" w:hAnsi="Times New Roman" w:cs="Times New Roman"/>
                <w:color w:val="auto"/>
                <w:sz w:val="22"/>
                <w:szCs w:val="24"/>
                <w:highlight w:val="none"/>
              </w:rPr>
              <w:t>企业资质等级</w:t>
            </w:r>
          </w:p>
        </w:tc>
        <w:tc>
          <w:tcPr>
            <w:tcW w:w="2880" w:type="dxa"/>
            <w:gridSpan w:val="2"/>
            <w:tcBorders>
              <w:top w:val="single" w:color="auto" w:sz="4" w:space="0"/>
              <w:left w:val="single" w:color="auto" w:sz="4" w:space="0"/>
              <w:right w:val="single" w:color="auto" w:sz="4" w:space="0"/>
            </w:tcBorders>
          </w:tcPr>
          <w:p w14:paraId="419E27A4">
            <w:pPr>
              <w:spacing w:line="360" w:lineRule="auto"/>
              <w:ind w:firstLine="0" w:firstLineChars="0"/>
              <w:jc w:val="center"/>
              <w:rPr>
                <w:rFonts w:hint="default" w:ascii="Times New Roman" w:hAnsi="Times New Roman" w:cs="Times New Roman"/>
                <w:color w:val="auto"/>
                <w:sz w:val="22"/>
                <w:szCs w:val="24"/>
                <w:highlight w:val="none"/>
              </w:rPr>
            </w:pPr>
          </w:p>
        </w:tc>
        <w:tc>
          <w:tcPr>
            <w:tcW w:w="714" w:type="dxa"/>
            <w:vMerge w:val="restart"/>
            <w:tcBorders>
              <w:top w:val="single" w:color="auto" w:sz="4" w:space="0"/>
              <w:left w:val="single" w:color="auto" w:sz="4" w:space="0"/>
              <w:right w:val="single" w:color="auto" w:sz="4" w:space="0"/>
            </w:tcBorders>
            <w:vAlign w:val="center"/>
          </w:tcPr>
          <w:p w14:paraId="03A91AA2">
            <w:pPr>
              <w:spacing w:line="360" w:lineRule="auto"/>
              <w:ind w:firstLine="0" w:firstLineChars="0"/>
              <w:jc w:val="center"/>
              <w:rPr>
                <w:rFonts w:hint="default" w:ascii="Times New Roman" w:hAnsi="Times New Roman" w:cs="Times New Roman"/>
                <w:color w:val="auto"/>
                <w:sz w:val="22"/>
                <w:szCs w:val="24"/>
                <w:highlight w:val="none"/>
              </w:rPr>
            </w:pPr>
            <w:r>
              <w:rPr>
                <w:rFonts w:hint="default" w:ascii="Times New Roman" w:hAnsi="Times New Roman" w:cs="Times New Roman"/>
                <w:color w:val="auto"/>
                <w:sz w:val="22"/>
                <w:szCs w:val="24"/>
                <w:highlight w:val="none"/>
              </w:rPr>
              <w:t>其中</w:t>
            </w:r>
          </w:p>
        </w:tc>
        <w:tc>
          <w:tcPr>
            <w:tcW w:w="2039" w:type="dxa"/>
            <w:gridSpan w:val="3"/>
            <w:tcBorders>
              <w:top w:val="single" w:color="auto" w:sz="4" w:space="0"/>
              <w:left w:val="single" w:color="auto" w:sz="4" w:space="0"/>
              <w:right w:val="single" w:color="auto" w:sz="4" w:space="0"/>
            </w:tcBorders>
            <w:vAlign w:val="center"/>
          </w:tcPr>
          <w:p w14:paraId="01D1B742">
            <w:pPr>
              <w:spacing w:line="360" w:lineRule="auto"/>
              <w:ind w:firstLine="0" w:firstLineChars="0"/>
              <w:jc w:val="center"/>
              <w:rPr>
                <w:rFonts w:hint="default" w:ascii="Times New Roman" w:hAnsi="Times New Roman" w:cs="Times New Roman"/>
                <w:color w:val="auto"/>
                <w:sz w:val="22"/>
                <w:szCs w:val="24"/>
                <w:highlight w:val="none"/>
              </w:rPr>
            </w:pPr>
            <w:r>
              <w:rPr>
                <w:rFonts w:hint="default" w:ascii="Times New Roman" w:hAnsi="Times New Roman" w:cs="Times New Roman"/>
                <w:color w:val="auto"/>
                <w:sz w:val="22"/>
                <w:szCs w:val="24"/>
                <w:highlight w:val="none"/>
              </w:rPr>
              <w:t>项目经理</w:t>
            </w:r>
          </w:p>
        </w:tc>
        <w:tc>
          <w:tcPr>
            <w:tcW w:w="1481" w:type="dxa"/>
            <w:gridSpan w:val="2"/>
            <w:tcBorders>
              <w:left w:val="single" w:color="auto" w:sz="4" w:space="0"/>
            </w:tcBorders>
          </w:tcPr>
          <w:p w14:paraId="09DC4705">
            <w:pPr>
              <w:spacing w:line="360" w:lineRule="auto"/>
              <w:ind w:firstLine="0" w:firstLineChars="0"/>
              <w:jc w:val="center"/>
              <w:rPr>
                <w:rFonts w:hint="default" w:ascii="Times New Roman" w:hAnsi="Times New Roman" w:cs="Times New Roman"/>
                <w:color w:val="auto"/>
                <w:sz w:val="22"/>
                <w:szCs w:val="24"/>
                <w:highlight w:val="none"/>
              </w:rPr>
            </w:pPr>
          </w:p>
        </w:tc>
      </w:tr>
      <w:tr w14:paraId="2770E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6BB38566">
            <w:pPr>
              <w:spacing w:line="360" w:lineRule="auto"/>
              <w:ind w:firstLine="0" w:firstLineChars="0"/>
              <w:jc w:val="center"/>
              <w:rPr>
                <w:rFonts w:hint="default" w:ascii="Times New Roman" w:hAnsi="Times New Roman" w:cs="Times New Roman"/>
                <w:color w:val="auto"/>
                <w:sz w:val="22"/>
                <w:szCs w:val="24"/>
                <w:highlight w:val="none"/>
              </w:rPr>
            </w:pPr>
            <w:r>
              <w:rPr>
                <w:rFonts w:hint="default" w:ascii="Times New Roman" w:hAnsi="Times New Roman" w:cs="Times New Roman"/>
                <w:color w:val="auto"/>
                <w:sz w:val="22"/>
                <w:szCs w:val="24"/>
                <w:highlight w:val="none"/>
              </w:rPr>
              <w:t>营业执照号</w:t>
            </w:r>
          </w:p>
        </w:tc>
        <w:tc>
          <w:tcPr>
            <w:tcW w:w="2880" w:type="dxa"/>
            <w:gridSpan w:val="2"/>
            <w:tcBorders>
              <w:top w:val="single" w:color="auto" w:sz="4" w:space="0"/>
              <w:left w:val="single" w:color="auto" w:sz="4" w:space="0"/>
              <w:right w:val="single" w:color="auto" w:sz="4" w:space="0"/>
            </w:tcBorders>
          </w:tcPr>
          <w:p w14:paraId="0A9D689D">
            <w:pPr>
              <w:spacing w:line="360" w:lineRule="auto"/>
              <w:ind w:firstLine="0" w:firstLineChars="0"/>
              <w:jc w:val="center"/>
              <w:rPr>
                <w:rFonts w:hint="default" w:ascii="Times New Roman" w:hAnsi="Times New Roman" w:cs="Times New Roman"/>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0D58EFA5">
            <w:pPr>
              <w:rPr>
                <w:rFonts w:hint="default" w:ascii="Times New Roman" w:hAnsi="Times New Roman" w:cs="Times New Roman"/>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0E089E9A">
            <w:pPr>
              <w:spacing w:line="360" w:lineRule="auto"/>
              <w:ind w:firstLine="0" w:firstLineChars="0"/>
              <w:jc w:val="center"/>
              <w:rPr>
                <w:rFonts w:hint="default" w:ascii="Times New Roman" w:hAnsi="Times New Roman" w:cs="Times New Roman"/>
                <w:color w:val="auto"/>
                <w:sz w:val="22"/>
                <w:szCs w:val="24"/>
                <w:highlight w:val="none"/>
              </w:rPr>
            </w:pPr>
            <w:r>
              <w:rPr>
                <w:rFonts w:hint="default" w:ascii="Times New Roman" w:hAnsi="Times New Roman" w:cs="Times New Roman"/>
                <w:color w:val="auto"/>
                <w:sz w:val="22"/>
                <w:szCs w:val="24"/>
                <w:highlight w:val="none"/>
              </w:rPr>
              <w:t>高级职称人员</w:t>
            </w:r>
          </w:p>
        </w:tc>
        <w:tc>
          <w:tcPr>
            <w:tcW w:w="1481" w:type="dxa"/>
            <w:gridSpan w:val="2"/>
            <w:tcBorders>
              <w:left w:val="single" w:color="auto" w:sz="4" w:space="0"/>
            </w:tcBorders>
          </w:tcPr>
          <w:p w14:paraId="4C097523">
            <w:pPr>
              <w:spacing w:line="360" w:lineRule="auto"/>
              <w:ind w:firstLine="0" w:firstLineChars="0"/>
              <w:jc w:val="center"/>
              <w:rPr>
                <w:rFonts w:hint="default" w:ascii="Times New Roman" w:hAnsi="Times New Roman" w:cs="Times New Roman"/>
                <w:color w:val="auto"/>
                <w:sz w:val="22"/>
                <w:szCs w:val="24"/>
                <w:highlight w:val="none"/>
              </w:rPr>
            </w:pPr>
          </w:p>
        </w:tc>
      </w:tr>
      <w:tr w14:paraId="2D9D8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313F65D9">
            <w:pPr>
              <w:spacing w:line="360" w:lineRule="auto"/>
              <w:ind w:firstLine="0" w:firstLineChars="0"/>
              <w:jc w:val="center"/>
              <w:rPr>
                <w:rFonts w:hint="default" w:ascii="Times New Roman" w:hAnsi="Times New Roman" w:cs="Times New Roman"/>
                <w:color w:val="auto"/>
                <w:sz w:val="22"/>
                <w:szCs w:val="24"/>
                <w:highlight w:val="none"/>
              </w:rPr>
            </w:pPr>
            <w:r>
              <w:rPr>
                <w:rFonts w:hint="default" w:ascii="Times New Roman" w:hAnsi="Times New Roman" w:cs="Times New Roman"/>
                <w:color w:val="auto"/>
                <w:sz w:val="22"/>
                <w:szCs w:val="24"/>
                <w:highlight w:val="none"/>
              </w:rPr>
              <w:t>注册资金</w:t>
            </w:r>
          </w:p>
        </w:tc>
        <w:tc>
          <w:tcPr>
            <w:tcW w:w="2880" w:type="dxa"/>
            <w:gridSpan w:val="2"/>
            <w:tcBorders>
              <w:top w:val="single" w:color="auto" w:sz="4" w:space="0"/>
              <w:left w:val="single" w:color="auto" w:sz="4" w:space="0"/>
              <w:right w:val="single" w:color="auto" w:sz="4" w:space="0"/>
            </w:tcBorders>
          </w:tcPr>
          <w:p w14:paraId="6DDAAAA5">
            <w:pPr>
              <w:spacing w:line="360" w:lineRule="auto"/>
              <w:ind w:firstLine="0" w:firstLineChars="0"/>
              <w:jc w:val="center"/>
              <w:rPr>
                <w:rFonts w:hint="default" w:ascii="Times New Roman" w:hAnsi="Times New Roman" w:cs="Times New Roman"/>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5925FFB4">
            <w:pPr>
              <w:rPr>
                <w:rFonts w:hint="default" w:ascii="Times New Roman" w:hAnsi="Times New Roman" w:cs="Times New Roman"/>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53052CEB">
            <w:pPr>
              <w:spacing w:line="360" w:lineRule="auto"/>
              <w:ind w:firstLine="0" w:firstLineChars="0"/>
              <w:jc w:val="center"/>
              <w:rPr>
                <w:rFonts w:hint="default" w:ascii="Times New Roman" w:hAnsi="Times New Roman" w:cs="Times New Roman"/>
                <w:color w:val="auto"/>
                <w:sz w:val="22"/>
                <w:szCs w:val="24"/>
                <w:highlight w:val="none"/>
              </w:rPr>
            </w:pPr>
            <w:r>
              <w:rPr>
                <w:rFonts w:hint="default" w:ascii="Times New Roman" w:hAnsi="Times New Roman" w:cs="Times New Roman"/>
                <w:color w:val="auto"/>
                <w:sz w:val="22"/>
                <w:szCs w:val="24"/>
                <w:highlight w:val="none"/>
              </w:rPr>
              <w:t>中级职称人员</w:t>
            </w:r>
          </w:p>
        </w:tc>
        <w:tc>
          <w:tcPr>
            <w:tcW w:w="1481" w:type="dxa"/>
            <w:gridSpan w:val="2"/>
            <w:tcBorders>
              <w:left w:val="single" w:color="auto" w:sz="4" w:space="0"/>
            </w:tcBorders>
          </w:tcPr>
          <w:p w14:paraId="7F574A81">
            <w:pPr>
              <w:spacing w:line="360" w:lineRule="auto"/>
              <w:ind w:firstLine="0" w:firstLineChars="0"/>
              <w:jc w:val="center"/>
              <w:rPr>
                <w:rFonts w:hint="default" w:ascii="Times New Roman" w:hAnsi="Times New Roman" w:cs="Times New Roman"/>
                <w:color w:val="auto"/>
                <w:sz w:val="22"/>
                <w:szCs w:val="24"/>
                <w:highlight w:val="none"/>
              </w:rPr>
            </w:pPr>
          </w:p>
        </w:tc>
      </w:tr>
      <w:tr w14:paraId="613D7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586FC9A1">
            <w:pPr>
              <w:spacing w:line="360" w:lineRule="auto"/>
              <w:ind w:firstLine="0" w:firstLineChars="0"/>
              <w:jc w:val="center"/>
              <w:rPr>
                <w:rFonts w:hint="default" w:ascii="Times New Roman" w:hAnsi="Times New Roman" w:cs="Times New Roman"/>
                <w:color w:val="auto"/>
                <w:sz w:val="22"/>
                <w:szCs w:val="24"/>
                <w:highlight w:val="none"/>
              </w:rPr>
            </w:pPr>
            <w:r>
              <w:rPr>
                <w:rFonts w:hint="default" w:ascii="Times New Roman" w:hAnsi="Times New Roman" w:cs="Times New Roman"/>
                <w:color w:val="auto"/>
                <w:sz w:val="22"/>
                <w:szCs w:val="24"/>
                <w:highlight w:val="none"/>
              </w:rPr>
              <w:t>开户银行</w:t>
            </w:r>
          </w:p>
        </w:tc>
        <w:tc>
          <w:tcPr>
            <w:tcW w:w="2880" w:type="dxa"/>
            <w:gridSpan w:val="2"/>
            <w:tcBorders>
              <w:top w:val="single" w:color="auto" w:sz="4" w:space="0"/>
              <w:left w:val="single" w:color="auto" w:sz="4" w:space="0"/>
              <w:right w:val="single" w:color="auto" w:sz="4" w:space="0"/>
            </w:tcBorders>
          </w:tcPr>
          <w:p w14:paraId="38FC87E8">
            <w:pPr>
              <w:spacing w:line="360" w:lineRule="auto"/>
              <w:ind w:firstLine="0" w:firstLineChars="0"/>
              <w:jc w:val="center"/>
              <w:rPr>
                <w:rFonts w:hint="default" w:ascii="Times New Roman" w:hAnsi="Times New Roman" w:cs="Times New Roman"/>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10DC0721">
            <w:pPr>
              <w:rPr>
                <w:rFonts w:hint="default" w:ascii="Times New Roman" w:hAnsi="Times New Roman" w:cs="Times New Roman"/>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0CB8D2B7">
            <w:pPr>
              <w:spacing w:line="360" w:lineRule="auto"/>
              <w:ind w:firstLine="0" w:firstLineChars="0"/>
              <w:jc w:val="center"/>
              <w:rPr>
                <w:rFonts w:hint="default" w:ascii="Times New Roman" w:hAnsi="Times New Roman" w:cs="Times New Roman"/>
                <w:color w:val="auto"/>
                <w:sz w:val="22"/>
                <w:szCs w:val="24"/>
                <w:highlight w:val="none"/>
              </w:rPr>
            </w:pPr>
            <w:r>
              <w:rPr>
                <w:rFonts w:hint="default" w:ascii="Times New Roman" w:hAnsi="Times New Roman" w:cs="Times New Roman"/>
                <w:color w:val="auto"/>
                <w:sz w:val="22"/>
                <w:szCs w:val="24"/>
                <w:highlight w:val="none"/>
              </w:rPr>
              <w:t>初级职称人员</w:t>
            </w:r>
          </w:p>
        </w:tc>
        <w:tc>
          <w:tcPr>
            <w:tcW w:w="1481" w:type="dxa"/>
            <w:gridSpan w:val="2"/>
            <w:tcBorders>
              <w:left w:val="single" w:color="auto" w:sz="4" w:space="0"/>
            </w:tcBorders>
          </w:tcPr>
          <w:p w14:paraId="5703CE1C">
            <w:pPr>
              <w:spacing w:line="360" w:lineRule="auto"/>
              <w:ind w:firstLine="0" w:firstLineChars="0"/>
              <w:jc w:val="center"/>
              <w:rPr>
                <w:rFonts w:hint="default" w:ascii="Times New Roman" w:hAnsi="Times New Roman" w:cs="Times New Roman"/>
                <w:color w:val="auto"/>
                <w:sz w:val="22"/>
                <w:szCs w:val="24"/>
                <w:highlight w:val="none"/>
              </w:rPr>
            </w:pPr>
          </w:p>
        </w:tc>
      </w:tr>
      <w:tr w14:paraId="68F67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36B18836">
            <w:pPr>
              <w:spacing w:line="360" w:lineRule="auto"/>
              <w:ind w:firstLine="0" w:firstLineChars="0"/>
              <w:jc w:val="center"/>
              <w:rPr>
                <w:rFonts w:hint="default" w:ascii="Times New Roman" w:hAnsi="Times New Roman" w:cs="Times New Roman"/>
                <w:color w:val="auto"/>
                <w:sz w:val="22"/>
                <w:szCs w:val="24"/>
                <w:highlight w:val="none"/>
              </w:rPr>
            </w:pPr>
            <w:r>
              <w:rPr>
                <w:rFonts w:hint="default" w:ascii="Times New Roman" w:hAnsi="Times New Roman" w:cs="Times New Roman"/>
                <w:color w:val="auto"/>
                <w:sz w:val="22"/>
                <w:szCs w:val="24"/>
                <w:highlight w:val="none"/>
              </w:rPr>
              <w:t>账号</w:t>
            </w:r>
          </w:p>
        </w:tc>
        <w:tc>
          <w:tcPr>
            <w:tcW w:w="2880" w:type="dxa"/>
            <w:gridSpan w:val="2"/>
            <w:tcBorders>
              <w:top w:val="single" w:color="auto" w:sz="4" w:space="0"/>
              <w:left w:val="single" w:color="auto" w:sz="4" w:space="0"/>
              <w:right w:val="single" w:color="auto" w:sz="4" w:space="0"/>
            </w:tcBorders>
          </w:tcPr>
          <w:p w14:paraId="0A4696FC">
            <w:pPr>
              <w:spacing w:line="360" w:lineRule="auto"/>
              <w:ind w:firstLine="0" w:firstLineChars="0"/>
              <w:jc w:val="center"/>
              <w:rPr>
                <w:rFonts w:hint="default" w:ascii="Times New Roman" w:hAnsi="Times New Roman" w:cs="Times New Roman"/>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08C69A38">
            <w:pPr>
              <w:rPr>
                <w:rFonts w:hint="default" w:ascii="Times New Roman" w:hAnsi="Times New Roman" w:cs="Times New Roman"/>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2CE457C6">
            <w:pPr>
              <w:spacing w:line="360" w:lineRule="auto"/>
              <w:ind w:firstLine="0" w:firstLineChars="0"/>
              <w:jc w:val="center"/>
              <w:rPr>
                <w:rFonts w:hint="default" w:ascii="Times New Roman" w:hAnsi="Times New Roman" w:cs="Times New Roman"/>
                <w:color w:val="auto"/>
                <w:sz w:val="22"/>
                <w:szCs w:val="24"/>
                <w:highlight w:val="none"/>
              </w:rPr>
            </w:pPr>
            <w:r>
              <w:rPr>
                <w:rFonts w:hint="default" w:ascii="Times New Roman" w:hAnsi="Times New Roman" w:cs="Times New Roman"/>
                <w:color w:val="auto"/>
                <w:sz w:val="22"/>
                <w:szCs w:val="24"/>
                <w:highlight w:val="none"/>
              </w:rPr>
              <w:t>技工</w:t>
            </w:r>
          </w:p>
        </w:tc>
        <w:tc>
          <w:tcPr>
            <w:tcW w:w="1481" w:type="dxa"/>
            <w:gridSpan w:val="2"/>
            <w:tcBorders>
              <w:left w:val="single" w:color="auto" w:sz="4" w:space="0"/>
            </w:tcBorders>
          </w:tcPr>
          <w:p w14:paraId="1C855C8B">
            <w:pPr>
              <w:spacing w:line="360" w:lineRule="auto"/>
              <w:ind w:firstLine="0" w:firstLineChars="0"/>
              <w:jc w:val="center"/>
              <w:rPr>
                <w:rFonts w:hint="default" w:ascii="Times New Roman" w:hAnsi="Times New Roman" w:cs="Times New Roman"/>
                <w:color w:val="auto"/>
                <w:sz w:val="22"/>
                <w:szCs w:val="24"/>
                <w:highlight w:val="none"/>
              </w:rPr>
            </w:pPr>
          </w:p>
        </w:tc>
      </w:tr>
      <w:tr w14:paraId="4D8BC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47065F3E">
            <w:pPr>
              <w:spacing w:line="360" w:lineRule="auto"/>
              <w:ind w:firstLine="0" w:firstLineChars="0"/>
              <w:jc w:val="center"/>
              <w:rPr>
                <w:rFonts w:hint="default" w:ascii="Times New Roman" w:hAnsi="Times New Roman" w:cs="Times New Roman"/>
                <w:color w:val="auto"/>
                <w:sz w:val="22"/>
                <w:szCs w:val="24"/>
                <w:highlight w:val="none"/>
              </w:rPr>
            </w:pPr>
            <w:r>
              <w:rPr>
                <w:rFonts w:hint="default" w:ascii="Times New Roman" w:hAnsi="Times New Roman" w:cs="Times New Roman"/>
                <w:color w:val="auto"/>
                <w:sz w:val="22"/>
                <w:szCs w:val="24"/>
                <w:highlight w:val="none"/>
              </w:rPr>
              <w:t>经营范围</w:t>
            </w:r>
          </w:p>
        </w:tc>
        <w:tc>
          <w:tcPr>
            <w:tcW w:w="7114" w:type="dxa"/>
            <w:gridSpan w:val="8"/>
            <w:tcBorders>
              <w:left w:val="single" w:color="auto" w:sz="4" w:space="0"/>
            </w:tcBorders>
          </w:tcPr>
          <w:p w14:paraId="663C086E">
            <w:pPr>
              <w:spacing w:line="360" w:lineRule="auto"/>
              <w:ind w:firstLine="0" w:firstLineChars="0"/>
              <w:jc w:val="center"/>
              <w:rPr>
                <w:rFonts w:hint="default" w:ascii="Times New Roman" w:hAnsi="Times New Roman" w:cs="Times New Roman"/>
                <w:color w:val="auto"/>
                <w:sz w:val="22"/>
                <w:szCs w:val="24"/>
                <w:highlight w:val="none"/>
              </w:rPr>
            </w:pPr>
          </w:p>
        </w:tc>
      </w:tr>
      <w:tr w14:paraId="536EE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0A6A6D16">
            <w:pPr>
              <w:spacing w:line="360" w:lineRule="auto"/>
              <w:ind w:firstLine="0" w:firstLineChars="0"/>
              <w:jc w:val="center"/>
              <w:rPr>
                <w:rFonts w:hint="default" w:ascii="Times New Roman" w:hAnsi="Times New Roman" w:cs="Times New Roman"/>
                <w:color w:val="auto"/>
                <w:sz w:val="22"/>
                <w:szCs w:val="24"/>
                <w:highlight w:val="none"/>
              </w:rPr>
            </w:pPr>
            <w:r>
              <w:rPr>
                <w:rFonts w:hint="default" w:ascii="Times New Roman" w:hAnsi="Times New Roman" w:cs="Times New Roman"/>
                <w:color w:val="auto"/>
                <w:sz w:val="22"/>
                <w:szCs w:val="24"/>
                <w:highlight w:val="none"/>
              </w:rPr>
              <w:t>备注</w:t>
            </w:r>
          </w:p>
        </w:tc>
        <w:tc>
          <w:tcPr>
            <w:tcW w:w="7114" w:type="dxa"/>
            <w:gridSpan w:val="8"/>
            <w:tcBorders>
              <w:left w:val="single" w:color="auto" w:sz="4" w:space="0"/>
            </w:tcBorders>
          </w:tcPr>
          <w:p w14:paraId="742DDED9">
            <w:pPr>
              <w:spacing w:line="360" w:lineRule="auto"/>
              <w:ind w:firstLine="0" w:firstLineChars="0"/>
              <w:jc w:val="center"/>
              <w:rPr>
                <w:rFonts w:hint="default" w:ascii="Times New Roman" w:hAnsi="Times New Roman" w:cs="Times New Roman"/>
                <w:color w:val="auto"/>
                <w:sz w:val="22"/>
                <w:szCs w:val="24"/>
                <w:highlight w:val="none"/>
              </w:rPr>
            </w:pPr>
          </w:p>
        </w:tc>
      </w:tr>
    </w:tbl>
    <w:p w14:paraId="64C06582">
      <w:pPr>
        <w:widowControl/>
        <w:spacing w:line="360" w:lineRule="auto"/>
        <w:jc w:val="left"/>
        <w:rPr>
          <w:rFonts w:hint="default" w:ascii="Times New Roman" w:hAnsi="Times New Roman" w:cs="Times New Roman"/>
          <w:color w:val="auto"/>
          <w:sz w:val="20"/>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default" w:ascii="Times New Roman" w:hAnsi="Times New Roman" w:cs="Times New Roman"/>
          <w:color w:val="auto"/>
          <w:sz w:val="20"/>
          <w:szCs w:val="21"/>
          <w:highlight w:val="none"/>
        </w:rPr>
        <w:t>注：附营业执照（副本）、资质证明复印件等。</w:t>
      </w:r>
    </w:p>
    <w:p w14:paraId="544B729B">
      <w:pPr>
        <w:pStyle w:val="36"/>
        <w:rPr>
          <w:rFonts w:hint="default" w:ascii="Times New Roman" w:hAnsi="Times New Roman" w:cs="Times New Roman"/>
          <w:color w:val="auto"/>
          <w:highlight w:val="none"/>
        </w:rPr>
      </w:pPr>
      <w:bookmarkStart w:id="319" w:name="_Toc378234770"/>
      <w:bookmarkStart w:id="320" w:name="_Toc478054435"/>
      <w:bookmarkStart w:id="321" w:name="_Toc478053903"/>
      <w:bookmarkStart w:id="322" w:name="_Toc472780356"/>
      <w:bookmarkStart w:id="323" w:name="_Toc378234584"/>
      <w:r>
        <w:rPr>
          <w:rFonts w:hint="default" w:ascii="Times New Roman" w:hAnsi="Times New Roman" w:cs="Times New Roman"/>
          <w:color w:val="auto"/>
          <w:highlight w:val="none"/>
        </w:rPr>
        <w:t>（二）法定代表人身份证明及授权委托书</w:t>
      </w:r>
      <w:bookmarkEnd w:id="319"/>
      <w:bookmarkEnd w:id="320"/>
      <w:bookmarkEnd w:id="321"/>
      <w:bookmarkEnd w:id="322"/>
      <w:bookmarkEnd w:id="323"/>
    </w:p>
    <w:p w14:paraId="262CAE5D">
      <w:pPr>
        <w:pStyle w:val="37"/>
        <w:rPr>
          <w:rFonts w:hint="default" w:ascii="Times New Roman" w:hAnsi="Times New Roman" w:cs="Times New Roman"/>
          <w:color w:val="auto"/>
          <w:highlight w:val="none"/>
        </w:rPr>
      </w:pPr>
      <w:r>
        <w:rPr>
          <w:rFonts w:hint="default" w:ascii="Times New Roman" w:hAnsi="Times New Roman" w:cs="Times New Roman"/>
          <w:color w:val="auto"/>
          <w:highlight w:val="none"/>
        </w:rPr>
        <w:t>法定代表人身份证明书</w:t>
      </w:r>
    </w:p>
    <w:p w14:paraId="061EC349">
      <w:pPr>
        <w:tabs>
          <w:tab w:val="left" w:pos="6300"/>
        </w:tabs>
        <w:snapToGrid w:val="0"/>
        <w:spacing w:line="360" w:lineRule="auto"/>
        <w:rPr>
          <w:rFonts w:hint="default" w:ascii="Times New Roman" w:hAnsi="Times New Roman" w:cs="Times New Roman"/>
          <w:snapToGrid w:val="0"/>
          <w:color w:val="auto"/>
          <w:kern w:val="0"/>
          <w:highlight w:val="none"/>
        </w:rPr>
      </w:pPr>
    </w:p>
    <w:p w14:paraId="69646529">
      <w:pPr>
        <w:tabs>
          <w:tab w:val="left" w:pos="6300"/>
        </w:tabs>
        <w:snapToGrid w:val="0"/>
        <w:spacing w:line="360" w:lineRule="auto"/>
        <w:rPr>
          <w:rFonts w:hint="default" w:ascii="Times New Roman" w:hAnsi="Times New Roman" w:cs="Times New Roman"/>
          <w:snapToGrid w:val="0"/>
          <w:color w:val="auto"/>
          <w:kern w:val="0"/>
          <w:highlight w:val="none"/>
        </w:rPr>
      </w:pPr>
      <w:r>
        <w:rPr>
          <w:rFonts w:hint="default" w:ascii="Times New Roman" w:hAnsi="Times New Roman" w:cs="Times New Roman"/>
          <w:snapToGrid w:val="0"/>
          <w:color w:val="auto"/>
          <w:kern w:val="0"/>
          <w:highlight w:val="none"/>
        </w:rPr>
        <w:t>项目名称：</w:t>
      </w:r>
      <w:r>
        <w:rPr>
          <w:rFonts w:hint="default" w:ascii="Times New Roman" w:hAnsi="Times New Roman" w:cs="Times New Roman"/>
          <w:snapToGrid w:val="0"/>
          <w:color w:val="auto"/>
          <w:kern w:val="0"/>
          <w:highlight w:val="none"/>
          <w:u w:val="single"/>
        </w:rPr>
        <w:t>____________________</w:t>
      </w:r>
    </w:p>
    <w:p w14:paraId="6EEF0394">
      <w:pPr>
        <w:tabs>
          <w:tab w:val="left" w:pos="6300"/>
        </w:tabs>
        <w:snapToGrid w:val="0"/>
        <w:spacing w:line="360" w:lineRule="auto"/>
        <w:rPr>
          <w:rFonts w:hint="default" w:ascii="Times New Roman" w:hAnsi="Times New Roman" w:cs="Times New Roman"/>
          <w:snapToGrid w:val="0"/>
          <w:color w:val="auto"/>
          <w:kern w:val="0"/>
          <w:highlight w:val="none"/>
        </w:rPr>
      </w:pPr>
    </w:p>
    <w:p w14:paraId="774BBEA8">
      <w:pPr>
        <w:tabs>
          <w:tab w:val="left" w:pos="6300"/>
        </w:tabs>
        <w:snapToGrid w:val="0"/>
        <w:spacing w:line="360" w:lineRule="auto"/>
        <w:rPr>
          <w:rFonts w:hint="default" w:ascii="Times New Roman" w:hAnsi="Times New Roman" w:cs="Times New Roman"/>
          <w:snapToGrid w:val="0"/>
          <w:color w:val="auto"/>
          <w:kern w:val="0"/>
          <w:highlight w:val="none"/>
        </w:rPr>
      </w:pPr>
      <w:r>
        <w:rPr>
          <w:rFonts w:hint="default" w:ascii="Times New Roman" w:hAnsi="Times New Roman" w:cs="Times New Roman"/>
          <w:snapToGrid w:val="0"/>
          <w:color w:val="auto"/>
          <w:kern w:val="0"/>
          <w:highlight w:val="none"/>
        </w:rPr>
        <w:t>致：</w:t>
      </w:r>
      <w:r>
        <w:rPr>
          <w:rFonts w:hint="default" w:ascii="Times New Roman" w:hAnsi="Times New Roman" w:cs="Times New Roman"/>
          <w:snapToGrid w:val="0"/>
          <w:color w:val="auto"/>
          <w:kern w:val="0"/>
          <w:highlight w:val="none"/>
          <w:u w:val="single"/>
        </w:rPr>
        <w:t xml:space="preserve"> 重庆三峡银行股份有限公司  </w:t>
      </w:r>
      <w:r>
        <w:rPr>
          <w:rFonts w:hint="default" w:ascii="Times New Roman" w:hAnsi="Times New Roman" w:cs="Times New Roman"/>
          <w:snapToGrid w:val="0"/>
          <w:color w:val="auto"/>
          <w:kern w:val="0"/>
          <w:highlight w:val="none"/>
        </w:rPr>
        <w:t>：</w:t>
      </w:r>
    </w:p>
    <w:p w14:paraId="1E3CE354">
      <w:pPr>
        <w:tabs>
          <w:tab w:val="left" w:pos="6300"/>
        </w:tabs>
        <w:snapToGrid w:val="0"/>
        <w:spacing w:line="360" w:lineRule="auto"/>
        <w:rPr>
          <w:rFonts w:hint="default" w:ascii="Times New Roman" w:hAnsi="Times New Roman" w:cs="Times New Roman"/>
          <w:snapToGrid w:val="0"/>
          <w:color w:val="auto"/>
          <w:kern w:val="0"/>
          <w:highlight w:val="none"/>
        </w:rPr>
      </w:pPr>
      <w:r>
        <w:rPr>
          <w:rFonts w:hint="default" w:ascii="Times New Roman" w:hAnsi="Times New Roman" w:cs="Times New Roman"/>
          <w:snapToGrid w:val="0"/>
          <w:color w:val="auto"/>
          <w:kern w:val="0"/>
          <w:highlight w:val="none"/>
          <w:u w:val="single"/>
        </w:rPr>
        <w:t xml:space="preserve">        </w:t>
      </w:r>
      <w:r>
        <w:rPr>
          <w:rFonts w:hint="default" w:ascii="Times New Roman" w:hAnsi="Times New Roman" w:cs="Times New Roman"/>
          <w:snapToGrid w:val="0"/>
          <w:color w:val="auto"/>
          <w:kern w:val="0"/>
          <w:highlight w:val="none"/>
        </w:rPr>
        <w:t>（</w:t>
      </w:r>
      <w:r>
        <w:rPr>
          <w:rFonts w:hint="default" w:ascii="Times New Roman" w:hAnsi="Times New Roman" w:cs="Times New Roman"/>
          <w:snapToGrid w:val="0"/>
          <w:color w:val="auto"/>
          <w:kern w:val="0"/>
          <w:szCs w:val="24"/>
          <w:highlight w:val="none"/>
        </w:rPr>
        <w:t>参选</w:t>
      </w:r>
      <w:r>
        <w:rPr>
          <w:rFonts w:hint="default" w:ascii="Times New Roman" w:hAnsi="Times New Roman" w:cs="Times New Roman"/>
          <w:snapToGrid w:val="0"/>
          <w:color w:val="auto"/>
          <w:kern w:val="0"/>
          <w:highlight w:val="none"/>
        </w:rPr>
        <w:t>人法定代表人姓名）在</w:t>
      </w:r>
      <w:r>
        <w:rPr>
          <w:rFonts w:hint="default" w:ascii="Times New Roman" w:hAnsi="Times New Roman" w:cs="Times New Roman"/>
          <w:snapToGrid w:val="0"/>
          <w:color w:val="auto"/>
          <w:kern w:val="0"/>
          <w:highlight w:val="none"/>
          <w:u w:val="single"/>
        </w:rPr>
        <w:t xml:space="preserve">        </w:t>
      </w:r>
      <w:r>
        <w:rPr>
          <w:rFonts w:hint="default" w:ascii="Times New Roman" w:hAnsi="Times New Roman" w:cs="Times New Roman"/>
          <w:snapToGrid w:val="0"/>
          <w:color w:val="auto"/>
          <w:kern w:val="0"/>
          <w:highlight w:val="none"/>
        </w:rPr>
        <w:t>（参选人名称）任</w:t>
      </w:r>
      <w:r>
        <w:rPr>
          <w:rFonts w:hint="default" w:ascii="Times New Roman" w:hAnsi="Times New Roman" w:cs="Times New Roman"/>
          <w:snapToGrid w:val="0"/>
          <w:color w:val="auto"/>
          <w:kern w:val="0"/>
          <w:highlight w:val="none"/>
          <w:u w:val="single"/>
        </w:rPr>
        <w:t xml:space="preserve">        </w:t>
      </w:r>
      <w:r>
        <w:rPr>
          <w:rFonts w:hint="default" w:ascii="Times New Roman" w:hAnsi="Times New Roman" w:cs="Times New Roman"/>
          <w:snapToGrid w:val="0"/>
          <w:color w:val="auto"/>
          <w:kern w:val="0"/>
          <w:highlight w:val="none"/>
        </w:rPr>
        <w:t>（职务名称）职务，是（参</w:t>
      </w:r>
      <w:r>
        <w:rPr>
          <w:rFonts w:hint="default" w:ascii="Times New Roman" w:hAnsi="Times New Roman" w:cs="Times New Roman"/>
          <w:snapToGrid w:val="0"/>
          <w:color w:val="auto"/>
          <w:kern w:val="0"/>
          <w:szCs w:val="24"/>
          <w:highlight w:val="none"/>
        </w:rPr>
        <w:t>选</w:t>
      </w:r>
      <w:r>
        <w:rPr>
          <w:rFonts w:hint="default" w:ascii="Times New Roman" w:hAnsi="Times New Roman" w:cs="Times New Roman"/>
          <w:snapToGrid w:val="0"/>
          <w:color w:val="auto"/>
          <w:kern w:val="0"/>
          <w:highlight w:val="none"/>
        </w:rPr>
        <w:t>人名称）</w:t>
      </w:r>
      <w:r>
        <w:rPr>
          <w:rFonts w:hint="default" w:ascii="Times New Roman" w:hAnsi="Times New Roman" w:cs="Times New Roman"/>
          <w:snapToGrid w:val="0"/>
          <w:color w:val="auto"/>
          <w:kern w:val="0"/>
          <w:highlight w:val="none"/>
          <w:u w:val="single"/>
        </w:rPr>
        <w:t xml:space="preserve">        </w:t>
      </w:r>
      <w:r>
        <w:rPr>
          <w:rFonts w:hint="default" w:ascii="Times New Roman" w:hAnsi="Times New Roman" w:cs="Times New Roman"/>
          <w:snapToGrid w:val="0"/>
          <w:color w:val="auto"/>
          <w:kern w:val="0"/>
          <w:highlight w:val="none"/>
        </w:rPr>
        <w:t>的法定代表</w:t>
      </w:r>
      <w:r>
        <w:rPr>
          <w:rFonts w:hint="default" w:ascii="Times New Roman" w:hAnsi="Times New Roman" w:cs="Times New Roman"/>
          <w:color w:val="auto"/>
          <w:highlight w:val="none"/>
        </w:rPr>
        <w:t>人</w:t>
      </w:r>
      <w:r>
        <w:rPr>
          <w:rFonts w:hint="default" w:ascii="Times New Roman" w:hAnsi="Times New Roman" w:cs="Times New Roman"/>
          <w:snapToGrid w:val="0"/>
          <w:color w:val="auto"/>
          <w:kern w:val="0"/>
          <w:highlight w:val="none"/>
        </w:rPr>
        <w:t>。</w:t>
      </w:r>
    </w:p>
    <w:p w14:paraId="71625200">
      <w:pPr>
        <w:tabs>
          <w:tab w:val="left" w:pos="6300"/>
        </w:tabs>
        <w:snapToGrid w:val="0"/>
        <w:spacing w:line="360" w:lineRule="auto"/>
        <w:rPr>
          <w:rFonts w:hint="default" w:ascii="Times New Roman" w:hAnsi="Times New Roman" w:cs="Times New Roman"/>
          <w:snapToGrid w:val="0"/>
          <w:color w:val="auto"/>
          <w:kern w:val="0"/>
          <w:highlight w:val="none"/>
        </w:rPr>
      </w:pPr>
    </w:p>
    <w:p w14:paraId="5DB641E2">
      <w:pPr>
        <w:tabs>
          <w:tab w:val="left" w:pos="6300"/>
        </w:tabs>
        <w:snapToGrid w:val="0"/>
        <w:spacing w:line="360" w:lineRule="auto"/>
        <w:rPr>
          <w:rFonts w:hint="default" w:ascii="Times New Roman" w:hAnsi="Times New Roman" w:cs="Times New Roman"/>
          <w:snapToGrid w:val="0"/>
          <w:color w:val="auto"/>
          <w:kern w:val="0"/>
          <w:highlight w:val="none"/>
        </w:rPr>
      </w:pPr>
      <w:r>
        <w:rPr>
          <w:rFonts w:hint="default" w:ascii="Times New Roman" w:hAnsi="Times New Roman" w:cs="Times New Roman"/>
          <w:snapToGrid w:val="0"/>
          <w:color w:val="auto"/>
          <w:kern w:val="0"/>
          <w:highlight w:val="none"/>
        </w:rPr>
        <w:t>特此证明。</w:t>
      </w:r>
    </w:p>
    <w:p w14:paraId="6E6D81FB">
      <w:pPr>
        <w:tabs>
          <w:tab w:val="left" w:pos="6300"/>
        </w:tabs>
        <w:snapToGrid w:val="0"/>
        <w:spacing w:line="360" w:lineRule="auto"/>
        <w:rPr>
          <w:rFonts w:hint="default" w:ascii="Times New Roman" w:hAnsi="Times New Roman" w:cs="Times New Roman"/>
          <w:snapToGrid w:val="0"/>
          <w:color w:val="auto"/>
          <w:kern w:val="0"/>
          <w:highlight w:val="none"/>
        </w:rPr>
      </w:pPr>
    </w:p>
    <w:p w14:paraId="618283E2">
      <w:pPr>
        <w:tabs>
          <w:tab w:val="left" w:pos="6300"/>
        </w:tabs>
        <w:snapToGrid w:val="0"/>
        <w:spacing w:line="360" w:lineRule="auto"/>
        <w:rPr>
          <w:rFonts w:hint="default" w:ascii="Times New Roman" w:hAnsi="Times New Roman" w:cs="Times New Roman"/>
          <w:snapToGrid w:val="0"/>
          <w:color w:val="auto"/>
          <w:kern w:val="0"/>
          <w:highlight w:val="none"/>
        </w:rPr>
      </w:pPr>
    </w:p>
    <w:p w14:paraId="6F54BE38">
      <w:pPr>
        <w:tabs>
          <w:tab w:val="left" w:pos="6300"/>
        </w:tabs>
        <w:snapToGrid w:val="0"/>
        <w:spacing w:line="360" w:lineRule="auto"/>
        <w:ind w:firstLine="6000" w:firstLineChars="2500"/>
        <w:rPr>
          <w:rFonts w:hint="default" w:ascii="Times New Roman" w:hAnsi="Times New Roman" w:cs="Times New Roman"/>
          <w:snapToGrid w:val="0"/>
          <w:color w:val="auto"/>
          <w:kern w:val="0"/>
          <w:highlight w:val="none"/>
        </w:rPr>
      </w:pPr>
      <w:r>
        <w:rPr>
          <w:rFonts w:hint="default" w:ascii="Times New Roman" w:hAnsi="Times New Roman" w:cs="Times New Roman"/>
          <w:snapToGrid w:val="0"/>
          <w:color w:val="auto"/>
          <w:kern w:val="0"/>
          <w:highlight w:val="none"/>
        </w:rPr>
        <w:t>参选人：</w:t>
      </w:r>
    </w:p>
    <w:p w14:paraId="113B164F">
      <w:pPr>
        <w:tabs>
          <w:tab w:val="left" w:pos="6300"/>
        </w:tabs>
        <w:snapToGrid w:val="0"/>
        <w:spacing w:line="360" w:lineRule="auto"/>
        <w:ind w:firstLine="5760" w:firstLineChars="2400"/>
        <w:rPr>
          <w:rFonts w:hint="default" w:ascii="Times New Roman" w:hAnsi="Times New Roman" w:cs="Times New Roman"/>
          <w:snapToGrid w:val="0"/>
          <w:color w:val="auto"/>
          <w:kern w:val="0"/>
          <w:highlight w:val="none"/>
        </w:rPr>
      </w:pPr>
      <w:r>
        <w:rPr>
          <w:rFonts w:hint="default" w:ascii="Times New Roman" w:hAnsi="Times New Roman" w:cs="Times New Roman"/>
          <w:snapToGrid w:val="0"/>
          <w:color w:val="auto"/>
          <w:kern w:val="0"/>
          <w:highlight w:val="none"/>
        </w:rPr>
        <w:t>（</w:t>
      </w:r>
      <w:r>
        <w:rPr>
          <w:rFonts w:hint="default" w:ascii="Times New Roman" w:hAnsi="Times New Roman" w:cs="Times New Roman"/>
          <w:snapToGrid w:val="0"/>
          <w:color w:val="auto"/>
          <w:kern w:val="0"/>
          <w:szCs w:val="24"/>
          <w:highlight w:val="none"/>
        </w:rPr>
        <w:t>参选</w:t>
      </w:r>
      <w:r>
        <w:rPr>
          <w:rFonts w:hint="default" w:ascii="Times New Roman" w:hAnsi="Times New Roman" w:cs="Times New Roman"/>
          <w:snapToGrid w:val="0"/>
          <w:color w:val="auto"/>
          <w:kern w:val="0"/>
          <w:highlight w:val="none"/>
        </w:rPr>
        <w:t>人公章）</w:t>
      </w:r>
    </w:p>
    <w:p w14:paraId="6325DD30">
      <w:pPr>
        <w:tabs>
          <w:tab w:val="left" w:pos="6300"/>
        </w:tabs>
        <w:snapToGrid w:val="0"/>
        <w:spacing w:line="360" w:lineRule="auto"/>
        <w:rPr>
          <w:rFonts w:hint="default" w:ascii="Times New Roman" w:hAnsi="Times New Roman" w:cs="Times New Roman"/>
          <w:snapToGrid w:val="0"/>
          <w:color w:val="auto"/>
          <w:kern w:val="0"/>
          <w:highlight w:val="none"/>
        </w:rPr>
      </w:pPr>
    </w:p>
    <w:p w14:paraId="1B01AAD9">
      <w:pPr>
        <w:tabs>
          <w:tab w:val="left" w:pos="6300"/>
        </w:tabs>
        <w:snapToGrid w:val="0"/>
        <w:spacing w:line="360" w:lineRule="auto"/>
        <w:rPr>
          <w:rFonts w:hint="default" w:ascii="Times New Roman" w:hAnsi="Times New Roman" w:cs="Times New Roman"/>
          <w:snapToGrid w:val="0"/>
          <w:color w:val="auto"/>
          <w:kern w:val="0"/>
          <w:highlight w:val="none"/>
        </w:rPr>
      </w:pPr>
      <w:r>
        <w:rPr>
          <w:rFonts w:hint="default" w:ascii="Times New Roman" w:hAnsi="Times New Roman" w:cs="Times New Roman"/>
          <w:snapToGrid w:val="0"/>
          <w:color w:val="auto"/>
          <w:kern w:val="0"/>
          <w:highlight w:val="none"/>
        </w:rPr>
        <w:t xml:space="preserve">                                             年   月   日</w:t>
      </w:r>
    </w:p>
    <w:p w14:paraId="03D697AE">
      <w:pPr>
        <w:tabs>
          <w:tab w:val="left" w:pos="6300"/>
        </w:tabs>
        <w:snapToGrid w:val="0"/>
        <w:spacing w:line="360" w:lineRule="auto"/>
        <w:rPr>
          <w:rFonts w:hint="default" w:ascii="Times New Roman" w:hAnsi="Times New Roman" w:cs="Times New Roman"/>
          <w:snapToGrid w:val="0"/>
          <w:color w:val="auto"/>
          <w:kern w:val="0"/>
          <w:highlight w:val="none"/>
        </w:rPr>
      </w:pPr>
    </w:p>
    <w:p w14:paraId="7AF23524">
      <w:pPr>
        <w:tabs>
          <w:tab w:val="left" w:pos="6300"/>
        </w:tabs>
        <w:snapToGrid w:val="0"/>
        <w:spacing w:line="360" w:lineRule="auto"/>
        <w:rPr>
          <w:rFonts w:hint="default" w:ascii="Times New Roman" w:hAnsi="Times New Roman" w:cs="Times New Roman"/>
          <w:snapToGrid w:val="0"/>
          <w:color w:val="auto"/>
          <w:kern w:val="0"/>
          <w:highlight w:val="none"/>
        </w:rPr>
      </w:pPr>
      <w:r>
        <w:rPr>
          <w:rFonts w:hint="default" w:ascii="Times New Roman" w:hAnsi="Times New Roman" w:cs="Times New Roman"/>
          <w:snapToGrid w:val="0"/>
          <w:color w:val="auto"/>
          <w:kern w:val="0"/>
          <w:highlight w:val="none"/>
        </w:rPr>
        <w:t>（附：法定代表人身份证正反面复印件）</w:t>
      </w:r>
    </w:p>
    <w:p w14:paraId="0F7E696D">
      <w:pPr>
        <w:tabs>
          <w:tab w:val="left" w:pos="6300"/>
        </w:tabs>
        <w:snapToGrid w:val="0"/>
        <w:spacing w:line="360" w:lineRule="auto"/>
        <w:rPr>
          <w:rFonts w:hint="default" w:ascii="Times New Roman" w:hAnsi="Times New Roman" w:cs="Times New Roman"/>
          <w:snapToGrid w:val="0"/>
          <w:color w:val="auto"/>
          <w:kern w:val="0"/>
          <w:highlight w:val="none"/>
        </w:rPr>
      </w:pPr>
    </w:p>
    <w:p w14:paraId="3139BBC6">
      <w:pPr>
        <w:tabs>
          <w:tab w:val="left" w:pos="6300"/>
        </w:tabs>
        <w:snapToGrid w:val="0"/>
        <w:spacing w:line="360" w:lineRule="auto"/>
        <w:rPr>
          <w:rFonts w:hint="default" w:ascii="Times New Roman" w:hAnsi="Times New Roman" w:cs="Times New Roman"/>
          <w:snapToGrid w:val="0"/>
          <w:color w:val="auto"/>
          <w:kern w:val="0"/>
          <w:highlight w:val="none"/>
        </w:rPr>
      </w:pPr>
    </w:p>
    <w:p w14:paraId="531F87EB">
      <w:pPr>
        <w:tabs>
          <w:tab w:val="left" w:pos="6300"/>
        </w:tabs>
        <w:snapToGrid w:val="0"/>
        <w:spacing w:line="360" w:lineRule="auto"/>
        <w:rPr>
          <w:rFonts w:hint="default" w:ascii="Times New Roman" w:hAnsi="Times New Roman" w:cs="Times New Roman"/>
          <w:snapToGrid w:val="0"/>
          <w:color w:val="auto"/>
          <w:kern w:val="0"/>
          <w:highlight w:val="none"/>
        </w:rPr>
      </w:pPr>
    </w:p>
    <w:p w14:paraId="209561F5">
      <w:pPr>
        <w:jc w:val="center"/>
        <w:rPr>
          <w:rStyle w:val="38"/>
          <w:rFonts w:hint="default" w:ascii="Times New Roman" w:hAnsi="Times New Roman" w:cs="Times New Roman"/>
          <w:color w:val="auto"/>
          <w:highlight w:val="none"/>
        </w:rPr>
      </w:pPr>
      <w:r>
        <w:rPr>
          <w:rFonts w:hint="default" w:ascii="Times New Roman" w:hAnsi="Times New Roman" w:cs="Times New Roman"/>
          <w:snapToGrid w:val="0"/>
          <w:color w:val="auto"/>
          <w:kern w:val="0"/>
          <w:highlight w:val="none"/>
        </w:rPr>
        <w:br w:type="column"/>
      </w:r>
      <w:r>
        <w:rPr>
          <w:rStyle w:val="38"/>
          <w:rFonts w:hint="default" w:ascii="Times New Roman" w:hAnsi="Times New Roman" w:cs="Times New Roman"/>
          <w:color w:val="auto"/>
          <w:highlight w:val="none"/>
        </w:rPr>
        <w:t>法定代表人授权委托书</w:t>
      </w:r>
    </w:p>
    <w:p w14:paraId="7C675FE3">
      <w:pPr>
        <w:tabs>
          <w:tab w:val="left" w:pos="6300"/>
        </w:tabs>
        <w:snapToGrid w:val="0"/>
        <w:spacing w:line="360" w:lineRule="auto"/>
        <w:rPr>
          <w:rFonts w:hint="default" w:ascii="Times New Roman" w:hAnsi="Times New Roman" w:cs="Times New Roman"/>
          <w:snapToGrid w:val="0"/>
          <w:color w:val="auto"/>
          <w:kern w:val="0"/>
          <w:highlight w:val="none"/>
        </w:rPr>
      </w:pPr>
    </w:p>
    <w:p w14:paraId="1FF9886D">
      <w:pPr>
        <w:tabs>
          <w:tab w:val="left" w:pos="6300"/>
        </w:tabs>
        <w:snapToGrid w:val="0"/>
        <w:spacing w:line="360" w:lineRule="auto"/>
        <w:rPr>
          <w:rFonts w:hint="default" w:ascii="Times New Roman" w:hAnsi="Times New Roman" w:cs="Times New Roman"/>
          <w:snapToGrid w:val="0"/>
          <w:color w:val="auto"/>
          <w:kern w:val="0"/>
          <w:highlight w:val="none"/>
        </w:rPr>
      </w:pPr>
      <w:r>
        <w:rPr>
          <w:rFonts w:hint="default" w:ascii="Times New Roman" w:hAnsi="Times New Roman" w:cs="Times New Roman"/>
          <w:snapToGrid w:val="0"/>
          <w:color w:val="auto"/>
          <w:kern w:val="0"/>
          <w:szCs w:val="28"/>
          <w:highlight w:val="none"/>
        </w:rPr>
        <w:t>项目名称</w:t>
      </w:r>
      <w:r>
        <w:rPr>
          <w:rFonts w:hint="default" w:ascii="Times New Roman" w:hAnsi="Times New Roman" w:cs="Times New Roman"/>
          <w:snapToGrid w:val="0"/>
          <w:color w:val="auto"/>
          <w:kern w:val="0"/>
          <w:highlight w:val="none"/>
        </w:rPr>
        <w:t>：</w:t>
      </w:r>
      <w:r>
        <w:rPr>
          <w:rFonts w:hint="default" w:ascii="Times New Roman" w:hAnsi="Times New Roman" w:cs="Times New Roman"/>
          <w:snapToGrid w:val="0"/>
          <w:color w:val="auto"/>
          <w:kern w:val="0"/>
          <w:szCs w:val="24"/>
          <w:highlight w:val="none"/>
          <w:u w:val="single"/>
        </w:rPr>
        <w:t>___________________</w:t>
      </w:r>
    </w:p>
    <w:p w14:paraId="200B96B4">
      <w:pPr>
        <w:tabs>
          <w:tab w:val="left" w:pos="6300"/>
        </w:tabs>
        <w:snapToGrid w:val="0"/>
        <w:spacing w:line="360" w:lineRule="auto"/>
        <w:rPr>
          <w:rFonts w:hint="default" w:ascii="Times New Roman" w:hAnsi="Times New Roman" w:cs="Times New Roman"/>
          <w:snapToGrid w:val="0"/>
          <w:color w:val="auto"/>
          <w:kern w:val="0"/>
          <w:highlight w:val="none"/>
        </w:rPr>
      </w:pPr>
    </w:p>
    <w:p w14:paraId="484A0E6C">
      <w:pPr>
        <w:tabs>
          <w:tab w:val="left" w:pos="6300"/>
        </w:tabs>
        <w:snapToGrid w:val="0"/>
        <w:spacing w:line="360" w:lineRule="auto"/>
        <w:rPr>
          <w:rFonts w:hint="default" w:ascii="Times New Roman" w:hAnsi="Times New Roman" w:cs="Times New Roman"/>
          <w:snapToGrid w:val="0"/>
          <w:color w:val="auto"/>
          <w:kern w:val="0"/>
          <w:highlight w:val="none"/>
        </w:rPr>
      </w:pPr>
      <w:r>
        <w:rPr>
          <w:rFonts w:hint="default" w:ascii="Times New Roman" w:hAnsi="Times New Roman" w:cs="Times New Roman"/>
          <w:snapToGrid w:val="0"/>
          <w:color w:val="auto"/>
          <w:kern w:val="0"/>
          <w:highlight w:val="none"/>
        </w:rPr>
        <w:t>致：</w:t>
      </w:r>
      <w:r>
        <w:rPr>
          <w:rFonts w:hint="default" w:ascii="Times New Roman" w:hAnsi="Times New Roman" w:cs="Times New Roman"/>
          <w:snapToGrid w:val="0"/>
          <w:color w:val="auto"/>
          <w:kern w:val="0"/>
          <w:highlight w:val="none"/>
          <w:u w:val="single"/>
        </w:rPr>
        <w:t>重庆三峡银行股份有限公司</w:t>
      </w:r>
      <w:r>
        <w:rPr>
          <w:rFonts w:hint="default" w:ascii="Times New Roman" w:hAnsi="Times New Roman" w:cs="Times New Roman"/>
          <w:snapToGrid w:val="0"/>
          <w:color w:val="auto"/>
          <w:kern w:val="0"/>
          <w:highlight w:val="none"/>
        </w:rPr>
        <w:t>：</w:t>
      </w:r>
    </w:p>
    <w:p w14:paraId="1409DA57">
      <w:pPr>
        <w:tabs>
          <w:tab w:val="left" w:pos="6300"/>
        </w:tabs>
        <w:snapToGrid w:val="0"/>
        <w:spacing w:line="360" w:lineRule="auto"/>
        <w:rPr>
          <w:rFonts w:hint="default" w:ascii="Times New Roman" w:hAnsi="Times New Roman" w:cs="Times New Roman"/>
          <w:snapToGrid w:val="0"/>
          <w:color w:val="auto"/>
          <w:kern w:val="0"/>
          <w:highlight w:val="none"/>
        </w:rPr>
      </w:pPr>
      <w:r>
        <w:rPr>
          <w:rFonts w:hint="default" w:ascii="Times New Roman" w:hAnsi="Times New Roman" w:cs="Times New Roman"/>
          <w:snapToGrid w:val="0"/>
          <w:color w:val="auto"/>
          <w:kern w:val="0"/>
          <w:highlight w:val="none"/>
          <w:u w:val="single"/>
        </w:rPr>
        <w:t xml:space="preserve">        </w:t>
      </w:r>
      <w:r>
        <w:rPr>
          <w:rFonts w:hint="default" w:ascii="Times New Roman" w:hAnsi="Times New Roman" w:cs="Times New Roman"/>
          <w:snapToGrid w:val="0"/>
          <w:color w:val="auto"/>
          <w:kern w:val="0"/>
          <w:highlight w:val="none"/>
        </w:rPr>
        <w:t>（</w:t>
      </w:r>
      <w:r>
        <w:rPr>
          <w:rFonts w:hint="default" w:ascii="Times New Roman" w:hAnsi="Times New Roman" w:cs="Times New Roman"/>
          <w:snapToGrid w:val="0"/>
          <w:color w:val="auto"/>
          <w:kern w:val="0"/>
          <w:szCs w:val="24"/>
          <w:highlight w:val="none"/>
        </w:rPr>
        <w:t>参选</w:t>
      </w:r>
      <w:r>
        <w:rPr>
          <w:rFonts w:hint="default" w:ascii="Times New Roman" w:hAnsi="Times New Roman" w:cs="Times New Roman"/>
          <w:snapToGrid w:val="0"/>
          <w:color w:val="auto"/>
          <w:kern w:val="0"/>
          <w:highlight w:val="none"/>
        </w:rPr>
        <w:t>人法定代表人名称）是</w:t>
      </w:r>
      <w:r>
        <w:rPr>
          <w:rFonts w:hint="default" w:ascii="Times New Roman" w:hAnsi="Times New Roman" w:cs="Times New Roman"/>
          <w:snapToGrid w:val="0"/>
          <w:color w:val="auto"/>
          <w:kern w:val="0"/>
          <w:highlight w:val="none"/>
          <w:u w:val="single"/>
        </w:rPr>
        <w:t xml:space="preserve">        </w:t>
      </w:r>
      <w:r>
        <w:rPr>
          <w:rFonts w:hint="default" w:ascii="Times New Roman" w:hAnsi="Times New Roman" w:cs="Times New Roman"/>
          <w:snapToGrid w:val="0"/>
          <w:color w:val="auto"/>
          <w:kern w:val="0"/>
          <w:highlight w:val="none"/>
        </w:rPr>
        <w:t>（</w:t>
      </w:r>
      <w:r>
        <w:rPr>
          <w:rFonts w:hint="default" w:ascii="Times New Roman" w:hAnsi="Times New Roman" w:cs="Times New Roman"/>
          <w:snapToGrid w:val="0"/>
          <w:color w:val="auto"/>
          <w:kern w:val="0"/>
          <w:szCs w:val="24"/>
          <w:highlight w:val="none"/>
        </w:rPr>
        <w:t>参选</w:t>
      </w:r>
      <w:r>
        <w:rPr>
          <w:rFonts w:hint="default" w:ascii="Times New Roman" w:hAnsi="Times New Roman" w:cs="Times New Roman"/>
          <w:snapToGrid w:val="0"/>
          <w:color w:val="auto"/>
          <w:kern w:val="0"/>
          <w:highlight w:val="none"/>
        </w:rPr>
        <w:t>人名称）的法定代表人，特授权</w:t>
      </w:r>
      <w:r>
        <w:rPr>
          <w:rFonts w:hint="default" w:ascii="Times New Roman" w:hAnsi="Times New Roman" w:cs="Times New Roman"/>
          <w:snapToGrid w:val="0"/>
          <w:color w:val="auto"/>
          <w:kern w:val="0"/>
          <w:highlight w:val="none"/>
          <w:u w:val="single"/>
        </w:rPr>
        <w:t xml:space="preserve">        </w:t>
      </w:r>
      <w:r>
        <w:rPr>
          <w:rFonts w:hint="default" w:ascii="Times New Roman" w:hAnsi="Times New Roman" w:cs="Times New Roman"/>
          <w:snapToGrid w:val="0"/>
          <w:color w:val="auto"/>
          <w:kern w:val="0"/>
          <w:highlight w:val="none"/>
        </w:rPr>
        <w:t>（被授权人姓名及身份证代码）代表我单位全权办理上述项目的</w:t>
      </w:r>
      <w:r>
        <w:rPr>
          <w:rFonts w:hint="default" w:ascii="Times New Roman" w:hAnsi="Times New Roman" w:cs="Times New Roman"/>
          <w:snapToGrid w:val="0"/>
          <w:color w:val="auto"/>
          <w:kern w:val="0"/>
          <w:szCs w:val="24"/>
          <w:highlight w:val="none"/>
        </w:rPr>
        <w:t>参选</w:t>
      </w:r>
      <w:r>
        <w:rPr>
          <w:rFonts w:hint="default" w:ascii="Times New Roman" w:hAnsi="Times New Roman" w:cs="Times New Roman"/>
          <w:snapToGrid w:val="0"/>
          <w:color w:val="auto"/>
          <w:kern w:val="0"/>
          <w:highlight w:val="none"/>
        </w:rPr>
        <w:t>、谈判、签约等具体工作，并签署全部有关文件、协议及合同。</w:t>
      </w:r>
    </w:p>
    <w:p w14:paraId="1D1D535F">
      <w:pPr>
        <w:tabs>
          <w:tab w:val="left" w:pos="6300"/>
        </w:tabs>
        <w:snapToGrid w:val="0"/>
        <w:spacing w:line="360" w:lineRule="auto"/>
        <w:rPr>
          <w:rFonts w:hint="default" w:ascii="Times New Roman" w:hAnsi="Times New Roman" w:cs="Times New Roman"/>
          <w:snapToGrid w:val="0"/>
          <w:color w:val="auto"/>
          <w:kern w:val="0"/>
          <w:highlight w:val="none"/>
        </w:rPr>
      </w:pPr>
      <w:r>
        <w:rPr>
          <w:rFonts w:hint="default" w:ascii="Times New Roman" w:hAnsi="Times New Roman" w:cs="Times New Roman"/>
          <w:snapToGrid w:val="0"/>
          <w:color w:val="auto"/>
          <w:kern w:val="0"/>
          <w:highlight w:val="none"/>
        </w:rPr>
        <w:t>我单位对被授权人的签字负全部责任。</w:t>
      </w:r>
    </w:p>
    <w:p w14:paraId="65C3F511">
      <w:pPr>
        <w:tabs>
          <w:tab w:val="left" w:pos="6300"/>
        </w:tabs>
        <w:snapToGrid w:val="0"/>
        <w:spacing w:line="360" w:lineRule="auto"/>
        <w:rPr>
          <w:rFonts w:hint="default" w:ascii="Times New Roman" w:hAnsi="Times New Roman" w:cs="Times New Roman"/>
          <w:snapToGrid w:val="0"/>
          <w:color w:val="auto"/>
          <w:kern w:val="0"/>
          <w:highlight w:val="none"/>
        </w:rPr>
      </w:pPr>
      <w:r>
        <w:rPr>
          <w:rFonts w:hint="default" w:ascii="Times New Roman" w:hAnsi="Times New Roman" w:cs="Times New Roman"/>
          <w:snapToGrid w:val="0"/>
          <w:color w:val="auto"/>
          <w:kern w:val="0"/>
          <w:highlight w:val="none"/>
        </w:rPr>
        <w:t>在撤消授权的书面通知以前，本授权书一直有效。被授权人在授权书有效期内签署的所有文件不因授权的撤消而失效。</w:t>
      </w:r>
    </w:p>
    <w:p w14:paraId="58D14B7C">
      <w:pPr>
        <w:tabs>
          <w:tab w:val="left" w:pos="6300"/>
        </w:tabs>
        <w:snapToGrid w:val="0"/>
        <w:spacing w:line="360" w:lineRule="auto"/>
        <w:rPr>
          <w:rFonts w:hint="default" w:ascii="Times New Roman" w:hAnsi="Times New Roman" w:cs="Times New Roman"/>
          <w:snapToGrid w:val="0"/>
          <w:color w:val="auto"/>
          <w:kern w:val="0"/>
          <w:highlight w:val="none"/>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144C4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tcBorders>
              <w:top w:val="nil"/>
              <w:left w:val="nil"/>
              <w:bottom w:val="nil"/>
              <w:right w:val="nil"/>
            </w:tcBorders>
            <w:vAlign w:val="center"/>
          </w:tcPr>
          <w:p w14:paraId="6A573483">
            <w:pPr>
              <w:tabs>
                <w:tab w:val="left" w:pos="6300"/>
              </w:tabs>
              <w:snapToGrid w:val="0"/>
              <w:spacing w:line="360" w:lineRule="auto"/>
              <w:ind w:firstLine="0" w:firstLineChars="0"/>
              <w:jc w:val="both"/>
              <w:rPr>
                <w:rFonts w:hint="default" w:ascii="Times New Roman" w:hAnsi="Times New Roman" w:cs="Times New Roman"/>
                <w:snapToGrid w:val="0"/>
                <w:color w:val="auto"/>
                <w:kern w:val="0"/>
                <w:highlight w:val="none"/>
              </w:rPr>
            </w:pPr>
            <w:r>
              <w:rPr>
                <w:rFonts w:hint="default" w:ascii="Times New Roman" w:hAnsi="Times New Roman" w:cs="Times New Roman"/>
                <w:snapToGrid w:val="0"/>
                <w:color w:val="auto"/>
                <w:kern w:val="0"/>
                <w:highlight w:val="none"/>
              </w:rPr>
              <w:t>被授权人</w:t>
            </w:r>
          </w:p>
        </w:tc>
        <w:tc>
          <w:tcPr>
            <w:tcW w:w="4261" w:type="dxa"/>
            <w:tcBorders>
              <w:top w:val="nil"/>
              <w:left w:val="nil"/>
              <w:bottom w:val="nil"/>
              <w:right w:val="nil"/>
            </w:tcBorders>
            <w:vAlign w:val="center"/>
          </w:tcPr>
          <w:p w14:paraId="67C093AE">
            <w:pPr>
              <w:tabs>
                <w:tab w:val="left" w:pos="6300"/>
              </w:tabs>
              <w:snapToGrid w:val="0"/>
              <w:spacing w:line="360" w:lineRule="auto"/>
              <w:ind w:firstLine="0" w:firstLineChars="0"/>
              <w:jc w:val="both"/>
              <w:rPr>
                <w:rFonts w:hint="default" w:ascii="Times New Roman" w:hAnsi="Times New Roman" w:cs="Times New Roman"/>
                <w:snapToGrid w:val="0"/>
                <w:color w:val="auto"/>
                <w:kern w:val="0"/>
                <w:highlight w:val="none"/>
              </w:rPr>
            </w:pPr>
            <w:r>
              <w:rPr>
                <w:rFonts w:hint="default" w:ascii="Times New Roman" w:hAnsi="Times New Roman" w:cs="Times New Roman"/>
                <w:snapToGrid w:val="0"/>
                <w:color w:val="auto"/>
                <w:kern w:val="0"/>
                <w:szCs w:val="24"/>
                <w:highlight w:val="none"/>
              </w:rPr>
              <w:t>参选</w:t>
            </w:r>
            <w:r>
              <w:rPr>
                <w:rFonts w:hint="default" w:ascii="Times New Roman" w:hAnsi="Times New Roman" w:cs="Times New Roman"/>
                <w:snapToGrid w:val="0"/>
                <w:color w:val="auto"/>
                <w:kern w:val="0"/>
                <w:highlight w:val="none"/>
              </w:rPr>
              <w:t>人法定代表人名称：</w:t>
            </w:r>
          </w:p>
        </w:tc>
      </w:tr>
      <w:tr w14:paraId="642DB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vAlign w:val="center"/>
          </w:tcPr>
          <w:p w14:paraId="711A1274">
            <w:pPr>
              <w:tabs>
                <w:tab w:val="left" w:pos="6300"/>
              </w:tabs>
              <w:snapToGrid w:val="0"/>
              <w:spacing w:line="360" w:lineRule="auto"/>
              <w:ind w:firstLine="0" w:firstLineChars="0"/>
              <w:jc w:val="both"/>
              <w:rPr>
                <w:rFonts w:hint="default" w:ascii="Times New Roman" w:hAnsi="Times New Roman" w:cs="Times New Roman"/>
                <w:snapToGrid w:val="0"/>
                <w:color w:val="auto"/>
                <w:kern w:val="0"/>
                <w:highlight w:val="none"/>
              </w:rPr>
            </w:pPr>
            <w:r>
              <w:rPr>
                <w:rFonts w:hint="default" w:ascii="Times New Roman" w:hAnsi="Times New Roman" w:cs="Times New Roman"/>
                <w:snapToGrid w:val="0"/>
                <w:color w:val="auto"/>
                <w:kern w:val="0"/>
                <w:szCs w:val="28"/>
                <w:highlight w:val="none"/>
              </w:rPr>
              <w:t>（签字或盖章）</w:t>
            </w:r>
          </w:p>
        </w:tc>
        <w:tc>
          <w:tcPr>
            <w:tcW w:w="4261" w:type="dxa"/>
            <w:tcBorders>
              <w:top w:val="nil"/>
              <w:left w:val="nil"/>
              <w:bottom w:val="nil"/>
              <w:right w:val="nil"/>
            </w:tcBorders>
            <w:vAlign w:val="center"/>
          </w:tcPr>
          <w:p w14:paraId="5265C65C">
            <w:pPr>
              <w:tabs>
                <w:tab w:val="left" w:pos="6300"/>
              </w:tabs>
              <w:snapToGrid w:val="0"/>
              <w:spacing w:line="360" w:lineRule="auto"/>
              <w:ind w:firstLine="0" w:firstLineChars="0"/>
              <w:jc w:val="both"/>
              <w:rPr>
                <w:rFonts w:hint="default" w:ascii="Times New Roman" w:hAnsi="Times New Roman" w:cs="Times New Roman"/>
                <w:snapToGrid w:val="0"/>
                <w:color w:val="auto"/>
                <w:kern w:val="0"/>
                <w:highlight w:val="none"/>
              </w:rPr>
            </w:pPr>
            <w:r>
              <w:rPr>
                <w:rFonts w:hint="default" w:ascii="Times New Roman" w:hAnsi="Times New Roman" w:cs="Times New Roman"/>
                <w:snapToGrid w:val="0"/>
                <w:color w:val="auto"/>
                <w:kern w:val="0"/>
                <w:szCs w:val="28"/>
                <w:highlight w:val="none"/>
              </w:rPr>
              <w:t>（签字或盖章）</w:t>
            </w:r>
          </w:p>
        </w:tc>
      </w:tr>
    </w:tbl>
    <w:p w14:paraId="29FED508">
      <w:pPr>
        <w:tabs>
          <w:tab w:val="left" w:pos="6300"/>
        </w:tabs>
        <w:snapToGrid w:val="0"/>
        <w:spacing w:line="360" w:lineRule="auto"/>
        <w:rPr>
          <w:rFonts w:hint="default" w:ascii="Times New Roman" w:hAnsi="Times New Roman" w:cs="Times New Roman"/>
          <w:snapToGrid w:val="0"/>
          <w:color w:val="auto"/>
          <w:kern w:val="0"/>
          <w:highlight w:val="none"/>
        </w:rPr>
      </w:pPr>
    </w:p>
    <w:p w14:paraId="0726CB98">
      <w:pPr>
        <w:tabs>
          <w:tab w:val="left" w:pos="6300"/>
        </w:tabs>
        <w:snapToGrid w:val="0"/>
        <w:spacing w:line="360" w:lineRule="auto"/>
        <w:rPr>
          <w:rFonts w:hint="default" w:ascii="Times New Roman" w:hAnsi="Times New Roman" w:cs="Times New Roman"/>
          <w:snapToGrid w:val="0"/>
          <w:color w:val="auto"/>
          <w:kern w:val="0"/>
          <w:szCs w:val="28"/>
          <w:highlight w:val="none"/>
        </w:rPr>
      </w:pPr>
    </w:p>
    <w:p w14:paraId="055A0380">
      <w:pPr>
        <w:tabs>
          <w:tab w:val="left" w:pos="6300"/>
        </w:tabs>
        <w:snapToGrid w:val="0"/>
        <w:spacing w:line="360" w:lineRule="auto"/>
        <w:rPr>
          <w:rFonts w:hint="default" w:ascii="Times New Roman" w:hAnsi="Times New Roman" w:cs="Times New Roman"/>
          <w:snapToGrid w:val="0"/>
          <w:color w:val="auto"/>
          <w:kern w:val="0"/>
          <w:highlight w:val="none"/>
        </w:rPr>
      </w:pPr>
    </w:p>
    <w:p w14:paraId="6869F14A">
      <w:pPr>
        <w:tabs>
          <w:tab w:val="left" w:pos="6300"/>
        </w:tabs>
        <w:snapToGrid w:val="0"/>
        <w:spacing w:line="360" w:lineRule="auto"/>
        <w:rPr>
          <w:rFonts w:hint="default" w:ascii="Times New Roman" w:hAnsi="Times New Roman" w:cs="Times New Roman"/>
          <w:snapToGrid w:val="0"/>
          <w:color w:val="auto"/>
          <w:kern w:val="0"/>
          <w:highlight w:val="none"/>
        </w:rPr>
      </w:pPr>
      <w:r>
        <w:rPr>
          <w:rFonts w:hint="default" w:ascii="Times New Roman" w:hAnsi="Times New Roman" w:cs="Times New Roman"/>
          <w:snapToGrid w:val="0"/>
          <w:color w:val="auto"/>
          <w:kern w:val="0"/>
          <w:highlight w:val="none"/>
        </w:rPr>
        <w:t>（附：被授权人身份证正反面复印件）</w:t>
      </w:r>
    </w:p>
    <w:p w14:paraId="39CC40AB">
      <w:pPr>
        <w:tabs>
          <w:tab w:val="left" w:pos="6300"/>
        </w:tabs>
        <w:snapToGrid w:val="0"/>
        <w:spacing w:line="360" w:lineRule="auto"/>
        <w:rPr>
          <w:rFonts w:hint="default" w:ascii="Times New Roman" w:hAnsi="Times New Roman" w:cs="Times New Roman"/>
          <w:snapToGrid w:val="0"/>
          <w:color w:val="auto"/>
          <w:kern w:val="0"/>
          <w:highlight w:val="none"/>
        </w:rPr>
      </w:pPr>
    </w:p>
    <w:p w14:paraId="53C3B028">
      <w:pPr>
        <w:tabs>
          <w:tab w:val="left" w:pos="6300"/>
        </w:tabs>
        <w:snapToGrid w:val="0"/>
        <w:spacing w:line="360" w:lineRule="auto"/>
        <w:rPr>
          <w:rFonts w:hint="default" w:ascii="Times New Roman" w:hAnsi="Times New Roman" w:cs="Times New Roman"/>
          <w:snapToGrid w:val="0"/>
          <w:color w:val="auto"/>
          <w:kern w:val="0"/>
          <w:highlight w:val="none"/>
        </w:rPr>
      </w:pPr>
    </w:p>
    <w:p w14:paraId="65A56AA0">
      <w:pPr>
        <w:tabs>
          <w:tab w:val="left" w:pos="6300"/>
        </w:tabs>
        <w:snapToGrid w:val="0"/>
        <w:spacing w:line="360" w:lineRule="auto"/>
        <w:ind w:right="480"/>
        <w:jc w:val="right"/>
        <w:rPr>
          <w:rFonts w:hint="default" w:ascii="Times New Roman" w:hAnsi="Times New Roman" w:cs="Times New Roman"/>
          <w:snapToGrid w:val="0"/>
          <w:color w:val="auto"/>
          <w:kern w:val="0"/>
          <w:highlight w:val="none"/>
        </w:rPr>
      </w:pPr>
      <w:r>
        <w:rPr>
          <w:rFonts w:hint="default" w:ascii="Times New Roman" w:hAnsi="Times New Roman" w:cs="Times New Roman"/>
          <w:snapToGrid w:val="0"/>
          <w:color w:val="auto"/>
          <w:kern w:val="0"/>
          <w:highlight w:val="none"/>
        </w:rPr>
        <w:t>（</w:t>
      </w:r>
      <w:r>
        <w:rPr>
          <w:rFonts w:hint="default" w:ascii="Times New Roman" w:hAnsi="Times New Roman" w:cs="Times New Roman"/>
          <w:snapToGrid w:val="0"/>
          <w:color w:val="auto"/>
          <w:kern w:val="0"/>
          <w:szCs w:val="24"/>
          <w:highlight w:val="none"/>
        </w:rPr>
        <w:t>参选</w:t>
      </w:r>
      <w:r>
        <w:rPr>
          <w:rFonts w:hint="default" w:ascii="Times New Roman" w:hAnsi="Times New Roman" w:cs="Times New Roman"/>
          <w:snapToGrid w:val="0"/>
          <w:color w:val="auto"/>
          <w:kern w:val="0"/>
          <w:highlight w:val="none"/>
        </w:rPr>
        <w:t>人公章）</w:t>
      </w:r>
    </w:p>
    <w:p w14:paraId="2721E711">
      <w:pPr>
        <w:tabs>
          <w:tab w:val="left" w:pos="6300"/>
        </w:tabs>
        <w:snapToGrid w:val="0"/>
        <w:spacing w:line="360" w:lineRule="auto"/>
        <w:ind w:right="480"/>
        <w:jc w:val="right"/>
        <w:rPr>
          <w:rFonts w:hint="default" w:ascii="Times New Roman" w:hAnsi="Times New Roman" w:cs="Times New Roman"/>
          <w:snapToGrid w:val="0"/>
          <w:color w:val="auto"/>
          <w:kern w:val="0"/>
          <w:highlight w:val="none"/>
        </w:rPr>
      </w:pPr>
      <w:r>
        <w:rPr>
          <w:rFonts w:hint="default" w:ascii="Times New Roman" w:hAnsi="Times New Roman" w:cs="Times New Roman"/>
          <w:snapToGrid w:val="0"/>
          <w:color w:val="auto"/>
          <w:kern w:val="0"/>
          <w:highlight w:val="none"/>
        </w:rPr>
        <w:t>年   月   日</w:t>
      </w:r>
    </w:p>
    <w:p w14:paraId="190B8A22">
      <w:pPr>
        <w:tabs>
          <w:tab w:val="left" w:pos="6300"/>
        </w:tabs>
        <w:snapToGrid w:val="0"/>
        <w:spacing w:line="360" w:lineRule="auto"/>
        <w:rPr>
          <w:rFonts w:hint="default" w:ascii="Times New Roman" w:hAnsi="Times New Roman" w:cs="Times New Roman"/>
          <w:snapToGrid w:val="0"/>
          <w:color w:val="auto"/>
          <w:kern w:val="0"/>
          <w:highlight w:val="none"/>
        </w:rPr>
      </w:pPr>
    </w:p>
    <w:p w14:paraId="1840AA1A">
      <w:pPr>
        <w:tabs>
          <w:tab w:val="left" w:pos="6300"/>
        </w:tabs>
        <w:snapToGrid w:val="0"/>
        <w:spacing w:line="360" w:lineRule="auto"/>
        <w:rPr>
          <w:rFonts w:hint="default" w:ascii="Times New Roman" w:hAnsi="Times New Roman" w:cs="Times New Roman"/>
          <w:snapToGrid w:val="0"/>
          <w:color w:val="auto"/>
          <w:kern w:val="0"/>
          <w:highlight w:val="none"/>
        </w:rPr>
      </w:pPr>
      <w:r>
        <w:rPr>
          <w:rFonts w:hint="default" w:ascii="Times New Roman" w:hAnsi="Times New Roman" w:cs="Times New Roman"/>
          <w:snapToGrid w:val="0"/>
          <w:color w:val="auto"/>
          <w:kern w:val="0"/>
          <w:highlight w:val="none"/>
        </w:rPr>
        <w:t>注：1.若为法定代表人办理并签署参选文件的，不提供此文件。</w:t>
      </w:r>
    </w:p>
    <w:p w14:paraId="3A44FFCD">
      <w:pPr>
        <w:rPr>
          <w:rFonts w:hint="default" w:ascii="Times New Roman" w:hAnsi="Times New Roman" w:cs="Times New Roman"/>
          <w:color w:val="auto"/>
          <w:highlight w:val="none"/>
        </w:rPr>
      </w:pPr>
    </w:p>
    <w:p w14:paraId="47A2D80E">
      <w:pPr>
        <w:rPr>
          <w:rFonts w:hint="default" w:ascii="Times New Roman" w:hAnsi="Times New Roman" w:cs="Times New Roman"/>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0B5A0AD5">
      <w:pPr>
        <w:pStyle w:val="36"/>
        <w:rPr>
          <w:rFonts w:hint="default" w:ascii="Times New Roman" w:hAnsi="Times New Roman" w:cs="Times New Roman"/>
          <w:color w:val="auto"/>
          <w:highlight w:val="none"/>
        </w:rPr>
      </w:pPr>
      <w:r>
        <w:rPr>
          <w:rFonts w:hint="default" w:ascii="Times New Roman" w:hAnsi="Times New Roman" w:cs="Times New Roman"/>
          <w:color w:val="auto"/>
          <w:highlight w:val="none"/>
        </w:rPr>
        <w:t>（三）书面声明</w:t>
      </w:r>
    </w:p>
    <w:p w14:paraId="3D814C74">
      <w:pPr>
        <w:tabs>
          <w:tab w:val="left" w:pos="6300"/>
        </w:tabs>
        <w:snapToGrid w:val="0"/>
        <w:spacing w:line="360" w:lineRule="auto"/>
        <w:rPr>
          <w:rFonts w:hint="default" w:ascii="Times New Roman" w:hAnsi="Times New Roman" w:cs="Times New Roman"/>
          <w:color w:val="auto"/>
          <w:highlight w:val="none"/>
        </w:rPr>
      </w:pPr>
    </w:p>
    <w:p w14:paraId="1E03C8E6">
      <w:pPr>
        <w:tabs>
          <w:tab w:val="left" w:pos="6300"/>
        </w:tabs>
        <w:snapToGrid w:val="0"/>
        <w:spacing w:line="360" w:lineRule="auto"/>
        <w:rPr>
          <w:rFonts w:hint="default" w:ascii="Times New Roman" w:hAnsi="Times New Roman" w:cs="Times New Roman"/>
          <w:color w:val="auto"/>
          <w:highlight w:val="none"/>
        </w:rPr>
      </w:pPr>
      <w:r>
        <w:rPr>
          <w:rFonts w:hint="default" w:ascii="Times New Roman" w:hAnsi="Times New Roman" w:cs="Times New Roman"/>
          <w:color w:val="auto"/>
          <w:szCs w:val="28"/>
          <w:highlight w:val="none"/>
        </w:rPr>
        <w:t>项目名称</w:t>
      </w:r>
      <w:r>
        <w:rPr>
          <w:rFonts w:hint="default" w:ascii="Times New Roman" w:hAnsi="Times New Roman" w:cs="Times New Roman"/>
          <w:color w:val="auto"/>
          <w:highlight w:val="none"/>
        </w:rPr>
        <w:t>：</w:t>
      </w:r>
      <w:r>
        <w:rPr>
          <w:rFonts w:hint="default" w:ascii="Times New Roman" w:hAnsi="Times New Roman" w:cs="Times New Roman"/>
          <w:snapToGrid w:val="0"/>
          <w:color w:val="auto"/>
          <w:kern w:val="0"/>
          <w:szCs w:val="24"/>
          <w:highlight w:val="none"/>
          <w:u w:val="single"/>
        </w:rPr>
        <w:t>__________________</w:t>
      </w:r>
    </w:p>
    <w:p w14:paraId="7DFA947B">
      <w:pPr>
        <w:tabs>
          <w:tab w:val="left" w:pos="6300"/>
        </w:tabs>
        <w:snapToGrid w:val="0"/>
        <w:spacing w:line="360" w:lineRule="auto"/>
        <w:rPr>
          <w:rFonts w:hint="default" w:ascii="Times New Roman" w:hAnsi="Times New Roman" w:cs="Times New Roman"/>
          <w:color w:val="auto"/>
          <w:highlight w:val="none"/>
        </w:rPr>
      </w:pPr>
    </w:p>
    <w:p w14:paraId="66D7EBE9">
      <w:pPr>
        <w:tabs>
          <w:tab w:val="left" w:pos="6300"/>
        </w:tabs>
        <w:snapToGrid w:val="0"/>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致：</w:t>
      </w:r>
      <w:r>
        <w:rPr>
          <w:rFonts w:hint="default" w:ascii="Times New Roman" w:hAnsi="Times New Roman" w:cs="Times New Roman"/>
          <w:snapToGrid w:val="0"/>
          <w:color w:val="auto"/>
          <w:kern w:val="0"/>
          <w:highlight w:val="none"/>
          <w:u w:val="single"/>
        </w:rPr>
        <w:t>重庆三峡银行股份有限公司</w:t>
      </w:r>
      <w:r>
        <w:rPr>
          <w:rFonts w:hint="default" w:ascii="Times New Roman" w:hAnsi="Times New Roman" w:cs="Times New Roman"/>
          <w:color w:val="auto"/>
          <w:highlight w:val="none"/>
        </w:rPr>
        <w:t>：</w:t>
      </w:r>
    </w:p>
    <w:p w14:paraId="160A37A3">
      <w:pPr>
        <w:tabs>
          <w:tab w:val="left" w:pos="6300"/>
        </w:tabs>
        <w:snapToGrid w:val="0"/>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default" w:ascii="Times New Roman" w:hAnsi="Times New Roman" w:cs="Times New Roman"/>
          <w:snapToGrid w:val="0"/>
          <w:color w:val="auto"/>
          <w:kern w:val="0"/>
          <w:szCs w:val="24"/>
          <w:highlight w:val="none"/>
        </w:rPr>
        <w:t>参选</w:t>
      </w:r>
      <w:r>
        <w:rPr>
          <w:rFonts w:hint="default" w:ascii="Times New Roman" w:hAnsi="Times New Roman" w:cs="Times New Roman"/>
          <w:color w:val="auto"/>
          <w:highlight w:val="none"/>
        </w:rPr>
        <w:t>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比选活动前三年内无重大违法活动记录，符合法律法规规定的</w:t>
      </w:r>
      <w:r>
        <w:rPr>
          <w:rFonts w:hint="default" w:ascii="Times New Roman" w:hAnsi="Times New Roman" w:cs="Times New Roman"/>
          <w:snapToGrid w:val="0"/>
          <w:color w:val="auto"/>
          <w:kern w:val="0"/>
          <w:szCs w:val="24"/>
          <w:highlight w:val="none"/>
        </w:rPr>
        <w:t>参选</w:t>
      </w:r>
      <w:r>
        <w:rPr>
          <w:rFonts w:hint="default" w:ascii="Times New Roman" w:hAnsi="Times New Roman" w:cs="Times New Roman"/>
          <w:color w:val="auto"/>
          <w:highlight w:val="none"/>
        </w:rPr>
        <w:t>人资格条件；</w:t>
      </w:r>
      <w:r>
        <w:rPr>
          <w:rFonts w:hint="default" w:ascii="Times New Roman" w:hAnsi="Times New Roman" w:cs="Times New Roman"/>
          <w:color w:val="auto"/>
          <w:szCs w:val="24"/>
          <w:highlight w:val="none"/>
        </w:rPr>
        <w:t>我公司本次如若中选，中选后不会对项目进行转包</w:t>
      </w:r>
      <w:r>
        <w:rPr>
          <w:rFonts w:hint="default" w:ascii="Times New Roman" w:hAnsi="Times New Roman" w:cs="Times New Roman"/>
          <w:color w:val="auto"/>
          <w:highlight w:val="none"/>
        </w:rPr>
        <w:t>。我方对以上声明负全部法律责任。</w:t>
      </w:r>
    </w:p>
    <w:p w14:paraId="70B3BC6D">
      <w:pPr>
        <w:tabs>
          <w:tab w:val="left" w:pos="6300"/>
        </w:tabs>
        <w:snapToGrid w:val="0"/>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特此声明。</w:t>
      </w:r>
    </w:p>
    <w:p w14:paraId="2D18F06A">
      <w:pPr>
        <w:tabs>
          <w:tab w:val="left" w:pos="6300"/>
        </w:tabs>
        <w:snapToGrid w:val="0"/>
        <w:spacing w:line="360" w:lineRule="auto"/>
        <w:rPr>
          <w:rFonts w:hint="default" w:ascii="Times New Roman" w:hAnsi="Times New Roman" w:cs="Times New Roman"/>
          <w:color w:val="auto"/>
          <w:highlight w:val="none"/>
        </w:rPr>
      </w:pPr>
    </w:p>
    <w:p w14:paraId="25AE72DD">
      <w:pPr>
        <w:tabs>
          <w:tab w:val="left" w:pos="6300"/>
        </w:tabs>
        <w:snapToGrid w:val="0"/>
        <w:spacing w:line="360" w:lineRule="auto"/>
        <w:rPr>
          <w:rFonts w:hint="default" w:ascii="Times New Roman" w:hAnsi="Times New Roman" w:cs="Times New Roman"/>
          <w:color w:val="auto"/>
          <w:highlight w:val="none"/>
        </w:rPr>
      </w:pPr>
    </w:p>
    <w:p w14:paraId="0D9E9353">
      <w:pPr>
        <w:tabs>
          <w:tab w:val="left" w:pos="6300"/>
        </w:tabs>
        <w:snapToGrid w:val="0"/>
        <w:spacing w:line="360" w:lineRule="auto"/>
        <w:rPr>
          <w:rFonts w:hint="default" w:ascii="Times New Roman" w:hAnsi="Times New Roman" w:cs="Times New Roman"/>
          <w:color w:val="auto"/>
          <w:highlight w:val="none"/>
        </w:rPr>
      </w:pPr>
    </w:p>
    <w:p w14:paraId="2C88F9F4">
      <w:pPr>
        <w:tabs>
          <w:tab w:val="left" w:pos="6300"/>
        </w:tabs>
        <w:snapToGrid w:val="0"/>
        <w:spacing w:line="360" w:lineRule="auto"/>
        <w:ind w:right="424"/>
        <w:jc w:val="right"/>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default" w:ascii="Times New Roman" w:hAnsi="Times New Roman" w:cs="Times New Roman"/>
          <w:snapToGrid w:val="0"/>
          <w:color w:val="auto"/>
          <w:kern w:val="0"/>
          <w:szCs w:val="24"/>
          <w:highlight w:val="none"/>
        </w:rPr>
        <w:t>参选</w:t>
      </w:r>
      <w:r>
        <w:rPr>
          <w:rFonts w:hint="default" w:ascii="Times New Roman" w:hAnsi="Times New Roman" w:cs="Times New Roman"/>
          <w:color w:val="auto"/>
          <w:highlight w:val="none"/>
        </w:rPr>
        <w:t>人公章）</w:t>
      </w:r>
    </w:p>
    <w:p w14:paraId="619159A0">
      <w:pPr>
        <w:tabs>
          <w:tab w:val="left" w:pos="6300"/>
        </w:tabs>
        <w:snapToGrid w:val="0"/>
        <w:spacing w:line="360" w:lineRule="auto"/>
        <w:ind w:right="480"/>
        <w:jc w:val="right"/>
        <w:rPr>
          <w:rFonts w:hint="default" w:ascii="Times New Roman" w:hAnsi="Times New Roman" w:cs="Times New Roman"/>
          <w:color w:val="auto"/>
          <w:highlight w:val="none"/>
        </w:rPr>
      </w:pPr>
      <w:r>
        <w:rPr>
          <w:rFonts w:hint="default" w:ascii="Times New Roman" w:hAnsi="Times New Roman" w:cs="Times New Roman"/>
          <w:color w:val="auto"/>
          <w:highlight w:val="none"/>
        </w:rPr>
        <w:t>年   月   日</w:t>
      </w:r>
    </w:p>
    <w:p w14:paraId="15BA3F66">
      <w:pPr>
        <w:spacing w:line="360" w:lineRule="auto"/>
        <w:jc w:val="left"/>
        <w:rPr>
          <w:rFonts w:hint="default" w:ascii="Times New Roman" w:hAnsi="Times New Roman" w:cs="Times New Roman"/>
          <w:snapToGrid w:val="0"/>
          <w:color w:val="auto"/>
          <w:kern w:val="0"/>
          <w:szCs w:val="24"/>
          <w:highlight w:val="none"/>
        </w:rPr>
      </w:pPr>
    </w:p>
    <w:p w14:paraId="5E2D1418">
      <w:pPr>
        <w:spacing w:line="360" w:lineRule="auto"/>
        <w:jc w:val="left"/>
        <w:rPr>
          <w:rFonts w:hint="default" w:ascii="Times New Roman" w:hAnsi="Times New Roman" w:cs="Times New Roman"/>
          <w:snapToGrid w:val="0"/>
          <w:color w:val="auto"/>
          <w:kern w:val="0"/>
          <w:szCs w:val="24"/>
          <w:highlight w:val="none"/>
        </w:rPr>
      </w:pPr>
    </w:p>
    <w:p w14:paraId="106C4BD1">
      <w:pPr>
        <w:spacing w:line="360" w:lineRule="auto"/>
        <w:jc w:val="left"/>
        <w:rPr>
          <w:rFonts w:hint="default" w:ascii="Times New Roman" w:hAnsi="Times New Roman" w:cs="Times New Roman"/>
          <w:snapToGrid w:val="0"/>
          <w:color w:val="auto"/>
          <w:kern w:val="0"/>
          <w:szCs w:val="24"/>
          <w:highlight w:val="none"/>
        </w:rPr>
      </w:pPr>
    </w:p>
    <w:p w14:paraId="45EE3932">
      <w:pPr>
        <w:spacing w:line="360" w:lineRule="auto"/>
        <w:jc w:val="left"/>
        <w:rPr>
          <w:rFonts w:hint="default" w:ascii="Times New Roman" w:hAnsi="Times New Roman" w:cs="Times New Roman"/>
          <w:snapToGrid w:val="0"/>
          <w:color w:val="auto"/>
          <w:kern w:val="0"/>
          <w:szCs w:val="24"/>
          <w:highlight w:val="none"/>
        </w:rPr>
      </w:pPr>
    </w:p>
    <w:p w14:paraId="03DF0665">
      <w:pPr>
        <w:spacing w:line="360" w:lineRule="auto"/>
        <w:jc w:val="left"/>
        <w:rPr>
          <w:rFonts w:hint="default" w:ascii="Times New Roman" w:hAnsi="Times New Roman" w:cs="Times New Roman"/>
          <w:snapToGrid w:val="0"/>
          <w:color w:val="auto"/>
          <w:kern w:val="0"/>
          <w:szCs w:val="24"/>
          <w:highlight w:val="none"/>
        </w:rPr>
      </w:pPr>
    </w:p>
    <w:p w14:paraId="52125EDC">
      <w:pPr>
        <w:spacing w:line="360" w:lineRule="auto"/>
        <w:jc w:val="left"/>
        <w:rPr>
          <w:rFonts w:hint="default" w:ascii="Times New Roman" w:hAnsi="Times New Roman" w:cs="Times New Roman"/>
          <w:snapToGrid w:val="0"/>
          <w:color w:val="auto"/>
          <w:kern w:val="0"/>
          <w:szCs w:val="24"/>
          <w:highlight w:val="none"/>
        </w:rPr>
      </w:pPr>
    </w:p>
    <w:p w14:paraId="2B2253AB">
      <w:pPr>
        <w:spacing w:line="360" w:lineRule="auto"/>
        <w:jc w:val="left"/>
        <w:rPr>
          <w:rFonts w:hint="default" w:ascii="Times New Roman" w:hAnsi="Times New Roman" w:cs="Times New Roman"/>
          <w:snapToGrid w:val="0"/>
          <w:color w:val="auto"/>
          <w:kern w:val="0"/>
          <w:szCs w:val="24"/>
          <w:highlight w:val="none"/>
        </w:rPr>
      </w:pPr>
    </w:p>
    <w:p w14:paraId="0B60F932">
      <w:pPr>
        <w:rPr>
          <w:rFonts w:hint="default" w:ascii="Times New Roman" w:hAnsi="Times New Roman" w:cs="Times New Roman"/>
          <w:b/>
          <w:bCs/>
          <w:color w:val="auto"/>
          <w:highlight w:val="none"/>
        </w:rPr>
      </w:pPr>
      <w:r>
        <w:rPr>
          <w:rFonts w:hint="default" w:ascii="Times New Roman" w:hAnsi="Times New Roman" w:cs="Times New Roman"/>
          <w:color w:val="auto"/>
          <w:kern w:val="0"/>
          <w:highlight w:val="none"/>
        </w:rPr>
        <w:br w:type="page"/>
      </w:r>
    </w:p>
    <w:p w14:paraId="0BFCF553">
      <w:pPr>
        <w:pStyle w:val="36"/>
        <w:rPr>
          <w:rFonts w:hint="default" w:ascii="Times New Roman" w:hAnsi="Times New Roman" w:cs="Times New Roman"/>
          <w:color w:val="auto"/>
          <w:highlight w:val="none"/>
        </w:rPr>
      </w:pPr>
      <w:r>
        <w:rPr>
          <w:rFonts w:hint="default" w:ascii="Times New Roman" w:hAnsi="Times New Roman" w:cs="Times New Roman"/>
          <w:color w:val="auto"/>
          <w:highlight w:val="none"/>
        </w:rPr>
        <w:t>（四）中国执行信息公开网截图</w:t>
      </w:r>
    </w:p>
    <w:p w14:paraId="6CD443C0">
      <w:pPr>
        <w:numPr>
          <w:ilvl w:val="-1"/>
          <w:numId w:val="0"/>
        </w:numPr>
        <w:ind w:firstLine="0" w:firstLineChars="0"/>
        <w:jc w:val="center"/>
        <w:outlineLvl w:val="9"/>
        <w:rPr>
          <w:rFonts w:ascii="Times New Roman" w:hAnsi="Times New Roman"/>
          <w:color w:val="auto"/>
          <w:highlight w:val="none"/>
        </w:rPr>
      </w:pPr>
      <w:r>
        <w:rPr>
          <w:rFonts w:ascii="Times New Roman" w:hAnsi="Times New Roman"/>
          <w:color w:val="auto"/>
          <w:highlight w:val="none"/>
        </w:rPr>
        <w:t>（法人及法定代表人中国执行信息公开网截图）</w:t>
      </w:r>
    </w:p>
    <w:p w14:paraId="5BB7E0C1">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1.法人</w:t>
      </w:r>
      <w:r>
        <w:rPr>
          <w:rFonts w:hint="default" w:ascii="Times New Roman" w:hAnsi="Times New Roman" w:cs="Times New Roman"/>
          <w:color w:val="auto"/>
          <w:highlight w:val="none"/>
        </w:rPr>
        <w:t>中国执行信息公开网截图</w:t>
      </w:r>
    </w:p>
    <w:p w14:paraId="0BCE0C60">
      <w:pPr>
        <w:ind w:firstLine="480"/>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2.法定代表人</w:t>
      </w:r>
      <w:r>
        <w:rPr>
          <w:rFonts w:hint="default" w:ascii="Times New Roman" w:hAnsi="Times New Roman" w:cs="Times New Roman"/>
          <w:color w:val="auto"/>
          <w:highlight w:val="none"/>
        </w:rPr>
        <w:t>中国执行信息公开网截图</w:t>
      </w:r>
    </w:p>
    <w:p w14:paraId="714F1A53">
      <w:pPr>
        <w:rPr>
          <w:rFonts w:hint="default" w:eastAsia="宋体"/>
          <w:color w:val="auto"/>
          <w:highlight w:val="none"/>
          <w:lang w:val="en-US" w:eastAsia="zh-CN"/>
        </w:rPr>
      </w:pPr>
    </w:p>
    <w:p w14:paraId="50E4F643">
      <w:pPr>
        <w:rPr>
          <w:rFonts w:hint="default" w:ascii="Times New Roman" w:hAnsi="Times New Roman" w:cs="Times New Roman"/>
          <w:color w:val="auto"/>
          <w:highlight w:val="none"/>
        </w:rPr>
      </w:pPr>
    </w:p>
    <w:p w14:paraId="52C51C94">
      <w:pPr>
        <w:rPr>
          <w:rFonts w:hint="default" w:ascii="Times New Roman" w:hAnsi="Times New Roman" w:cs="Times New Roman"/>
          <w:color w:val="auto"/>
          <w:highlight w:val="none"/>
        </w:rPr>
      </w:pPr>
    </w:p>
    <w:p w14:paraId="681E28FC">
      <w:pPr>
        <w:rPr>
          <w:rFonts w:hint="default" w:ascii="Times New Roman" w:hAnsi="Times New Roman" w:cs="Times New Roman"/>
          <w:color w:val="auto"/>
          <w:highlight w:val="none"/>
        </w:rPr>
      </w:pPr>
    </w:p>
    <w:p w14:paraId="3E85BB66">
      <w:pPr>
        <w:rPr>
          <w:rFonts w:hint="default" w:ascii="Times New Roman" w:hAnsi="Times New Roman" w:cs="Times New Roman"/>
          <w:color w:val="auto"/>
          <w:highlight w:val="none"/>
        </w:rPr>
      </w:pPr>
    </w:p>
    <w:p w14:paraId="0C463024">
      <w:pPr>
        <w:rPr>
          <w:rFonts w:hint="default" w:ascii="Times New Roman" w:hAnsi="Times New Roman" w:cs="Times New Roman"/>
          <w:color w:val="auto"/>
          <w:highlight w:val="none"/>
        </w:rPr>
      </w:pPr>
    </w:p>
    <w:p w14:paraId="3D5D2A2C">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14:paraId="71056CA8">
      <w:pPr>
        <w:pStyle w:val="36"/>
        <w:numPr>
          <w:ilvl w:val="0"/>
          <w:numId w:val="46"/>
        </w:numPr>
        <w:rPr>
          <w:rFonts w:hint="default" w:ascii="Times New Roman" w:hAnsi="Times New Roman" w:cs="Times New Roman"/>
          <w:color w:val="auto"/>
          <w:highlight w:val="none"/>
        </w:rPr>
      </w:pPr>
      <w:r>
        <w:rPr>
          <w:rFonts w:hint="default" w:ascii="Times New Roman" w:hAnsi="Times New Roman" w:cs="Times New Roman"/>
          <w:color w:val="auto"/>
          <w:highlight w:val="none"/>
          <w:lang w:val="zh-CN"/>
        </w:rPr>
        <w:t>项目案例</w:t>
      </w:r>
      <w:r>
        <w:rPr>
          <w:rFonts w:hint="default" w:ascii="Times New Roman" w:hAnsi="Times New Roman" w:cs="Times New Roman"/>
          <w:color w:val="auto"/>
          <w:highlight w:val="none"/>
        </w:rPr>
        <w:t>证明文件复印件</w:t>
      </w:r>
    </w:p>
    <w:p w14:paraId="4119539D">
      <w:pPr>
        <w:numPr>
          <w:ilvl w:val="0"/>
          <w:numId w:val="0"/>
        </w:numPr>
        <w:jc w:val="center"/>
        <w:rPr>
          <w:rFonts w:hint="default"/>
          <w:color w:val="auto"/>
          <w:highlight w:val="none"/>
        </w:rPr>
      </w:pPr>
      <w:r>
        <w:rPr>
          <w:rFonts w:hint="eastAsia"/>
          <w:color w:val="auto"/>
          <w:highlight w:val="none"/>
          <w:lang w:val="en-US" w:eastAsia="zh-CN"/>
        </w:rPr>
        <w:t>项目案例汇总清单</w:t>
      </w:r>
    </w:p>
    <w:tbl>
      <w:tblPr>
        <w:tblStyle w:val="2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8"/>
        <w:gridCol w:w="1669"/>
        <w:gridCol w:w="1556"/>
        <w:gridCol w:w="2100"/>
        <w:gridCol w:w="1669"/>
      </w:tblGrid>
      <w:tr w14:paraId="0C8B2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5"/>
          </w:tcPr>
          <w:p w14:paraId="0AD66709">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default" w:ascii="Times New Roman" w:hAnsi="Times New Roman" w:eastAsia="宋体" w:cs="Times New Roman"/>
                <w:b w:val="0"/>
                <w:color w:val="auto"/>
                <w:spacing w:val="0"/>
                <w:sz w:val="21"/>
                <w:szCs w:val="21"/>
                <w:highlight w:val="none"/>
              </w:rPr>
            </w:pPr>
            <w:r>
              <w:rPr>
                <w:rFonts w:hint="default" w:ascii="Times New Roman" w:hAnsi="Times New Roman" w:eastAsia="宋体" w:cs="Times New Roman"/>
                <w:b w:val="0"/>
                <w:color w:val="auto"/>
                <w:spacing w:val="0"/>
                <w:sz w:val="21"/>
                <w:szCs w:val="21"/>
                <w:highlight w:val="none"/>
              </w:rPr>
              <w:t>项目</w:t>
            </w:r>
            <w:r>
              <w:rPr>
                <w:rFonts w:hint="default" w:ascii="Times New Roman" w:hAnsi="Times New Roman" w:cs="Times New Roman"/>
                <w:b w:val="0"/>
                <w:color w:val="auto"/>
                <w:spacing w:val="0"/>
                <w:sz w:val="21"/>
                <w:szCs w:val="21"/>
                <w:highlight w:val="none"/>
                <w:lang w:val="en-US" w:eastAsia="zh-CN"/>
              </w:rPr>
              <w:t>名称</w:t>
            </w:r>
            <w:r>
              <w:rPr>
                <w:rFonts w:hint="default" w:ascii="Times New Roman" w:hAnsi="Times New Roman" w:cs="Times New Roman"/>
                <w:b w:val="0"/>
                <w:color w:val="auto"/>
                <w:spacing w:val="0"/>
                <w:sz w:val="21"/>
                <w:szCs w:val="21"/>
                <w:highlight w:val="none"/>
                <w:lang w:eastAsia="zh-CN"/>
              </w:rPr>
              <w:t>：</w:t>
            </w:r>
            <w:r>
              <w:rPr>
                <w:rFonts w:hint="eastAsia" w:ascii="Times New Roman" w:hAnsi="Times New Roman" w:cs="Times New Roman"/>
                <w:b w:val="0"/>
                <w:color w:val="auto"/>
                <w:spacing w:val="0"/>
                <w:sz w:val="21"/>
                <w:szCs w:val="21"/>
                <w:highlight w:val="none"/>
                <w:lang w:val="en-US" w:eastAsia="zh-CN"/>
              </w:rPr>
              <w:t>新一代数据中台项目（一期）</w:t>
            </w:r>
          </w:p>
        </w:tc>
      </w:tr>
      <w:tr w14:paraId="2E7F8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28" w:type="dxa"/>
            <w:vAlign w:val="top"/>
          </w:tcPr>
          <w:p w14:paraId="470A2B81">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cs="Times New Roman"/>
                <w:color w:val="auto"/>
                <w:kern w:val="2"/>
                <w:sz w:val="21"/>
                <w:szCs w:val="21"/>
                <w:highlight w:val="none"/>
                <w:vertAlign w:val="baseline"/>
                <w:lang w:val="en-US" w:eastAsia="zh-CN" w:bidi="ar-SA"/>
              </w:rPr>
              <w:t>案例分类</w:t>
            </w:r>
          </w:p>
        </w:tc>
        <w:tc>
          <w:tcPr>
            <w:tcW w:w="1669" w:type="dxa"/>
            <w:vAlign w:val="top"/>
          </w:tcPr>
          <w:p w14:paraId="24905736">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cs="Times New Roman"/>
                <w:color w:val="auto"/>
                <w:sz w:val="21"/>
                <w:szCs w:val="21"/>
                <w:highlight w:val="none"/>
                <w:vertAlign w:val="baseline"/>
                <w:lang w:val="en-US" w:eastAsia="zh-CN"/>
              </w:rPr>
              <w:t>合同名称</w:t>
            </w:r>
          </w:p>
        </w:tc>
        <w:tc>
          <w:tcPr>
            <w:tcW w:w="1556" w:type="dxa"/>
            <w:vAlign w:val="top"/>
          </w:tcPr>
          <w:p w14:paraId="2F4E7326">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合同签署时间</w:t>
            </w:r>
          </w:p>
        </w:tc>
        <w:tc>
          <w:tcPr>
            <w:tcW w:w="2100" w:type="dxa"/>
            <w:vAlign w:val="top"/>
          </w:tcPr>
          <w:p w14:paraId="7E300F65">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客户类型</w:t>
            </w:r>
          </w:p>
        </w:tc>
        <w:tc>
          <w:tcPr>
            <w:tcW w:w="1669" w:type="dxa"/>
            <w:vAlign w:val="top"/>
          </w:tcPr>
          <w:p w14:paraId="44FC1F30">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客户名称</w:t>
            </w:r>
          </w:p>
        </w:tc>
      </w:tr>
      <w:tr w14:paraId="27640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8" w:type="dxa"/>
            <w:vMerge w:val="restart"/>
            <w:vAlign w:val="center"/>
          </w:tcPr>
          <w:p w14:paraId="224007A1">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参选人资格要求案例</w:t>
            </w:r>
          </w:p>
        </w:tc>
        <w:tc>
          <w:tcPr>
            <w:tcW w:w="1669" w:type="dxa"/>
            <w:vAlign w:val="center"/>
          </w:tcPr>
          <w:p w14:paraId="70A7A0A4">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XXX</w:t>
            </w:r>
          </w:p>
        </w:tc>
        <w:tc>
          <w:tcPr>
            <w:tcW w:w="1556" w:type="dxa"/>
            <w:vAlign w:val="center"/>
          </w:tcPr>
          <w:p w14:paraId="73B01A63">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XXXX年XX月</w:t>
            </w:r>
          </w:p>
        </w:tc>
        <w:tc>
          <w:tcPr>
            <w:tcW w:w="2100" w:type="dxa"/>
            <w:vAlign w:val="center"/>
          </w:tcPr>
          <w:p w14:paraId="05CC19C6">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cs="Times New Roman"/>
                <w:color w:val="auto"/>
                <w:kern w:val="0"/>
                <w:sz w:val="21"/>
                <w:szCs w:val="21"/>
                <w:highlight w:val="none"/>
                <w:lang w:val="en-US" w:eastAsia="zh-CN"/>
              </w:rPr>
              <w:t>国有银行或全国性股份制银行或城市商业银行或省级农信社（农商行）</w:t>
            </w:r>
          </w:p>
        </w:tc>
        <w:tc>
          <w:tcPr>
            <w:tcW w:w="1669" w:type="dxa"/>
            <w:vAlign w:val="center"/>
          </w:tcPr>
          <w:p w14:paraId="357E37BF">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XXX银行</w:t>
            </w:r>
          </w:p>
        </w:tc>
      </w:tr>
      <w:tr w14:paraId="415E6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8" w:type="dxa"/>
            <w:vMerge w:val="continue"/>
          </w:tcPr>
          <w:p w14:paraId="0B88C7F3">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Times New Roman" w:hAnsi="Times New Roman" w:cs="Times New Roman"/>
                <w:color w:val="auto"/>
                <w:sz w:val="21"/>
                <w:szCs w:val="21"/>
                <w:highlight w:val="none"/>
                <w:vertAlign w:val="baseline"/>
                <w:lang w:val="en-US" w:eastAsia="zh-CN"/>
              </w:rPr>
            </w:pPr>
          </w:p>
        </w:tc>
        <w:tc>
          <w:tcPr>
            <w:tcW w:w="1669" w:type="dxa"/>
            <w:vAlign w:val="center"/>
          </w:tcPr>
          <w:p w14:paraId="0A1AD41A">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eastAsia" w:ascii="Times New Roman" w:hAnsi="Times New Roman" w:cs="Times New Roman"/>
                <w:color w:val="auto"/>
                <w:sz w:val="21"/>
                <w:szCs w:val="21"/>
                <w:highlight w:val="none"/>
                <w:vertAlign w:val="baseline"/>
                <w:lang w:val="en-US" w:eastAsia="zh-CN"/>
              </w:rPr>
            </w:pPr>
          </w:p>
        </w:tc>
        <w:tc>
          <w:tcPr>
            <w:tcW w:w="1556" w:type="dxa"/>
            <w:vAlign w:val="center"/>
          </w:tcPr>
          <w:p w14:paraId="322D03C1">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p>
        </w:tc>
        <w:tc>
          <w:tcPr>
            <w:tcW w:w="2100" w:type="dxa"/>
            <w:vAlign w:val="center"/>
          </w:tcPr>
          <w:p w14:paraId="1E39494E">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cs="Times New Roman"/>
                <w:color w:val="auto"/>
                <w:sz w:val="21"/>
                <w:szCs w:val="21"/>
                <w:highlight w:val="none"/>
              </w:rPr>
            </w:pPr>
          </w:p>
        </w:tc>
        <w:tc>
          <w:tcPr>
            <w:tcW w:w="1669" w:type="dxa"/>
            <w:vAlign w:val="center"/>
          </w:tcPr>
          <w:p w14:paraId="4AF29281">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cs="Times New Roman"/>
                <w:color w:val="auto"/>
                <w:sz w:val="21"/>
                <w:szCs w:val="21"/>
                <w:highlight w:val="none"/>
              </w:rPr>
            </w:pPr>
          </w:p>
        </w:tc>
      </w:tr>
      <w:tr w14:paraId="101D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8" w:type="dxa"/>
            <w:vMerge w:val="continue"/>
          </w:tcPr>
          <w:p w14:paraId="67325355">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Times New Roman" w:hAnsi="Times New Roman" w:cs="Times New Roman"/>
                <w:color w:val="auto"/>
                <w:sz w:val="21"/>
                <w:szCs w:val="21"/>
                <w:highlight w:val="none"/>
                <w:vertAlign w:val="baseline"/>
                <w:lang w:val="en-US" w:eastAsia="zh-CN"/>
              </w:rPr>
            </w:pPr>
          </w:p>
        </w:tc>
        <w:tc>
          <w:tcPr>
            <w:tcW w:w="1669" w:type="dxa"/>
            <w:vAlign w:val="center"/>
          </w:tcPr>
          <w:p w14:paraId="0A6ED4F4">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eastAsia" w:ascii="Times New Roman" w:hAnsi="Times New Roman" w:cs="Times New Roman"/>
                <w:color w:val="auto"/>
                <w:sz w:val="21"/>
                <w:szCs w:val="21"/>
                <w:highlight w:val="none"/>
                <w:vertAlign w:val="baseline"/>
                <w:lang w:val="en-US" w:eastAsia="zh-CN"/>
              </w:rPr>
            </w:pPr>
          </w:p>
        </w:tc>
        <w:tc>
          <w:tcPr>
            <w:tcW w:w="1556" w:type="dxa"/>
            <w:vAlign w:val="center"/>
          </w:tcPr>
          <w:p w14:paraId="324758D3">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p>
        </w:tc>
        <w:tc>
          <w:tcPr>
            <w:tcW w:w="2100" w:type="dxa"/>
            <w:vAlign w:val="center"/>
          </w:tcPr>
          <w:p w14:paraId="4066FDA2">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cs="Times New Roman"/>
                <w:color w:val="auto"/>
                <w:sz w:val="21"/>
                <w:szCs w:val="21"/>
                <w:highlight w:val="none"/>
              </w:rPr>
            </w:pPr>
          </w:p>
        </w:tc>
        <w:tc>
          <w:tcPr>
            <w:tcW w:w="1669" w:type="dxa"/>
            <w:vAlign w:val="center"/>
          </w:tcPr>
          <w:p w14:paraId="2305974D">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cs="Times New Roman"/>
                <w:color w:val="auto"/>
                <w:sz w:val="21"/>
                <w:szCs w:val="21"/>
                <w:highlight w:val="none"/>
              </w:rPr>
            </w:pPr>
          </w:p>
        </w:tc>
      </w:tr>
      <w:tr w14:paraId="78CF5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8" w:type="dxa"/>
            <w:vMerge w:val="restart"/>
            <w:vAlign w:val="center"/>
          </w:tcPr>
          <w:p w14:paraId="4E312EAF">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湖仓一体底座原厂商案例</w:t>
            </w:r>
          </w:p>
        </w:tc>
        <w:tc>
          <w:tcPr>
            <w:tcW w:w="1669" w:type="dxa"/>
            <w:vAlign w:val="center"/>
          </w:tcPr>
          <w:p w14:paraId="7B3D0FB1">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eastAsia" w:ascii="Times New Roman" w:hAnsi="Times New Roman" w:cs="Times New Roman"/>
                <w:color w:val="auto"/>
                <w:sz w:val="21"/>
                <w:szCs w:val="21"/>
                <w:highlight w:val="none"/>
                <w:vertAlign w:val="baseline"/>
                <w:lang w:val="en-US" w:eastAsia="zh-CN"/>
              </w:rPr>
            </w:pPr>
          </w:p>
        </w:tc>
        <w:tc>
          <w:tcPr>
            <w:tcW w:w="1556" w:type="dxa"/>
            <w:vAlign w:val="center"/>
          </w:tcPr>
          <w:p w14:paraId="1F813E65">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p>
        </w:tc>
        <w:tc>
          <w:tcPr>
            <w:tcW w:w="2100" w:type="dxa"/>
            <w:vAlign w:val="center"/>
          </w:tcPr>
          <w:p w14:paraId="0AB291BC">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cs="Times New Roman"/>
                <w:color w:val="auto"/>
                <w:sz w:val="21"/>
                <w:szCs w:val="21"/>
                <w:highlight w:val="none"/>
              </w:rPr>
            </w:pPr>
          </w:p>
        </w:tc>
        <w:tc>
          <w:tcPr>
            <w:tcW w:w="1669" w:type="dxa"/>
            <w:vAlign w:val="center"/>
          </w:tcPr>
          <w:p w14:paraId="7257620C">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cs="Times New Roman"/>
                <w:color w:val="auto"/>
                <w:sz w:val="21"/>
                <w:szCs w:val="21"/>
                <w:highlight w:val="none"/>
              </w:rPr>
            </w:pPr>
          </w:p>
        </w:tc>
      </w:tr>
      <w:tr w14:paraId="4DD74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8" w:type="dxa"/>
            <w:vMerge w:val="continue"/>
          </w:tcPr>
          <w:p w14:paraId="32424725">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Times New Roman" w:hAnsi="Times New Roman" w:cs="Times New Roman"/>
                <w:color w:val="auto"/>
                <w:sz w:val="21"/>
                <w:szCs w:val="21"/>
                <w:highlight w:val="none"/>
                <w:vertAlign w:val="baseline"/>
                <w:lang w:val="en-US" w:eastAsia="zh-CN"/>
              </w:rPr>
            </w:pPr>
          </w:p>
        </w:tc>
        <w:tc>
          <w:tcPr>
            <w:tcW w:w="1669" w:type="dxa"/>
            <w:vAlign w:val="center"/>
          </w:tcPr>
          <w:p w14:paraId="2529D593">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eastAsia" w:ascii="Times New Roman" w:hAnsi="Times New Roman" w:cs="Times New Roman"/>
                <w:color w:val="auto"/>
                <w:sz w:val="21"/>
                <w:szCs w:val="21"/>
                <w:highlight w:val="none"/>
                <w:vertAlign w:val="baseline"/>
                <w:lang w:val="en-US" w:eastAsia="zh-CN"/>
              </w:rPr>
            </w:pPr>
          </w:p>
        </w:tc>
        <w:tc>
          <w:tcPr>
            <w:tcW w:w="1556" w:type="dxa"/>
            <w:vAlign w:val="center"/>
          </w:tcPr>
          <w:p w14:paraId="728225DF">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cs="Times New Roman"/>
                <w:color w:val="auto"/>
                <w:sz w:val="21"/>
                <w:szCs w:val="21"/>
                <w:highlight w:val="none"/>
              </w:rPr>
            </w:pPr>
          </w:p>
        </w:tc>
        <w:tc>
          <w:tcPr>
            <w:tcW w:w="2100" w:type="dxa"/>
            <w:vAlign w:val="center"/>
          </w:tcPr>
          <w:p w14:paraId="24AF7280">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cs="Times New Roman"/>
                <w:color w:val="auto"/>
                <w:sz w:val="21"/>
                <w:szCs w:val="21"/>
                <w:highlight w:val="none"/>
              </w:rPr>
            </w:pPr>
          </w:p>
        </w:tc>
        <w:tc>
          <w:tcPr>
            <w:tcW w:w="1669" w:type="dxa"/>
            <w:vAlign w:val="center"/>
          </w:tcPr>
          <w:p w14:paraId="18666081">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cs="Times New Roman"/>
                <w:color w:val="auto"/>
                <w:sz w:val="21"/>
                <w:szCs w:val="21"/>
                <w:highlight w:val="none"/>
              </w:rPr>
            </w:pPr>
          </w:p>
        </w:tc>
      </w:tr>
      <w:tr w14:paraId="6A419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8" w:type="dxa"/>
            <w:vMerge w:val="continue"/>
          </w:tcPr>
          <w:p w14:paraId="7B7A56A9">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default" w:ascii="Times New Roman" w:hAnsi="Times New Roman" w:cs="Times New Roman"/>
                <w:color w:val="auto"/>
                <w:sz w:val="21"/>
                <w:szCs w:val="21"/>
                <w:highlight w:val="none"/>
                <w:vertAlign w:val="baseline"/>
                <w:lang w:val="en-US" w:eastAsia="zh-CN"/>
              </w:rPr>
            </w:pPr>
          </w:p>
        </w:tc>
        <w:tc>
          <w:tcPr>
            <w:tcW w:w="1669" w:type="dxa"/>
            <w:vAlign w:val="center"/>
          </w:tcPr>
          <w:p w14:paraId="0C4FC328">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eastAsia" w:ascii="Times New Roman" w:hAnsi="Times New Roman" w:cs="Times New Roman"/>
                <w:color w:val="auto"/>
                <w:sz w:val="21"/>
                <w:szCs w:val="21"/>
                <w:highlight w:val="none"/>
                <w:vertAlign w:val="baseline"/>
                <w:lang w:val="en-US" w:eastAsia="zh-CN"/>
              </w:rPr>
            </w:pPr>
          </w:p>
        </w:tc>
        <w:tc>
          <w:tcPr>
            <w:tcW w:w="1556" w:type="dxa"/>
            <w:vAlign w:val="center"/>
          </w:tcPr>
          <w:p w14:paraId="68042A2D">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cs="Times New Roman"/>
                <w:color w:val="auto"/>
                <w:sz w:val="21"/>
                <w:szCs w:val="21"/>
                <w:highlight w:val="none"/>
              </w:rPr>
            </w:pPr>
          </w:p>
        </w:tc>
        <w:tc>
          <w:tcPr>
            <w:tcW w:w="2100" w:type="dxa"/>
            <w:vAlign w:val="center"/>
          </w:tcPr>
          <w:p w14:paraId="7EB38985">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cs="Times New Roman"/>
                <w:color w:val="auto"/>
                <w:sz w:val="21"/>
                <w:szCs w:val="21"/>
                <w:highlight w:val="none"/>
              </w:rPr>
            </w:pPr>
          </w:p>
        </w:tc>
        <w:tc>
          <w:tcPr>
            <w:tcW w:w="1669" w:type="dxa"/>
            <w:vAlign w:val="center"/>
          </w:tcPr>
          <w:p w14:paraId="37756BDB">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cs="Times New Roman"/>
                <w:color w:val="auto"/>
                <w:sz w:val="21"/>
                <w:szCs w:val="21"/>
                <w:highlight w:val="none"/>
              </w:rPr>
            </w:pPr>
          </w:p>
        </w:tc>
      </w:tr>
      <w:tr w14:paraId="38022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28" w:type="dxa"/>
            <w:vMerge w:val="restart"/>
            <w:vAlign w:val="center"/>
          </w:tcPr>
          <w:p w14:paraId="6448B451">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参选人案例</w:t>
            </w:r>
          </w:p>
        </w:tc>
        <w:tc>
          <w:tcPr>
            <w:tcW w:w="1669" w:type="dxa"/>
            <w:vAlign w:val="center"/>
          </w:tcPr>
          <w:p w14:paraId="41D2A29B">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eastAsia" w:ascii="Times New Roman" w:hAnsi="Times New Roman" w:eastAsia="宋体" w:cs="Times New Roman"/>
                <w:color w:val="auto"/>
                <w:sz w:val="21"/>
                <w:szCs w:val="21"/>
                <w:highlight w:val="none"/>
                <w:vertAlign w:val="baseline"/>
                <w:lang w:val="en-US" w:eastAsia="zh-CN"/>
              </w:rPr>
            </w:pPr>
          </w:p>
        </w:tc>
        <w:tc>
          <w:tcPr>
            <w:tcW w:w="1556" w:type="dxa"/>
            <w:vAlign w:val="center"/>
          </w:tcPr>
          <w:p w14:paraId="6DB89A44">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cs="Times New Roman"/>
                <w:color w:val="auto"/>
                <w:sz w:val="21"/>
                <w:szCs w:val="21"/>
                <w:highlight w:val="none"/>
              </w:rPr>
            </w:pPr>
          </w:p>
        </w:tc>
        <w:tc>
          <w:tcPr>
            <w:tcW w:w="2100" w:type="dxa"/>
            <w:vAlign w:val="center"/>
          </w:tcPr>
          <w:p w14:paraId="1E12999B">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eastAsia" w:ascii="Times New Roman" w:hAnsi="Times New Roman" w:eastAsia="宋体" w:cs="Times New Roman"/>
                <w:color w:val="auto"/>
                <w:sz w:val="21"/>
                <w:szCs w:val="21"/>
                <w:highlight w:val="none"/>
                <w:vertAlign w:val="baseline"/>
                <w:lang w:val="en-US" w:eastAsia="zh-CN"/>
              </w:rPr>
            </w:pPr>
          </w:p>
        </w:tc>
        <w:tc>
          <w:tcPr>
            <w:tcW w:w="1669" w:type="dxa"/>
            <w:vAlign w:val="center"/>
          </w:tcPr>
          <w:p w14:paraId="1BF06AFE">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eastAsia" w:ascii="Times New Roman" w:hAnsi="Times New Roman" w:eastAsia="宋体" w:cs="Times New Roman"/>
                <w:color w:val="auto"/>
                <w:sz w:val="21"/>
                <w:szCs w:val="21"/>
                <w:highlight w:val="none"/>
                <w:vertAlign w:val="baseline"/>
                <w:lang w:val="en-US" w:eastAsia="zh-CN"/>
              </w:rPr>
            </w:pPr>
          </w:p>
        </w:tc>
      </w:tr>
      <w:tr w14:paraId="58064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8" w:type="dxa"/>
            <w:vMerge w:val="continue"/>
          </w:tcPr>
          <w:p w14:paraId="5B036636">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default" w:ascii="Times New Roman" w:hAnsi="Times New Roman" w:eastAsia="宋体" w:cs="Times New Roman"/>
                <w:color w:val="auto"/>
                <w:sz w:val="21"/>
                <w:szCs w:val="21"/>
                <w:highlight w:val="none"/>
                <w:vertAlign w:val="baseline"/>
                <w:lang w:val="en-US" w:eastAsia="zh-CN"/>
              </w:rPr>
            </w:pPr>
          </w:p>
        </w:tc>
        <w:tc>
          <w:tcPr>
            <w:tcW w:w="1669" w:type="dxa"/>
            <w:vAlign w:val="center"/>
          </w:tcPr>
          <w:p w14:paraId="77C55CBB">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eastAsia" w:ascii="Times New Roman" w:hAnsi="Times New Roman" w:eastAsia="宋体" w:cs="Times New Roman"/>
                <w:color w:val="auto"/>
                <w:sz w:val="21"/>
                <w:szCs w:val="21"/>
                <w:highlight w:val="none"/>
                <w:vertAlign w:val="baseline"/>
                <w:lang w:val="en-US" w:eastAsia="zh-CN"/>
              </w:rPr>
            </w:pPr>
          </w:p>
        </w:tc>
        <w:tc>
          <w:tcPr>
            <w:tcW w:w="1556" w:type="dxa"/>
            <w:vAlign w:val="center"/>
          </w:tcPr>
          <w:p w14:paraId="5D0E2C72">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cs="Times New Roman"/>
                <w:color w:val="auto"/>
                <w:sz w:val="21"/>
                <w:szCs w:val="21"/>
                <w:highlight w:val="none"/>
              </w:rPr>
            </w:pPr>
          </w:p>
        </w:tc>
        <w:tc>
          <w:tcPr>
            <w:tcW w:w="2100" w:type="dxa"/>
            <w:vAlign w:val="center"/>
          </w:tcPr>
          <w:p w14:paraId="260369CC">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eastAsia" w:ascii="Times New Roman" w:hAnsi="Times New Roman" w:eastAsia="宋体" w:cs="Times New Roman"/>
                <w:color w:val="auto"/>
                <w:sz w:val="21"/>
                <w:szCs w:val="21"/>
                <w:highlight w:val="none"/>
                <w:vertAlign w:val="baseline"/>
                <w:lang w:val="en-US" w:eastAsia="zh-CN"/>
              </w:rPr>
            </w:pPr>
          </w:p>
        </w:tc>
        <w:tc>
          <w:tcPr>
            <w:tcW w:w="1669" w:type="dxa"/>
            <w:vAlign w:val="center"/>
          </w:tcPr>
          <w:p w14:paraId="48179638">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eastAsia" w:ascii="Times New Roman" w:hAnsi="Times New Roman" w:eastAsia="宋体" w:cs="Times New Roman"/>
                <w:color w:val="auto"/>
                <w:sz w:val="21"/>
                <w:szCs w:val="21"/>
                <w:highlight w:val="none"/>
                <w:vertAlign w:val="baseline"/>
                <w:lang w:val="en-US" w:eastAsia="zh-CN"/>
              </w:rPr>
            </w:pPr>
          </w:p>
        </w:tc>
      </w:tr>
      <w:tr w14:paraId="224C6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8" w:type="dxa"/>
            <w:vMerge w:val="continue"/>
          </w:tcPr>
          <w:p w14:paraId="5DD49BF7">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Times New Roman" w:hAnsi="Times New Roman" w:cs="Times New Roman"/>
                <w:color w:val="auto"/>
                <w:sz w:val="21"/>
                <w:szCs w:val="21"/>
                <w:highlight w:val="none"/>
                <w:vertAlign w:val="baseline"/>
                <w:lang w:val="en-US" w:eastAsia="zh-CN"/>
              </w:rPr>
            </w:pPr>
          </w:p>
        </w:tc>
        <w:tc>
          <w:tcPr>
            <w:tcW w:w="1669" w:type="dxa"/>
            <w:vAlign w:val="center"/>
          </w:tcPr>
          <w:p w14:paraId="0B21700D">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eastAsia" w:ascii="Times New Roman" w:hAnsi="Times New Roman" w:eastAsia="宋体" w:cs="Times New Roman"/>
                <w:color w:val="auto"/>
                <w:sz w:val="21"/>
                <w:szCs w:val="21"/>
                <w:highlight w:val="none"/>
                <w:vertAlign w:val="baseline"/>
                <w:lang w:val="en-US" w:eastAsia="zh-CN"/>
              </w:rPr>
            </w:pPr>
          </w:p>
        </w:tc>
        <w:tc>
          <w:tcPr>
            <w:tcW w:w="1556" w:type="dxa"/>
            <w:vAlign w:val="center"/>
          </w:tcPr>
          <w:p w14:paraId="6C46259C">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cs="Times New Roman"/>
                <w:color w:val="auto"/>
                <w:sz w:val="21"/>
                <w:szCs w:val="21"/>
                <w:highlight w:val="none"/>
              </w:rPr>
            </w:pPr>
          </w:p>
        </w:tc>
        <w:tc>
          <w:tcPr>
            <w:tcW w:w="2100" w:type="dxa"/>
            <w:vAlign w:val="center"/>
          </w:tcPr>
          <w:p w14:paraId="74A8EE3E">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eastAsia" w:ascii="Times New Roman" w:hAnsi="Times New Roman" w:eastAsia="宋体" w:cs="Times New Roman"/>
                <w:color w:val="auto"/>
                <w:sz w:val="21"/>
                <w:szCs w:val="21"/>
                <w:highlight w:val="none"/>
                <w:vertAlign w:val="baseline"/>
                <w:lang w:val="en-US" w:eastAsia="zh-CN"/>
              </w:rPr>
            </w:pPr>
          </w:p>
        </w:tc>
        <w:tc>
          <w:tcPr>
            <w:tcW w:w="1669" w:type="dxa"/>
            <w:vAlign w:val="center"/>
          </w:tcPr>
          <w:p w14:paraId="0456C815">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eastAsia" w:ascii="Times New Roman" w:hAnsi="Times New Roman" w:eastAsia="宋体" w:cs="Times New Roman"/>
                <w:color w:val="auto"/>
                <w:sz w:val="21"/>
                <w:szCs w:val="21"/>
                <w:highlight w:val="none"/>
                <w:vertAlign w:val="baseline"/>
                <w:lang w:val="en-US" w:eastAsia="zh-CN"/>
              </w:rPr>
            </w:pPr>
          </w:p>
        </w:tc>
      </w:tr>
      <w:tr w14:paraId="5B9FE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5"/>
          </w:tcPr>
          <w:p w14:paraId="4C98AEDB">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lang w:eastAsia="zh-CN"/>
              </w:rPr>
              <w:t>人全称（盖章）：</w:t>
            </w:r>
          </w:p>
          <w:p w14:paraId="654C0432">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法定代表人或其委托代理人（签字或盖章）：</w:t>
            </w:r>
          </w:p>
          <w:p w14:paraId="6F8E78B2">
            <w:pPr>
              <w:keepNext w:val="0"/>
              <w:keepLines w:val="0"/>
              <w:pageBreakBefore w:val="0"/>
              <w:widowControl w:val="0"/>
              <w:tabs>
                <w:tab w:val="left" w:pos="2219"/>
              </w:tabs>
              <w:kinsoku/>
              <w:wordWrap/>
              <w:overflowPunct/>
              <w:topLinePunct w:val="0"/>
              <w:autoSpaceDE w:val="0"/>
              <w:autoSpaceDN w:val="0"/>
              <w:bidi w:val="0"/>
              <w:adjustRightInd/>
              <w:snapToGrid/>
              <w:spacing w:line="400" w:lineRule="exact"/>
              <w:ind w:firstLine="0" w:firstLineChars="0"/>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日期：</w:t>
            </w:r>
          </w:p>
        </w:tc>
      </w:tr>
    </w:tbl>
    <w:p w14:paraId="62A3DA57">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eastAsia="zh-CN"/>
        </w:rPr>
        <w:t>注：</w:t>
      </w:r>
    </w:p>
    <w:p w14:paraId="40B594FD">
      <w:pPr>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（1）参选人可根据实际案例情况扩充本表格；</w:t>
      </w:r>
    </w:p>
    <w:p w14:paraId="570FB314">
      <w:pPr>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（2）需将所有案例的证明文件附在本表格后面</w:t>
      </w:r>
      <w:r>
        <w:rPr>
          <w:rFonts w:hint="eastAsia" w:ascii="Times New Roman" w:hAnsi="Times New Roman" w:cs="Times New Roman"/>
          <w:color w:val="auto"/>
          <w:sz w:val="21"/>
          <w:szCs w:val="21"/>
          <w:highlight w:val="none"/>
          <w:lang w:eastAsia="zh-CN"/>
        </w:rPr>
        <w:t>；</w:t>
      </w:r>
    </w:p>
    <w:p w14:paraId="4058A7C2">
      <w:pPr>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textAlignment w:val="auto"/>
        <w:rPr>
          <w:rFonts w:hint="default" w:ascii="Times New Roman" w:hAnsi="Times New Roman" w:cs="Times New Roman"/>
          <w:color w:val="auto"/>
          <w:sz w:val="21"/>
          <w:szCs w:val="21"/>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Times New Roman" w:hAnsi="Times New Roman" w:cs="Times New Roman"/>
          <w:color w:val="auto"/>
          <w:sz w:val="21"/>
          <w:szCs w:val="21"/>
          <w:highlight w:val="none"/>
          <w:lang w:val="en-US" w:eastAsia="zh-CN"/>
        </w:rPr>
        <w:t>（3）所有案例证明文件需加盖公章。</w:t>
      </w:r>
    </w:p>
    <w:p w14:paraId="6C94FFE8">
      <w:pPr>
        <w:pStyle w:val="36"/>
        <w:numPr>
          <w:ilvl w:val="0"/>
          <w:numId w:val="46"/>
        </w:numP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软件能力成熟度模型集成认证</w:t>
      </w:r>
      <w:r>
        <w:rPr>
          <w:rFonts w:hint="eastAsia" w:ascii="Times New Roman" w:hAnsi="Times New Roman" w:cs="Times New Roman"/>
          <w:color w:val="auto"/>
          <w:highlight w:val="none"/>
          <w:lang w:val="en-US" w:eastAsia="zh-CN"/>
        </w:rPr>
        <w:t>5级证书和</w:t>
      </w:r>
      <w:r>
        <w:rPr>
          <w:rFonts w:hint="default" w:ascii="Times New Roman" w:hAnsi="Times New Roman" w:cs="Times New Roman"/>
          <w:color w:val="auto"/>
          <w:highlight w:val="none"/>
          <w:lang w:val="en-US" w:eastAsia="zh-CN"/>
        </w:rPr>
        <w:t>IS</w:t>
      </w:r>
      <w:r>
        <w:rPr>
          <w:rFonts w:hint="eastAsia" w:ascii="Times New Roman" w:hAnsi="Times New Roman" w:cs="Times New Roman"/>
          <w:color w:val="auto"/>
          <w:highlight w:val="none"/>
          <w:lang w:val="en-US" w:eastAsia="zh-CN"/>
        </w:rPr>
        <w:t>O</w:t>
      </w:r>
      <w:r>
        <w:rPr>
          <w:rFonts w:hint="default" w:ascii="Times New Roman" w:hAnsi="Times New Roman" w:cs="Times New Roman"/>
          <w:color w:val="auto"/>
          <w:highlight w:val="none"/>
          <w:lang w:val="en-US" w:eastAsia="zh-CN"/>
        </w:rPr>
        <w:t>9001质量管理体系认证证书</w:t>
      </w:r>
    </w:p>
    <w:p w14:paraId="6B12287D">
      <w:pPr>
        <w:pStyle w:val="36"/>
        <w:outlineLvl w:val="9"/>
        <w:rPr>
          <w:rFonts w:hint="default" w:ascii="Times New Roman" w:hAnsi="Times New Roman" w:cs="Times New Roman"/>
          <w:color w:val="auto"/>
          <w:highlight w:val="none"/>
        </w:rPr>
      </w:pPr>
    </w:p>
    <w:p w14:paraId="6F196197">
      <w:pPr>
        <w:rPr>
          <w:rFonts w:hint="default" w:ascii="Times New Roman" w:hAnsi="Times New Roman" w:cs="Times New Roman"/>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02632C1C">
      <w:pPr>
        <w:pStyle w:val="36"/>
        <w:numPr>
          <w:ilvl w:val="0"/>
          <w:numId w:val="46"/>
        </w:numPr>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原厂授权函（如有）</w:t>
      </w:r>
    </w:p>
    <w:p w14:paraId="7E400A09">
      <w:pPr>
        <w:numPr>
          <w:ilvl w:val="0"/>
          <w:numId w:val="0"/>
        </w:numPr>
        <w:jc w:val="center"/>
        <w:rPr>
          <w:rFonts w:hint="default" w:eastAsia="宋体"/>
          <w:color w:val="auto"/>
          <w:highlight w:val="none"/>
          <w:lang w:val="en-US" w:eastAsia="zh-CN"/>
        </w:rPr>
      </w:pPr>
      <w:r>
        <w:rPr>
          <w:rFonts w:hint="eastAsia"/>
          <w:color w:val="auto"/>
          <w:highlight w:val="none"/>
          <w:lang w:val="en-US" w:eastAsia="zh-CN"/>
        </w:rPr>
        <w:t>授权证明文件清单</w:t>
      </w:r>
    </w:p>
    <w:tbl>
      <w:tblPr>
        <w:tblStyle w:val="2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9"/>
        <w:gridCol w:w="2888"/>
        <w:gridCol w:w="3345"/>
      </w:tblGrid>
      <w:tr w14:paraId="16B71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3"/>
          </w:tcPr>
          <w:p w14:paraId="0CEBA950">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default" w:ascii="Times New Roman" w:hAnsi="Times New Roman" w:eastAsia="宋体" w:cs="Times New Roman"/>
                <w:b w:val="0"/>
                <w:color w:val="auto"/>
                <w:spacing w:val="0"/>
                <w:sz w:val="21"/>
                <w:szCs w:val="21"/>
                <w:highlight w:val="none"/>
              </w:rPr>
            </w:pPr>
            <w:r>
              <w:rPr>
                <w:rFonts w:hint="default" w:ascii="Times New Roman" w:hAnsi="Times New Roman" w:eastAsia="宋体" w:cs="Times New Roman"/>
                <w:b w:val="0"/>
                <w:color w:val="auto"/>
                <w:spacing w:val="0"/>
                <w:sz w:val="21"/>
                <w:szCs w:val="21"/>
                <w:highlight w:val="none"/>
              </w:rPr>
              <w:t>项目</w:t>
            </w:r>
            <w:r>
              <w:rPr>
                <w:rFonts w:hint="default" w:ascii="Times New Roman" w:hAnsi="Times New Roman" w:cs="Times New Roman"/>
                <w:b w:val="0"/>
                <w:color w:val="auto"/>
                <w:spacing w:val="0"/>
                <w:sz w:val="21"/>
                <w:szCs w:val="21"/>
                <w:highlight w:val="none"/>
                <w:lang w:val="en-US" w:eastAsia="zh-CN"/>
              </w:rPr>
              <w:t>名称</w:t>
            </w:r>
            <w:r>
              <w:rPr>
                <w:rFonts w:hint="default" w:ascii="Times New Roman" w:hAnsi="Times New Roman" w:cs="Times New Roman"/>
                <w:b w:val="0"/>
                <w:color w:val="auto"/>
                <w:spacing w:val="0"/>
                <w:sz w:val="21"/>
                <w:szCs w:val="21"/>
                <w:highlight w:val="none"/>
                <w:lang w:eastAsia="zh-CN"/>
              </w:rPr>
              <w:t>：</w:t>
            </w:r>
            <w:r>
              <w:rPr>
                <w:rFonts w:hint="eastAsia" w:ascii="Times New Roman" w:hAnsi="Times New Roman" w:cs="Times New Roman"/>
                <w:b w:val="0"/>
                <w:color w:val="auto"/>
                <w:spacing w:val="0"/>
                <w:sz w:val="21"/>
                <w:szCs w:val="21"/>
                <w:highlight w:val="none"/>
                <w:lang w:val="en-US" w:eastAsia="zh-CN"/>
              </w:rPr>
              <w:t>新一代数据中台项目（一期）</w:t>
            </w:r>
          </w:p>
        </w:tc>
      </w:tr>
      <w:tr w14:paraId="39957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89" w:type="dxa"/>
            <w:vAlign w:val="top"/>
          </w:tcPr>
          <w:p w14:paraId="628DA4FB">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cs="Times New Roman"/>
                <w:color w:val="auto"/>
                <w:sz w:val="21"/>
                <w:szCs w:val="21"/>
                <w:highlight w:val="none"/>
                <w:vertAlign w:val="baseline"/>
                <w:lang w:val="en-US" w:eastAsia="zh-CN"/>
              </w:rPr>
              <w:t>授权产品名称</w:t>
            </w:r>
          </w:p>
        </w:tc>
        <w:tc>
          <w:tcPr>
            <w:tcW w:w="2888" w:type="dxa"/>
            <w:vAlign w:val="top"/>
          </w:tcPr>
          <w:p w14:paraId="0E24A972">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cs="Times New Roman"/>
                <w:color w:val="auto"/>
                <w:sz w:val="21"/>
                <w:szCs w:val="21"/>
                <w:highlight w:val="none"/>
                <w:vertAlign w:val="baseline"/>
                <w:lang w:val="en-US" w:eastAsia="zh-CN"/>
              </w:rPr>
              <w:t>产品供应商名称</w:t>
            </w:r>
          </w:p>
        </w:tc>
        <w:tc>
          <w:tcPr>
            <w:tcW w:w="3345" w:type="dxa"/>
            <w:vAlign w:val="top"/>
          </w:tcPr>
          <w:p w14:paraId="6BC728E6">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对应本项目的产品或功能模块</w:t>
            </w:r>
          </w:p>
        </w:tc>
      </w:tr>
      <w:tr w14:paraId="26023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9" w:type="dxa"/>
          </w:tcPr>
          <w:p w14:paraId="45D5F51C">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1.</w:t>
            </w:r>
          </w:p>
        </w:tc>
        <w:tc>
          <w:tcPr>
            <w:tcW w:w="2888" w:type="dxa"/>
          </w:tcPr>
          <w:p w14:paraId="10ACF78A">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XXX</w:t>
            </w:r>
          </w:p>
        </w:tc>
        <w:tc>
          <w:tcPr>
            <w:tcW w:w="3345" w:type="dxa"/>
          </w:tcPr>
          <w:p w14:paraId="65C737D4">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XXX</w:t>
            </w:r>
          </w:p>
        </w:tc>
      </w:tr>
      <w:tr w14:paraId="3E04C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89" w:type="dxa"/>
          </w:tcPr>
          <w:p w14:paraId="249EBC5A">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2.</w:t>
            </w:r>
          </w:p>
        </w:tc>
        <w:tc>
          <w:tcPr>
            <w:tcW w:w="2888" w:type="dxa"/>
          </w:tcPr>
          <w:p w14:paraId="69E985BD">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eastAsia" w:ascii="Times New Roman" w:hAnsi="Times New Roman" w:eastAsia="宋体"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XXX</w:t>
            </w:r>
          </w:p>
        </w:tc>
        <w:tc>
          <w:tcPr>
            <w:tcW w:w="3345" w:type="dxa"/>
          </w:tcPr>
          <w:p w14:paraId="4D0019BF">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eastAsia" w:ascii="Times New Roman" w:hAnsi="Times New Roman" w:eastAsia="宋体"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XXX</w:t>
            </w:r>
          </w:p>
        </w:tc>
      </w:tr>
      <w:tr w14:paraId="75F33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9" w:type="dxa"/>
          </w:tcPr>
          <w:p w14:paraId="52D59C31">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3.</w:t>
            </w:r>
          </w:p>
        </w:tc>
        <w:tc>
          <w:tcPr>
            <w:tcW w:w="2888" w:type="dxa"/>
          </w:tcPr>
          <w:p w14:paraId="0B1EE7E4">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eastAsia" w:ascii="Times New Roman" w:hAnsi="Times New Roman" w:eastAsia="宋体"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XXX</w:t>
            </w:r>
          </w:p>
        </w:tc>
        <w:tc>
          <w:tcPr>
            <w:tcW w:w="3345" w:type="dxa"/>
          </w:tcPr>
          <w:p w14:paraId="3F75BAC3">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eastAsia" w:ascii="Times New Roman" w:hAnsi="Times New Roman" w:eastAsia="宋体"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XXX</w:t>
            </w:r>
          </w:p>
        </w:tc>
      </w:tr>
      <w:tr w14:paraId="02EEC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9" w:type="dxa"/>
          </w:tcPr>
          <w:p w14:paraId="3B837E98">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w:t>
            </w:r>
          </w:p>
        </w:tc>
        <w:tc>
          <w:tcPr>
            <w:tcW w:w="2888" w:type="dxa"/>
          </w:tcPr>
          <w:p w14:paraId="577254C0">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eastAsia" w:ascii="Times New Roman" w:hAnsi="Times New Roman" w:eastAsia="宋体"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w:t>
            </w:r>
          </w:p>
        </w:tc>
        <w:tc>
          <w:tcPr>
            <w:tcW w:w="3345" w:type="dxa"/>
          </w:tcPr>
          <w:p w14:paraId="11FBC928">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eastAsia" w:ascii="Times New Roman" w:hAnsi="Times New Roman" w:eastAsia="宋体"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w:t>
            </w:r>
          </w:p>
        </w:tc>
      </w:tr>
      <w:tr w14:paraId="24041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3"/>
          </w:tcPr>
          <w:p w14:paraId="5942C342">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lang w:eastAsia="zh-CN"/>
              </w:rPr>
              <w:t>人全称（盖章）：</w:t>
            </w:r>
          </w:p>
          <w:p w14:paraId="6AAAE59B">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法定代表人或其委托代理人（签字或盖章）：</w:t>
            </w:r>
          </w:p>
          <w:p w14:paraId="639C6537">
            <w:pPr>
              <w:keepNext w:val="0"/>
              <w:keepLines w:val="0"/>
              <w:pageBreakBefore w:val="0"/>
              <w:widowControl w:val="0"/>
              <w:tabs>
                <w:tab w:val="left" w:pos="2219"/>
              </w:tabs>
              <w:kinsoku/>
              <w:wordWrap/>
              <w:overflowPunct/>
              <w:topLinePunct w:val="0"/>
              <w:autoSpaceDE w:val="0"/>
              <w:autoSpaceDN w:val="0"/>
              <w:bidi w:val="0"/>
              <w:adjustRightInd/>
              <w:snapToGrid/>
              <w:spacing w:line="400" w:lineRule="exact"/>
              <w:ind w:firstLine="0" w:firstLineChars="0"/>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日期：</w:t>
            </w:r>
          </w:p>
        </w:tc>
      </w:tr>
    </w:tbl>
    <w:p w14:paraId="1DE1B292">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eastAsia="zh-CN"/>
        </w:rPr>
        <w:t>注：</w:t>
      </w:r>
    </w:p>
    <w:p w14:paraId="108A5761">
      <w:pPr>
        <w:keepNext w:val="0"/>
        <w:keepLines w:val="0"/>
        <w:pageBreakBefore w:val="0"/>
        <w:widowControl w:val="0"/>
        <w:numPr>
          <w:ilvl w:val="0"/>
          <w:numId w:val="47"/>
        </w:numPr>
        <w:kinsoku/>
        <w:wordWrap/>
        <w:overflowPunct/>
        <w:topLinePunct w:val="0"/>
        <w:autoSpaceDE w:val="0"/>
        <w:autoSpaceDN w:val="0"/>
        <w:bidi w:val="0"/>
        <w:adjustRightInd/>
        <w:snapToGrid/>
        <w:spacing w:line="400" w:lineRule="exact"/>
        <w:ind w:firstLine="420" w:firstLineChars="200"/>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参选人可根据情况扩充本表格；</w:t>
      </w:r>
    </w:p>
    <w:p w14:paraId="2CE99E62">
      <w:pPr>
        <w:keepNext w:val="0"/>
        <w:keepLines w:val="0"/>
        <w:pageBreakBefore w:val="0"/>
        <w:widowControl w:val="0"/>
        <w:numPr>
          <w:ilvl w:val="0"/>
          <w:numId w:val="47"/>
        </w:numPr>
        <w:kinsoku/>
        <w:wordWrap/>
        <w:overflowPunct/>
        <w:topLinePunct w:val="0"/>
        <w:autoSpaceDE w:val="0"/>
        <w:autoSpaceDN w:val="0"/>
        <w:bidi w:val="0"/>
        <w:adjustRightInd/>
        <w:snapToGrid/>
        <w:spacing w:line="400" w:lineRule="exact"/>
        <w:ind w:firstLine="420" w:firstLineChars="200"/>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需将原厂授权证明文件附在本表格后面</w:t>
      </w:r>
      <w:r>
        <w:rPr>
          <w:rFonts w:hint="eastAsia" w:ascii="Times New Roman" w:hAnsi="Times New Roman" w:cs="Times New Roman"/>
          <w:color w:val="auto"/>
          <w:sz w:val="21"/>
          <w:szCs w:val="21"/>
          <w:highlight w:val="none"/>
          <w:lang w:eastAsia="zh-CN"/>
        </w:rPr>
        <w:t>；</w:t>
      </w:r>
    </w:p>
    <w:p w14:paraId="00151E5C">
      <w:pPr>
        <w:keepNext w:val="0"/>
        <w:keepLines w:val="0"/>
        <w:pageBreakBefore w:val="0"/>
        <w:widowControl w:val="0"/>
        <w:numPr>
          <w:ilvl w:val="0"/>
          <w:numId w:val="47"/>
        </w:numPr>
        <w:kinsoku/>
        <w:wordWrap/>
        <w:overflowPunct/>
        <w:topLinePunct w:val="0"/>
        <w:autoSpaceDE w:val="0"/>
        <w:autoSpaceDN w:val="0"/>
        <w:bidi w:val="0"/>
        <w:adjustRightInd/>
        <w:snapToGrid/>
        <w:spacing w:line="400" w:lineRule="exact"/>
        <w:ind w:firstLine="420" w:firstLineChars="200"/>
        <w:textAlignment w:val="auto"/>
        <w:rPr>
          <w:rFonts w:hint="default" w:ascii="Times New Roman" w:hAnsi="Times New Roman" w:cs="Times New Roman"/>
          <w:color w:val="auto"/>
          <w:sz w:val="21"/>
          <w:szCs w:val="21"/>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Times New Roman" w:hAnsi="Times New Roman" w:cs="Times New Roman"/>
          <w:color w:val="auto"/>
          <w:sz w:val="21"/>
          <w:szCs w:val="21"/>
          <w:highlight w:val="none"/>
          <w:lang w:val="en-US" w:eastAsia="zh-CN"/>
        </w:rPr>
        <w:t>原厂授权证明文件需加盖产品供应商公章。</w:t>
      </w:r>
    </w:p>
    <w:p w14:paraId="24B00CBE">
      <w:pPr>
        <w:pStyle w:val="36"/>
        <w:rPr>
          <w:rFonts w:hint="default" w:ascii="Times New Roman" w:hAnsi="Times New Roman" w:cs="Times New Roman"/>
          <w:color w:val="auto"/>
          <w:highlight w:val="none"/>
          <w:lang w:val="zh-CN"/>
        </w:rPr>
      </w:pPr>
      <w:r>
        <w:rPr>
          <w:rFonts w:hint="eastAsia" w:ascii="Times New Roman" w:hAnsi="Times New Roman" w:cs="Times New Roman"/>
          <w:color w:val="auto"/>
          <w:highlight w:val="none"/>
          <w:lang w:val="en-US" w:eastAsia="zh-CN"/>
        </w:rPr>
        <w:t>（八）原厂</w:t>
      </w:r>
      <w:r>
        <w:rPr>
          <w:rFonts w:hint="default" w:ascii="Times New Roman" w:hAnsi="Times New Roman" w:cs="Times New Roman"/>
          <w:color w:val="auto"/>
          <w:highlight w:val="none"/>
        </w:rPr>
        <w:t>售后服务质保</w:t>
      </w:r>
      <w:r>
        <w:rPr>
          <w:rFonts w:hint="default" w:ascii="Times New Roman" w:hAnsi="Times New Roman" w:cs="Times New Roman"/>
          <w:color w:val="auto"/>
          <w:highlight w:val="none"/>
          <w:lang w:val="zh-CN"/>
        </w:rPr>
        <w:t>承诺函</w:t>
      </w:r>
    </w:p>
    <w:p w14:paraId="4BD7462B">
      <w:pPr>
        <w:rPr>
          <w:rFonts w:hint="default" w:ascii="Times New Roman" w:hAnsi="Times New Roman" w:cs="Times New Roman"/>
          <w:color w:val="auto"/>
          <w:highlight w:val="none"/>
          <w:lang w:val="zh-CN"/>
        </w:rPr>
      </w:pPr>
      <w:r>
        <w:rPr>
          <w:rFonts w:hint="eastAsia" w:ascii="Times New Roman" w:hAnsi="Times New Roman" w:cs="Times New Roman"/>
          <w:color w:val="auto"/>
          <w:highlight w:val="none"/>
          <w:lang w:val="en-US" w:eastAsia="zh-CN"/>
        </w:rPr>
        <w:t>注：</w:t>
      </w:r>
      <w:r>
        <w:rPr>
          <w:rFonts w:hint="default" w:ascii="Times New Roman" w:hAnsi="Times New Roman" w:cs="Times New Roman"/>
          <w:color w:val="auto"/>
          <w:highlight w:val="none"/>
        </w:rPr>
        <w:t>加盖公章</w:t>
      </w:r>
      <w:r>
        <w:rPr>
          <w:rFonts w:hint="default" w:ascii="Times New Roman" w:hAnsi="Times New Roman" w:cs="Times New Roman"/>
          <w:color w:val="auto"/>
          <w:highlight w:val="none"/>
          <w:lang w:val="zh-CN"/>
        </w:rPr>
        <w:br w:type="page"/>
      </w:r>
    </w:p>
    <w:p w14:paraId="3C7F7A06">
      <w:pPr>
        <w:rPr>
          <w:rFonts w:hint="default" w:ascii="Times New Roman" w:hAnsi="Times New Roman" w:cs="Times New Roman"/>
          <w:color w:val="auto"/>
          <w:highlight w:val="none"/>
          <w:lang w:val="zh-CN"/>
        </w:rPr>
      </w:pPr>
    </w:p>
    <w:p w14:paraId="3B48448F">
      <w:pPr>
        <w:pStyle w:val="36"/>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zh-CN"/>
        </w:rPr>
        <w:t>（</w:t>
      </w:r>
      <w:r>
        <w:rPr>
          <w:rFonts w:hint="eastAsia" w:ascii="Times New Roman" w:hAnsi="Times New Roman" w:cs="Times New Roman"/>
          <w:color w:val="auto"/>
          <w:highlight w:val="none"/>
          <w:lang w:val="en-US" w:eastAsia="zh-CN"/>
        </w:rPr>
        <w:t>九</w:t>
      </w:r>
      <w:r>
        <w:rPr>
          <w:rFonts w:hint="default" w:ascii="Times New Roman" w:hAnsi="Times New Roman" w:cs="Times New Roman"/>
          <w:color w:val="auto"/>
          <w:highlight w:val="none"/>
          <w:lang w:val="zh-CN"/>
        </w:rPr>
        <w:t>）</w:t>
      </w:r>
      <w:r>
        <w:rPr>
          <w:rFonts w:hint="eastAsia" w:ascii="Times New Roman" w:hAnsi="Times New Roman" w:cs="Times New Roman"/>
          <w:color w:val="auto"/>
          <w:highlight w:val="none"/>
          <w:lang w:val="en-US" w:eastAsia="zh-CN"/>
        </w:rPr>
        <w:t>承诺书</w:t>
      </w:r>
    </w:p>
    <w:p w14:paraId="79AB3D87">
      <w:pPr>
        <w:rPr>
          <w:rFonts w:hint="eastAsia" w:ascii="Times New Roman" w:hAnsi="Times New Roman" w:eastAsia="宋体" w:cs="Times New Roman"/>
          <w:color w:val="auto"/>
          <w:highlight w:val="none"/>
          <w:lang w:val="en-US" w:eastAsia="zh-CN"/>
        </w:rPr>
      </w:pPr>
      <w:r>
        <w:rPr>
          <w:rFonts w:hint="eastAsia" w:ascii="宋体" w:hAnsi="宋体" w:cs="宋体"/>
          <w:color w:val="auto"/>
          <w:kern w:val="0"/>
          <w:sz w:val="24"/>
          <w:szCs w:val="24"/>
          <w:highlight w:val="none"/>
          <w:lang w:val="en-US" w:eastAsia="zh-CN" w:bidi="ar"/>
        </w:rPr>
        <w:t>注：</w:t>
      </w:r>
      <w:r>
        <w:rPr>
          <w:rFonts w:hint="eastAsia" w:ascii="宋体" w:hAnsi="宋体" w:eastAsia="宋体" w:cs="宋体"/>
          <w:color w:val="auto"/>
          <w:kern w:val="0"/>
          <w:sz w:val="24"/>
          <w:szCs w:val="24"/>
          <w:highlight w:val="none"/>
          <w:lang w:val="en-US" w:eastAsia="zh-CN" w:bidi="ar"/>
        </w:rPr>
        <w:t>参选人须承诺中选后，</w:t>
      </w:r>
      <w:r>
        <w:rPr>
          <w:rFonts w:hint="eastAsia" w:ascii="Times New Roman" w:hAnsi="Times New Roman" w:cs="Times New Roman"/>
          <w:color w:val="auto"/>
          <w:highlight w:val="none"/>
          <w:lang w:val="en-US" w:eastAsia="zh-CN"/>
        </w:rPr>
        <w:t>产品（湖仓一体底座、数据作业平台）</w:t>
      </w:r>
      <w:r>
        <w:rPr>
          <w:rFonts w:hint="eastAsia" w:ascii="宋体" w:hAnsi="宋体" w:eastAsia="宋体" w:cs="宋体"/>
          <w:color w:val="auto"/>
          <w:kern w:val="0"/>
          <w:sz w:val="24"/>
          <w:szCs w:val="24"/>
          <w:highlight w:val="none"/>
          <w:lang w:val="en-US" w:eastAsia="zh-CN" w:bidi="ar"/>
        </w:rPr>
        <w:t>后续的扩容单价</w:t>
      </w:r>
      <w:r>
        <w:rPr>
          <w:rFonts w:hint="eastAsia" w:ascii="Times New Roman" w:hAnsi="Times New Roman" w:cs="Times New Roman"/>
          <w:color w:val="auto"/>
          <w:highlight w:val="none"/>
          <w:lang w:val="en-US" w:eastAsia="zh-CN"/>
        </w:rPr>
        <w:t>应在项目验收通过后的</w:t>
      </w:r>
      <w:r>
        <w:rPr>
          <w:rFonts w:hint="eastAsia" w:ascii="宋体" w:hAnsi="宋体" w:eastAsia="宋体" w:cs="宋体"/>
          <w:color w:val="auto"/>
          <w:kern w:val="0"/>
          <w:sz w:val="24"/>
          <w:szCs w:val="24"/>
          <w:highlight w:val="none"/>
          <w:lang w:val="en-US" w:eastAsia="zh-CN" w:bidi="ar"/>
        </w:rPr>
        <w:t>一定时限内（不少</w:t>
      </w:r>
      <w:r>
        <w:rPr>
          <w:rFonts w:hint="default" w:ascii="Times New Roman" w:hAnsi="Times New Roman" w:eastAsia="宋体" w:cs="Times New Roman"/>
          <w:color w:val="auto"/>
          <w:kern w:val="0"/>
          <w:sz w:val="24"/>
          <w:szCs w:val="24"/>
          <w:highlight w:val="none"/>
          <w:lang w:val="en-US" w:eastAsia="zh-CN" w:bidi="ar"/>
        </w:rPr>
        <w:t>于5年</w:t>
      </w:r>
      <w:r>
        <w:rPr>
          <w:rFonts w:hint="eastAsia" w:ascii="宋体" w:hAnsi="宋体" w:eastAsia="宋体" w:cs="宋体"/>
          <w:color w:val="auto"/>
          <w:kern w:val="0"/>
          <w:sz w:val="24"/>
          <w:szCs w:val="24"/>
          <w:highlight w:val="none"/>
          <w:lang w:val="en-US" w:eastAsia="zh-CN" w:bidi="ar"/>
        </w:rPr>
        <w:t>）不高于本项目采购的单价</w:t>
      </w:r>
      <w:r>
        <w:rPr>
          <w:rFonts w:hint="eastAsia" w:ascii="宋体" w:hAnsi="宋体" w:cs="宋体"/>
          <w:color w:val="auto"/>
          <w:kern w:val="0"/>
          <w:sz w:val="24"/>
          <w:szCs w:val="24"/>
          <w:highlight w:val="none"/>
          <w:lang w:val="en-US" w:eastAsia="zh-CN" w:bidi="ar"/>
        </w:rPr>
        <w:t>，并加盖公章</w:t>
      </w:r>
      <w:r>
        <w:rPr>
          <w:rFonts w:hint="eastAsia" w:ascii="宋体" w:hAnsi="宋体" w:eastAsia="宋体" w:cs="宋体"/>
          <w:color w:val="auto"/>
          <w:kern w:val="0"/>
          <w:sz w:val="24"/>
          <w:szCs w:val="24"/>
          <w:highlight w:val="none"/>
          <w:lang w:val="en-US" w:eastAsia="zh-CN" w:bidi="ar"/>
        </w:rPr>
        <w:t>。参选人提供的产品</w:t>
      </w:r>
      <w:r>
        <w:rPr>
          <w:rFonts w:hint="eastAsia" w:ascii="宋体" w:hAnsi="宋体" w:cs="宋体"/>
          <w:color w:val="auto"/>
          <w:kern w:val="0"/>
          <w:sz w:val="24"/>
          <w:szCs w:val="24"/>
          <w:highlight w:val="none"/>
          <w:lang w:val="en-US" w:eastAsia="zh-CN" w:bidi="ar"/>
        </w:rPr>
        <w:t>或功能模块</w:t>
      </w:r>
      <w:r>
        <w:rPr>
          <w:rFonts w:hint="eastAsia" w:ascii="宋体" w:hAnsi="宋体" w:eastAsia="宋体" w:cs="宋体"/>
          <w:color w:val="auto"/>
          <w:kern w:val="0"/>
          <w:sz w:val="24"/>
          <w:szCs w:val="24"/>
          <w:highlight w:val="none"/>
          <w:lang w:val="en-US" w:eastAsia="zh-CN" w:bidi="ar"/>
        </w:rPr>
        <w:t>若为第三方产品，则产品供应商也须出具承诺书</w:t>
      </w:r>
      <w:r>
        <w:rPr>
          <w:rFonts w:hint="eastAsia" w:ascii="宋体" w:hAnsi="宋体" w:cs="宋体"/>
          <w:color w:val="auto"/>
          <w:kern w:val="0"/>
          <w:sz w:val="24"/>
          <w:szCs w:val="24"/>
          <w:highlight w:val="none"/>
          <w:lang w:val="en-US" w:eastAsia="zh-CN" w:bidi="ar"/>
        </w:rPr>
        <w:t>并加盖</w:t>
      </w:r>
      <w:r>
        <w:rPr>
          <w:rFonts w:hint="eastAsia" w:ascii="宋体" w:hAnsi="宋体" w:eastAsia="宋体" w:cs="宋体"/>
          <w:color w:val="auto"/>
          <w:kern w:val="0"/>
          <w:sz w:val="24"/>
          <w:szCs w:val="24"/>
          <w:highlight w:val="none"/>
          <w:lang w:val="en-US" w:eastAsia="zh-CN" w:bidi="ar"/>
        </w:rPr>
        <w:t>产品供应商</w:t>
      </w:r>
      <w:r>
        <w:rPr>
          <w:rFonts w:hint="eastAsia" w:ascii="宋体" w:hAnsi="宋体" w:cs="宋体"/>
          <w:color w:val="auto"/>
          <w:kern w:val="0"/>
          <w:sz w:val="24"/>
          <w:szCs w:val="24"/>
          <w:highlight w:val="none"/>
          <w:lang w:val="en-US" w:eastAsia="zh-CN" w:bidi="ar"/>
        </w:rPr>
        <w:t>公章。</w:t>
      </w:r>
      <w:r>
        <w:rPr>
          <w:rFonts w:hint="eastAsia" w:ascii="宋体" w:hAnsi="宋体" w:eastAsia="宋体" w:cs="宋体"/>
          <w:color w:val="auto"/>
          <w:kern w:val="0"/>
          <w:sz w:val="24"/>
          <w:szCs w:val="24"/>
          <w:highlight w:val="none"/>
          <w:lang w:val="en-US" w:eastAsia="zh-CN" w:bidi="ar"/>
        </w:rPr>
        <w:t>格式自拟</w:t>
      </w:r>
      <w:r>
        <w:rPr>
          <w:rFonts w:hint="eastAsia" w:ascii="宋体" w:hAnsi="宋体" w:cs="宋体"/>
          <w:color w:val="auto"/>
          <w:kern w:val="0"/>
          <w:sz w:val="24"/>
          <w:szCs w:val="24"/>
          <w:highlight w:val="none"/>
          <w:lang w:val="en-US" w:eastAsia="zh-CN" w:bidi="ar"/>
        </w:rPr>
        <w:t>。</w:t>
      </w:r>
    </w:p>
    <w:p w14:paraId="5CFB1325">
      <w:pPr>
        <w:rPr>
          <w:rFonts w:hint="default" w:ascii="Times New Roman" w:hAnsi="Times New Roman" w:cs="Times New Roman"/>
          <w:color w:val="auto"/>
          <w:highlight w:val="none"/>
          <w:lang w:val="zh-CN"/>
        </w:rPr>
      </w:pPr>
    </w:p>
    <w:p w14:paraId="460F33C8">
      <w:pPr>
        <w:rPr>
          <w:rFonts w:hint="default" w:ascii="Times New Roman" w:hAnsi="Times New Roman" w:cs="Times New Roman"/>
          <w:color w:val="auto"/>
          <w:highlight w:val="none"/>
          <w:lang w:val="zh-CN"/>
        </w:rPr>
      </w:pPr>
    </w:p>
    <w:p w14:paraId="6D85E4C3">
      <w:pPr>
        <w:rPr>
          <w:rFonts w:hint="default" w:ascii="Times New Roman" w:hAnsi="Times New Roman" w:cs="Times New Roman"/>
          <w:color w:val="auto"/>
          <w:highlight w:val="none"/>
          <w:lang w:val="zh-CN"/>
        </w:rPr>
      </w:pPr>
      <w:r>
        <w:rPr>
          <w:rFonts w:hint="default" w:ascii="Times New Roman" w:hAnsi="Times New Roman" w:cs="Times New Roman"/>
          <w:color w:val="auto"/>
          <w:highlight w:val="none"/>
          <w:lang w:val="zh-CN"/>
        </w:rPr>
        <w:br w:type="page"/>
      </w:r>
    </w:p>
    <w:p w14:paraId="2257CE96">
      <w:pPr>
        <w:pStyle w:val="34"/>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四、响应</w:t>
      </w:r>
      <w:r>
        <w:rPr>
          <w:rFonts w:hint="eastAsia" w:ascii="Times New Roman" w:hAnsi="Times New Roman" w:cs="Times New Roman"/>
          <w:color w:val="auto"/>
          <w:highlight w:val="none"/>
          <w:lang w:val="en-US" w:eastAsia="zh-CN"/>
        </w:rPr>
        <w:t>性文件</w:t>
      </w:r>
    </w:p>
    <w:p w14:paraId="1714A8A8">
      <w:pPr>
        <w:pStyle w:val="36"/>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（一）响应承诺函</w:t>
      </w:r>
    </w:p>
    <w:p w14:paraId="7E7664A9">
      <w:pPr>
        <w:ind w:firstLine="420"/>
        <w:rPr>
          <w:color w:val="auto"/>
          <w:highlight w:val="none"/>
        </w:rPr>
      </w:pPr>
      <w:r>
        <w:rPr>
          <w:rFonts w:hint="eastAsia" w:ascii="宋体"/>
          <w:color w:val="auto"/>
          <w:szCs w:val="28"/>
          <w:highlight w:val="none"/>
        </w:rPr>
        <w:t>项目名称</w:t>
      </w:r>
      <w:r>
        <w:rPr>
          <w:rFonts w:hint="eastAsia" w:ascii="宋体"/>
          <w:color w:val="auto"/>
          <w:highlight w:val="none"/>
        </w:rPr>
        <w:t>：</w:t>
      </w:r>
    </w:p>
    <w:p w14:paraId="537CBE46">
      <w:pPr>
        <w:autoSpaceDE/>
        <w:autoSpaceDN/>
        <w:rPr>
          <w:rFonts w:hint="default" w:ascii="Times New Roman" w:hAnsi="Times New Roman" w:cs="Times New Roman"/>
          <w:color w:val="auto"/>
          <w:sz w:val="18"/>
          <w:szCs w:val="18"/>
          <w:highlight w:val="none"/>
        </w:rPr>
      </w:pPr>
    </w:p>
    <w:p w14:paraId="48BC2530">
      <w:pPr>
        <w:pStyle w:val="36"/>
        <w:keepNext w:val="0"/>
        <w:keepLines w:val="0"/>
        <w:pageBreakBefore w:val="0"/>
        <w:widowControl w:val="0"/>
        <w:kinsoku/>
        <w:wordWrap/>
        <w:overflowPunct/>
        <w:topLinePunct w:val="0"/>
        <w:autoSpaceDE w:val="0"/>
        <w:autoSpaceDN w:val="0"/>
        <w:bidi w:val="0"/>
        <w:adjustRightInd/>
        <w:snapToGrid/>
        <w:ind w:firstLine="480" w:firstLineChars="200"/>
        <w:jc w:val="left"/>
        <w:textAlignment w:val="auto"/>
        <w:outlineLvl w:val="9"/>
        <w:rPr>
          <w:rFonts w:hint="eastAsia" w:ascii="Times New Roman" w:hAnsi="Times New Roman" w:eastAsia="宋体" w:cs="Times New Roman"/>
          <w:color w:val="auto"/>
          <w:highlight w:val="none"/>
          <w:lang w:val="zh-CN" w:eastAsia="zh-CN"/>
        </w:rPr>
      </w:pPr>
      <w:r>
        <w:rPr>
          <w:rFonts w:hint="eastAsia"/>
          <w:color w:val="auto"/>
          <w:highlight w:val="none"/>
        </w:rPr>
        <w:t>致：重庆三峡银行股份有限公司</w:t>
      </w:r>
      <w:r>
        <w:rPr>
          <w:rFonts w:hint="eastAsia"/>
          <w:color w:val="auto"/>
          <w:highlight w:val="none"/>
          <w:lang w:eastAsia="zh-CN"/>
        </w:rPr>
        <w:t>：</w:t>
      </w:r>
    </w:p>
    <w:p w14:paraId="0E11CBD2">
      <w:pPr>
        <w:ind w:firstLine="420"/>
        <w:rPr>
          <w:color w:val="auto"/>
          <w:highlight w:val="none"/>
        </w:rPr>
      </w:pPr>
      <w:r>
        <w:rPr>
          <w:rFonts w:hint="eastAsia"/>
          <w:color w:val="auto"/>
          <w:highlight w:val="none"/>
        </w:rPr>
        <w:t>我公司郑重承诺，完全满足第三章“项目要求”所有内容。</w:t>
      </w:r>
    </w:p>
    <w:p w14:paraId="11016907">
      <w:pPr>
        <w:ind w:firstLine="420"/>
        <w:rPr>
          <w:rFonts w:cs="Times New Roman"/>
          <w:color w:val="auto"/>
          <w:highlight w:val="none"/>
        </w:rPr>
      </w:pPr>
      <w:r>
        <w:rPr>
          <w:rFonts w:hint="eastAsia"/>
          <w:color w:val="auto"/>
          <w:highlight w:val="none"/>
        </w:rPr>
        <w:t>我公司中选后，</w:t>
      </w:r>
      <w:r>
        <w:rPr>
          <w:rFonts w:cs="Times New Roman"/>
          <w:color w:val="auto"/>
          <w:highlight w:val="none"/>
        </w:rPr>
        <w:t>未征得比选人书面同意的情况下不得更换项目成员</w:t>
      </w:r>
      <w:r>
        <w:rPr>
          <w:rFonts w:hint="eastAsia" w:cs="Times New Roman"/>
          <w:color w:val="auto"/>
          <w:highlight w:val="none"/>
        </w:rPr>
        <w:t>。</w:t>
      </w:r>
    </w:p>
    <w:p w14:paraId="2F8A6F18">
      <w:pPr>
        <w:ind w:firstLine="420"/>
        <w:rPr>
          <w:color w:val="auto"/>
          <w:highlight w:val="none"/>
        </w:rPr>
      </w:pPr>
      <w:r>
        <w:rPr>
          <w:rFonts w:hint="eastAsia"/>
          <w:color w:val="auto"/>
          <w:highlight w:val="none"/>
        </w:rPr>
        <w:t>我公司中选后</w:t>
      </w:r>
      <w:r>
        <w:rPr>
          <w:rFonts w:hint="eastAsia"/>
          <w:color w:val="auto"/>
          <w:highlight w:val="none"/>
          <w:lang w:eastAsia="zh-CN"/>
        </w:rPr>
        <w:t>，</w:t>
      </w:r>
      <w:r>
        <w:rPr>
          <w:rFonts w:hint="eastAsia"/>
          <w:color w:val="auto"/>
          <w:highlight w:val="none"/>
        </w:rPr>
        <w:t>将根据</w:t>
      </w:r>
      <w:r>
        <w:rPr>
          <w:rFonts w:hint="eastAsia" w:cs="Times New Roman"/>
          <w:color w:val="auto"/>
          <w:highlight w:val="none"/>
        </w:rPr>
        <w:t>我公司提供的</w:t>
      </w:r>
      <w:r>
        <w:rPr>
          <w:rFonts w:cs="Times New Roman"/>
          <w:color w:val="auto"/>
          <w:highlight w:val="none"/>
        </w:rPr>
        <w:t>售后服务</w:t>
      </w:r>
      <w:r>
        <w:rPr>
          <w:rFonts w:hint="eastAsia" w:cs="Times New Roman"/>
          <w:color w:val="auto"/>
          <w:highlight w:val="none"/>
          <w:lang w:val="en-US" w:eastAsia="zh-CN"/>
        </w:rPr>
        <w:t>方案</w:t>
      </w:r>
      <w:r>
        <w:rPr>
          <w:rFonts w:cs="Times New Roman"/>
          <w:color w:val="auto"/>
          <w:highlight w:val="none"/>
        </w:rPr>
        <w:t>和培训方案</w:t>
      </w:r>
      <w:r>
        <w:rPr>
          <w:rFonts w:hint="eastAsia" w:cs="Times New Roman"/>
          <w:color w:val="auto"/>
          <w:highlight w:val="none"/>
        </w:rPr>
        <w:t>进行售后服务和培训。</w:t>
      </w:r>
    </w:p>
    <w:p w14:paraId="37892525">
      <w:pPr>
        <w:rPr>
          <w:rFonts w:hint="default" w:ascii="Times New Roman" w:hAnsi="Times New Roman" w:cs="Times New Roman"/>
          <w:color w:val="auto"/>
          <w:highlight w:val="none"/>
          <w:lang w:val="zh-CN"/>
        </w:rPr>
      </w:pPr>
    </w:p>
    <w:p w14:paraId="18C0F4B4">
      <w:pPr>
        <w:spacing w:line="480" w:lineRule="exact"/>
        <w:ind w:firstLine="0" w:firstLineChars="0"/>
        <w:rPr>
          <w:color w:val="auto"/>
          <w:highlight w:val="none"/>
        </w:rPr>
      </w:pPr>
      <w:r>
        <w:rPr>
          <w:rFonts w:hint="eastAsia"/>
          <w:color w:val="auto"/>
          <w:highlight w:val="none"/>
        </w:rPr>
        <w:t>特此承诺。</w:t>
      </w:r>
    </w:p>
    <w:p w14:paraId="1D7B36E0">
      <w:pPr>
        <w:rPr>
          <w:rFonts w:hint="default" w:ascii="Times New Roman" w:hAnsi="Times New Roman" w:cs="Times New Roman"/>
          <w:color w:val="auto"/>
          <w:highlight w:val="none"/>
          <w:lang w:val="zh-CN"/>
        </w:rPr>
      </w:pPr>
    </w:p>
    <w:p w14:paraId="51A7409C">
      <w:pPr>
        <w:rPr>
          <w:rFonts w:hint="default" w:ascii="Times New Roman" w:hAnsi="Times New Roman" w:cs="Times New Roman"/>
          <w:color w:val="auto"/>
          <w:highlight w:val="none"/>
        </w:rPr>
      </w:pPr>
    </w:p>
    <w:p w14:paraId="4CA15D4E">
      <w:pPr>
        <w:tabs>
          <w:tab w:val="left" w:pos="6300"/>
        </w:tabs>
        <w:snapToGrid w:val="0"/>
        <w:spacing w:line="480" w:lineRule="exact"/>
        <w:ind w:right="424" w:firstLine="420"/>
        <w:jc w:val="right"/>
        <w:rPr>
          <w:rFonts w:ascii="宋体"/>
          <w:color w:val="auto"/>
          <w:highlight w:val="none"/>
        </w:rPr>
      </w:pPr>
      <w:r>
        <w:rPr>
          <w:rFonts w:hint="eastAsia" w:ascii="宋体"/>
          <w:color w:val="auto"/>
          <w:highlight w:val="none"/>
        </w:rPr>
        <w:t>（</w:t>
      </w:r>
      <w:r>
        <w:rPr>
          <w:rFonts w:hint="eastAsia" w:ascii="宋体" w:cs="等线 Light"/>
          <w:snapToGrid w:val="0"/>
          <w:color w:val="auto"/>
          <w:kern w:val="0"/>
          <w:szCs w:val="24"/>
          <w:highlight w:val="none"/>
        </w:rPr>
        <w:t>参选</w:t>
      </w:r>
      <w:r>
        <w:rPr>
          <w:rFonts w:hint="eastAsia" w:ascii="宋体"/>
          <w:color w:val="auto"/>
          <w:highlight w:val="none"/>
        </w:rPr>
        <w:t>人公章）</w:t>
      </w:r>
    </w:p>
    <w:p w14:paraId="546EE5BA">
      <w:pPr>
        <w:tabs>
          <w:tab w:val="left" w:pos="6300"/>
        </w:tabs>
        <w:snapToGrid w:val="0"/>
        <w:spacing w:line="480" w:lineRule="exact"/>
        <w:ind w:right="480" w:firstLine="420"/>
        <w:jc w:val="right"/>
        <w:rPr>
          <w:rFonts w:hint="default" w:ascii="Times New Roman" w:hAnsi="Times New Roman" w:cs="Times New Roman"/>
          <w:color w:val="auto"/>
          <w:highlight w:val="none"/>
        </w:rPr>
      </w:pPr>
      <w:r>
        <w:rPr>
          <w:rFonts w:hint="eastAsia" w:ascii="宋体"/>
          <w:color w:val="auto"/>
          <w:highlight w:val="none"/>
        </w:rPr>
        <w:t>年   月   日</w:t>
      </w:r>
    </w:p>
    <w:p w14:paraId="1697D46D">
      <w:pPr>
        <w:rPr>
          <w:rFonts w:hint="default" w:ascii="Times New Roman" w:hAnsi="Times New Roman" w:cs="Times New Roman"/>
          <w:color w:val="auto"/>
          <w:highlight w:val="none"/>
        </w:rPr>
      </w:pPr>
    </w:p>
    <w:p w14:paraId="6F8459DE">
      <w:pPr>
        <w:rPr>
          <w:rFonts w:hint="default" w:ascii="Times New Roman" w:hAnsi="Times New Roman" w:cs="Times New Roman"/>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default" w:ascii="Times New Roman" w:hAnsi="Times New Roman" w:cs="Times New Roman"/>
          <w:color w:val="auto"/>
          <w:highlight w:val="none"/>
        </w:rPr>
        <w:br w:type="page"/>
      </w:r>
    </w:p>
    <w:p w14:paraId="7B474B66">
      <w:pPr>
        <w:jc w:val="center"/>
        <w:outlineLvl w:val="2"/>
        <w:rPr>
          <w:rFonts w:hint="default" w:ascii="Times New Roman" w:hAnsi="Times New Roman" w:cs="Times New Roman"/>
          <w:color w:val="auto"/>
          <w:highlight w:val="none"/>
        </w:rPr>
      </w:pPr>
      <w:r>
        <w:rPr>
          <w:rFonts w:hint="eastAsia" w:ascii="Times New Roman" w:hAnsi="Times New Roman" w:cs="Times New Roman"/>
          <w:color w:val="auto"/>
          <w:szCs w:val="24"/>
          <w:highlight w:val="none"/>
          <w:shd w:val="clear" w:color="auto" w:fill="FFFFFF"/>
          <w:lang w:val="en-US" w:eastAsia="zh-CN"/>
        </w:rPr>
        <w:t>（二）项目组成员简历信息</w:t>
      </w:r>
    </w:p>
    <w:p w14:paraId="7D3F0C96">
      <w:pPr>
        <w:rPr>
          <w:rFonts w:hint="eastAsia" w:ascii="Times New Roman" w:hAnsi="Times New Roman" w:eastAsia="宋体" w:cs="Times New Roman"/>
          <w:color w:val="auto"/>
          <w:highlight w:val="none"/>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Times New Roman" w:hAnsi="Times New Roman" w:cs="Times New Roman"/>
          <w:color w:val="auto"/>
          <w:highlight w:val="none"/>
          <w:lang w:val="en-US" w:eastAsia="zh-CN"/>
        </w:rPr>
        <w:t>注：</w:t>
      </w:r>
      <w:r>
        <w:rPr>
          <w:rFonts w:hint="default" w:ascii="Times New Roman" w:hAnsi="Times New Roman" w:cs="Times New Roman"/>
          <w:color w:val="auto"/>
          <w:highlight w:val="none"/>
        </w:rPr>
        <w:t>参与本项目建设的成员清单，并附上相关人员简历、劳动合同、资质证书复印件</w:t>
      </w:r>
      <w:r>
        <w:rPr>
          <w:rFonts w:hint="eastAsia" w:ascii="Times New Roman" w:hAnsi="Times New Roman" w:cs="Times New Roman"/>
          <w:color w:val="auto"/>
          <w:highlight w:val="none"/>
          <w:lang w:eastAsia="zh-CN"/>
        </w:rPr>
        <w:t>。</w:t>
      </w:r>
    </w:p>
    <w:p w14:paraId="3A15FE13">
      <w:pPr>
        <w:jc w:val="center"/>
        <w:outlineLvl w:val="2"/>
        <w:rPr>
          <w:rFonts w:ascii="Times New Roman" w:hAnsi="Times New Roman" w:cs="Times New Roman"/>
          <w:color w:val="auto"/>
          <w:highlight w:val="none"/>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三</w:t>
      </w:r>
      <w:r>
        <w:rPr>
          <w:rFonts w:hint="eastAsia" w:ascii="Times New Roman" w:hAnsi="Times New Roman" w:cs="Times New Roman"/>
          <w:color w:val="auto"/>
          <w:highlight w:val="none"/>
          <w:lang w:eastAsia="zh-CN"/>
        </w:rPr>
        <w:t>）</w:t>
      </w:r>
      <w:r>
        <w:rPr>
          <w:rFonts w:ascii="Times New Roman" w:hAnsi="Times New Roman" w:cs="Times New Roman"/>
          <w:color w:val="auto"/>
          <w:highlight w:val="none"/>
        </w:rPr>
        <w:t>售后服务方案</w:t>
      </w:r>
    </w:p>
    <w:p w14:paraId="57AE4D34">
      <w:pPr>
        <w:outlineLvl w:val="2"/>
        <w:rPr>
          <w:rFonts w:hint="default" w:ascii="Times New Roman" w:hAnsi="Times New Roman" w:cs="Times New Roman"/>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2F9B42F3">
      <w:pPr>
        <w:jc w:val="center"/>
        <w:outlineLvl w:val="2"/>
        <w:rPr>
          <w:rFonts w:ascii="Times New Roman" w:hAnsi="Times New Roman" w:cs="Times New Roman"/>
          <w:color w:val="auto"/>
          <w:highlight w:val="none"/>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四</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培训</w:t>
      </w:r>
      <w:r>
        <w:rPr>
          <w:rFonts w:ascii="Times New Roman" w:hAnsi="Times New Roman" w:cs="Times New Roman"/>
          <w:color w:val="auto"/>
          <w:highlight w:val="none"/>
        </w:rPr>
        <w:t>方案</w:t>
      </w:r>
    </w:p>
    <w:p w14:paraId="6C82B7FA">
      <w:pPr>
        <w:jc w:val="center"/>
        <w:outlineLvl w:val="2"/>
        <w:rPr>
          <w:rFonts w:hint="eastAsia" w:ascii="Times New Roman" w:hAnsi="Times New Roman" w:cs="Times New Roman"/>
          <w:color w:val="auto"/>
          <w:highlight w:val="none"/>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089500C3">
      <w:pPr>
        <w:jc w:val="center"/>
        <w:outlineLvl w:val="2"/>
        <w:rPr>
          <w:rFonts w:hint="default" w:ascii="Times New Roman" w:hAnsi="Times New Roman" w:cs="Times New Roman"/>
          <w:color w:val="auto"/>
          <w:highlight w:val="none"/>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五</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服务连续性预案</w:t>
      </w:r>
    </w:p>
    <w:p w14:paraId="7D8B990E">
      <w:pPr>
        <w:outlineLvl w:val="2"/>
        <w:rPr>
          <w:rFonts w:hint="default" w:ascii="Times New Roman" w:hAnsi="Times New Roman" w:cs="Times New Roman"/>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17EC5B29">
      <w:pPr>
        <w:jc w:val="center"/>
        <w:outlineLvl w:val="2"/>
        <w:rPr>
          <w:rFonts w:hint="default" w:ascii="Times New Roman" w:hAnsi="Times New Roman" w:cs="Times New Roman"/>
          <w:color w:val="auto"/>
          <w:highlight w:val="none"/>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六</w:t>
      </w:r>
      <w:r>
        <w:rPr>
          <w:rFonts w:hint="eastAsia" w:ascii="Times New Roman" w:hAnsi="Times New Roman" w:cs="Times New Roman"/>
          <w:color w:val="auto"/>
          <w:highlight w:val="none"/>
          <w:lang w:eastAsia="zh-CN"/>
        </w:rPr>
        <w:t>）</w:t>
      </w:r>
      <w:r>
        <w:rPr>
          <w:rFonts w:ascii="Times New Roman" w:hAnsi="Times New Roman" w:cs="Times New Roman"/>
          <w:color w:val="auto"/>
          <w:highlight w:val="none"/>
        </w:rPr>
        <w:t>项目实施方案</w:t>
      </w:r>
    </w:p>
    <w:p w14:paraId="1B4FEA9D">
      <w:pP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注：</w:t>
      </w:r>
      <w:r>
        <w:rPr>
          <w:rFonts w:hint="default" w:ascii="Times New Roman" w:hAnsi="Times New Roman" w:cs="Times New Roman"/>
          <w:color w:val="auto"/>
          <w:highlight w:val="none"/>
        </w:rPr>
        <w:t>方案</w:t>
      </w:r>
      <w:r>
        <w:rPr>
          <w:rFonts w:hint="eastAsia" w:ascii="Times New Roman" w:hAnsi="Times New Roman" w:cs="Times New Roman"/>
          <w:color w:val="auto"/>
          <w:highlight w:val="none"/>
          <w:lang w:val="en-US" w:eastAsia="zh-CN"/>
        </w:rPr>
        <w:t>应基于对本项目的理解，至少需提供如下内容，格式自拟。</w:t>
      </w:r>
    </w:p>
    <w:p w14:paraId="723EFADB">
      <w:pPr>
        <w:numPr>
          <w:ilvl w:val="0"/>
          <w:numId w:val="48"/>
        </w:numPr>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产品介绍：包括湖仓一体底座和数据作业平台的产品主要功能介绍；</w:t>
      </w:r>
    </w:p>
    <w:p w14:paraId="453D190F">
      <w:pPr>
        <w:numPr>
          <w:ilvl w:val="0"/>
          <w:numId w:val="48"/>
        </w:numPr>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实施和迁移方案：根据比选人对本项目的要求，阐述本项目的详细实施和迁移的方案，如进度规划、里程碑计划、各阶段建设内容与提交资料内容等。</w:t>
      </w:r>
    </w:p>
    <w:p w14:paraId="7941D6D7">
      <w:pPr>
        <w:rPr>
          <w:rFonts w:hint="default" w:ascii="Times New Roman" w:hAnsi="Times New Roman" w:cs="Times New Roman"/>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default" w:ascii="Times New Roman" w:hAnsi="Times New Roman" w:cs="Times New Roman"/>
          <w:color w:val="auto"/>
          <w:kern w:val="0"/>
          <w:highlight w:val="none"/>
        </w:rPr>
        <w:br w:type="page"/>
      </w:r>
    </w:p>
    <w:p w14:paraId="1AC8361F">
      <w:pPr>
        <w:pStyle w:val="34"/>
        <w:rPr>
          <w:rFonts w:hint="default" w:ascii="Times New Roman" w:hAnsi="Times New Roman" w:cs="Times New Roman"/>
          <w:color w:val="auto"/>
          <w:highlight w:val="none"/>
        </w:rPr>
      </w:pPr>
      <w:r>
        <w:rPr>
          <w:rFonts w:hint="default" w:ascii="Times New Roman" w:hAnsi="Times New Roman" w:cs="Times New Roman"/>
          <w:color w:val="auto"/>
          <w:highlight w:val="none"/>
        </w:rPr>
        <w:t>五、参选保证金</w:t>
      </w:r>
    </w:p>
    <w:p w14:paraId="17AA8487">
      <w:pPr>
        <w:spacing w:line="360" w:lineRule="auto"/>
        <w:rPr>
          <w:rFonts w:hint="default" w:ascii="Times New Roman" w:hAnsi="Times New Roman" w:cs="Times New Roman"/>
          <w:color w:val="auto"/>
          <w:highlight w:val="none"/>
        </w:rPr>
      </w:pPr>
    </w:p>
    <w:p w14:paraId="0E1709D9">
      <w:pPr>
        <w:spacing w:line="360" w:lineRule="auto"/>
        <w:rPr>
          <w:rFonts w:hint="default" w:ascii="Times New Roman" w:hAnsi="Times New Roman" w:cs="Times New Roman"/>
          <w:color w:val="auto"/>
          <w:highlight w:val="none"/>
        </w:rPr>
      </w:pPr>
    </w:p>
    <w:p w14:paraId="6DEF511C">
      <w:pPr>
        <w:spacing w:line="360" w:lineRule="auto"/>
        <w:rPr>
          <w:rFonts w:hint="default" w:ascii="Times New Roman" w:hAnsi="Times New Roman" w:cs="Times New Roman"/>
          <w:color w:val="auto"/>
          <w:highlight w:val="none"/>
        </w:rPr>
      </w:pPr>
    </w:p>
    <w:p w14:paraId="27FE9D34">
      <w:pPr>
        <w:spacing w:line="360" w:lineRule="auto"/>
        <w:rPr>
          <w:rFonts w:hint="default" w:ascii="Times New Roman" w:hAnsi="Times New Roman" w:cs="Times New Roman"/>
          <w:color w:val="auto"/>
          <w:highlight w:val="none"/>
        </w:rPr>
      </w:pPr>
    </w:p>
    <w:p w14:paraId="5136E453">
      <w:pPr>
        <w:spacing w:line="360" w:lineRule="auto"/>
        <w:rPr>
          <w:rFonts w:hint="default" w:ascii="Times New Roman" w:hAnsi="Times New Roman" w:cs="Times New Roman"/>
          <w:color w:val="auto"/>
          <w:highlight w:val="none"/>
        </w:rPr>
      </w:pPr>
    </w:p>
    <w:p w14:paraId="628481CF">
      <w:pPr>
        <w:spacing w:line="360" w:lineRule="auto"/>
        <w:rPr>
          <w:rFonts w:hint="default" w:ascii="Times New Roman" w:hAnsi="Times New Roman" w:cs="Times New Roman"/>
          <w:color w:val="auto"/>
          <w:highlight w:val="none"/>
        </w:rPr>
      </w:pPr>
    </w:p>
    <w:p w14:paraId="4CF00039">
      <w:pPr>
        <w:spacing w:line="360" w:lineRule="auto"/>
        <w:rPr>
          <w:rFonts w:hint="default" w:ascii="Times New Roman" w:hAnsi="Times New Roman" w:cs="Times New Roman"/>
          <w:color w:val="auto"/>
          <w:highlight w:val="none"/>
        </w:rPr>
      </w:pPr>
    </w:p>
    <w:p w14:paraId="055939D6">
      <w:pPr>
        <w:spacing w:line="360" w:lineRule="auto"/>
        <w:rPr>
          <w:rFonts w:hint="default" w:ascii="Times New Roman" w:hAnsi="Times New Roman" w:cs="Times New Roman"/>
          <w:color w:val="auto"/>
          <w:highlight w:val="none"/>
        </w:rPr>
      </w:pPr>
    </w:p>
    <w:p w14:paraId="0FE2C1AF">
      <w:pPr>
        <w:spacing w:line="360" w:lineRule="auto"/>
        <w:rPr>
          <w:rFonts w:hint="default" w:ascii="Times New Roman" w:hAnsi="Times New Roman" w:cs="Times New Roman"/>
          <w:color w:val="auto"/>
          <w:highlight w:val="none"/>
        </w:rPr>
      </w:pPr>
    </w:p>
    <w:p w14:paraId="6240646F">
      <w:pPr>
        <w:spacing w:line="360" w:lineRule="auto"/>
        <w:rPr>
          <w:rFonts w:hint="default" w:ascii="Times New Roman" w:hAnsi="Times New Roman" w:cs="Times New Roman"/>
          <w:color w:val="auto"/>
          <w:highlight w:val="none"/>
        </w:rPr>
      </w:pPr>
    </w:p>
    <w:p w14:paraId="6D71EFB3">
      <w:pPr>
        <w:spacing w:line="360" w:lineRule="auto"/>
        <w:rPr>
          <w:rFonts w:hint="default" w:ascii="Times New Roman" w:hAnsi="Times New Roman" w:cs="Times New Roman"/>
          <w:color w:val="auto"/>
          <w:highlight w:val="none"/>
        </w:rPr>
      </w:pPr>
    </w:p>
    <w:p w14:paraId="19FB9C5F">
      <w:pPr>
        <w:spacing w:line="360" w:lineRule="auto"/>
        <w:rPr>
          <w:rFonts w:hint="default" w:ascii="Times New Roman" w:hAnsi="Times New Roman" w:cs="Times New Roman"/>
          <w:color w:val="auto"/>
          <w:highlight w:val="none"/>
        </w:rPr>
      </w:pPr>
    </w:p>
    <w:p w14:paraId="3FB8B5A8">
      <w:pPr>
        <w:spacing w:line="360" w:lineRule="auto"/>
        <w:rPr>
          <w:rFonts w:hint="default" w:ascii="Times New Roman" w:hAnsi="Times New Roman" w:cs="Times New Roman"/>
          <w:color w:val="auto"/>
          <w:highlight w:val="none"/>
        </w:rPr>
      </w:pPr>
    </w:p>
    <w:p w14:paraId="71CE30D4">
      <w:pPr>
        <w:spacing w:line="360" w:lineRule="auto"/>
        <w:rPr>
          <w:rFonts w:hint="default" w:ascii="Times New Roman" w:hAnsi="Times New Roman" w:cs="Times New Roman"/>
          <w:color w:val="auto"/>
          <w:highlight w:val="none"/>
        </w:rPr>
      </w:pPr>
    </w:p>
    <w:p w14:paraId="763F15A9">
      <w:pPr>
        <w:spacing w:line="360" w:lineRule="auto"/>
        <w:rPr>
          <w:rFonts w:hint="default" w:ascii="Times New Roman" w:hAnsi="Times New Roman" w:cs="Times New Roman"/>
          <w:color w:val="auto"/>
          <w:highlight w:val="none"/>
        </w:rPr>
      </w:pPr>
    </w:p>
    <w:p w14:paraId="4AFBF13E">
      <w:pPr>
        <w:spacing w:line="360" w:lineRule="auto"/>
        <w:rPr>
          <w:rFonts w:hint="default" w:ascii="Times New Roman" w:hAnsi="Times New Roman" w:cs="Times New Roman"/>
          <w:color w:val="auto"/>
          <w:highlight w:val="none"/>
        </w:rPr>
      </w:pPr>
    </w:p>
    <w:p w14:paraId="09FA014B">
      <w:pPr>
        <w:spacing w:line="360" w:lineRule="auto"/>
        <w:rPr>
          <w:rFonts w:hint="default" w:ascii="Times New Roman" w:hAnsi="Times New Roman" w:cs="Times New Roman"/>
          <w:color w:val="auto"/>
          <w:highlight w:val="none"/>
        </w:rPr>
      </w:pPr>
    </w:p>
    <w:p w14:paraId="65916F16">
      <w:pPr>
        <w:spacing w:line="360" w:lineRule="auto"/>
        <w:rPr>
          <w:rFonts w:hint="default" w:ascii="Times New Roman" w:hAnsi="Times New Roman" w:cs="Times New Roman"/>
          <w:color w:val="auto"/>
          <w:highlight w:val="none"/>
        </w:rPr>
      </w:pPr>
    </w:p>
    <w:p w14:paraId="6DDC1A32">
      <w:pPr>
        <w:adjustRightInd w:val="0"/>
        <w:snapToGrid w:val="0"/>
        <w:spacing w:line="360" w:lineRule="auto"/>
        <w:jc w:val="left"/>
        <w:rPr>
          <w:rFonts w:hint="default" w:ascii="Times New Roman" w:hAnsi="Times New Roman" w:cs="Times New Roman"/>
          <w:color w:val="auto"/>
          <w:kern w:val="0"/>
          <w:highlight w:val="none"/>
        </w:rPr>
      </w:pPr>
    </w:p>
    <w:p w14:paraId="7F38E6EA">
      <w:pPr>
        <w:adjustRightInd w:val="0"/>
        <w:snapToGrid w:val="0"/>
        <w:spacing w:line="360" w:lineRule="auto"/>
        <w:jc w:val="left"/>
        <w:rPr>
          <w:rFonts w:hint="default" w:ascii="Times New Roman" w:hAnsi="Times New Roman" w:cs="Times New Roman"/>
          <w:color w:val="auto"/>
          <w:kern w:val="0"/>
          <w:highlight w:val="none"/>
        </w:rPr>
      </w:pPr>
    </w:p>
    <w:p w14:paraId="51C21840">
      <w:pPr>
        <w:adjustRightInd w:val="0"/>
        <w:snapToGrid w:val="0"/>
        <w:spacing w:line="360" w:lineRule="auto"/>
        <w:jc w:val="left"/>
        <w:rPr>
          <w:rFonts w:hint="default" w:ascii="Times New Roman" w:hAnsi="Times New Roman" w:cs="Times New Roman"/>
          <w:color w:val="auto"/>
          <w:kern w:val="0"/>
          <w:highlight w:val="none"/>
        </w:rPr>
      </w:pPr>
    </w:p>
    <w:p w14:paraId="2E1D313B">
      <w:pPr>
        <w:adjustRightInd w:val="0"/>
        <w:snapToGrid w:val="0"/>
        <w:spacing w:line="360" w:lineRule="auto"/>
        <w:jc w:val="left"/>
        <w:rPr>
          <w:rFonts w:hint="default" w:ascii="Times New Roman" w:hAnsi="Times New Roman" w:cs="Times New Roman"/>
          <w:color w:val="auto"/>
          <w:kern w:val="0"/>
          <w:highlight w:val="none"/>
        </w:rPr>
      </w:pPr>
    </w:p>
    <w:p w14:paraId="4694B796">
      <w:pPr>
        <w:adjustRightInd w:val="0"/>
        <w:snapToGrid w:val="0"/>
        <w:spacing w:line="360" w:lineRule="auto"/>
        <w:jc w:val="left"/>
        <w:rPr>
          <w:rFonts w:hint="default" w:ascii="Times New Roman" w:hAnsi="Times New Roman" w:cs="Times New Roman"/>
          <w:color w:val="auto"/>
          <w:kern w:val="0"/>
          <w:highlight w:val="none"/>
        </w:rPr>
      </w:pPr>
    </w:p>
    <w:p w14:paraId="4AF0A924">
      <w:pPr>
        <w:adjustRightInd w:val="0"/>
        <w:snapToGrid w:val="0"/>
        <w:spacing w:line="360" w:lineRule="auto"/>
        <w:jc w:val="left"/>
        <w:rPr>
          <w:rFonts w:hint="default" w:ascii="Times New Roman" w:hAnsi="Times New Roman" w:cs="Times New Roman"/>
          <w:color w:val="auto"/>
          <w:kern w:val="0"/>
          <w:highlight w:val="none"/>
        </w:rPr>
      </w:pPr>
    </w:p>
    <w:p w14:paraId="797A85A2">
      <w:pPr>
        <w:adjustRightInd w:val="0"/>
        <w:snapToGrid w:val="0"/>
        <w:spacing w:line="360" w:lineRule="auto"/>
        <w:jc w:val="left"/>
        <w:rPr>
          <w:rFonts w:hint="default" w:ascii="Times New Roman" w:hAnsi="Times New Roman" w:cs="Times New Roman"/>
          <w:color w:val="auto"/>
          <w:kern w:val="0"/>
          <w:highlight w:val="none"/>
        </w:rPr>
      </w:pPr>
    </w:p>
    <w:p w14:paraId="1A899BC5">
      <w:pPr>
        <w:adjustRightInd w:val="0"/>
        <w:snapToGrid w:val="0"/>
        <w:spacing w:line="360" w:lineRule="auto"/>
        <w:ind w:left="0" w:leftChars="0" w:firstLine="0" w:firstLineChars="0"/>
        <w:jc w:val="left"/>
        <w:rPr>
          <w:rFonts w:hint="default" w:ascii="Times New Roman" w:hAnsi="Times New Roman" w:cs="Times New Roman"/>
          <w:color w:val="auto"/>
          <w:kern w:val="0"/>
          <w:highlight w:val="none"/>
        </w:rPr>
      </w:pPr>
    </w:p>
    <w:p w14:paraId="0522E03F">
      <w:pPr>
        <w:adjustRightInd w:val="0"/>
        <w:snapToGrid w:val="0"/>
        <w:spacing w:line="360" w:lineRule="auto"/>
        <w:jc w:val="left"/>
        <w:rPr>
          <w:rFonts w:hint="default" w:ascii="Times New Roman" w:hAnsi="Times New Roman" w:cs="Times New Roman"/>
          <w:color w:val="auto"/>
          <w:kern w:val="0"/>
          <w:highlight w:val="none"/>
        </w:rPr>
      </w:pPr>
      <w:r>
        <w:rPr>
          <w:rFonts w:hint="default" w:ascii="Times New Roman" w:hAnsi="Times New Roman" w:cs="Times New Roman"/>
          <w:color w:val="auto"/>
          <w:highlight w:val="none"/>
        </w:rPr>
        <mc:AlternateContent>
          <mc:Choice Requires="wps">
            <w:drawing>
              <wp:anchor distT="0" distB="0" distL="113030" distR="113030" simplePos="0" relativeHeight="251659264" behindDoc="0" locked="0" layoutInCell="1" allowOverlap="1">
                <wp:simplePos x="0" y="0"/>
                <wp:positionH relativeFrom="column">
                  <wp:posOffset>-28575</wp:posOffset>
                </wp:positionH>
                <wp:positionV relativeFrom="paragraph">
                  <wp:posOffset>236220</wp:posOffset>
                </wp:positionV>
                <wp:extent cx="2828925" cy="0"/>
                <wp:effectExtent l="0" t="4444" r="0" b="5080"/>
                <wp:wrapNone/>
                <wp:docPr id="2" name="直接连接符 2"/>
                <wp:cNvGraphicFramePr/>
                <a:graphic xmlns:a="http://schemas.openxmlformats.org/drawingml/2006/main">
                  <a:graphicData uri="http://schemas.microsoft.com/office/word/2010/wordprocessingShape">
                    <wps:wsp>
                      <wps:cNvCnPr/>
                      <wps:spPr>
                        <a:xfrm>
                          <a:off x="0" y="0"/>
                          <a:ext cx="2828925" cy="0"/>
                        </a:xfrm>
                        <a:prstGeom prst="line">
                          <a:avLst/>
                        </a:prstGeom>
                        <a:noFill/>
                        <a:ln w="3175" cap="flat" cmpd="sng">
                          <a:solidFill>
                            <a:srgbClr val="000000"/>
                          </a:solidFill>
                          <a:prstDash val="solid"/>
                          <a:miter/>
                        </a:ln>
                      </wps:spPr>
                      <wps:bodyPr vert="horz" wrap="square" lIns="91440" tIns="45720" rIns="91440" bIns="45720" anchor="t" anchorCtr="0" upright="0">
                        <a:noAutofit/>
                      </wps:bodyPr>
                    </wps:wsp>
                  </a:graphicData>
                </a:graphic>
              </wp:anchor>
            </w:drawing>
          </mc:Choice>
          <mc:Fallback>
            <w:pict>
              <v:line id="_x0000_s1026" o:spid="_x0000_s1026" o:spt="20" style="position:absolute;left:0pt;margin-left:-2.25pt;margin-top:18.6pt;height:0pt;width:222.75pt;z-index:251659264;mso-width-relative:page;mso-height-relative:page;" filled="f" stroked="t" coordsize="21600,21600" o:gfxdata="UEsDBAoAAAAAAIdO4kAAAAAAAAAAAAAAAAAEAAAAZHJzL1BLAwQUAAAACACHTuJAwFANztUAAAAI&#10;AQAADwAAAGRycy9kb3ducmV2LnhtbE2PwU7DMBBE70j8g7VIXKrWSQjQhjhVhcSdhoqzG2/iqPE6&#10;it02/D2LOMBxZ0azb8rt7AZxwSn0nhSkqwQEUuNNT52Cw8fbcg0iRE1GD55QwRcG2Fa3N6UujL/S&#10;Hi917ASXUCi0AhvjWEgZGotOh5Ufkdhr/eR05HPqpJn0lcvdILMkeZJO98QfrB7x1WJzqs9OwWbO&#10;Dv69bRefdlf3uFvYdd3slbq/S5MXEBHn+BeGH3xGh4qZjv5MJohBwTJ/5KSCh+cMBPt5nvK2468g&#10;q1L+H1B9A1BLAwQUAAAACACHTuJAp3YGnh4CAAAmBAAADgAAAGRycy9lMm9Eb2MueG1srVPNjtMw&#10;EL4j8Q6W7zRt6LLdqOkKtVqEhKAS8ACu4ySW/MfYbVoeghdA4gYnjtx5G5bHYOxk27Jc9kAOzoxn&#10;/M18n8fz671WZCfAS2tKOhmNKRGG20qapqTv3908mVHiAzMVU9aIkh6Ep9eLx4/mnStEblurKgEE&#10;QYwvOlfSNgRXZJnnrdDMj6wTBoO1Bc0CutBkFbAO0bXK8vH4WdZZqBxYLrzH3VUfpAMiPATQ1rXk&#10;YmX5VgsTelQQigWk5FvpPF2kbuta8PCmrr0IRJUUmYa0YhG0N3HNFnNWNMBcK/nQAntIC/c4aSYN&#10;Fj1CrVhgZAvyHygtOVhv6zDiVmc9kaQIspiM72nztmVOJC4otXdH0f3/g+Wvd2sgsippTolhGi/8&#10;9vOPX5++/v75Bdfb799IHkXqnC8wd2nWMHjerSEy3teg4x+5kH0S9nAUVuwD4biZz/LZVX5BCb+L&#10;ZaeDDnx4Iawm0SipkiZyZgXbvfIBi2HqXUrcNvZGKpXuTRnSlfTp5DIiM5zFGmcATe2QjzdNgvFW&#10;ySoeiYc9NJulArJjcR7SF9lhib/SYr0V822fl0L9pGgZRBQADyiDvyhLL0S0NrY6oJr4uJBHa+Ej&#10;JR2OFvbyYctAUKJeGry7q8l0GmcxOdOLyxwdOI9sziPMcIQqKRLrzWXo53frQDYtVhonnsY+3wZb&#10;yyTZqZuhSRyf1PUw6nE+z/2UdXrei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AUA3O1QAAAAgB&#10;AAAPAAAAAAAAAAEAIAAAACIAAABkcnMvZG93bnJldi54bWxQSwECFAAUAAAACACHTuJAp3YGnh4C&#10;AAAmBAAADgAAAAAAAAABACAAAAAkAQAAZHJzL2Uyb0RvYy54bWxQSwUGAAAAAAYABgBZAQAAtAUA&#10;AAAA&#10;">
                <v:fill on="f" focussize="0,0"/>
                <v:stroke weight="0.25pt" color="#000000" joinstyle="miter"/>
                <v:imagedata o:title=""/>
                <o:lock v:ext="edit" aspectratio="f"/>
              </v:line>
            </w:pict>
          </mc:Fallback>
        </mc:AlternateContent>
      </w:r>
    </w:p>
    <w:p w14:paraId="0DFD985F">
      <w:pPr>
        <w:tabs>
          <w:tab w:val="left" w:pos="6300"/>
        </w:tabs>
        <w:snapToGrid w:val="0"/>
        <w:spacing w:line="360" w:lineRule="auto"/>
        <w:rPr>
          <w:rFonts w:hint="default" w:ascii="Times New Roman" w:hAnsi="Times New Roman" w:cs="Times New Roman"/>
          <w:snapToGrid w:val="0"/>
          <w:color w:val="auto"/>
          <w:kern w:val="0"/>
          <w:highlight w:val="none"/>
        </w:rPr>
      </w:pPr>
      <w:r>
        <w:rPr>
          <w:rFonts w:hint="default" w:ascii="Times New Roman" w:hAnsi="Times New Roman" w:cs="Times New Roman"/>
          <w:snapToGrid w:val="0"/>
          <w:color w:val="auto"/>
          <w:kern w:val="0"/>
          <w:highlight w:val="none"/>
        </w:rPr>
        <w:t>注：附</w:t>
      </w:r>
      <w:r>
        <w:rPr>
          <w:rFonts w:hint="default" w:ascii="Times New Roman" w:hAnsi="Times New Roman" w:cs="Times New Roman"/>
          <w:snapToGrid w:val="0"/>
          <w:color w:val="auto"/>
          <w:kern w:val="0"/>
          <w:szCs w:val="24"/>
          <w:highlight w:val="none"/>
        </w:rPr>
        <w:t>参选</w:t>
      </w:r>
      <w:r>
        <w:rPr>
          <w:rFonts w:hint="default" w:ascii="Times New Roman" w:hAnsi="Times New Roman" w:cs="Times New Roman"/>
          <w:snapToGrid w:val="0"/>
          <w:color w:val="auto"/>
          <w:kern w:val="0"/>
          <w:highlight w:val="none"/>
        </w:rPr>
        <w:t>保证金交款凭据复印件</w:t>
      </w:r>
    </w:p>
    <w:p w14:paraId="4A88C7F8">
      <w:pPr>
        <w:tabs>
          <w:tab w:val="left" w:pos="6300"/>
        </w:tabs>
        <w:snapToGrid w:val="0"/>
        <w:spacing w:line="360" w:lineRule="auto"/>
        <w:rPr>
          <w:rFonts w:hint="default" w:ascii="Times New Roman" w:hAnsi="Times New Roman" w:cs="Times New Roman"/>
          <w:snapToGrid w:val="0"/>
          <w:color w:val="auto"/>
          <w:kern w:val="0"/>
          <w:highlight w:val="none"/>
        </w:rPr>
      </w:pPr>
    </w:p>
    <w:p w14:paraId="20FE1201">
      <w:pPr>
        <w:pStyle w:val="34"/>
        <w:numPr>
          <w:ilvl w:val="0"/>
          <w:numId w:val="49"/>
        </w:numPr>
        <w:rPr>
          <w:rFonts w:hint="default" w:ascii="Times New Roman" w:hAnsi="Times New Roman" w:cs="Times New Roman"/>
          <w:color w:val="auto"/>
          <w:highlight w:val="none"/>
        </w:rPr>
      </w:pPr>
      <w:r>
        <w:rPr>
          <w:rFonts w:hint="default" w:ascii="Times New Roman" w:hAnsi="Times New Roman" w:cs="Times New Roman"/>
          <w:color w:val="auto"/>
          <w:highlight w:val="none"/>
        </w:rPr>
        <w:t>服务水平协议（SLA）</w:t>
      </w:r>
    </w:p>
    <w:tbl>
      <w:tblPr>
        <w:tblStyle w:val="22"/>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710"/>
        <w:gridCol w:w="1134"/>
        <w:gridCol w:w="1701"/>
        <w:gridCol w:w="1842"/>
        <w:gridCol w:w="1843"/>
        <w:gridCol w:w="1843"/>
      </w:tblGrid>
      <w:tr w14:paraId="4CF0A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67" w:type="dxa"/>
            <w:shd w:val="clear" w:color="auto" w:fill="auto"/>
            <w:noWrap w:val="0"/>
            <w:vAlign w:val="center"/>
          </w:tcPr>
          <w:p w14:paraId="382B24E5">
            <w:pPr>
              <w:keepNext w:val="0"/>
              <w:keepLines w:val="0"/>
              <w:pageBreakBefore w:val="0"/>
              <w:widowControl/>
              <w:kinsoku/>
              <w:wordWrap/>
              <w:overflowPunct/>
              <w:topLinePunct w:val="0"/>
              <w:autoSpaceDE w:val="0"/>
              <w:autoSpaceDN w:val="0"/>
              <w:bidi w:val="0"/>
              <w:adjustRightInd/>
              <w:snapToGrid w:val="0"/>
              <w:spacing w:line="400" w:lineRule="exact"/>
              <w:ind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序号</w:t>
            </w:r>
          </w:p>
        </w:tc>
        <w:tc>
          <w:tcPr>
            <w:tcW w:w="710" w:type="dxa"/>
            <w:shd w:val="clear" w:color="auto" w:fill="auto"/>
            <w:noWrap w:val="0"/>
            <w:vAlign w:val="center"/>
          </w:tcPr>
          <w:p w14:paraId="058688BB">
            <w:pPr>
              <w:keepNext w:val="0"/>
              <w:keepLines w:val="0"/>
              <w:pageBreakBefore w:val="0"/>
              <w:widowControl/>
              <w:kinsoku/>
              <w:wordWrap/>
              <w:overflowPunct/>
              <w:topLinePunct w:val="0"/>
              <w:autoSpaceDE w:val="0"/>
              <w:autoSpaceDN w:val="0"/>
              <w:bidi w:val="0"/>
              <w:adjustRightInd/>
              <w:snapToGrid w:val="0"/>
              <w:spacing w:line="400" w:lineRule="exact"/>
              <w:ind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服务内容</w:t>
            </w:r>
          </w:p>
        </w:tc>
        <w:tc>
          <w:tcPr>
            <w:tcW w:w="1134" w:type="dxa"/>
            <w:shd w:val="clear" w:color="auto" w:fill="auto"/>
            <w:noWrap w:val="0"/>
            <w:vAlign w:val="center"/>
          </w:tcPr>
          <w:p w14:paraId="79D61BEC">
            <w:pPr>
              <w:keepNext w:val="0"/>
              <w:keepLines w:val="0"/>
              <w:pageBreakBefore w:val="0"/>
              <w:widowControl/>
              <w:kinsoku/>
              <w:wordWrap/>
              <w:overflowPunct/>
              <w:topLinePunct w:val="0"/>
              <w:autoSpaceDE w:val="0"/>
              <w:autoSpaceDN w:val="0"/>
              <w:bidi w:val="0"/>
              <w:adjustRightInd/>
              <w:snapToGrid w:val="0"/>
              <w:spacing w:line="400" w:lineRule="exact"/>
              <w:ind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服务定义</w:t>
            </w:r>
          </w:p>
        </w:tc>
        <w:tc>
          <w:tcPr>
            <w:tcW w:w="1701" w:type="dxa"/>
            <w:shd w:val="clear" w:color="auto" w:fill="auto"/>
            <w:noWrap w:val="0"/>
            <w:vAlign w:val="center"/>
          </w:tcPr>
          <w:p w14:paraId="7CBF4E89">
            <w:pPr>
              <w:keepNext w:val="0"/>
              <w:keepLines w:val="0"/>
              <w:pageBreakBefore w:val="0"/>
              <w:widowControl/>
              <w:kinsoku/>
              <w:wordWrap/>
              <w:overflowPunct/>
              <w:topLinePunct w:val="0"/>
              <w:autoSpaceDE w:val="0"/>
              <w:autoSpaceDN w:val="0"/>
              <w:bidi w:val="0"/>
              <w:adjustRightInd/>
              <w:snapToGrid w:val="0"/>
              <w:spacing w:line="400" w:lineRule="exact"/>
              <w:ind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服务标准</w:t>
            </w:r>
          </w:p>
        </w:tc>
        <w:tc>
          <w:tcPr>
            <w:tcW w:w="1842" w:type="dxa"/>
            <w:shd w:val="clear" w:color="auto" w:fill="auto"/>
            <w:noWrap w:val="0"/>
            <w:vAlign w:val="center"/>
          </w:tcPr>
          <w:p w14:paraId="0E575A38">
            <w:pPr>
              <w:keepNext w:val="0"/>
              <w:keepLines w:val="0"/>
              <w:pageBreakBefore w:val="0"/>
              <w:widowControl/>
              <w:kinsoku/>
              <w:wordWrap/>
              <w:overflowPunct/>
              <w:topLinePunct w:val="0"/>
              <w:autoSpaceDE w:val="0"/>
              <w:autoSpaceDN w:val="0"/>
              <w:bidi w:val="0"/>
              <w:adjustRightInd/>
              <w:snapToGrid w:val="0"/>
              <w:spacing w:line="400" w:lineRule="exact"/>
              <w:ind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指标计算</w:t>
            </w:r>
          </w:p>
        </w:tc>
        <w:tc>
          <w:tcPr>
            <w:tcW w:w="1843" w:type="dxa"/>
            <w:shd w:val="clear" w:color="auto" w:fill="auto"/>
            <w:noWrap w:val="0"/>
            <w:vAlign w:val="center"/>
          </w:tcPr>
          <w:p w14:paraId="77C2E419">
            <w:pPr>
              <w:keepNext w:val="0"/>
              <w:keepLines w:val="0"/>
              <w:pageBreakBefore w:val="0"/>
              <w:widowControl/>
              <w:kinsoku/>
              <w:wordWrap/>
              <w:overflowPunct/>
              <w:topLinePunct w:val="0"/>
              <w:autoSpaceDE w:val="0"/>
              <w:autoSpaceDN w:val="0"/>
              <w:bidi w:val="0"/>
              <w:adjustRightInd/>
              <w:snapToGrid w:val="0"/>
              <w:spacing w:line="400" w:lineRule="exact"/>
              <w:ind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服务水平要求</w:t>
            </w:r>
          </w:p>
        </w:tc>
        <w:tc>
          <w:tcPr>
            <w:tcW w:w="1843" w:type="dxa"/>
            <w:shd w:val="clear" w:color="auto" w:fill="auto"/>
            <w:noWrap w:val="0"/>
            <w:vAlign w:val="center"/>
          </w:tcPr>
          <w:p w14:paraId="32F58F31">
            <w:pPr>
              <w:keepNext w:val="0"/>
              <w:keepLines w:val="0"/>
              <w:pageBreakBefore w:val="0"/>
              <w:widowControl/>
              <w:kinsoku/>
              <w:wordWrap/>
              <w:overflowPunct/>
              <w:topLinePunct w:val="0"/>
              <w:autoSpaceDE w:val="0"/>
              <w:autoSpaceDN w:val="0"/>
              <w:bidi w:val="0"/>
              <w:adjustRightInd/>
              <w:snapToGrid w:val="0"/>
              <w:spacing w:line="400" w:lineRule="exact"/>
              <w:ind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违约金标准</w:t>
            </w:r>
          </w:p>
        </w:tc>
      </w:tr>
      <w:tr w14:paraId="12909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567" w:type="dxa"/>
            <w:shd w:val="clear" w:color="auto" w:fill="auto"/>
            <w:noWrap w:val="0"/>
            <w:vAlign w:val="center"/>
          </w:tcPr>
          <w:p w14:paraId="14CB86D3">
            <w:pPr>
              <w:keepNext w:val="0"/>
              <w:keepLines w:val="0"/>
              <w:pageBreakBefore w:val="0"/>
              <w:widowControl/>
              <w:kinsoku/>
              <w:wordWrap/>
              <w:overflowPunct/>
              <w:topLinePunct w:val="0"/>
              <w:autoSpaceDE w:val="0"/>
              <w:autoSpaceDN w:val="0"/>
              <w:bidi w:val="0"/>
              <w:adjustRightInd/>
              <w:snapToGrid w:val="0"/>
              <w:spacing w:line="40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710" w:type="dxa"/>
            <w:shd w:val="clear" w:color="auto" w:fill="auto"/>
            <w:noWrap w:val="0"/>
            <w:vAlign w:val="center"/>
          </w:tcPr>
          <w:p w14:paraId="7986F1EB">
            <w:pPr>
              <w:keepNext w:val="0"/>
              <w:keepLines w:val="0"/>
              <w:pageBreakBefore w:val="0"/>
              <w:widowControl/>
              <w:kinsoku/>
              <w:wordWrap/>
              <w:overflowPunct/>
              <w:topLinePunct w:val="0"/>
              <w:autoSpaceDE w:val="0"/>
              <w:autoSpaceDN w:val="0"/>
              <w:bidi w:val="0"/>
              <w:adjustRightInd/>
              <w:snapToGrid w:val="0"/>
              <w:spacing w:line="400" w:lineRule="exact"/>
              <w:ind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任务响应</w:t>
            </w:r>
          </w:p>
        </w:tc>
        <w:tc>
          <w:tcPr>
            <w:tcW w:w="1134" w:type="dxa"/>
            <w:shd w:val="clear" w:color="auto" w:fill="auto"/>
            <w:noWrap w:val="0"/>
            <w:vAlign w:val="center"/>
          </w:tcPr>
          <w:p w14:paraId="73E2233A">
            <w:pPr>
              <w:keepNext w:val="0"/>
              <w:keepLines w:val="0"/>
              <w:pageBreakBefore w:val="0"/>
              <w:widowControl/>
              <w:kinsoku/>
              <w:wordWrap/>
              <w:overflowPunct/>
              <w:topLinePunct w:val="0"/>
              <w:autoSpaceDE w:val="0"/>
              <w:autoSpaceDN w:val="0"/>
              <w:bidi w:val="0"/>
              <w:adjustRightInd/>
              <w:snapToGrid w:val="0"/>
              <w:spacing w:line="400" w:lineRule="exact"/>
              <w:ind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衡量乙方在需求与问题响应方面的能力</w:t>
            </w:r>
          </w:p>
        </w:tc>
        <w:tc>
          <w:tcPr>
            <w:tcW w:w="1701" w:type="dxa"/>
            <w:shd w:val="clear" w:color="auto" w:fill="auto"/>
            <w:noWrap w:val="0"/>
            <w:vAlign w:val="center"/>
          </w:tcPr>
          <w:p w14:paraId="7FE1442C">
            <w:pPr>
              <w:keepNext w:val="0"/>
              <w:keepLines w:val="0"/>
              <w:pageBreakBefore w:val="0"/>
              <w:widowControl/>
              <w:kinsoku/>
              <w:wordWrap/>
              <w:overflowPunct/>
              <w:topLinePunct w:val="0"/>
              <w:autoSpaceDE w:val="0"/>
              <w:autoSpaceDN w:val="0"/>
              <w:bidi w:val="0"/>
              <w:adjustRightInd/>
              <w:snapToGrid w:val="0"/>
              <w:spacing w:line="400" w:lineRule="exact"/>
              <w:ind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乙方在收到甲方任务后2个工作日内，向甲方反馈确认任务的实施方案、计划和工作量等</w:t>
            </w:r>
          </w:p>
        </w:tc>
        <w:tc>
          <w:tcPr>
            <w:tcW w:w="1842" w:type="dxa"/>
            <w:shd w:val="clear" w:color="auto" w:fill="auto"/>
            <w:noWrap w:val="0"/>
            <w:vAlign w:val="center"/>
          </w:tcPr>
          <w:p w14:paraId="7D015906">
            <w:pPr>
              <w:keepNext w:val="0"/>
              <w:keepLines w:val="0"/>
              <w:pageBreakBefore w:val="0"/>
              <w:widowControl/>
              <w:kinsoku/>
              <w:wordWrap/>
              <w:overflowPunct/>
              <w:topLinePunct w:val="0"/>
              <w:autoSpaceDE w:val="0"/>
              <w:autoSpaceDN w:val="0"/>
              <w:bidi w:val="0"/>
              <w:adjustRightInd/>
              <w:snapToGrid w:val="0"/>
              <w:spacing w:line="400" w:lineRule="exact"/>
              <w:ind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甲方应当明确任务提出时间，乙方应当向甲方发出一个确认任务响应信息</w:t>
            </w:r>
          </w:p>
        </w:tc>
        <w:tc>
          <w:tcPr>
            <w:tcW w:w="1843" w:type="dxa"/>
            <w:shd w:val="clear" w:color="auto" w:fill="auto"/>
            <w:noWrap w:val="0"/>
            <w:vAlign w:val="center"/>
          </w:tcPr>
          <w:p w14:paraId="40078C50">
            <w:pPr>
              <w:keepNext w:val="0"/>
              <w:keepLines w:val="0"/>
              <w:pageBreakBefore w:val="0"/>
              <w:widowControl/>
              <w:kinsoku/>
              <w:wordWrap/>
              <w:overflowPunct/>
              <w:topLinePunct w:val="0"/>
              <w:autoSpaceDE w:val="0"/>
              <w:autoSpaceDN w:val="0"/>
              <w:bidi w:val="0"/>
              <w:adjustRightInd/>
              <w:snapToGrid w:val="0"/>
              <w:spacing w:line="400" w:lineRule="exact"/>
              <w:ind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乙方不得违反承诺响应时间</w:t>
            </w:r>
          </w:p>
        </w:tc>
        <w:tc>
          <w:tcPr>
            <w:tcW w:w="1843" w:type="dxa"/>
            <w:shd w:val="clear" w:color="auto" w:fill="auto"/>
            <w:noWrap w:val="0"/>
            <w:vAlign w:val="center"/>
          </w:tcPr>
          <w:p w14:paraId="03BA2C57">
            <w:pPr>
              <w:keepNext w:val="0"/>
              <w:keepLines w:val="0"/>
              <w:pageBreakBefore w:val="0"/>
              <w:widowControl/>
              <w:kinsoku/>
              <w:wordWrap/>
              <w:overflowPunct/>
              <w:topLinePunct w:val="0"/>
              <w:autoSpaceDE w:val="0"/>
              <w:autoSpaceDN w:val="0"/>
              <w:bidi w:val="0"/>
              <w:adjustRightInd/>
              <w:snapToGrid w:val="0"/>
              <w:spacing w:line="400" w:lineRule="exact"/>
              <w:ind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如违反承诺的响应时间要求，每次扣除1000元违约金</w:t>
            </w:r>
          </w:p>
        </w:tc>
      </w:tr>
      <w:tr w14:paraId="4A5B9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567" w:type="dxa"/>
            <w:shd w:val="clear" w:color="auto" w:fill="auto"/>
            <w:noWrap w:val="0"/>
            <w:vAlign w:val="center"/>
          </w:tcPr>
          <w:p w14:paraId="6F39AC94">
            <w:pPr>
              <w:keepNext w:val="0"/>
              <w:keepLines w:val="0"/>
              <w:pageBreakBefore w:val="0"/>
              <w:widowControl/>
              <w:kinsoku/>
              <w:wordWrap/>
              <w:overflowPunct/>
              <w:topLinePunct w:val="0"/>
              <w:autoSpaceDE w:val="0"/>
              <w:autoSpaceDN w:val="0"/>
              <w:bidi w:val="0"/>
              <w:adjustRightInd/>
              <w:snapToGrid w:val="0"/>
              <w:spacing w:line="40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c>
          <w:tcPr>
            <w:tcW w:w="710" w:type="dxa"/>
            <w:shd w:val="clear" w:color="auto" w:fill="auto"/>
            <w:noWrap w:val="0"/>
            <w:vAlign w:val="center"/>
          </w:tcPr>
          <w:p w14:paraId="1AC73E7B">
            <w:pPr>
              <w:keepNext w:val="0"/>
              <w:keepLines w:val="0"/>
              <w:pageBreakBefore w:val="0"/>
              <w:widowControl/>
              <w:kinsoku/>
              <w:wordWrap/>
              <w:overflowPunct/>
              <w:topLinePunct w:val="0"/>
              <w:autoSpaceDE w:val="0"/>
              <w:autoSpaceDN w:val="0"/>
              <w:bidi w:val="0"/>
              <w:adjustRightInd/>
              <w:snapToGrid w:val="0"/>
              <w:spacing w:line="400" w:lineRule="exact"/>
              <w:ind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任务完成情况</w:t>
            </w:r>
          </w:p>
        </w:tc>
        <w:tc>
          <w:tcPr>
            <w:tcW w:w="1134" w:type="dxa"/>
            <w:shd w:val="clear" w:color="auto" w:fill="auto"/>
            <w:noWrap w:val="0"/>
            <w:vAlign w:val="center"/>
          </w:tcPr>
          <w:p w14:paraId="6036EC6D">
            <w:pPr>
              <w:keepNext w:val="0"/>
              <w:keepLines w:val="0"/>
              <w:pageBreakBefore w:val="0"/>
              <w:widowControl/>
              <w:kinsoku/>
              <w:wordWrap/>
              <w:overflowPunct/>
              <w:topLinePunct w:val="0"/>
              <w:autoSpaceDE w:val="0"/>
              <w:autoSpaceDN w:val="0"/>
              <w:bidi w:val="0"/>
              <w:adjustRightInd/>
              <w:snapToGrid w:val="0"/>
              <w:spacing w:line="400" w:lineRule="exact"/>
              <w:ind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衡量乙方按计划完成任务的能力</w:t>
            </w:r>
          </w:p>
        </w:tc>
        <w:tc>
          <w:tcPr>
            <w:tcW w:w="1701" w:type="dxa"/>
            <w:shd w:val="clear" w:color="auto" w:fill="auto"/>
            <w:noWrap w:val="0"/>
            <w:vAlign w:val="center"/>
          </w:tcPr>
          <w:p w14:paraId="47D01A2B">
            <w:pPr>
              <w:keepNext w:val="0"/>
              <w:keepLines w:val="0"/>
              <w:pageBreakBefore w:val="0"/>
              <w:widowControl/>
              <w:kinsoku/>
              <w:wordWrap/>
              <w:overflowPunct/>
              <w:topLinePunct w:val="0"/>
              <w:autoSpaceDE w:val="0"/>
              <w:autoSpaceDN w:val="0"/>
              <w:bidi w:val="0"/>
              <w:adjustRightInd/>
              <w:snapToGrid w:val="0"/>
              <w:spacing w:line="400" w:lineRule="exact"/>
              <w:ind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乙方应当在双方确认的时间内完成任务</w:t>
            </w:r>
          </w:p>
        </w:tc>
        <w:tc>
          <w:tcPr>
            <w:tcW w:w="1842" w:type="dxa"/>
            <w:shd w:val="clear" w:color="auto" w:fill="auto"/>
            <w:noWrap w:val="0"/>
            <w:vAlign w:val="center"/>
          </w:tcPr>
          <w:p w14:paraId="0D494D21">
            <w:pPr>
              <w:keepNext w:val="0"/>
              <w:keepLines w:val="0"/>
              <w:pageBreakBefore w:val="0"/>
              <w:widowControl/>
              <w:kinsoku/>
              <w:wordWrap/>
              <w:overflowPunct/>
              <w:topLinePunct w:val="0"/>
              <w:autoSpaceDE w:val="0"/>
              <w:autoSpaceDN w:val="0"/>
              <w:bidi w:val="0"/>
              <w:adjustRightInd/>
              <w:snapToGrid w:val="0"/>
              <w:spacing w:line="400" w:lineRule="exact"/>
              <w:ind w:firstLine="0" w:firstLineChars="0"/>
              <w:jc w:val="left"/>
              <w:textAlignment w:val="auto"/>
              <w:rPr>
                <w:rFonts w:hint="default" w:ascii="Times New Roman" w:hAnsi="Times New Roman" w:eastAsia="宋体" w:cs="Times New Roman"/>
                <w:color w:val="auto"/>
                <w:sz w:val="21"/>
                <w:szCs w:val="21"/>
                <w:highlight w:val="none"/>
                <w:shd w:val="solid" w:color="FFFF00" w:fill="FFFFFF"/>
              </w:rPr>
            </w:pPr>
            <w:r>
              <w:rPr>
                <w:rFonts w:hint="default" w:ascii="Times New Roman" w:hAnsi="Times New Roman" w:eastAsia="宋体" w:cs="Times New Roman"/>
                <w:color w:val="auto"/>
                <w:sz w:val="21"/>
                <w:szCs w:val="21"/>
                <w:highlight w:val="none"/>
              </w:rPr>
              <w:t>任务完成及时率＝（规定时间内完成任务的次数/总任务数）×100%</w:t>
            </w:r>
          </w:p>
        </w:tc>
        <w:tc>
          <w:tcPr>
            <w:tcW w:w="1843" w:type="dxa"/>
            <w:shd w:val="clear" w:color="auto" w:fill="auto"/>
            <w:noWrap w:val="0"/>
            <w:vAlign w:val="center"/>
          </w:tcPr>
          <w:p w14:paraId="6EB8D64B">
            <w:pPr>
              <w:keepNext w:val="0"/>
              <w:keepLines w:val="0"/>
              <w:pageBreakBefore w:val="0"/>
              <w:widowControl/>
              <w:kinsoku/>
              <w:wordWrap/>
              <w:overflowPunct/>
              <w:topLinePunct w:val="0"/>
              <w:autoSpaceDE w:val="0"/>
              <w:autoSpaceDN w:val="0"/>
              <w:bidi w:val="0"/>
              <w:adjustRightInd/>
              <w:snapToGrid w:val="0"/>
              <w:spacing w:line="400" w:lineRule="exact"/>
              <w:ind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任务完成及时率≥90%</w:t>
            </w:r>
          </w:p>
        </w:tc>
        <w:tc>
          <w:tcPr>
            <w:tcW w:w="1843" w:type="dxa"/>
            <w:shd w:val="clear" w:color="auto" w:fill="auto"/>
            <w:noWrap w:val="0"/>
            <w:vAlign w:val="center"/>
          </w:tcPr>
          <w:p w14:paraId="17CBD677">
            <w:pPr>
              <w:keepNext w:val="0"/>
              <w:keepLines w:val="0"/>
              <w:pageBreakBefore w:val="0"/>
              <w:widowControl/>
              <w:kinsoku/>
              <w:wordWrap/>
              <w:overflowPunct/>
              <w:topLinePunct w:val="0"/>
              <w:autoSpaceDE w:val="0"/>
              <w:autoSpaceDN w:val="0"/>
              <w:bidi w:val="0"/>
              <w:adjustRightInd/>
              <w:snapToGrid w:val="0"/>
              <w:spacing w:line="400" w:lineRule="exact"/>
              <w:ind w:firstLine="0" w:firstLineChars="0"/>
              <w:jc w:val="left"/>
              <w:textAlignment w:val="auto"/>
              <w:rPr>
                <w:rFonts w:hint="default" w:ascii="Times New Roman" w:hAnsi="Times New Roman" w:eastAsia="宋体" w:cs="Times New Roman"/>
                <w:color w:val="auto"/>
                <w:sz w:val="21"/>
                <w:szCs w:val="21"/>
                <w:highlight w:val="none"/>
              </w:rPr>
            </w:pPr>
          </w:p>
        </w:tc>
      </w:tr>
      <w:tr w14:paraId="281F1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567" w:type="dxa"/>
            <w:shd w:val="clear" w:color="auto" w:fill="auto"/>
            <w:noWrap w:val="0"/>
            <w:vAlign w:val="center"/>
          </w:tcPr>
          <w:p w14:paraId="3CC0CECD">
            <w:pPr>
              <w:keepNext w:val="0"/>
              <w:keepLines w:val="0"/>
              <w:pageBreakBefore w:val="0"/>
              <w:widowControl/>
              <w:kinsoku/>
              <w:wordWrap/>
              <w:overflowPunct/>
              <w:topLinePunct w:val="0"/>
              <w:autoSpaceDE w:val="0"/>
              <w:autoSpaceDN w:val="0"/>
              <w:bidi w:val="0"/>
              <w:adjustRightInd/>
              <w:snapToGrid w:val="0"/>
              <w:spacing w:line="40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c>
          <w:tcPr>
            <w:tcW w:w="710" w:type="dxa"/>
            <w:shd w:val="clear" w:color="auto" w:fill="auto"/>
            <w:noWrap w:val="0"/>
            <w:vAlign w:val="center"/>
          </w:tcPr>
          <w:p w14:paraId="3108B4D0">
            <w:pPr>
              <w:keepNext w:val="0"/>
              <w:keepLines w:val="0"/>
              <w:pageBreakBefore w:val="0"/>
              <w:widowControl/>
              <w:kinsoku/>
              <w:wordWrap/>
              <w:overflowPunct/>
              <w:topLinePunct w:val="0"/>
              <w:autoSpaceDE w:val="0"/>
              <w:autoSpaceDN w:val="0"/>
              <w:bidi w:val="0"/>
              <w:adjustRightInd/>
              <w:snapToGrid w:val="0"/>
              <w:spacing w:line="400" w:lineRule="exact"/>
              <w:ind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项目延期</w:t>
            </w:r>
          </w:p>
        </w:tc>
        <w:tc>
          <w:tcPr>
            <w:tcW w:w="1134" w:type="dxa"/>
            <w:shd w:val="clear" w:color="auto" w:fill="auto"/>
            <w:noWrap w:val="0"/>
            <w:vAlign w:val="center"/>
          </w:tcPr>
          <w:p w14:paraId="4680ACEC">
            <w:pPr>
              <w:keepNext w:val="0"/>
              <w:keepLines w:val="0"/>
              <w:pageBreakBefore w:val="0"/>
              <w:widowControl/>
              <w:kinsoku/>
              <w:wordWrap/>
              <w:overflowPunct/>
              <w:topLinePunct w:val="0"/>
              <w:autoSpaceDE w:val="0"/>
              <w:autoSpaceDN w:val="0"/>
              <w:bidi w:val="0"/>
              <w:adjustRightInd/>
              <w:snapToGrid w:val="0"/>
              <w:spacing w:line="400" w:lineRule="exact"/>
              <w:ind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衡量乙方对项目整体实施进度的控制能力</w:t>
            </w:r>
          </w:p>
        </w:tc>
        <w:tc>
          <w:tcPr>
            <w:tcW w:w="1701" w:type="dxa"/>
            <w:shd w:val="clear" w:color="auto" w:fill="auto"/>
            <w:noWrap w:val="0"/>
            <w:vAlign w:val="center"/>
          </w:tcPr>
          <w:p w14:paraId="0B6B732F">
            <w:pPr>
              <w:keepNext w:val="0"/>
              <w:keepLines w:val="0"/>
              <w:pageBreakBefore w:val="0"/>
              <w:widowControl/>
              <w:kinsoku/>
              <w:wordWrap/>
              <w:overflowPunct/>
              <w:topLinePunct w:val="0"/>
              <w:autoSpaceDE w:val="0"/>
              <w:autoSpaceDN w:val="0"/>
              <w:bidi w:val="0"/>
              <w:adjustRightInd/>
              <w:snapToGrid w:val="0"/>
              <w:spacing w:line="400" w:lineRule="exact"/>
              <w:ind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乙方原因导致的项目进度偏差</w:t>
            </w:r>
          </w:p>
        </w:tc>
        <w:tc>
          <w:tcPr>
            <w:tcW w:w="1842" w:type="dxa"/>
            <w:shd w:val="clear" w:color="auto" w:fill="auto"/>
            <w:noWrap w:val="0"/>
            <w:vAlign w:val="center"/>
          </w:tcPr>
          <w:p w14:paraId="5EAC6BFD">
            <w:pPr>
              <w:keepNext w:val="0"/>
              <w:keepLines w:val="0"/>
              <w:pageBreakBefore w:val="0"/>
              <w:widowControl/>
              <w:kinsoku/>
              <w:wordWrap/>
              <w:overflowPunct/>
              <w:topLinePunct w:val="0"/>
              <w:autoSpaceDE w:val="0"/>
              <w:autoSpaceDN w:val="0"/>
              <w:bidi w:val="0"/>
              <w:adjustRightInd/>
              <w:snapToGrid w:val="0"/>
              <w:spacing w:line="400" w:lineRule="exact"/>
              <w:ind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按项目计划为基准计算进度偏差天数</w:t>
            </w:r>
          </w:p>
        </w:tc>
        <w:tc>
          <w:tcPr>
            <w:tcW w:w="1843" w:type="dxa"/>
            <w:shd w:val="clear" w:color="auto" w:fill="auto"/>
            <w:noWrap w:val="0"/>
            <w:vAlign w:val="center"/>
          </w:tcPr>
          <w:p w14:paraId="3B9F1F06">
            <w:pPr>
              <w:keepNext w:val="0"/>
              <w:keepLines w:val="0"/>
              <w:pageBreakBefore w:val="0"/>
              <w:widowControl/>
              <w:kinsoku/>
              <w:wordWrap/>
              <w:overflowPunct/>
              <w:topLinePunct w:val="0"/>
              <w:autoSpaceDE w:val="0"/>
              <w:autoSpaceDN w:val="0"/>
              <w:bidi w:val="0"/>
              <w:adjustRightInd/>
              <w:snapToGrid w:val="0"/>
              <w:spacing w:line="400" w:lineRule="exact"/>
              <w:ind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进度偏差率=进度偏差天数/项目计划中进度天数（进度偏差率≤20%）</w:t>
            </w:r>
          </w:p>
        </w:tc>
        <w:tc>
          <w:tcPr>
            <w:tcW w:w="1843" w:type="dxa"/>
            <w:shd w:val="clear" w:color="auto" w:fill="auto"/>
            <w:noWrap w:val="0"/>
            <w:vAlign w:val="center"/>
          </w:tcPr>
          <w:p w14:paraId="62EE0B19">
            <w:pPr>
              <w:keepNext w:val="0"/>
              <w:keepLines w:val="0"/>
              <w:pageBreakBefore w:val="0"/>
              <w:widowControl/>
              <w:kinsoku/>
              <w:wordWrap/>
              <w:overflowPunct/>
              <w:topLinePunct w:val="0"/>
              <w:autoSpaceDE w:val="0"/>
              <w:autoSpaceDN w:val="0"/>
              <w:bidi w:val="0"/>
              <w:adjustRightInd/>
              <w:snapToGrid w:val="0"/>
              <w:spacing w:line="400" w:lineRule="exact"/>
              <w:ind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20%＜进度偏差率≤30%，每偏差一天按合同金额的0.1%罚款，进度偏差率＞30%并且延期3个月以上，罚款合同金额的10%</w:t>
            </w:r>
          </w:p>
        </w:tc>
      </w:tr>
      <w:tr w14:paraId="5F770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567" w:type="dxa"/>
            <w:shd w:val="clear" w:color="auto" w:fill="auto"/>
            <w:noWrap w:val="0"/>
            <w:vAlign w:val="center"/>
          </w:tcPr>
          <w:p w14:paraId="7E609182">
            <w:pPr>
              <w:keepNext w:val="0"/>
              <w:keepLines w:val="0"/>
              <w:pageBreakBefore w:val="0"/>
              <w:widowControl/>
              <w:kinsoku/>
              <w:wordWrap/>
              <w:overflowPunct/>
              <w:topLinePunct w:val="0"/>
              <w:autoSpaceDE w:val="0"/>
              <w:autoSpaceDN w:val="0"/>
              <w:bidi w:val="0"/>
              <w:adjustRightInd/>
              <w:snapToGrid w:val="0"/>
              <w:spacing w:line="40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c>
          <w:tcPr>
            <w:tcW w:w="710" w:type="dxa"/>
            <w:shd w:val="clear" w:color="auto" w:fill="auto"/>
            <w:noWrap w:val="0"/>
            <w:vAlign w:val="center"/>
          </w:tcPr>
          <w:p w14:paraId="703215FC">
            <w:pPr>
              <w:keepNext w:val="0"/>
              <w:keepLines w:val="0"/>
              <w:pageBreakBefore w:val="0"/>
              <w:widowControl/>
              <w:kinsoku/>
              <w:wordWrap/>
              <w:overflowPunct/>
              <w:topLinePunct w:val="0"/>
              <w:autoSpaceDE w:val="0"/>
              <w:autoSpaceDN w:val="0"/>
              <w:bidi w:val="0"/>
              <w:adjustRightInd/>
              <w:snapToGrid w:val="0"/>
              <w:spacing w:line="400" w:lineRule="exact"/>
              <w:ind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驻场时间</w:t>
            </w:r>
          </w:p>
        </w:tc>
        <w:tc>
          <w:tcPr>
            <w:tcW w:w="1134" w:type="dxa"/>
            <w:shd w:val="clear" w:color="auto" w:fill="auto"/>
            <w:noWrap w:val="0"/>
            <w:vAlign w:val="center"/>
          </w:tcPr>
          <w:p w14:paraId="0F11234C">
            <w:pPr>
              <w:keepNext w:val="0"/>
              <w:keepLines w:val="0"/>
              <w:pageBreakBefore w:val="0"/>
              <w:widowControl/>
              <w:kinsoku/>
              <w:wordWrap/>
              <w:overflowPunct/>
              <w:topLinePunct w:val="0"/>
              <w:autoSpaceDE w:val="0"/>
              <w:autoSpaceDN w:val="0"/>
              <w:bidi w:val="0"/>
              <w:adjustRightInd/>
              <w:snapToGrid w:val="0"/>
              <w:spacing w:line="400" w:lineRule="exact"/>
              <w:ind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衡量乙方关键咨询专家驻场服务时间</w:t>
            </w:r>
          </w:p>
        </w:tc>
        <w:tc>
          <w:tcPr>
            <w:tcW w:w="1701" w:type="dxa"/>
            <w:shd w:val="clear" w:color="auto" w:fill="auto"/>
            <w:noWrap w:val="0"/>
            <w:vAlign w:val="center"/>
          </w:tcPr>
          <w:p w14:paraId="7548D39E">
            <w:pPr>
              <w:keepNext w:val="0"/>
              <w:keepLines w:val="0"/>
              <w:pageBreakBefore w:val="0"/>
              <w:widowControl/>
              <w:kinsoku/>
              <w:wordWrap/>
              <w:overflowPunct/>
              <w:topLinePunct w:val="0"/>
              <w:autoSpaceDE w:val="0"/>
              <w:autoSpaceDN w:val="0"/>
              <w:bidi w:val="0"/>
              <w:adjustRightInd/>
              <w:snapToGrid w:val="0"/>
              <w:spacing w:line="400" w:lineRule="exact"/>
              <w:ind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乙方专家实际驻场时间应与合同约定时间一致</w:t>
            </w:r>
          </w:p>
        </w:tc>
        <w:tc>
          <w:tcPr>
            <w:tcW w:w="1842" w:type="dxa"/>
            <w:shd w:val="clear" w:color="auto" w:fill="auto"/>
            <w:noWrap w:val="0"/>
            <w:vAlign w:val="center"/>
          </w:tcPr>
          <w:p w14:paraId="6324D1F0">
            <w:pPr>
              <w:keepNext w:val="0"/>
              <w:keepLines w:val="0"/>
              <w:pageBreakBefore w:val="0"/>
              <w:widowControl/>
              <w:kinsoku/>
              <w:wordWrap/>
              <w:overflowPunct/>
              <w:topLinePunct w:val="0"/>
              <w:autoSpaceDE w:val="0"/>
              <w:autoSpaceDN w:val="0"/>
              <w:bidi w:val="0"/>
              <w:adjustRightInd/>
              <w:snapToGrid w:val="0"/>
              <w:spacing w:line="400" w:lineRule="exact"/>
              <w:ind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按实际天数与合同约定天数对比</w:t>
            </w:r>
          </w:p>
        </w:tc>
        <w:tc>
          <w:tcPr>
            <w:tcW w:w="1843" w:type="dxa"/>
            <w:shd w:val="clear" w:color="auto" w:fill="auto"/>
            <w:noWrap w:val="0"/>
            <w:vAlign w:val="center"/>
          </w:tcPr>
          <w:p w14:paraId="7E2ABB98">
            <w:pPr>
              <w:keepNext w:val="0"/>
              <w:keepLines w:val="0"/>
              <w:pageBreakBefore w:val="0"/>
              <w:widowControl/>
              <w:kinsoku/>
              <w:wordWrap/>
              <w:overflowPunct/>
              <w:topLinePunct w:val="0"/>
              <w:autoSpaceDE w:val="0"/>
              <w:autoSpaceDN w:val="0"/>
              <w:bidi w:val="0"/>
              <w:adjustRightInd/>
              <w:snapToGrid w:val="0"/>
              <w:spacing w:line="400" w:lineRule="exact"/>
              <w:ind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乙方不得违反承诺驻场时间</w:t>
            </w:r>
          </w:p>
        </w:tc>
        <w:tc>
          <w:tcPr>
            <w:tcW w:w="1843" w:type="dxa"/>
            <w:shd w:val="clear" w:color="auto" w:fill="auto"/>
            <w:noWrap w:val="0"/>
            <w:vAlign w:val="center"/>
          </w:tcPr>
          <w:p w14:paraId="4F8FEA50">
            <w:pPr>
              <w:keepNext w:val="0"/>
              <w:keepLines w:val="0"/>
              <w:pageBreakBefore w:val="0"/>
              <w:widowControl/>
              <w:kinsoku/>
              <w:wordWrap/>
              <w:overflowPunct/>
              <w:topLinePunct w:val="0"/>
              <w:autoSpaceDE w:val="0"/>
              <w:autoSpaceDN w:val="0"/>
              <w:bidi w:val="0"/>
              <w:adjustRightInd/>
              <w:snapToGrid w:val="0"/>
              <w:spacing w:line="400" w:lineRule="exact"/>
              <w:ind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实际驻场天数与合同约定天数每偏差1天，扣除合同金额5000元</w:t>
            </w:r>
          </w:p>
        </w:tc>
      </w:tr>
      <w:tr w14:paraId="58827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567" w:type="dxa"/>
            <w:shd w:val="clear" w:color="auto" w:fill="auto"/>
            <w:noWrap w:val="0"/>
            <w:vAlign w:val="center"/>
          </w:tcPr>
          <w:p w14:paraId="29391134">
            <w:pPr>
              <w:keepNext w:val="0"/>
              <w:keepLines w:val="0"/>
              <w:pageBreakBefore w:val="0"/>
              <w:widowControl/>
              <w:kinsoku/>
              <w:wordWrap/>
              <w:overflowPunct/>
              <w:topLinePunct w:val="0"/>
              <w:autoSpaceDE w:val="0"/>
              <w:autoSpaceDN w:val="0"/>
              <w:bidi w:val="0"/>
              <w:adjustRightInd/>
              <w:snapToGrid w:val="0"/>
              <w:spacing w:line="40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w:t>
            </w:r>
          </w:p>
        </w:tc>
        <w:tc>
          <w:tcPr>
            <w:tcW w:w="710" w:type="dxa"/>
            <w:shd w:val="clear" w:color="auto" w:fill="auto"/>
            <w:noWrap w:val="0"/>
            <w:vAlign w:val="center"/>
          </w:tcPr>
          <w:p w14:paraId="0450CC85">
            <w:pPr>
              <w:keepNext w:val="0"/>
              <w:keepLines w:val="0"/>
              <w:pageBreakBefore w:val="0"/>
              <w:widowControl/>
              <w:kinsoku/>
              <w:wordWrap/>
              <w:overflowPunct/>
              <w:topLinePunct w:val="0"/>
              <w:autoSpaceDE w:val="0"/>
              <w:autoSpaceDN w:val="0"/>
              <w:bidi w:val="0"/>
              <w:adjustRightInd/>
              <w:snapToGrid w:val="0"/>
              <w:spacing w:line="400" w:lineRule="exact"/>
              <w:ind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交付文档数量及质量</w:t>
            </w:r>
          </w:p>
        </w:tc>
        <w:tc>
          <w:tcPr>
            <w:tcW w:w="1134" w:type="dxa"/>
            <w:shd w:val="clear" w:color="auto" w:fill="auto"/>
            <w:noWrap w:val="0"/>
            <w:vAlign w:val="center"/>
          </w:tcPr>
          <w:p w14:paraId="32F0CCDD">
            <w:pPr>
              <w:keepNext w:val="0"/>
              <w:keepLines w:val="0"/>
              <w:pageBreakBefore w:val="0"/>
              <w:widowControl/>
              <w:kinsoku/>
              <w:wordWrap/>
              <w:overflowPunct/>
              <w:topLinePunct w:val="0"/>
              <w:autoSpaceDE w:val="0"/>
              <w:autoSpaceDN w:val="0"/>
              <w:bidi w:val="0"/>
              <w:adjustRightInd/>
              <w:snapToGrid w:val="0"/>
              <w:spacing w:line="400" w:lineRule="exact"/>
              <w:ind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衡量甲方内部人员对乙方所提供文档的满意情况</w:t>
            </w:r>
          </w:p>
        </w:tc>
        <w:tc>
          <w:tcPr>
            <w:tcW w:w="1701" w:type="dxa"/>
            <w:shd w:val="clear" w:color="auto" w:fill="auto"/>
            <w:noWrap w:val="0"/>
            <w:vAlign w:val="center"/>
          </w:tcPr>
          <w:p w14:paraId="5346DAB8">
            <w:pPr>
              <w:keepNext w:val="0"/>
              <w:keepLines w:val="0"/>
              <w:pageBreakBefore w:val="0"/>
              <w:widowControl/>
              <w:kinsoku/>
              <w:wordWrap/>
              <w:overflowPunct/>
              <w:topLinePunct w:val="0"/>
              <w:autoSpaceDE w:val="0"/>
              <w:autoSpaceDN w:val="0"/>
              <w:bidi w:val="0"/>
              <w:adjustRightInd/>
              <w:snapToGrid w:val="0"/>
              <w:spacing w:line="400" w:lineRule="exact"/>
              <w:ind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交付文档数量及质量满足甲方要求</w:t>
            </w:r>
          </w:p>
        </w:tc>
        <w:tc>
          <w:tcPr>
            <w:tcW w:w="1842" w:type="dxa"/>
            <w:shd w:val="clear" w:color="auto" w:fill="auto"/>
            <w:noWrap w:val="0"/>
            <w:vAlign w:val="center"/>
          </w:tcPr>
          <w:p w14:paraId="426E994B">
            <w:pPr>
              <w:keepNext w:val="0"/>
              <w:keepLines w:val="0"/>
              <w:pageBreakBefore w:val="0"/>
              <w:widowControl/>
              <w:kinsoku/>
              <w:wordWrap/>
              <w:overflowPunct/>
              <w:topLinePunct w:val="0"/>
              <w:autoSpaceDE w:val="0"/>
              <w:autoSpaceDN w:val="0"/>
              <w:bidi w:val="0"/>
              <w:adjustRightInd/>
              <w:snapToGrid w:val="0"/>
              <w:spacing w:line="400" w:lineRule="exact"/>
              <w:ind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甲方根据乙方实际交付的文档数量及文档质量计算</w:t>
            </w:r>
          </w:p>
        </w:tc>
        <w:tc>
          <w:tcPr>
            <w:tcW w:w="1843" w:type="dxa"/>
            <w:shd w:val="clear" w:color="auto" w:fill="auto"/>
            <w:noWrap w:val="0"/>
            <w:vAlign w:val="center"/>
          </w:tcPr>
          <w:p w14:paraId="6AABD8E1">
            <w:pPr>
              <w:keepNext w:val="0"/>
              <w:keepLines w:val="0"/>
              <w:pageBreakBefore w:val="0"/>
              <w:widowControl/>
              <w:kinsoku/>
              <w:wordWrap/>
              <w:overflowPunct/>
              <w:topLinePunct w:val="0"/>
              <w:autoSpaceDE w:val="0"/>
              <w:autoSpaceDN w:val="0"/>
              <w:bidi w:val="0"/>
              <w:adjustRightInd/>
              <w:snapToGrid w:val="0"/>
              <w:spacing w:line="400" w:lineRule="exact"/>
              <w:ind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文档实际交付数量不少于甲方要求数量（文档实际交付数量是指文档交付甲方后甲方确认文档质量并实际接收的文档数量）</w:t>
            </w:r>
          </w:p>
        </w:tc>
        <w:tc>
          <w:tcPr>
            <w:tcW w:w="1843" w:type="dxa"/>
            <w:shd w:val="clear" w:color="auto" w:fill="auto"/>
            <w:noWrap w:val="0"/>
            <w:vAlign w:val="center"/>
          </w:tcPr>
          <w:p w14:paraId="5237AB00">
            <w:pPr>
              <w:keepNext w:val="0"/>
              <w:keepLines w:val="0"/>
              <w:pageBreakBefore w:val="0"/>
              <w:widowControl/>
              <w:kinsoku/>
              <w:wordWrap/>
              <w:overflowPunct/>
              <w:topLinePunct w:val="0"/>
              <w:autoSpaceDE w:val="0"/>
              <w:autoSpaceDN w:val="0"/>
              <w:bidi w:val="0"/>
              <w:adjustRightInd/>
              <w:snapToGrid w:val="0"/>
              <w:spacing w:line="400" w:lineRule="exact"/>
              <w:ind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文档每缺少一个扣除合同金额2000元；每有一个文档质量不合格扣除合同金额2000元</w:t>
            </w:r>
          </w:p>
        </w:tc>
      </w:tr>
      <w:tr w14:paraId="44838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567" w:type="dxa"/>
            <w:shd w:val="clear" w:color="auto" w:fill="auto"/>
            <w:noWrap w:val="0"/>
            <w:vAlign w:val="center"/>
          </w:tcPr>
          <w:p w14:paraId="2C9B3640">
            <w:pPr>
              <w:keepNext w:val="0"/>
              <w:keepLines w:val="0"/>
              <w:pageBreakBefore w:val="0"/>
              <w:widowControl/>
              <w:kinsoku/>
              <w:wordWrap/>
              <w:overflowPunct/>
              <w:topLinePunct w:val="0"/>
              <w:autoSpaceDE w:val="0"/>
              <w:autoSpaceDN w:val="0"/>
              <w:bidi w:val="0"/>
              <w:adjustRightInd/>
              <w:snapToGrid w:val="0"/>
              <w:spacing w:line="40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w:t>
            </w:r>
          </w:p>
        </w:tc>
        <w:tc>
          <w:tcPr>
            <w:tcW w:w="710" w:type="dxa"/>
            <w:shd w:val="clear" w:color="auto" w:fill="auto"/>
            <w:noWrap w:val="0"/>
            <w:vAlign w:val="center"/>
          </w:tcPr>
          <w:p w14:paraId="443552C6">
            <w:pPr>
              <w:keepNext w:val="0"/>
              <w:keepLines w:val="0"/>
              <w:pageBreakBefore w:val="0"/>
              <w:widowControl/>
              <w:kinsoku/>
              <w:wordWrap/>
              <w:overflowPunct/>
              <w:topLinePunct w:val="0"/>
              <w:autoSpaceDE w:val="0"/>
              <w:autoSpaceDN w:val="0"/>
              <w:bidi w:val="0"/>
              <w:adjustRightInd/>
              <w:snapToGrid w:val="0"/>
              <w:spacing w:line="400" w:lineRule="exact"/>
              <w:ind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人力资源投入及人员稳定性</w:t>
            </w:r>
          </w:p>
        </w:tc>
        <w:tc>
          <w:tcPr>
            <w:tcW w:w="1134" w:type="dxa"/>
            <w:shd w:val="clear" w:color="auto" w:fill="auto"/>
            <w:noWrap w:val="0"/>
            <w:vAlign w:val="center"/>
          </w:tcPr>
          <w:p w14:paraId="039A4CEB">
            <w:pPr>
              <w:keepNext w:val="0"/>
              <w:keepLines w:val="0"/>
              <w:pageBreakBefore w:val="0"/>
              <w:widowControl/>
              <w:kinsoku/>
              <w:wordWrap/>
              <w:overflowPunct/>
              <w:topLinePunct w:val="0"/>
              <w:autoSpaceDE w:val="0"/>
              <w:autoSpaceDN w:val="0"/>
              <w:bidi w:val="0"/>
              <w:adjustRightInd/>
              <w:snapToGrid w:val="0"/>
              <w:spacing w:line="400" w:lineRule="exact"/>
              <w:ind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衡量乙方人员服务的符合度及人员稳定性</w:t>
            </w:r>
          </w:p>
        </w:tc>
        <w:tc>
          <w:tcPr>
            <w:tcW w:w="1701" w:type="dxa"/>
            <w:shd w:val="clear" w:color="auto" w:fill="auto"/>
            <w:noWrap w:val="0"/>
            <w:vAlign w:val="center"/>
          </w:tcPr>
          <w:p w14:paraId="3B5E0ABE">
            <w:pPr>
              <w:keepNext w:val="0"/>
              <w:keepLines w:val="0"/>
              <w:pageBreakBefore w:val="0"/>
              <w:widowControl/>
              <w:kinsoku/>
              <w:wordWrap/>
              <w:overflowPunct/>
              <w:topLinePunct w:val="0"/>
              <w:autoSpaceDE w:val="0"/>
              <w:autoSpaceDN w:val="0"/>
              <w:bidi w:val="0"/>
              <w:adjustRightInd/>
              <w:snapToGrid w:val="0"/>
              <w:spacing w:line="400" w:lineRule="exact"/>
              <w:ind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投入人员情况符合投标文件或合同要求，乙方项目组人员变动比例不得高于30%</w:t>
            </w:r>
          </w:p>
        </w:tc>
        <w:tc>
          <w:tcPr>
            <w:tcW w:w="1842" w:type="dxa"/>
            <w:shd w:val="clear" w:color="auto" w:fill="auto"/>
            <w:noWrap w:val="0"/>
            <w:vAlign w:val="center"/>
          </w:tcPr>
          <w:p w14:paraId="00FC84B9">
            <w:pPr>
              <w:keepNext w:val="0"/>
              <w:keepLines w:val="0"/>
              <w:pageBreakBefore w:val="0"/>
              <w:widowControl/>
              <w:kinsoku/>
              <w:wordWrap/>
              <w:overflowPunct/>
              <w:topLinePunct w:val="0"/>
              <w:autoSpaceDE w:val="0"/>
              <w:autoSpaceDN w:val="0"/>
              <w:bidi w:val="0"/>
              <w:adjustRightInd/>
              <w:snapToGrid w:val="0"/>
              <w:spacing w:line="400" w:lineRule="exact"/>
              <w:ind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甲方按合同要求判定乙方人员投入及变动情况</w:t>
            </w:r>
          </w:p>
        </w:tc>
        <w:tc>
          <w:tcPr>
            <w:tcW w:w="1843" w:type="dxa"/>
            <w:shd w:val="clear" w:color="auto" w:fill="auto"/>
            <w:noWrap w:val="0"/>
            <w:vAlign w:val="center"/>
          </w:tcPr>
          <w:p w14:paraId="11CCC399">
            <w:pPr>
              <w:keepNext w:val="0"/>
              <w:keepLines w:val="0"/>
              <w:pageBreakBefore w:val="0"/>
              <w:widowControl/>
              <w:kinsoku/>
              <w:wordWrap/>
              <w:overflowPunct/>
              <w:topLinePunct w:val="0"/>
              <w:autoSpaceDE w:val="0"/>
              <w:autoSpaceDN w:val="0"/>
              <w:bidi w:val="0"/>
              <w:adjustRightInd/>
              <w:snapToGrid w:val="0"/>
              <w:spacing w:line="400" w:lineRule="exact"/>
              <w:ind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人员数量差异=承诺人数-实际人数</w:t>
            </w:r>
          </w:p>
          <w:p w14:paraId="33AE118E">
            <w:pPr>
              <w:keepNext w:val="0"/>
              <w:keepLines w:val="0"/>
              <w:pageBreakBefore w:val="0"/>
              <w:widowControl/>
              <w:kinsoku/>
              <w:wordWrap/>
              <w:overflowPunct/>
              <w:topLinePunct w:val="0"/>
              <w:autoSpaceDE w:val="0"/>
              <w:autoSpaceDN w:val="0"/>
              <w:bidi w:val="0"/>
              <w:adjustRightInd/>
              <w:snapToGrid w:val="0"/>
              <w:spacing w:line="400" w:lineRule="exact"/>
              <w:ind w:left="105"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人员变动率=人员变动人数/原项目组人员总人数（人员数量差异≤2；人咨询骨干专家不得变动；咨询人员变动率≤30%）</w:t>
            </w:r>
          </w:p>
        </w:tc>
        <w:tc>
          <w:tcPr>
            <w:tcW w:w="1843" w:type="dxa"/>
            <w:shd w:val="clear" w:color="auto" w:fill="auto"/>
            <w:noWrap w:val="0"/>
            <w:vAlign w:val="center"/>
          </w:tcPr>
          <w:p w14:paraId="16B28867">
            <w:pPr>
              <w:keepNext w:val="0"/>
              <w:keepLines w:val="0"/>
              <w:pageBreakBefore w:val="0"/>
              <w:widowControl/>
              <w:kinsoku/>
              <w:wordWrap/>
              <w:overflowPunct/>
              <w:topLinePunct w:val="0"/>
              <w:autoSpaceDE w:val="0"/>
              <w:autoSpaceDN w:val="0"/>
              <w:bidi w:val="0"/>
              <w:adjustRightInd/>
              <w:snapToGrid w:val="0"/>
              <w:spacing w:line="400" w:lineRule="exact"/>
              <w:ind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咨询专家变动扣除专家人月单价（至少不低于5万元），咨询人员变动高于超过30%，扣除合同金额10%</w:t>
            </w:r>
          </w:p>
        </w:tc>
      </w:tr>
      <w:tr w14:paraId="43C9E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567" w:type="dxa"/>
            <w:shd w:val="clear" w:color="auto" w:fill="auto"/>
            <w:noWrap w:val="0"/>
            <w:vAlign w:val="center"/>
          </w:tcPr>
          <w:p w14:paraId="507BA5EE">
            <w:pPr>
              <w:keepNext w:val="0"/>
              <w:keepLines w:val="0"/>
              <w:pageBreakBefore w:val="0"/>
              <w:widowControl/>
              <w:kinsoku/>
              <w:wordWrap/>
              <w:overflowPunct/>
              <w:topLinePunct w:val="0"/>
              <w:autoSpaceDE w:val="0"/>
              <w:autoSpaceDN w:val="0"/>
              <w:bidi w:val="0"/>
              <w:adjustRightInd/>
              <w:snapToGrid w:val="0"/>
              <w:spacing w:line="40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w:t>
            </w:r>
          </w:p>
        </w:tc>
        <w:tc>
          <w:tcPr>
            <w:tcW w:w="710" w:type="dxa"/>
            <w:shd w:val="clear" w:color="auto" w:fill="auto"/>
            <w:noWrap w:val="0"/>
            <w:vAlign w:val="center"/>
          </w:tcPr>
          <w:p w14:paraId="6FB7709A">
            <w:pPr>
              <w:keepNext w:val="0"/>
              <w:keepLines w:val="0"/>
              <w:pageBreakBefore w:val="0"/>
              <w:widowControl/>
              <w:kinsoku/>
              <w:wordWrap/>
              <w:overflowPunct/>
              <w:topLinePunct w:val="0"/>
              <w:autoSpaceDE w:val="0"/>
              <w:autoSpaceDN w:val="0"/>
              <w:bidi w:val="0"/>
              <w:adjustRightInd/>
              <w:snapToGrid w:val="0"/>
              <w:spacing w:line="400" w:lineRule="exact"/>
              <w:ind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人员异常退出</w:t>
            </w:r>
          </w:p>
        </w:tc>
        <w:tc>
          <w:tcPr>
            <w:tcW w:w="1134" w:type="dxa"/>
            <w:shd w:val="clear" w:color="auto" w:fill="auto"/>
            <w:noWrap w:val="0"/>
            <w:vAlign w:val="center"/>
          </w:tcPr>
          <w:p w14:paraId="05BBA3EC">
            <w:pPr>
              <w:keepNext w:val="0"/>
              <w:keepLines w:val="0"/>
              <w:pageBreakBefore w:val="0"/>
              <w:widowControl/>
              <w:kinsoku/>
              <w:wordWrap/>
              <w:overflowPunct/>
              <w:topLinePunct w:val="0"/>
              <w:autoSpaceDE w:val="0"/>
              <w:autoSpaceDN w:val="0"/>
              <w:bidi w:val="0"/>
              <w:adjustRightInd/>
              <w:snapToGrid w:val="0"/>
              <w:spacing w:line="400" w:lineRule="exact"/>
              <w:ind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衡量乙方人员是否提供持续服务</w:t>
            </w:r>
          </w:p>
        </w:tc>
        <w:tc>
          <w:tcPr>
            <w:tcW w:w="1701" w:type="dxa"/>
            <w:shd w:val="clear" w:color="auto" w:fill="auto"/>
            <w:noWrap w:val="0"/>
            <w:vAlign w:val="center"/>
          </w:tcPr>
          <w:p w14:paraId="3C349498">
            <w:pPr>
              <w:keepNext w:val="0"/>
              <w:keepLines w:val="0"/>
              <w:pageBreakBefore w:val="0"/>
              <w:widowControl/>
              <w:kinsoku/>
              <w:wordWrap/>
              <w:overflowPunct/>
              <w:topLinePunct w:val="0"/>
              <w:autoSpaceDE w:val="0"/>
              <w:autoSpaceDN w:val="0"/>
              <w:bidi w:val="0"/>
              <w:adjustRightInd/>
              <w:snapToGrid w:val="0"/>
              <w:spacing w:line="400" w:lineRule="exact"/>
              <w:ind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未经甲方同意，乙方人员辞职和离职或无计划的调离项目组</w:t>
            </w:r>
          </w:p>
        </w:tc>
        <w:tc>
          <w:tcPr>
            <w:tcW w:w="1842" w:type="dxa"/>
            <w:shd w:val="clear" w:color="auto" w:fill="auto"/>
            <w:noWrap w:val="0"/>
            <w:vAlign w:val="center"/>
          </w:tcPr>
          <w:p w14:paraId="015EAE09">
            <w:pPr>
              <w:keepNext w:val="0"/>
              <w:keepLines w:val="0"/>
              <w:pageBreakBefore w:val="0"/>
              <w:widowControl/>
              <w:kinsoku/>
              <w:wordWrap/>
              <w:overflowPunct/>
              <w:topLinePunct w:val="0"/>
              <w:autoSpaceDE w:val="0"/>
              <w:autoSpaceDN w:val="0"/>
              <w:bidi w:val="0"/>
              <w:adjustRightInd/>
              <w:snapToGrid w:val="0"/>
              <w:spacing w:line="400" w:lineRule="exact"/>
              <w:ind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甲方根据乙方人员退出的具体时间和原因测算</w:t>
            </w:r>
          </w:p>
        </w:tc>
        <w:tc>
          <w:tcPr>
            <w:tcW w:w="1843" w:type="dxa"/>
            <w:shd w:val="clear" w:color="auto" w:fill="auto"/>
            <w:noWrap w:val="0"/>
            <w:vAlign w:val="center"/>
          </w:tcPr>
          <w:p w14:paraId="493DAD5E">
            <w:pPr>
              <w:keepNext w:val="0"/>
              <w:keepLines w:val="0"/>
              <w:pageBreakBefore w:val="0"/>
              <w:widowControl/>
              <w:kinsoku/>
              <w:wordWrap/>
              <w:overflowPunct/>
              <w:topLinePunct w:val="0"/>
              <w:autoSpaceDE w:val="0"/>
              <w:autoSpaceDN w:val="0"/>
              <w:bidi w:val="0"/>
              <w:adjustRightInd/>
              <w:snapToGrid w:val="0"/>
              <w:spacing w:line="400" w:lineRule="exact"/>
              <w:ind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人员异常退出次数=0</w:t>
            </w:r>
          </w:p>
        </w:tc>
        <w:tc>
          <w:tcPr>
            <w:tcW w:w="1843" w:type="dxa"/>
            <w:shd w:val="clear" w:color="auto" w:fill="auto"/>
            <w:noWrap w:val="0"/>
            <w:vAlign w:val="center"/>
          </w:tcPr>
          <w:p w14:paraId="29F55084">
            <w:pPr>
              <w:keepNext w:val="0"/>
              <w:keepLines w:val="0"/>
              <w:pageBreakBefore w:val="0"/>
              <w:widowControl/>
              <w:kinsoku/>
              <w:wordWrap/>
              <w:overflowPunct/>
              <w:topLinePunct w:val="0"/>
              <w:autoSpaceDE w:val="0"/>
              <w:autoSpaceDN w:val="0"/>
              <w:bidi w:val="0"/>
              <w:adjustRightInd/>
              <w:snapToGrid w:val="0"/>
              <w:spacing w:line="400" w:lineRule="exact"/>
              <w:ind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每次人员异常退出扣除乙方金额人民币1000元</w:t>
            </w:r>
          </w:p>
        </w:tc>
      </w:tr>
      <w:tr w14:paraId="3E0A6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jc w:val="center"/>
        </w:trPr>
        <w:tc>
          <w:tcPr>
            <w:tcW w:w="567" w:type="dxa"/>
            <w:shd w:val="clear" w:color="auto" w:fill="auto"/>
            <w:noWrap w:val="0"/>
            <w:vAlign w:val="center"/>
          </w:tcPr>
          <w:p w14:paraId="07D7C37A">
            <w:pPr>
              <w:keepNext w:val="0"/>
              <w:keepLines w:val="0"/>
              <w:pageBreakBefore w:val="0"/>
              <w:widowControl/>
              <w:kinsoku/>
              <w:wordWrap/>
              <w:overflowPunct/>
              <w:topLinePunct w:val="0"/>
              <w:autoSpaceDE w:val="0"/>
              <w:autoSpaceDN w:val="0"/>
              <w:bidi w:val="0"/>
              <w:adjustRightInd/>
              <w:snapToGrid w:val="0"/>
              <w:spacing w:line="40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w:t>
            </w:r>
          </w:p>
        </w:tc>
        <w:tc>
          <w:tcPr>
            <w:tcW w:w="710" w:type="dxa"/>
            <w:shd w:val="clear" w:color="auto" w:fill="auto"/>
            <w:noWrap w:val="0"/>
            <w:vAlign w:val="center"/>
          </w:tcPr>
          <w:p w14:paraId="541565DF">
            <w:pPr>
              <w:keepNext w:val="0"/>
              <w:keepLines w:val="0"/>
              <w:pageBreakBefore w:val="0"/>
              <w:widowControl/>
              <w:kinsoku/>
              <w:wordWrap/>
              <w:overflowPunct/>
              <w:topLinePunct w:val="0"/>
              <w:autoSpaceDE w:val="0"/>
              <w:autoSpaceDN w:val="0"/>
              <w:bidi w:val="0"/>
              <w:adjustRightInd/>
              <w:snapToGrid w:val="0"/>
              <w:spacing w:line="400" w:lineRule="exact"/>
              <w:ind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人员纪律性</w:t>
            </w:r>
          </w:p>
        </w:tc>
        <w:tc>
          <w:tcPr>
            <w:tcW w:w="1134" w:type="dxa"/>
            <w:shd w:val="clear" w:color="auto" w:fill="auto"/>
            <w:noWrap w:val="0"/>
            <w:vAlign w:val="center"/>
          </w:tcPr>
          <w:p w14:paraId="6EB119EF">
            <w:pPr>
              <w:keepNext w:val="0"/>
              <w:keepLines w:val="0"/>
              <w:pageBreakBefore w:val="0"/>
              <w:widowControl/>
              <w:kinsoku/>
              <w:wordWrap/>
              <w:overflowPunct/>
              <w:topLinePunct w:val="0"/>
              <w:autoSpaceDE w:val="0"/>
              <w:autoSpaceDN w:val="0"/>
              <w:bidi w:val="0"/>
              <w:adjustRightInd/>
              <w:snapToGrid w:val="0"/>
              <w:spacing w:line="400" w:lineRule="exact"/>
              <w:ind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衡量乙方人员是否遵守甲方的日常规章和操作规范</w:t>
            </w:r>
          </w:p>
        </w:tc>
        <w:tc>
          <w:tcPr>
            <w:tcW w:w="1701" w:type="dxa"/>
            <w:shd w:val="clear" w:color="auto" w:fill="auto"/>
            <w:noWrap w:val="0"/>
            <w:vAlign w:val="center"/>
          </w:tcPr>
          <w:p w14:paraId="2B2FCDCC">
            <w:pPr>
              <w:keepNext w:val="0"/>
              <w:keepLines w:val="0"/>
              <w:pageBreakBefore w:val="0"/>
              <w:widowControl/>
              <w:kinsoku/>
              <w:wordWrap/>
              <w:overflowPunct/>
              <w:topLinePunct w:val="0"/>
              <w:autoSpaceDE w:val="0"/>
              <w:autoSpaceDN w:val="0"/>
              <w:bidi w:val="0"/>
              <w:adjustRightInd/>
              <w:snapToGrid w:val="0"/>
              <w:spacing w:line="400" w:lineRule="exact"/>
              <w:ind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乙方人员不得违反甲方的各项规章制度和操作规范</w:t>
            </w:r>
          </w:p>
        </w:tc>
        <w:tc>
          <w:tcPr>
            <w:tcW w:w="1842" w:type="dxa"/>
            <w:shd w:val="clear" w:color="auto" w:fill="auto"/>
            <w:noWrap w:val="0"/>
            <w:vAlign w:val="center"/>
          </w:tcPr>
          <w:p w14:paraId="6D751B28">
            <w:pPr>
              <w:keepNext w:val="0"/>
              <w:keepLines w:val="0"/>
              <w:pageBreakBefore w:val="0"/>
              <w:widowControl/>
              <w:kinsoku/>
              <w:wordWrap/>
              <w:overflowPunct/>
              <w:topLinePunct w:val="0"/>
              <w:autoSpaceDE w:val="0"/>
              <w:autoSpaceDN w:val="0"/>
              <w:bidi w:val="0"/>
              <w:adjustRightInd/>
              <w:snapToGrid w:val="0"/>
              <w:spacing w:line="400" w:lineRule="exact"/>
              <w:ind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甲方根据自身检查及其他管理部门的检查结果为依据统计乙方人员违规次数。</w:t>
            </w:r>
          </w:p>
        </w:tc>
        <w:tc>
          <w:tcPr>
            <w:tcW w:w="1843" w:type="dxa"/>
            <w:shd w:val="clear" w:color="auto" w:fill="auto"/>
            <w:noWrap w:val="0"/>
            <w:vAlign w:val="center"/>
          </w:tcPr>
          <w:p w14:paraId="09EB9B5D">
            <w:pPr>
              <w:keepNext w:val="0"/>
              <w:keepLines w:val="0"/>
              <w:pageBreakBefore w:val="0"/>
              <w:widowControl/>
              <w:kinsoku/>
              <w:wordWrap/>
              <w:overflowPunct/>
              <w:topLinePunct w:val="0"/>
              <w:autoSpaceDE w:val="0"/>
              <w:autoSpaceDN w:val="0"/>
              <w:bidi w:val="0"/>
              <w:adjustRightInd/>
              <w:snapToGrid w:val="0"/>
              <w:spacing w:line="400" w:lineRule="exact"/>
              <w:ind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人员违规次数=0次</w:t>
            </w:r>
          </w:p>
        </w:tc>
        <w:tc>
          <w:tcPr>
            <w:tcW w:w="1843" w:type="dxa"/>
            <w:shd w:val="clear" w:color="auto" w:fill="auto"/>
            <w:noWrap w:val="0"/>
            <w:vAlign w:val="center"/>
          </w:tcPr>
          <w:p w14:paraId="33BC565E">
            <w:pPr>
              <w:keepNext w:val="0"/>
              <w:keepLines w:val="0"/>
              <w:pageBreakBefore w:val="0"/>
              <w:widowControl/>
              <w:kinsoku/>
              <w:wordWrap/>
              <w:overflowPunct/>
              <w:topLinePunct w:val="0"/>
              <w:autoSpaceDE w:val="0"/>
              <w:autoSpaceDN w:val="0"/>
              <w:bidi w:val="0"/>
              <w:adjustRightInd/>
              <w:snapToGrid w:val="0"/>
              <w:spacing w:line="400" w:lineRule="exact"/>
              <w:ind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乙方人员违规每次扣除乙方金额人民币500元</w:t>
            </w:r>
          </w:p>
        </w:tc>
      </w:tr>
      <w:tr w14:paraId="196E6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jc w:val="center"/>
        </w:trPr>
        <w:tc>
          <w:tcPr>
            <w:tcW w:w="567" w:type="dxa"/>
            <w:shd w:val="clear" w:color="auto" w:fill="auto"/>
            <w:noWrap w:val="0"/>
            <w:vAlign w:val="center"/>
          </w:tcPr>
          <w:p w14:paraId="741AFF9A">
            <w:pPr>
              <w:keepNext w:val="0"/>
              <w:keepLines w:val="0"/>
              <w:pageBreakBefore w:val="0"/>
              <w:widowControl/>
              <w:kinsoku/>
              <w:wordWrap/>
              <w:overflowPunct/>
              <w:topLinePunct w:val="0"/>
              <w:autoSpaceDE w:val="0"/>
              <w:autoSpaceDN w:val="0"/>
              <w:bidi w:val="0"/>
              <w:adjustRightInd/>
              <w:snapToGrid w:val="0"/>
              <w:spacing w:line="40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w:t>
            </w:r>
          </w:p>
        </w:tc>
        <w:tc>
          <w:tcPr>
            <w:tcW w:w="710" w:type="dxa"/>
            <w:shd w:val="clear" w:color="auto" w:fill="auto"/>
            <w:noWrap w:val="0"/>
            <w:vAlign w:val="center"/>
          </w:tcPr>
          <w:p w14:paraId="7FB49070">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网络安全事件</w:t>
            </w:r>
          </w:p>
        </w:tc>
        <w:tc>
          <w:tcPr>
            <w:tcW w:w="1134" w:type="dxa"/>
            <w:shd w:val="clear" w:color="auto" w:fill="auto"/>
            <w:noWrap w:val="0"/>
            <w:vAlign w:val="center"/>
          </w:tcPr>
          <w:p w14:paraId="66C2712D">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控制网络安全风险</w:t>
            </w:r>
          </w:p>
        </w:tc>
        <w:tc>
          <w:tcPr>
            <w:tcW w:w="1701" w:type="dxa"/>
            <w:shd w:val="clear" w:color="auto" w:fill="auto"/>
            <w:noWrap w:val="0"/>
            <w:vAlign w:val="center"/>
          </w:tcPr>
          <w:p w14:paraId="2810BC56">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不得因乙方原因（含乙方合作的第三方）导致甲方发生网络安全事件</w:t>
            </w:r>
          </w:p>
        </w:tc>
        <w:tc>
          <w:tcPr>
            <w:tcW w:w="1842" w:type="dxa"/>
            <w:shd w:val="clear" w:color="auto" w:fill="auto"/>
            <w:noWrap w:val="0"/>
            <w:vAlign w:val="center"/>
          </w:tcPr>
          <w:p w14:paraId="69B09420">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甲方根据监管及本行要求及事件危害程度判定。</w:t>
            </w:r>
          </w:p>
        </w:tc>
        <w:tc>
          <w:tcPr>
            <w:tcW w:w="1843" w:type="dxa"/>
            <w:shd w:val="clear" w:color="auto" w:fill="auto"/>
            <w:noWrap w:val="0"/>
            <w:vAlign w:val="center"/>
          </w:tcPr>
          <w:p w14:paraId="7982551A">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网络安全事件=0</w:t>
            </w:r>
          </w:p>
        </w:tc>
        <w:tc>
          <w:tcPr>
            <w:tcW w:w="1843" w:type="dxa"/>
            <w:shd w:val="clear" w:color="auto" w:fill="auto"/>
            <w:noWrap w:val="0"/>
            <w:vAlign w:val="center"/>
          </w:tcPr>
          <w:p w14:paraId="3C0FDE47">
            <w:pPr>
              <w:keepNext w:val="0"/>
              <w:keepLines w:val="0"/>
              <w:pageBreakBefore w:val="0"/>
              <w:widowControl/>
              <w:kinsoku/>
              <w:wordWrap/>
              <w:overflowPunct/>
              <w:topLinePunct w:val="0"/>
              <w:autoSpaceDE w:val="0"/>
              <w:autoSpaceDN w:val="0"/>
              <w:bidi w:val="0"/>
              <w:adjustRightInd/>
              <w:spacing w:line="400" w:lineRule="exact"/>
              <w:ind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每发生一次网络安全事件扣除乙方合同金额不低于3%,并要求乙方赔偿实际损失。</w:t>
            </w:r>
          </w:p>
        </w:tc>
      </w:tr>
      <w:tr w14:paraId="7871C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67" w:type="dxa"/>
            <w:shd w:val="clear" w:color="auto" w:fill="auto"/>
            <w:noWrap/>
            <w:vAlign w:val="center"/>
          </w:tcPr>
          <w:p w14:paraId="4F36C7A2">
            <w:pPr>
              <w:keepNext w:val="0"/>
              <w:keepLines w:val="0"/>
              <w:pageBreakBefore w:val="0"/>
              <w:widowControl/>
              <w:kinsoku/>
              <w:wordWrap/>
              <w:overflowPunct/>
              <w:topLinePunct w:val="0"/>
              <w:autoSpaceDE w:val="0"/>
              <w:autoSpaceDN w:val="0"/>
              <w:bidi w:val="0"/>
              <w:adjustRightInd/>
              <w:snapToGrid w:val="0"/>
              <w:spacing w:line="40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w:t>
            </w:r>
          </w:p>
        </w:tc>
        <w:tc>
          <w:tcPr>
            <w:tcW w:w="710" w:type="dxa"/>
            <w:shd w:val="clear" w:color="auto" w:fill="auto"/>
            <w:noWrap w:val="0"/>
            <w:vAlign w:val="center"/>
          </w:tcPr>
          <w:p w14:paraId="7EC36F03">
            <w:pPr>
              <w:keepNext w:val="0"/>
              <w:keepLines w:val="0"/>
              <w:pageBreakBefore w:val="0"/>
              <w:widowControl/>
              <w:kinsoku/>
              <w:wordWrap/>
              <w:overflowPunct/>
              <w:topLinePunct w:val="0"/>
              <w:autoSpaceDE w:val="0"/>
              <w:autoSpaceDN w:val="0"/>
              <w:bidi w:val="0"/>
              <w:adjustRightInd/>
              <w:snapToGrid w:val="0"/>
              <w:spacing w:line="400" w:lineRule="exact"/>
              <w:ind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外包安全事件</w:t>
            </w:r>
          </w:p>
        </w:tc>
        <w:tc>
          <w:tcPr>
            <w:tcW w:w="1134" w:type="dxa"/>
            <w:shd w:val="clear" w:color="auto" w:fill="auto"/>
            <w:noWrap w:val="0"/>
            <w:vAlign w:val="center"/>
          </w:tcPr>
          <w:p w14:paraId="794398BB">
            <w:pPr>
              <w:keepNext w:val="0"/>
              <w:keepLines w:val="0"/>
              <w:pageBreakBefore w:val="0"/>
              <w:widowControl/>
              <w:kinsoku/>
              <w:wordWrap/>
              <w:overflowPunct/>
              <w:topLinePunct w:val="0"/>
              <w:autoSpaceDE w:val="0"/>
              <w:autoSpaceDN w:val="0"/>
              <w:bidi w:val="0"/>
              <w:adjustRightInd/>
              <w:snapToGrid w:val="0"/>
              <w:spacing w:line="400" w:lineRule="exact"/>
              <w:ind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控制外包操作风险</w:t>
            </w:r>
          </w:p>
        </w:tc>
        <w:tc>
          <w:tcPr>
            <w:tcW w:w="1701" w:type="dxa"/>
            <w:shd w:val="clear" w:color="auto" w:fill="auto"/>
            <w:noWrap w:val="0"/>
            <w:vAlign w:val="center"/>
          </w:tcPr>
          <w:p w14:paraId="1866CE2C">
            <w:pPr>
              <w:keepNext w:val="0"/>
              <w:keepLines w:val="0"/>
              <w:pageBreakBefore w:val="0"/>
              <w:widowControl/>
              <w:kinsoku/>
              <w:wordWrap/>
              <w:overflowPunct/>
              <w:topLinePunct w:val="0"/>
              <w:autoSpaceDE w:val="0"/>
              <w:autoSpaceDN w:val="0"/>
              <w:bidi w:val="0"/>
              <w:adjustRightInd/>
              <w:snapToGrid w:val="0"/>
              <w:spacing w:line="400" w:lineRule="exact"/>
              <w:ind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乙方不得出现危害甲方生产运行安全、数据安全等外包安全事件。</w:t>
            </w:r>
          </w:p>
        </w:tc>
        <w:tc>
          <w:tcPr>
            <w:tcW w:w="1842" w:type="dxa"/>
            <w:shd w:val="clear" w:color="auto" w:fill="auto"/>
            <w:noWrap w:val="0"/>
            <w:vAlign w:val="center"/>
          </w:tcPr>
          <w:p w14:paraId="520A8F61">
            <w:pPr>
              <w:keepNext w:val="0"/>
              <w:keepLines w:val="0"/>
              <w:pageBreakBefore w:val="0"/>
              <w:widowControl/>
              <w:kinsoku/>
              <w:wordWrap/>
              <w:overflowPunct/>
              <w:topLinePunct w:val="0"/>
              <w:autoSpaceDE w:val="0"/>
              <w:autoSpaceDN w:val="0"/>
              <w:bidi w:val="0"/>
              <w:adjustRightInd/>
              <w:snapToGrid w:val="0"/>
              <w:spacing w:line="400" w:lineRule="exact"/>
              <w:ind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甲方根据监管要求及时间的危害程度判定</w:t>
            </w:r>
          </w:p>
        </w:tc>
        <w:tc>
          <w:tcPr>
            <w:tcW w:w="1843" w:type="dxa"/>
            <w:shd w:val="clear" w:color="auto" w:fill="auto"/>
            <w:noWrap w:val="0"/>
            <w:vAlign w:val="center"/>
          </w:tcPr>
          <w:p w14:paraId="1F96027D">
            <w:pPr>
              <w:keepNext w:val="0"/>
              <w:keepLines w:val="0"/>
              <w:pageBreakBefore w:val="0"/>
              <w:widowControl/>
              <w:kinsoku/>
              <w:wordWrap/>
              <w:overflowPunct/>
              <w:topLinePunct w:val="0"/>
              <w:autoSpaceDE w:val="0"/>
              <w:autoSpaceDN w:val="0"/>
              <w:bidi w:val="0"/>
              <w:adjustRightInd/>
              <w:snapToGrid w:val="0"/>
              <w:spacing w:line="400" w:lineRule="exact"/>
              <w:ind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根据甲方监管要求定义的安全事件，包括造成办公环境物理安全隐患，破坏测试环境数据，在生产运营系统上违反规定进行数据操作或在实施过程中留下信息系统后门等行为。（外包安全事件=0）</w:t>
            </w:r>
          </w:p>
        </w:tc>
        <w:tc>
          <w:tcPr>
            <w:tcW w:w="1843" w:type="dxa"/>
            <w:shd w:val="clear" w:color="auto" w:fill="auto"/>
            <w:noWrap w:val="0"/>
            <w:vAlign w:val="center"/>
          </w:tcPr>
          <w:p w14:paraId="5C4413BA">
            <w:pPr>
              <w:keepNext w:val="0"/>
              <w:keepLines w:val="0"/>
              <w:pageBreakBefore w:val="0"/>
              <w:widowControl/>
              <w:kinsoku/>
              <w:wordWrap/>
              <w:overflowPunct/>
              <w:topLinePunct w:val="0"/>
              <w:autoSpaceDE w:val="0"/>
              <w:autoSpaceDN w:val="0"/>
              <w:bidi w:val="0"/>
              <w:adjustRightInd/>
              <w:snapToGrid w:val="0"/>
              <w:spacing w:line="400" w:lineRule="exact"/>
              <w:ind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每次事件扣除乙方金额不低于人民币1000元，并要求乙方赔偿实际损失。</w:t>
            </w:r>
          </w:p>
        </w:tc>
      </w:tr>
      <w:tr w14:paraId="2472C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567" w:type="dxa"/>
            <w:shd w:val="clear" w:color="auto" w:fill="auto"/>
            <w:noWrap/>
            <w:vAlign w:val="center"/>
          </w:tcPr>
          <w:p w14:paraId="13273C54">
            <w:pPr>
              <w:keepNext w:val="0"/>
              <w:keepLines w:val="0"/>
              <w:pageBreakBefore w:val="0"/>
              <w:widowControl/>
              <w:kinsoku/>
              <w:wordWrap/>
              <w:overflowPunct/>
              <w:topLinePunct w:val="0"/>
              <w:autoSpaceDE w:val="0"/>
              <w:autoSpaceDN w:val="0"/>
              <w:bidi w:val="0"/>
              <w:adjustRightInd/>
              <w:snapToGrid w:val="0"/>
              <w:spacing w:line="40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合计</w:t>
            </w:r>
          </w:p>
        </w:tc>
        <w:tc>
          <w:tcPr>
            <w:tcW w:w="710" w:type="dxa"/>
            <w:shd w:val="clear" w:color="auto" w:fill="auto"/>
            <w:noWrap/>
            <w:vAlign w:val="center"/>
          </w:tcPr>
          <w:p w14:paraId="6BE6409B">
            <w:pPr>
              <w:keepNext w:val="0"/>
              <w:keepLines w:val="0"/>
              <w:pageBreakBefore w:val="0"/>
              <w:widowControl/>
              <w:kinsoku/>
              <w:wordWrap/>
              <w:overflowPunct/>
              <w:topLinePunct w:val="0"/>
              <w:autoSpaceDE w:val="0"/>
              <w:autoSpaceDN w:val="0"/>
              <w:bidi w:val="0"/>
              <w:adjustRightInd/>
              <w:snapToGrid w:val="0"/>
              <w:spacing w:line="400" w:lineRule="exact"/>
              <w:ind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SLA满足率</w:t>
            </w:r>
          </w:p>
        </w:tc>
        <w:tc>
          <w:tcPr>
            <w:tcW w:w="1134" w:type="dxa"/>
            <w:shd w:val="clear" w:color="auto" w:fill="auto"/>
            <w:noWrap/>
            <w:vAlign w:val="center"/>
          </w:tcPr>
          <w:p w14:paraId="52807844">
            <w:pPr>
              <w:keepNext w:val="0"/>
              <w:keepLines w:val="0"/>
              <w:pageBreakBefore w:val="0"/>
              <w:widowControl/>
              <w:kinsoku/>
              <w:wordWrap/>
              <w:overflowPunct/>
              <w:topLinePunct w:val="0"/>
              <w:autoSpaceDE w:val="0"/>
              <w:autoSpaceDN w:val="0"/>
              <w:bidi w:val="0"/>
              <w:adjustRightInd/>
              <w:snapToGrid w:val="0"/>
              <w:spacing w:line="400" w:lineRule="exact"/>
              <w:ind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此数据是衡量满足要求的SLA个数与整体SLA个数的百分之整体的比率</w:t>
            </w:r>
          </w:p>
        </w:tc>
        <w:tc>
          <w:tcPr>
            <w:tcW w:w="1701" w:type="dxa"/>
            <w:shd w:val="clear" w:color="auto" w:fill="auto"/>
            <w:noWrap/>
            <w:vAlign w:val="center"/>
          </w:tcPr>
          <w:p w14:paraId="7649D077">
            <w:pPr>
              <w:keepNext w:val="0"/>
              <w:keepLines w:val="0"/>
              <w:pageBreakBefore w:val="0"/>
              <w:widowControl/>
              <w:kinsoku/>
              <w:wordWrap/>
              <w:overflowPunct/>
              <w:topLinePunct w:val="0"/>
              <w:autoSpaceDE w:val="0"/>
              <w:autoSpaceDN w:val="0"/>
              <w:bidi w:val="0"/>
              <w:adjustRightInd/>
              <w:snapToGrid w:val="0"/>
              <w:spacing w:line="400" w:lineRule="exact"/>
              <w:ind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衡量乙方达到要求的SLA占全部SLA的百分比。</w:t>
            </w:r>
          </w:p>
        </w:tc>
        <w:tc>
          <w:tcPr>
            <w:tcW w:w="1842" w:type="dxa"/>
            <w:shd w:val="clear" w:color="auto" w:fill="auto"/>
            <w:noWrap/>
            <w:vAlign w:val="center"/>
          </w:tcPr>
          <w:p w14:paraId="2827924B">
            <w:pPr>
              <w:keepNext w:val="0"/>
              <w:keepLines w:val="0"/>
              <w:pageBreakBefore w:val="0"/>
              <w:widowControl/>
              <w:kinsoku/>
              <w:wordWrap/>
              <w:overflowPunct/>
              <w:topLinePunct w:val="0"/>
              <w:autoSpaceDE w:val="0"/>
              <w:autoSpaceDN w:val="0"/>
              <w:bidi w:val="0"/>
              <w:adjustRightInd/>
              <w:snapToGrid w:val="0"/>
              <w:spacing w:line="400" w:lineRule="exact"/>
              <w:ind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为了这个度量报告，需要持续汇报SOW中所有SLA情况。</w:t>
            </w:r>
          </w:p>
        </w:tc>
        <w:tc>
          <w:tcPr>
            <w:tcW w:w="1843" w:type="dxa"/>
            <w:shd w:val="clear" w:color="auto" w:fill="auto"/>
            <w:noWrap/>
            <w:vAlign w:val="center"/>
          </w:tcPr>
          <w:p w14:paraId="0591EB1D">
            <w:pPr>
              <w:keepNext w:val="0"/>
              <w:keepLines w:val="0"/>
              <w:pageBreakBefore w:val="0"/>
              <w:widowControl/>
              <w:kinsoku/>
              <w:wordWrap/>
              <w:overflowPunct/>
              <w:topLinePunct w:val="0"/>
              <w:autoSpaceDE w:val="0"/>
              <w:autoSpaceDN w:val="0"/>
              <w:bidi w:val="0"/>
              <w:adjustRightInd/>
              <w:snapToGrid w:val="0"/>
              <w:spacing w:line="400" w:lineRule="exact"/>
              <w:ind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SLA满足率＝（满足SLA的个数/总体SLA的个数）×100%（SLA满足率≥70%）</w:t>
            </w:r>
          </w:p>
        </w:tc>
        <w:tc>
          <w:tcPr>
            <w:tcW w:w="1843" w:type="dxa"/>
            <w:shd w:val="clear" w:color="auto" w:fill="auto"/>
            <w:noWrap/>
            <w:vAlign w:val="center"/>
          </w:tcPr>
          <w:p w14:paraId="505EC670">
            <w:pPr>
              <w:keepNext w:val="0"/>
              <w:keepLines w:val="0"/>
              <w:pageBreakBefore w:val="0"/>
              <w:widowControl/>
              <w:kinsoku/>
              <w:wordWrap/>
              <w:overflowPunct/>
              <w:topLinePunct w:val="0"/>
              <w:autoSpaceDE w:val="0"/>
              <w:autoSpaceDN w:val="0"/>
              <w:bidi w:val="0"/>
              <w:adjustRightInd/>
              <w:snapToGrid w:val="0"/>
              <w:spacing w:line="400" w:lineRule="exact"/>
              <w:ind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SLA满足率每低于标准5%，扣除合同金额的1%</w:t>
            </w:r>
          </w:p>
        </w:tc>
      </w:tr>
    </w:tbl>
    <w:p w14:paraId="2E1AF49C">
      <w:pPr>
        <w:rPr>
          <w:rFonts w:hint="default" w:ascii="Times New Roman" w:hAnsi="Times New Roman" w:cs="Times New Roman"/>
          <w:color w:val="auto"/>
          <w:highlight w:val="none"/>
        </w:rPr>
      </w:pPr>
    </w:p>
    <w:p w14:paraId="763C1DE0">
      <w:pPr>
        <w:rPr>
          <w:rFonts w:hint="default" w:ascii="Times New Roman" w:hAnsi="Times New Roman" w:cs="Times New Roman"/>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5DB84E6D">
      <w:pPr>
        <w:rPr>
          <w:rFonts w:hint="default" w:ascii="Times New Roman" w:hAnsi="Times New Roman" w:cs="Times New Roman"/>
          <w:color w:val="auto"/>
          <w:highlight w:val="none"/>
        </w:rPr>
      </w:pPr>
    </w:p>
    <w:p w14:paraId="2E7FF0D8">
      <w:pPr>
        <w:pStyle w:val="34"/>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七</w:t>
      </w:r>
      <w:r>
        <w:rPr>
          <w:rFonts w:hint="default" w:ascii="Times New Roman" w:hAnsi="Times New Roman" w:cs="Times New Roman"/>
          <w:color w:val="auto"/>
          <w:highlight w:val="none"/>
        </w:rPr>
        <w:t>、其他（如有</w:t>
      </w:r>
      <w:r>
        <w:rPr>
          <w:rFonts w:hint="eastAsia" w:ascii="Times New Roman" w:hAnsi="Times New Roman" w:cs="Times New Roman"/>
          <w:color w:val="auto"/>
          <w:highlight w:val="none"/>
          <w:lang w:eastAsia="zh-CN"/>
        </w:rPr>
        <w:t>）</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方正黑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3EC50">
    <w:pPr>
      <w:pStyle w:val="17"/>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74015" cy="381000"/>
              <wp:effectExtent l="0" t="0" r="0" b="0"/>
              <wp:wrapNone/>
              <wp:docPr id="1" name="文本框 1"/>
              <wp:cNvGraphicFramePr/>
              <a:graphic xmlns:a="http://schemas.openxmlformats.org/drawingml/2006/main">
                <a:graphicData uri="http://schemas.microsoft.com/office/word/2010/wordprocessingShape">
                  <wps:wsp>
                    <wps:cNvSpPr/>
                    <wps:spPr>
                      <a:xfrm>
                        <a:off x="0" y="0"/>
                        <a:ext cx="374042" cy="381000"/>
                      </a:xfrm>
                      <a:prstGeom prst="rect">
                        <a:avLst/>
                      </a:prstGeom>
                      <a:noFill/>
                      <a:ln w="6350" cap="flat" cmpd="sng">
                        <a:noFill/>
                        <a:prstDash val="solid"/>
                        <a:round/>
                      </a:ln>
                    </wps:spPr>
                    <wps:txbx>
                      <w:txbxContent>
                        <w:p w14:paraId="108AFEA0">
                          <w:pPr>
                            <w:pStyle w:val="17"/>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24</w:t>
                          </w:r>
                          <w:r>
                            <w:rPr>
                              <w:rFonts w:hint="default" w:ascii="Times New Roman" w:hAnsi="Times New Roman" w:cs="Times New Roman"/>
                            </w:rPr>
                            <w:fldChar w:fldCharType="end"/>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30pt;width:29.45pt;mso-position-horizontal:center;mso-position-horizontal-relative:margin;mso-wrap-style:none;z-index:251659264;mso-width-relative:page;mso-height-relative:page;" filled="f" stroked="f" coordsize="21600,21600" o:gfxdata="UEsDBAoAAAAAAIdO4kAAAAAAAAAAAAAAAAAEAAAAZHJzL1BLAwQUAAAACACHTuJA/WWCatcAAAAD&#10;AQAADwAAAGRycy9kb3ducmV2LnhtbE2PQUvDQBCF74L/YRnBS7G7LVhqzKQHRQWpB2MRvG2z02xo&#10;djZmt0ntr3f1opeBx3u8902+OrpWDNSHxjPCbKpAEFfeNFwjbN4erpYgQtRsdOuZEL4owKo4P8t1&#10;ZvzIrzSUsRaphEOmEWyMXSZlqCw5Haa+I07ezvdOxyT7Wppej6nctXKu1EI63XBasLqjO0vVvjw4&#10;hPX948f7xD6r+ctpsvNjuRk+n/aIlxczdQsi0jH+heEHP6FDkZi2/sAmiBYhPRJ/b/KulzcgtggL&#10;pUAWufzPXnwDUEsDBBQAAAAIAIdO4kDwDYPyBAIAAPQDAAAOAAAAZHJzL2Uyb0RvYy54bWytU0tu&#10;2zAQ3RfoHQjua8l2mgaG5SCokaJA0QZIewCaoiwC/GGGtuQeoL1BV91033P5HB1SshOkmyyykYbk&#10;8M28N4/L694atleA2ruKTyclZ8pJX2u3rfi3r7dvrjjDKFwtjHeq4geF/Hr1+tWyCws18603tQJG&#10;IA4XXah4G2NYFAXKVlmBEx+Uo8PGgxWRlrAtahAdoVtTzMrysug81AG8VIi0ux4O+YgIzwH0TaOl&#10;Wnu5s8rFARWUEZEoYasD8lXutmmUjF+aBlVkpuLENOYvFaF4k77FaikWWxCh1XJsQTynhSecrNCO&#10;ip6h1iIKtgP9H5TVEjz6Jk6kt8VAJCtCLKblE23uWxFU5kJSYziLji8HKz/v74DpmpzAmROWBn78&#10;9fP4++/xzw82TfJ0AReUdR/uYFwhhYlr34BNf2LB+izp4Syp6iOTtDl/d1FezDiTdDS/mpZllrx4&#10;uBwA4wflLUtBxYEmloUU+08YqSClnlJSLedvtTF5asaxruKX87c0SynIiQ05gEIbiA26bYZ5lJ9g&#10;1gJbthdkBvRG18P4we9cPZQyjiomxgPHFMV+04/EN74+kFr0eKjT1sN3zjqyTsUdvRTOzEdHk0ku&#10;OwVwCjanQDhJFytOjQ7h+zi4cRdAb1vCLXPfGG52kbhmCVIbQ+2xOzJDVmY0bnLb43XOenisq3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9ZYJq1wAAAAMBAAAPAAAAAAAAAAEAIAAAACIAAABkcnMv&#10;ZG93bnJldi54bWxQSwECFAAUAAAACACHTuJA8A2D8gQCAAD0AwAADgAAAAAAAAABACAAAAAmAQAA&#10;ZHJzL2Uyb0RvYy54bWxQSwUGAAAAAAYABgBZAQAAnAUAAAAA&#10;">
              <v:fill on="f" focussize="0,0"/>
              <v:stroke on="f" weight="0.5pt" joinstyle="round"/>
              <v:imagedata o:title=""/>
              <o:lock v:ext="edit" aspectratio="f"/>
              <v:textbox inset="0mm,0mm,0mm,0mm" style="mso-fit-shape-to-text:t;">
                <w:txbxContent>
                  <w:p w14:paraId="108AFEA0">
                    <w:pPr>
                      <w:pStyle w:val="17"/>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24</w:t>
                    </w:r>
                    <w:r>
                      <w:rPr>
                        <w:rFonts w:hint="default" w:ascii="Times New Roman" w:hAnsi="Times New Roman" w:cs="Times New Roman"/>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FB0FA">
    <w:pPr>
      <w:pStyle w:val="17"/>
      <w:jc w:val="center"/>
      <w:rPr>
        <w:rFonts w:hint="default" w:ascii="Times New Roman" w:hAnsi="Times New Roman" w:cs="Times New Roman"/>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PAGE</w:instrText>
    </w:r>
    <w:r>
      <w:rPr>
        <w:rFonts w:hint="default" w:ascii="Times New Roman" w:hAnsi="Times New Roman" w:cs="Times New Roman"/>
        <w:b w:val="0"/>
        <w:bCs/>
        <w:sz w:val="24"/>
        <w:szCs w:val="24"/>
      </w:rPr>
      <w:fldChar w:fldCharType="separate"/>
    </w:r>
    <w:r>
      <w:rPr>
        <w:rFonts w:hint="default" w:ascii="Times New Roman" w:hAnsi="Times New Roman" w:cs="Times New Roman"/>
        <w:b w:val="0"/>
        <w:bCs/>
      </w:rPr>
      <w:t>25</w:t>
    </w:r>
    <w:r>
      <w:rPr>
        <w:rFonts w:hint="default" w:ascii="Times New Roman" w:hAnsi="Times New Roman" w:cs="Times New Roman"/>
        <w:b w:val="0"/>
        <w:bCs/>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DB577">
    <w:pPr>
      <w:pStyle w:val="17"/>
      <w:framePr w:wrap="around" w:vAnchor="text" w:hAnchor="margin" w:xAlign="center" w:y="1"/>
      <w:rPr>
        <w:rStyle w:val="26"/>
      </w:rPr>
    </w:pPr>
    <w:r>
      <w:rPr>
        <w:rStyle w:val="26"/>
      </w:rPr>
      <w:fldChar w:fldCharType="begin"/>
    </w:r>
    <w:r>
      <w:rPr>
        <w:rStyle w:val="26"/>
      </w:rPr>
      <w:instrText xml:space="preserve">PAGE  </w:instrText>
    </w:r>
    <w:r>
      <w:fldChar w:fldCharType="end"/>
    </w:r>
  </w:p>
  <w:p w14:paraId="2FEE07C2">
    <w:pPr>
      <w:pStyle w:val="1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669CE">
    <w:pPr>
      <w:jc w:val="center"/>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1</w:t>
    </w:r>
    <w:r>
      <w:rPr>
        <w:sz w:val="18"/>
        <w:szCs w:val="18"/>
      </w:rPr>
      <w:fldChar w:fldCharType="end"/>
    </w:r>
    <w:r>
      <w:rPr>
        <w:sz w:val="18"/>
        <w:szCs w:val="18"/>
        <w:lang w:val="zh-CN"/>
      </w:rPr>
      <w:t xml:space="preserve"> / </w:t>
    </w:r>
    <w:r>
      <w:rPr>
        <w:sz w:val="18"/>
        <w:szCs w:val="18"/>
      </w:rPr>
      <w:fldChar w:fldCharType="begin"/>
    </w:r>
    <w:r>
      <w:rPr>
        <w:sz w:val="18"/>
        <w:szCs w:val="18"/>
      </w:rPr>
      <w:instrText xml:space="preserve"> NUMPAGES  </w:instrText>
    </w:r>
    <w:r>
      <w:rPr>
        <w:sz w:val="18"/>
        <w:szCs w:val="18"/>
      </w:rPr>
      <w:fldChar w:fldCharType="separate"/>
    </w:r>
    <w:r>
      <w:rPr>
        <w:sz w:val="18"/>
        <w:szCs w:val="18"/>
      </w:rPr>
      <w:t>30</w:t>
    </w:r>
    <w:r>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AFB30">
    <w:pPr>
      <w:pStyle w:val="18"/>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49870">
    <w:pPr>
      <w:pStyle w:val="18"/>
      <w:jc w:val="left"/>
    </w:pPr>
    <w:r>
      <w:rPr>
        <w:rFonts w:hint="eastAsia" w:ascii="宋体" w:eastAsia="宋体"/>
        <w:spacing w:val="0"/>
      </w:rPr>
      <w:t>重庆三峡银行XX系统（XX项目）外包开发合同商业秘密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123334"/>
    <w:multiLevelType w:val="singleLevel"/>
    <w:tmpl w:val="84123334"/>
    <w:lvl w:ilvl="0" w:tentative="0">
      <w:start w:val="1"/>
      <w:numFmt w:val="decimal"/>
      <w:suff w:val="nothing"/>
      <w:lvlText w:val="%1."/>
      <w:lvlJc w:val="left"/>
    </w:lvl>
  </w:abstractNum>
  <w:abstractNum w:abstractNumId="1">
    <w:nsid w:val="8C2743F9"/>
    <w:multiLevelType w:val="singleLevel"/>
    <w:tmpl w:val="8C2743F9"/>
    <w:lvl w:ilvl="0" w:tentative="0">
      <w:start w:val="1"/>
      <w:numFmt w:val="chineseCounting"/>
      <w:suff w:val="nothing"/>
      <w:lvlText w:val="%1、"/>
      <w:lvlJc w:val="left"/>
      <w:pPr>
        <w:ind w:left="0" w:firstLine="420"/>
      </w:pPr>
      <w:rPr>
        <w:rFonts w:hint="eastAsia"/>
      </w:rPr>
    </w:lvl>
  </w:abstractNum>
  <w:abstractNum w:abstractNumId="2">
    <w:nsid w:val="9D2E581E"/>
    <w:multiLevelType w:val="multilevel"/>
    <w:tmpl w:val="9D2E581E"/>
    <w:lvl w:ilvl="0" w:tentative="0">
      <w:start w:val="1"/>
      <w:numFmt w:val="decimal"/>
      <w:lvlText w:val="%1."/>
      <w:lvlJc w:val="left"/>
      <w:pPr>
        <w:ind w:left="425" w:hanging="425"/>
      </w:pPr>
      <w:rPr>
        <w:rFonts w:hint="default"/>
      </w:rPr>
    </w:lvl>
    <w:lvl w:ilvl="1" w:tentative="0">
      <w:start w:val="1"/>
      <w:numFmt w:val="decimal"/>
      <w:suff w:val="nothing"/>
      <w:lvlText w:val="%1.%2"/>
      <w:lvlJc w:val="left"/>
      <w:pPr>
        <w:ind w:left="850" w:hanging="453"/>
      </w:pPr>
      <w:rPr>
        <w:rFonts w:hint="default"/>
      </w:rPr>
    </w:lvl>
    <w:lvl w:ilvl="2" w:tentative="0">
      <w:start w:val="1"/>
      <w:numFmt w:val="decimal"/>
      <w:suff w:val="nothing"/>
      <w:lvlText w:val="%1.%2.%3"/>
      <w:lvlJc w:val="left"/>
      <w:pPr>
        <w:ind w:left="1508" w:hanging="708"/>
      </w:pPr>
      <w:rPr>
        <w:rFonts w:hint="default"/>
      </w:rPr>
    </w:lvl>
    <w:lvl w:ilvl="3" w:tentative="0">
      <w:start w:val="1"/>
      <w:numFmt w:val="decimal"/>
      <w:suff w:val="nothing"/>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3">
    <w:nsid w:val="9EE5A2C0"/>
    <w:multiLevelType w:val="singleLevel"/>
    <w:tmpl w:val="9EE5A2C0"/>
    <w:lvl w:ilvl="0" w:tentative="0">
      <w:start w:val="2"/>
      <w:numFmt w:val="chineseCounting"/>
      <w:suff w:val="nothing"/>
      <w:lvlText w:val="%1、"/>
      <w:lvlJc w:val="left"/>
      <w:rPr>
        <w:rFonts w:hint="eastAsia"/>
      </w:rPr>
    </w:lvl>
  </w:abstractNum>
  <w:abstractNum w:abstractNumId="4">
    <w:nsid w:val="9FD6BEA1"/>
    <w:multiLevelType w:val="singleLevel"/>
    <w:tmpl w:val="9FD6BEA1"/>
    <w:lvl w:ilvl="0" w:tentative="0">
      <w:start w:val="1"/>
      <w:numFmt w:val="decimal"/>
      <w:suff w:val="nothing"/>
      <w:lvlText w:val="%1）"/>
      <w:lvlJc w:val="left"/>
    </w:lvl>
  </w:abstractNum>
  <w:abstractNum w:abstractNumId="5">
    <w:nsid w:val="A76DABF8"/>
    <w:multiLevelType w:val="singleLevel"/>
    <w:tmpl w:val="A76DABF8"/>
    <w:lvl w:ilvl="0" w:tentative="0">
      <w:start w:val="1"/>
      <w:numFmt w:val="decimal"/>
      <w:suff w:val="nothing"/>
      <w:lvlText w:val="%1."/>
      <w:lvlJc w:val="left"/>
    </w:lvl>
  </w:abstractNum>
  <w:abstractNum w:abstractNumId="6">
    <w:nsid w:val="AB76A366"/>
    <w:multiLevelType w:val="singleLevel"/>
    <w:tmpl w:val="AB76A366"/>
    <w:lvl w:ilvl="0" w:tentative="0">
      <w:start w:val="1"/>
      <w:numFmt w:val="decimal"/>
      <w:suff w:val="nothing"/>
      <w:lvlText w:val="%1）"/>
      <w:lvlJc w:val="left"/>
    </w:lvl>
  </w:abstractNum>
  <w:abstractNum w:abstractNumId="7">
    <w:nsid w:val="B17E7007"/>
    <w:multiLevelType w:val="singleLevel"/>
    <w:tmpl w:val="B17E7007"/>
    <w:lvl w:ilvl="0" w:tentative="0">
      <w:start w:val="6"/>
      <w:numFmt w:val="chineseCounting"/>
      <w:suff w:val="nothing"/>
      <w:lvlText w:val="%1、"/>
      <w:lvlJc w:val="left"/>
      <w:rPr>
        <w:rFonts w:hint="eastAsia"/>
      </w:rPr>
    </w:lvl>
  </w:abstractNum>
  <w:abstractNum w:abstractNumId="8">
    <w:nsid w:val="B7FDB8F9"/>
    <w:multiLevelType w:val="singleLevel"/>
    <w:tmpl w:val="B7FDB8F9"/>
    <w:lvl w:ilvl="0" w:tentative="0">
      <w:start w:val="1"/>
      <w:numFmt w:val="decimal"/>
      <w:suff w:val="nothing"/>
      <w:lvlText w:val="（%1）"/>
      <w:lvlJc w:val="left"/>
    </w:lvl>
  </w:abstractNum>
  <w:abstractNum w:abstractNumId="9">
    <w:nsid w:val="B8547C24"/>
    <w:multiLevelType w:val="singleLevel"/>
    <w:tmpl w:val="B8547C24"/>
    <w:lvl w:ilvl="0" w:tentative="0">
      <w:start w:val="1"/>
      <w:numFmt w:val="decimal"/>
      <w:suff w:val="nothing"/>
      <w:lvlText w:val="%1）"/>
      <w:lvlJc w:val="left"/>
    </w:lvl>
  </w:abstractNum>
  <w:abstractNum w:abstractNumId="10">
    <w:nsid w:val="BDB47840"/>
    <w:multiLevelType w:val="singleLevel"/>
    <w:tmpl w:val="BDB47840"/>
    <w:lvl w:ilvl="0" w:tentative="0">
      <w:start w:val="1"/>
      <w:numFmt w:val="bullet"/>
      <w:lvlText w:val=""/>
      <w:lvlJc w:val="left"/>
      <w:pPr>
        <w:ind w:left="420" w:hanging="420"/>
      </w:pPr>
      <w:rPr>
        <w:rFonts w:hint="default" w:ascii="Wingdings" w:hAnsi="Wingdings"/>
        <w:sz w:val="18"/>
        <w:szCs w:val="18"/>
      </w:rPr>
    </w:lvl>
  </w:abstractNum>
  <w:abstractNum w:abstractNumId="11">
    <w:nsid w:val="C0D59572"/>
    <w:multiLevelType w:val="singleLevel"/>
    <w:tmpl w:val="C0D59572"/>
    <w:lvl w:ilvl="0" w:tentative="0">
      <w:start w:val="5"/>
      <w:numFmt w:val="chineseCounting"/>
      <w:suff w:val="nothing"/>
      <w:lvlText w:val="（%1）"/>
      <w:lvlJc w:val="left"/>
      <w:rPr>
        <w:rFonts w:hint="eastAsia"/>
      </w:rPr>
    </w:lvl>
  </w:abstractNum>
  <w:abstractNum w:abstractNumId="12">
    <w:nsid w:val="CA02DCB2"/>
    <w:multiLevelType w:val="singleLevel"/>
    <w:tmpl w:val="CA02DCB2"/>
    <w:lvl w:ilvl="0" w:tentative="0">
      <w:start w:val="1"/>
      <w:numFmt w:val="decimal"/>
      <w:suff w:val="nothing"/>
      <w:lvlText w:val="%1）"/>
      <w:lvlJc w:val="left"/>
      <w:rPr>
        <w:rFonts w:hint="default"/>
        <w:b w:val="0"/>
        <w:bCs w:val="0"/>
      </w:rPr>
    </w:lvl>
  </w:abstractNum>
  <w:abstractNum w:abstractNumId="13">
    <w:nsid w:val="D5198000"/>
    <w:multiLevelType w:val="singleLevel"/>
    <w:tmpl w:val="D5198000"/>
    <w:lvl w:ilvl="0" w:tentative="0">
      <w:start w:val="1"/>
      <w:numFmt w:val="decimal"/>
      <w:suff w:val="nothing"/>
      <w:lvlText w:val="（%1）"/>
      <w:lvlJc w:val="left"/>
    </w:lvl>
  </w:abstractNum>
  <w:abstractNum w:abstractNumId="14">
    <w:nsid w:val="D602C215"/>
    <w:multiLevelType w:val="singleLevel"/>
    <w:tmpl w:val="D602C215"/>
    <w:lvl w:ilvl="0" w:tentative="0">
      <w:start w:val="1"/>
      <w:numFmt w:val="decimal"/>
      <w:suff w:val="nothing"/>
      <w:lvlText w:val="%1）"/>
      <w:lvlJc w:val="left"/>
    </w:lvl>
  </w:abstractNum>
  <w:abstractNum w:abstractNumId="15">
    <w:nsid w:val="DA190193"/>
    <w:multiLevelType w:val="singleLevel"/>
    <w:tmpl w:val="DA190193"/>
    <w:lvl w:ilvl="0" w:tentative="0">
      <w:start w:val="1"/>
      <w:numFmt w:val="decimal"/>
      <w:suff w:val="nothing"/>
      <w:lvlText w:val="%1."/>
      <w:lvlJc w:val="left"/>
    </w:lvl>
  </w:abstractNum>
  <w:abstractNum w:abstractNumId="16">
    <w:nsid w:val="E0564493"/>
    <w:multiLevelType w:val="singleLevel"/>
    <w:tmpl w:val="E0564493"/>
    <w:lvl w:ilvl="0" w:tentative="0">
      <w:start w:val="1"/>
      <w:numFmt w:val="decimal"/>
      <w:suff w:val="nothing"/>
      <w:lvlText w:val="（%1）"/>
      <w:lvlJc w:val="left"/>
    </w:lvl>
  </w:abstractNum>
  <w:abstractNum w:abstractNumId="17">
    <w:nsid w:val="E9100A73"/>
    <w:multiLevelType w:val="singleLevel"/>
    <w:tmpl w:val="E9100A73"/>
    <w:lvl w:ilvl="0" w:tentative="0">
      <w:start w:val="2"/>
      <w:numFmt w:val="chineseCounting"/>
      <w:suff w:val="nothing"/>
      <w:lvlText w:val="（%1）"/>
      <w:lvlJc w:val="left"/>
      <w:rPr>
        <w:rFonts w:hint="eastAsia"/>
      </w:rPr>
    </w:lvl>
  </w:abstractNum>
  <w:abstractNum w:abstractNumId="18">
    <w:nsid w:val="F0F827B6"/>
    <w:multiLevelType w:val="singleLevel"/>
    <w:tmpl w:val="F0F827B6"/>
    <w:lvl w:ilvl="0" w:tentative="0">
      <w:start w:val="1"/>
      <w:numFmt w:val="decimal"/>
      <w:suff w:val="nothing"/>
      <w:lvlText w:val="%1"/>
      <w:lvlJc w:val="left"/>
      <w:pPr>
        <w:ind w:left="454" w:leftChars="0" w:hanging="454" w:firstLineChars="0"/>
      </w:pPr>
      <w:rPr>
        <w:rFonts w:hint="default"/>
      </w:rPr>
    </w:lvl>
  </w:abstractNum>
  <w:abstractNum w:abstractNumId="19">
    <w:nsid w:val="F593E0AD"/>
    <w:multiLevelType w:val="multilevel"/>
    <w:tmpl w:val="F593E0AD"/>
    <w:lvl w:ilvl="0" w:tentative="0">
      <w:start w:val="2"/>
      <w:numFmt w:val="decimal"/>
      <w:lvlText w:val="%1."/>
      <w:lvlJc w:val="left"/>
      <w:pPr>
        <w:tabs>
          <w:tab w:val="left" w:pos="420"/>
        </w:tabs>
        <w:ind w:left="425" w:hanging="425"/>
      </w:pPr>
      <w:rPr>
        <w:rFonts w:hint="default"/>
      </w:rPr>
    </w:lvl>
    <w:lvl w:ilvl="1" w:tentative="0">
      <w:start w:val="1"/>
      <w:numFmt w:val="decimal"/>
      <w:suff w:val="nothing"/>
      <w:lvlText w:val="%1.%2"/>
      <w:lvlJc w:val="left"/>
      <w:pPr>
        <w:tabs>
          <w:tab w:val="left" w:pos="420"/>
        </w:tabs>
        <w:ind w:left="850" w:hanging="453"/>
      </w:pPr>
      <w:rPr>
        <w:rFonts w:hint="default"/>
      </w:rPr>
    </w:lvl>
    <w:lvl w:ilvl="2" w:tentative="0">
      <w:start w:val="1"/>
      <w:numFmt w:val="decimal"/>
      <w:suff w:val="nothing"/>
      <w:lvlText w:val="%1.%2.%3"/>
      <w:lvlJc w:val="left"/>
      <w:pPr>
        <w:ind w:left="1508" w:hanging="708"/>
      </w:pPr>
      <w:rPr>
        <w:rFonts w:hint="default"/>
      </w:rPr>
    </w:lvl>
    <w:lvl w:ilvl="3" w:tentative="0">
      <w:start w:val="1"/>
      <w:numFmt w:val="decimal"/>
      <w:suff w:val="nothing"/>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0">
    <w:nsid w:val="F8770B4C"/>
    <w:multiLevelType w:val="singleLevel"/>
    <w:tmpl w:val="F8770B4C"/>
    <w:lvl w:ilvl="0" w:tentative="0">
      <w:start w:val="1"/>
      <w:numFmt w:val="decimal"/>
      <w:suff w:val="nothing"/>
      <w:lvlText w:val="%1."/>
      <w:lvlJc w:val="left"/>
    </w:lvl>
  </w:abstractNum>
  <w:abstractNum w:abstractNumId="21">
    <w:nsid w:val="F90FB16A"/>
    <w:multiLevelType w:val="singleLevel"/>
    <w:tmpl w:val="F90FB16A"/>
    <w:lvl w:ilvl="0" w:tentative="0">
      <w:start w:val="1"/>
      <w:numFmt w:val="chineseCounting"/>
      <w:suff w:val="nothing"/>
      <w:lvlText w:val="%1、"/>
      <w:lvlJc w:val="left"/>
      <w:pPr>
        <w:ind w:left="0" w:firstLine="420"/>
      </w:pPr>
      <w:rPr>
        <w:rFonts w:hint="eastAsia"/>
      </w:rPr>
    </w:lvl>
  </w:abstractNum>
  <w:abstractNum w:abstractNumId="22">
    <w:nsid w:val="F9209EFF"/>
    <w:multiLevelType w:val="singleLevel"/>
    <w:tmpl w:val="F9209EFF"/>
    <w:lvl w:ilvl="0" w:tentative="0">
      <w:start w:val="1"/>
      <w:numFmt w:val="decimal"/>
      <w:suff w:val="nothing"/>
      <w:lvlText w:val="%1."/>
      <w:lvlJc w:val="left"/>
    </w:lvl>
  </w:abstractNum>
  <w:abstractNum w:abstractNumId="23">
    <w:nsid w:val="FA2126B0"/>
    <w:multiLevelType w:val="singleLevel"/>
    <w:tmpl w:val="FA2126B0"/>
    <w:lvl w:ilvl="0" w:tentative="0">
      <w:start w:val="1"/>
      <w:numFmt w:val="decimal"/>
      <w:suff w:val="nothing"/>
      <w:lvlText w:val="%1"/>
      <w:lvlJc w:val="left"/>
      <w:pPr>
        <w:ind w:left="454" w:leftChars="0" w:hanging="454" w:firstLineChars="0"/>
      </w:pPr>
      <w:rPr>
        <w:rFonts w:hint="default"/>
      </w:rPr>
    </w:lvl>
  </w:abstractNum>
  <w:abstractNum w:abstractNumId="24">
    <w:nsid w:val="00000007"/>
    <w:multiLevelType w:val="multilevel"/>
    <w:tmpl w:val="00000007"/>
    <w:lvl w:ilvl="0" w:tentative="0">
      <w:start w:val="1"/>
      <w:numFmt w:val="decimal"/>
      <w:lvlText w:val="%1)"/>
      <w:lvlJc w:val="left"/>
      <w:pPr>
        <w:tabs>
          <w:tab w:val="left" w:pos="0"/>
        </w:tabs>
        <w:ind w:left="420" w:hanging="4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25">
    <w:nsid w:val="00000008"/>
    <w:multiLevelType w:val="multilevel"/>
    <w:tmpl w:val="00000008"/>
    <w:lvl w:ilvl="0" w:tentative="0">
      <w:start w:val="1"/>
      <w:numFmt w:val="decimal"/>
      <w:lvlText w:val="%1)"/>
      <w:lvlJc w:val="left"/>
      <w:pPr>
        <w:tabs>
          <w:tab w:val="left" w:pos="0"/>
        </w:tabs>
        <w:ind w:left="420" w:hanging="4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26">
    <w:nsid w:val="000F79FC"/>
    <w:multiLevelType w:val="multilevel"/>
    <w:tmpl w:val="000F79FC"/>
    <w:lvl w:ilvl="0" w:tentative="0">
      <w:start w:val="1"/>
      <w:numFmt w:val="bullet"/>
      <w:lvlText w:val=""/>
      <w:lvlJc w:val="left"/>
      <w:pPr>
        <w:tabs>
          <w:tab w:val="left" w:pos="0"/>
        </w:tabs>
        <w:ind w:left="900" w:hanging="420"/>
      </w:pPr>
      <w:rPr>
        <w:rFonts w:hint="default" w:ascii="Symbol" w:hAnsi="Symbol"/>
        <w:color w:val="17365D"/>
      </w:rPr>
    </w:lvl>
    <w:lvl w:ilvl="1" w:tentative="0">
      <w:start w:val="1"/>
      <w:numFmt w:val="bullet"/>
      <w:lvlText w:val=""/>
      <w:lvlJc w:val="left"/>
      <w:pPr>
        <w:tabs>
          <w:tab w:val="left" w:pos="0"/>
        </w:tabs>
        <w:ind w:left="1320" w:hanging="420"/>
      </w:pPr>
      <w:rPr>
        <w:rFonts w:hint="default" w:ascii="Wingdings" w:hAnsi="Wingdings"/>
      </w:rPr>
    </w:lvl>
    <w:lvl w:ilvl="2" w:tentative="0">
      <w:start w:val="1"/>
      <w:numFmt w:val="bullet"/>
      <w:lvlText w:val=""/>
      <w:lvlJc w:val="left"/>
      <w:pPr>
        <w:tabs>
          <w:tab w:val="left" w:pos="0"/>
        </w:tabs>
        <w:ind w:left="1740" w:hanging="420"/>
      </w:pPr>
      <w:rPr>
        <w:rFonts w:hint="default" w:ascii="Wingdings" w:hAnsi="Wingdings"/>
      </w:rPr>
    </w:lvl>
    <w:lvl w:ilvl="3" w:tentative="0">
      <w:start w:val="1"/>
      <w:numFmt w:val="bullet"/>
      <w:lvlText w:val=""/>
      <w:lvlJc w:val="left"/>
      <w:pPr>
        <w:tabs>
          <w:tab w:val="left" w:pos="0"/>
        </w:tabs>
        <w:ind w:left="2160" w:hanging="420"/>
      </w:pPr>
      <w:rPr>
        <w:rFonts w:hint="default" w:ascii="Wingdings" w:hAnsi="Wingdings"/>
      </w:rPr>
    </w:lvl>
    <w:lvl w:ilvl="4" w:tentative="0">
      <w:start w:val="1"/>
      <w:numFmt w:val="bullet"/>
      <w:lvlText w:val=""/>
      <w:lvlJc w:val="left"/>
      <w:pPr>
        <w:tabs>
          <w:tab w:val="left" w:pos="0"/>
        </w:tabs>
        <w:ind w:left="2580" w:hanging="420"/>
      </w:pPr>
      <w:rPr>
        <w:rFonts w:hint="default" w:ascii="Wingdings" w:hAnsi="Wingdings"/>
      </w:rPr>
    </w:lvl>
    <w:lvl w:ilvl="5" w:tentative="0">
      <w:start w:val="1"/>
      <w:numFmt w:val="bullet"/>
      <w:lvlText w:val=""/>
      <w:lvlJc w:val="left"/>
      <w:pPr>
        <w:tabs>
          <w:tab w:val="left" w:pos="0"/>
        </w:tabs>
        <w:ind w:left="3000" w:hanging="420"/>
      </w:pPr>
      <w:rPr>
        <w:rFonts w:hint="default" w:ascii="Wingdings" w:hAnsi="Wingdings"/>
      </w:rPr>
    </w:lvl>
    <w:lvl w:ilvl="6" w:tentative="0">
      <w:start w:val="1"/>
      <w:numFmt w:val="bullet"/>
      <w:lvlText w:val=""/>
      <w:lvlJc w:val="left"/>
      <w:pPr>
        <w:tabs>
          <w:tab w:val="left" w:pos="0"/>
        </w:tabs>
        <w:ind w:left="3420" w:hanging="420"/>
      </w:pPr>
      <w:rPr>
        <w:rFonts w:hint="default" w:ascii="Wingdings" w:hAnsi="Wingdings"/>
      </w:rPr>
    </w:lvl>
    <w:lvl w:ilvl="7" w:tentative="0">
      <w:start w:val="1"/>
      <w:numFmt w:val="bullet"/>
      <w:lvlText w:val=""/>
      <w:lvlJc w:val="left"/>
      <w:pPr>
        <w:tabs>
          <w:tab w:val="left" w:pos="0"/>
        </w:tabs>
        <w:ind w:left="3840" w:hanging="420"/>
      </w:pPr>
      <w:rPr>
        <w:rFonts w:hint="default" w:ascii="Wingdings" w:hAnsi="Wingdings"/>
      </w:rPr>
    </w:lvl>
    <w:lvl w:ilvl="8" w:tentative="0">
      <w:start w:val="1"/>
      <w:numFmt w:val="bullet"/>
      <w:lvlText w:val=""/>
      <w:lvlJc w:val="left"/>
      <w:pPr>
        <w:tabs>
          <w:tab w:val="left" w:pos="0"/>
        </w:tabs>
        <w:ind w:left="4260" w:hanging="420"/>
      </w:pPr>
      <w:rPr>
        <w:rFonts w:hint="default" w:ascii="Wingdings" w:hAnsi="Wingdings"/>
      </w:rPr>
    </w:lvl>
  </w:abstractNum>
  <w:abstractNum w:abstractNumId="27">
    <w:nsid w:val="06D6A72A"/>
    <w:multiLevelType w:val="singleLevel"/>
    <w:tmpl w:val="06D6A72A"/>
    <w:lvl w:ilvl="0" w:tentative="0">
      <w:start w:val="1"/>
      <w:numFmt w:val="decimal"/>
      <w:suff w:val="nothing"/>
      <w:lvlText w:val="%1."/>
      <w:lvlJc w:val="left"/>
    </w:lvl>
  </w:abstractNum>
  <w:abstractNum w:abstractNumId="28">
    <w:nsid w:val="091EA727"/>
    <w:multiLevelType w:val="singleLevel"/>
    <w:tmpl w:val="091EA727"/>
    <w:lvl w:ilvl="0" w:tentative="0">
      <w:start w:val="1"/>
      <w:numFmt w:val="decimal"/>
      <w:suff w:val="nothing"/>
      <w:lvlText w:val="%1）"/>
      <w:lvlJc w:val="left"/>
    </w:lvl>
  </w:abstractNum>
  <w:abstractNum w:abstractNumId="29">
    <w:nsid w:val="0CF18694"/>
    <w:multiLevelType w:val="singleLevel"/>
    <w:tmpl w:val="0CF18694"/>
    <w:lvl w:ilvl="0" w:tentative="0">
      <w:start w:val="1"/>
      <w:numFmt w:val="decimal"/>
      <w:suff w:val="nothing"/>
      <w:lvlText w:val="%1."/>
      <w:lvlJc w:val="left"/>
    </w:lvl>
  </w:abstractNum>
  <w:abstractNum w:abstractNumId="30">
    <w:nsid w:val="123B5813"/>
    <w:multiLevelType w:val="singleLevel"/>
    <w:tmpl w:val="123B5813"/>
    <w:lvl w:ilvl="0" w:tentative="0">
      <w:start w:val="1"/>
      <w:numFmt w:val="decimal"/>
      <w:suff w:val="nothing"/>
      <w:lvlText w:val="%1）"/>
      <w:lvlJc w:val="left"/>
    </w:lvl>
  </w:abstractNum>
  <w:abstractNum w:abstractNumId="31">
    <w:nsid w:val="14DEFFB8"/>
    <w:multiLevelType w:val="singleLevel"/>
    <w:tmpl w:val="14DEFFB8"/>
    <w:lvl w:ilvl="0" w:tentative="0">
      <w:start w:val="1"/>
      <w:numFmt w:val="decimal"/>
      <w:suff w:val="space"/>
      <w:lvlText w:val="%1."/>
      <w:lvlJc w:val="left"/>
    </w:lvl>
  </w:abstractNum>
  <w:abstractNum w:abstractNumId="32">
    <w:nsid w:val="1D5C0F16"/>
    <w:multiLevelType w:val="singleLevel"/>
    <w:tmpl w:val="1D5C0F16"/>
    <w:lvl w:ilvl="0" w:tentative="0">
      <w:start w:val="1"/>
      <w:numFmt w:val="decimal"/>
      <w:isLgl/>
      <w:lvlText w:val="%1."/>
      <w:legacy w:legacy="1" w:legacySpace="0" w:legacyIndent="360"/>
      <w:lvlJc w:val="left"/>
      <w:pPr>
        <w:ind w:left="1440" w:hanging="360"/>
      </w:pPr>
    </w:lvl>
  </w:abstractNum>
  <w:abstractNum w:abstractNumId="33">
    <w:nsid w:val="2829E5F2"/>
    <w:multiLevelType w:val="singleLevel"/>
    <w:tmpl w:val="2829E5F2"/>
    <w:lvl w:ilvl="0" w:tentative="0">
      <w:start w:val="1"/>
      <w:numFmt w:val="decimal"/>
      <w:suff w:val="nothing"/>
      <w:lvlText w:val="（%1）"/>
      <w:lvlJc w:val="left"/>
      <w:rPr>
        <w:rFonts w:hint="default" w:ascii="Times New Roman" w:hAnsi="Times New Roman" w:cs="Times New Roman"/>
      </w:rPr>
    </w:lvl>
  </w:abstractNum>
  <w:abstractNum w:abstractNumId="34">
    <w:nsid w:val="3290B33C"/>
    <w:multiLevelType w:val="singleLevel"/>
    <w:tmpl w:val="3290B33C"/>
    <w:lvl w:ilvl="0" w:tentative="0">
      <w:start w:val="1"/>
      <w:numFmt w:val="decimal"/>
      <w:suff w:val="nothing"/>
      <w:lvlText w:val="（%1）"/>
      <w:lvlJc w:val="left"/>
      <w:rPr>
        <w:rFonts w:hint="default"/>
        <w:b w:val="0"/>
        <w:bCs w:val="0"/>
        <w:sz w:val="24"/>
        <w:szCs w:val="24"/>
      </w:rPr>
    </w:lvl>
  </w:abstractNum>
  <w:abstractNum w:abstractNumId="35">
    <w:nsid w:val="35EA231E"/>
    <w:multiLevelType w:val="singleLevel"/>
    <w:tmpl w:val="35EA231E"/>
    <w:lvl w:ilvl="0" w:tentative="0">
      <w:start w:val="1"/>
      <w:numFmt w:val="decimal"/>
      <w:suff w:val="space"/>
      <w:lvlText w:val="%1."/>
      <w:lvlJc w:val="left"/>
    </w:lvl>
  </w:abstractNum>
  <w:abstractNum w:abstractNumId="36">
    <w:nsid w:val="35F659A5"/>
    <w:multiLevelType w:val="singleLevel"/>
    <w:tmpl w:val="35F659A5"/>
    <w:lvl w:ilvl="0" w:tentative="0">
      <w:start w:val="2"/>
      <w:numFmt w:val="chineseCounting"/>
      <w:suff w:val="nothing"/>
      <w:lvlText w:val="（%1）"/>
      <w:lvlJc w:val="left"/>
      <w:rPr>
        <w:rFonts w:hint="eastAsia"/>
      </w:rPr>
    </w:lvl>
  </w:abstractNum>
  <w:abstractNum w:abstractNumId="37">
    <w:nsid w:val="379D0380"/>
    <w:multiLevelType w:val="singleLevel"/>
    <w:tmpl w:val="379D0380"/>
    <w:lvl w:ilvl="0" w:tentative="0">
      <w:start w:val="1"/>
      <w:numFmt w:val="decimal"/>
      <w:suff w:val="nothing"/>
      <w:lvlText w:val="%1."/>
      <w:lvlJc w:val="left"/>
    </w:lvl>
  </w:abstractNum>
  <w:abstractNum w:abstractNumId="38">
    <w:nsid w:val="3A78D2D3"/>
    <w:multiLevelType w:val="singleLevel"/>
    <w:tmpl w:val="3A78D2D3"/>
    <w:lvl w:ilvl="0" w:tentative="0">
      <w:start w:val="1"/>
      <w:numFmt w:val="decimal"/>
      <w:suff w:val="nothing"/>
      <w:lvlText w:val="%1）"/>
      <w:lvlJc w:val="left"/>
    </w:lvl>
  </w:abstractNum>
  <w:abstractNum w:abstractNumId="39">
    <w:nsid w:val="3C4005DA"/>
    <w:multiLevelType w:val="singleLevel"/>
    <w:tmpl w:val="3C4005DA"/>
    <w:lvl w:ilvl="0" w:tentative="0">
      <w:start w:val="1"/>
      <w:numFmt w:val="decimal"/>
      <w:suff w:val="nothing"/>
      <w:lvlText w:val="%1）"/>
      <w:lvlJc w:val="left"/>
    </w:lvl>
  </w:abstractNum>
  <w:abstractNum w:abstractNumId="40">
    <w:nsid w:val="404D6290"/>
    <w:multiLevelType w:val="singleLevel"/>
    <w:tmpl w:val="404D6290"/>
    <w:lvl w:ilvl="0" w:tentative="0">
      <w:start w:val="1"/>
      <w:numFmt w:val="decimal"/>
      <w:suff w:val="nothing"/>
      <w:lvlText w:val="%1."/>
      <w:lvlJc w:val="left"/>
    </w:lvl>
  </w:abstractNum>
  <w:abstractNum w:abstractNumId="41">
    <w:nsid w:val="421E60DC"/>
    <w:multiLevelType w:val="singleLevel"/>
    <w:tmpl w:val="421E60DC"/>
    <w:lvl w:ilvl="0" w:tentative="0">
      <w:start w:val="1"/>
      <w:numFmt w:val="decimal"/>
      <w:suff w:val="nothing"/>
      <w:lvlText w:val="%1."/>
      <w:lvlJc w:val="left"/>
    </w:lvl>
  </w:abstractNum>
  <w:abstractNum w:abstractNumId="42">
    <w:nsid w:val="42480766"/>
    <w:multiLevelType w:val="multilevel"/>
    <w:tmpl w:val="42480766"/>
    <w:lvl w:ilvl="0" w:tentative="0">
      <w:start w:val="1"/>
      <w:numFmt w:val="bullet"/>
      <w:lvlText w:val=""/>
      <w:lvlJc w:val="left"/>
      <w:pPr>
        <w:tabs>
          <w:tab w:val="left" w:pos="420"/>
        </w:tabs>
        <w:ind w:left="1549" w:hanging="420"/>
      </w:pPr>
      <w:rPr>
        <w:rFonts w:hint="default" w:ascii="Wingdings" w:hAnsi="Wingdings"/>
      </w:rPr>
    </w:lvl>
    <w:lvl w:ilvl="1" w:tentative="0">
      <w:start w:val="1"/>
      <w:numFmt w:val="bullet"/>
      <w:lvlText w:val=""/>
      <w:lvlJc w:val="left"/>
      <w:pPr>
        <w:tabs>
          <w:tab w:val="left" w:pos="420"/>
        </w:tabs>
        <w:ind w:left="1969" w:hanging="420"/>
      </w:pPr>
      <w:rPr>
        <w:rFonts w:hint="default" w:ascii="Wingdings" w:hAnsi="Wingdings"/>
      </w:rPr>
    </w:lvl>
    <w:lvl w:ilvl="2" w:tentative="0">
      <w:start w:val="1"/>
      <w:numFmt w:val="bullet"/>
      <w:lvlText w:val=""/>
      <w:lvlJc w:val="left"/>
      <w:pPr>
        <w:tabs>
          <w:tab w:val="left" w:pos="420"/>
        </w:tabs>
        <w:ind w:left="2389" w:hanging="420"/>
      </w:pPr>
      <w:rPr>
        <w:rFonts w:hint="default" w:ascii="Wingdings" w:hAnsi="Wingdings"/>
      </w:rPr>
    </w:lvl>
    <w:lvl w:ilvl="3" w:tentative="0">
      <w:start w:val="1"/>
      <w:numFmt w:val="bullet"/>
      <w:lvlText w:val=""/>
      <w:lvlJc w:val="left"/>
      <w:pPr>
        <w:tabs>
          <w:tab w:val="left" w:pos="420"/>
        </w:tabs>
        <w:ind w:left="2809" w:hanging="420"/>
      </w:pPr>
      <w:rPr>
        <w:rFonts w:hint="default" w:ascii="Wingdings" w:hAnsi="Wingdings"/>
      </w:rPr>
    </w:lvl>
    <w:lvl w:ilvl="4" w:tentative="0">
      <w:start w:val="1"/>
      <w:numFmt w:val="bullet"/>
      <w:lvlText w:val=""/>
      <w:lvlJc w:val="left"/>
      <w:pPr>
        <w:tabs>
          <w:tab w:val="left" w:pos="420"/>
        </w:tabs>
        <w:ind w:left="3229" w:hanging="420"/>
      </w:pPr>
      <w:rPr>
        <w:rFonts w:hint="default" w:ascii="Wingdings" w:hAnsi="Wingdings"/>
      </w:rPr>
    </w:lvl>
    <w:lvl w:ilvl="5" w:tentative="0">
      <w:start w:val="1"/>
      <w:numFmt w:val="bullet"/>
      <w:lvlText w:val=""/>
      <w:lvlJc w:val="left"/>
      <w:pPr>
        <w:tabs>
          <w:tab w:val="left" w:pos="420"/>
        </w:tabs>
        <w:ind w:left="3649" w:hanging="420"/>
      </w:pPr>
      <w:rPr>
        <w:rFonts w:hint="default" w:ascii="Wingdings" w:hAnsi="Wingdings"/>
      </w:rPr>
    </w:lvl>
    <w:lvl w:ilvl="6" w:tentative="0">
      <w:start w:val="1"/>
      <w:numFmt w:val="bullet"/>
      <w:lvlText w:val=""/>
      <w:lvlJc w:val="left"/>
      <w:pPr>
        <w:tabs>
          <w:tab w:val="left" w:pos="420"/>
        </w:tabs>
        <w:ind w:left="4069" w:hanging="420"/>
      </w:pPr>
      <w:rPr>
        <w:rFonts w:hint="default" w:ascii="Wingdings" w:hAnsi="Wingdings"/>
      </w:rPr>
    </w:lvl>
    <w:lvl w:ilvl="7" w:tentative="0">
      <w:start w:val="1"/>
      <w:numFmt w:val="bullet"/>
      <w:lvlText w:val=""/>
      <w:lvlJc w:val="left"/>
      <w:pPr>
        <w:tabs>
          <w:tab w:val="left" w:pos="420"/>
        </w:tabs>
        <w:ind w:left="4489" w:hanging="420"/>
      </w:pPr>
      <w:rPr>
        <w:rFonts w:hint="default" w:ascii="Wingdings" w:hAnsi="Wingdings"/>
      </w:rPr>
    </w:lvl>
    <w:lvl w:ilvl="8" w:tentative="0">
      <w:start w:val="1"/>
      <w:numFmt w:val="bullet"/>
      <w:lvlText w:val=""/>
      <w:lvlJc w:val="left"/>
      <w:pPr>
        <w:tabs>
          <w:tab w:val="left" w:pos="420"/>
        </w:tabs>
        <w:ind w:left="4909" w:hanging="420"/>
      </w:pPr>
      <w:rPr>
        <w:rFonts w:hint="default" w:ascii="Wingdings" w:hAnsi="Wingdings"/>
      </w:rPr>
    </w:lvl>
  </w:abstractNum>
  <w:abstractNum w:abstractNumId="43">
    <w:nsid w:val="47BFA1AF"/>
    <w:multiLevelType w:val="singleLevel"/>
    <w:tmpl w:val="47BFA1AF"/>
    <w:lvl w:ilvl="0" w:tentative="0">
      <w:start w:val="1"/>
      <w:numFmt w:val="decimal"/>
      <w:suff w:val="nothing"/>
      <w:lvlText w:val="（%1）"/>
      <w:lvlJc w:val="left"/>
    </w:lvl>
  </w:abstractNum>
  <w:abstractNum w:abstractNumId="44">
    <w:nsid w:val="524CD421"/>
    <w:multiLevelType w:val="multilevel"/>
    <w:tmpl w:val="524CD421"/>
    <w:lvl w:ilvl="0" w:tentative="0">
      <w:start w:val="1"/>
      <w:numFmt w:val="decimal"/>
      <w:suff w:val="nothing"/>
      <w:lvlText w:val="%1."/>
      <w:lvlJc w:val="left"/>
      <w:pPr>
        <w:ind w:left="360" w:hanging="360"/>
      </w:pPr>
      <w:rPr>
        <w:rFonts w:hint="default"/>
        <w:color w:val="auto"/>
      </w:rPr>
    </w:lvl>
    <w:lvl w:ilvl="1" w:tentative="0">
      <w:start w:val="1"/>
      <w:numFmt w:val="decimal"/>
      <w:lvlText w:val="%2.%1"/>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5">
    <w:nsid w:val="55163925"/>
    <w:multiLevelType w:val="singleLevel"/>
    <w:tmpl w:val="55163925"/>
    <w:lvl w:ilvl="0" w:tentative="0">
      <w:start w:val="1"/>
      <w:numFmt w:val="decimal"/>
      <w:suff w:val="nothing"/>
      <w:lvlText w:val="%1."/>
      <w:lvlJc w:val="left"/>
    </w:lvl>
  </w:abstractNum>
  <w:abstractNum w:abstractNumId="46">
    <w:nsid w:val="5DB2B960"/>
    <w:multiLevelType w:val="singleLevel"/>
    <w:tmpl w:val="5DB2B960"/>
    <w:lvl w:ilvl="0" w:tentative="0">
      <w:start w:val="1"/>
      <w:numFmt w:val="decimal"/>
      <w:suff w:val="nothing"/>
      <w:lvlText w:val="%1."/>
      <w:lvlJc w:val="left"/>
    </w:lvl>
  </w:abstractNum>
  <w:abstractNum w:abstractNumId="47">
    <w:nsid w:val="619598E9"/>
    <w:multiLevelType w:val="singleLevel"/>
    <w:tmpl w:val="619598E9"/>
    <w:lvl w:ilvl="0" w:tentative="0">
      <w:start w:val="1"/>
      <w:numFmt w:val="decimal"/>
      <w:suff w:val="nothing"/>
      <w:lvlText w:val="%1."/>
      <w:lvlJc w:val="left"/>
    </w:lvl>
  </w:abstractNum>
  <w:abstractNum w:abstractNumId="48">
    <w:nsid w:val="740DC2E0"/>
    <w:multiLevelType w:val="singleLevel"/>
    <w:tmpl w:val="740DC2E0"/>
    <w:lvl w:ilvl="0" w:tentative="0">
      <w:start w:val="1"/>
      <w:numFmt w:val="decimal"/>
      <w:suff w:val="nothing"/>
      <w:lvlText w:val="%1."/>
      <w:lvlJc w:val="left"/>
    </w:lvl>
  </w:abstractNum>
  <w:num w:numId="1">
    <w:abstractNumId w:val="44"/>
  </w:num>
  <w:num w:numId="2">
    <w:abstractNumId w:val="2"/>
  </w:num>
  <w:num w:numId="3">
    <w:abstractNumId w:val="12"/>
  </w:num>
  <w:num w:numId="4">
    <w:abstractNumId w:val="14"/>
  </w:num>
  <w:num w:numId="5">
    <w:abstractNumId w:val="9"/>
  </w:num>
  <w:num w:numId="6">
    <w:abstractNumId w:val="39"/>
  </w:num>
  <w:num w:numId="7">
    <w:abstractNumId w:val="30"/>
  </w:num>
  <w:num w:numId="8">
    <w:abstractNumId w:val="4"/>
  </w:num>
  <w:num w:numId="9">
    <w:abstractNumId w:val="28"/>
  </w:num>
  <w:num w:numId="10">
    <w:abstractNumId w:val="23"/>
  </w:num>
  <w:num w:numId="11">
    <w:abstractNumId w:val="6"/>
  </w:num>
  <w:num w:numId="12">
    <w:abstractNumId w:val="18"/>
  </w:num>
  <w:num w:numId="13">
    <w:abstractNumId w:val="33"/>
  </w:num>
  <w:num w:numId="14">
    <w:abstractNumId w:val="16"/>
  </w:num>
  <w:num w:numId="15">
    <w:abstractNumId w:val="19"/>
  </w:num>
  <w:num w:numId="16">
    <w:abstractNumId w:val="38"/>
  </w:num>
  <w:num w:numId="17">
    <w:abstractNumId w:val="13"/>
  </w:num>
  <w:num w:numId="18">
    <w:abstractNumId w:val="1"/>
  </w:num>
  <w:num w:numId="19">
    <w:abstractNumId w:val="31"/>
  </w:num>
  <w:num w:numId="20">
    <w:abstractNumId w:val="35"/>
  </w:num>
  <w:num w:numId="21">
    <w:abstractNumId w:val="17"/>
  </w:num>
  <w:num w:numId="22">
    <w:abstractNumId w:val="48"/>
  </w:num>
  <w:num w:numId="23">
    <w:abstractNumId w:val="47"/>
  </w:num>
  <w:num w:numId="24">
    <w:abstractNumId w:val="0"/>
  </w:num>
  <w:num w:numId="25">
    <w:abstractNumId w:val="5"/>
  </w:num>
  <w:num w:numId="26">
    <w:abstractNumId w:val="22"/>
  </w:num>
  <w:num w:numId="27">
    <w:abstractNumId w:val="15"/>
  </w:num>
  <w:num w:numId="28">
    <w:abstractNumId w:val="37"/>
  </w:num>
  <w:num w:numId="29">
    <w:abstractNumId w:val="41"/>
  </w:num>
  <w:num w:numId="30">
    <w:abstractNumId w:val="40"/>
  </w:num>
  <w:num w:numId="31">
    <w:abstractNumId w:val="46"/>
  </w:num>
  <w:num w:numId="32">
    <w:abstractNumId w:val="29"/>
  </w:num>
  <w:num w:numId="33">
    <w:abstractNumId w:val="45"/>
  </w:num>
  <w:num w:numId="34">
    <w:abstractNumId w:val="20"/>
  </w:num>
  <w:num w:numId="35">
    <w:abstractNumId w:val="21"/>
  </w:num>
  <w:num w:numId="36">
    <w:abstractNumId w:val="8"/>
  </w:num>
  <w:num w:numId="37">
    <w:abstractNumId w:val="27"/>
  </w:num>
  <w:num w:numId="38">
    <w:abstractNumId w:val="36"/>
  </w:num>
  <w:num w:numId="39">
    <w:abstractNumId w:val="25"/>
  </w:num>
  <w:num w:numId="40">
    <w:abstractNumId w:val="24"/>
  </w:num>
  <w:num w:numId="41">
    <w:abstractNumId w:val="26"/>
  </w:num>
  <w:num w:numId="42">
    <w:abstractNumId w:val="42"/>
  </w:num>
  <w:num w:numId="43">
    <w:abstractNumId w:val="32"/>
  </w:num>
  <w:num w:numId="44">
    <w:abstractNumId w:val="10"/>
  </w:num>
  <w:num w:numId="45">
    <w:abstractNumId w:val="3"/>
  </w:num>
  <w:num w:numId="46">
    <w:abstractNumId w:val="11"/>
  </w:num>
  <w:num w:numId="47">
    <w:abstractNumId w:val="43"/>
  </w:num>
  <w:num w:numId="48">
    <w:abstractNumId w:val="34"/>
  </w:num>
  <w:num w:numId="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NTQ0ZjJkOGNiZDRkOTI3MjJmOGY1NDU4MmViYTdhNzgifQ=="/>
  </w:docVars>
  <w:rsids>
    <w:rsidRoot w:val="00000000"/>
    <w:rsid w:val="00005402"/>
    <w:rsid w:val="00013654"/>
    <w:rsid w:val="0002117A"/>
    <w:rsid w:val="00024352"/>
    <w:rsid w:val="00060C6A"/>
    <w:rsid w:val="000749E3"/>
    <w:rsid w:val="000A002F"/>
    <w:rsid w:val="000A0BB4"/>
    <w:rsid w:val="000A4616"/>
    <w:rsid w:val="000B423D"/>
    <w:rsid w:val="000E2FF8"/>
    <w:rsid w:val="000F5245"/>
    <w:rsid w:val="001126DD"/>
    <w:rsid w:val="00135135"/>
    <w:rsid w:val="001725C6"/>
    <w:rsid w:val="00172E78"/>
    <w:rsid w:val="00176375"/>
    <w:rsid w:val="00182FB7"/>
    <w:rsid w:val="001D4206"/>
    <w:rsid w:val="001D7745"/>
    <w:rsid w:val="001E387A"/>
    <w:rsid w:val="001F3ADA"/>
    <w:rsid w:val="00212CDA"/>
    <w:rsid w:val="00213CF6"/>
    <w:rsid w:val="00215E0B"/>
    <w:rsid w:val="0022181C"/>
    <w:rsid w:val="00237A6E"/>
    <w:rsid w:val="002630BB"/>
    <w:rsid w:val="002649D8"/>
    <w:rsid w:val="00270BE1"/>
    <w:rsid w:val="002723C6"/>
    <w:rsid w:val="00274BDD"/>
    <w:rsid w:val="00285085"/>
    <w:rsid w:val="00294959"/>
    <w:rsid w:val="002E01C1"/>
    <w:rsid w:val="002E24F5"/>
    <w:rsid w:val="00311A5F"/>
    <w:rsid w:val="003126D7"/>
    <w:rsid w:val="0031380D"/>
    <w:rsid w:val="00327CB1"/>
    <w:rsid w:val="00333A2A"/>
    <w:rsid w:val="00356CAE"/>
    <w:rsid w:val="00381040"/>
    <w:rsid w:val="00384B9C"/>
    <w:rsid w:val="003956AF"/>
    <w:rsid w:val="003A0914"/>
    <w:rsid w:val="003B643A"/>
    <w:rsid w:val="003C28DE"/>
    <w:rsid w:val="003C6A33"/>
    <w:rsid w:val="003D0404"/>
    <w:rsid w:val="00405784"/>
    <w:rsid w:val="00416146"/>
    <w:rsid w:val="00417944"/>
    <w:rsid w:val="00425A1B"/>
    <w:rsid w:val="004408FF"/>
    <w:rsid w:val="00441793"/>
    <w:rsid w:val="00453B37"/>
    <w:rsid w:val="004672B9"/>
    <w:rsid w:val="00490B8F"/>
    <w:rsid w:val="004B25A9"/>
    <w:rsid w:val="004E43BF"/>
    <w:rsid w:val="004E48A5"/>
    <w:rsid w:val="004E616D"/>
    <w:rsid w:val="00504F4C"/>
    <w:rsid w:val="00533C4C"/>
    <w:rsid w:val="00583A0B"/>
    <w:rsid w:val="00593490"/>
    <w:rsid w:val="005A2848"/>
    <w:rsid w:val="005C6ADC"/>
    <w:rsid w:val="00615EA1"/>
    <w:rsid w:val="0067722F"/>
    <w:rsid w:val="00690EC8"/>
    <w:rsid w:val="006B2C4E"/>
    <w:rsid w:val="006C3EBE"/>
    <w:rsid w:val="006E0AFD"/>
    <w:rsid w:val="006E4A62"/>
    <w:rsid w:val="00702870"/>
    <w:rsid w:val="00710405"/>
    <w:rsid w:val="00724552"/>
    <w:rsid w:val="0075194C"/>
    <w:rsid w:val="007535E1"/>
    <w:rsid w:val="00760CE2"/>
    <w:rsid w:val="007A3406"/>
    <w:rsid w:val="007B28B4"/>
    <w:rsid w:val="007C2CDB"/>
    <w:rsid w:val="007C3ECB"/>
    <w:rsid w:val="007C717F"/>
    <w:rsid w:val="007F3472"/>
    <w:rsid w:val="00814795"/>
    <w:rsid w:val="00847DE1"/>
    <w:rsid w:val="00856F88"/>
    <w:rsid w:val="008878D1"/>
    <w:rsid w:val="0089189B"/>
    <w:rsid w:val="00893649"/>
    <w:rsid w:val="00893706"/>
    <w:rsid w:val="008D313A"/>
    <w:rsid w:val="009049D8"/>
    <w:rsid w:val="00936276"/>
    <w:rsid w:val="009372E5"/>
    <w:rsid w:val="009444C8"/>
    <w:rsid w:val="00951FEE"/>
    <w:rsid w:val="00973FB8"/>
    <w:rsid w:val="0098388D"/>
    <w:rsid w:val="009E5347"/>
    <w:rsid w:val="009E6F42"/>
    <w:rsid w:val="009F7228"/>
    <w:rsid w:val="00A10993"/>
    <w:rsid w:val="00A3295D"/>
    <w:rsid w:val="00A3470B"/>
    <w:rsid w:val="00A42231"/>
    <w:rsid w:val="00A43989"/>
    <w:rsid w:val="00A508D1"/>
    <w:rsid w:val="00A566D5"/>
    <w:rsid w:val="00A81D22"/>
    <w:rsid w:val="00A83AD0"/>
    <w:rsid w:val="00AD558A"/>
    <w:rsid w:val="00AD7338"/>
    <w:rsid w:val="00AE30B0"/>
    <w:rsid w:val="00AE4E5E"/>
    <w:rsid w:val="00AE616B"/>
    <w:rsid w:val="00B13186"/>
    <w:rsid w:val="00B1643D"/>
    <w:rsid w:val="00B26C01"/>
    <w:rsid w:val="00B3556F"/>
    <w:rsid w:val="00B4075E"/>
    <w:rsid w:val="00B561ED"/>
    <w:rsid w:val="00B71F65"/>
    <w:rsid w:val="00B76582"/>
    <w:rsid w:val="00B83C64"/>
    <w:rsid w:val="00B92181"/>
    <w:rsid w:val="00B93F2F"/>
    <w:rsid w:val="00B95CDD"/>
    <w:rsid w:val="00BC5C5C"/>
    <w:rsid w:val="00BE4406"/>
    <w:rsid w:val="00BE7797"/>
    <w:rsid w:val="00BF706B"/>
    <w:rsid w:val="00C30909"/>
    <w:rsid w:val="00C36B5B"/>
    <w:rsid w:val="00C41EE7"/>
    <w:rsid w:val="00C50B26"/>
    <w:rsid w:val="00C9580D"/>
    <w:rsid w:val="00CA115C"/>
    <w:rsid w:val="00CB3C62"/>
    <w:rsid w:val="00CD3536"/>
    <w:rsid w:val="00D42B17"/>
    <w:rsid w:val="00D72607"/>
    <w:rsid w:val="00D91EDB"/>
    <w:rsid w:val="00DB7FDF"/>
    <w:rsid w:val="00DC19CB"/>
    <w:rsid w:val="00DF3269"/>
    <w:rsid w:val="00E13486"/>
    <w:rsid w:val="00E15234"/>
    <w:rsid w:val="00E371FE"/>
    <w:rsid w:val="00E40880"/>
    <w:rsid w:val="00E60A9C"/>
    <w:rsid w:val="00E6284A"/>
    <w:rsid w:val="00EA1469"/>
    <w:rsid w:val="00EA233A"/>
    <w:rsid w:val="00EB103F"/>
    <w:rsid w:val="00ED5986"/>
    <w:rsid w:val="00EF7950"/>
    <w:rsid w:val="00F036C9"/>
    <w:rsid w:val="00F211EF"/>
    <w:rsid w:val="00F44F67"/>
    <w:rsid w:val="00F50CDF"/>
    <w:rsid w:val="00F54E9C"/>
    <w:rsid w:val="00F76805"/>
    <w:rsid w:val="00F83845"/>
    <w:rsid w:val="00F907CF"/>
    <w:rsid w:val="00F9432B"/>
    <w:rsid w:val="00F979A6"/>
    <w:rsid w:val="00FC3E1B"/>
    <w:rsid w:val="00FD3794"/>
    <w:rsid w:val="00FE1942"/>
    <w:rsid w:val="00FF56BA"/>
    <w:rsid w:val="010312EC"/>
    <w:rsid w:val="010333FC"/>
    <w:rsid w:val="01050F22"/>
    <w:rsid w:val="010567A3"/>
    <w:rsid w:val="01062EEC"/>
    <w:rsid w:val="01091DD9"/>
    <w:rsid w:val="0109689F"/>
    <w:rsid w:val="010A29DC"/>
    <w:rsid w:val="010B22B0"/>
    <w:rsid w:val="010B4357"/>
    <w:rsid w:val="010B5F67"/>
    <w:rsid w:val="010B76F2"/>
    <w:rsid w:val="010C1C3B"/>
    <w:rsid w:val="010D6379"/>
    <w:rsid w:val="010D7DD7"/>
    <w:rsid w:val="010F1980"/>
    <w:rsid w:val="010F1DA1"/>
    <w:rsid w:val="010F7FF3"/>
    <w:rsid w:val="011078C7"/>
    <w:rsid w:val="01110171"/>
    <w:rsid w:val="01113D6B"/>
    <w:rsid w:val="01115B19"/>
    <w:rsid w:val="01121891"/>
    <w:rsid w:val="01132522"/>
    <w:rsid w:val="01170C55"/>
    <w:rsid w:val="0117567B"/>
    <w:rsid w:val="01176EA7"/>
    <w:rsid w:val="0118231B"/>
    <w:rsid w:val="011954E1"/>
    <w:rsid w:val="011D2710"/>
    <w:rsid w:val="011E3D92"/>
    <w:rsid w:val="01205D5C"/>
    <w:rsid w:val="0120773B"/>
    <w:rsid w:val="01233A9E"/>
    <w:rsid w:val="01237CBA"/>
    <w:rsid w:val="0127533C"/>
    <w:rsid w:val="012810B4"/>
    <w:rsid w:val="012A0989"/>
    <w:rsid w:val="012A4E2C"/>
    <w:rsid w:val="012C2953"/>
    <w:rsid w:val="012C6F5C"/>
    <w:rsid w:val="012F41F1"/>
    <w:rsid w:val="0132783D"/>
    <w:rsid w:val="013435B5"/>
    <w:rsid w:val="01362446"/>
    <w:rsid w:val="01384D5C"/>
    <w:rsid w:val="0139378E"/>
    <w:rsid w:val="013C51D2"/>
    <w:rsid w:val="013C5927"/>
    <w:rsid w:val="013D4B60"/>
    <w:rsid w:val="01401F5A"/>
    <w:rsid w:val="01413E5F"/>
    <w:rsid w:val="01415CD2"/>
    <w:rsid w:val="01415F08"/>
    <w:rsid w:val="014179E5"/>
    <w:rsid w:val="0143304E"/>
    <w:rsid w:val="01435416"/>
    <w:rsid w:val="01447C0F"/>
    <w:rsid w:val="01453A14"/>
    <w:rsid w:val="01494C0D"/>
    <w:rsid w:val="014B07F6"/>
    <w:rsid w:val="014B46BF"/>
    <w:rsid w:val="014C6B51"/>
    <w:rsid w:val="014D0B1B"/>
    <w:rsid w:val="014F6641"/>
    <w:rsid w:val="015123B9"/>
    <w:rsid w:val="01543C57"/>
    <w:rsid w:val="01545A05"/>
    <w:rsid w:val="01554A29"/>
    <w:rsid w:val="0156177E"/>
    <w:rsid w:val="01561A81"/>
    <w:rsid w:val="01565C22"/>
    <w:rsid w:val="015679D0"/>
    <w:rsid w:val="0159126E"/>
    <w:rsid w:val="015C48BA"/>
    <w:rsid w:val="015D0D5E"/>
    <w:rsid w:val="015E6884"/>
    <w:rsid w:val="015F265A"/>
    <w:rsid w:val="016025FC"/>
    <w:rsid w:val="01613449"/>
    <w:rsid w:val="01675B7A"/>
    <w:rsid w:val="016A4E8A"/>
    <w:rsid w:val="016E0884"/>
    <w:rsid w:val="016E2F6B"/>
    <w:rsid w:val="016F0A91"/>
    <w:rsid w:val="016F430C"/>
    <w:rsid w:val="01706EDD"/>
    <w:rsid w:val="017165B7"/>
    <w:rsid w:val="01722330"/>
    <w:rsid w:val="01747E56"/>
    <w:rsid w:val="01792276"/>
    <w:rsid w:val="017B11E4"/>
    <w:rsid w:val="017B3FF0"/>
    <w:rsid w:val="017C2373"/>
    <w:rsid w:val="017D31AE"/>
    <w:rsid w:val="018207C5"/>
    <w:rsid w:val="01822573"/>
    <w:rsid w:val="01826A17"/>
    <w:rsid w:val="018378EB"/>
    <w:rsid w:val="018502B5"/>
    <w:rsid w:val="01852063"/>
    <w:rsid w:val="01852ACC"/>
    <w:rsid w:val="01853E11"/>
    <w:rsid w:val="018865F4"/>
    <w:rsid w:val="01897A84"/>
    <w:rsid w:val="018A7679"/>
    <w:rsid w:val="018C1643"/>
    <w:rsid w:val="018C33F1"/>
    <w:rsid w:val="018C519F"/>
    <w:rsid w:val="018E48EA"/>
    <w:rsid w:val="018F4C90"/>
    <w:rsid w:val="0190118E"/>
    <w:rsid w:val="01916216"/>
    <w:rsid w:val="019404F8"/>
    <w:rsid w:val="019855B9"/>
    <w:rsid w:val="01987F1A"/>
    <w:rsid w:val="01995B0E"/>
    <w:rsid w:val="019B36B5"/>
    <w:rsid w:val="019E3125"/>
    <w:rsid w:val="019E4ED3"/>
    <w:rsid w:val="019E50F7"/>
    <w:rsid w:val="01A02957"/>
    <w:rsid w:val="01A3073B"/>
    <w:rsid w:val="01A324E9"/>
    <w:rsid w:val="01A717A7"/>
    <w:rsid w:val="01A71FD9"/>
    <w:rsid w:val="01A72B23"/>
    <w:rsid w:val="01A87AFF"/>
    <w:rsid w:val="01AA7D1B"/>
    <w:rsid w:val="01AF70E0"/>
    <w:rsid w:val="01B15BC3"/>
    <w:rsid w:val="01B70CC2"/>
    <w:rsid w:val="01B841E6"/>
    <w:rsid w:val="01B974D3"/>
    <w:rsid w:val="01BA5A5B"/>
    <w:rsid w:val="01BA61B0"/>
    <w:rsid w:val="01BB3CD7"/>
    <w:rsid w:val="01BD35AB"/>
    <w:rsid w:val="01BE7323"/>
    <w:rsid w:val="01C04E49"/>
    <w:rsid w:val="01C0753F"/>
    <w:rsid w:val="01C1005C"/>
    <w:rsid w:val="01C25065"/>
    <w:rsid w:val="01C32F76"/>
    <w:rsid w:val="01C40F50"/>
    <w:rsid w:val="01C55A56"/>
    <w:rsid w:val="01C74429"/>
    <w:rsid w:val="01CA13BF"/>
    <w:rsid w:val="01CA3F1A"/>
    <w:rsid w:val="01CB02F3"/>
    <w:rsid w:val="01CB7837"/>
    <w:rsid w:val="01CD7566"/>
    <w:rsid w:val="01CF32DE"/>
    <w:rsid w:val="01CF7782"/>
    <w:rsid w:val="01D30DC0"/>
    <w:rsid w:val="01D6466C"/>
    <w:rsid w:val="01D6529C"/>
    <w:rsid w:val="01D66F36"/>
    <w:rsid w:val="01DA23AF"/>
    <w:rsid w:val="01DB5521"/>
    <w:rsid w:val="01DB5E86"/>
    <w:rsid w:val="01DB7ED5"/>
    <w:rsid w:val="01DF5C17"/>
    <w:rsid w:val="01E51B2E"/>
    <w:rsid w:val="01E51E07"/>
    <w:rsid w:val="01E90844"/>
    <w:rsid w:val="01EA0118"/>
    <w:rsid w:val="01EE7C08"/>
    <w:rsid w:val="01EF3980"/>
    <w:rsid w:val="01F1594A"/>
    <w:rsid w:val="01F40F97"/>
    <w:rsid w:val="01F42D45"/>
    <w:rsid w:val="01F70692"/>
    <w:rsid w:val="01F83E49"/>
    <w:rsid w:val="01F928B5"/>
    <w:rsid w:val="01FC0EE5"/>
    <w:rsid w:val="01FC44EA"/>
    <w:rsid w:val="0200793B"/>
    <w:rsid w:val="0204110C"/>
    <w:rsid w:val="0204567E"/>
    <w:rsid w:val="020967F0"/>
    <w:rsid w:val="020C008E"/>
    <w:rsid w:val="020C4406"/>
    <w:rsid w:val="020C615A"/>
    <w:rsid w:val="020C789B"/>
    <w:rsid w:val="0210580B"/>
    <w:rsid w:val="02110B3C"/>
    <w:rsid w:val="02123F76"/>
    <w:rsid w:val="0212502F"/>
    <w:rsid w:val="02145195"/>
    <w:rsid w:val="021639A4"/>
    <w:rsid w:val="0216715F"/>
    <w:rsid w:val="02172BE7"/>
    <w:rsid w:val="021822F8"/>
    <w:rsid w:val="021D229B"/>
    <w:rsid w:val="021E4C77"/>
    <w:rsid w:val="02217FDE"/>
    <w:rsid w:val="0224187C"/>
    <w:rsid w:val="0227136C"/>
    <w:rsid w:val="022C260F"/>
    <w:rsid w:val="022C3E83"/>
    <w:rsid w:val="022D1D83"/>
    <w:rsid w:val="022D376A"/>
    <w:rsid w:val="022E44A8"/>
    <w:rsid w:val="02300221"/>
    <w:rsid w:val="023318AB"/>
    <w:rsid w:val="02331ABF"/>
    <w:rsid w:val="02351881"/>
    <w:rsid w:val="02374414"/>
    <w:rsid w:val="023870D5"/>
    <w:rsid w:val="023B2791"/>
    <w:rsid w:val="023B4560"/>
    <w:rsid w:val="023D66C9"/>
    <w:rsid w:val="023F4A0A"/>
    <w:rsid w:val="024261A6"/>
    <w:rsid w:val="02444B97"/>
    <w:rsid w:val="024617F2"/>
    <w:rsid w:val="024912E2"/>
    <w:rsid w:val="024A0BB7"/>
    <w:rsid w:val="024E4B4B"/>
    <w:rsid w:val="024E7F60"/>
    <w:rsid w:val="024F0ED1"/>
    <w:rsid w:val="02511F45"/>
    <w:rsid w:val="0252560E"/>
    <w:rsid w:val="02551A35"/>
    <w:rsid w:val="02555ED9"/>
    <w:rsid w:val="025609B1"/>
    <w:rsid w:val="025A34EF"/>
    <w:rsid w:val="025A529E"/>
    <w:rsid w:val="025B4DE8"/>
    <w:rsid w:val="025B62BC"/>
    <w:rsid w:val="025C1772"/>
    <w:rsid w:val="025C7268"/>
    <w:rsid w:val="02624152"/>
    <w:rsid w:val="026659F0"/>
    <w:rsid w:val="02693733"/>
    <w:rsid w:val="026B3007"/>
    <w:rsid w:val="026E0D49"/>
    <w:rsid w:val="02714395"/>
    <w:rsid w:val="02720839"/>
    <w:rsid w:val="02757304"/>
    <w:rsid w:val="02775E4F"/>
    <w:rsid w:val="027A149C"/>
    <w:rsid w:val="027A5940"/>
    <w:rsid w:val="027F4D04"/>
    <w:rsid w:val="02805753"/>
    <w:rsid w:val="028102C3"/>
    <w:rsid w:val="028129C3"/>
    <w:rsid w:val="02820350"/>
    <w:rsid w:val="028247F4"/>
    <w:rsid w:val="02826293"/>
    <w:rsid w:val="0284056C"/>
    <w:rsid w:val="02850560"/>
    <w:rsid w:val="028642E4"/>
    <w:rsid w:val="02873BB9"/>
    <w:rsid w:val="02895B83"/>
    <w:rsid w:val="028B5457"/>
    <w:rsid w:val="028B75C9"/>
    <w:rsid w:val="028C6335"/>
    <w:rsid w:val="028C7F09"/>
    <w:rsid w:val="02910A6D"/>
    <w:rsid w:val="02953272"/>
    <w:rsid w:val="0298674F"/>
    <w:rsid w:val="029A7359"/>
    <w:rsid w:val="029A7D90"/>
    <w:rsid w:val="029C30FA"/>
    <w:rsid w:val="029C3A43"/>
    <w:rsid w:val="029C3B08"/>
    <w:rsid w:val="029D33DC"/>
    <w:rsid w:val="029F0F02"/>
    <w:rsid w:val="02A62291"/>
    <w:rsid w:val="02A824AD"/>
    <w:rsid w:val="02A93B2F"/>
    <w:rsid w:val="02AA5B00"/>
    <w:rsid w:val="02AD1871"/>
    <w:rsid w:val="02AD7AC3"/>
    <w:rsid w:val="02AF69EA"/>
    <w:rsid w:val="02B01361"/>
    <w:rsid w:val="02B034F7"/>
    <w:rsid w:val="02B05971"/>
    <w:rsid w:val="02B213E4"/>
    <w:rsid w:val="02B250DA"/>
    <w:rsid w:val="02B50726"/>
    <w:rsid w:val="02B608A3"/>
    <w:rsid w:val="02B71D9E"/>
    <w:rsid w:val="02B7624C"/>
    <w:rsid w:val="02BA5D3C"/>
    <w:rsid w:val="02BA78D1"/>
    <w:rsid w:val="02BC1AB4"/>
    <w:rsid w:val="02BC7B5E"/>
    <w:rsid w:val="02BE582C"/>
    <w:rsid w:val="02C1356F"/>
    <w:rsid w:val="02C202A3"/>
    <w:rsid w:val="02C34EEE"/>
    <w:rsid w:val="02C46BBB"/>
    <w:rsid w:val="02C80459"/>
    <w:rsid w:val="02C81F26"/>
    <w:rsid w:val="02CA35F2"/>
    <w:rsid w:val="02CB3A5E"/>
    <w:rsid w:val="02CB619B"/>
    <w:rsid w:val="02CE3596"/>
    <w:rsid w:val="02D0407E"/>
    <w:rsid w:val="02D05560"/>
    <w:rsid w:val="02D45050"/>
    <w:rsid w:val="02D45A47"/>
    <w:rsid w:val="02D54924"/>
    <w:rsid w:val="02D768EE"/>
    <w:rsid w:val="02D85BF6"/>
    <w:rsid w:val="02DA63DE"/>
    <w:rsid w:val="02DA6AC8"/>
    <w:rsid w:val="02DC2156"/>
    <w:rsid w:val="02DC5CB3"/>
    <w:rsid w:val="02E04227"/>
    <w:rsid w:val="02E32D09"/>
    <w:rsid w:val="02E35293"/>
    <w:rsid w:val="02E84657"/>
    <w:rsid w:val="02EB239A"/>
    <w:rsid w:val="02EB4148"/>
    <w:rsid w:val="02EE59E6"/>
    <w:rsid w:val="02F1741B"/>
    <w:rsid w:val="02F32FFC"/>
    <w:rsid w:val="02F474A0"/>
    <w:rsid w:val="02F53218"/>
    <w:rsid w:val="02FA438B"/>
    <w:rsid w:val="02FB316D"/>
    <w:rsid w:val="02FC05F3"/>
    <w:rsid w:val="02FC45A7"/>
    <w:rsid w:val="02FD6481"/>
    <w:rsid w:val="03044C13"/>
    <w:rsid w:val="030516AD"/>
    <w:rsid w:val="030529F6"/>
    <w:rsid w:val="03060F81"/>
    <w:rsid w:val="030642A9"/>
    <w:rsid w:val="030660AA"/>
    <w:rsid w:val="030671D3"/>
    <w:rsid w:val="03090A68"/>
    <w:rsid w:val="03092820"/>
    <w:rsid w:val="03093F10"/>
    <w:rsid w:val="030B2A3C"/>
    <w:rsid w:val="030B47EA"/>
    <w:rsid w:val="030D0562"/>
    <w:rsid w:val="030D40BE"/>
    <w:rsid w:val="030F42DA"/>
    <w:rsid w:val="03155ECB"/>
    <w:rsid w:val="0317318F"/>
    <w:rsid w:val="031C2553"/>
    <w:rsid w:val="031C2E9A"/>
    <w:rsid w:val="031E276F"/>
    <w:rsid w:val="031F2043"/>
    <w:rsid w:val="03217B69"/>
    <w:rsid w:val="0323509C"/>
    <w:rsid w:val="03237D85"/>
    <w:rsid w:val="03266FA7"/>
    <w:rsid w:val="03283EB6"/>
    <w:rsid w:val="032A2EC2"/>
    <w:rsid w:val="032B09E8"/>
    <w:rsid w:val="032B6C3A"/>
    <w:rsid w:val="032D648D"/>
    <w:rsid w:val="032F2A7D"/>
    <w:rsid w:val="03305FFE"/>
    <w:rsid w:val="0332621A"/>
    <w:rsid w:val="03327FC8"/>
    <w:rsid w:val="033330F0"/>
    <w:rsid w:val="0333397C"/>
    <w:rsid w:val="03340AC7"/>
    <w:rsid w:val="03343D40"/>
    <w:rsid w:val="03351867"/>
    <w:rsid w:val="03393105"/>
    <w:rsid w:val="03396C30"/>
    <w:rsid w:val="033A0998"/>
    <w:rsid w:val="033E4BBF"/>
    <w:rsid w:val="03404493"/>
    <w:rsid w:val="03411FE4"/>
    <w:rsid w:val="0341645D"/>
    <w:rsid w:val="034321D6"/>
    <w:rsid w:val="03451AAA"/>
    <w:rsid w:val="03455F4E"/>
    <w:rsid w:val="034877EC"/>
    <w:rsid w:val="034957EB"/>
    <w:rsid w:val="034A5312"/>
    <w:rsid w:val="034B0FFA"/>
    <w:rsid w:val="034B2FD9"/>
    <w:rsid w:val="034C3D5A"/>
    <w:rsid w:val="034F46D6"/>
    <w:rsid w:val="034F5D29"/>
    <w:rsid w:val="03511AD9"/>
    <w:rsid w:val="035166A0"/>
    <w:rsid w:val="03546191"/>
    <w:rsid w:val="03555A65"/>
    <w:rsid w:val="03563B41"/>
    <w:rsid w:val="035717DD"/>
    <w:rsid w:val="035937A7"/>
    <w:rsid w:val="035C6062"/>
    <w:rsid w:val="035D445C"/>
    <w:rsid w:val="03600692"/>
    <w:rsid w:val="03604B36"/>
    <w:rsid w:val="0360556D"/>
    <w:rsid w:val="03606F10"/>
    <w:rsid w:val="0361440A"/>
    <w:rsid w:val="03675EC4"/>
    <w:rsid w:val="036A11F0"/>
    <w:rsid w:val="036A59B4"/>
    <w:rsid w:val="036A7762"/>
    <w:rsid w:val="036B1176"/>
    <w:rsid w:val="036B7036"/>
    <w:rsid w:val="036D47D9"/>
    <w:rsid w:val="03703875"/>
    <w:rsid w:val="0370464D"/>
    <w:rsid w:val="037047FD"/>
    <w:rsid w:val="03710AF1"/>
    <w:rsid w:val="03764359"/>
    <w:rsid w:val="03767EB5"/>
    <w:rsid w:val="03791753"/>
    <w:rsid w:val="037A38B6"/>
    <w:rsid w:val="037A49DC"/>
    <w:rsid w:val="037B54CB"/>
    <w:rsid w:val="037E320E"/>
    <w:rsid w:val="037E4FBC"/>
    <w:rsid w:val="037E6D6A"/>
    <w:rsid w:val="03830824"/>
    <w:rsid w:val="0385634A"/>
    <w:rsid w:val="038720C2"/>
    <w:rsid w:val="038B058F"/>
    <w:rsid w:val="038F4AD6"/>
    <w:rsid w:val="038F71C9"/>
    <w:rsid w:val="03920A67"/>
    <w:rsid w:val="03922815"/>
    <w:rsid w:val="0394083A"/>
    <w:rsid w:val="03962305"/>
    <w:rsid w:val="0397213B"/>
    <w:rsid w:val="03991DF6"/>
    <w:rsid w:val="03993BA4"/>
    <w:rsid w:val="039E4589"/>
    <w:rsid w:val="03A02A00"/>
    <w:rsid w:val="03A25D32"/>
    <w:rsid w:val="03A26EFC"/>
    <w:rsid w:val="03A27EF1"/>
    <w:rsid w:val="03A52548"/>
    <w:rsid w:val="03A964DC"/>
    <w:rsid w:val="03AA5DB1"/>
    <w:rsid w:val="03AA7B5F"/>
    <w:rsid w:val="03AB2193"/>
    <w:rsid w:val="03AC12AA"/>
    <w:rsid w:val="03AC14BD"/>
    <w:rsid w:val="03AD764F"/>
    <w:rsid w:val="03AF05A0"/>
    <w:rsid w:val="03AF4968"/>
    <w:rsid w:val="03B22EB7"/>
    <w:rsid w:val="03B5159C"/>
    <w:rsid w:val="03B60759"/>
    <w:rsid w:val="03B95FF4"/>
    <w:rsid w:val="03BD3D36"/>
    <w:rsid w:val="03BD5AE4"/>
    <w:rsid w:val="03BE7AAE"/>
    <w:rsid w:val="03BF0C04"/>
    <w:rsid w:val="03BF2DA7"/>
    <w:rsid w:val="03C24F27"/>
    <w:rsid w:val="03C52BEB"/>
    <w:rsid w:val="03C70711"/>
    <w:rsid w:val="03C835BC"/>
    <w:rsid w:val="03CA507A"/>
    <w:rsid w:val="03CA566F"/>
    <w:rsid w:val="03CB0082"/>
    <w:rsid w:val="03CE720D"/>
    <w:rsid w:val="03D1158F"/>
    <w:rsid w:val="03D41080"/>
    <w:rsid w:val="03D63EB7"/>
    <w:rsid w:val="03D746CC"/>
    <w:rsid w:val="03DB41BC"/>
    <w:rsid w:val="03DD7F34"/>
    <w:rsid w:val="03DF1EFE"/>
    <w:rsid w:val="03E07A24"/>
    <w:rsid w:val="03E112D1"/>
    <w:rsid w:val="03E13EF3"/>
    <w:rsid w:val="03E219EE"/>
    <w:rsid w:val="03E524AE"/>
    <w:rsid w:val="03E70DB3"/>
    <w:rsid w:val="03EA2651"/>
    <w:rsid w:val="03EB72D6"/>
    <w:rsid w:val="03EC767D"/>
    <w:rsid w:val="03ED1C5C"/>
    <w:rsid w:val="03ED40B5"/>
    <w:rsid w:val="03EE6A84"/>
    <w:rsid w:val="03F02C08"/>
    <w:rsid w:val="03F15216"/>
    <w:rsid w:val="03F34C8E"/>
    <w:rsid w:val="03F359AA"/>
    <w:rsid w:val="03F60FF6"/>
    <w:rsid w:val="03F67E59"/>
    <w:rsid w:val="03F90AE6"/>
    <w:rsid w:val="03FA10BB"/>
    <w:rsid w:val="03FA6D38"/>
    <w:rsid w:val="03FC5419"/>
    <w:rsid w:val="03FD2384"/>
    <w:rsid w:val="03FE4A84"/>
    <w:rsid w:val="03FF434E"/>
    <w:rsid w:val="0402799B"/>
    <w:rsid w:val="04082AD7"/>
    <w:rsid w:val="0408709E"/>
    <w:rsid w:val="040B7C23"/>
    <w:rsid w:val="040C3B79"/>
    <w:rsid w:val="040C6A6B"/>
    <w:rsid w:val="040D6149"/>
    <w:rsid w:val="0410030A"/>
    <w:rsid w:val="04125FCD"/>
    <w:rsid w:val="04163446"/>
    <w:rsid w:val="041651F4"/>
    <w:rsid w:val="04180ACB"/>
    <w:rsid w:val="04180F6C"/>
    <w:rsid w:val="041A1188"/>
    <w:rsid w:val="041B0A5C"/>
    <w:rsid w:val="041B3B31"/>
    <w:rsid w:val="041E3F7D"/>
    <w:rsid w:val="042042C5"/>
    <w:rsid w:val="04212517"/>
    <w:rsid w:val="042167B5"/>
    <w:rsid w:val="04235139"/>
    <w:rsid w:val="04245B63"/>
    <w:rsid w:val="04253F9F"/>
    <w:rsid w:val="042711AF"/>
    <w:rsid w:val="042A0CA0"/>
    <w:rsid w:val="042A0FA8"/>
    <w:rsid w:val="042B5143"/>
    <w:rsid w:val="042E0DB9"/>
    <w:rsid w:val="042F4508"/>
    <w:rsid w:val="0431202E"/>
    <w:rsid w:val="04365896"/>
    <w:rsid w:val="043B4C5B"/>
    <w:rsid w:val="043B5A14"/>
    <w:rsid w:val="043D09D3"/>
    <w:rsid w:val="043D4E77"/>
    <w:rsid w:val="04402271"/>
    <w:rsid w:val="0443636B"/>
    <w:rsid w:val="044973C7"/>
    <w:rsid w:val="044B7594"/>
    <w:rsid w:val="044E498E"/>
    <w:rsid w:val="045301F6"/>
    <w:rsid w:val="04531FA4"/>
    <w:rsid w:val="0455562B"/>
    <w:rsid w:val="045716B0"/>
    <w:rsid w:val="0458580D"/>
    <w:rsid w:val="045A3333"/>
    <w:rsid w:val="045B70AB"/>
    <w:rsid w:val="045C354F"/>
    <w:rsid w:val="045F6B9B"/>
    <w:rsid w:val="04604573"/>
    <w:rsid w:val="04613C48"/>
    <w:rsid w:val="04620439"/>
    <w:rsid w:val="04642403"/>
    <w:rsid w:val="04651CD8"/>
    <w:rsid w:val="04694F7F"/>
    <w:rsid w:val="046C3066"/>
    <w:rsid w:val="046E5030"/>
    <w:rsid w:val="047313BB"/>
    <w:rsid w:val="04741F9E"/>
    <w:rsid w:val="04784101"/>
    <w:rsid w:val="047A1C27"/>
    <w:rsid w:val="047A5783"/>
    <w:rsid w:val="047B0F58"/>
    <w:rsid w:val="04846602"/>
    <w:rsid w:val="04865C14"/>
    <w:rsid w:val="04874344"/>
    <w:rsid w:val="04891E6A"/>
    <w:rsid w:val="048A15AE"/>
    <w:rsid w:val="048B5837"/>
    <w:rsid w:val="048E122E"/>
    <w:rsid w:val="048E7480"/>
    <w:rsid w:val="04950D4F"/>
    <w:rsid w:val="0495202A"/>
    <w:rsid w:val="049843D1"/>
    <w:rsid w:val="049974D6"/>
    <w:rsid w:val="049A5E25"/>
    <w:rsid w:val="049D10CF"/>
    <w:rsid w:val="049D3B67"/>
    <w:rsid w:val="049F2A9F"/>
    <w:rsid w:val="049F4DBC"/>
    <w:rsid w:val="04A10F62"/>
    <w:rsid w:val="04A258FF"/>
    <w:rsid w:val="04A41D9A"/>
    <w:rsid w:val="04A42800"/>
    <w:rsid w:val="04A47A17"/>
    <w:rsid w:val="04A47A5C"/>
    <w:rsid w:val="04A647CA"/>
    <w:rsid w:val="04A66578"/>
    <w:rsid w:val="04AB0766"/>
    <w:rsid w:val="04AB0951"/>
    <w:rsid w:val="04AE070E"/>
    <w:rsid w:val="04AE367F"/>
    <w:rsid w:val="04AE7B23"/>
    <w:rsid w:val="04AF2F6C"/>
    <w:rsid w:val="04B50EB1"/>
    <w:rsid w:val="04B52C5F"/>
    <w:rsid w:val="04B54A0D"/>
    <w:rsid w:val="04B64ED6"/>
    <w:rsid w:val="04B769D7"/>
    <w:rsid w:val="04B8274F"/>
    <w:rsid w:val="04BC3FEE"/>
    <w:rsid w:val="04BD1245"/>
    <w:rsid w:val="04BD38C2"/>
    <w:rsid w:val="04BE0603"/>
    <w:rsid w:val="04BF09C9"/>
    <w:rsid w:val="04C133B2"/>
    <w:rsid w:val="04C27BBD"/>
    <w:rsid w:val="04C335CE"/>
    <w:rsid w:val="04C4581E"/>
    <w:rsid w:val="04C47F6E"/>
    <w:rsid w:val="04C65105"/>
    <w:rsid w:val="04C72531"/>
    <w:rsid w:val="04C80BE4"/>
    <w:rsid w:val="04C956C5"/>
    <w:rsid w:val="04CB4231"/>
    <w:rsid w:val="04CB4348"/>
    <w:rsid w:val="04CC1D57"/>
    <w:rsid w:val="04CE3D21"/>
    <w:rsid w:val="04D035F5"/>
    <w:rsid w:val="04D208F9"/>
    <w:rsid w:val="04D255BF"/>
    <w:rsid w:val="04D56E5D"/>
    <w:rsid w:val="04D806FC"/>
    <w:rsid w:val="04DC643E"/>
    <w:rsid w:val="04DE21B6"/>
    <w:rsid w:val="04DF1A8A"/>
    <w:rsid w:val="04DF7CDC"/>
    <w:rsid w:val="04E14A0F"/>
    <w:rsid w:val="04E452F2"/>
    <w:rsid w:val="04E47157"/>
    <w:rsid w:val="04E6106A"/>
    <w:rsid w:val="04E67E0C"/>
    <w:rsid w:val="04E86B91"/>
    <w:rsid w:val="04EA6DAD"/>
    <w:rsid w:val="04EB0197"/>
    <w:rsid w:val="04EB690E"/>
    <w:rsid w:val="04ED23F9"/>
    <w:rsid w:val="04ED7A1B"/>
    <w:rsid w:val="04EF3956"/>
    <w:rsid w:val="04EF66A6"/>
    <w:rsid w:val="04F01EE9"/>
    <w:rsid w:val="04F33787"/>
    <w:rsid w:val="04F449E4"/>
    <w:rsid w:val="04F55E74"/>
    <w:rsid w:val="04F64013"/>
    <w:rsid w:val="04F66439"/>
    <w:rsid w:val="04F75026"/>
    <w:rsid w:val="04F853C7"/>
    <w:rsid w:val="04F95F66"/>
    <w:rsid w:val="04FC43EA"/>
    <w:rsid w:val="04FF037E"/>
    <w:rsid w:val="05015EA4"/>
    <w:rsid w:val="050463C4"/>
    <w:rsid w:val="05047743"/>
    <w:rsid w:val="050E236F"/>
    <w:rsid w:val="050E2686"/>
    <w:rsid w:val="050F05C1"/>
    <w:rsid w:val="05105DDD"/>
    <w:rsid w:val="051072C8"/>
    <w:rsid w:val="05107E95"/>
    <w:rsid w:val="051174AD"/>
    <w:rsid w:val="05121E5F"/>
    <w:rsid w:val="05145BD8"/>
    <w:rsid w:val="051536FE"/>
    <w:rsid w:val="051756C8"/>
    <w:rsid w:val="05177476"/>
    <w:rsid w:val="051E1688"/>
    <w:rsid w:val="051F4750"/>
    <w:rsid w:val="052027CE"/>
    <w:rsid w:val="052258A0"/>
    <w:rsid w:val="05235E1B"/>
    <w:rsid w:val="05257DE5"/>
    <w:rsid w:val="05281683"/>
    <w:rsid w:val="052971A9"/>
    <w:rsid w:val="052E509C"/>
    <w:rsid w:val="052E6377"/>
    <w:rsid w:val="052F5FCA"/>
    <w:rsid w:val="05304B47"/>
    <w:rsid w:val="05340028"/>
    <w:rsid w:val="0534627A"/>
    <w:rsid w:val="053462E4"/>
    <w:rsid w:val="05346BE0"/>
    <w:rsid w:val="05351CA6"/>
    <w:rsid w:val="05355B4E"/>
    <w:rsid w:val="05361078"/>
    <w:rsid w:val="053973EC"/>
    <w:rsid w:val="053B0AD6"/>
    <w:rsid w:val="053E0EA6"/>
    <w:rsid w:val="053E2C54"/>
    <w:rsid w:val="053E4A03"/>
    <w:rsid w:val="053F69CD"/>
    <w:rsid w:val="0542486B"/>
    <w:rsid w:val="054346C7"/>
    <w:rsid w:val="05452235"/>
    <w:rsid w:val="05463EB5"/>
    <w:rsid w:val="05465E5F"/>
    <w:rsid w:val="05493AAB"/>
    <w:rsid w:val="054A15F9"/>
    <w:rsid w:val="054A1F24"/>
    <w:rsid w:val="054B5371"/>
    <w:rsid w:val="054B711F"/>
    <w:rsid w:val="054C2F3C"/>
    <w:rsid w:val="054E09BE"/>
    <w:rsid w:val="054F4E62"/>
    <w:rsid w:val="054F6C10"/>
    <w:rsid w:val="05500BDA"/>
    <w:rsid w:val="05535400"/>
    <w:rsid w:val="05544226"/>
    <w:rsid w:val="05597A8E"/>
    <w:rsid w:val="055A7363"/>
    <w:rsid w:val="055E50A5"/>
    <w:rsid w:val="05616943"/>
    <w:rsid w:val="0565142B"/>
    <w:rsid w:val="05656433"/>
    <w:rsid w:val="05685F23"/>
    <w:rsid w:val="056929AF"/>
    <w:rsid w:val="056976B3"/>
    <w:rsid w:val="056A57F8"/>
    <w:rsid w:val="056B01D9"/>
    <w:rsid w:val="056B1570"/>
    <w:rsid w:val="056E0F69"/>
    <w:rsid w:val="056E1DDF"/>
    <w:rsid w:val="056F2E0E"/>
    <w:rsid w:val="056F72B2"/>
    <w:rsid w:val="05702F6F"/>
    <w:rsid w:val="05706B86"/>
    <w:rsid w:val="057351AA"/>
    <w:rsid w:val="05736B77"/>
    <w:rsid w:val="05742A39"/>
    <w:rsid w:val="057448C8"/>
    <w:rsid w:val="057730B9"/>
    <w:rsid w:val="05786D27"/>
    <w:rsid w:val="0579237E"/>
    <w:rsid w:val="0580326D"/>
    <w:rsid w:val="05832D9D"/>
    <w:rsid w:val="05834800"/>
    <w:rsid w:val="05852631"/>
    <w:rsid w:val="05856AD5"/>
    <w:rsid w:val="05880374"/>
    <w:rsid w:val="058A40EC"/>
    <w:rsid w:val="05900FD6"/>
    <w:rsid w:val="0590119C"/>
    <w:rsid w:val="05932345"/>
    <w:rsid w:val="059565ED"/>
    <w:rsid w:val="059603F2"/>
    <w:rsid w:val="0596483F"/>
    <w:rsid w:val="05964C1A"/>
    <w:rsid w:val="05976809"/>
    <w:rsid w:val="059B00A7"/>
    <w:rsid w:val="059E36F3"/>
    <w:rsid w:val="05A0746B"/>
    <w:rsid w:val="05A52CD4"/>
    <w:rsid w:val="05A56137"/>
    <w:rsid w:val="05A76A4C"/>
    <w:rsid w:val="05AA2098"/>
    <w:rsid w:val="05AB5E10"/>
    <w:rsid w:val="05AC3439"/>
    <w:rsid w:val="05AD3936"/>
    <w:rsid w:val="05AF5900"/>
    <w:rsid w:val="05AF6CF1"/>
    <w:rsid w:val="05B253F0"/>
    <w:rsid w:val="05B47F6F"/>
    <w:rsid w:val="05B64EE1"/>
    <w:rsid w:val="05B747B5"/>
    <w:rsid w:val="05B9052D"/>
    <w:rsid w:val="05BA1905"/>
    <w:rsid w:val="05BB5BCD"/>
    <w:rsid w:val="05BB6D13"/>
    <w:rsid w:val="05C02EA4"/>
    <w:rsid w:val="05C31215"/>
    <w:rsid w:val="05C53DD1"/>
    <w:rsid w:val="05C55124"/>
    <w:rsid w:val="05C63FE0"/>
    <w:rsid w:val="05C80770"/>
    <w:rsid w:val="05CA0776"/>
    <w:rsid w:val="05CA2855"/>
    <w:rsid w:val="05CC3B66"/>
    <w:rsid w:val="05CD2772"/>
    <w:rsid w:val="05CD3EB3"/>
    <w:rsid w:val="05CF13A4"/>
    <w:rsid w:val="05D02834"/>
    <w:rsid w:val="05D22059"/>
    <w:rsid w:val="05D610DF"/>
    <w:rsid w:val="05D80FC6"/>
    <w:rsid w:val="05D9297D"/>
    <w:rsid w:val="05D94337"/>
    <w:rsid w:val="05D97573"/>
    <w:rsid w:val="05DD246D"/>
    <w:rsid w:val="05DE7F94"/>
    <w:rsid w:val="05DF77D5"/>
    <w:rsid w:val="05E03D0C"/>
    <w:rsid w:val="05E27A84"/>
    <w:rsid w:val="05E509F9"/>
    <w:rsid w:val="05E536D6"/>
    <w:rsid w:val="05E57574"/>
    <w:rsid w:val="05EA4B8A"/>
    <w:rsid w:val="05EA6938"/>
    <w:rsid w:val="05F059C1"/>
    <w:rsid w:val="05F31C91"/>
    <w:rsid w:val="05F81055"/>
    <w:rsid w:val="05FB0B46"/>
    <w:rsid w:val="05FD2B10"/>
    <w:rsid w:val="05FD48BE"/>
    <w:rsid w:val="05FF21E1"/>
    <w:rsid w:val="06007F0A"/>
    <w:rsid w:val="06020126"/>
    <w:rsid w:val="0603061C"/>
    <w:rsid w:val="060321AA"/>
    <w:rsid w:val="06032B2D"/>
    <w:rsid w:val="06035C4C"/>
    <w:rsid w:val="060379FA"/>
    <w:rsid w:val="060519C4"/>
    <w:rsid w:val="06093262"/>
    <w:rsid w:val="060E0879"/>
    <w:rsid w:val="060E2B12"/>
    <w:rsid w:val="060E6ACB"/>
    <w:rsid w:val="060F6837"/>
    <w:rsid w:val="06110369"/>
    <w:rsid w:val="06112117"/>
    <w:rsid w:val="06113EC5"/>
    <w:rsid w:val="061340E1"/>
    <w:rsid w:val="061439B5"/>
    <w:rsid w:val="06147E59"/>
    <w:rsid w:val="06154ED4"/>
    <w:rsid w:val="061614DB"/>
    <w:rsid w:val="0616772D"/>
    <w:rsid w:val="06173EC2"/>
    <w:rsid w:val="061834A6"/>
    <w:rsid w:val="061B4ACE"/>
    <w:rsid w:val="061C3F4A"/>
    <w:rsid w:val="061C5ABD"/>
    <w:rsid w:val="061E4834"/>
    <w:rsid w:val="06201B78"/>
    <w:rsid w:val="0620235A"/>
    <w:rsid w:val="062112BF"/>
    <w:rsid w:val="06211B4A"/>
    <w:rsid w:val="06231E4A"/>
    <w:rsid w:val="06233BF8"/>
    <w:rsid w:val="062A31D9"/>
    <w:rsid w:val="062C0CFF"/>
    <w:rsid w:val="062C5397"/>
    <w:rsid w:val="062C6F51"/>
    <w:rsid w:val="062E0F1B"/>
    <w:rsid w:val="062E4A77"/>
    <w:rsid w:val="062F259D"/>
    <w:rsid w:val="0630278C"/>
    <w:rsid w:val="0630790C"/>
    <w:rsid w:val="063125AB"/>
    <w:rsid w:val="06314567"/>
    <w:rsid w:val="06316315"/>
    <w:rsid w:val="06333061"/>
    <w:rsid w:val="06336531"/>
    <w:rsid w:val="063442D3"/>
    <w:rsid w:val="06361B7E"/>
    <w:rsid w:val="06370210"/>
    <w:rsid w:val="063A05DB"/>
    <w:rsid w:val="063A7915"/>
    <w:rsid w:val="063B0884"/>
    <w:rsid w:val="063B3638"/>
    <w:rsid w:val="063B43C4"/>
    <w:rsid w:val="063B7194"/>
    <w:rsid w:val="063D4CBA"/>
    <w:rsid w:val="063F793B"/>
    <w:rsid w:val="064424ED"/>
    <w:rsid w:val="06443A3D"/>
    <w:rsid w:val="06450047"/>
    <w:rsid w:val="0648365F"/>
    <w:rsid w:val="064A0436"/>
    <w:rsid w:val="064C1AE1"/>
    <w:rsid w:val="064C75F3"/>
    <w:rsid w:val="064E6EC7"/>
    <w:rsid w:val="065168BB"/>
    <w:rsid w:val="065321FE"/>
    <w:rsid w:val="06563FCE"/>
    <w:rsid w:val="06564AEF"/>
    <w:rsid w:val="06565D7C"/>
    <w:rsid w:val="06566711"/>
    <w:rsid w:val="06585F98"/>
    <w:rsid w:val="06594D7C"/>
    <w:rsid w:val="0659586C"/>
    <w:rsid w:val="065A1D10"/>
    <w:rsid w:val="065C7563"/>
    <w:rsid w:val="065D24E3"/>
    <w:rsid w:val="065D710A"/>
    <w:rsid w:val="0661309E"/>
    <w:rsid w:val="06615C0A"/>
    <w:rsid w:val="06660700"/>
    <w:rsid w:val="066647AF"/>
    <w:rsid w:val="0667442D"/>
    <w:rsid w:val="06693D01"/>
    <w:rsid w:val="066C0621"/>
    <w:rsid w:val="066C559F"/>
    <w:rsid w:val="066E070B"/>
    <w:rsid w:val="066E30C6"/>
    <w:rsid w:val="066E7569"/>
    <w:rsid w:val="066F6E3E"/>
    <w:rsid w:val="06710E08"/>
    <w:rsid w:val="067526A6"/>
    <w:rsid w:val="0676641E"/>
    <w:rsid w:val="06770ACE"/>
    <w:rsid w:val="0677360E"/>
    <w:rsid w:val="067810A4"/>
    <w:rsid w:val="067A4160"/>
    <w:rsid w:val="067A57F6"/>
    <w:rsid w:val="067A7CBC"/>
    <w:rsid w:val="067B1C86"/>
    <w:rsid w:val="067E04FA"/>
    <w:rsid w:val="0680104B"/>
    <w:rsid w:val="068428E9"/>
    <w:rsid w:val="068723D9"/>
    <w:rsid w:val="06874187"/>
    <w:rsid w:val="068A4E6D"/>
    <w:rsid w:val="068B1EC9"/>
    <w:rsid w:val="068C3E93"/>
    <w:rsid w:val="068D4FC2"/>
    <w:rsid w:val="068F128E"/>
    <w:rsid w:val="06915006"/>
    <w:rsid w:val="0692233C"/>
    <w:rsid w:val="0693251F"/>
    <w:rsid w:val="06935222"/>
    <w:rsid w:val="06952D48"/>
    <w:rsid w:val="0696261C"/>
    <w:rsid w:val="069761AE"/>
    <w:rsid w:val="06982838"/>
    <w:rsid w:val="069A3EBB"/>
    <w:rsid w:val="069B5E85"/>
    <w:rsid w:val="069C689A"/>
    <w:rsid w:val="06A0349B"/>
    <w:rsid w:val="06A13572"/>
    <w:rsid w:val="06A34D53"/>
    <w:rsid w:val="06A40336"/>
    <w:rsid w:val="06A44D39"/>
    <w:rsid w:val="06A900F8"/>
    <w:rsid w:val="06AA0DF4"/>
    <w:rsid w:val="06AB256C"/>
    <w:rsid w:val="06AC1E40"/>
    <w:rsid w:val="06AE5BB8"/>
    <w:rsid w:val="06AE7966"/>
    <w:rsid w:val="06B036DE"/>
    <w:rsid w:val="06B07B82"/>
    <w:rsid w:val="06B156A8"/>
    <w:rsid w:val="06B17456"/>
    <w:rsid w:val="06B331CE"/>
    <w:rsid w:val="06B55198"/>
    <w:rsid w:val="06B61DA9"/>
    <w:rsid w:val="06B61F38"/>
    <w:rsid w:val="06BA455D"/>
    <w:rsid w:val="06BC02D5"/>
    <w:rsid w:val="06BC1BE0"/>
    <w:rsid w:val="06BD3726"/>
    <w:rsid w:val="06C07F8B"/>
    <w:rsid w:val="06C278B5"/>
    <w:rsid w:val="06C569FA"/>
    <w:rsid w:val="06C76C7A"/>
    <w:rsid w:val="06C8694B"/>
    <w:rsid w:val="06CB0518"/>
    <w:rsid w:val="06CC603E"/>
    <w:rsid w:val="06CD36B9"/>
    <w:rsid w:val="06CE0E4D"/>
    <w:rsid w:val="06D51397"/>
    <w:rsid w:val="06D575E9"/>
    <w:rsid w:val="06D66EBD"/>
    <w:rsid w:val="06D73361"/>
    <w:rsid w:val="06D77AC5"/>
    <w:rsid w:val="06D867B3"/>
    <w:rsid w:val="06DA0B31"/>
    <w:rsid w:val="06DB2F20"/>
    <w:rsid w:val="06DD024B"/>
    <w:rsid w:val="06E11AE9"/>
    <w:rsid w:val="06E31D05"/>
    <w:rsid w:val="06E4782C"/>
    <w:rsid w:val="06E55C44"/>
    <w:rsid w:val="06E845C5"/>
    <w:rsid w:val="06E92249"/>
    <w:rsid w:val="06EB2968"/>
    <w:rsid w:val="06EB6E0C"/>
    <w:rsid w:val="06EC66E0"/>
    <w:rsid w:val="06EC7D87"/>
    <w:rsid w:val="06F0766A"/>
    <w:rsid w:val="06F35831"/>
    <w:rsid w:val="06F35C48"/>
    <w:rsid w:val="06F55595"/>
    <w:rsid w:val="06F67972"/>
    <w:rsid w:val="06FA0DFD"/>
    <w:rsid w:val="06FC0A47"/>
    <w:rsid w:val="06FC6923"/>
    <w:rsid w:val="06FE5FE8"/>
    <w:rsid w:val="07016FBD"/>
    <w:rsid w:val="07034156"/>
    <w:rsid w:val="07050B05"/>
    <w:rsid w:val="07070CE0"/>
    <w:rsid w:val="070752C8"/>
    <w:rsid w:val="07091040"/>
    <w:rsid w:val="07097292"/>
    <w:rsid w:val="070C589E"/>
    <w:rsid w:val="070E2AFA"/>
    <w:rsid w:val="070E48A8"/>
    <w:rsid w:val="07124399"/>
    <w:rsid w:val="07126147"/>
    <w:rsid w:val="07131EBF"/>
    <w:rsid w:val="07140111"/>
    <w:rsid w:val="0715109C"/>
    <w:rsid w:val="0715712E"/>
    <w:rsid w:val="071579E5"/>
    <w:rsid w:val="07165861"/>
    <w:rsid w:val="0717375D"/>
    <w:rsid w:val="071835C2"/>
    <w:rsid w:val="071B013B"/>
    <w:rsid w:val="071C0D73"/>
    <w:rsid w:val="071D13D8"/>
    <w:rsid w:val="071F2612"/>
    <w:rsid w:val="072408B5"/>
    <w:rsid w:val="07281A58"/>
    <w:rsid w:val="07283BBC"/>
    <w:rsid w:val="07287718"/>
    <w:rsid w:val="072A4378"/>
    <w:rsid w:val="072A7934"/>
    <w:rsid w:val="072B7208"/>
    <w:rsid w:val="07302A71"/>
    <w:rsid w:val="073A38EF"/>
    <w:rsid w:val="073A7715"/>
    <w:rsid w:val="073B106D"/>
    <w:rsid w:val="07403158"/>
    <w:rsid w:val="07434BE5"/>
    <w:rsid w:val="07462294"/>
    <w:rsid w:val="07465E59"/>
    <w:rsid w:val="07487DBA"/>
    <w:rsid w:val="0749768F"/>
    <w:rsid w:val="074B1659"/>
    <w:rsid w:val="074B20D5"/>
    <w:rsid w:val="074B3407"/>
    <w:rsid w:val="074B78AB"/>
    <w:rsid w:val="074E5313"/>
    <w:rsid w:val="07502802"/>
    <w:rsid w:val="07550729"/>
    <w:rsid w:val="075A7AEE"/>
    <w:rsid w:val="075B3AB3"/>
    <w:rsid w:val="075B5D40"/>
    <w:rsid w:val="075E138C"/>
    <w:rsid w:val="075F5104"/>
    <w:rsid w:val="076171F1"/>
    <w:rsid w:val="076369A2"/>
    <w:rsid w:val="07660241"/>
    <w:rsid w:val="07670770"/>
    <w:rsid w:val="0768220B"/>
    <w:rsid w:val="076A4B6C"/>
    <w:rsid w:val="076C3487"/>
    <w:rsid w:val="076C4259"/>
    <w:rsid w:val="0774295E"/>
    <w:rsid w:val="07794418"/>
    <w:rsid w:val="077973F5"/>
    <w:rsid w:val="07797F74"/>
    <w:rsid w:val="077F7266"/>
    <w:rsid w:val="07804F8A"/>
    <w:rsid w:val="0782783A"/>
    <w:rsid w:val="07854B6B"/>
    <w:rsid w:val="07862691"/>
    <w:rsid w:val="078801B7"/>
    <w:rsid w:val="078D7EC3"/>
    <w:rsid w:val="078F7797"/>
    <w:rsid w:val="079052BE"/>
    <w:rsid w:val="079254DA"/>
    <w:rsid w:val="07951E26"/>
    <w:rsid w:val="079528D4"/>
    <w:rsid w:val="07963981"/>
    <w:rsid w:val="0797664C"/>
    <w:rsid w:val="079A2AEA"/>
    <w:rsid w:val="079B3507"/>
    <w:rsid w:val="079C0106"/>
    <w:rsid w:val="079E3062"/>
    <w:rsid w:val="07A1396F"/>
    <w:rsid w:val="07A33243"/>
    <w:rsid w:val="07A46156"/>
    <w:rsid w:val="07A56FBB"/>
    <w:rsid w:val="07A85A5C"/>
    <w:rsid w:val="07AA2823"/>
    <w:rsid w:val="07AB405E"/>
    <w:rsid w:val="07AD2313"/>
    <w:rsid w:val="07B216D8"/>
    <w:rsid w:val="07B26B71"/>
    <w:rsid w:val="07B43691"/>
    <w:rsid w:val="07B471FE"/>
    <w:rsid w:val="07B92E8A"/>
    <w:rsid w:val="07BB058C"/>
    <w:rsid w:val="07BD6BB5"/>
    <w:rsid w:val="07C03A74"/>
    <w:rsid w:val="07C5140B"/>
    <w:rsid w:val="07C531B9"/>
    <w:rsid w:val="07C6627C"/>
    <w:rsid w:val="07C77907"/>
    <w:rsid w:val="07C95826"/>
    <w:rsid w:val="07CA4C73"/>
    <w:rsid w:val="07CC0B06"/>
    <w:rsid w:val="07CD4764"/>
    <w:rsid w:val="07CF0EF6"/>
    <w:rsid w:val="07CF228A"/>
    <w:rsid w:val="07CF3015"/>
    <w:rsid w:val="07D01B5E"/>
    <w:rsid w:val="07D41E77"/>
    <w:rsid w:val="07D433FC"/>
    <w:rsid w:val="07D72EEC"/>
    <w:rsid w:val="07DB0C2F"/>
    <w:rsid w:val="07DB32BF"/>
    <w:rsid w:val="07DB5B40"/>
    <w:rsid w:val="07DC6755"/>
    <w:rsid w:val="07DE24CD"/>
    <w:rsid w:val="07E15B19"/>
    <w:rsid w:val="07E34DE1"/>
    <w:rsid w:val="07E35D35"/>
    <w:rsid w:val="07E66A89"/>
    <w:rsid w:val="07E86EA8"/>
    <w:rsid w:val="07EA3243"/>
    <w:rsid w:val="07EA70C4"/>
    <w:rsid w:val="07EC6998"/>
    <w:rsid w:val="07ED0104"/>
    <w:rsid w:val="07EF46DA"/>
    <w:rsid w:val="07EF6488"/>
    <w:rsid w:val="07EF6B13"/>
    <w:rsid w:val="07F4584C"/>
    <w:rsid w:val="07F67816"/>
    <w:rsid w:val="07F77E76"/>
    <w:rsid w:val="07F817E1"/>
    <w:rsid w:val="07F92E63"/>
    <w:rsid w:val="07F97754"/>
    <w:rsid w:val="07FA3C26"/>
    <w:rsid w:val="07FB488D"/>
    <w:rsid w:val="07FE5128"/>
    <w:rsid w:val="08031F33"/>
    <w:rsid w:val="080A1514"/>
    <w:rsid w:val="080C7A77"/>
    <w:rsid w:val="080D690E"/>
    <w:rsid w:val="080E209C"/>
    <w:rsid w:val="080F6B2A"/>
    <w:rsid w:val="0810758D"/>
    <w:rsid w:val="08114650"/>
    <w:rsid w:val="081163FE"/>
    <w:rsid w:val="081303C8"/>
    <w:rsid w:val="0814739E"/>
    <w:rsid w:val="08147C9D"/>
    <w:rsid w:val="08155C5D"/>
    <w:rsid w:val="0817778D"/>
    <w:rsid w:val="081859DF"/>
    <w:rsid w:val="081971AF"/>
    <w:rsid w:val="081A09F7"/>
    <w:rsid w:val="081A6E86"/>
    <w:rsid w:val="081B102B"/>
    <w:rsid w:val="081B54CF"/>
    <w:rsid w:val="081C4DA3"/>
    <w:rsid w:val="081D148E"/>
    <w:rsid w:val="0821404C"/>
    <w:rsid w:val="0822060B"/>
    <w:rsid w:val="082223BA"/>
    <w:rsid w:val="082425D6"/>
    <w:rsid w:val="08250323"/>
    <w:rsid w:val="082A15C4"/>
    <w:rsid w:val="082A74C0"/>
    <w:rsid w:val="082F13D5"/>
    <w:rsid w:val="082F2519"/>
    <w:rsid w:val="082F3634"/>
    <w:rsid w:val="0831084F"/>
    <w:rsid w:val="08350981"/>
    <w:rsid w:val="08386081"/>
    <w:rsid w:val="083C7F99"/>
    <w:rsid w:val="083D5D6A"/>
    <w:rsid w:val="083E22EA"/>
    <w:rsid w:val="083E2F6B"/>
    <w:rsid w:val="084329EC"/>
    <w:rsid w:val="084542FA"/>
    <w:rsid w:val="08470072"/>
    <w:rsid w:val="084C5688"/>
    <w:rsid w:val="084E5DED"/>
    <w:rsid w:val="084E7652"/>
    <w:rsid w:val="084F0A5C"/>
    <w:rsid w:val="084F247A"/>
    <w:rsid w:val="084F6F27"/>
    <w:rsid w:val="08526089"/>
    <w:rsid w:val="085723C5"/>
    <w:rsid w:val="085803BD"/>
    <w:rsid w:val="085B1D6F"/>
    <w:rsid w:val="085E716A"/>
    <w:rsid w:val="08602EE2"/>
    <w:rsid w:val="086230FE"/>
    <w:rsid w:val="08642221"/>
    <w:rsid w:val="08652422"/>
    <w:rsid w:val="0865499C"/>
    <w:rsid w:val="08666989"/>
    <w:rsid w:val="08674270"/>
    <w:rsid w:val="086A3D60"/>
    <w:rsid w:val="086D41EB"/>
    <w:rsid w:val="086E3851"/>
    <w:rsid w:val="086E4F34"/>
    <w:rsid w:val="086E61A0"/>
    <w:rsid w:val="086E7FA8"/>
    <w:rsid w:val="08711187"/>
    <w:rsid w:val="087150EF"/>
    <w:rsid w:val="08730E67"/>
    <w:rsid w:val="087A1BF2"/>
    <w:rsid w:val="087B0816"/>
    <w:rsid w:val="087D1CE6"/>
    <w:rsid w:val="087D3A94"/>
    <w:rsid w:val="08805332"/>
    <w:rsid w:val="08856DEC"/>
    <w:rsid w:val="088774EE"/>
    <w:rsid w:val="0888740E"/>
    <w:rsid w:val="0889068B"/>
    <w:rsid w:val="088B1937"/>
    <w:rsid w:val="088C1F29"/>
    <w:rsid w:val="088D73C8"/>
    <w:rsid w:val="088E3EF3"/>
    <w:rsid w:val="088F37C7"/>
    <w:rsid w:val="088F491C"/>
    <w:rsid w:val="08901A19"/>
    <w:rsid w:val="08907C6B"/>
    <w:rsid w:val="08932B62"/>
    <w:rsid w:val="0895702F"/>
    <w:rsid w:val="089808CE"/>
    <w:rsid w:val="08980AF6"/>
    <w:rsid w:val="0898267C"/>
    <w:rsid w:val="089963F4"/>
    <w:rsid w:val="089B412D"/>
    <w:rsid w:val="089E0E96"/>
    <w:rsid w:val="08A12EF0"/>
    <w:rsid w:val="08A2174C"/>
    <w:rsid w:val="08A26784"/>
    <w:rsid w:val="08A50077"/>
    <w:rsid w:val="08A76701"/>
    <w:rsid w:val="08A812A6"/>
    <w:rsid w:val="08A92ADB"/>
    <w:rsid w:val="08AA23AF"/>
    <w:rsid w:val="08AB6853"/>
    <w:rsid w:val="08AC25CB"/>
    <w:rsid w:val="08AF3CFA"/>
    <w:rsid w:val="08AF4D90"/>
    <w:rsid w:val="08B03E69"/>
    <w:rsid w:val="08B05C3F"/>
    <w:rsid w:val="08B1198F"/>
    <w:rsid w:val="08B1373D"/>
    <w:rsid w:val="08B35707"/>
    <w:rsid w:val="08B51480"/>
    <w:rsid w:val="08B66FA6"/>
    <w:rsid w:val="08B733B2"/>
    <w:rsid w:val="08BA3694"/>
    <w:rsid w:val="08BB280E"/>
    <w:rsid w:val="08BD0334"/>
    <w:rsid w:val="08BE7346"/>
    <w:rsid w:val="08C07E24"/>
    <w:rsid w:val="08C47915"/>
    <w:rsid w:val="08C50AF1"/>
    <w:rsid w:val="08C6368D"/>
    <w:rsid w:val="08C674F9"/>
    <w:rsid w:val="08C711B3"/>
    <w:rsid w:val="08C77405"/>
    <w:rsid w:val="08C94F2B"/>
    <w:rsid w:val="08C96CD9"/>
    <w:rsid w:val="08C97472"/>
    <w:rsid w:val="08CC0577"/>
    <w:rsid w:val="08CE42EF"/>
    <w:rsid w:val="08CF4872"/>
    <w:rsid w:val="08D30471"/>
    <w:rsid w:val="08D4742C"/>
    <w:rsid w:val="08D631A4"/>
    <w:rsid w:val="08D73E8D"/>
    <w:rsid w:val="08D85AD7"/>
    <w:rsid w:val="08DB6A0C"/>
    <w:rsid w:val="08DC58E8"/>
    <w:rsid w:val="08DF38E2"/>
    <w:rsid w:val="08E157B6"/>
    <w:rsid w:val="08E2175A"/>
    <w:rsid w:val="08E458C1"/>
    <w:rsid w:val="08E5550A"/>
    <w:rsid w:val="08EB30F3"/>
    <w:rsid w:val="08EE04EE"/>
    <w:rsid w:val="08EF68F2"/>
    <w:rsid w:val="08F31FA8"/>
    <w:rsid w:val="08F455F2"/>
    <w:rsid w:val="08F47CE0"/>
    <w:rsid w:val="08F47ED8"/>
    <w:rsid w:val="08F54FFF"/>
    <w:rsid w:val="08FA1588"/>
    <w:rsid w:val="08FC38DF"/>
    <w:rsid w:val="08FD6983"/>
    <w:rsid w:val="08FE77F2"/>
    <w:rsid w:val="09025EC2"/>
    <w:rsid w:val="09032742"/>
    <w:rsid w:val="09043664"/>
    <w:rsid w:val="090441B5"/>
    <w:rsid w:val="090B4153"/>
    <w:rsid w:val="090D12BC"/>
    <w:rsid w:val="0911242E"/>
    <w:rsid w:val="09145F72"/>
    <w:rsid w:val="09150170"/>
    <w:rsid w:val="09155A79"/>
    <w:rsid w:val="09175198"/>
    <w:rsid w:val="09175C96"/>
    <w:rsid w:val="09175F3C"/>
    <w:rsid w:val="091A588A"/>
    <w:rsid w:val="091B505B"/>
    <w:rsid w:val="091C14FF"/>
    <w:rsid w:val="091D7025"/>
    <w:rsid w:val="091E1E7E"/>
    <w:rsid w:val="091F4B4B"/>
    <w:rsid w:val="09223368"/>
    <w:rsid w:val="0923288D"/>
    <w:rsid w:val="0925299D"/>
    <w:rsid w:val="092812C3"/>
    <w:rsid w:val="092959CA"/>
    <w:rsid w:val="092B34F0"/>
    <w:rsid w:val="092B63E5"/>
    <w:rsid w:val="092C1016"/>
    <w:rsid w:val="092C7268"/>
    <w:rsid w:val="092E095D"/>
    <w:rsid w:val="092E2FE0"/>
    <w:rsid w:val="092E6619"/>
    <w:rsid w:val="0935436E"/>
    <w:rsid w:val="0935611C"/>
    <w:rsid w:val="09383E5F"/>
    <w:rsid w:val="093920B1"/>
    <w:rsid w:val="093A3598"/>
    <w:rsid w:val="093A3733"/>
    <w:rsid w:val="093C56FD"/>
    <w:rsid w:val="09410F65"/>
    <w:rsid w:val="0949606C"/>
    <w:rsid w:val="094B1DE4"/>
    <w:rsid w:val="094B5940"/>
    <w:rsid w:val="094C3466"/>
    <w:rsid w:val="094C5B8E"/>
    <w:rsid w:val="094E1A1E"/>
    <w:rsid w:val="094E3682"/>
    <w:rsid w:val="094E5430"/>
    <w:rsid w:val="094E5A0C"/>
    <w:rsid w:val="09500231"/>
    <w:rsid w:val="09502F56"/>
    <w:rsid w:val="09507869"/>
    <w:rsid w:val="09532A47"/>
    <w:rsid w:val="0955056D"/>
    <w:rsid w:val="095742E5"/>
    <w:rsid w:val="09581E0B"/>
    <w:rsid w:val="095C5D9F"/>
    <w:rsid w:val="095C7B4D"/>
    <w:rsid w:val="095D6ACD"/>
    <w:rsid w:val="096133B5"/>
    <w:rsid w:val="09616F12"/>
    <w:rsid w:val="096227F5"/>
    <w:rsid w:val="096535C8"/>
    <w:rsid w:val="096A427D"/>
    <w:rsid w:val="096B1B3E"/>
    <w:rsid w:val="096E162E"/>
    <w:rsid w:val="096E7880"/>
    <w:rsid w:val="096F3AB3"/>
    <w:rsid w:val="097035F9"/>
    <w:rsid w:val="097067D3"/>
    <w:rsid w:val="09727371"/>
    <w:rsid w:val="09734E97"/>
    <w:rsid w:val="0975046F"/>
    <w:rsid w:val="09750564"/>
    <w:rsid w:val="097529BD"/>
    <w:rsid w:val="09756E61"/>
    <w:rsid w:val="097924AD"/>
    <w:rsid w:val="097A3625"/>
    <w:rsid w:val="097C1F9D"/>
    <w:rsid w:val="098032F7"/>
    <w:rsid w:val="09811362"/>
    <w:rsid w:val="09815806"/>
    <w:rsid w:val="0982413B"/>
    <w:rsid w:val="098307E8"/>
    <w:rsid w:val="098470A4"/>
    <w:rsid w:val="09862E1C"/>
    <w:rsid w:val="09866978"/>
    <w:rsid w:val="098705F9"/>
    <w:rsid w:val="09886B94"/>
    <w:rsid w:val="09895AEA"/>
    <w:rsid w:val="098976B2"/>
    <w:rsid w:val="098A5D86"/>
    <w:rsid w:val="098C3E22"/>
    <w:rsid w:val="098D2F3B"/>
    <w:rsid w:val="098E154B"/>
    <w:rsid w:val="09906519"/>
    <w:rsid w:val="09945539"/>
    <w:rsid w:val="099512B1"/>
    <w:rsid w:val="0997085E"/>
    <w:rsid w:val="099727D3"/>
    <w:rsid w:val="09975029"/>
    <w:rsid w:val="099A7690"/>
    <w:rsid w:val="099C263F"/>
    <w:rsid w:val="099E05BD"/>
    <w:rsid w:val="099F5FBE"/>
    <w:rsid w:val="099F6527"/>
    <w:rsid w:val="09A11A04"/>
    <w:rsid w:val="09A3577C"/>
    <w:rsid w:val="09A6454A"/>
    <w:rsid w:val="09A762B9"/>
    <w:rsid w:val="09A82D92"/>
    <w:rsid w:val="09A950D4"/>
    <w:rsid w:val="09AA4D5C"/>
    <w:rsid w:val="09AB2883"/>
    <w:rsid w:val="09AD03A9"/>
    <w:rsid w:val="09AE6375"/>
    <w:rsid w:val="09AF2373"/>
    <w:rsid w:val="09B22489"/>
    <w:rsid w:val="09B23C11"/>
    <w:rsid w:val="09B41737"/>
    <w:rsid w:val="09B434E5"/>
    <w:rsid w:val="09B540D2"/>
    <w:rsid w:val="09B63701"/>
    <w:rsid w:val="09B64B07"/>
    <w:rsid w:val="09B71227"/>
    <w:rsid w:val="09B764B3"/>
    <w:rsid w:val="09B907C2"/>
    <w:rsid w:val="09B94A54"/>
    <w:rsid w:val="09BA4874"/>
    <w:rsid w:val="09BB0D18"/>
    <w:rsid w:val="09BC6226"/>
    <w:rsid w:val="09BD51DD"/>
    <w:rsid w:val="09BF1E8A"/>
    <w:rsid w:val="09C000DC"/>
    <w:rsid w:val="09C0632E"/>
    <w:rsid w:val="09C120A6"/>
    <w:rsid w:val="09C13E54"/>
    <w:rsid w:val="09C332D8"/>
    <w:rsid w:val="09C42541"/>
    <w:rsid w:val="09C556F2"/>
    <w:rsid w:val="09C676BC"/>
    <w:rsid w:val="09C94AB7"/>
    <w:rsid w:val="09CA661E"/>
    <w:rsid w:val="09CD27F9"/>
    <w:rsid w:val="09D04097"/>
    <w:rsid w:val="09D2576F"/>
    <w:rsid w:val="09D27E0F"/>
    <w:rsid w:val="09D417AD"/>
    <w:rsid w:val="09D45935"/>
    <w:rsid w:val="09D516AE"/>
    <w:rsid w:val="09D65AF6"/>
    <w:rsid w:val="09D74EF0"/>
    <w:rsid w:val="09D85105"/>
    <w:rsid w:val="09D87570"/>
    <w:rsid w:val="09DA5642"/>
    <w:rsid w:val="09DA6CC4"/>
    <w:rsid w:val="09DC0C8E"/>
    <w:rsid w:val="09E162A4"/>
    <w:rsid w:val="09E216CB"/>
    <w:rsid w:val="09E244F6"/>
    <w:rsid w:val="09E35B78"/>
    <w:rsid w:val="09E65669"/>
    <w:rsid w:val="09E71B0D"/>
    <w:rsid w:val="09E75A5D"/>
    <w:rsid w:val="09EA33AB"/>
    <w:rsid w:val="09ED69F7"/>
    <w:rsid w:val="09EF0992"/>
    <w:rsid w:val="09EF09C1"/>
    <w:rsid w:val="09EF451D"/>
    <w:rsid w:val="09EF6941"/>
    <w:rsid w:val="09F2225F"/>
    <w:rsid w:val="09F50A27"/>
    <w:rsid w:val="09F50B09"/>
    <w:rsid w:val="09F63AFE"/>
    <w:rsid w:val="09F72A46"/>
    <w:rsid w:val="09F9539C"/>
    <w:rsid w:val="09FB55B8"/>
    <w:rsid w:val="09FC4E8C"/>
    <w:rsid w:val="09FD565C"/>
    <w:rsid w:val="09FE0C04"/>
    <w:rsid w:val="09FE6E56"/>
    <w:rsid w:val="0A0159F2"/>
    <w:rsid w:val="0A03621B"/>
    <w:rsid w:val="0A053D41"/>
    <w:rsid w:val="0A067AB9"/>
    <w:rsid w:val="0A0B0881"/>
    <w:rsid w:val="0A0B189B"/>
    <w:rsid w:val="0A0B2D2F"/>
    <w:rsid w:val="0A110938"/>
    <w:rsid w:val="0A116B8A"/>
    <w:rsid w:val="0A124DEA"/>
    <w:rsid w:val="0A12645E"/>
    <w:rsid w:val="0A1313A3"/>
    <w:rsid w:val="0A1D16CA"/>
    <w:rsid w:val="0A2401B4"/>
    <w:rsid w:val="0A252635"/>
    <w:rsid w:val="0A2543E3"/>
    <w:rsid w:val="0A266660"/>
    <w:rsid w:val="0A27015B"/>
    <w:rsid w:val="0A283ED3"/>
    <w:rsid w:val="0A2D14EA"/>
    <w:rsid w:val="0A2F7010"/>
    <w:rsid w:val="0A320DD3"/>
    <w:rsid w:val="0A3221EC"/>
    <w:rsid w:val="0A333840"/>
    <w:rsid w:val="0A345CBC"/>
    <w:rsid w:val="0A362BD2"/>
    <w:rsid w:val="0A3665F0"/>
    <w:rsid w:val="0A3870C8"/>
    <w:rsid w:val="0A3960E0"/>
    <w:rsid w:val="0A3C34DB"/>
    <w:rsid w:val="0A3C4E60"/>
    <w:rsid w:val="0A3F4A69"/>
    <w:rsid w:val="0A41178C"/>
    <w:rsid w:val="0A430D0D"/>
    <w:rsid w:val="0A432ABB"/>
    <w:rsid w:val="0A445F7C"/>
    <w:rsid w:val="0A470285"/>
    <w:rsid w:val="0A474359"/>
    <w:rsid w:val="0A4A209B"/>
    <w:rsid w:val="0A4A7645"/>
    <w:rsid w:val="0A4B1E5E"/>
    <w:rsid w:val="0A4C7BC2"/>
    <w:rsid w:val="0A4F3208"/>
    <w:rsid w:val="0A530F50"/>
    <w:rsid w:val="0A535F6B"/>
    <w:rsid w:val="0A550E29"/>
    <w:rsid w:val="0A5519E4"/>
    <w:rsid w:val="0A56459C"/>
    <w:rsid w:val="0A586566"/>
    <w:rsid w:val="0A595E3B"/>
    <w:rsid w:val="0A5C46AC"/>
    <w:rsid w:val="0A5D1DCF"/>
    <w:rsid w:val="0A5E51A8"/>
    <w:rsid w:val="0A634F0B"/>
    <w:rsid w:val="0A690774"/>
    <w:rsid w:val="0A69175D"/>
    <w:rsid w:val="0A6A0048"/>
    <w:rsid w:val="0A6A44EC"/>
    <w:rsid w:val="0A6C2012"/>
    <w:rsid w:val="0A6D7B38"/>
    <w:rsid w:val="0A6F1B02"/>
    <w:rsid w:val="0A6F5721"/>
    <w:rsid w:val="0A7113D6"/>
    <w:rsid w:val="0A717628"/>
    <w:rsid w:val="0A7315F2"/>
    <w:rsid w:val="0A73514E"/>
    <w:rsid w:val="0A742C74"/>
    <w:rsid w:val="0A747118"/>
    <w:rsid w:val="0A7532F0"/>
    <w:rsid w:val="0A764C3F"/>
    <w:rsid w:val="0A766000"/>
    <w:rsid w:val="0A766BCC"/>
    <w:rsid w:val="0A7731A5"/>
    <w:rsid w:val="0A7B4003"/>
    <w:rsid w:val="0A7C2A1D"/>
    <w:rsid w:val="0A7E593A"/>
    <w:rsid w:val="0A7F61EE"/>
    <w:rsid w:val="0A7F73B9"/>
    <w:rsid w:val="0A823BC9"/>
    <w:rsid w:val="0A827EF4"/>
    <w:rsid w:val="0A856C30"/>
    <w:rsid w:val="0A870D22"/>
    <w:rsid w:val="0A875967"/>
    <w:rsid w:val="0A880415"/>
    <w:rsid w:val="0A8B7110"/>
    <w:rsid w:val="0A8C7FBE"/>
    <w:rsid w:val="0A8E01DA"/>
    <w:rsid w:val="0A8E5717"/>
    <w:rsid w:val="0A8F3F52"/>
    <w:rsid w:val="0A911A78"/>
    <w:rsid w:val="0A92134D"/>
    <w:rsid w:val="0A9357F1"/>
    <w:rsid w:val="0A951E77"/>
    <w:rsid w:val="0A9632F8"/>
    <w:rsid w:val="0A9652E1"/>
    <w:rsid w:val="0A96708F"/>
    <w:rsid w:val="0A982E07"/>
    <w:rsid w:val="0A9B46A5"/>
    <w:rsid w:val="0A9F39D1"/>
    <w:rsid w:val="0AA07F0D"/>
    <w:rsid w:val="0AA1052D"/>
    <w:rsid w:val="0AA25A34"/>
    <w:rsid w:val="0AA277E2"/>
    <w:rsid w:val="0AA417AC"/>
    <w:rsid w:val="0AA418ED"/>
    <w:rsid w:val="0AA479FE"/>
    <w:rsid w:val="0AA6225D"/>
    <w:rsid w:val="0AA74DF8"/>
    <w:rsid w:val="0AAC0660"/>
    <w:rsid w:val="0AAE6186"/>
    <w:rsid w:val="0AAF1EFF"/>
    <w:rsid w:val="0AB13EC9"/>
    <w:rsid w:val="0AB36084"/>
    <w:rsid w:val="0AB37C41"/>
    <w:rsid w:val="0AB47515"/>
    <w:rsid w:val="0AB6328D"/>
    <w:rsid w:val="0AB77B8E"/>
    <w:rsid w:val="0AB87005"/>
    <w:rsid w:val="0ABB4D47"/>
    <w:rsid w:val="0ABC45A1"/>
    <w:rsid w:val="0AC21C32"/>
    <w:rsid w:val="0AC37758"/>
    <w:rsid w:val="0AC41E4E"/>
    <w:rsid w:val="0AC51722"/>
    <w:rsid w:val="0AC82A08"/>
    <w:rsid w:val="0AC8421B"/>
    <w:rsid w:val="0AC97464"/>
    <w:rsid w:val="0ACA0AE6"/>
    <w:rsid w:val="0ACA6D38"/>
    <w:rsid w:val="0ACE6829"/>
    <w:rsid w:val="0ACF0E24"/>
    <w:rsid w:val="0AD007F3"/>
    <w:rsid w:val="0AD1552F"/>
    <w:rsid w:val="0AD41965"/>
    <w:rsid w:val="0AD4630C"/>
    <w:rsid w:val="0AD57BB7"/>
    <w:rsid w:val="0AD61B81"/>
    <w:rsid w:val="0AD742FB"/>
    <w:rsid w:val="0ADB7197"/>
    <w:rsid w:val="0ADC2637"/>
    <w:rsid w:val="0ADF0A36"/>
    <w:rsid w:val="0ADF4592"/>
    <w:rsid w:val="0ADF52ED"/>
    <w:rsid w:val="0AE0387E"/>
    <w:rsid w:val="0AE10DE6"/>
    <w:rsid w:val="0AE20526"/>
    <w:rsid w:val="0AE41BA8"/>
    <w:rsid w:val="0AE4604C"/>
    <w:rsid w:val="0AEB1631"/>
    <w:rsid w:val="0AEB20D2"/>
    <w:rsid w:val="0AEC6174"/>
    <w:rsid w:val="0AED769F"/>
    <w:rsid w:val="0AEF054D"/>
    <w:rsid w:val="0AEF3109"/>
    <w:rsid w:val="0AF02C43"/>
    <w:rsid w:val="0AF105A1"/>
    <w:rsid w:val="0AF10769"/>
    <w:rsid w:val="0AF22D2F"/>
    <w:rsid w:val="0AF50259"/>
    <w:rsid w:val="0AF53DB5"/>
    <w:rsid w:val="0AF85654"/>
    <w:rsid w:val="0AF87123"/>
    <w:rsid w:val="0AF946D6"/>
    <w:rsid w:val="0AFA13CC"/>
    <w:rsid w:val="0AFA761E"/>
    <w:rsid w:val="0AFB2E60"/>
    <w:rsid w:val="0AFC15E8"/>
    <w:rsid w:val="0AFD2C6A"/>
    <w:rsid w:val="0AFD563B"/>
    <w:rsid w:val="0AFF4C34"/>
    <w:rsid w:val="0B021205"/>
    <w:rsid w:val="0B022976"/>
    <w:rsid w:val="0B026EC9"/>
    <w:rsid w:val="0B0417E9"/>
    <w:rsid w:val="0B04224A"/>
    <w:rsid w:val="0B065FC2"/>
    <w:rsid w:val="0B071D3B"/>
    <w:rsid w:val="0B082F16"/>
    <w:rsid w:val="0B09160F"/>
    <w:rsid w:val="0B097861"/>
    <w:rsid w:val="0B0B182B"/>
    <w:rsid w:val="0B0C7351"/>
    <w:rsid w:val="0B0D3CEC"/>
    <w:rsid w:val="0B0F299D"/>
    <w:rsid w:val="0B100BEF"/>
    <w:rsid w:val="0B115773"/>
    <w:rsid w:val="0B12527D"/>
    <w:rsid w:val="0B174AF2"/>
    <w:rsid w:val="0B185CF6"/>
    <w:rsid w:val="0B186678"/>
    <w:rsid w:val="0B1F7084"/>
    <w:rsid w:val="0B215421"/>
    <w:rsid w:val="0B2428ED"/>
    <w:rsid w:val="0B243FB8"/>
    <w:rsid w:val="0B2662C4"/>
    <w:rsid w:val="0B2823DD"/>
    <w:rsid w:val="0B2A3504"/>
    <w:rsid w:val="0B2B77D7"/>
    <w:rsid w:val="0B2C17A1"/>
    <w:rsid w:val="0B2D79F3"/>
    <w:rsid w:val="0B2E72C7"/>
    <w:rsid w:val="0B354AFA"/>
    <w:rsid w:val="0B3712D1"/>
    <w:rsid w:val="0B383A84"/>
    <w:rsid w:val="0B3B6331"/>
    <w:rsid w:val="0B3D575C"/>
    <w:rsid w:val="0B3D750A"/>
    <w:rsid w:val="0B416FFB"/>
    <w:rsid w:val="0B427292"/>
    <w:rsid w:val="0B446C7B"/>
    <w:rsid w:val="0B471607"/>
    <w:rsid w:val="0B4765DB"/>
    <w:rsid w:val="0B4B5556"/>
    <w:rsid w:val="0B4D1CA1"/>
    <w:rsid w:val="0B4F695F"/>
    <w:rsid w:val="0B552AA6"/>
    <w:rsid w:val="0B57681E"/>
    <w:rsid w:val="0B5A00BC"/>
    <w:rsid w:val="0B5A7049"/>
    <w:rsid w:val="0B5D1CFF"/>
    <w:rsid w:val="0B5F1B77"/>
    <w:rsid w:val="0B5F56D3"/>
    <w:rsid w:val="0B611087"/>
    <w:rsid w:val="0B61144B"/>
    <w:rsid w:val="0B6131F9"/>
    <w:rsid w:val="0B6158EF"/>
    <w:rsid w:val="0B692B37"/>
    <w:rsid w:val="0B6B22C9"/>
    <w:rsid w:val="0B6B3136"/>
    <w:rsid w:val="0B6E3B68"/>
    <w:rsid w:val="0B6F52BB"/>
    <w:rsid w:val="0B705B32"/>
    <w:rsid w:val="0B7078E0"/>
    <w:rsid w:val="0B725406"/>
    <w:rsid w:val="0B73117E"/>
    <w:rsid w:val="0B7359BE"/>
    <w:rsid w:val="0B74533A"/>
    <w:rsid w:val="0B7471EA"/>
    <w:rsid w:val="0B756CA4"/>
    <w:rsid w:val="0B785B6B"/>
    <w:rsid w:val="0B7A4A3F"/>
    <w:rsid w:val="0B7B2AEA"/>
    <w:rsid w:val="0B7B2E74"/>
    <w:rsid w:val="0B7F2691"/>
    <w:rsid w:val="0B85016F"/>
    <w:rsid w:val="0B850425"/>
    <w:rsid w:val="0B860EB1"/>
    <w:rsid w:val="0B896BF3"/>
    <w:rsid w:val="0B8B2A81"/>
    <w:rsid w:val="0B8B471A"/>
    <w:rsid w:val="0B8D2240"/>
    <w:rsid w:val="0B8D66E4"/>
    <w:rsid w:val="0B8E40F7"/>
    <w:rsid w:val="0B8E420A"/>
    <w:rsid w:val="0B8E5FB8"/>
    <w:rsid w:val="0B905282"/>
    <w:rsid w:val="0B9272DC"/>
    <w:rsid w:val="0B927856"/>
    <w:rsid w:val="0B941820"/>
    <w:rsid w:val="0B9510F4"/>
    <w:rsid w:val="0B955598"/>
    <w:rsid w:val="0B9730BE"/>
    <w:rsid w:val="0B974E6D"/>
    <w:rsid w:val="0B996E37"/>
    <w:rsid w:val="0B9A2BAF"/>
    <w:rsid w:val="0B9A670B"/>
    <w:rsid w:val="0B9F3D21"/>
    <w:rsid w:val="0BA05A05"/>
    <w:rsid w:val="0BA17A99"/>
    <w:rsid w:val="0BA26880"/>
    <w:rsid w:val="0BA44DD1"/>
    <w:rsid w:val="0BA47589"/>
    <w:rsid w:val="0BA650B0"/>
    <w:rsid w:val="0BA74F00"/>
    <w:rsid w:val="0BA94BA0"/>
    <w:rsid w:val="0BAB0918"/>
    <w:rsid w:val="0BAB4DBC"/>
    <w:rsid w:val="0BAC5E56"/>
    <w:rsid w:val="0BAD25B1"/>
    <w:rsid w:val="0BB05F2E"/>
    <w:rsid w:val="0BB1074E"/>
    <w:rsid w:val="0BB53545"/>
    <w:rsid w:val="0BB60264"/>
    <w:rsid w:val="0BB62097"/>
    <w:rsid w:val="0BB66F9D"/>
    <w:rsid w:val="0BB72343"/>
    <w:rsid w:val="0BB7550F"/>
    <w:rsid w:val="0BB84DE3"/>
    <w:rsid w:val="0BB93035"/>
    <w:rsid w:val="0BBA6DAD"/>
    <w:rsid w:val="0BBC5DCB"/>
    <w:rsid w:val="0BBE689D"/>
    <w:rsid w:val="0BBF2785"/>
    <w:rsid w:val="0BC02D85"/>
    <w:rsid w:val="0BC140B0"/>
    <w:rsid w:val="0BC32105"/>
    <w:rsid w:val="0BC509D1"/>
    <w:rsid w:val="0BC5725A"/>
    <w:rsid w:val="0BCD4D32"/>
    <w:rsid w:val="0BD25EA5"/>
    <w:rsid w:val="0BD315B0"/>
    <w:rsid w:val="0BD31C1D"/>
    <w:rsid w:val="0BD47E6F"/>
    <w:rsid w:val="0BD64040"/>
    <w:rsid w:val="0BDC4F75"/>
    <w:rsid w:val="0BE04649"/>
    <w:rsid w:val="0BE04A65"/>
    <w:rsid w:val="0BE37935"/>
    <w:rsid w:val="0BE811E2"/>
    <w:rsid w:val="0BED7182"/>
    <w:rsid w:val="0BEF455D"/>
    <w:rsid w:val="0BF027CF"/>
    <w:rsid w:val="0BF16BCC"/>
    <w:rsid w:val="0BF16C73"/>
    <w:rsid w:val="0BF202F5"/>
    <w:rsid w:val="0BF238F6"/>
    <w:rsid w:val="0BF26547"/>
    <w:rsid w:val="0BF4406D"/>
    <w:rsid w:val="0BF54104"/>
    <w:rsid w:val="0BF56037"/>
    <w:rsid w:val="0BF71DAF"/>
    <w:rsid w:val="0BF910D7"/>
    <w:rsid w:val="0BF91683"/>
    <w:rsid w:val="0BFB5CEE"/>
    <w:rsid w:val="0BFC5617"/>
    <w:rsid w:val="0BFC7E59"/>
    <w:rsid w:val="0BFD2301"/>
    <w:rsid w:val="0BFF2A12"/>
    <w:rsid w:val="0C0149DC"/>
    <w:rsid w:val="0C030754"/>
    <w:rsid w:val="0C042C38"/>
    <w:rsid w:val="0C057EC4"/>
    <w:rsid w:val="0C060244"/>
    <w:rsid w:val="0C061FF2"/>
    <w:rsid w:val="0C083FBC"/>
    <w:rsid w:val="0C087501"/>
    <w:rsid w:val="0C0A7D34"/>
    <w:rsid w:val="0C0B585A"/>
    <w:rsid w:val="0C1032EF"/>
    <w:rsid w:val="0C122745"/>
    <w:rsid w:val="0C126BE9"/>
    <w:rsid w:val="0C1278F7"/>
    <w:rsid w:val="0C174839"/>
    <w:rsid w:val="0C175FAD"/>
    <w:rsid w:val="0C181DEC"/>
    <w:rsid w:val="0C1A34B8"/>
    <w:rsid w:val="0C1B5A9E"/>
    <w:rsid w:val="0C1E558E"/>
    <w:rsid w:val="0C1F4E62"/>
    <w:rsid w:val="0C2030B4"/>
    <w:rsid w:val="0C22507E"/>
    <w:rsid w:val="0C23087C"/>
    <w:rsid w:val="0C265D59"/>
    <w:rsid w:val="0C272694"/>
    <w:rsid w:val="0C2801BA"/>
    <w:rsid w:val="0C281F69"/>
    <w:rsid w:val="0C2A3F33"/>
    <w:rsid w:val="0C2C71E2"/>
    <w:rsid w:val="0C2D3C7D"/>
    <w:rsid w:val="0C2D757F"/>
    <w:rsid w:val="0C30706F"/>
    <w:rsid w:val="0C355862"/>
    <w:rsid w:val="0C364685"/>
    <w:rsid w:val="0C3923C8"/>
    <w:rsid w:val="0C3C702E"/>
    <w:rsid w:val="0C3C77C2"/>
    <w:rsid w:val="0C3D1EB8"/>
    <w:rsid w:val="0C3E0833"/>
    <w:rsid w:val="0C404922"/>
    <w:rsid w:val="0C443DDF"/>
    <w:rsid w:val="0C444873"/>
    <w:rsid w:val="0C4609EA"/>
    <w:rsid w:val="0C463BD6"/>
    <w:rsid w:val="0C477C77"/>
    <w:rsid w:val="0C48085D"/>
    <w:rsid w:val="0C4905FF"/>
    <w:rsid w:val="0C497853"/>
    <w:rsid w:val="0C4A1EDF"/>
    <w:rsid w:val="0C4A6383"/>
    <w:rsid w:val="0C4B17E2"/>
    <w:rsid w:val="0C4C44D5"/>
    <w:rsid w:val="0C5257B6"/>
    <w:rsid w:val="0C530576"/>
    <w:rsid w:val="0C530DEB"/>
    <w:rsid w:val="0C550884"/>
    <w:rsid w:val="0C57284E"/>
    <w:rsid w:val="0C5965C6"/>
    <w:rsid w:val="0C5965FB"/>
    <w:rsid w:val="0C5B233E"/>
    <w:rsid w:val="0C607954"/>
    <w:rsid w:val="0C632FA1"/>
    <w:rsid w:val="0C66143F"/>
    <w:rsid w:val="0C686809"/>
    <w:rsid w:val="0C6929E6"/>
    <w:rsid w:val="0C6C00A7"/>
    <w:rsid w:val="0C6F1945"/>
    <w:rsid w:val="0C6F61CA"/>
    <w:rsid w:val="0C71390F"/>
    <w:rsid w:val="0C7156BE"/>
    <w:rsid w:val="0C7451AE"/>
    <w:rsid w:val="0C75623D"/>
    <w:rsid w:val="0C774C9E"/>
    <w:rsid w:val="0C790A16"/>
    <w:rsid w:val="0C7D0903"/>
    <w:rsid w:val="0C7E427E"/>
    <w:rsid w:val="0C7E602C"/>
    <w:rsid w:val="0C7F7145"/>
    <w:rsid w:val="0C801DA5"/>
    <w:rsid w:val="0C831895"/>
    <w:rsid w:val="0C833643"/>
    <w:rsid w:val="0C8A677F"/>
    <w:rsid w:val="0C8D626F"/>
    <w:rsid w:val="0C8D69A8"/>
    <w:rsid w:val="0C913FB2"/>
    <w:rsid w:val="0C917B0E"/>
    <w:rsid w:val="0C9475FE"/>
    <w:rsid w:val="0C957B70"/>
    <w:rsid w:val="0C970E9C"/>
    <w:rsid w:val="0C9920F0"/>
    <w:rsid w:val="0C9B098C"/>
    <w:rsid w:val="0C9B273A"/>
    <w:rsid w:val="0C9D2956"/>
    <w:rsid w:val="0C9E047D"/>
    <w:rsid w:val="0C9E3220"/>
    <w:rsid w:val="0CA23AC9"/>
    <w:rsid w:val="0CA24015"/>
    <w:rsid w:val="0CA27F6D"/>
    <w:rsid w:val="0CA31752"/>
    <w:rsid w:val="0CA640A0"/>
    <w:rsid w:val="0CA710DF"/>
    <w:rsid w:val="0CA77331"/>
    <w:rsid w:val="0CA84E57"/>
    <w:rsid w:val="0CAA6370"/>
    <w:rsid w:val="0CAA6E21"/>
    <w:rsid w:val="0CAC0566"/>
    <w:rsid w:val="0CAC1BFF"/>
    <w:rsid w:val="0CAE166F"/>
    <w:rsid w:val="0CAE419E"/>
    <w:rsid w:val="0CAF268A"/>
    <w:rsid w:val="0CB02BEB"/>
    <w:rsid w:val="0CB3217A"/>
    <w:rsid w:val="0CB32C96"/>
    <w:rsid w:val="0CB47CA0"/>
    <w:rsid w:val="0CB63A18"/>
    <w:rsid w:val="0CB657C6"/>
    <w:rsid w:val="0CB70156"/>
    <w:rsid w:val="0CBA1428"/>
    <w:rsid w:val="0CBA3DB4"/>
    <w:rsid w:val="0CBD31D4"/>
    <w:rsid w:val="0CBE28CD"/>
    <w:rsid w:val="0CC04046"/>
    <w:rsid w:val="0CC30981"/>
    <w:rsid w:val="0CC46135"/>
    <w:rsid w:val="0CC51EAD"/>
    <w:rsid w:val="0CC664C0"/>
    <w:rsid w:val="0CC71781"/>
    <w:rsid w:val="0CC80BC8"/>
    <w:rsid w:val="0CCA1272"/>
    <w:rsid w:val="0CCC323C"/>
    <w:rsid w:val="0CCC383D"/>
    <w:rsid w:val="0CCD00B0"/>
    <w:rsid w:val="0CCE2B10"/>
    <w:rsid w:val="0CCE3A1E"/>
    <w:rsid w:val="0CCF0636"/>
    <w:rsid w:val="0CCF6888"/>
    <w:rsid w:val="0CD12600"/>
    <w:rsid w:val="0CD345CA"/>
    <w:rsid w:val="0CD43E9E"/>
    <w:rsid w:val="0CD520F0"/>
    <w:rsid w:val="0CD600E2"/>
    <w:rsid w:val="0CD81BE1"/>
    <w:rsid w:val="0CD8398F"/>
    <w:rsid w:val="0CDA7707"/>
    <w:rsid w:val="0CDB522D"/>
    <w:rsid w:val="0CDD5F03"/>
    <w:rsid w:val="0CDD71F7"/>
    <w:rsid w:val="0CDE6ACB"/>
    <w:rsid w:val="0CE20369"/>
    <w:rsid w:val="0CE51C08"/>
    <w:rsid w:val="0CE57E5A"/>
    <w:rsid w:val="0CE75980"/>
    <w:rsid w:val="0CE933D1"/>
    <w:rsid w:val="0CEA5470"/>
    <w:rsid w:val="0CEB1914"/>
    <w:rsid w:val="0CEC11E8"/>
    <w:rsid w:val="0CEC74C9"/>
    <w:rsid w:val="0CF06F2A"/>
    <w:rsid w:val="0CF20C5A"/>
    <w:rsid w:val="0CF276C0"/>
    <w:rsid w:val="0CF279BC"/>
    <w:rsid w:val="0CF4056A"/>
    <w:rsid w:val="0CF44E35"/>
    <w:rsid w:val="0CF54541"/>
    <w:rsid w:val="0CF60AE6"/>
    <w:rsid w:val="0CF6195F"/>
    <w:rsid w:val="0CF85DDF"/>
    <w:rsid w:val="0CF9542B"/>
    <w:rsid w:val="0CF9587F"/>
    <w:rsid w:val="0CFA1DDF"/>
    <w:rsid w:val="0CFC0C83"/>
    <w:rsid w:val="0CFC21C1"/>
    <w:rsid w:val="0CFD51A3"/>
    <w:rsid w:val="0D020A0B"/>
    <w:rsid w:val="0D031BB2"/>
    <w:rsid w:val="0D044AD4"/>
    <w:rsid w:val="0D045251"/>
    <w:rsid w:val="0D0504FC"/>
    <w:rsid w:val="0D0522AA"/>
    <w:rsid w:val="0D064E5E"/>
    <w:rsid w:val="0D077DD0"/>
    <w:rsid w:val="0D0B50BA"/>
    <w:rsid w:val="0D0C3638"/>
    <w:rsid w:val="0D0F79F5"/>
    <w:rsid w:val="0D10137A"/>
    <w:rsid w:val="0D147AD4"/>
    <w:rsid w:val="0D176758"/>
    <w:rsid w:val="0D1A52F9"/>
    <w:rsid w:val="0D1A7244"/>
    <w:rsid w:val="0D1D3A97"/>
    <w:rsid w:val="0D1F46AC"/>
    <w:rsid w:val="0D211B51"/>
    <w:rsid w:val="0D224C0A"/>
    <w:rsid w:val="0D233138"/>
    <w:rsid w:val="0D252FB8"/>
    <w:rsid w:val="0D2564A8"/>
    <w:rsid w:val="0D272220"/>
    <w:rsid w:val="0D2758D8"/>
    <w:rsid w:val="0D2766C4"/>
    <w:rsid w:val="0D2C2E5F"/>
    <w:rsid w:val="0D2C3CDA"/>
    <w:rsid w:val="0D2D73F1"/>
    <w:rsid w:val="0D2E1903"/>
    <w:rsid w:val="0D31309F"/>
    <w:rsid w:val="0D336E17"/>
    <w:rsid w:val="0D346A73"/>
    <w:rsid w:val="0D352B8F"/>
    <w:rsid w:val="0D38685D"/>
    <w:rsid w:val="0D3C216F"/>
    <w:rsid w:val="0D3D1B73"/>
    <w:rsid w:val="0D425203"/>
    <w:rsid w:val="0D464D9C"/>
    <w:rsid w:val="0D466D19"/>
    <w:rsid w:val="0D470B14"/>
    <w:rsid w:val="0D47548D"/>
    <w:rsid w:val="0D4E087D"/>
    <w:rsid w:val="0D4E1EA3"/>
    <w:rsid w:val="0D5037F2"/>
    <w:rsid w:val="0D505C1B"/>
    <w:rsid w:val="0D5311FB"/>
    <w:rsid w:val="0D58062B"/>
    <w:rsid w:val="0D5D5C42"/>
    <w:rsid w:val="0D5D665A"/>
    <w:rsid w:val="0D5F5E5E"/>
    <w:rsid w:val="0D620389"/>
    <w:rsid w:val="0D643474"/>
    <w:rsid w:val="0D660F9A"/>
    <w:rsid w:val="0D662D48"/>
    <w:rsid w:val="0D6671EC"/>
    <w:rsid w:val="0D674D12"/>
    <w:rsid w:val="0D6909D7"/>
    <w:rsid w:val="0D697FCF"/>
    <w:rsid w:val="0D6B02E5"/>
    <w:rsid w:val="0D6B211D"/>
    <w:rsid w:val="0D703BC7"/>
    <w:rsid w:val="0D721683"/>
    <w:rsid w:val="0D746BAC"/>
    <w:rsid w:val="0D766D04"/>
    <w:rsid w:val="0D777923"/>
    <w:rsid w:val="0D7A244C"/>
    <w:rsid w:val="0D7C6A10"/>
    <w:rsid w:val="0D7D62E4"/>
    <w:rsid w:val="0D7E2CD2"/>
    <w:rsid w:val="0D7F321E"/>
    <w:rsid w:val="0D7F5A77"/>
    <w:rsid w:val="0D814D2E"/>
    <w:rsid w:val="0D8633EB"/>
    <w:rsid w:val="0D865199"/>
    <w:rsid w:val="0D874C73"/>
    <w:rsid w:val="0D8A7FDB"/>
    <w:rsid w:val="0D8C7389"/>
    <w:rsid w:val="0D8E1D44"/>
    <w:rsid w:val="0D913B3D"/>
    <w:rsid w:val="0D975F08"/>
    <w:rsid w:val="0D991370"/>
    <w:rsid w:val="0D9A50E8"/>
    <w:rsid w:val="0D9B7981"/>
    <w:rsid w:val="0D9D24E2"/>
    <w:rsid w:val="0D9F6EB0"/>
    <w:rsid w:val="0DA25D4B"/>
    <w:rsid w:val="0DA27AF9"/>
    <w:rsid w:val="0DA33F9D"/>
    <w:rsid w:val="0DA41AC3"/>
    <w:rsid w:val="0DA57240"/>
    <w:rsid w:val="0DA6583B"/>
    <w:rsid w:val="0DA753DC"/>
    <w:rsid w:val="0DA82D28"/>
    <w:rsid w:val="0DA84934"/>
    <w:rsid w:val="0DA9572C"/>
    <w:rsid w:val="0DAA5004"/>
    <w:rsid w:val="0DAF3E2C"/>
    <w:rsid w:val="0DB058AE"/>
    <w:rsid w:val="0DB241E0"/>
    <w:rsid w:val="0DB25D1D"/>
    <w:rsid w:val="0DB461AA"/>
    <w:rsid w:val="0DB53CD0"/>
    <w:rsid w:val="0DB55A7E"/>
    <w:rsid w:val="0DB6018A"/>
    <w:rsid w:val="0DB72ADD"/>
    <w:rsid w:val="0DBA08FC"/>
    <w:rsid w:val="0DBB7B04"/>
    <w:rsid w:val="0DBC1422"/>
    <w:rsid w:val="0DBF06AB"/>
    <w:rsid w:val="0DC108C7"/>
    <w:rsid w:val="0DC15F40"/>
    <w:rsid w:val="0DC16A76"/>
    <w:rsid w:val="0DC35BD1"/>
    <w:rsid w:val="0DC4693B"/>
    <w:rsid w:val="0DC573BC"/>
    <w:rsid w:val="0DC61A39"/>
    <w:rsid w:val="0DC64837"/>
    <w:rsid w:val="0DC65C1D"/>
    <w:rsid w:val="0DC760A7"/>
    <w:rsid w:val="0DC849FA"/>
    <w:rsid w:val="0DC94CD9"/>
    <w:rsid w:val="0DCC5EB8"/>
    <w:rsid w:val="0DD1346B"/>
    <w:rsid w:val="0DD227DA"/>
    <w:rsid w:val="0DD231BA"/>
    <w:rsid w:val="0DD24547"/>
    <w:rsid w:val="0DD3183E"/>
    <w:rsid w:val="0DD405FA"/>
    <w:rsid w:val="0DD71E98"/>
    <w:rsid w:val="0DD95C10"/>
    <w:rsid w:val="0DDA54E4"/>
    <w:rsid w:val="0DDA6C30"/>
    <w:rsid w:val="0DDC125D"/>
    <w:rsid w:val="0DDE3227"/>
    <w:rsid w:val="0DE3083D"/>
    <w:rsid w:val="0DE51806"/>
    <w:rsid w:val="0DE620DB"/>
    <w:rsid w:val="0DE750BD"/>
    <w:rsid w:val="0DE819AF"/>
    <w:rsid w:val="0DEB4A54"/>
    <w:rsid w:val="0DEB76F2"/>
    <w:rsid w:val="0DED346A"/>
    <w:rsid w:val="0DED5218"/>
    <w:rsid w:val="0DED7DC2"/>
    <w:rsid w:val="0DEF69F4"/>
    <w:rsid w:val="0DF20A80"/>
    <w:rsid w:val="0DF2282E"/>
    <w:rsid w:val="0DF30354"/>
    <w:rsid w:val="0DF4156F"/>
    <w:rsid w:val="0DF50570"/>
    <w:rsid w:val="0DF5231E"/>
    <w:rsid w:val="0DF77E44"/>
    <w:rsid w:val="0DF90060"/>
    <w:rsid w:val="0DF91E0E"/>
    <w:rsid w:val="0DF93C25"/>
    <w:rsid w:val="0DFA0F36"/>
    <w:rsid w:val="0DFA7935"/>
    <w:rsid w:val="0DFC18FF"/>
    <w:rsid w:val="0DFC545B"/>
    <w:rsid w:val="0DFD71B6"/>
    <w:rsid w:val="0DFE5677"/>
    <w:rsid w:val="0DFE7425"/>
    <w:rsid w:val="0DFF4F4B"/>
    <w:rsid w:val="0E0013EF"/>
    <w:rsid w:val="0E016F15"/>
    <w:rsid w:val="0E033729"/>
    <w:rsid w:val="0E042561"/>
    <w:rsid w:val="0E043EAE"/>
    <w:rsid w:val="0E0639DE"/>
    <w:rsid w:val="0E0802A4"/>
    <w:rsid w:val="0E097B78"/>
    <w:rsid w:val="0E0A5DCA"/>
    <w:rsid w:val="0E0D1416"/>
    <w:rsid w:val="0E0E5563"/>
    <w:rsid w:val="0E0E7662"/>
    <w:rsid w:val="0E0F340D"/>
    <w:rsid w:val="0E0F6412"/>
    <w:rsid w:val="0E121122"/>
    <w:rsid w:val="0E122ED0"/>
    <w:rsid w:val="0E15070F"/>
    <w:rsid w:val="0E15138C"/>
    <w:rsid w:val="0E15476E"/>
    <w:rsid w:val="0E1924B1"/>
    <w:rsid w:val="0E1C3D4F"/>
    <w:rsid w:val="0E1C5AFD"/>
    <w:rsid w:val="0E1C78AB"/>
    <w:rsid w:val="0E1F17C1"/>
    <w:rsid w:val="0E211365"/>
    <w:rsid w:val="0E213113"/>
    <w:rsid w:val="0E252C04"/>
    <w:rsid w:val="0E2844A2"/>
    <w:rsid w:val="0E286250"/>
    <w:rsid w:val="0E2A021A"/>
    <w:rsid w:val="0E2A3DCF"/>
    <w:rsid w:val="0E2A413A"/>
    <w:rsid w:val="0E2C21E4"/>
    <w:rsid w:val="0E2C407B"/>
    <w:rsid w:val="0E2E7E25"/>
    <w:rsid w:val="0E2F75DE"/>
    <w:rsid w:val="0E327C36"/>
    <w:rsid w:val="0E342E47"/>
    <w:rsid w:val="0E34628D"/>
    <w:rsid w:val="0E350864"/>
    <w:rsid w:val="0E370B89"/>
    <w:rsid w:val="0E37636C"/>
    <w:rsid w:val="0E39045D"/>
    <w:rsid w:val="0E396582"/>
    <w:rsid w:val="0E3B2427"/>
    <w:rsid w:val="0E4532A6"/>
    <w:rsid w:val="0E460DCC"/>
    <w:rsid w:val="0E46399B"/>
    <w:rsid w:val="0E4B0190"/>
    <w:rsid w:val="0E4B1914"/>
    <w:rsid w:val="0E4C1A5A"/>
    <w:rsid w:val="0E4D7884"/>
    <w:rsid w:val="0E4F1A2E"/>
    <w:rsid w:val="0E504ACA"/>
    <w:rsid w:val="0E511C4A"/>
    <w:rsid w:val="0E55602B"/>
    <w:rsid w:val="0E567261"/>
    <w:rsid w:val="0E590AFF"/>
    <w:rsid w:val="0E59465B"/>
    <w:rsid w:val="0E5A4156"/>
    <w:rsid w:val="0E5B4877"/>
    <w:rsid w:val="0E5D3783"/>
    <w:rsid w:val="0E5E2240"/>
    <w:rsid w:val="0E5E4367"/>
    <w:rsid w:val="0E6179B4"/>
    <w:rsid w:val="0E6260E4"/>
    <w:rsid w:val="0E653000"/>
    <w:rsid w:val="0E664FCA"/>
    <w:rsid w:val="0E686F94"/>
    <w:rsid w:val="0E6F0323"/>
    <w:rsid w:val="0E7123BD"/>
    <w:rsid w:val="0E713C39"/>
    <w:rsid w:val="0E715E49"/>
    <w:rsid w:val="0E72396F"/>
    <w:rsid w:val="0E760261"/>
    <w:rsid w:val="0E7B0A75"/>
    <w:rsid w:val="0E7C47EE"/>
    <w:rsid w:val="0E7D2A40"/>
    <w:rsid w:val="0E7D37FD"/>
    <w:rsid w:val="0E7E0566"/>
    <w:rsid w:val="0E7E2314"/>
    <w:rsid w:val="0E7F4AFC"/>
    <w:rsid w:val="0E7F646F"/>
    <w:rsid w:val="0E8121F7"/>
    <w:rsid w:val="0E854CBB"/>
    <w:rsid w:val="0E8611C8"/>
    <w:rsid w:val="0E867766"/>
    <w:rsid w:val="0E8813E4"/>
    <w:rsid w:val="0E884F40"/>
    <w:rsid w:val="0E8A1C96"/>
    <w:rsid w:val="0E8A2A67"/>
    <w:rsid w:val="0E8C4473"/>
    <w:rsid w:val="0E8D2557"/>
    <w:rsid w:val="0E8E54DA"/>
    <w:rsid w:val="0E912321"/>
    <w:rsid w:val="0E93068B"/>
    <w:rsid w:val="0E941B37"/>
    <w:rsid w:val="0E9733D5"/>
    <w:rsid w:val="0EA0228A"/>
    <w:rsid w:val="0EA145C3"/>
    <w:rsid w:val="0EA16002"/>
    <w:rsid w:val="0EA62E13"/>
    <w:rsid w:val="0EA70609"/>
    <w:rsid w:val="0EA82097"/>
    <w:rsid w:val="0EAA3109"/>
    <w:rsid w:val="0EAC50D3"/>
    <w:rsid w:val="0EAD0264"/>
    <w:rsid w:val="0EAF071F"/>
    <w:rsid w:val="0EAF4BC3"/>
    <w:rsid w:val="0EB16245"/>
    <w:rsid w:val="0EB2020F"/>
    <w:rsid w:val="0EB45D35"/>
    <w:rsid w:val="0EB9159E"/>
    <w:rsid w:val="0EBA193E"/>
    <w:rsid w:val="0EBC26D6"/>
    <w:rsid w:val="0EBE0962"/>
    <w:rsid w:val="0EC046DA"/>
    <w:rsid w:val="0EC3241C"/>
    <w:rsid w:val="0EC732F2"/>
    <w:rsid w:val="0EC73CBB"/>
    <w:rsid w:val="0EC87A33"/>
    <w:rsid w:val="0EC95C85"/>
    <w:rsid w:val="0ECA70A2"/>
    <w:rsid w:val="0ECB6550"/>
    <w:rsid w:val="0ECC307F"/>
    <w:rsid w:val="0ECC7523"/>
    <w:rsid w:val="0ECE36AE"/>
    <w:rsid w:val="0ED14B39"/>
    <w:rsid w:val="0ED725D0"/>
    <w:rsid w:val="0ED87C76"/>
    <w:rsid w:val="0EDA0338"/>
    <w:rsid w:val="0EDB1514"/>
    <w:rsid w:val="0EE303C9"/>
    <w:rsid w:val="0EE45AE7"/>
    <w:rsid w:val="0EE5282B"/>
    <w:rsid w:val="0EE759D4"/>
    <w:rsid w:val="0EE7610B"/>
    <w:rsid w:val="0EE811CA"/>
    <w:rsid w:val="0EEC3721"/>
    <w:rsid w:val="0EEE649D"/>
    <w:rsid w:val="0EEE7499"/>
    <w:rsid w:val="0EEF4FBF"/>
    <w:rsid w:val="0EF21BD9"/>
    <w:rsid w:val="0EF32D02"/>
    <w:rsid w:val="0EF34A9B"/>
    <w:rsid w:val="0EF3685E"/>
    <w:rsid w:val="0EF40828"/>
    <w:rsid w:val="0EF425D6"/>
    <w:rsid w:val="0EF56A7A"/>
    <w:rsid w:val="0EF600FC"/>
    <w:rsid w:val="0EFA4090"/>
    <w:rsid w:val="0EFD148A"/>
    <w:rsid w:val="0F000286"/>
    <w:rsid w:val="0F0071CD"/>
    <w:rsid w:val="0F013483"/>
    <w:rsid w:val="0F022F45"/>
    <w:rsid w:val="0F024913"/>
    <w:rsid w:val="0F051746"/>
    <w:rsid w:val="0F0767AD"/>
    <w:rsid w:val="0F0942D3"/>
    <w:rsid w:val="0F0C0596"/>
    <w:rsid w:val="0F0F1F61"/>
    <w:rsid w:val="0F1113DA"/>
    <w:rsid w:val="0F135898"/>
    <w:rsid w:val="0F1457B6"/>
    <w:rsid w:val="0F152C78"/>
    <w:rsid w:val="0F1669F0"/>
    <w:rsid w:val="0F1862C4"/>
    <w:rsid w:val="0F1A028E"/>
    <w:rsid w:val="0F1A64E0"/>
    <w:rsid w:val="0F1D1B2D"/>
    <w:rsid w:val="0F1D40EC"/>
    <w:rsid w:val="0F1E0C3C"/>
    <w:rsid w:val="0F1F6A0C"/>
    <w:rsid w:val="0F2033CB"/>
    <w:rsid w:val="0F227143"/>
    <w:rsid w:val="0F256C33"/>
    <w:rsid w:val="0F264E85"/>
    <w:rsid w:val="0F2A3B1F"/>
    <w:rsid w:val="0F2C1D70"/>
    <w:rsid w:val="0F2E3930"/>
    <w:rsid w:val="0F2E3ECA"/>
    <w:rsid w:val="0F2F360E"/>
    <w:rsid w:val="0F2F71AE"/>
    <w:rsid w:val="0F307AB2"/>
    <w:rsid w:val="0F31382A"/>
    <w:rsid w:val="0F32254F"/>
    <w:rsid w:val="0F325B48"/>
    <w:rsid w:val="0F336516"/>
    <w:rsid w:val="0F3550C8"/>
    <w:rsid w:val="0F380715"/>
    <w:rsid w:val="0F382DAB"/>
    <w:rsid w:val="0F397997"/>
    <w:rsid w:val="0F3A0931"/>
    <w:rsid w:val="0F3D1107"/>
    <w:rsid w:val="0F403A6D"/>
    <w:rsid w:val="0F40581B"/>
    <w:rsid w:val="0F4658A8"/>
    <w:rsid w:val="0F474DFC"/>
    <w:rsid w:val="0F490B74"/>
    <w:rsid w:val="0F4946D0"/>
    <w:rsid w:val="0F4A2657"/>
    <w:rsid w:val="0F4B3FBB"/>
    <w:rsid w:val="0F4C41C0"/>
    <w:rsid w:val="0F4F35B5"/>
    <w:rsid w:val="0F5302C9"/>
    <w:rsid w:val="0F5337A0"/>
    <w:rsid w:val="0F560761"/>
    <w:rsid w:val="0F5615D4"/>
    <w:rsid w:val="0F582B65"/>
    <w:rsid w:val="0F59068B"/>
    <w:rsid w:val="0F5970AC"/>
    <w:rsid w:val="0F5A14BD"/>
    <w:rsid w:val="0F5A4B2F"/>
    <w:rsid w:val="0F5A68DD"/>
    <w:rsid w:val="0F5B2655"/>
    <w:rsid w:val="0F61353A"/>
    <w:rsid w:val="0F615EBD"/>
    <w:rsid w:val="0F655282"/>
    <w:rsid w:val="0F6634D4"/>
    <w:rsid w:val="0F671838"/>
    <w:rsid w:val="0F680C0A"/>
    <w:rsid w:val="0F6A3E0E"/>
    <w:rsid w:val="0F6E05DA"/>
    <w:rsid w:val="0F707EAE"/>
    <w:rsid w:val="0F711E78"/>
    <w:rsid w:val="0F73174D"/>
    <w:rsid w:val="0F73510E"/>
    <w:rsid w:val="0F735BF1"/>
    <w:rsid w:val="0F782667"/>
    <w:rsid w:val="0F7B6853"/>
    <w:rsid w:val="0F7D081D"/>
    <w:rsid w:val="0F7F00F1"/>
    <w:rsid w:val="0F7F4595"/>
    <w:rsid w:val="0F803E6A"/>
    <w:rsid w:val="0F8120BC"/>
    <w:rsid w:val="0F8454B4"/>
    <w:rsid w:val="0F850A62"/>
    <w:rsid w:val="0F851480"/>
    <w:rsid w:val="0F880A8E"/>
    <w:rsid w:val="0F8A6A96"/>
    <w:rsid w:val="0F8B118C"/>
    <w:rsid w:val="0F8B1E85"/>
    <w:rsid w:val="0F8C6CB2"/>
    <w:rsid w:val="0F9022FF"/>
    <w:rsid w:val="0F917E25"/>
    <w:rsid w:val="0F9377B0"/>
    <w:rsid w:val="0F96368D"/>
    <w:rsid w:val="0F977B31"/>
    <w:rsid w:val="0F977FCF"/>
    <w:rsid w:val="0F987405"/>
    <w:rsid w:val="0F9A4F2B"/>
    <w:rsid w:val="0F9B1521"/>
    <w:rsid w:val="0F9F1332"/>
    <w:rsid w:val="0FA062BA"/>
    <w:rsid w:val="0FA22032"/>
    <w:rsid w:val="0FA31FA5"/>
    <w:rsid w:val="0FA364D6"/>
    <w:rsid w:val="0FA4224E"/>
    <w:rsid w:val="0FA45DAA"/>
    <w:rsid w:val="0FA4706B"/>
    <w:rsid w:val="0FA61B22"/>
    <w:rsid w:val="0FA67D74"/>
    <w:rsid w:val="0FAB538A"/>
    <w:rsid w:val="0FAC4C5F"/>
    <w:rsid w:val="0FB00BF3"/>
    <w:rsid w:val="0FB0474F"/>
    <w:rsid w:val="0FB1212D"/>
    <w:rsid w:val="0FB12275"/>
    <w:rsid w:val="0FB373A1"/>
    <w:rsid w:val="0FB474F6"/>
    <w:rsid w:val="0FB66128"/>
    <w:rsid w:val="0FB91ED8"/>
    <w:rsid w:val="0FBA55CD"/>
    <w:rsid w:val="0FBB425D"/>
    <w:rsid w:val="0FBC4D28"/>
    <w:rsid w:val="0FBD50BE"/>
    <w:rsid w:val="0FBF4992"/>
    <w:rsid w:val="0FC12C46"/>
    <w:rsid w:val="0FC226D4"/>
    <w:rsid w:val="0FC338F7"/>
    <w:rsid w:val="0FC775DF"/>
    <w:rsid w:val="0FC94E72"/>
    <w:rsid w:val="0FCB1589"/>
    <w:rsid w:val="0FCC7575"/>
    <w:rsid w:val="0FCE4B9A"/>
    <w:rsid w:val="0FD52407"/>
    <w:rsid w:val="0FD61CDB"/>
    <w:rsid w:val="0FD7617F"/>
    <w:rsid w:val="0FD7781E"/>
    <w:rsid w:val="0FD80AC6"/>
    <w:rsid w:val="0FD8769D"/>
    <w:rsid w:val="0FD91EF8"/>
    <w:rsid w:val="0FD92952"/>
    <w:rsid w:val="0FDC19E8"/>
    <w:rsid w:val="0FDD2557"/>
    <w:rsid w:val="0FDD306A"/>
    <w:rsid w:val="0FDF09DB"/>
    <w:rsid w:val="0FE1086F"/>
    <w:rsid w:val="0FE10DAC"/>
    <w:rsid w:val="0FE16FFE"/>
    <w:rsid w:val="0FE443F8"/>
    <w:rsid w:val="0FE50EF5"/>
    <w:rsid w:val="0FE62385"/>
    <w:rsid w:val="0FE64614"/>
    <w:rsid w:val="0FE97C61"/>
    <w:rsid w:val="0FEA1995"/>
    <w:rsid w:val="0FEB5787"/>
    <w:rsid w:val="0FEB592B"/>
    <w:rsid w:val="0FEC370F"/>
    <w:rsid w:val="0FED59A3"/>
    <w:rsid w:val="0FED7751"/>
    <w:rsid w:val="0FEF171B"/>
    <w:rsid w:val="0FF02D9D"/>
    <w:rsid w:val="0FF07241"/>
    <w:rsid w:val="0FF24D67"/>
    <w:rsid w:val="0FF3288D"/>
    <w:rsid w:val="0FF44989"/>
    <w:rsid w:val="0FF52AA9"/>
    <w:rsid w:val="0FF56606"/>
    <w:rsid w:val="0FF6415D"/>
    <w:rsid w:val="0FF666B6"/>
    <w:rsid w:val="0FF7412C"/>
    <w:rsid w:val="0FF85BEE"/>
    <w:rsid w:val="0FF860F6"/>
    <w:rsid w:val="0FFA00C0"/>
    <w:rsid w:val="0FFC0270"/>
    <w:rsid w:val="0FFC3E38"/>
    <w:rsid w:val="0FFC7994"/>
    <w:rsid w:val="0FFD54BA"/>
    <w:rsid w:val="0FFF1A9C"/>
    <w:rsid w:val="0FFF34CB"/>
    <w:rsid w:val="1002694A"/>
    <w:rsid w:val="10044A9B"/>
    <w:rsid w:val="10056238"/>
    <w:rsid w:val="100827DD"/>
    <w:rsid w:val="100920B1"/>
    <w:rsid w:val="100B5E29"/>
    <w:rsid w:val="100D367B"/>
    <w:rsid w:val="100D7DF3"/>
    <w:rsid w:val="100E2034"/>
    <w:rsid w:val="100E76C7"/>
    <w:rsid w:val="10100B56"/>
    <w:rsid w:val="101045AE"/>
    <w:rsid w:val="10193451"/>
    <w:rsid w:val="101C0036"/>
    <w:rsid w:val="101C1DE4"/>
    <w:rsid w:val="101C3B92"/>
    <w:rsid w:val="101F1086"/>
    <w:rsid w:val="101F18D4"/>
    <w:rsid w:val="101F3682"/>
    <w:rsid w:val="101F7779"/>
    <w:rsid w:val="102313C5"/>
    <w:rsid w:val="10260EB5"/>
    <w:rsid w:val="10263F10"/>
    <w:rsid w:val="10282537"/>
    <w:rsid w:val="10284C2D"/>
    <w:rsid w:val="102A2906"/>
    <w:rsid w:val="102D2243"/>
    <w:rsid w:val="10345380"/>
    <w:rsid w:val="103A226A"/>
    <w:rsid w:val="103A670E"/>
    <w:rsid w:val="103F5AD3"/>
    <w:rsid w:val="10466E61"/>
    <w:rsid w:val="10473351"/>
    <w:rsid w:val="104A4BA3"/>
    <w:rsid w:val="104B091B"/>
    <w:rsid w:val="104B10D7"/>
    <w:rsid w:val="104D4C65"/>
    <w:rsid w:val="10507EB4"/>
    <w:rsid w:val="10516108"/>
    <w:rsid w:val="1053332C"/>
    <w:rsid w:val="105570A4"/>
    <w:rsid w:val="10563548"/>
    <w:rsid w:val="105772C0"/>
    <w:rsid w:val="105926A7"/>
    <w:rsid w:val="105C0433"/>
    <w:rsid w:val="105C48D7"/>
    <w:rsid w:val="105D6016"/>
    <w:rsid w:val="105E3912"/>
    <w:rsid w:val="106043C7"/>
    <w:rsid w:val="10613C9B"/>
    <w:rsid w:val="1063632A"/>
    <w:rsid w:val="1063700D"/>
    <w:rsid w:val="1066305F"/>
    <w:rsid w:val="10667690"/>
    <w:rsid w:val="10675755"/>
    <w:rsid w:val="1069219C"/>
    <w:rsid w:val="106A0DA2"/>
    <w:rsid w:val="106A2B50"/>
    <w:rsid w:val="106C1512"/>
    <w:rsid w:val="106F63B8"/>
    <w:rsid w:val="10710382"/>
    <w:rsid w:val="10725EA8"/>
    <w:rsid w:val="10741C20"/>
    <w:rsid w:val="10790FE5"/>
    <w:rsid w:val="107B3450"/>
    <w:rsid w:val="107B4D5D"/>
    <w:rsid w:val="107E3021"/>
    <w:rsid w:val="107F7EB6"/>
    <w:rsid w:val="10833C11"/>
    <w:rsid w:val="108654B0"/>
    <w:rsid w:val="108A31F2"/>
    <w:rsid w:val="108C51BC"/>
    <w:rsid w:val="108F0808"/>
    <w:rsid w:val="108F3402"/>
    <w:rsid w:val="10900D7E"/>
    <w:rsid w:val="109127D2"/>
    <w:rsid w:val="10914580"/>
    <w:rsid w:val="10923E54"/>
    <w:rsid w:val="10944070"/>
    <w:rsid w:val="10947BCD"/>
    <w:rsid w:val="10961B97"/>
    <w:rsid w:val="109B53FF"/>
    <w:rsid w:val="109B71AD"/>
    <w:rsid w:val="109D4BAC"/>
    <w:rsid w:val="10A00E68"/>
    <w:rsid w:val="10A00FBB"/>
    <w:rsid w:val="10A2678D"/>
    <w:rsid w:val="10A36062"/>
    <w:rsid w:val="10A51DDA"/>
    <w:rsid w:val="10A5627E"/>
    <w:rsid w:val="10A73DA4"/>
    <w:rsid w:val="10A83678"/>
    <w:rsid w:val="10A92CF2"/>
    <w:rsid w:val="10AA3894"/>
    <w:rsid w:val="10B162FD"/>
    <w:rsid w:val="10B30C0C"/>
    <w:rsid w:val="10B417FE"/>
    <w:rsid w:val="10B4201D"/>
    <w:rsid w:val="10B562D2"/>
    <w:rsid w:val="10B83A61"/>
    <w:rsid w:val="10B85FB1"/>
    <w:rsid w:val="10B95885"/>
    <w:rsid w:val="10BB15FD"/>
    <w:rsid w:val="10BF39F0"/>
    <w:rsid w:val="10BF7A6B"/>
    <w:rsid w:val="10C04E65"/>
    <w:rsid w:val="10C304B2"/>
    <w:rsid w:val="10C637D6"/>
    <w:rsid w:val="10C81F6C"/>
    <w:rsid w:val="10CA1840"/>
    <w:rsid w:val="10CC559A"/>
    <w:rsid w:val="10D42AC2"/>
    <w:rsid w:val="10D64689"/>
    <w:rsid w:val="10D75D0B"/>
    <w:rsid w:val="10D94C76"/>
    <w:rsid w:val="10E003A3"/>
    <w:rsid w:val="10E02E12"/>
    <w:rsid w:val="10E072B6"/>
    <w:rsid w:val="10E16B8A"/>
    <w:rsid w:val="10E2302E"/>
    <w:rsid w:val="10E270D2"/>
    <w:rsid w:val="10E30B54"/>
    <w:rsid w:val="10E721A2"/>
    <w:rsid w:val="10EA5A3E"/>
    <w:rsid w:val="10ED3781"/>
    <w:rsid w:val="10EF574B"/>
    <w:rsid w:val="10F15377"/>
    <w:rsid w:val="10F25551"/>
    <w:rsid w:val="10F468BD"/>
    <w:rsid w:val="10FC5772"/>
    <w:rsid w:val="10FD39C4"/>
    <w:rsid w:val="10FE5858"/>
    <w:rsid w:val="10FE773C"/>
    <w:rsid w:val="11000178"/>
    <w:rsid w:val="11025270"/>
    <w:rsid w:val="11032FA4"/>
    <w:rsid w:val="11034D52"/>
    <w:rsid w:val="11036AF9"/>
    <w:rsid w:val="11043272"/>
    <w:rsid w:val="11062EDA"/>
    <w:rsid w:val="11072A94"/>
    <w:rsid w:val="110864A9"/>
    <w:rsid w:val="1109192F"/>
    <w:rsid w:val="110A7E8F"/>
    <w:rsid w:val="110C00AB"/>
    <w:rsid w:val="110F36F7"/>
    <w:rsid w:val="110F67DD"/>
    <w:rsid w:val="111005E9"/>
    <w:rsid w:val="111331E7"/>
    <w:rsid w:val="11194576"/>
    <w:rsid w:val="111A38EF"/>
    <w:rsid w:val="111B6540"/>
    <w:rsid w:val="111D4066"/>
    <w:rsid w:val="111D5E14"/>
    <w:rsid w:val="111E1B8C"/>
    <w:rsid w:val="11203193"/>
    <w:rsid w:val="112076B2"/>
    <w:rsid w:val="112371A2"/>
    <w:rsid w:val="11254CC9"/>
    <w:rsid w:val="112847B9"/>
    <w:rsid w:val="112D0F7E"/>
    <w:rsid w:val="112E152D"/>
    <w:rsid w:val="112F3AFB"/>
    <w:rsid w:val="112F3D99"/>
    <w:rsid w:val="113118BF"/>
    <w:rsid w:val="11333231"/>
    <w:rsid w:val="113A4C18"/>
    <w:rsid w:val="113C38DE"/>
    <w:rsid w:val="113F5FA5"/>
    <w:rsid w:val="1142587A"/>
    <w:rsid w:val="11427629"/>
    <w:rsid w:val="114415F3"/>
    <w:rsid w:val="11447D7B"/>
    <w:rsid w:val="114A472F"/>
    <w:rsid w:val="114C04A7"/>
    <w:rsid w:val="114C494B"/>
    <w:rsid w:val="115410D2"/>
    <w:rsid w:val="115455AE"/>
    <w:rsid w:val="1157616F"/>
    <w:rsid w:val="11592BC4"/>
    <w:rsid w:val="115A03A0"/>
    <w:rsid w:val="115F1D70"/>
    <w:rsid w:val="116010A2"/>
    <w:rsid w:val="11603F53"/>
    <w:rsid w:val="11610C55"/>
    <w:rsid w:val="11625DC1"/>
    <w:rsid w:val="11643A43"/>
    <w:rsid w:val="11667EA0"/>
    <w:rsid w:val="116752E1"/>
    <w:rsid w:val="11695EA2"/>
    <w:rsid w:val="116C28F7"/>
    <w:rsid w:val="116C6D9B"/>
    <w:rsid w:val="116F23E8"/>
    <w:rsid w:val="116F4196"/>
    <w:rsid w:val="1170063A"/>
    <w:rsid w:val="11716160"/>
    <w:rsid w:val="11731ED8"/>
    <w:rsid w:val="1173520F"/>
    <w:rsid w:val="11750324"/>
    <w:rsid w:val="11765558"/>
    <w:rsid w:val="117C6F5C"/>
    <w:rsid w:val="117D4B05"/>
    <w:rsid w:val="11800151"/>
    <w:rsid w:val="118045F5"/>
    <w:rsid w:val="11847C41"/>
    <w:rsid w:val="11875983"/>
    <w:rsid w:val="11877731"/>
    <w:rsid w:val="118925A4"/>
    <w:rsid w:val="11895257"/>
    <w:rsid w:val="118F08B5"/>
    <w:rsid w:val="11902A8A"/>
    <w:rsid w:val="11936342"/>
    <w:rsid w:val="119500A0"/>
    <w:rsid w:val="11965BC6"/>
    <w:rsid w:val="119807DA"/>
    <w:rsid w:val="11980D24"/>
    <w:rsid w:val="119C142F"/>
    <w:rsid w:val="119F3AAA"/>
    <w:rsid w:val="11A007F3"/>
    <w:rsid w:val="11A025A1"/>
    <w:rsid w:val="11A20A5E"/>
    <w:rsid w:val="11A46535"/>
    <w:rsid w:val="11A622AD"/>
    <w:rsid w:val="11A74BC1"/>
    <w:rsid w:val="11A91F21"/>
    <w:rsid w:val="11A97BE4"/>
    <w:rsid w:val="11AA4801"/>
    <w:rsid w:val="11AA5C3E"/>
    <w:rsid w:val="11AB1672"/>
    <w:rsid w:val="11AD170A"/>
    <w:rsid w:val="11AE1162"/>
    <w:rsid w:val="11AE2F10"/>
    <w:rsid w:val="11B06C88"/>
    <w:rsid w:val="11B541BA"/>
    <w:rsid w:val="11B61D60"/>
    <w:rsid w:val="11B76268"/>
    <w:rsid w:val="11B81065"/>
    <w:rsid w:val="11B85B3D"/>
    <w:rsid w:val="11BC387F"/>
    <w:rsid w:val="11BF511D"/>
    <w:rsid w:val="11C20769"/>
    <w:rsid w:val="11C24C0D"/>
    <w:rsid w:val="11C31551"/>
    <w:rsid w:val="11C646FD"/>
    <w:rsid w:val="11CC15E8"/>
    <w:rsid w:val="11CE54FA"/>
    <w:rsid w:val="11D00824"/>
    <w:rsid w:val="11D02E86"/>
    <w:rsid w:val="11D230A2"/>
    <w:rsid w:val="11D34725"/>
    <w:rsid w:val="11D34C34"/>
    <w:rsid w:val="11D434DA"/>
    <w:rsid w:val="11D72467"/>
    <w:rsid w:val="11D87F8D"/>
    <w:rsid w:val="11DA27F1"/>
    <w:rsid w:val="11DB182B"/>
    <w:rsid w:val="11DB75EE"/>
    <w:rsid w:val="11DE7199"/>
    <w:rsid w:val="11E0238E"/>
    <w:rsid w:val="11E03822"/>
    <w:rsid w:val="11E13435"/>
    <w:rsid w:val="11E3705D"/>
    <w:rsid w:val="11E608FC"/>
    <w:rsid w:val="11E64458"/>
    <w:rsid w:val="11E66E88"/>
    <w:rsid w:val="11E9219A"/>
    <w:rsid w:val="11EC57E6"/>
    <w:rsid w:val="11F34DC7"/>
    <w:rsid w:val="11F50B3F"/>
    <w:rsid w:val="11F863E9"/>
    <w:rsid w:val="11FA7F03"/>
    <w:rsid w:val="11FC3292"/>
    <w:rsid w:val="11FC3C7B"/>
    <w:rsid w:val="11FF388A"/>
    <w:rsid w:val="12011292"/>
    <w:rsid w:val="12031173"/>
    <w:rsid w:val="120328B4"/>
    <w:rsid w:val="12046FD4"/>
    <w:rsid w:val="12072620"/>
    <w:rsid w:val="12080872"/>
    <w:rsid w:val="120B0362"/>
    <w:rsid w:val="120B24D6"/>
    <w:rsid w:val="120B3EBE"/>
    <w:rsid w:val="120E7E53"/>
    <w:rsid w:val="120F5CDE"/>
    <w:rsid w:val="12114AE5"/>
    <w:rsid w:val="1211524D"/>
    <w:rsid w:val="12121690"/>
    <w:rsid w:val="121216F1"/>
    <w:rsid w:val="12130FC5"/>
    <w:rsid w:val="1213426D"/>
    <w:rsid w:val="12145696"/>
    <w:rsid w:val="12146ED2"/>
    <w:rsid w:val="12152F8F"/>
    <w:rsid w:val="12154D3D"/>
    <w:rsid w:val="12161838"/>
    <w:rsid w:val="12163B1E"/>
    <w:rsid w:val="12166326"/>
    <w:rsid w:val="12174F59"/>
    <w:rsid w:val="121A05A5"/>
    <w:rsid w:val="121C5F83"/>
    <w:rsid w:val="121E094C"/>
    <w:rsid w:val="121E62E8"/>
    <w:rsid w:val="122338FE"/>
    <w:rsid w:val="1226519C"/>
    <w:rsid w:val="12280F14"/>
    <w:rsid w:val="12296A3A"/>
    <w:rsid w:val="1230601B"/>
    <w:rsid w:val="12320AD3"/>
    <w:rsid w:val="12323B41"/>
    <w:rsid w:val="123258EF"/>
    <w:rsid w:val="123563CC"/>
    <w:rsid w:val="1236287D"/>
    <w:rsid w:val="12394ECF"/>
    <w:rsid w:val="123A47A4"/>
    <w:rsid w:val="123B7E74"/>
    <w:rsid w:val="123E1747"/>
    <w:rsid w:val="123E7F36"/>
    <w:rsid w:val="123F13C6"/>
    <w:rsid w:val="12415B32"/>
    <w:rsid w:val="12424EB0"/>
    <w:rsid w:val="12444303"/>
    <w:rsid w:val="12473C0E"/>
    <w:rsid w:val="12483364"/>
    <w:rsid w:val="12486A9B"/>
    <w:rsid w:val="124A70DD"/>
    <w:rsid w:val="124D44D7"/>
    <w:rsid w:val="124E024F"/>
    <w:rsid w:val="124F5DD4"/>
    <w:rsid w:val="12546888"/>
    <w:rsid w:val="12555A81"/>
    <w:rsid w:val="12575356"/>
    <w:rsid w:val="125910CE"/>
    <w:rsid w:val="125E7D6E"/>
    <w:rsid w:val="12614426"/>
    <w:rsid w:val="12617F82"/>
    <w:rsid w:val="12635AA8"/>
    <w:rsid w:val="12635BF0"/>
    <w:rsid w:val="12655CC4"/>
    <w:rsid w:val="12665599"/>
    <w:rsid w:val="12681311"/>
    <w:rsid w:val="126857B5"/>
    <w:rsid w:val="12690DA6"/>
    <w:rsid w:val="126E269F"/>
    <w:rsid w:val="126E7466"/>
    <w:rsid w:val="126F6B43"/>
    <w:rsid w:val="12771554"/>
    <w:rsid w:val="127759F8"/>
    <w:rsid w:val="127952CC"/>
    <w:rsid w:val="127A41FE"/>
    <w:rsid w:val="127A6C16"/>
    <w:rsid w:val="127C2A06"/>
    <w:rsid w:val="127F48AC"/>
    <w:rsid w:val="127F665A"/>
    <w:rsid w:val="12807CE9"/>
    <w:rsid w:val="128418B0"/>
    <w:rsid w:val="12850115"/>
    <w:rsid w:val="12851EC3"/>
    <w:rsid w:val="1286241A"/>
    <w:rsid w:val="128771E6"/>
    <w:rsid w:val="1288550F"/>
    <w:rsid w:val="128A74D9"/>
    <w:rsid w:val="128C37B9"/>
    <w:rsid w:val="128E0BAC"/>
    <w:rsid w:val="128E1953"/>
    <w:rsid w:val="128F36DE"/>
    <w:rsid w:val="12922832"/>
    <w:rsid w:val="12932551"/>
    <w:rsid w:val="129430A6"/>
    <w:rsid w:val="1295570C"/>
    <w:rsid w:val="12955E7E"/>
    <w:rsid w:val="12957C2C"/>
    <w:rsid w:val="12970E3D"/>
    <w:rsid w:val="12977E48"/>
    <w:rsid w:val="129A7405"/>
    <w:rsid w:val="129B16E6"/>
    <w:rsid w:val="129C3CE3"/>
    <w:rsid w:val="129C720C"/>
    <w:rsid w:val="12A14823"/>
    <w:rsid w:val="12A32349"/>
    <w:rsid w:val="12A33082"/>
    <w:rsid w:val="12A460C1"/>
    <w:rsid w:val="12A52565"/>
    <w:rsid w:val="12A6008B"/>
    <w:rsid w:val="12A702B4"/>
    <w:rsid w:val="12A90552"/>
    <w:rsid w:val="12AA7129"/>
    <w:rsid w:val="12B207DE"/>
    <w:rsid w:val="12B75DF4"/>
    <w:rsid w:val="12B91B6C"/>
    <w:rsid w:val="12B93D2B"/>
    <w:rsid w:val="12B96B30"/>
    <w:rsid w:val="12BB6334"/>
    <w:rsid w:val="12BF6B55"/>
    <w:rsid w:val="12C62AEB"/>
    <w:rsid w:val="12C7247D"/>
    <w:rsid w:val="12C81DAF"/>
    <w:rsid w:val="12C91B96"/>
    <w:rsid w:val="12CA1B73"/>
    <w:rsid w:val="12CA33DE"/>
    <w:rsid w:val="12CA5B28"/>
    <w:rsid w:val="12CD1ABC"/>
    <w:rsid w:val="12CD5618"/>
    <w:rsid w:val="12D60970"/>
    <w:rsid w:val="12D73FFC"/>
    <w:rsid w:val="12D82A7F"/>
    <w:rsid w:val="12DA1C81"/>
    <w:rsid w:val="12DB5F87"/>
    <w:rsid w:val="12DC585B"/>
    <w:rsid w:val="12DF0704"/>
    <w:rsid w:val="12E070F9"/>
    <w:rsid w:val="12E30C1F"/>
    <w:rsid w:val="12E34E3B"/>
    <w:rsid w:val="12E45D11"/>
    <w:rsid w:val="12E50BB3"/>
    <w:rsid w:val="12E56E05"/>
    <w:rsid w:val="12E7492B"/>
    <w:rsid w:val="12E765E7"/>
    <w:rsid w:val="12EA15F7"/>
    <w:rsid w:val="12EC0194"/>
    <w:rsid w:val="12ED5CBA"/>
    <w:rsid w:val="12F157AA"/>
    <w:rsid w:val="12F2507E"/>
    <w:rsid w:val="12F26E2C"/>
    <w:rsid w:val="12F40DF6"/>
    <w:rsid w:val="12F52399"/>
    <w:rsid w:val="12F64B6E"/>
    <w:rsid w:val="12F70399"/>
    <w:rsid w:val="12F708E7"/>
    <w:rsid w:val="12F812AB"/>
    <w:rsid w:val="12F86B39"/>
    <w:rsid w:val="12F9640D"/>
    <w:rsid w:val="13001549"/>
    <w:rsid w:val="130059ED"/>
    <w:rsid w:val="130152C1"/>
    <w:rsid w:val="13023513"/>
    <w:rsid w:val="13031039"/>
    <w:rsid w:val="13051255"/>
    <w:rsid w:val="13053004"/>
    <w:rsid w:val="130538AF"/>
    <w:rsid w:val="13073E43"/>
    <w:rsid w:val="13076D7C"/>
    <w:rsid w:val="13080DA0"/>
    <w:rsid w:val="13092230"/>
    <w:rsid w:val="130A686C"/>
    <w:rsid w:val="130C25E4"/>
    <w:rsid w:val="130C6140"/>
    <w:rsid w:val="130C72C5"/>
    <w:rsid w:val="130E712E"/>
    <w:rsid w:val="13102103"/>
    <w:rsid w:val="13103CCD"/>
    <w:rsid w:val="13117A56"/>
    <w:rsid w:val="13117BFA"/>
    <w:rsid w:val="13135720"/>
    <w:rsid w:val="1317177A"/>
    <w:rsid w:val="13191FE5"/>
    <w:rsid w:val="131E09A9"/>
    <w:rsid w:val="131E2317"/>
    <w:rsid w:val="13201BEB"/>
    <w:rsid w:val="132A2A6A"/>
    <w:rsid w:val="132E1098"/>
    <w:rsid w:val="13313DF9"/>
    <w:rsid w:val="1332191F"/>
    <w:rsid w:val="133438E9"/>
    <w:rsid w:val="133455FC"/>
    <w:rsid w:val="13367661"/>
    <w:rsid w:val="13370CE3"/>
    <w:rsid w:val="133833D9"/>
    <w:rsid w:val="133D1120"/>
    <w:rsid w:val="1340228E"/>
    <w:rsid w:val="13404ED0"/>
    <w:rsid w:val="13434203"/>
    <w:rsid w:val="134358DA"/>
    <w:rsid w:val="134359E6"/>
    <w:rsid w:val="1344404F"/>
    <w:rsid w:val="13453400"/>
    <w:rsid w:val="13457A35"/>
    <w:rsid w:val="13477178"/>
    <w:rsid w:val="134C6044"/>
    <w:rsid w:val="13501778"/>
    <w:rsid w:val="13516249"/>
    <w:rsid w:val="13527AD8"/>
    <w:rsid w:val="135327C5"/>
    <w:rsid w:val="13533D6F"/>
    <w:rsid w:val="13561AB1"/>
    <w:rsid w:val="1356385F"/>
    <w:rsid w:val="13596EAB"/>
    <w:rsid w:val="135C1D2F"/>
    <w:rsid w:val="1360023A"/>
    <w:rsid w:val="13622204"/>
    <w:rsid w:val="13634B43"/>
    <w:rsid w:val="136715C8"/>
    <w:rsid w:val="13672C4C"/>
    <w:rsid w:val="1367781A"/>
    <w:rsid w:val="136878D7"/>
    <w:rsid w:val="13693592"/>
    <w:rsid w:val="13696CAD"/>
    <w:rsid w:val="136971E9"/>
    <w:rsid w:val="136A10B9"/>
    <w:rsid w:val="136A13A7"/>
    <w:rsid w:val="136A730B"/>
    <w:rsid w:val="136B15CD"/>
    <w:rsid w:val="136C3083"/>
    <w:rsid w:val="136C562E"/>
    <w:rsid w:val="13712452"/>
    <w:rsid w:val="137361BF"/>
    <w:rsid w:val="137912FC"/>
    <w:rsid w:val="137B5074"/>
    <w:rsid w:val="137E0050"/>
    <w:rsid w:val="137F2DB6"/>
    <w:rsid w:val="13824654"/>
    <w:rsid w:val="13854144"/>
    <w:rsid w:val="13854D45"/>
    <w:rsid w:val="138959E3"/>
    <w:rsid w:val="138A0BB7"/>
    <w:rsid w:val="138A67AC"/>
    <w:rsid w:val="138B2047"/>
    <w:rsid w:val="138E4DA7"/>
    <w:rsid w:val="13900717"/>
    <w:rsid w:val="13906D71"/>
    <w:rsid w:val="13914897"/>
    <w:rsid w:val="139309D1"/>
    <w:rsid w:val="139323BD"/>
    <w:rsid w:val="13950604"/>
    <w:rsid w:val="13964589"/>
    <w:rsid w:val="139645AB"/>
    <w:rsid w:val="13975A19"/>
    <w:rsid w:val="13983E78"/>
    <w:rsid w:val="139A199E"/>
    <w:rsid w:val="139B5716"/>
    <w:rsid w:val="139B77A7"/>
    <w:rsid w:val="139C0DF5"/>
    <w:rsid w:val="139D323C"/>
    <w:rsid w:val="139D4FEA"/>
    <w:rsid w:val="139E0D62"/>
    <w:rsid w:val="13A10F7E"/>
    <w:rsid w:val="13A1426D"/>
    <w:rsid w:val="13A377FC"/>
    <w:rsid w:val="13A4281C"/>
    <w:rsid w:val="13A55725"/>
    <w:rsid w:val="13A91BE1"/>
    <w:rsid w:val="13AA5959"/>
    <w:rsid w:val="13AC059F"/>
    <w:rsid w:val="13AC16D1"/>
    <w:rsid w:val="13B0210D"/>
    <w:rsid w:val="13B30CB1"/>
    <w:rsid w:val="13B31898"/>
    <w:rsid w:val="13B81E24"/>
    <w:rsid w:val="13B87923"/>
    <w:rsid w:val="13BA0375"/>
    <w:rsid w:val="13BA2040"/>
    <w:rsid w:val="13BD568C"/>
    <w:rsid w:val="13C102B6"/>
    <w:rsid w:val="13C133CE"/>
    <w:rsid w:val="13C13492"/>
    <w:rsid w:val="13C20EF5"/>
    <w:rsid w:val="13CB5FFB"/>
    <w:rsid w:val="13CB7DA9"/>
    <w:rsid w:val="13CC58CF"/>
    <w:rsid w:val="13CD4D8B"/>
    <w:rsid w:val="13D306EB"/>
    <w:rsid w:val="13D5058C"/>
    <w:rsid w:val="13D529D6"/>
    <w:rsid w:val="13D749A0"/>
    <w:rsid w:val="13D766EE"/>
    <w:rsid w:val="13D94479"/>
    <w:rsid w:val="13DA2F6E"/>
    <w:rsid w:val="13DA6107"/>
    <w:rsid w:val="13DD188A"/>
    <w:rsid w:val="13DD7ADC"/>
    <w:rsid w:val="13DF0B38"/>
    <w:rsid w:val="13DF0DF5"/>
    <w:rsid w:val="13DF5603"/>
    <w:rsid w:val="13E03AF5"/>
    <w:rsid w:val="13E44050"/>
    <w:rsid w:val="13E470BD"/>
    <w:rsid w:val="13E7095B"/>
    <w:rsid w:val="13E72709"/>
    <w:rsid w:val="13E9022F"/>
    <w:rsid w:val="13EC5F71"/>
    <w:rsid w:val="13EC7D20"/>
    <w:rsid w:val="13ED13E4"/>
    <w:rsid w:val="13ED41C3"/>
    <w:rsid w:val="13EF6BBB"/>
    <w:rsid w:val="13F015BE"/>
    <w:rsid w:val="13F51386"/>
    <w:rsid w:val="13F55F77"/>
    <w:rsid w:val="13F76DF0"/>
    <w:rsid w:val="13FA068E"/>
    <w:rsid w:val="13FC61B5"/>
    <w:rsid w:val="140137CB"/>
    <w:rsid w:val="14016C62"/>
    <w:rsid w:val="14065285"/>
    <w:rsid w:val="14072C6F"/>
    <w:rsid w:val="140B464A"/>
    <w:rsid w:val="140E413A"/>
    <w:rsid w:val="140E7C96"/>
    <w:rsid w:val="14100781"/>
    <w:rsid w:val="14100D50"/>
    <w:rsid w:val="14137C0C"/>
    <w:rsid w:val="141436B9"/>
    <w:rsid w:val="1415204F"/>
    <w:rsid w:val="141A663B"/>
    <w:rsid w:val="14230D4E"/>
    <w:rsid w:val="14264FE0"/>
    <w:rsid w:val="142676D5"/>
    <w:rsid w:val="14315DF3"/>
    <w:rsid w:val="14327E28"/>
    <w:rsid w:val="143376FC"/>
    <w:rsid w:val="14346991"/>
    <w:rsid w:val="1437172E"/>
    <w:rsid w:val="1437543F"/>
    <w:rsid w:val="143771ED"/>
    <w:rsid w:val="1438692E"/>
    <w:rsid w:val="14395A4F"/>
    <w:rsid w:val="14397409"/>
    <w:rsid w:val="143A62A9"/>
    <w:rsid w:val="143A6C6E"/>
    <w:rsid w:val="143E4A1F"/>
    <w:rsid w:val="14444988"/>
    <w:rsid w:val="14445DAD"/>
    <w:rsid w:val="144500EB"/>
    <w:rsid w:val="14454D92"/>
    <w:rsid w:val="1446546B"/>
    <w:rsid w:val="14477A65"/>
    <w:rsid w:val="1448764C"/>
    <w:rsid w:val="144933C4"/>
    <w:rsid w:val="144C07BE"/>
    <w:rsid w:val="14515DD5"/>
    <w:rsid w:val="145204CA"/>
    <w:rsid w:val="14531B4D"/>
    <w:rsid w:val="14551D69"/>
    <w:rsid w:val="14557631"/>
    <w:rsid w:val="145958D9"/>
    <w:rsid w:val="145B3B2C"/>
    <w:rsid w:val="145C4FD4"/>
    <w:rsid w:val="145E6E6F"/>
    <w:rsid w:val="14612B95"/>
    <w:rsid w:val="14613BE9"/>
    <w:rsid w:val="14641FAC"/>
    <w:rsid w:val="14657798"/>
    <w:rsid w:val="14687DD5"/>
    <w:rsid w:val="146A0B88"/>
    <w:rsid w:val="146B158C"/>
    <w:rsid w:val="146B333A"/>
    <w:rsid w:val="146B50E8"/>
    <w:rsid w:val="146C06FC"/>
    <w:rsid w:val="146D6CF9"/>
    <w:rsid w:val="1470787A"/>
    <w:rsid w:val="14713B1A"/>
    <w:rsid w:val="14740441"/>
    <w:rsid w:val="1475573F"/>
    <w:rsid w:val="14757415"/>
    <w:rsid w:val="14770D55"/>
    <w:rsid w:val="14785D3D"/>
    <w:rsid w:val="147B4372"/>
    <w:rsid w:val="147C72F5"/>
    <w:rsid w:val="147F0B94"/>
    <w:rsid w:val="147F2942"/>
    <w:rsid w:val="147F49DD"/>
    <w:rsid w:val="14801499"/>
    <w:rsid w:val="14811289"/>
    <w:rsid w:val="14812B5E"/>
    <w:rsid w:val="148137BC"/>
    <w:rsid w:val="1481490C"/>
    <w:rsid w:val="14821692"/>
    <w:rsid w:val="148529D3"/>
    <w:rsid w:val="14883EEC"/>
    <w:rsid w:val="14887A48"/>
    <w:rsid w:val="148A7C64"/>
    <w:rsid w:val="148B578A"/>
    <w:rsid w:val="148D505F"/>
    <w:rsid w:val="148F527B"/>
    <w:rsid w:val="14900FF3"/>
    <w:rsid w:val="14916D56"/>
    <w:rsid w:val="1494463F"/>
    <w:rsid w:val="149503B7"/>
    <w:rsid w:val="14952100"/>
    <w:rsid w:val="14974B31"/>
    <w:rsid w:val="14977C8B"/>
    <w:rsid w:val="149A59CD"/>
    <w:rsid w:val="149C34F4"/>
    <w:rsid w:val="149D6AD6"/>
    <w:rsid w:val="149E54BE"/>
    <w:rsid w:val="14A32AD4"/>
    <w:rsid w:val="14A50970"/>
    <w:rsid w:val="14A800EA"/>
    <w:rsid w:val="14A8264D"/>
    <w:rsid w:val="14A83D2A"/>
    <w:rsid w:val="14A901D1"/>
    <w:rsid w:val="14A979BF"/>
    <w:rsid w:val="14AB3737"/>
    <w:rsid w:val="14AC2E0B"/>
    <w:rsid w:val="14AD4E8A"/>
    <w:rsid w:val="14AE48DA"/>
    <w:rsid w:val="14AF76CB"/>
    <w:rsid w:val="14B051F1"/>
    <w:rsid w:val="14B106F3"/>
    <w:rsid w:val="14B15431"/>
    <w:rsid w:val="14B451F8"/>
    <w:rsid w:val="14B46A8F"/>
    <w:rsid w:val="14B84F99"/>
    <w:rsid w:val="14B922F8"/>
    <w:rsid w:val="14BA55A9"/>
    <w:rsid w:val="14BC3B96"/>
    <w:rsid w:val="14BE16BC"/>
    <w:rsid w:val="14BE346A"/>
    <w:rsid w:val="14BF71E2"/>
    <w:rsid w:val="14C30A80"/>
    <w:rsid w:val="14C47E3E"/>
    <w:rsid w:val="14C50C9C"/>
    <w:rsid w:val="14C64A14"/>
    <w:rsid w:val="14C8078D"/>
    <w:rsid w:val="14C8253B"/>
    <w:rsid w:val="14C94663"/>
    <w:rsid w:val="14C97D21"/>
    <w:rsid w:val="14CB202B"/>
    <w:rsid w:val="14CB5B87"/>
    <w:rsid w:val="14CC4545"/>
    <w:rsid w:val="14CD18FF"/>
    <w:rsid w:val="14D07641"/>
    <w:rsid w:val="14D302E6"/>
    <w:rsid w:val="14D50CD3"/>
    <w:rsid w:val="14D514F5"/>
    <w:rsid w:val="14D64C58"/>
    <w:rsid w:val="14D67542"/>
    <w:rsid w:val="14D7452C"/>
    <w:rsid w:val="14DB47EB"/>
    <w:rsid w:val="14DC5FE6"/>
    <w:rsid w:val="14DC7D94"/>
    <w:rsid w:val="14DD26BC"/>
    <w:rsid w:val="14DD53DE"/>
    <w:rsid w:val="14E07535"/>
    <w:rsid w:val="14E1184E"/>
    <w:rsid w:val="14E135FC"/>
    <w:rsid w:val="14E46C49"/>
    <w:rsid w:val="14E535D0"/>
    <w:rsid w:val="14E54E9B"/>
    <w:rsid w:val="14E804E7"/>
    <w:rsid w:val="14EF1875"/>
    <w:rsid w:val="14F11A91"/>
    <w:rsid w:val="14F16167"/>
    <w:rsid w:val="14F37395"/>
    <w:rsid w:val="14F50E56"/>
    <w:rsid w:val="14F926F4"/>
    <w:rsid w:val="14FA7C95"/>
    <w:rsid w:val="14FC1799"/>
    <w:rsid w:val="14FE5F5C"/>
    <w:rsid w:val="15003A82"/>
    <w:rsid w:val="15015A4D"/>
    <w:rsid w:val="15023C9F"/>
    <w:rsid w:val="15080B89"/>
    <w:rsid w:val="15086875"/>
    <w:rsid w:val="150B1592"/>
    <w:rsid w:val="150D0F8A"/>
    <w:rsid w:val="150D2643"/>
    <w:rsid w:val="15113B55"/>
    <w:rsid w:val="15177F3A"/>
    <w:rsid w:val="15190579"/>
    <w:rsid w:val="151A266A"/>
    <w:rsid w:val="151E65FF"/>
    <w:rsid w:val="151F75E6"/>
    <w:rsid w:val="152010FF"/>
    <w:rsid w:val="152346F9"/>
    <w:rsid w:val="152446DB"/>
    <w:rsid w:val="15247B8E"/>
    <w:rsid w:val="1525173B"/>
    <w:rsid w:val="15261B20"/>
    <w:rsid w:val="15267261"/>
    <w:rsid w:val="1527196A"/>
    <w:rsid w:val="15282FD9"/>
    <w:rsid w:val="15284D87"/>
    <w:rsid w:val="152A3A00"/>
    <w:rsid w:val="152A4FA3"/>
    <w:rsid w:val="152A6D51"/>
    <w:rsid w:val="152D0EF1"/>
    <w:rsid w:val="152E4A94"/>
    <w:rsid w:val="153100E0"/>
    <w:rsid w:val="153876C0"/>
    <w:rsid w:val="15393438"/>
    <w:rsid w:val="153D1553"/>
    <w:rsid w:val="153D4CD7"/>
    <w:rsid w:val="153E0A4F"/>
    <w:rsid w:val="153E27FD"/>
    <w:rsid w:val="153E45AB"/>
    <w:rsid w:val="153F59EA"/>
    <w:rsid w:val="154046AE"/>
    <w:rsid w:val="15430807"/>
    <w:rsid w:val="1546345F"/>
    <w:rsid w:val="154716B1"/>
    <w:rsid w:val="15475B55"/>
    <w:rsid w:val="15477903"/>
    <w:rsid w:val="154A2F50"/>
    <w:rsid w:val="154A307A"/>
    <w:rsid w:val="154C60E2"/>
    <w:rsid w:val="154F0566"/>
    <w:rsid w:val="154F78BE"/>
    <w:rsid w:val="15510782"/>
    <w:rsid w:val="1551146D"/>
    <w:rsid w:val="155142DE"/>
    <w:rsid w:val="15520056"/>
    <w:rsid w:val="155344FA"/>
    <w:rsid w:val="15542020"/>
    <w:rsid w:val="1555652D"/>
    <w:rsid w:val="15595889"/>
    <w:rsid w:val="155C2C83"/>
    <w:rsid w:val="155C4A63"/>
    <w:rsid w:val="155D7127"/>
    <w:rsid w:val="155E2E9F"/>
    <w:rsid w:val="155E7D1F"/>
    <w:rsid w:val="156009C5"/>
    <w:rsid w:val="15604521"/>
    <w:rsid w:val="156204D3"/>
    <w:rsid w:val="15634011"/>
    <w:rsid w:val="15651F98"/>
    <w:rsid w:val="15655021"/>
    <w:rsid w:val="156A35F2"/>
    <w:rsid w:val="156C1118"/>
    <w:rsid w:val="156D4E90"/>
    <w:rsid w:val="156D58F9"/>
    <w:rsid w:val="1571672E"/>
    <w:rsid w:val="1573694A"/>
    <w:rsid w:val="15741F45"/>
    <w:rsid w:val="15782753"/>
    <w:rsid w:val="157B75AD"/>
    <w:rsid w:val="157C0F6F"/>
    <w:rsid w:val="157D1577"/>
    <w:rsid w:val="157D3325"/>
    <w:rsid w:val="157D64AF"/>
    <w:rsid w:val="157D65D4"/>
    <w:rsid w:val="157D7DC6"/>
    <w:rsid w:val="157E5460"/>
    <w:rsid w:val="157F52EF"/>
    <w:rsid w:val="15812789"/>
    <w:rsid w:val="15877D00"/>
    <w:rsid w:val="15883A78"/>
    <w:rsid w:val="158A3C94"/>
    <w:rsid w:val="158C2BF3"/>
    <w:rsid w:val="158C3568"/>
    <w:rsid w:val="158F4E06"/>
    <w:rsid w:val="159348F7"/>
    <w:rsid w:val="1594241D"/>
    <w:rsid w:val="159468C1"/>
    <w:rsid w:val="15997A33"/>
    <w:rsid w:val="159D5775"/>
    <w:rsid w:val="159E329B"/>
    <w:rsid w:val="159E6A4E"/>
    <w:rsid w:val="15A16E73"/>
    <w:rsid w:val="15A20D98"/>
    <w:rsid w:val="15A42761"/>
    <w:rsid w:val="15A45C82"/>
    <w:rsid w:val="15A54517"/>
    <w:rsid w:val="15A7573A"/>
    <w:rsid w:val="15A9411A"/>
    <w:rsid w:val="15AA48A7"/>
    <w:rsid w:val="15AC7766"/>
    <w:rsid w:val="15B00679"/>
    <w:rsid w:val="15B17473"/>
    <w:rsid w:val="15B43B6F"/>
    <w:rsid w:val="15B450DE"/>
    <w:rsid w:val="15B51BFC"/>
    <w:rsid w:val="15B8172A"/>
    <w:rsid w:val="15B825AF"/>
    <w:rsid w:val="15B8610B"/>
    <w:rsid w:val="15BB3E4D"/>
    <w:rsid w:val="15BC1451"/>
    <w:rsid w:val="15BC2B22"/>
    <w:rsid w:val="15BD1974"/>
    <w:rsid w:val="15BF44EA"/>
    <w:rsid w:val="15C01464"/>
    <w:rsid w:val="15C0597A"/>
    <w:rsid w:val="15C245AC"/>
    <w:rsid w:val="15C34AB0"/>
    <w:rsid w:val="15CC022F"/>
    <w:rsid w:val="15CE3B81"/>
    <w:rsid w:val="15D13671"/>
    <w:rsid w:val="15D13ECB"/>
    <w:rsid w:val="15D223DB"/>
    <w:rsid w:val="15D32254"/>
    <w:rsid w:val="15D32442"/>
    <w:rsid w:val="15D46CBD"/>
    <w:rsid w:val="15D51A4A"/>
    <w:rsid w:val="15D529D2"/>
    <w:rsid w:val="15D54F0F"/>
    <w:rsid w:val="15D674BA"/>
    <w:rsid w:val="15D75A18"/>
    <w:rsid w:val="15D947F4"/>
    <w:rsid w:val="15DA2525"/>
    <w:rsid w:val="15DB44F0"/>
    <w:rsid w:val="15DD2A90"/>
    <w:rsid w:val="15DD7DFD"/>
    <w:rsid w:val="15DE18EA"/>
    <w:rsid w:val="15DE1D23"/>
    <w:rsid w:val="15E07FEC"/>
    <w:rsid w:val="15E10FC5"/>
    <w:rsid w:val="15E11B06"/>
    <w:rsid w:val="15E2587E"/>
    <w:rsid w:val="15E45152"/>
    <w:rsid w:val="15E56E19"/>
    <w:rsid w:val="15E84AC2"/>
    <w:rsid w:val="15E84B86"/>
    <w:rsid w:val="15E941B7"/>
    <w:rsid w:val="15EB4733"/>
    <w:rsid w:val="15EC3507"/>
    <w:rsid w:val="15EC411F"/>
    <w:rsid w:val="15F01D49"/>
    <w:rsid w:val="15F07F9B"/>
    <w:rsid w:val="15F108DE"/>
    <w:rsid w:val="15F20809"/>
    <w:rsid w:val="15F333DA"/>
    <w:rsid w:val="15F335E7"/>
    <w:rsid w:val="15F64E85"/>
    <w:rsid w:val="15F82AD1"/>
    <w:rsid w:val="15F86E50"/>
    <w:rsid w:val="15F943A0"/>
    <w:rsid w:val="15FB06EE"/>
    <w:rsid w:val="15FC6940"/>
    <w:rsid w:val="15FD3AB1"/>
    <w:rsid w:val="15FD7FC2"/>
    <w:rsid w:val="15FE458D"/>
    <w:rsid w:val="15FF1F8C"/>
    <w:rsid w:val="15FF3D3A"/>
    <w:rsid w:val="160012C5"/>
    <w:rsid w:val="1601480E"/>
    <w:rsid w:val="160202FE"/>
    <w:rsid w:val="16027CCE"/>
    <w:rsid w:val="16041350"/>
    <w:rsid w:val="16062EAF"/>
    <w:rsid w:val="16070E41"/>
    <w:rsid w:val="16092E0B"/>
    <w:rsid w:val="160A20C3"/>
    <w:rsid w:val="160B0931"/>
    <w:rsid w:val="160B6B83"/>
    <w:rsid w:val="160C46A9"/>
    <w:rsid w:val="160E3E08"/>
    <w:rsid w:val="160F7935"/>
    <w:rsid w:val="160F7CF5"/>
    <w:rsid w:val="16113A6D"/>
    <w:rsid w:val="16117F11"/>
    <w:rsid w:val="16133C89"/>
    <w:rsid w:val="161377E5"/>
    <w:rsid w:val="16146FB3"/>
    <w:rsid w:val="161517B0"/>
    <w:rsid w:val="161547DB"/>
    <w:rsid w:val="16157A01"/>
    <w:rsid w:val="16176CCC"/>
    <w:rsid w:val="161812A0"/>
    <w:rsid w:val="161A5018"/>
    <w:rsid w:val="161D0664"/>
    <w:rsid w:val="161F409A"/>
    <w:rsid w:val="16201F02"/>
    <w:rsid w:val="16225C7A"/>
    <w:rsid w:val="16297009"/>
    <w:rsid w:val="162B0FD3"/>
    <w:rsid w:val="162B2D81"/>
    <w:rsid w:val="162C6AF9"/>
    <w:rsid w:val="163065E9"/>
    <w:rsid w:val="16327D9F"/>
    <w:rsid w:val="16337B04"/>
    <w:rsid w:val="16351E52"/>
    <w:rsid w:val="163836F0"/>
    <w:rsid w:val="1638724C"/>
    <w:rsid w:val="163C4F8E"/>
    <w:rsid w:val="163D4862"/>
    <w:rsid w:val="164200CB"/>
    <w:rsid w:val="164248D0"/>
    <w:rsid w:val="16426A1B"/>
    <w:rsid w:val="16445BF1"/>
    <w:rsid w:val="16473933"/>
    <w:rsid w:val="1647748F"/>
    <w:rsid w:val="164976AB"/>
    <w:rsid w:val="164B51D1"/>
    <w:rsid w:val="164D7072"/>
    <w:rsid w:val="164D719B"/>
    <w:rsid w:val="165072F3"/>
    <w:rsid w:val="16573B76"/>
    <w:rsid w:val="16583BB2"/>
    <w:rsid w:val="16592588"/>
    <w:rsid w:val="165A5414"/>
    <w:rsid w:val="165B16EA"/>
    <w:rsid w:val="165D6CB3"/>
    <w:rsid w:val="165F2466"/>
    <w:rsid w:val="165F7830"/>
    <w:rsid w:val="166149F5"/>
    <w:rsid w:val="166167A3"/>
    <w:rsid w:val="166444E5"/>
    <w:rsid w:val="16663DB9"/>
    <w:rsid w:val="166718DF"/>
    <w:rsid w:val="16677B31"/>
    <w:rsid w:val="16691A12"/>
    <w:rsid w:val="166D1169"/>
    <w:rsid w:val="166E2C6E"/>
    <w:rsid w:val="166E7112"/>
    <w:rsid w:val="166F1A6C"/>
    <w:rsid w:val="1670443A"/>
    <w:rsid w:val="16704C38"/>
    <w:rsid w:val="16710BAE"/>
    <w:rsid w:val="167364D6"/>
    <w:rsid w:val="1675224E"/>
    <w:rsid w:val="16753FFC"/>
    <w:rsid w:val="1678091D"/>
    <w:rsid w:val="16796819"/>
    <w:rsid w:val="167A7865"/>
    <w:rsid w:val="167C35DD"/>
    <w:rsid w:val="167D0B2D"/>
    <w:rsid w:val="167D7355"/>
    <w:rsid w:val="16810CFF"/>
    <w:rsid w:val="16846935"/>
    <w:rsid w:val="16852D9F"/>
    <w:rsid w:val="16886A96"/>
    <w:rsid w:val="168A2AF7"/>
    <w:rsid w:val="168D721F"/>
    <w:rsid w:val="16907088"/>
    <w:rsid w:val="16921052"/>
    <w:rsid w:val="169326D4"/>
    <w:rsid w:val="1694677A"/>
    <w:rsid w:val="16946B78"/>
    <w:rsid w:val="169528F0"/>
    <w:rsid w:val="1695469E"/>
    <w:rsid w:val="16970417"/>
    <w:rsid w:val="16986035"/>
    <w:rsid w:val="169A3A63"/>
    <w:rsid w:val="169C3C7F"/>
    <w:rsid w:val="169C5551"/>
    <w:rsid w:val="16A2220E"/>
    <w:rsid w:val="16A30A85"/>
    <w:rsid w:val="16A91EF8"/>
    <w:rsid w:val="16A94649"/>
    <w:rsid w:val="16AA22BF"/>
    <w:rsid w:val="16AB2114"/>
    <w:rsid w:val="16AD19E8"/>
    <w:rsid w:val="16AD7C3A"/>
    <w:rsid w:val="16B0136B"/>
    <w:rsid w:val="16B014D8"/>
    <w:rsid w:val="16B20DAC"/>
    <w:rsid w:val="16B234A2"/>
    <w:rsid w:val="16B55AB3"/>
    <w:rsid w:val="16B71B14"/>
    <w:rsid w:val="16B849F9"/>
    <w:rsid w:val="16B9038D"/>
    <w:rsid w:val="16BC60CF"/>
    <w:rsid w:val="16BE1E47"/>
    <w:rsid w:val="16BF796D"/>
    <w:rsid w:val="16C15797"/>
    <w:rsid w:val="16C200B7"/>
    <w:rsid w:val="16C61609"/>
    <w:rsid w:val="16C805D0"/>
    <w:rsid w:val="16C86822"/>
    <w:rsid w:val="16CA1169"/>
    <w:rsid w:val="16CC23A5"/>
    <w:rsid w:val="16CD4552"/>
    <w:rsid w:val="16CF122B"/>
    <w:rsid w:val="16CF1BD5"/>
    <w:rsid w:val="16CF4C6C"/>
    <w:rsid w:val="16CF7BB0"/>
    <w:rsid w:val="16D03928"/>
    <w:rsid w:val="16D43419"/>
    <w:rsid w:val="16D57191"/>
    <w:rsid w:val="16DA0303"/>
    <w:rsid w:val="16DD37CA"/>
    <w:rsid w:val="16E11692"/>
    <w:rsid w:val="16E15B36"/>
    <w:rsid w:val="16E178E4"/>
    <w:rsid w:val="16E3365C"/>
    <w:rsid w:val="16E4260B"/>
    <w:rsid w:val="16E44C4A"/>
    <w:rsid w:val="16E605FD"/>
    <w:rsid w:val="16E6314C"/>
    <w:rsid w:val="16E648E1"/>
    <w:rsid w:val="16E66CA8"/>
    <w:rsid w:val="16E93262"/>
    <w:rsid w:val="16EA49EA"/>
    <w:rsid w:val="16EA5E33"/>
    <w:rsid w:val="16EB2148"/>
    <w:rsid w:val="16EB29C9"/>
    <w:rsid w:val="16F01768"/>
    <w:rsid w:val="16F05D79"/>
    <w:rsid w:val="16F072C1"/>
    <w:rsid w:val="16F13FCB"/>
    <w:rsid w:val="16F50F0B"/>
    <w:rsid w:val="16F615E1"/>
    <w:rsid w:val="16F72C63"/>
    <w:rsid w:val="16F75359"/>
    <w:rsid w:val="16FA2753"/>
    <w:rsid w:val="16FC296F"/>
    <w:rsid w:val="16FE2244"/>
    <w:rsid w:val="16FF7D6A"/>
    <w:rsid w:val="170267BF"/>
    <w:rsid w:val="1703448C"/>
    <w:rsid w:val="170369D9"/>
    <w:rsid w:val="170535D2"/>
    <w:rsid w:val="17062EEA"/>
    <w:rsid w:val="170A1837"/>
    <w:rsid w:val="170C0E0F"/>
    <w:rsid w:val="170C6718"/>
    <w:rsid w:val="170F26A3"/>
    <w:rsid w:val="170F61FF"/>
    <w:rsid w:val="171001C9"/>
    <w:rsid w:val="17101F77"/>
    <w:rsid w:val="1711641B"/>
    <w:rsid w:val="17117C3B"/>
    <w:rsid w:val="17123F41"/>
    <w:rsid w:val="17163A31"/>
    <w:rsid w:val="17173305"/>
    <w:rsid w:val="171952CF"/>
    <w:rsid w:val="171A4BA4"/>
    <w:rsid w:val="171F21BA"/>
    <w:rsid w:val="17226AA0"/>
    <w:rsid w:val="1723614E"/>
    <w:rsid w:val="17237EFC"/>
    <w:rsid w:val="172779EC"/>
    <w:rsid w:val="172A3039"/>
    <w:rsid w:val="172A4DE7"/>
    <w:rsid w:val="172C6A7B"/>
    <w:rsid w:val="172D0D7B"/>
    <w:rsid w:val="172D71A4"/>
    <w:rsid w:val="172E0505"/>
    <w:rsid w:val="172F68A1"/>
    <w:rsid w:val="172F75D4"/>
    <w:rsid w:val="173043C7"/>
    <w:rsid w:val="17316607"/>
    <w:rsid w:val="173172A1"/>
    <w:rsid w:val="17326391"/>
    <w:rsid w:val="17356871"/>
    <w:rsid w:val="17367C2F"/>
    <w:rsid w:val="1739327C"/>
    <w:rsid w:val="17397720"/>
    <w:rsid w:val="173C2D6C"/>
    <w:rsid w:val="173C56DA"/>
    <w:rsid w:val="17401CEF"/>
    <w:rsid w:val="17412B7A"/>
    <w:rsid w:val="17457E73"/>
    <w:rsid w:val="1746135D"/>
    <w:rsid w:val="174658D3"/>
    <w:rsid w:val="17465999"/>
    <w:rsid w:val="17471E3D"/>
    <w:rsid w:val="17481711"/>
    <w:rsid w:val="17485BB5"/>
    <w:rsid w:val="174A3E64"/>
    <w:rsid w:val="174B2FAF"/>
    <w:rsid w:val="174D17D7"/>
    <w:rsid w:val="174D36C8"/>
    <w:rsid w:val="174F3A55"/>
    <w:rsid w:val="174F6F43"/>
    <w:rsid w:val="175005C5"/>
    <w:rsid w:val="17516817"/>
    <w:rsid w:val="17521041"/>
    <w:rsid w:val="17546308"/>
    <w:rsid w:val="17562080"/>
    <w:rsid w:val="17577430"/>
    <w:rsid w:val="17591B70"/>
    <w:rsid w:val="175A163A"/>
    <w:rsid w:val="175D4A13"/>
    <w:rsid w:val="175E2CE2"/>
    <w:rsid w:val="175E75E4"/>
    <w:rsid w:val="17602EFE"/>
    <w:rsid w:val="176033D6"/>
    <w:rsid w:val="17614581"/>
    <w:rsid w:val="17622D2A"/>
    <w:rsid w:val="176302F9"/>
    <w:rsid w:val="17637A3D"/>
    <w:rsid w:val="17650515"/>
    <w:rsid w:val="1767428D"/>
    <w:rsid w:val="176A5B2B"/>
    <w:rsid w:val="176B1995"/>
    <w:rsid w:val="176C53FF"/>
    <w:rsid w:val="176C668F"/>
    <w:rsid w:val="176E561B"/>
    <w:rsid w:val="176F6C9D"/>
    <w:rsid w:val="17710C68"/>
    <w:rsid w:val="177249E0"/>
    <w:rsid w:val="17752C9A"/>
    <w:rsid w:val="1776002C"/>
    <w:rsid w:val="17767DA9"/>
    <w:rsid w:val="17767F77"/>
    <w:rsid w:val="177B0B4D"/>
    <w:rsid w:val="177B3894"/>
    <w:rsid w:val="177E15D6"/>
    <w:rsid w:val="17802201"/>
    <w:rsid w:val="178070FD"/>
    <w:rsid w:val="17833C2E"/>
    <w:rsid w:val="17884203"/>
    <w:rsid w:val="178A7F7B"/>
    <w:rsid w:val="178F36E0"/>
    <w:rsid w:val="179028DE"/>
    <w:rsid w:val="1791130A"/>
    <w:rsid w:val="179130B8"/>
    <w:rsid w:val="17914E66"/>
    <w:rsid w:val="17935082"/>
    <w:rsid w:val="17976BD3"/>
    <w:rsid w:val="179A543D"/>
    <w:rsid w:val="179B3F36"/>
    <w:rsid w:val="179B7297"/>
    <w:rsid w:val="179D1A5D"/>
    <w:rsid w:val="179D7CAF"/>
    <w:rsid w:val="179E417B"/>
    <w:rsid w:val="179E7583"/>
    <w:rsid w:val="17A10E21"/>
    <w:rsid w:val="17A54DB5"/>
    <w:rsid w:val="17A74689"/>
    <w:rsid w:val="17AA23CB"/>
    <w:rsid w:val="17AA4179"/>
    <w:rsid w:val="17AA5F28"/>
    <w:rsid w:val="17AA6EC0"/>
    <w:rsid w:val="17AB5561"/>
    <w:rsid w:val="17AB593A"/>
    <w:rsid w:val="17AB770D"/>
    <w:rsid w:val="17AC1C0E"/>
    <w:rsid w:val="17AC1CA0"/>
    <w:rsid w:val="17AC6144"/>
    <w:rsid w:val="17AD5A18"/>
    <w:rsid w:val="17AD77C6"/>
    <w:rsid w:val="17AE3C6A"/>
    <w:rsid w:val="17B31280"/>
    <w:rsid w:val="17B4027F"/>
    <w:rsid w:val="17B60D70"/>
    <w:rsid w:val="17B801EF"/>
    <w:rsid w:val="17B84561"/>
    <w:rsid w:val="17B9260F"/>
    <w:rsid w:val="17B97F3E"/>
    <w:rsid w:val="17BE7C25"/>
    <w:rsid w:val="17BF5E77"/>
    <w:rsid w:val="17C214C3"/>
    <w:rsid w:val="17C3523B"/>
    <w:rsid w:val="17C5041E"/>
    <w:rsid w:val="17C52D61"/>
    <w:rsid w:val="17C92852"/>
    <w:rsid w:val="17CA22B0"/>
    <w:rsid w:val="17CA481C"/>
    <w:rsid w:val="17CC0594"/>
    <w:rsid w:val="17CD7844"/>
    <w:rsid w:val="17CD7B3F"/>
    <w:rsid w:val="17CE60BA"/>
    <w:rsid w:val="17CF3BE0"/>
    <w:rsid w:val="17CF5CF5"/>
    <w:rsid w:val="17CF5E16"/>
    <w:rsid w:val="17D11706"/>
    <w:rsid w:val="17D336D0"/>
    <w:rsid w:val="17D411F6"/>
    <w:rsid w:val="17D42075"/>
    <w:rsid w:val="17D47717"/>
    <w:rsid w:val="17D64F6F"/>
    <w:rsid w:val="17D77582"/>
    <w:rsid w:val="17D9641D"/>
    <w:rsid w:val="17DC5469"/>
    <w:rsid w:val="17DE12A6"/>
    <w:rsid w:val="17DF02C7"/>
    <w:rsid w:val="17DF1E94"/>
    <w:rsid w:val="17E32254"/>
    <w:rsid w:val="17E51656"/>
    <w:rsid w:val="17E56F60"/>
    <w:rsid w:val="17E573D4"/>
    <w:rsid w:val="17E72CD8"/>
    <w:rsid w:val="17E7717C"/>
    <w:rsid w:val="17EC5FF2"/>
    <w:rsid w:val="17EE050A"/>
    <w:rsid w:val="17F3167D"/>
    <w:rsid w:val="17F378CF"/>
    <w:rsid w:val="17F50191"/>
    <w:rsid w:val="17F51899"/>
    <w:rsid w:val="17F65611"/>
    <w:rsid w:val="17F81389"/>
    <w:rsid w:val="17F92353"/>
    <w:rsid w:val="17F95B78"/>
    <w:rsid w:val="17FB6783"/>
    <w:rsid w:val="17FC6DEA"/>
    <w:rsid w:val="18016469"/>
    <w:rsid w:val="18022EE5"/>
    <w:rsid w:val="18027B12"/>
    <w:rsid w:val="18046EEA"/>
    <w:rsid w:val="18064498"/>
    <w:rsid w:val="180729F7"/>
    <w:rsid w:val="1807337A"/>
    <w:rsid w:val="180A6356"/>
    <w:rsid w:val="181066D2"/>
    <w:rsid w:val="18117D55"/>
    <w:rsid w:val="18163A6D"/>
    <w:rsid w:val="181674CA"/>
    <w:rsid w:val="18167A61"/>
    <w:rsid w:val="181808BC"/>
    <w:rsid w:val="18196493"/>
    <w:rsid w:val="181A30AD"/>
    <w:rsid w:val="181C3874"/>
    <w:rsid w:val="1820443C"/>
    <w:rsid w:val="18217539"/>
    <w:rsid w:val="18251A52"/>
    <w:rsid w:val="18252F5E"/>
    <w:rsid w:val="182757CA"/>
    <w:rsid w:val="182D5BA9"/>
    <w:rsid w:val="182E0907"/>
    <w:rsid w:val="182F17B2"/>
    <w:rsid w:val="18300B23"/>
    <w:rsid w:val="183121A5"/>
    <w:rsid w:val="18357EE7"/>
    <w:rsid w:val="183813D4"/>
    <w:rsid w:val="18381785"/>
    <w:rsid w:val="18383533"/>
    <w:rsid w:val="18393FA5"/>
    <w:rsid w:val="183A374F"/>
    <w:rsid w:val="183B4569"/>
    <w:rsid w:val="183D6D9C"/>
    <w:rsid w:val="183D7039"/>
    <w:rsid w:val="183E0BAE"/>
    <w:rsid w:val="183E2945"/>
    <w:rsid w:val="1840063A"/>
    <w:rsid w:val="1842560F"/>
    <w:rsid w:val="1844637C"/>
    <w:rsid w:val="18453242"/>
    <w:rsid w:val="184639D8"/>
    <w:rsid w:val="18463EA2"/>
    <w:rsid w:val="184721C3"/>
    <w:rsid w:val="18477A39"/>
    <w:rsid w:val="184A3267"/>
    <w:rsid w:val="184A725D"/>
    <w:rsid w:val="184B14B9"/>
    <w:rsid w:val="184B784A"/>
    <w:rsid w:val="184C3483"/>
    <w:rsid w:val="18500A76"/>
    <w:rsid w:val="18510AEB"/>
    <w:rsid w:val="18510B14"/>
    <w:rsid w:val="18574301"/>
    <w:rsid w:val="18580359"/>
    <w:rsid w:val="18581E27"/>
    <w:rsid w:val="18585984"/>
    <w:rsid w:val="185A5BA0"/>
    <w:rsid w:val="185C1918"/>
    <w:rsid w:val="185E284C"/>
    <w:rsid w:val="185F713E"/>
    <w:rsid w:val="18623723"/>
    <w:rsid w:val="18624A54"/>
    <w:rsid w:val="18627B3E"/>
    <w:rsid w:val="186407CC"/>
    <w:rsid w:val="1865086B"/>
    <w:rsid w:val="18661881"/>
    <w:rsid w:val="18694035"/>
    <w:rsid w:val="18695DE3"/>
    <w:rsid w:val="18697B91"/>
    <w:rsid w:val="186D4C9B"/>
    <w:rsid w:val="186E33F9"/>
    <w:rsid w:val="18711896"/>
    <w:rsid w:val="18725CB1"/>
    <w:rsid w:val="18784278"/>
    <w:rsid w:val="18786866"/>
    <w:rsid w:val="187A7FF0"/>
    <w:rsid w:val="187C3D68"/>
    <w:rsid w:val="187D188E"/>
    <w:rsid w:val="187E52DA"/>
    <w:rsid w:val="1881137E"/>
    <w:rsid w:val="1881312C"/>
    <w:rsid w:val="18820C52"/>
    <w:rsid w:val="188449CB"/>
    <w:rsid w:val="188744BB"/>
    <w:rsid w:val="188A04FE"/>
    <w:rsid w:val="188B5D59"/>
    <w:rsid w:val="188E75F7"/>
    <w:rsid w:val="189015C1"/>
    <w:rsid w:val="18903CAB"/>
    <w:rsid w:val="1890511D"/>
    <w:rsid w:val="18925339"/>
    <w:rsid w:val="18952734"/>
    <w:rsid w:val="18964231"/>
    <w:rsid w:val="189746FE"/>
    <w:rsid w:val="189866C8"/>
    <w:rsid w:val="189B3AC2"/>
    <w:rsid w:val="189C1857"/>
    <w:rsid w:val="189D5A8C"/>
    <w:rsid w:val="189F7A56"/>
    <w:rsid w:val="18A07434"/>
    <w:rsid w:val="18A24E51"/>
    <w:rsid w:val="18A4506D"/>
    <w:rsid w:val="18A73371"/>
    <w:rsid w:val="18A94431"/>
    <w:rsid w:val="18AB205E"/>
    <w:rsid w:val="18AB63FB"/>
    <w:rsid w:val="18AC2992"/>
    <w:rsid w:val="18AE1A47"/>
    <w:rsid w:val="18AE31F3"/>
    <w:rsid w:val="18B3705E"/>
    <w:rsid w:val="18B43502"/>
    <w:rsid w:val="18B54B84"/>
    <w:rsid w:val="18B708FC"/>
    <w:rsid w:val="18B73096"/>
    <w:rsid w:val="18B86332"/>
    <w:rsid w:val="18BA6619"/>
    <w:rsid w:val="18BC33A1"/>
    <w:rsid w:val="18BE612E"/>
    <w:rsid w:val="18BE735F"/>
    <w:rsid w:val="18C13529"/>
    <w:rsid w:val="18C272A1"/>
    <w:rsid w:val="18C354F3"/>
    <w:rsid w:val="18C64FE3"/>
    <w:rsid w:val="18C66D91"/>
    <w:rsid w:val="18C82B09"/>
    <w:rsid w:val="18C96881"/>
    <w:rsid w:val="18CB25F9"/>
    <w:rsid w:val="18CC75DE"/>
    <w:rsid w:val="18CD3D5D"/>
    <w:rsid w:val="18CF42C0"/>
    <w:rsid w:val="18D07C10"/>
    <w:rsid w:val="18D53478"/>
    <w:rsid w:val="18D56FD4"/>
    <w:rsid w:val="18DC4807"/>
    <w:rsid w:val="18DD40DB"/>
    <w:rsid w:val="18E319D0"/>
    <w:rsid w:val="18E36CB5"/>
    <w:rsid w:val="18E45469"/>
    <w:rsid w:val="18E47714"/>
    <w:rsid w:val="18E50C46"/>
    <w:rsid w:val="18E831AB"/>
    <w:rsid w:val="18E90CD1"/>
    <w:rsid w:val="18EB73D8"/>
    <w:rsid w:val="18ED07C2"/>
    <w:rsid w:val="18ED6A14"/>
    <w:rsid w:val="18EE0096"/>
    <w:rsid w:val="18F02060"/>
    <w:rsid w:val="18F029FA"/>
    <w:rsid w:val="18F41B50"/>
    <w:rsid w:val="18F6267A"/>
    <w:rsid w:val="18F71640"/>
    <w:rsid w:val="18F90F15"/>
    <w:rsid w:val="18FF22A3"/>
    <w:rsid w:val="18FF4051"/>
    <w:rsid w:val="19002C28"/>
    <w:rsid w:val="19031D93"/>
    <w:rsid w:val="1904793D"/>
    <w:rsid w:val="19094ED0"/>
    <w:rsid w:val="190B0C48"/>
    <w:rsid w:val="190E4405"/>
    <w:rsid w:val="191004C4"/>
    <w:rsid w:val="19102A54"/>
    <w:rsid w:val="191044B0"/>
    <w:rsid w:val="19120228"/>
    <w:rsid w:val="19121FD6"/>
    <w:rsid w:val="19134653"/>
    <w:rsid w:val="19167C1E"/>
    <w:rsid w:val="19193365"/>
    <w:rsid w:val="191A2F77"/>
    <w:rsid w:val="191C10A7"/>
    <w:rsid w:val="191E097B"/>
    <w:rsid w:val="191F46F3"/>
    <w:rsid w:val="191F64A1"/>
    <w:rsid w:val="19205339"/>
    <w:rsid w:val="19212219"/>
    <w:rsid w:val="192128CC"/>
    <w:rsid w:val="192129B8"/>
    <w:rsid w:val="19221828"/>
    <w:rsid w:val="1923563E"/>
    <w:rsid w:val="19235F91"/>
    <w:rsid w:val="19265A82"/>
    <w:rsid w:val="192774D6"/>
    <w:rsid w:val="19277699"/>
    <w:rsid w:val="192A1AD1"/>
    <w:rsid w:val="192D5062"/>
    <w:rsid w:val="1932711D"/>
    <w:rsid w:val="1934019F"/>
    <w:rsid w:val="19341F4D"/>
    <w:rsid w:val="193432A6"/>
    <w:rsid w:val="19351A4B"/>
    <w:rsid w:val="19364056"/>
    <w:rsid w:val="19371A3D"/>
    <w:rsid w:val="193811E8"/>
    <w:rsid w:val="1938661F"/>
    <w:rsid w:val="193A068A"/>
    <w:rsid w:val="193B28C3"/>
    <w:rsid w:val="193D11DB"/>
    <w:rsid w:val="193E2DCB"/>
    <w:rsid w:val="193E726F"/>
    <w:rsid w:val="193F08F1"/>
    <w:rsid w:val="193F3921"/>
    <w:rsid w:val="1940130A"/>
    <w:rsid w:val="1941466A"/>
    <w:rsid w:val="19415E1F"/>
    <w:rsid w:val="194222A2"/>
    <w:rsid w:val="194505FE"/>
    <w:rsid w:val="1945381D"/>
    <w:rsid w:val="1945415A"/>
    <w:rsid w:val="19466124"/>
    <w:rsid w:val="194859F8"/>
    <w:rsid w:val="19495E63"/>
    <w:rsid w:val="194A1770"/>
    <w:rsid w:val="194A5C14"/>
    <w:rsid w:val="194B373A"/>
    <w:rsid w:val="194B4A95"/>
    <w:rsid w:val="194B54E8"/>
    <w:rsid w:val="194B7296"/>
    <w:rsid w:val="194D74B2"/>
    <w:rsid w:val="194E0845"/>
    <w:rsid w:val="194F1CD5"/>
    <w:rsid w:val="194F6D87"/>
    <w:rsid w:val="195033E7"/>
    <w:rsid w:val="19516FA3"/>
    <w:rsid w:val="195425EF"/>
    <w:rsid w:val="195720DF"/>
    <w:rsid w:val="19575C3B"/>
    <w:rsid w:val="195904AE"/>
    <w:rsid w:val="19597463"/>
    <w:rsid w:val="195C76F5"/>
    <w:rsid w:val="195D1801"/>
    <w:rsid w:val="195F2D42"/>
    <w:rsid w:val="19616ABA"/>
    <w:rsid w:val="1962096B"/>
    <w:rsid w:val="1963014B"/>
    <w:rsid w:val="19632832"/>
    <w:rsid w:val="196346F0"/>
    <w:rsid w:val="1964136A"/>
    <w:rsid w:val="19681485"/>
    <w:rsid w:val="1968609A"/>
    <w:rsid w:val="196A0064"/>
    <w:rsid w:val="196A3A37"/>
    <w:rsid w:val="196B16E7"/>
    <w:rsid w:val="196D545F"/>
    <w:rsid w:val="196D55CC"/>
    <w:rsid w:val="196E3837"/>
    <w:rsid w:val="19704F4F"/>
    <w:rsid w:val="19706CFD"/>
    <w:rsid w:val="197131A1"/>
    <w:rsid w:val="19717795"/>
    <w:rsid w:val="19770E6D"/>
    <w:rsid w:val="197902A7"/>
    <w:rsid w:val="19792055"/>
    <w:rsid w:val="197A3FC2"/>
    <w:rsid w:val="197D2182"/>
    <w:rsid w:val="197D4D53"/>
    <w:rsid w:val="198033E4"/>
    <w:rsid w:val="19803C90"/>
    <w:rsid w:val="19827735"/>
    <w:rsid w:val="19836A30"/>
    <w:rsid w:val="198509FA"/>
    <w:rsid w:val="19892EAC"/>
    <w:rsid w:val="198A6011"/>
    <w:rsid w:val="198D3D53"/>
    <w:rsid w:val="198D3D62"/>
    <w:rsid w:val="19946E8F"/>
    <w:rsid w:val="19956C86"/>
    <w:rsid w:val="199724DC"/>
    <w:rsid w:val="199926F8"/>
    <w:rsid w:val="1999291E"/>
    <w:rsid w:val="199960FE"/>
    <w:rsid w:val="199B1FCC"/>
    <w:rsid w:val="199B4FE1"/>
    <w:rsid w:val="199C7AF2"/>
    <w:rsid w:val="199E4182"/>
    <w:rsid w:val="19A03A86"/>
    <w:rsid w:val="19A14D6A"/>
    <w:rsid w:val="19A8293B"/>
    <w:rsid w:val="19A966CF"/>
    <w:rsid w:val="19AC369D"/>
    <w:rsid w:val="19AD1CFF"/>
    <w:rsid w:val="19AF0A4A"/>
    <w:rsid w:val="19AF5A77"/>
    <w:rsid w:val="19B06428"/>
    <w:rsid w:val="19B117EF"/>
    <w:rsid w:val="19B144CC"/>
    <w:rsid w:val="19B36621"/>
    <w:rsid w:val="19B42212"/>
    <w:rsid w:val="19B47531"/>
    <w:rsid w:val="19B66E06"/>
    <w:rsid w:val="19B7492C"/>
    <w:rsid w:val="19B94B48"/>
    <w:rsid w:val="19BA0EF0"/>
    <w:rsid w:val="19BB266E"/>
    <w:rsid w:val="19BC78C6"/>
    <w:rsid w:val="19BE215E"/>
    <w:rsid w:val="19C07C84"/>
    <w:rsid w:val="19C24BC8"/>
    <w:rsid w:val="19C332D1"/>
    <w:rsid w:val="19C777A8"/>
    <w:rsid w:val="19CC487B"/>
    <w:rsid w:val="19CC6629"/>
    <w:rsid w:val="19CD19CF"/>
    <w:rsid w:val="19CF1C75"/>
    <w:rsid w:val="19D05A8B"/>
    <w:rsid w:val="19D07778"/>
    <w:rsid w:val="19D104E7"/>
    <w:rsid w:val="19D13C3F"/>
    <w:rsid w:val="19D21766"/>
    <w:rsid w:val="19D30872"/>
    <w:rsid w:val="19D8069E"/>
    <w:rsid w:val="19D83220"/>
    <w:rsid w:val="19D83FFA"/>
    <w:rsid w:val="19DB4ABE"/>
    <w:rsid w:val="19DB686C"/>
    <w:rsid w:val="19DD65B7"/>
    <w:rsid w:val="19DE008F"/>
    <w:rsid w:val="19E00326"/>
    <w:rsid w:val="19E020D4"/>
    <w:rsid w:val="19E03E83"/>
    <w:rsid w:val="19E32A71"/>
    <w:rsid w:val="19E33973"/>
    <w:rsid w:val="19E6554B"/>
    <w:rsid w:val="19E66B27"/>
    <w:rsid w:val="19E80F89"/>
    <w:rsid w:val="19E82D37"/>
    <w:rsid w:val="19E93197"/>
    <w:rsid w:val="19EA1203"/>
    <w:rsid w:val="19EA2F53"/>
    <w:rsid w:val="19EA4D01"/>
    <w:rsid w:val="19EC0A79"/>
    <w:rsid w:val="19EC6CCB"/>
    <w:rsid w:val="19EE2A43"/>
    <w:rsid w:val="19EF056A"/>
    <w:rsid w:val="19EF2318"/>
    <w:rsid w:val="19EF7E58"/>
    <w:rsid w:val="19F00F50"/>
    <w:rsid w:val="19F17E3E"/>
    <w:rsid w:val="19F6132D"/>
    <w:rsid w:val="19F83806"/>
    <w:rsid w:val="19FA6126"/>
    <w:rsid w:val="19FB2187"/>
    <w:rsid w:val="19FB411D"/>
    <w:rsid w:val="19FD2C86"/>
    <w:rsid w:val="19FD67E3"/>
    <w:rsid w:val="19FE07AD"/>
    <w:rsid w:val="19FF42D4"/>
    <w:rsid w:val="1A003538"/>
    <w:rsid w:val="1A02297B"/>
    <w:rsid w:val="1A073B05"/>
    <w:rsid w:val="1A0758B3"/>
    <w:rsid w:val="1A077661"/>
    <w:rsid w:val="1A085187"/>
    <w:rsid w:val="1A09162B"/>
    <w:rsid w:val="1A0B2B5B"/>
    <w:rsid w:val="1A0C330F"/>
    <w:rsid w:val="1A0D279E"/>
    <w:rsid w:val="1A0E6C42"/>
    <w:rsid w:val="1A0F1A8D"/>
    <w:rsid w:val="1A1245F4"/>
    <w:rsid w:val="1A1678A4"/>
    <w:rsid w:val="1A1743EA"/>
    <w:rsid w:val="1A1A6BA0"/>
    <w:rsid w:val="1A1F1313"/>
    <w:rsid w:val="1A240213"/>
    <w:rsid w:val="1A253F8B"/>
    <w:rsid w:val="1A27385F"/>
    <w:rsid w:val="1A2C531A"/>
    <w:rsid w:val="1A2E1092"/>
    <w:rsid w:val="1A2E6111"/>
    <w:rsid w:val="1A304E0A"/>
    <w:rsid w:val="1A310B82"/>
    <w:rsid w:val="1A3366A8"/>
    <w:rsid w:val="1A367BB6"/>
    <w:rsid w:val="1A3A17E5"/>
    <w:rsid w:val="1A3B2C7E"/>
    <w:rsid w:val="1A3B37AF"/>
    <w:rsid w:val="1A3B6AF0"/>
    <w:rsid w:val="1A3C3F06"/>
    <w:rsid w:val="1A3E4B0B"/>
    <w:rsid w:val="1A3F329F"/>
    <w:rsid w:val="1A404921"/>
    <w:rsid w:val="1A442663"/>
    <w:rsid w:val="1A4563DB"/>
    <w:rsid w:val="1A495ECC"/>
    <w:rsid w:val="1A4A39F2"/>
    <w:rsid w:val="1A4C32C6"/>
    <w:rsid w:val="1A4F0E26"/>
    <w:rsid w:val="1A50725A"/>
    <w:rsid w:val="1A512FD2"/>
    <w:rsid w:val="1A516B2E"/>
    <w:rsid w:val="1A525091"/>
    <w:rsid w:val="1A534654"/>
    <w:rsid w:val="1A534939"/>
    <w:rsid w:val="1A554870"/>
    <w:rsid w:val="1A562397"/>
    <w:rsid w:val="1A587BF3"/>
    <w:rsid w:val="1A5E53F6"/>
    <w:rsid w:val="1A5F56EF"/>
    <w:rsid w:val="1A665C12"/>
    <w:rsid w:val="1A6920CA"/>
    <w:rsid w:val="1A6A5C61"/>
    <w:rsid w:val="1A6B5E42"/>
    <w:rsid w:val="1A6C153A"/>
    <w:rsid w:val="1A6C1BBA"/>
    <w:rsid w:val="1A6C61D4"/>
    <w:rsid w:val="1A6C7A79"/>
    <w:rsid w:val="1A705206"/>
    <w:rsid w:val="1A7171D0"/>
    <w:rsid w:val="1A720026"/>
    <w:rsid w:val="1A725422"/>
    <w:rsid w:val="1A726B6A"/>
    <w:rsid w:val="1A732F49"/>
    <w:rsid w:val="1A78230D"/>
    <w:rsid w:val="1A7840BB"/>
    <w:rsid w:val="1A7A6085"/>
    <w:rsid w:val="1A7D2AAB"/>
    <w:rsid w:val="1A7E0000"/>
    <w:rsid w:val="1A7F5449"/>
    <w:rsid w:val="1A815666"/>
    <w:rsid w:val="1A820ECC"/>
    <w:rsid w:val="1A855066"/>
    <w:rsid w:val="1A893128"/>
    <w:rsid w:val="1A8B0292"/>
    <w:rsid w:val="1A8D38EA"/>
    <w:rsid w:val="1A8E167C"/>
    <w:rsid w:val="1A9133CF"/>
    <w:rsid w:val="1A972D9C"/>
    <w:rsid w:val="1A974E89"/>
    <w:rsid w:val="1A985E70"/>
    <w:rsid w:val="1A98650B"/>
    <w:rsid w:val="1A9A68F5"/>
    <w:rsid w:val="1A9C249F"/>
    <w:rsid w:val="1A9D296E"/>
    <w:rsid w:val="1A9D6217"/>
    <w:rsid w:val="1AA0049D"/>
    <w:rsid w:val="1AA94BBC"/>
    <w:rsid w:val="1AAA0093"/>
    <w:rsid w:val="1AAB26E2"/>
    <w:rsid w:val="1AAE3F81"/>
    <w:rsid w:val="1AAE4C70"/>
    <w:rsid w:val="1AAF5A47"/>
    <w:rsid w:val="1AB0225C"/>
    <w:rsid w:val="1AB05F4B"/>
    <w:rsid w:val="1AB07CF9"/>
    <w:rsid w:val="1AB175CD"/>
    <w:rsid w:val="1AB32FF2"/>
    <w:rsid w:val="1AB33345"/>
    <w:rsid w:val="1AB36295"/>
    <w:rsid w:val="1AB5530F"/>
    <w:rsid w:val="1AB71087"/>
    <w:rsid w:val="1AB772D9"/>
    <w:rsid w:val="1ABA2925"/>
    <w:rsid w:val="1ABA4127"/>
    <w:rsid w:val="1ABA6BBA"/>
    <w:rsid w:val="1ABC669E"/>
    <w:rsid w:val="1ABD5F72"/>
    <w:rsid w:val="1ABF618E"/>
    <w:rsid w:val="1AC15A62"/>
    <w:rsid w:val="1AC440B9"/>
    <w:rsid w:val="1AC55BC3"/>
    <w:rsid w:val="1AC612CA"/>
    <w:rsid w:val="1AC64B56"/>
    <w:rsid w:val="1AC92B69"/>
    <w:rsid w:val="1AC92E03"/>
    <w:rsid w:val="1AC9700C"/>
    <w:rsid w:val="1ACC33EC"/>
    <w:rsid w:val="1ACC4407"/>
    <w:rsid w:val="1ACC5A17"/>
    <w:rsid w:val="1ACF03B6"/>
    <w:rsid w:val="1AD02149"/>
    <w:rsid w:val="1AD05CA5"/>
    <w:rsid w:val="1AD072DB"/>
    <w:rsid w:val="1AD27C6F"/>
    <w:rsid w:val="1AD31C39"/>
    <w:rsid w:val="1AD440BD"/>
    <w:rsid w:val="1AD5150D"/>
    <w:rsid w:val="1AD77FD8"/>
    <w:rsid w:val="1ADA440F"/>
    <w:rsid w:val="1ADC221D"/>
    <w:rsid w:val="1ADC53AB"/>
    <w:rsid w:val="1ADD03C2"/>
    <w:rsid w:val="1AE16104"/>
    <w:rsid w:val="1AE23C2A"/>
    <w:rsid w:val="1AE71241"/>
    <w:rsid w:val="1AE71D97"/>
    <w:rsid w:val="1AE747E0"/>
    <w:rsid w:val="1AEA48DA"/>
    <w:rsid w:val="1AEB3784"/>
    <w:rsid w:val="1AEC5458"/>
    <w:rsid w:val="1AED2CFB"/>
    <w:rsid w:val="1AED4AA9"/>
    <w:rsid w:val="1AEE111D"/>
    <w:rsid w:val="1AEE25CF"/>
    <w:rsid w:val="1AEE6385"/>
    <w:rsid w:val="1AF20311"/>
    <w:rsid w:val="1AF23E6D"/>
    <w:rsid w:val="1AF45F58"/>
    <w:rsid w:val="1AF5395E"/>
    <w:rsid w:val="1AF65C4D"/>
    <w:rsid w:val="1AF776D6"/>
    <w:rsid w:val="1AF77DFA"/>
    <w:rsid w:val="1AFB57DD"/>
    <w:rsid w:val="1AFC6A9A"/>
    <w:rsid w:val="1AFE497A"/>
    <w:rsid w:val="1AFF02A3"/>
    <w:rsid w:val="1B0032DD"/>
    <w:rsid w:val="1B010554"/>
    <w:rsid w:val="1B03607B"/>
    <w:rsid w:val="1B041DF3"/>
    <w:rsid w:val="1B05696E"/>
    <w:rsid w:val="1B063DBD"/>
    <w:rsid w:val="1B067919"/>
    <w:rsid w:val="1B0B3181"/>
    <w:rsid w:val="1B0D6EF9"/>
    <w:rsid w:val="1B0F0EC3"/>
    <w:rsid w:val="1B10529A"/>
    <w:rsid w:val="1B124510"/>
    <w:rsid w:val="1B125F8C"/>
    <w:rsid w:val="1B132036"/>
    <w:rsid w:val="1B1453A9"/>
    <w:rsid w:val="1B153DB8"/>
    <w:rsid w:val="1B162E37"/>
    <w:rsid w:val="1B173603"/>
    <w:rsid w:val="1B1A6779"/>
    <w:rsid w:val="1B1D4C62"/>
    <w:rsid w:val="1B1E3E17"/>
    <w:rsid w:val="1B1E6A58"/>
    <w:rsid w:val="1B1E7A45"/>
    <w:rsid w:val="1B210BF7"/>
    <w:rsid w:val="1B223E33"/>
    <w:rsid w:val="1B261195"/>
    <w:rsid w:val="1B262EA2"/>
    <w:rsid w:val="1B281F85"/>
    <w:rsid w:val="1B2A7AAB"/>
    <w:rsid w:val="1B2B4D71"/>
    <w:rsid w:val="1B2B737F"/>
    <w:rsid w:val="1B2D1EC5"/>
    <w:rsid w:val="1B2E0B21"/>
    <w:rsid w:val="1B2E6E70"/>
    <w:rsid w:val="1B326960"/>
    <w:rsid w:val="1B3721C8"/>
    <w:rsid w:val="1B3846F0"/>
    <w:rsid w:val="1B3C77DE"/>
    <w:rsid w:val="1B3E1D60"/>
    <w:rsid w:val="1B3E5305"/>
    <w:rsid w:val="1B3F107D"/>
    <w:rsid w:val="1B414DF5"/>
    <w:rsid w:val="1B416BA3"/>
    <w:rsid w:val="1B43291B"/>
    <w:rsid w:val="1B434989"/>
    <w:rsid w:val="1B4B5C73"/>
    <w:rsid w:val="1B4D5548"/>
    <w:rsid w:val="1B505038"/>
    <w:rsid w:val="1B506DE6"/>
    <w:rsid w:val="1B5157DB"/>
    <w:rsid w:val="1B522B5E"/>
    <w:rsid w:val="1B527F1C"/>
    <w:rsid w:val="1B530684"/>
    <w:rsid w:val="1B544B28"/>
    <w:rsid w:val="1B56026F"/>
    <w:rsid w:val="1B574618"/>
    <w:rsid w:val="1B5A1A13"/>
    <w:rsid w:val="1B5B2A71"/>
    <w:rsid w:val="1B5C578B"/>
    <w:rsid w:val="1B5D502F"/>
    <w:rsid w:val="1B6033DE"/>
    <w:rsid w:val="1B610D9D"/>
    <w:rsid w:val="1B617245"/>
    <w:rsid w:val="1B617E95"/>
    <w:rsid w:val="1B627A11"/>
    <w:rsid w:val="1B642891"/>
    <w:rsid w:val="1B650AE3"/>
    <w:rsid w:val="1B6603B7"/>
    <w:rsid w:val="1B682381"/>
    <w:rsid w:val="1B697EA8"/>
    <w:rsid w:val="1B6B04F7"/>
    <w:rsid w:val="1B6D18C5"/>
    <w:rsid w:val="1B6E745A"/>
    <w:rsid w:val="1B6F3710"/>
    <w:rsid w:val="1B6F6E2E"/>
    <w:rsid w:val="1B715553"/>
    <w:rsid w:val="1B724FAE"/>
    <w:rsid w:val="1B7264C7"/>
    <w:rsid w:val="1B746F78"/>
    <w:rsid w:val="1B754A9E"/>
    <w:rsid w:val="1B764745"/>
    <w:rsid w:val="1B7900EB"/>
    <w:rsid w:val="1B7927E1"/>
    <w:rsid w:val="1B79633D"/>
    <w:rsid w:val="1B7B0307"/>
    <w:rsid w:val="1B7B78EB"/>
    <w:rsid w:val="1B7C407F"/>
    <w:rsid w:val="1B7C7BDB"/>
    <w:rsid w:val="1B7F5BFB"/>
    <w:rsid w:val="1B8371BB"/>
    <w:rsid w:val="1B8444F2"/>
    <w:rsid w:val="1B851185"/>
    <w:rsid w:val="1B882A24"/>
    <w:rsid w:val="1B884DC4"/>
    <w:rsid w:val="1B8A054A"/>
    <w:rsid w:val="1B8A22F8"/>
    <w:rsid w:val="1B8B42C2"/>
    <w:rsid w:val="1B8F5B60"/>
    <w:rsid w:val="1B8F790E"/>
    <w:rsid w:val="1B9211AC"/>
    <w:rsid w:val="1B943177"/>
    <w:rsid w:val="1B9664DA"/>
    <w:rsid w:val="1B974A15"/>
    <w:rsid w:val="1B99253B"/>
    <w:rsid w:val="1B9E07D7"/>
    <w:rsid w:val="1B9E5DA3"/>
    <w:rsid w:val="1B9E6666"/>
    <w:rsid w:val="1BA17641"/>
    <w:rsid w:val="1BA40A59"/>
    <w:rsid w:val="1BA50A8D"/>
    <w:rsid w:val="1BAA3635"/>
    <w:rsid w:val="1BAA4748"/>
    <w:rsid w:val="1BAB226E"/>
    <w:rsid w:val="1BAC6712"/>
    <w:rsid w:val="1BAC7B54"/>
    <w:rsid w:val="1BAF04ED"/>
    <w:rsid w:val="1BB27AA1"/>
    <w:rsid w:val="1BB61BD8"/>
    <w:rsid w:val="1BB83309"/>
    <w:rsid w:val="1BB90E2F"/>
    <w:rsid w:val="1BBC5B46"/>
    <w:rsid w:val="1BBD779E"/>
    <w:rsid w:val="1BBE2143"/>
    <w:rsid w:val="1BC46E3E"/>
    <w:rsid w:val="1BC54872"/>
    <w:rsid w:val="1BC80F25"/>
    <w:rsid w:val="1BC917F8"/>
    <w:rsid w:val="1BCB46BE"/>
    <w:rsid w:val="1BCD0437"/>
    <w:rsid w:val="1BCD6688"/>
    <w:rsid w:val="1BCF0653"/>
    <w:rsid w:val="1BCF41AF"/>
    <w:rsid w:val="1BD06E32"/>
    <w:rsid w:val="1BD45C69"/>
    <w:rsid w:val="1BD8064F"/>
    <w:rsid w:val="1BD96DDB"/>
    <w:rsid w:val="1BDA3524"/>
    <w:rsid w:val="1BDB348B"/>
    <w:rsid w:val="1BE0016A"/>
    <w:rsid w:val="1BE063BC"/>
    <w:rsid w:val="1BE37C5A"/>
    <w:rsid w:val="1BE51DFA"/>
    <w:rsid w:val="1BE75582"/>
    <w:rsid w:val="1BE7774A"/>
    <w:rsid w:val="1BE85270"/>
    <w:rsid w:val="1BE95CDC"/>
    <w:rsid w:val="1BEA723A"/>
    <w:rsid w:val="1BEC33E8"/>
    <w:rsid w:val="1BED4878"/>
    <w:rsid w:val="1BF12377"/>
    <w:rsid w:val="1BF241B1"/>
    <w:rsid w:val="1BF41E67"/>
    <w:rsid w:val="1BF92573"/>
    <w:rsid w:val="1BF956CF"/>
    <w:rsid w:val="1BFA03EC"/>
    <w:rsid w:val="1BFA05BD"/>
    <w:rsid w:val="1BFB1448"/>
    <w:rsid w:val="1BFC2ACA"/>
    <w:rsid w:val="1BFE4A94"/>
    <w:rsid w:val="1BFF6CED"/>
    <w:rsid w:val="1C0025BA"/>
    <w:rsid w:val="1C013DF9"/>
    <w:rsid w:val="1C0302FC"/>
    <w:rsid w:val="1C1222ED"/>
    <w:rsid w:val="1C12289A"/>
    <w:rsid w:val="1C166281"/>
    <w:rsid w:val="1C177904"/>
    <w:rsid w:val="1C185B56"/>
    <w:rsid w:val="1C1A2BF2"/>
    <w:rsid w:val="1C1B3898"/>
    <w:rsid w:val="1C1D13BE"/>
    <w:rsid w:val="1C24274C"/>
    <w:rsid w:val="1C247350"/>
    <w:rsid w:val="1C252021"/>
    <w:rsid w:val="1C275D99"/>
    <w:rsid w:val="1C275E99"/>
    <w:rsid w:val="1C286CE3"/>
    <w:rsid w:val="1C2C7853"/>
    <w:rsid w:val="1C324773"/>
    <w:rsid w:val="1C33298F"/>
    <w:rsid w:val="1C3763B1"/>
    <w:rsid w:val="1C393D1E"/>
    <w:rsid w:val="1C3A1F70"/>
    <w:rsid w:val="1C3B1844"/>
    <w:rsid w:val="1C3B5CE8"/>
    <w:rsid w:val="1C3D380E"/>
    <w:rsid w:val="1C3F7586"/>
    <w:rsid w:val="1C427076"/>
    <w:rsid w:val="1C4306F9"/>
    <w:rsid w:val="1C47468D"/>
    <w:rsid w:val="1C483765"/>
    <w:rsid w:val="1C4C57FF"/>
    <w:rsid w:val="1C4F709D"/>
    <w:rsid w:val="1C512E16"/>
    <w:rsid w:val="1C534F2C"/>
    <w:rsid w:val="1C536B8E"/>
    <w:rsid w:val="1C563B03"/>
    <w:rsid w:val="1C566221"/>
    <w:rsid w:val="1C5841A4"/>
    <w:rsid w:val="1C5D0DEA"/>
    <w:rsid w:val="1C5D7A0C"/>
    <w:rsid w:val="1C5E07C8"/>
    <w:rsid w:val="1C5E227A"/>
    <w:rsid w:val="1C5F19D6"/>
    <w:rsid w:val="1C5F5476"/>
    <w:rsid w:val="1C604132"/>
    <w:rsid w:val="1C60776B"/>
    <w:rsid w:val="1C672639"/>
    <w:rsid w:val="1C673348"/>
    <w:rsid w:val="1C694603"/>
    <w:rsid w:val="1C6C1693"/>
    <w:rsid w:val="1C6C5EA1"/>
    <w:rsid w:val="1C6D17DE"/>
    <w:rsid w:val="1C715266"/>
    <w:rsid w:val="1C746B04"/>
    <w:rsid w:val="1C76287C"/>
    <w:rsid w:val="1C79287C"/>
    <w:rsid w:val="1C7973E3"/>
    <w:rsid w:val="1C7A2140"/>
    <w:rsid w:val="1C7A3685"/>
    <w:rsid w:val="1C7D00AF"/>
    <w:rsid w:val="1C7D3C0B"/>
    <w:rsid w:val="1C7F3E27"/>
    <w:rsid w:val="1C871D1D"/>
    <w:rsid w:val="1C8774E7"/>
    <w:rsid w:val="1C8906F6"/>
    <w:rsid w:val="1C8925AF"/>
    <w:rsid w:val="1C8B27CB"/>
    <w:rsid w:val="1C8B73DF"/>
    <w:rsid w:val="1C8E5E18"/>
    <w:rsid w:val="1C8E7C18"/>
    <w:rsid w:val="1C8F48B3"/>
    <w:rsid w:val="1C901B90"/>
    <w:rsid w:val="1C9176B6"/>
    <w:rsid w:val="1C93342E"/>
    <w:rsid w:val="1C9553F8"/>
    <w:rsid w:val="1C961D12"/>
    <w:rsid w:val="1C962F1E"/>
    <w:rsid w:val="1C986C96"/>
    <w:rsid w:val="1C9A0C60"/>
    <w:rsid w:val="1C9B40CC"/>
    <w:rsid w:val="1C9D42AD"/>
    <w:rsid w:val="1C9D605B"/>
    <w:rsid w:val="1C9F6277"/>
    <w:rsid w:val="1CA23671"/>
    <w:rsid w:val="1CA27B15"/>
    <w:rsid w:val="1CA341A2"/>
    <w:rsid w:val="1CA473E9"/>
    <w:rsid w:val="1CA63D20"/>
    <w:rsid w:val="1CA8313A"/>
    <w:rsid w:val="1CA933B8"/>
    <w:rsid w:val="1CAA3340"/>
    <w:rsid w:val="1CAA5CB0"/>
    <w:rsid w:val="1CAB69CA"/>
    <w:rsid w:val="1CAC629E"/>
    <w:rsid w:val="1CAE2016"/>
    <w:rsid w:val="1CB03FE0"/>
    <w:rsid w:val="1CB11B06"/>
    <w:rsid w:val="1CB32742"/>
    <w:rsid w:val="1CB44504"/>
    <w:rsid w:val="1CB515F6"/>
    <w:rsid w:val="1CB65AA2"/>
    <w:rsid w:val="1CB957A5"/>
    <w:rsid w:val="1CBD65F6"/>
    <w:rsid w:val="1CBF06C7"/>
    <w:rsid w:val="1CBF4223"/>
    <w:rsid w:val="1CC7132A"/>
    <w:rsid w:val="1CC96E50"/>
    <w:rsid w:val="1CCC4B92"/>
    <w:rsid w:val="1CCD028C"/>
    <w:rsid w:val="1CCE50AB"/>
    <w:rsid w:val="1CD203FA"/>
    <w:rsid w:val="1CD3259B"/>
    <w:rsid w:val="1CD37CCF"/>
    <w:rsid w:val="1CD53A47"/>
    <w:rsid w:val="1CD6156D"/>
    <w:rsid w:val="1CD9590B"/>
    <w:rsid w:val="1CDA364E"/>
    <w:rsid w:val="1CDB6B83"/>
    <w:rsid w:val="1CDD6D9F"/>
    <w:rsid w:val="1CDE345E"/>
    <w:rsid w:val="1CE0094F"/>
    <w:rsid w:val="1CE0650C"/>
    <w:rsid w:val="1CE15B08"/>
    <w:rsid w:val="1CE343B6"/>
    <w:rsid w:val="1CE4012E"/>
    <w:rsid w:val="1CE53331"/>
    <w:rsid w:val="1CE70126"/>
    <w:rsid w:val="1CE819CC"/>
    <w:rsid w:val="1CE968F4"/>
    <w:rsid w:val="1CEB5A62"/>
    <w:rsid w:val="1CEB6DC6"/>
    <w:rsid w:val="1CEB6F95"/>
    <w:rsid w:val="1CEC6549"/>
    <w:rsid w:val="1CEE0979"/>
    <w:rsid w:val="1CEE4B08"/>
    <w:rsid w:val="1CEE68B6"/>
    <w:rsid w:val="1CF245F9"/>
    <w:rsid w:val="1CF30371"/>
    <w:rsid w:val="1CF57C45"/>
    <w:rsid w:val="1CF57E0B"/>
    <w:rsid w:val="1CF71C0F"/>
    <w:rsid w:val="1CF77E61"/>
    <w:rsid w:val="1CF80317"/>
    <w:rsid w:val="1CFA34AD"/>
    <w:rsid w:val="1CFB6B03"/>
    <w:rsid w:val="1CFC0FD3"/>
    <w:rsid w:val="1CFC7225"/>
    <w:rsid w:val="1CFF2872"/>
    <w:rsid w:val="1CFF6D16"/>
    <w:rsid w:val="1D001585"/>
    <w:rsid w:val="1D0205B4"/>
    <w:rsid w:val="1D022362"/>
    <w:rsid w:val="1D04432C"/>
    <w:rsid w:val="1D047E88"/>
    <w:rsid w:val="1D061E52"/>
    <w:rsid w:val="1D063C00"/>
    <w:rsid w:val="1D08136F"/>
    <w:rsid w:val="1D0B4B20"/>
    <w:rsid w:val="1D0E180F"/>
    <w:rsid w:val="1D0F0FD0"/>
    <w:rsid w:val="1D102CD1"/>
    <w:rsid w:val="1D116EE3"/>
    <w:rsid w:val="1D13631D"/>
    <w:rsid w:val="1D156539"/>
    <w:rsid w:val="1D181C54"/>
    <w:rsid w:val="1D1A76AB"/>
    <w:rsid w:val="1D1D7568"/>
    <w:rsid w:val="1D1F6797"/>
    <w:rsid w:val="1D214EDE"/>
    <w:rsid w:val="1D230C56"/>
    <w:rsid w:val="1D243271"/>
    <w:rsid w:val="1D2642A2"/>
    <w:rsid w:val="1D293D92"/>
    <w:rsid w:val="1D2F75FB"/>
    <w:rsid w:val="1D300C7D"/>
    <w:rsid w:val="1D303373"/>
    <w:rsid w:val="1D3042D5"/>
    <w:rsid w:val="1D3049A6"/>
    <w:rsid w:val="1D305121"/>
    <w:rsid w:val="1D321DAB"/>
    <w:rsid w:val="1D322C47"/>
    <w:rsid w:val="1D384069"/>
    <w:rsid w:val="1D390D09"/>
    <w:rsid w:val="1D3C3E7A"/>
    <w:rsid w:val="1D3E783E"/>
    <w:rsid w:val="1D4209B0"/>
    <w:rsid w:val="1D4306C6"/>
    <w:rsid w:val="1D434E54"/>
    <w:rsid w:val="1D4533A0"/>
    <w:rsid w:val="1D454507"/>
    <w:rsid w:val="1D457206"/>
    <w:rsid w:val="1D4604A0"/>
    <w:rsid w:val="1D46626F"/>
    <w:rsid w:val="1D4806BC"/>
    <w:rsid w:val="1D493F66"/>
    <w:rsid w:val="1D4A1C90"/>
    <w:rsid w:val="1D4D182F"/>
    <w:rsid w:val="1D4D6540"/>
    <w:rsid w:val="1D5022F0"/>
    <w:rsid w:val="1D526E45"/>
    <w:rsid w:val="1D540E0F"/>
    <w:rsid w:val="1D552DD9"/>
    <w:rsid w:val="1D596426"/>
    <w:rsid w:val="1D5F77B4"/>
    <w:rsid w:val="1D623C6A"/>
    <w:rsid w:val="1D646B79"/>
    <w:rsid w:val="1D65301C"/>
    <w:rsid w:val="1D653086"/>
    <w:rsid w:val="1D655C57"/>
    <w:rsid w:val="1D672095"/>
    <w:rsid w:val="1D6800DD"/>
    <w:rsid w:val="1D6923E1"/>
    <w:rsid w:val="1D6B5850"/>
    <w:rsid w:val="1D6C3CB5"/>
    <w:rsid w:val="1D6F2573"/>
    <w:rsid w:val="1D7019C1"/>
    <w:rsid w:val="1D750659"/>
    <w:rsid w:val="1D752B34"/>
    <w:rsid w:val="1D790876"/>
    <w:rsid w:val="1D7A639C"/>
    <w:rsid w:val="1D7B2840"/>
    <w:rsid w:val="1D7C3EC2"/>
    <w:rsid w:val="1D7E2B06"/>
    <w:rsid w:val="1D7F28E8"/>
    <w:rsid w:val="1D807E78"/>
    <w:rsid w:val="1D813BCE"/>
    <w:rsid w:val="1D8148D9"/>
    <w:rsid w:val="1D81597C"/>
    <w:rsid w:val="1D8334A3"/>
    <w:rsid w:val="1D864D41"/>
    <w:rsid w:val="1D865ADA"/>
    <w:rsid w:val="1D86683A"/>
    <w:rsid w:val="1D87722F"/>
    <w:rsid w:val="1D886D0B"/>
    <w:rsid w:val="1D8965DF"/>
    <w:rsid w:val="1D8A4831"/>
    <w:rsid w:val="1D8B67FB"/>
    <w:rsid w:val="1D8D2573"/>
    <w:rsid w:val="1D8D4406"/>
    <w:rsid w:val="1D900FF2"/>
    <w:rsid w:val="1D9A1FF5"/>
    <w:rsid w:val="1D9A259A"/>
    <w:rsid w:val="1D9A5FD7"/>
    <w:rsid w:val="1D9C6312"/>
    <w:rsid w:val="1D9D45A6"/>
    <w:rsid w:val="1D9F387F"/>
    <w:rsid w:val="1D9F5E03"/>
    <w:rsid w:val="1DA11B98"/>
    <w:rsid w:val="1DA17DCD"/>
    <w:rsid w:val="1DA43419"/>
    <w:rsid w:val="1DA63635"/>
    <w:rsid w:val="1DA67191"/>
    <w:rsid w:val="1DA75A0A"/>
    <w:rsid w:val="1DA8115B"/>
    <w:rsid w:val="1DAA4ED3"/>
    <w:rsid w:val="1DAB1346"/>
    <w:rsid w:val="1DAB1CCD"/>
    <w:rsid w:val="1DAB47A7"/>
    <w:rsid w:val="1DAE09B2"/>
    <w:rsid w:val="1DAF5F1E"/>
    <w:rsid w:val="1DB13818"/>
    <w:rsid w:val="1DB21FDA"/>
    <w:rsid w:val="1DB4365C"/>
    <w:rsid w:val="1DB45D52"/>
    <w:rsid w:val="1DB7139E"/>
    <w:rsid w:val="1DB7314C"/>
    <w:rsid w:val="1DBA707B"/>
    <w:rsid w:val="1DBE097F"/>
    <w:rsid w:val="1DC13FCB"/>
    <w:rsid w:val="1DC31AF1"/>
    <w:rsid w:val="1DC46673"/>
    <w:rsid w:val="1DC615E1"/>
    <w:rsid w:val="1DC75A85"/>
    <w:rsid w:val="1DC835AB"/>
    <w:rsid w:val="1DCA10D2"/>
    <w:rsid w:val="1DCB6BF8"/>
    <w:rsid w:val="1DCD7725"/>
    <w:rsid w:val="1DD45AAC"/>
    <w:rsid w:val="1DD67A76"/>
    <w:rsid w:val="1DD7559C"/>
    <w:rsid w:val="1DDA6E3B"/>
    <w:rsid w:val="1DE1641B"/>
    <w:rsid w:val="1DE37C0A"/>
    <w:rsid w:val="1DE651E8"/>
    <w:rsid w:val="1DE859FC"/>
    <w:rsid w:val="1DE87A33"/>
    <w:rsid w:val="1DEA0062"/>
    <w:rsid w:val="1DEF28C8"/>
    <w:rsid w:val="1DEF6D8A"/>
    <w:rsid w:val="1DF0665E"/>
    <w:rsid w:val="1DF148B0"/>
    <w:rsid w:val="1DF24184"/>
    <w:rsid w:val="1DF44011"/>
    <w:rsid w:val="1DF4614E"/>
    <w:rsid w:val="1DF55B9C"/>
    <w:rsid w:val="1DF63C75"/>
    <w:rsid w:val="1DFB7B75"/>
    <w:rsid w:val="1DFC3C33"/>
    <w:rsid w:val="1DFE521F"/>
    <w:rsid w:val="1E004AF3"/>
    <w:rsid w:val="1E006E87"/>
    <w:rsid w:val="1E01086B"/>
    <w:rsid w:val="1E013226"/>
    <w:rsid w:val="1E026ABD"/>
    <w:rsid w:val="1E0565AE"/>
    <w:rsid w:val="1E072487"/>
    <w:rsid w:val="1E081BFA"/>
    <w:rsid w:val="1E0839A8"/>
    <w:rsid w:val="1E087E4C"/>
    <w:rsid w:val="1E0C3498"/>
    <w:rsid w:val="1E0F2F88"/>
    <w:rsid w:val="1E114F52"/>
    <w:rsid w:val="1E11610A"/>
    <w:rsid w:val="1E171E3D"/>
    <w:rsid w:val="1E193E07"/>
    <w:rsid w:val="1E1B192D"/>
    <w:rsid w:val="1E1D38F7"/>
    <w:rsid w:val="1E1D4F47"/>
    <w:rsid w:val="1E1D593D"/>
    <w:rsid w:val="1E1E31CB"/>
    <w:rsid w:val="1E200CF1"/>
    <w:rsid w:val="1E236A34"/>
    <w:rsid w:val="1E236DDE"/>
    <w:rsid w:val="1E2660F3"/>
    <w:rsid w:val="1E2A40E0"/>
    <w:rsid w:val="1E2B1E72"/>
    <w:rsid w:val="1E2C535C"/>
    <w:rsid w:val="1E2C7696"/>
    <w:rsid w:val="1E2D340E"/>
    <w:rsid w:val="1E2E058C"/>
    <w:rsid w:val="1E2F53D8"/>
    <w:rsid w:val="1E2F67B5"/>
    <w:rsid w:val="1E300B02"/>
    <w:rsid w:val="1E330DF6"/>
    <w:rsid w:val="1E36042F"/>
    <w:rsid w:val="1E360515"/>
    <w:rsid w:val="1E3649B9"/>
    <w:rsid w:val="1E37057C"/>
    <w:rsid w:val="1E377867"/>
    <w:rsid w:val="1E380731"/>
    <w:rsid w:val="1E3B3D7D"/>
    <w:rsid w:val="1E3B5B2B"/>
    <w:rsid w:val="1E3B6891"/>
    <w:rsid w:val="1E3E73CA"/>
    <w:rsid w:val="1E405DA8"/>
    <w:rsid w:val="1E407CEF"/>
    <w:rsid w:val="1E427EB3"/>
    <w:rsid w:val="1E430E84"/>
    <w:rsid w:val="1E447858"/>
    <w:rsid w:val="1E4569AA"/>
    <w:rsid w:val="1E4612FA"/>
    <w:rsid w:val="1E470974"/>
    <w:rsid w:val="1E472722"/>
    <w:rsid w:val="1E480248"/>
    <w:rsid w:val="1E49223A"/>
    <w:rsid w:val="1E4A0464"/>
    <w:rsid w:val="1E4C1AE7"/>
    <w:rsid w:val="1E4C5F8A"/>
    <w:rsid w:val="1E4C772B"/>
    <w:rsid w:val="1E4D585F"/>
    <w:rsid w:val="1E4D6B9A"/>
    <w:rsid w:val="1E4F7829"/>
    <w:rsid w:val="1E5170FD"/>
    <w:rsid w:val="1E5256E0"/>
    <w:rsid w:val="1E57048B"/>
    <w:rsid w:val="1E592455"/>
    <w:rsid w:val="1E594203"/>
    <w:rsid w:val="1E5B1DB9"/>
    <w:rsid w:val="1E5B61CE"/>
    <w:rsid w:val="1E5D0198"/>
    <w:rsid w:val="1E5D1F46"/>
    <w:rsid w:val="1E5D6F6E"/>
    <w:rsid w:val="1E5E7A6C"/>
    <w:rsid w:val="1E5F5CBE"/>
    <w:rsid w:val="1E6037E4"/>
    <w:rsid w:val="1E607030"/>
    <w:rsid w:val="1E635082"/>
    <w:rsid w:val="1E636E30"/>
    <w:rsid w:val="1E65704C"/>
    <w:rsid w:val="1E682698"/>
    <w:rsid w:val="1E6E3802"/>
    <w:rsid w:val="1E700C85"/>
    <w:rsid w:val="1E716874"/>
    <w:rsid w:val="1E7214C2"/>
    <w:rsid w:val="1E753566"/>
    <w:rsid w:val="1E7602DE"/>
    <w:rsid w:val="1E770F42"/>
    <w:rsid w:val="1E77420B"/>
    <w:rsid w:val="1E784AA3"/>
    <w:rsid w:val="1E791917"/>
    <w:rsid w:val="1E7B23CC"/>
    <w:rsid w:val="1E7D31D4"/>
    <w:rsid w:val="1E7D4396"/>
    <w:rsid w:val="1E7D6558"/>
    <w:rsid w:val="1E804ED9"/>
    <w:rsid w:val="1E8079E2"/>
    <w:rsid w:val="1E827BFE"/>
    <w:rsid w:val="1E830C89"/>
    <w:rsid w:val="1E870D71"/>
    <w:rsid w:val="1E876FC3"/>
    <w:rsid w:val="1E88623C"/>
    <w:rsid w:val="1E8951AF"/>
    <w:rsid w:val="1E8960A8"/>
    <w:rsid w:val="1E8A260F"/>
    <w:rsid w:val="1E8C282B"/>
    <w:rsid w:val="1E8C604D"/>
    <w:rsid w:val="1E8E20FF"/>
    <w:rsid w:val="1E8E730D"/>
    <w:rsid w:val="1E8F6C9B"/>
    <w:rsid w:val="1E91399D"/>
    <w:rsid w:val="1E9507DB"/>
    <w:rsid w:val="1E962389"/>
    <w:rsid w:val="1E982F7E"/>
    <w:rsid w:val="1E9837DA"/>
    <w:rsid w:val="1E990AA4"/>
    <w:rsid w:val="1E990C5B"/>
    <w:rsid w:val="1E9A4F48"/>
    <w:rsid w:val="1E9B2A6E"/>
    <w:rsid w:val="1E9D7B4E"/>
    <w:rsid w:val="1E9E6834"/>
    <w:rsid w:val="1E9F430C"/>
    <w:rsid w:val="1EA01E32"/>
    <w:rsid w:val="1EA153C2"/>
    <w:rsid w:val="1EA23DFC"/>
    <w:rsid w:val="1EA25BAA"/>
    <w:rsid w:val="1EA638ED"/>
    <w:rsid w:val="1EA731C1"/>
    <w:rsid w:val="1EA77665"/>
    <w:rsid w:val="1EA90CE7"/>
    <w:rsid w:val="1EA96F39"/>
    <w:rsid w:val="1EAB15D6"/>
    <w:rsid w:val="1EAC6A29"/>
    <w:rsid w:val="1EAD0B6F"/>
    <w:rsid w:val="1EAE3776"/>
    <w:rsid w:val="1EB1403F"/>
    <w:rsid w:val="1EB54ED5"/>
    <w:rsid w:val="1EB95199"/>
    <w:rsid w:val="1EBA350E"/>
    <w:rsid w:val="1EBB4EBE"/>
    <w:rsid w:val="1EBB6C6C"/>
    <w:rsid w:val="1EBB798A"/>
    <w:rsid w:val="1EBC0E1A"/>
    <w:rsid w:val="1EBD45AE"/>
    <w:rsid w:val="1EBF5BEC"/>
    <w:rsid w:val="1EBF675C"/>
    <w:rsid w:val="1EC07EEB"/>
    <w:rsid w:val="1EC2624D"/>
    <w:rsid w:val="1EC40A13"/>
    <w:rsid w:val="1EC5360D"/>
    <w:rsid w:val="1EC57AEB"/>
    <w:rsid w:val="1EC75611"/>
    <w:rsid w:val="1EC91CF6"/>
    <w:rsid w:val="1EC975DB"/>
    <w:rsid w:val="1ECB5101"/>
    <w:rsid w:val="1ECC5A97"/>
    <w:rsid w:val="1ECD7650"/>
    <w:rsid w:val="1ECE002B"/>
    <w:rsid w:val="1ECE699F"/>
    <w:rsid w:val="1ED038BC"/>
    <w:rsid w:val="1ED243AD"/>
    <w:rsid w:val="1ED3045A"/>
    <w:rsid w:val="1ED32208"/>
    <w:rsid w:val="1ED61CF8"/>
    <w:rsid w:val="1ED65854"/>
    <w:rsid w:val="1ED763D7"/>
    <w:rsid w:val="1ED85A70"/>
    <w:rsid w:val="1EDA4C24"/>
    <w:rsid w:val="1EDB07A1"/>
    <w:rsid w:val="1EDB183D"/>
    <w:rsid w:val="1EDC730E"/>
    <w:rsid w:val="1EDD4E34"/>
    <w:rsid w:val="1EDD6BE3"/>
    <w:rsid w:val="1EE14925"/>
    <w:rsid w:val="1EE2069D"/>
    <w:rsid w:val="1EE77A61"/>
    <w:rsid w:val="1EE95587"/>
    <w:rsid w:val="1EEB273B"/>
    <w:rsid w:val="1EEC5078"/>
    <w:rsid w:val="1EEF4150"/>
    <w:rsid w:val="1EF009BC"/>
    <w:rsid w:val="1EF33C79"/>
    <w:rsid w:val="1EF34658"/>
    <w:rsid w:val="1EF351FB"/>
    <w:rsid w:val="1EF8649C"/>
    <w:rsid w:val="1EF87EC0"/>
    <w:rsid w:val="1EFA0DBC"/>
    <w:rsid w:val="1EFA7794"/>
    <w:rsid w:val="1EFB52BB"/>
    <w:rsid w:val="1EFC1096"/>
    <w:rsid w:val="1EFF124F"/>
    <w:rsid w:val="1F0028D1"/>
    <w:rsid w:val="1F003438"/>
    <w:rsid w:val="1F02489B"/>
    <w:rsid w:val="1F06438B"/>
    <w:rsid w:val="1F070103"/>
    <w:rsid w:val="1F0708E0"/>
    <w:rsid w:val="1F070A8A"/>
    <w:rsid w:val="1F096EA9"/>
    <w:rsid w:val="1F0C1276"/>
    <w:rsid w:val="1F0D0973"/>
    <w:rsid w:val="1F0E1492"/>
    <w:rsid w:val="1F0E3240"/>
    <w:rsid w:val="1F0E4FEE"/>
    <w:rsid w:val="1F100D66"/>
    <w:rsid w:val="1F102444"/>
    <w:rsid w:val="1F10520A"/>
    <w:rsid w:val="1F106FB8"/>
    <w:rsid w:val="1F1072F4"/>
    <w:rsid w:val="1F121445"/>
    <w:rsid w:val="1F130856"/>
    <w:rsid w:val="1F136AA8"/>
    <w:rsid w:val="1F136DFA"/>
    <w:rsid w:val="1F165C7A"/>
    <w:rsid w:val="1F184345"/>
    <w:rsid w:val="1F1A2F77"/>
    <w:rsid w:val="1F1B10B6"/>
    <w:rsid w:val="1F1C595D"/>
    <w:rsid w:val="1F244811"/>
    <w:rsid w:val="1F2554B9"/>
    <w:rsid w:val="1F26058A"/>
    <w:rsid w:val="1F282554"/>
    <w:rsid w:val="1F291E28"/>
    <w:rsid w:val="1F2D7B6A"/>
    <w:rsid w:val="1F3031B6"/>
    <w:rsid w:val="1F3034D8"/>
    <w:rsid w:val="1F313CB9"/>
    <w:rsid w:val="1F353098"/>
    <w:rsid w:val="1F370D5E"/>
    <w:rsid w:val="1F3A340D"/>
    <w:rsid w:val="1F3C5FFF"/>
    <w:rsid w:val="1F3D3B25"/>
    <w:rsid w:val="1F3D58D3"/>
    <w:rsid w:val="1F3F33F9"/>
    <w:rsid w:val="1F40220D"/>
    <w:rsid w:val="1F422EEA"/>
    <w:rsid w:val="1F443106"/>
    <w:rsid w:val="1F4560C7"/>
    <w:rsid w:val="1F457AFE"/>
    <w:rsid w:val="1F460C2C"/>
    <w:rsid w:val="1F461F8E"/>
    <w:rsid w:val="1F49071C"/>
    <w:rsid w:val="1F4B7FF0"/>
    <w:rsid w:val="1F4C1054"/>
    <w:rsid w:val="1F4D7CE4"/>
    <w:rsid w:val="1F4E188E"/>
    <w:rsid w:val="1F501AAA"/>
    <w:rsid w:val="1F5122ED"/>
    <w:rsid w:val="1F52137F"/>
    <w:rsid w:val="1F533349"/>
    <w:rsid w:val="1F5A6485"/>
    <w:rsid w:val="1F5C21FD"/>
    <w:rsid w:val="1F5C3FAB"/>
    <w:rsid w:val="1F5E5F75"/>
    <w:rsid w:val="1F605239"/>
    <w:rsid w:val="1F6071C6"/>
    <w:rsid w:val="1F63358C"/>
    <w:rsid w:val="1F6410B2"/>
    <w:rsid w:val="1F66307C"/>
    <w:rsid w:val="1F664433"/>
    <w:rsid w:val="1F6711E3"/>
    <w:rsid w:val="1F6B0EC5"/>
    <w:rsid w:val="1F6B2440"/>
    <w:rsid w:val="1F6B41EE"/>
    <w:rsid w:val="1F6B68E4"/>
    <w:rsid w:val="1F6C2C44"/>
    <w:rsid w:val="1F6E3CDF"/>
    <w:rsid w:val="1F6F5AB9"/>
    <w:rsid w:val="1F7237CF"/>
    <w:rsid w:val="1F7363E0"/>
    <w:rsid w:val="1F737547"/>
    <w:rsid w:val="1F794C63"/>
    <w:rsid w:val="1F7A62B3"/>
    <w:rsid w:val="1F7E4C34"/>
    <w:rsid w:val="1F7F5EEC"/>
    <w:rsid w:val="1F833C2E"/>
    <w:rsid w:val="1F835D34"/>
    <w:rsid w:val="1F855358"/>
    <w:rsid w:val="1F864856"/>
    <w:rsid w:val="1F884DA0"/>
    <w:rsid w:val="1F8B1D63"/>
    <w:rsid w:val="1F8C32FF"/>
    <w:rsid w:val="1F8F60E9"/>
    <w:rsid w:val="1F917661"/>
    <w:rsid w:val="1F947BE9"/>
    <w:rsid w:val="1F96177A"/>
    <w:rsid w:val="1F971A19"/>
    <w:rsid w:val="1F98670B"/>
    <w:rsid w:val="1F99183C"/>
    <w:rsid w:val="1F995103"/>
    <w:rsid w:val="1F996A3F"/>
    <w:rsid w:val="1F996FAD"/>
    <w:rsid w:val="1F9A2D26"/>
    <w:rsid w:val="1F9C6A9E"/>
    <w:rsid w:val="1F9E6C03"/>
    <w:rsid w:val="1FA15B25"/>
    <w:rsid w:val="1FA43022"/>
    <w:rsid w:val="1FA51F99"/>
    <w:rsid w:val="1FA77D59"/>
    <w:rsid w:val="1FA94D17"/>
    <w:rsid w:val="1FA95FB7"/>
    <w:rsid w:val="1FAB0A8F"/>
    <w:rsid w:val="1FAB50E1"/>
    <w:rsid w:val="1FAB6CE1"/>
    <w:rsid w:val="1FAD4807"/>
    <w:rsid w:val="1FAE1226"/>
    <w:rsid w:val="1FAE597E"/>
    <w:rsid w:val="1FB2006F"/>
    <w:rsid w:val="1FB262C1"/>
    <w:rsid w:val="1FB45B95"/>
    <w:rsid w:val="1FB72055"/>
    <w:rsid w:val="1FB87888"/>
    <w:rsid w:val="1FBB33C8"/>
    <w:rsid w:val="1FBC2C9C"/>
    <w:rsid w:val="1FBE6946"/>
    <w:rsid w:val="1FBF278C"/>
    <w:rsid w:val="1FC009DE"/>
    <w:rsid w:val="1FC411CB"/>
    <w:rsid w:val="1FC57DA2"/>
    <w:rsid w:val="1FC6415B"/>
    <w:rsid w:val="1FC73179"/>
    <w:rsid w:val="1FC81641"/>
    <w:rsid w:val="1FC85AE5"/>
    <w:rsid w:val="1FC87893"/>
    <w:rsid w:val="1FCA323B"/>
    <w:rsid w:val="1FCA360B"/>
    <w:rsid w:val="1FCB1131"/>
    <w:rsid w:val="1FCF304C"/>
    <w:rsid w:val="1FD04999"/>
    <w:rsid w:val="1FD06747"/>
    <w:rsid w:val="1FD224BF"/>
    <w:rsid w:val="1FD311FC"/>
    <w:rsid w:val="1FD46237"/>
    <w:rsid w:val="1FD51DFC"/>
    <w:rsid w:val="1FD955FC"/>
    <w:rsid w:val="1FDA03DD"/>
    <w:rsid w:val="1FDA33E6"/>
    <w:rsid w:val="1FDB5818"/>
    <w:rsid w:val="1FDC6E9A"/>
    <w:rsid w:val="1FDC79CB"/>
    <w:rsid w:val="1FDE0E64"/>
    <w:rsid w:val="1FDE2C12"/>
    <w:rsid w:val="1FE00127"/>
    <w:rsid w:val="1FE02E2E"/>
    <w:rsid w:val="1FE12702"/>
    <w:rsid w:val="1FE32951"/>
    <w:rsid w:val="1FE50445"/>
    <w:rsid w:val="1FE67D19"/>
    <w:rsid w:val="1FE73CCD"/>
    <w:rsid w:val="1FE81CE3"/>
    <w:rsid w:val="1FE87F35"/>
    <w:rsid w:val="1FE975A9"/>
    <w:rsid w:val="1FEA4675"/>
    <w:rsid w:val="1FEC17D3"/>
    <w:rsid w:val="1FED68A4"/>
    <w:rsid w:val="1FEF3071"/>
    <w:rsid w:val="1FEF4E1F"/>
    <w:rsid w:val="1FF00B97"/>
    <w:rsid w:val="1FF035A5"/>
    <w:rsid w:val="1FF1763D"/>
    <w:rsid w:val="1FF24910"/>
    <w:rsid w:val="1FF2595F"/>
    <w:rsid w:val="1FF31EC3"/>
    <w:rsid w:val="1FF33A7F"/>
    <w:rsid w:val="1FFB7C68"/>
    <w:rsid w:val="1FFE1506"/>
    <w:rsid w:val="1FFE7559"/>
    <w:rsid w:val="2000702C"/>
    <w:rsid w:val="2001024E"/>
    <w:rsid w:val="20014B53"/>
    <w:rsid w:val="20016901"/>
    <w:rsid w:val="20020FF7"/>
    <w:rsid w:val="2007660D"/>
    <w:rsid w:val="200A6A16"/>
    <w:rsid w:val="200B42D8"/>
    <w:rsid w:val="200C59D1"/>
    <w:rsid w:val="200F101E"/>
    <w:rsid w:val="20106833"/>
    <w:rsid w:val="20125548"/>
    <w:rsid w:val="201523AC"/>
    <w:rsid w:val="201557E0"/>
    <w:rsid w:val="201725C8"/>
    <w:rsid w:val="20174376"/>
    <w:rsid w:val="20174896"/>
    <w:rsid w:val="201827B7"/>
    <w:rsid w:val="201900EE"/>
    <w:rsid w:val="20196CC9"/>
    <w:rsid w:val="201D29B4"/>
    <w:rsid w:val="201E5705"/>
    <w:rsid w:val="201E74B3"/>
    <w:rsid w:val="202111B2"/>
    <w:rsid w:val="20225213"/>
    <w:rsid w:val="20273226"/>
    <w:rsid w:val="202A5D88"/>
    <w:rsid w:val="202C7E22"/>
    <w:rsid w:val="2031368A"/>
    <w:rsid w:val="20313878"/>
    <w:rsid w:val="203171E6"/>
    <w:rsid w:val="203211B0"/>
    <w:rsid w:val="203266EE"/>
    <w:rsid w:val="20340D69"/>
    <w:rsid w:val="20362A4E"/>
    <w:rsid w:val="20370574"/>
    <w:rsid w:val="203767C6"/>
    <w:rsid w:val="20390790"/>
    <w:rsid w:val="203E1903"/>
    <w:rsid w:val="203E2020"/>
    <w:rsid w:val="20401B1F"/>
    <w:rsid w:val="2040567B"/>
    <w:rsid w:val="20407429"/>
    <w:rsid w:val="20417F77"/>
    <w:rsid w:val="204809D3"/>
    <w:rsid w:val="20482782"/>
    <w:rsid w:val="20484740"/>
    <w:rsid w:val="20493FA2"/>
    <w:rsid w:val="20505813"/>
    <w:rsid w:val="20523FE7"/>
    <w:rsid w:val="205242F2"/>
    <w:rsid w:val="20531852"/>
    <w:rsid w:val="20564E9E"/>
    <w:rsid w:val="205729C2"/>
    <w:rsid w:val="205731B1"/>
    <w:rsid w:val="2057365A"/>
    <w:rsid w:val="20592BE1"/>
    <w:rsid w:val="2059673D"/>
    <w:rsid w:val="205B24B5"/>
    <w:rsid w:val="205E1FA5"/>
    <w:rsid w:val="20606F86"/>
    <w:rsid w:val="20607ACB"/>
    <w:rsid w:val="20621A95"/>
    <w:rsid w:val="20623843"/>
    <w:rsid w:val="20631369"/>
    <w:rsid w:val="2064487A"/>
    <w:rsid w:val="20651585"/>
    <w:rsid w:val="20653333"/>
    <w:rsid w:val="20656B81"/>
    <w:rsid w:val="206770AC"/>
    <w:rsid w:val="206A5E4C"/>
    <w:rsid w:val="206A6B9C"/>
    <w:rsid w:val="206C1504"/>
    <w:rsid w:val="206D21E8"/>
    <w:rsid w:val="206E0C49"/>
    <w:rsid w:val="206F5F60"/>
    <w:rsid w:val="20703261"/>
    <w:rsid w:val="207277FE"/>
    <w:rsid w:val="20736165"/>
    <w:rsid w:val="20753912"/>
    <w:rsid w:val="20755E77"/>
    <w:rsid w:val="2076109D"/>
    <w:rsid w:val="20765541"/>
    <w:rsid w:val="2078049E"/>
    <w:rsid w:val="2079293B"/>
    <w:rsid w:val="20793160"/>
    <w:rsid w:val="20793DC7"/>
    <w:rsid w:val="207955DD"/>
    <w:rsid w:val="207A337B"/>
    <w:rsid w:val="207D067D"/>
    <w:rsid w:val="207D46DD"/>
    <w:rsid w:val="207E43F5"/>
    <w:rsid w:val="207F0CE8"/>
    <w:rsid w:val="208170D4"/>
    <w:rsid w:val="20823EE5"/>
    <w:rsid w:val="20831A0C"/>
    <w:rsid w:val="208337BA"/>
    <w:rsid w:val="2084257A"/>
    <w:rsid w:val="208512E0"/>
    <w:rsid w:val="208714FC"/>
    <w:rsid w:val="208A0FEC"/>
    <w:rsid w:val="208E4638"/>
    <w:rsid w:val="20914128"/>
    <w:rsid w:val="209244B7"/>
    <w:rsid w:val="20947775"/>
    <w:rsid w:val="20987A7B"/>
    <w:rsid w:val="209C3893"/>
    <w:rsid w:val="209E7D28"/>
    <w:rsid w:val="20A7394C"/>
    <w:rsid w:val="20AB0F1F"/>
    <w:rsid w:val="20AB115F"/>
    <w:rsid w:val="20AC2D10"/>
    <w:rsid w:val="20B03EE8"/>
    <w:rsid w:val="20B10327"/>
    <w:rsid w:val="20B272B8"/>
    <w:rsid w:val="20B3409F"/>
    <w:rsid w:val="20B50AD8"/>
    <w:rsid w:val="20B533DE"/>
    <w:rsid w:val="20B54B1F"/>
    <w:rsid w:val="20B57B54"/>
    <w:rsid w:val="20B63B8F"/>
    <w:rsid w:val="20B83463"/>
    <w:rsid w:val="20B9542D"/>
    <w:rsid w:val="20BD18CC"/>
    <w:rsid w:val="20BD4F1E"/>
    <w:rsid w:val="20BF1F96"/>
    <w:rsid w:val="20C030B6"/>
    <w:rsid w:val="20C067BC"/>
    <w:rsid w:val="20C242E2"/>
    <w:rsid w:val="20C305B3"/>
    <w:rsid w:val="20C35B0B"/>
    <w:rsid w:val="20C4005A"/>
    <w:rsid w:val="20C43E45"/>
    <w:rsid w:val="20C46F55"/>
    <w:rsid w:val="20CA13E8"/>
    <w:rsid w:val="20CA763A"/>
    <w:rsid w:val="20CB6D45"/>
    <w:rsid w:val="20CE0ED9"/>
    <w:rsid w:val="20CF0E1D"/>
    <w:rsid w:val="20D46D08"/>
    <w:rsid w:val="20D504B9"/>
    <w:rsid w:val="20D67D8D"/>
    <w:rsid w:val="20DB1848"/>
    <w:rsid w:val="20DB35F6"/>
    <w:rsid w:val="20E24984"/>
    <w:rsid w:val="20E424AA"/>
    <w:rsid w:val="20EA1ACA"/>
    <w:rsid w:val="20EA30E2"/>
    <w:rsid w:val="20EA55E7"/>
    <w:rsid w:val="20EC5457"/>
    <w:rsid w:val="20EC75B1"/>
    <w:rsid w:val="20EC77BF"/>
    <w:rsid w:val="20ED3FB3"/>
    <w:rsid w:val="20EE157B"/>
    <w:rsid w:val="20F16975"/>
    <w:rsid w:val="20F35F51"/>
    <w:rsid w:val="20F36B91"/>
    <w:rsid w:val="20F52909"/>
    <w:rsid w:val="20F6042F"/>
    <w:rsid w:val="20F8799C"/>
    <w:rsid w:val="20FA3A7C"/>
    <w:rsid w:val="20FA7F20"/>
    <w:rsid w:val="20FD17BE"/>
    <w:rsid w:val="20FF1092"/>
    <w:rsid w:val="2100305C"/>
    <w:rsid w:val="21003C5B"/>
    <w:rsid w:val="21020B82"/>
    <w:rsid w:val="21034305"/>
    <w:rsid w:val="21042B4C"/>
    <w:rsid w:val="210448FA"/>
    <w:rsid w:val="21090163"/>
    <w:rsid w:val="21093CBF"/>
    <w:rsid w:val="210A7C5B"/>
    <w:rsid w:val="210B25A9"/>
    <w:rsid w:val="210E7527"/>
    <w:rsid w:val="21110DC5"/>
    <w:rsid w:val="21117845"/>
    <w:rsid w:val="211430CB"/>
    <w:rsid w:val="21154D5A"/>
    <w:rsid w:val="211663DC"/>
    <w:rsid w:val="211D59BC"/>
    <w:rsid w:val="211F34E2"/>
    <w:rsid w:val="21240AF9"/>
    <w:rsid w:val="2125431C"/>
    <w:rsid w:val="21254871"/>
    <w:rsid w:val="212705E9"/>
    <w:rsid w:val="21274A8D"/>
    <w:rsid w:val="212A0BF1"/>
    <w:rsid w:val="212A775F"/>
    <w:rsid w:val="212E3725"/>
    <w:rsid w:val="212E5E1B"/>
    <w:rsid w:val="21333432"/>
    <w:rsid w:val="21380A48"/>
    <w:rsid w:val="213845A4"/>
    <w:rsid w:val="213C22E6"/>
    <w:rsid w:val="213D1B0E"/>
    <w:rsid w:val="214132B4"/>
    <w:rsid w:val="214142AE"/>
    <w:rsid w:val="21415B4F"/>
    <w:rsid w:val="214271D1"/>
    <w:rsid w:val="21464F13"/>
    <w:rsid w:val="21466CC1"/>
    <w:rsid w:val="21472A39"/>
    <w:rsid w:val="214967B1"/>
    <w:rsid w:val="214C62A1"/>
    <w:rsid w:val="21521B0A"/>
    <w:rsid w:val="215353DE"/>
    <w:rsid w:val="215533A8"/>
    <w:rsid w:val="21556F04"/>
    <w:rsid w:val="21570ECE"/>
    <w:rsid w:val="21582E98"/>
    <w:rsid w:val="21584C46"/>
    <w:rsid w:val="215B0293"/>
    <w:rsid w:val="215B25C0"/>
    <w:rsid w:val="21613AFB"/>
    <w:rsid w:val="21635AC5"/>
    <w:rsid w:val="21641C9C"/>
    <w:rsid w:val="21645399"/>
    <w:rsid w:val="21690C01"/>
    <w:rsid w:val="216B2BCB"/>
    <w:rsid w:val="216B497A"/>
    <w:rsid w:val="216C336E"/>
    <w:rsid w:val="216D06F2"/>
    <w:rsid w:val="216D28D6"/>
    <w:rsid w:val="216D49AD"/>
    <w:rsid w:val="217001E2"/>
    <w:rsid w:val="21703DD0"/>
    <w:rsid w:val="21717AB6"/>
    <w:rsid w:val="21717BB1"/>
    <w:rsid w:val="21731FC6"/>
    <w:rsid w:val="21741D06"/>
    <w:rsid w:val="21744FAF"/>
    <w:rsid w:val="217501FF"/>
    <w:rsid w:val="21755571"/>
    <w:rsid w:val="217710C9"/>
    <w:rsid w:val="21771570"/>
    <w:rsid w:val="217952E8"/>
    <w:rsid w:val="217A696B"/>
    <w:rsid w:val="217C26E3"/>
    <w:rsid w:val="217C2822"/>
    <w:rsid w:val="217E2424"/>
    <w:rsid w:val="217E28FF"/>
    <w:rsid w:val="2181419D"/>
    <w:rsid w:val="21821D1D"/>
    <w:rsid w:val="21823F72"/>
    <w:rsid w:val="21833D96"/>
    <w:rsid w:val="21846E79"/>
    <w:rsid w:val="218477E9"/>
    <w:rsid w:val="218755AB"/>
    <w:rsid w:val="218C669E"/>
    <w:rsid w:val="218D2B42"/>
    <w:rsid w:val="218E68BA"/>
    <w:rsid w:val="219043E0"/>
    <w:rsid w:val="21920A05"/>
    <w:rsid w:val="219263AA"/>
    <w:rsid w:val="2192676A"/>
    <w:rsid w:val="21933ED0"/>
    <w:rsid w:val="21934186"/>
    <w:rsid w:val="219519F6"/>
    <w:rsid w:val="21957C48"/>
    <w:rsid w:val="21966074"/>
    <w:rsid w:val="21986773"/>
    <w:rsid w:val="219A0DBB"/>
    <w:rsid w:val="219C2D85"/>
    <w:rsid w:val="219E4D4F"/>
    <w:rsid w:val="219F63D1"/>
    <w:rsid w:val="21A1039B"/>
    <w:rsid w:val="21A165ED"/>
    <w:rsid w:val="21A20DB8"/>
    <w:rsid w:val="21A472EF"/>
    <w:rsid w:val="21A63705"/>
    <w:rsid w:val="21A734D8"/>
    <w:rsid w:val="21A901CD"/>
    <w:rsid w:val="21AA1DD5"/>
    <w:rsid w:val="21AD4F92"/>
    <w:rsid w:val="21B225A8"/>
    <w:rsid w:val="21B300CF"/>
    <w:rsid w:val="21B41F35"/>
    <w:rsid w:val="21B444F0"/>
    <w:rsid w:val="21B55BF5"/>
    <w:rsid w:val="21B75E11"/>
    <w:rsid w:val="21B856E5"/>
    <w:rsid w:val="21BA76AF"/>
    <w:rsid w:val="21BA7C86"/>
    <w:rsid w:val="21BC51D5"/>
    <w:rsid w:val="21BE2457"/>
    <w:rsid w:val="21BE719F"/>
    <w:rsid w:val="21C267AA"/>
    <w:rsid w:val="21C4408F"/>
    <w:rsid w:val="21C608A5"/>
    <w:rsid w:val="21C61BB0"/>
    <w:rsid w:val="21C645C5"/>
    <w:rsid w:val="21C916A0"/>
    <w:rsid w:val="21CD0AD1"/>
    <w:rsid w:val="21CF315A"/>
    <w:rsid w:val="21D249F9"/>
    <w:rsid w:val="21D32368"/>
    <w:rsid w:val="21D525D5"/>
    <w:rsid w:val="21D544E9"/>
    <w:rsid w:val="21D95D87"/>
    <w:rsid w:val="21DA38AD"/>
    <w:rsid w:val="21DB1C22"/>
    <w:rsid w:val="21DC37D4"/>
    <w:rsid w:val="21DE15EF"/>
    <w:rsid w:val="21DE339D"/>
    <w:rsid w:val="21DF3243"/>
    <w:rsid w:val="21E36C06"/>
    <w:rsid w:val="21E41F66"/>
    <w:rsid w:val="21E52424"/>
    <w:rsid w:val="21E62252"/>
    <w:rsid w:val="21E64000"/>
    <w:rsid w:val="21E8421C"/>
    <w:rsid w:val="21E85FCA"/>
    <w:rsid w:val="21EA1D42"/>
    <w:rsid w:val="21EA65DC"/>
    <w:rsid w:val="21EC38E3"/>
    <w:rsid w:val="21EE1107"/>
    <w:rsid w:val="21EF4752"/>
    <w:rsid w:val="21EF66E7"/>
    <w:rsid w:val="21F030D1"/>
    <w:rsid w:val="21F66939"/>
    <w:rsid w:val="21F726B1"/>
    <w:rsid w:val="21F91F85"/>
    <w:rsid w:val="21FA7AAB"/>
    <w:rsid w:val="21FB3F4F"/>
    <w:rsid w:val="21FC3824"/>
    <w:rsid w:val="21FD6BC4"/>
    <w:rsid w:val="21FE57EE"/>
    <w:rsid w:val="22027598"/>
    <w:rsid w:val="220426D8"/>
    <w:rsid w:val="2208666C"/>
    <w:rsid w:val="220A23E4"/>
    <w:rsid w:val="220B2EF6"/>
    <w:rsid w:val="220B5C30"/>
    <w:rsid w:val="220D5A31"/>
    <w:rsid w:val="22104C20"/>
    <w:rsid w:val="22105521"/>
    <w:rsid w:val="22113B19"/>
    <w:rsid w:val="221424D5"/>
    <w:rsid w:val="2214507F"/>
    <w:rsid w:val="22163203"/>
    <w:rsid w:val="2217065D"/>
    <w:rsid w:val="22186862"/>
    <w:rsid w:val="221A365E"/>
    <w:rsid w:val="221B4358"/>
    <w:rsid w:val="221B61BB"/>
    <w:rsid w:val="221C2118"/>
    <w:rsid w:val="221E19EC"/>
    <w:rsid w:val="221E7C3E"/>
    <w:rsid w:val="221F0D41"/>
    <w:rsid w:val="221F659D"/>
    <w:rsid w:val="222039B6"/>
    <w:rsid w:val="222114DC"/>
    <w:rsid w:val="22230DB0"/>
    <w:rsid w:val="22237002"/>
    <w:rsid w:val="22291E3E"/>
    <w:rsid w:val="222B4257"/>
    <w:rsid w:val="222C73D3"/>
    <w:rsid w:val="22325497"/>
    <w:rsid w:val="22327245"/>
    <w:rsid w:val="22350AE4"/>
    <w:rsid w:val="22370D00"/>
    <w:rsid w:val="22396826"/>
    <w:rsid w:val="223B07F0"/>
    <w:rsid w:val="223B259E"/>
    <w:rsid w:val="223B434C"/>
    <w:rsid w:val="223C1E72"/>
    <w:rsid w:val="223C6316"/>
    <w:rsid w:val="223D53B5"/>
    <w:rsid w:val="223E208E"/>
    <w:rsid w:val="223F6BD2"/>
    <w:rsid w:val="22401962"/>
    <w:rsid w:val="22414C51"/>
    <w:rsid w:val="22427D7D"/>
    <w:rsid w:val="22456F79"/>
    <w:rsid w:val="224623B3"/>
    <w:rsid w:val="22486C26"/>
    <w:rsid w:val="224A27E1"/>
    <w:rsid w:val="224A458F"/>
    <w:rsid w:val="224C47AB"/>
    <w:rsid w:val="224C6605"/>
    <w:rsid w:val="224D407F"/>
    <w:rsid w:val="22516416"/>
    <w:rsid w:val="22535048"/>
    <w:rsid w:val="225620E5"/>
    <w:rsid w:val="22576CAC"/>
    <w:rsid w:val="22592672"/>
    <w:rsid w:val="22596EC8"/>
    <w:rsid w:val="225B49EE"/>
    <w:rsid w:val="225C42C2"/>
    <w:rsid w:val="225C64AE"/>
    <w:rsid w:val="225D0766"/>
    <w:rsid w:val="225E003A"/>
    <w:rsid w:val="225E44DE"/>
    <w:rsid w:val="225F1EAA"/>
    <w:rsid w:val="22602004"/>
    <w:rsid w:val="226100AE"/>
    <w:rsid w:val="22610DF3"/>
    <w:rsid w:val="2265008D"/>
    <w:rsid w:val="226513C9"/>
    <w:rsid w:val="226D4721"/>
    <w:rsid w:val="22717D6E"/>
    <w:rsid w:val="22744381"/>
    <w:rsid w:val="227446D7"/>
    <w:rsid w:val="22770131"/>
    <w:rsid w:val="2277734E"/>
    <w:rsid w:val="227B299A"/>
    <w:rsid w:val="227F50D5"/>
    <w:rsid w:val="228026A7"/>
    <w:rsid w:val="228050AA"/>
    <w:rsid w:val="22813D29"/>
    <w:rsid w:val="22813E3B"/>
    <w:rsid w:val="22853819"/>
    <w:rsid w:val="228727F7"/>
    <w:rsid w:val="2288155B"/>
    <w:rsid w:val="228910F3"/>
    <w:rsid w:val="22895117"/>
    <w:rsid w:val="228B27F5"/>
    <w:rsid w:val="228B7ED2"/>
    <w:rsid w:val="228C2DF9"/>
    <w:rsid w:val="228D26CE"/>
    <w:rsid w:val="229434A3"/>
    <w:rsid w:val="2297354C"/>
    <w:rsid w:val="22987E08"/>
    <w:rsid w:val="22993768"/>
    <w:rsid w:val="229A3C54"/>
    <w:rsid w:val="229D5007"/>
    <w:rsid w:val="229E2B2D"/>
    <w:rsid w:val="229E48DB"/>
    <w:rsid w:val="229F2302"/>
    <w:rsid w:val="22A2261D"/>
    <w:rsid w:val="22A55C69"/>
    <w:rsid w:val="22A7378F"/>
    <w:rsid w:val="22A77C33"/>
    <w:rsid w:val="22AA6715"/>
    <w:rsid w:val="22AA6C43"/>
    <w:rsid w:val="22AB401E"/>
    <w:rsid w:val="22AC2B5D"/>
    <w:rsid w:val="22AC349C"/>
    <w:rsid w:val="22AD4B1E"/>
    <w:rsid w:val="22AE0FC2"/>
    <w:rsid w:val="22B015AE"/>
    <w:rsid w:val="22B45EAC"/>
    <w:rsid w:val="22B825D4"/>
    <w:rsid w:val="22B8599C"/>
    <w:rsid w:val="22B85A85"/>
    <w:rsid w:val="22BA5BB9"/>
    <w:rsid w:val="22BB36DF"/>
    <w:rsid w:val="22BD2FB3"/>
    <w:rsid w:val="22C37427"/>
    <w:rsid w:val="22C5455D"/>
    <w:rsid w:val="22C5630B"/>
    <w:rsid w:val="22CA1B74"/>
    <w:rsid w:val="22CC06DF"/>
    <w:rsid w:val="22CC64E9"/>
    <w:rsid w:val="22CF1D97"/>
    <w:rsid w:val="22D36C7A"/>
    <w:rsid w:val="22D402FC"/>
    <w:rsid w:val="22D447A0"/>
    <w:rsid w:val="22D622C7"/>
    <w:rsid w:val="22D630A1"/>
    <w:rsid w:val="22DC07A1"/>
    <w:rsid w:val="22DD18A7"/>
    <w:rsid w:val="22DD3655"/>
    <w:rsid w:val="22E26EBD"/>
    <w:rsid w:val="22E9024C"/>
    <w:rsid w:val="22EA5D72"/>
    <w:rsid w:val="22EA7B20"/>
    <w:rsid w:val="22EC3C97"/>
    <w:rsid w:val="22F10EAE"/>
    <w:rsid w:val="22F36458"/>
    <w:rsid w:val="22F369D5"/>
    <w:rsid w:val="22F610D4"/>
    <w:rsid w:val="22F62969"/>
    <w:rsid w:val="22F83FEB"/>
    <w:rsid w:val="22F97D63"/>
    <w:rsid w:val="22FB4722"/>
    <w:rsid w:val="23005194"/>
    <w:rsid w:val="23011D9A"/>
    <w:rsid w:val="2301228E"/>
    <w:rsid w:val="23016625"/>
    <w:rsid w:val="2309444A"/>
    <w:rsid w:val="230A01C2"/>
    <w:rsid w:val="230B235C"/>
    <w:rsid w:val="230B5347"/>
    <w:rsid w:val="230E380E"/>
    <w:rsid w:val="230E7CB2"/>
    <w:rsid w:val="230F4B12"/>
    <w:rsid w:val="23103A2A"/>
    <w:rsid w:val="231132FF"/>
    <w:rsid w:val="23130E25"/>
    <w:rsid w:val="231336BF"/>
    <w:rsid w:val="23134566"/>
    <w:rsid w:val="231345C9"/>
    <w:rsid w:val="23156AA1"/>
    <w:rsid w:val="23160915"/>
    <w:rsid w:val="23164DB9"/>
    <w:rsid w:val="2318468D"/>
    <w:rsid w:val="231B417D"/>
    <w:rsid w:val="231B5F2B"/>
    <w:rsid w:val="231D0165"/>
    <w:rsid w:val="231D7EF5"/>
    <w:rsid w:val="231F3247"/>
    <w:rsid w:val="231F5A1C"/>
    <w:rsid w:val="23201794"/>
    <w:rsid w:val="232079E6"/>
    <w:rsid w:val="23244261"/>
    <w:rsid w:val="232474D6"/>
    <w:rsid w:val="23270D74"/>
    <w:rsid w:val="232871AD"/>
    <w:rsid w:val="2329689A"/>
    <w:rsid w:val="232B0864"/>
    <w:rsid w:val="232B7D71"/>
    <w:rsid w:val="232C0139"/>
    <w:rsid w:val="232C1EE7"/>
    <w:rsid w:val="232C638A"/>
    <w:rsid w:val="232E3EB1"/>
    <w:rsid w:val="23303F67"/>
    <w:rsid w:val="23333275"/>
    <w:rsid w:val="23360FB7"/>
    <w:rsid w:val="23362D65"/>
    <w:rsid w:val="233A2855"/>
    <w:rsid w:val="233B037C"/>
    <w:rsid w:val="233B7CFE"/>
    <w:rsid w:val="233D2346"/>
    <w:rsid w:val="233E3888"/>
    <w:rsid w:val="23403BE4"/>
    <w:rsid w:val="23405992"/>
    <w:rsid w:val="23425BAE"/>
    <w:rsid w:val="2346654E"/>
    <w:rsid w:val="23487548"/>
    <w:rsid w:val="23492A98"/>
    <w:rsid w:val="234A01C1"/>
    <w:rsid w:val="234B4A63"/>
    <w:rsid w:val="234C07DB"/>
    <w:rsid w:val="234E00AF"/>
    <w:rsid w:val="23502079"/>
    <w:rsid w:val="23503E27"/>
    <w:rsid w:val="23516232"/>
    <w:rsid w:val="2352354B"/>
    <w:rsid w:val="23531AC9"/>
    <w:rsid w:val="23554886"/>
    <w:rsid w:val="2355768F"/>
    <w:rsid w:val="23563407"/>
    <w:rsid w:val="235651B5"/>
    <w:rsid w:val="23586F64"/>
    <w:rsid w:val="2358717F"/>
    <w:rsid w:val="235E5C65"/>
    <w:rsid w:val="23616034"/>
    <w:rsid w:val="23641680"/>
    <w:rsid w:val="23651670"/>
    <w:rsid w:val="2366756C"/>
    <w:rsid w:val="23671171"/>
    <w:rsid w:val="236864B3"/>
    <w:rsid w:val="236D2C2B"/>
    <w:rsid w:val="236E0751"/>
    <w:rsid w:val="236E69A3"/>
    <w:rsid w:val="23706277"/>
    <w:rsid w:val="23707A36"/>
    <w:rsid w:val="23720079"/>
    <w:rsid w:val="23733FB9"/>
    <w:rsid w:val="23735D67"/>
    <w:rsid w:val="237530E5"/>
    <w:rsid w:val="237600E9"/>
    <w:rsid w:val="23764527"/>
    <w:rsid w:val="237648E2"/>
    <w:rsid w:val="23785CD9"/>
    <w:rsid w:val="237A0EA4"/>
    <w:rsid w:val="237D0994"/>
    <w:rsid w:val="237D2742"/>
    <w:rsid w:val="237E4632"/>
    <w:rsid w:val="237E52CF"/>
    <w:rsid w:val="23815A60"/>
    <w:rsid w:val="23843AD1"/>
    <w:rsid w:val="23874801"/>
    <w:rsid w:val="2389558B"/>
    <w:rsid w:val="238B1303"/>
    <w:rsid w:val="238D0871"/>
    <w:rsid w:val="238E494F"/>
    <w:rsid w:val="23910FB6"/>
    <w:rsid w:val="2392443F"/>
    <w:rsid w:val="23931F66"/>
    <w:rsid w:val="23957807"/>
    <w:rsid w:val="2398757C"/>
    <w:rsid w:val="239D1036"/>
    <w:rsid w:val="23A03014"/>
    <w:rsid w:val="23A10B26"/>
    <w:rsid w:val="23A14683"/>
    <w:rsid w:val="23A453C2"/>
    <w:rsid w:val="23A6613D"/>
    <w:rsid w:val="23A83C63"/>
    <w:rsid w:val="23A94FE0"/>
    <w:rsid w:val="23AA3203"/>
    <w:rsid w:val="23AB3753"/>
    <w:rsid w:val="23AC25DC"/>
    <w:rsid w:val="23AE20DF"/>
    <w:rsid w:val="23AE2BED"/>
    <w:rsid w:val="23AE3741"/>
    <w:rsid w:val="23AE3F20"/>
    <w:rsid w:val="23AE40E3"/>
    <w:rsid w:val="23AE6894"/>
    <w:rsid w:val="23AE6D9F"/>
    <w:rsid w:val="23B14E2C"/>
    <w:rsid w:val="23B31D5F"/>
    <w:rsid w:val="23B343B6"/>
    <w:rsid w:val="23B4531E"/>
    <w:rsid w:val="23B5012E"/>
    <w:rsid w:val="23B87C1E"/>
    <w:rsid w:val="23B97D00"/>
    <w:rsid w:val="23BC770E"/>
    <w:rsid w:val="23BD6681"/>
    <w:rsid w:val="23BD69A6"/>
    <w:rsid w:val="23BE3486"/>
    <w:rsid w:val="23C232D7"/>
    <w:rsid w:val="23C60E74"/>
    <w:rsid w:val="23C640E9"/>
    <w:rsid w:val="23C700D5"/>
    <w:rsid w:val="23C87E61"/>
    <w:rsid w:val="23C91E2B"/>
    <w:rsid w:val="23CB5BA3"/>
    <w:rsid w:val="23D01397"/>
    <w:rsid w:val="23D04F68"/>
    <w:rsid w:val="23D16E12"/>
    <w:rsid w:val="23D34A58"/>
    <w:rsid w:val="23D36806"/>
    <w:rsid w:val="23D43EA1"/>
    <w:rsid w:val="23D514B9"/>
    <w:rsid w:val="23D74548"/>
    <w:rsid w:val="23DC1B5F"/>
    <w:rsid w:val="23DE58D7"/>
    <w:rsid w:val="23DF51AB"/>
    <w:rsid w:val="23E10F23"/>
    <w:rsid w:val="23E26A49"/>
    <w:rsid w:val="23E427C1"/>
    <w:rsid w:val="23E629DD"/>
    <w:rsid w:val="23E72D7E"/>
    <w:rsid w:val="23EA427B"/>
    <w:rsid w:val="23EB1DA2"/>
    <w:rsid w:val="23ED401F"/>
    <w:rsid w:val="23EE1074"/>
    <w:rsid w:val="23F21382"/>
    <w:rsid w:val="23F46D37"/>
    <w:rsid w:val="23F54EE7"/>
    <w:rsid w:val="23F650D1"/>
    <w:rsid w:val="23F70746"/>
    <w:rsid w:val="23F76998"/>
    <w:rsid w:val="23FC4F62"/>
    <w:rsid w:val="23FE7D27"/>
    <w:rsid w:val="24013925"/>
    <w:rsid w:val="24017D75"/>
    <w:rsid w:val="24027986"/>
    <w:rsid w:val="24030E99"/>
    <w:rsid w:val="24044C11"/>
    <w:rsid w:val="24062738"/>
    <w:rsid w:val="24062D32"/>
    <w:rsid w:val="2407263D"/>
    <w:rsid w:val="24082044"/>
    <w:rsid w:val="24107A5A"/>
    <w:rsid w:val="24125580"/>
    <w:rsid w:val="24150BCD"/>
    <w:rsid w:val="241652B5"/>
    <w:rsid w:val="24174945"/>
    <w:rsid w:val="241906BD"/>
    <w:rsid w:val="241F1A4B"/>
    <w:rsid w:val="24244F5F"/>
    <w:rsid w:val="24247062"/>
    <w:rsid w:val="242552B4"/>
    <w:rsid w:val="242E3CA9"/>
    <w:rsid w:val="242F40E9"/>
    <w:rsid w:val="24303173"/>
    <w:rsid w:val="24311EAA"/>
    <w:rsid w:val="2432177F"/>
    <w:rsid w:val="2435301D"/>
    <w:rsid w:val="243A0633"/>
    <w:rsid w:val="243A6885"/>
    <w:rsid w:val="243C25FD"/>
    <w:rsid w:val="244514B2"/>
    <w:rsid w:val="24460B97"/>
    <w:rsid w:val="24480FA2"/>
    <w:rsid w:val="24497549"/>
    <w:rsid w:val="244B4A3A"/>
    <w:rsid w:val="244C2BD2"/>
    <w:rsid w:val="245060A9"/>
    <w:rsid w:val="24507E57"/>
    <w:rsid w:val="24521E37"/>
    <w:rsid w:val="2452597D"/>
    <w:rsid w:val="24547947"/>
    <w:rsid w:val="2455546D"/>
    <w:rsid w:val="24575689"/>
    <w:rsid w:val="24577437"/>
    <w:rsid w:val="245A6203"/>
    <w:rsid w:val="245B6F27"/>
    <w:rsid w:val="245C0D29"/>
    <w:rsid w:val="245E07C6"/>
    <w:rsid w:val="245E4322"/>
    <w:rsid w:val="245F009A"/>
    <w:rsid w:val="246062EC"/>
    <w:rsid w:val="24615C79"/>
    <w:rsid w:val="24637B8A"/>
    <w:rsid w:val="24651DA9"/>
    <w:rsid w:val="24653902"/>
    <w:rsid w:val="246A716A"/>
    <w:rsid w:val="246B4C91"/>
    <w:rsid w:val="246B6A3F"/>
    <w:rsid w:val="246C2EE2"/>
    <w:rsid w:val="246E2D16"/>
    <w:rsid w:val="246F4453"/>
    <w:rsid w:val="247022A7"/>
    <w:rsid w:val="24704055"/>
    <w:rsid w:val="24707B88"/>
    <w:rsid w:val="24724271"/>
    <w:rsid w:val="24741D97"/>
    <w:rsid w:val="24794EE7"/>
    <w:rsid w:val="247B1377"/>
    <w:rsid w:val="247B3126"/>
    <w:rsid w:val="247C0C4C"/>
    <w:rsid w:val="247C35B9"/>
    <w:rsid w:val="24857A5A"/>
    <w:rsid w:val="24880EC1"/>
    <w:rsid w:val="24885842"/>
    <w:rsid w:val="24890640"/>
    <w:rsid w:val="248A5117"/>
    <w:rsid w:val="2492046F"/>
    <w:rsid w:val="249441E7"/>
    <w:rsid w:val="24961D0D"/>
    <w:rsid w:val="24967F5F"/>
    <w:rsid w:val="24975A86"/>
    <w:rsid w:val="24981981"/>
    <w:rsid w:val="249B37C8"/>
    <w:rsid w:val="249B5576"/>
    <w:rsid w:val="249C309C"/>
    <w:rsid w:val="249D7540"/>
    <w:rsid w:val="24A02B8C"/>
    <w:rsid w:val="24A262C4"/>
    <w:rsid w:val="24A26904"/>
    <w:rsid w:val="24A33C6C"/>
    <w:rsid w:val="24A3442A"/>
    <w:rsid w:val="24A361D8"/>
    <w:rsid w:val="24A61AD5"/>
    <w:rsid w:val="24A85EE5"/>
    <w:rsid w:val="24AA3A0B"/>
    <w:rsid w:val="24AA7567"/>
    <w:rsid w:val="24AE00EB"/>
    <w:rsid w:val="24AF7273"/>
    <w:rsid w:val="24B108F5"/>
    <w:rsid w:val="24B16B47"/>
    <w:rsid w:val="24B21795"/>
    <w:rsid w:val="24B30B11"/>
    <w:rsid w:val="24B341DB"/>
    <w:rsid w:val="24B403E6"/>
    <w:rsid w:val="24B44889"/>
    <w:rsid w:val="24B86128"/>
    <w:rsid w:val="24B91EA0"/>
    <w:rsid w:val="24BA7B29"/>
    <w:rsid w:val="24BB5C18"/>
    <w:rsid w:val="24BE74B6"/>
    <w:rsid w:val="24BF11C8"/>
    <w:rsid w:val="24C148B0"/>
    <w:rsid w:val="24C22B02"/>
    <w:rsid w:val="24C525F3"/>
    <w:rsid w:val="24C745BD"/>
    <w:rsid w:val="24C91F46"/>
    <w:rsid w:val="24CA7C09"/>
    <w:rsid w:val="24CC1BD3"/>
    <w:rsid w:val="24CC3981"/>
    <w:rsid w:val="24CF521F"/>
    <w:rsid w:val="24D000BE"/>
    <w:rsid w:val="24D32F62"/>
    <w:rsid w:val="24D33F00"/>
    <w:rsid w:val="24D41A48"/>
    <w:rsid w:val="24DB0068"/>
    <w:rsid w:val="24DC16EA"/>
    <w:rsid w:val="24DD793C"/>
    <w:rsid w:val="24DF7844"/>
    <w:rsid w:val="24E011DB"/>
    <w:rsid w:val="24E51B2E"/>
    <w:rsid w:val="24E52C95"/>
    <w:rsid w:val="24E568A4"/>
    <w:rsid w:val="24E8008F"/>
    <w:rsid w:val="24EB5E30"/>
    <w:rsid w:val="24EC32D8"/>
    <w:rsid w:val="24EE1B49"/>
    <w:rsid w:val="24EF141E"/>
    <w:rsid w:val="24F01070"/>
    <w:rsid w:val="24F13E55"/>
    <w:rsid w:val="24F320EA"/>
    <w:rsid w:val="24F32FB0"/>
    <w:rsid w:val="24F609FE"/>
    <w:rsid w:val="24F66C50"/>
    <w:rsid w:val="24F86524"/>
    <w:rsid w:val="24FB1D1B"/>
    <w:rsid w:val="25021151"/>
    <w:rsid w:val="25022CF3"/>
    <w:rsid w:val="25034EC9"/>
    <w:rsid w:val="25060572"/>
    <w:rsid w:val="25070E5D"/>
    <w:rsid w:val="250824DF"/>
    <w:rsid w:val="25090731"/>
    <w:rsid w:val="250B4F66"/>
    <w:rsid w:val="250C1FD0"/>
    <w:rsid w:val="250E3F9A"/>
    <w:rsid w:val="250E5D48"/>
    <w:rsid w:val="250E7916"/>
    <w:rsid w:val="250F1AC0"/>
    <w:rsid w:val="250F7D12"/>
    <w:rsid w:val="25113A8A"/>
    <w:rsid w:val="25116905"/>
    <w:rsid w:val="251203B4"/>
    <w:rsid w:val="251247E7"/>
    <w:rsid w:val="251610A0"/>
    <w:rsid w:val="25164BFC"/>
    <w:rsid w:val="25184E18"/>
    <w:rsid w:val="251958C3"/>
    <w:rsid w:val="251B2213"/>
    <w:rsid w:val="251C78A5"/>
    <w:rsid w:val="251D242F"/>
    <w:rsid w:val="251D3939"/>
    <w:rsid w:val="251D41DD"/>
    <w:rsid w:val="25203CCD"/>
    <w:rsid w:val="25205A7B"/>
    <w:rsid w:val="25213E48"/>
    <w:rsid w:val="252235A1"/>
    <w:rsid w:val="252427C9"/>
    <w:rsid w:val="252437BD"/>
    <w:rsid w:val="2524556B"/>
    <w:rsid w:val="252512E3"/>
    <w:rsid w:val="2525288F"/>
    <w:rsid w:val="25257535"/>
    <w:rsid w:val="25276E09"/>
    <w:rsid w:val="252B3E13"/>
    <w:rsid w:val="252C37DE"/>
    <w:rsid w:val="252E1F46"/>
    <w:rsid w:val="253036E6"/>
    <w:rsid w:val="25317C88"/>
    <w:rsid w:val="253234AD"/>
    <w:rsid w:val="25327D57"/>
    <w:rsid w:val="253432D4"/>
    <w:rsid w:val="253634F0"/>
    <w:rsid w:val="25381333"/>
    <w:rsid w:val="25396B3D"/>
    <w:rsid w:val="253F05F7"/>
    <w:rsid w:val="253F4153"/>
    <w:rsid w:val="253F579B"/>
    <w:rsid w:val="253F73D1"/>
    <w:rsid w:val="2540611D"/>
    <w:rsid w:val="254479BB"/>
    <w:rsid w:val="2547150A"/>
    <w:rsid w:val="25473008"/>
    <w:rsid w:val="25481BC4"/>
    <w:rsid w:val="25493224"/>
    <w:rsid w:val="254A0D4A"/>
    <w:rsid w:val="254E25E8"/>
    <w:rsid w:val="254F010E"/>
    <w:rsid w:val="254F0607"/>
    <w:rsid w:val="25501A97"/>
    <w:rsid w:val="25553977"/>
    <w:rsid w:val="255611A5"/>
    <w:rsid w:val="25565941"/>
    <w:rsid w:val="255816B9"/>
    <w:rsid w:val="25592D3B"/>
    <w:rsid w:val="255B2F57"/>
    <w:rsid w:val="255B4D05"/>
    <w:rsid w:val="255C2C60"/>
    <w:rsid w:val="255D6CCF"/>
    <w:rsid w:val="255F47F5"/>
    <w:rsid w:val="2560231B"/>
    <w:rsid w:val="256040C9"/>
    <w:rsid w:val="25627E42"/>
    <w:rsid w:val="25643BBA"/>
    <w:rsid w:val="256B13EC"/>
    <w:rsid w:val="256C0CC0"/>
    <w:rsid w:val="256E1E26"/>
    <w:rsid w:val="25733DFD"/>
    <w:rsid w:val="2574171F"/>
    <w:rsid w:val="25755D32"/>
    <w:rsid w:val="25766A29"/>
    <w:rsid w:val="2576715C"/>
    <w:rsid w:val="25797F62"/>
    <w:rsid w:val="257A33DD"/>
    <w:rsid w:val="257B51B6"/>
    <w:rsid w:val="257D4C7B"/>
    <w:rsid w:val="2580476C"/>
    <w:rsid w:val="258424AE"/>
    <w:rsid w:val="25847246"/>
    <w:rsid w:val="25853B30"/>
    <w:rsid w:val="258612CD"/>
    <w:rsid w:val="258B3FE3"/>
    <w:rsid w:val="25916979"/>
    <w:rsid w:val="25950217"/>
    <w:rsid w:val="259615F4"/>
    <w:rsid w:val="25963265"/>
    <w:rsid w:val="25983863"/>
    <w:rsid w:val="25987D07"/>
    <w:rsid w:val="25997FDC"/>
    <w:rsid w:val="259F1096"/>
    <w:rsid w:val="25A4045A"/>
    <w:rsid w:val="25A42208"/>
    <w:rsid w:val="25A4493F"/>
    <w:rsid w:val="25A61150"/>
    <w:rsid w:val="25A62FB3"/>
    <w:rsid w:val="25A854ED"/>
    <w:rsid w:val="25A93CC2"/>
    <w:rsid w:val="25AB5124"/>
    <w:rsid w:val="25AD7650"/>
    <w:rsid w:val="25AE12D9"/>
    <w:rsid w:val="25AE3087"/>
    <w:rsid w:val="25AF5095"/>
    <w:rsid w:val="25B276F2"/>
    <w:rsid w:val="25B424E2"/>
    <w:rsid w:val="25B54F52"/>
    <w:rsid w:val="25B6018D"/>
    <w:rsid w:val="25B74631"/>
    <w:rsid w:val="25BC57A4"/>
    <w:rsid w:val="25BD0983"/>
    <w:rsid w:val="25BD32CA"/>
    <w:rsid w:val="25BF35A3"/>
    <w:rsid w:val="25C1725E"/>
    <w:rsid w:val="25C26B32"/>
    <w:rsid w:val="25C40AFC"/>
    <w:rsid w:val="25C428AA"/>
    <w:rsid w:val="25C71A6C"/>
    <w:rsid w:val="25C74149"/>
    <w:rsid w:val="25CA4B79"/>
    <w:rsid w:val="25CD42FA"/>
    <w:rsid w:val="25CE54D7"/>
    <w:rsid w:val="25CE578A"/>
    <w:rsid w:val="25D23219"/>
    <w:rsid w:val="25D36F91"/>
    <w:rsid w:val="25D441CD"/>
    <w:rsid w:val="25D54AB7"/>
    <w:rsid w:val="25D56865"/>
    <w:rsid w:val="25D7082F"/>
    <w:rsid w:val="25D845A8"/>
    <w:rsid w:val="25D94675"/>
    <w:rsid w:val="25DA3E7C"/>
    <w:rsid w:val="25DB32FA"/>
    <w:rsid w:val="25DC7BF4"/>
    <w:rsid w:val="25DE7210"/>
    <w:rsid w:val="25E01490"/>
    <w:rsid w:val="25E025AD"/>
    <w:rsid w:val="25E1345C"/>
    <w:rsid w:val="25E230A5"/>
    <w:rsid w:val="25E371D4"/>
    <w:rsid w:val="25E4325E"/>
    <w:rsid w:val="25E46AA9"/>
    <w:rsid w:val="25E60104"/>
    <w:rsid w:val="25E927C7"/>
    <w:rsid w:val="25EE5B79"/>
    <w:rsid w:val="25F018F1"/>
    <w:rsid w:val="25F0544D"/>
    <w:rsid w:val="25F06C08"/>
    <w:rsid w:val="25F34F3E"/>
    <w:rsid w:val="25F52E25"/>
    <w:rsid w:val="25F56F08"/>
    <w:rsid w:val="25F767DC"/>
    <w:rsid w:val="25FA2012"/>
    <w:rsid w:val="25FA2770"/>
    <w:rsid w:val="25FC0296"/>
    <w:rsid w:val="25FD7B6A"/>
    <w:rsid w:val="2600323D"/>
    <w:rsid w:val="26013AFE"/>
    <w:rsid w:val="260638ED"/>
    <w:rsid w:val="26064C71"/>
    <w:rsid w:val="260809E9"/>
    <w:rsid w:val="260D715F"/>
    <w:rsid w:val="261029AA"/>
    <w:rsid w:val="2610789E"/>
    <w:rsid w:val="26121868"/>
    <w:rsid w:val="26132E71"/>
    <w:rsid w:val="26143832"/>
    <w:rsid w:val="26154EB4"/>
    <w:rsid w:val="26163F80"/>
    <w:rsid w:val="261766D2"/>
    <w:rsid w:val="26192BF6"/>
    <w:rsid w:val="261C4494"/>
    <w:rsid w:val="261D1FBA"/>
    <w:rsid w:val="261D2B93"/>
    <w:rsid w:val="261E645E"/>
    <w:rsid w:val="261F5D33"/>
    <w:rsid w:val="26215F4F"/>
    <w:rsid w:val="26263565"/>
    <w:rsid w:val="26281F8A"/>
    <w:rsid w:val="262D1D64"/>
    <w:rsid w:val="262E235B"/>
    <w:rsid w:val="26302A27"/>
    <w:rsid w:val="26307F40"/>
    <w:rsid w:val="26325A66"/>
    <w:rsid w:val="2633152B"/>
    <w:rsid w:val="263334A8"/>
    <w:rsid w:val="26337E13"/>
    <w:rsid w:val="26343C96"/>
    <w:rsid w:val="26345C82"/>
    <w:rsid w:val="2637307C"/>
    <w:rsid w:val="26377520"/>
    <w:rsid w:val="263C68E5"/>
    <w:rsid w:val="263E265D"/>
    <w:rsid w:val="263E272A"/>
    <w:rsid w:val="263E2F8B"/>
    <w:rsid w:val="26432D2F"/>
    <w:rsid w:val="26435B6E"/>
    <w:rsid w:val="26442428"/>
    <w:rsid w:val="26467763"/>
    <w:rsid w:val="264834DB"/>
    <w:rsid w:val="26485289"/>
    <w:rsid w:val="264B4D7A"/>
    <w:rsid w:val="264E519F"/>
    <w:rsid w:val="264F1D53"/>
    <w:rsid w:val="2650413E"/>
    <w:rsid w:val="2654293F"/>
    <w:rsid w:val="2657371E"/>
    <w:rsid w:val="265863CA"/>
    <w:rsid w:val="26593556"/>
    <w:rsid w:val="265A1224"/>
    <w:rsid w:val="265D5A85"/>
    <w:rsid w:val="265F14A3"/>
    <w:rsid w:val="265F3C06"/>
    <w:rsid w:val="26647BE9"/>
    <w:rsid w:val="266876DA"/>
    <w:rsid w:val="2669503C"/>
    <w:rsid w:val="266C6208"/>
    <w:rsid w:val="266D2F42"/>
    <w:rsid w:val="266F5156"/>
    <w:rsid w:val="266F7FAE"/>
    <w:rsid w:val="267047E0"/>
    <w:rsid w:val="2670658E"/>
    <w:rsid w:val="26722306"/>
    <w:rsid w:val="267274AB"/>
    <w:rsid w:val="26731C89"/>
    <w:rsid w:val="267327EA"/>
    <w:rsid w:val="267442D0"/>
    <w:rsid w:val="26751DF6"/>
    <w:rsid w:val="26773DC1"/>
    <w:rsid w:val="26781116"/>
    <w:rsid w:val="26781A70"/>
    <w:rsid w:val="267B5C33"/>
    <w:rsid w:val="267C4F33"/>
    <w:rsid w:val="267D3C02"/>
    <w:rsid w:val="267E6EFD"/>
    <w:rsid w:val="26815B10"/>
    <w:rsid w:val="26832765"/>
    <w:rsid w:val="268364C7"/>
    <w:rsid w:val="268564DD"/>
    <w:rsid w:val="26861EA8"/>
    <w:rsid w:val="26871453"/>
    <w:rsid w:val="26887D7C"/>
    <w:rsid w:val="268A3AF3"/>
    <w:rsid w:val="268B161A"/>
    <w:rsid w:val="268C732C"/>
    <w:rsid w:val="268E684F"/>
    <w:rsid w:val="268F110A"/>
    <w:rsid w:val="268F2EB8"/>
    <w:rsid w:val="26914E82"/>
    <w:rsid w:val="26955292"/>
    <w:rsid w:val="269811C6"/>
    <w:rsid w:val="26981E89"/>
    <w:rsid w:val="26993D37"/>
    <w:rsid w:val="269A4809"/>
    <w:rsid w:val="269E07EE"/>
    <w:rsid w:val="269E134D"/>
    <w:rsid w:val="269E30FB"/>
    <w:rsid w:val="269E759F"/>
    <w:rsid w:val="26A10E3D"/>
    <w:rsid w:val="26A11396"/>
    <w:rsid w:val="26A12BEB"/>
    <w:rsid w:val="26A1499A"/>
    <w:rsid w:val="26A36964"/>
    <w:rsid w:val="26A40DBD"/>
    <w:rsid w:val="26A742F1"/>
    <w:rsid w:val="26A80CBB"/>
    <w:rsid w:val="26A85D28"/>
    <w:rsid w:val="26AA090E"/>
    <w:rsid w:val="26AA1AA0"/>
    <w:rsid w:val="26AC18D0"/>
    <w:rsid w:val="26AC3A6A"/>
    <w:rsid w:val="26AD1590"/>
    <w:rsid w:val="26AD369D"/>
    <w:rsid w:val="26AF07EB"/>
    <w:rsid w:val="26AF09C5"/>
    <w:rsid w:val="26AF355A"/>
    <w:rsid w:val="26AF5308"/>
    <w:rsid w:val="26B12057"/>
    <w:rsid w:val="26B40B71"/>
    <w:rsid w:val="26B648E9"/>
    <w:rsid w:val="26B8166C"/>
    <w:rsid w:val="26B97F35"/>
    <w:rsid w:val="26BD4945"/>
    <w:rsid w:val="26C1503C"/>
    <w:rsid w:val="26C16DEA"/>
    <w:rsid w:val="26C30DB4"/>
    <w:rsid w:val="26C32B62"/>
    <w:rsid w:val="26CF7759"/>
    <w:rsid w:val="26D20FF7"/>
    <w:rsid w:val="26D27249"/>
    <w:rsid w:val="26D33C77"/>
    <w:rsid w:val="26D44D6F"/>
    <w:rsid w:val="26D703BB"/>
    <w:rsid w:val="26D85306"/>
    <w:rsid w:val="26D905D7"/>
    <w:rsid w:val="26D94133"/>
    <w:rsid w:val="26DC4FED"/>
    <w:rsid w:val="26DE1A9B"/>
    <w:rsid w:val="26E3633D"/>
    <w:rsid w:val="26E74AA2"/>
    <w:rsid w:val="26E83E59"/>
    <w:rsid w:val="26E869A5"/>
    <w:rsid w:val="26EB0064"/>
    <w:rsid w:val="26EC030B"/>
    <w:rsid w:val="26ED22BB"/>
    <w:rsid w:val="26EE4083"/>
    <w:rsid w:val="26EF1BA9"/>
    <w:rsid w:val="26F1465A"/>
    <w:rsid w:val="26F35E32"/>
    <w:rsid w:val="26F3697C"/>
    <w:rsid w:val="26F5586E"/>
    <w:rsid w:val="26F70A5D"/>
    <w:rsid w:val="26FA19F3"/>
    <w:rsid w:val="27027B2E"/>
    <w:rsid w:val="27032D56"/>
    <w:rsid w:val="27082C6B"/>
    <w:rsid w:val="27084A19"/>
    <w:rsid w:val="270962CA"/>
    <w:rsid w:val="2709752E"/>
    <w:rsid w:val="270C329A"/>
    <w:rsid w:val="270C4509"/>
    <w:rsid w:val="270C62B7"/>
    <w:rsid w:val="27135B8A"/>
    <w:rsid w:val="2714160F"/>
    <w:rsid w:val="27164413"/>
    <w:rsid w:val="27181100"/>
    <w:rsid w:val="27194E78"/>
    <w:rsid w:val="271A42EB"/>
    <w:rsid w:val="271E248E"/>
    <w:rsid w:val="271E423C"/>
    <w:rsid w:val="27201D62"/>
    <w:rsid w:val="27225ADA"/>
    <w:rsid w:val="27231852"/>
    <w:rsid w:val="272337D0"/>
    <w:rsid w:val="27247AA4"/>
    <w:rsid w:val="2725351F"/>
    <w:rsid w:val="2725381D"/>
    <w:rsid w:val="27254D76"/>
    <w:rsid w:val="27271343"/>
    <w:rsid w:val="272924A0"/>
    <w:rsid w:val="272A153E"/>
    <w:rsid w:val="272F01F7"/>
    <w:rsid w:val="2730419C"/>
    <w:rsid w:val="27313F6F"/>
    <w:rsid w:val="27324309"/>
    <w:rsid w:val="27337CE7"/>
    <w:rsid w:val="273677D8"/>
    <w:rsid w:val="27372571"/>
    <w:rsid w:val="273C0FE2"/>
    <w:rsid w:val="273C518D"/>
    <w:rsid w:val="273E043A"/>
    <w:rsid w:val="27404258"/>
    <w:rsid w:val="27441EF5"/>
    <w:rsid w:val="274C6D86"/>
    <w:rsid w:val="274D0351"/>
    <w:rsid w:val="275119E4"/>
    <w:rsid w:val="275352E3"/>
    <w:rsid w:val="27547890"/>
    <w:rsid w:val="275525FD"/>
    <w:rsid w:val="27554102"/>
    <w:rsid w:val="27565784"/>
    <w:rsid w:val="275763AD"/>
    <w:rsid w:val="275814FC"/>
    <w:rsid w:val="27595274"/>
    <w:rsid w:val="275A34C6"/>
    <w:rsid w:val="275F3FFD"/>
    <w:rsid w:val="27650354"/>
    <w:rsid w:val="276509B1"/>
    <w:rsid w:val="276A122F"/>
    <w:rsid w:val="276A4BA9"/>
    <w:rsid w:val="276A5E9A"/>
    <w:rsid w:val="276F17CB"/>
    <w:rsid w:val="27707F5A"/>
    <w:rsid w:val="27715ADA"/>
    <w:rsid w:val="2772409E"/>
    <w:rsid w:val="277A5916"/>
    <w:rsid w:val="277D3C48"/>
    <w:rsid w:val="277E2C99"/>
    <w:rsid w:val="277E530E"/>
    <w:rsid w:val="277F2F2D"/>
    <w:rsid w:val="27802801"/>
    <w:rsid w:val="27806CA5"/>
    <w:rsid w:val="27813DF2"/>
    <w:rsid w:val="27822A1D"/>
    <w:rsid w:val="278247CB"/>
    <w:rsid w:val="27827071"/>
    <w:rsid w:val="2784149E"/>
    <w:rsid w:val="278422F1"/>
    <w:rsid w:val="27856069"/>
    <w:rsid w:val="2786250D"/>
    <w:rsid w:val="27871DE1"/>
    <w:rsid w:val="2789399C"/>
    <w:rsid w:val="27893DAB"/>
    <w:rsid w:val="278C42F2"/>
    <w:rsid w:val="278D78E5"/>
    <w:rsid w:val="278E13C2"/>
    <w:rsid w:val="278E3320"/>
    <w:rsid w:val="27906EE8"/>
    <w:rsid w:val="2791259C"/>
    <w:rsid w:val="27914A0E"/>
    <w:rsid w:val="279544FE"/>
    <w:rsid w:val="27962024"/>
    <w:rsid w:val="27982240"/>
    <w:rsid w:val="2798293F"/>
    <w:rsid w:val="279938C3"/>
    <w:rsid w:val="279A59FF"/>
    <w:rsid w:val="279B763B"/>
    <w:rsid w:val="279D7857"/>
    <w:rsid w:val="279D7A33"/>
    <w:rsid w:val="279F3713"/>
    <w:rsid w:val="27A02EA3"/>
    <w:rsid w:val="27A24E6D"/>
    <w:rsid w:val="27A6670B"/>
    <w:rsid w:val="27A73E71"/>
    <w:rsid w:val="27AB4887"/>
    <w:rsid w:val="27AD6260"/>
    <w:rsid w:val="27AE3812"/>
    <w:rsid w:val="27AE789D"/>
    <w:rsid w:val="27B01B1D"/>
    <w:rsid w:val="27B150B0"/>
    <w:rsid w:val="27B32BD6"/>
    <w:rsid w:val="27B34984"/>
    <w:rsid w:val="27B42DFB"/>
    <w:rsid w:val="27B506FD"/>
    <w:rsid w:val="27B60C24"/>
    <w:rsid w:val="27B64475"/>
    <w:rsid w:val="27BA5D13"/>
    <w:rsid w:val="27BB7CDD"/>
    <w:rsid w:val="27BE796C"/>
    <w:rsid w:val="27C052F3"/>
    <w:rsid w:val="27C070A1"/>
    <w:rsid w:val="27C13545"/>
    <w:rsid w:val="27C4231B"/>
    <w:rsid w:val="27C4398D"/>
    <w:rsid w:val="27C7246D"/>
    <w:rsid w:val="27C748D4"/>
    <w:rsid w:val="27C944E4"/>
    <w:rsid w:val="27CA66CF"/>
    <w:rsid w:val="27CB5FB7"/>
    <w:rsid w:val="27CE5C62"/>
    <w:rsid w:val="27CF4657"/>
    <w:rsid w:val="27D33279"/>
    <w:rsid w:val="27D50D9F"/>
    <w:rsid w:val="27D6113A"/>
    <w:rsid w:val="27D74B17"/>
    <w:rsid w:val="27D8088F"/>
    <w:rsid w:val="27D868FE"/>
    <w:rsid w:val="27DA21BA"/>
    <w:rsid w:val="27DA4607"/>
    <w:rsid w:val="27DC037F"/>
    <w:rsid w:val="27DD40F7"/>
    <w:rsid w:val="27DF0BA9"/>
    <w:rsid w:val="27DF39CB"/>
    <w:rsid w:val="27E014F2"/>
    <w:rsid w:val="27E15931"/>
    <w:rsid w:val="27E27527"/>
    <w:rsid w:val="27E50784"/>
    <w:rsid w:val="27E9484A"/>
    <w:rsid w:val="27EB2370"/>
    <w:rsid w:val="27EE3C0E"/>
    <w:rsid w:val="27F136FF"/>
    <w:rsid w:val="27F154AD"/>
    <w:rsid w:val="27F23E7D"/>
    <w:rsid w:val="27F304AC"/>
    <w:rsid w:val="27F31225"/>
    <w:rsid w:val="27F41CF2"/>
    <w:rsid w:val="27F429B1"/>
    <w:rsid w:val="27F531EF"/>
    <w:rsid w:val="27FC27CF"/>
    <w:rsid w:val="27FC7546"/>
    <w:rsid w:val="27FE3B41"/>
    <w:rsid w:val="27FF5E1C"/>
    <w:rsid w:val="28001F91"/>
    <w:rsid w:val="28021DBF"/>
    <w:rsid w:val="280414D2"/>
    <w:rsid w:val="280451E0"/>
    <w:rsid w:val="280478D6"/>
    <w:rsid w:val="28050AF4"/>
    <w:rsid w:val="28074CD0"/>
    <w:rsid w:val="28077E5F"/>
    <w:rsid w:val="28077FA4"/>
    <w:rsid w:val="280C22E7"/>
    <w:rsid w:val="280D4632"/>
    <w:rsid w:val="280D529D"/>
    <w:rsid w:val="280D678A"/>
    <w:rsid w:val="280E2503"/>
    <w:rsid w:val="28100029"/>
    <w:rsid w:val="281012B4"/>
    <w:rsid w:val="28113A96"/>
    <w:rsid w:val="281318C7"/>
    <w:rsid w:val="28133675"/>
    <w:rsid w:val="28136355"/>
    <w:rsid w:val="28173165"/>
    <w:rsid w:val="28177609"/>
    <w:rsid w:val="28177B03"/>
    <w:rsid w:val="28180C8B"/>
    <w:rsid w:val="28186EDD"/>
    <w:rsid w:val="281A0EA7"/>
    <w:rsid w:val="281C077C"/>
    <w:rsid w:val="281E2746"/>
    <w:rsid w:val="281F201A"/>
    <w:rsid w:val="28213FE4"/>
    <w:rsid w:val="28224525"/>
    <w:rsid w:val="282472DA"/>
    <w:rsid w:val="28273E8D"/>
    <w:rsid w:val="28277120"/>
    <w:rsid w:val="282835C4"/>
    <w:rsid w:val="282A4BA6"/>
    <w:rsid w:val="282B4E63"/>
    <w:rsid w:val="28310F5C"/>
    <w:rsid w:val="28331C1B"/>
    <w:rsid w:val="28341F69"/>
    <w:rsid w:val="2835183D"/>
    <w:rsid w:val="283571FE"/>
    <w:rsid w:val="28357A8F"/>
    <w:rsid w:val="283609B1"/>
    <w:rsid w:val="28392CC7"/>
    <w:rsid w:val="28397580"/>
    <w:rsid w:val="283A4A92"/>
    <w:rsid w:val="283B1F3C"/>
    <w:rsid w:val="283C0E1E"/>
    <w:rsid w:val="283C7070"/>
    <w:rsid w:val="283F26BC"/>
    <w:rsid w:val="283F446A"/>
    <w:rsid w:val="28440F8E"/>
    <w:rsid w:val="28463A4A"/>
    <w:rsid w:val="284B1061"/>
    <w:rsid w:val="284D6D94"/>
    <w:rsid w:val="284F6542"/>
    <w:rsid w:val="284F6DA3"/>
    <w:rsid w:val="285048C9"/>
    <w:rsid w:val="28527787"/>
    <w:rsid w:val="28544D6C"/>
    <w:rsid w:val="28550131"/>
    <w:rsid w:val="285537C1"/>
    <w:rsid w:val="28575C58"/>
    <w:rsid w:val="2858552C"/>
    <w:rsid w:val="285C14C0"/>
    <w:rsid w:val="286677D8"/>
    <w:rsid w:val="28670211"/>
    <w:rsid w:val="28674000"/>
    <w:rsid w:val="28687E65"/>
    <w:rsid w:val="28697739"/>
    <w:rsid w:val="286A0F1E"/>
    <w:rsid w:val="286C37A4"/>
    <w:rsid w:val="286C7C7C"/>
    <w:rsid w:val="286D6F60"/>
    <w:rsid w:val="28700AC7"/>
    <w:rsid w:val="28704451"/>
    <w:rsid w:val="28732366"/>
    <w:rsid w:val="28735EF7"/>
    <w:rsid w:val="287405B8"/>
    <w:rsid w:val="287775EE"/>
    <w:rsid w:val="28793E20"/>
    <w:rsid w:val="2879521A"/>
    <w:rsid w:val="287A36F4"/>
    <w:rsid w:val="287C29F4"/>
    <w:rsid w:val="287C746C"/>
    <w:rsid w:val="287E67A4"/>
    <w:rsid w:val="28800A83"/>
    <w:rsid w:val="28831186"/>
    <w:rsid w:val="28844573"/>
    <w:rsid w:val="2885221B"/>
    <w:rsid w:val="28860BAB"/>
    <w:rsid w:val="2886653D"/>
    <w:rsid w:val="28884063"/>
    <w:rsid w:val="28893937"/>
    <w:rsid w:val="288E79DA"/>
    <w:rsid w:val="289037B1"/>
    <w:rsid w:val="289449F8"/>
    <w:rsid w:val="28996270"/>
    <w:rsid w:val="289A4F62"/>
    <w:rsid w:val="289B3D96"/>
    <w:rsid w:val="289B4836"/>
    <w:rsid w:val="289E3520"/>
    <w:rsid w:val="289E5635"/>
    <w:rsid w:val="289F1C10"/>
    <w:rsid w:val="28A05722"/>
    <w:rsid w:val="28A32C4B"/>
    <w:rsid w:val="28A35B9E"/>
    <w:rsid w:val="28A54C15"/>
    <w:rsid w:val="28A6273B"/>
    <w:rsid w:val="28A644E9"/>
    <w:rsid w:val="28A864B3"/>
    <w:rsid w:val="28A872DA"/>
    <w:rsid w:val="28AB1AFF"/>
    <w:rsid w:val="28B047AB"/>
    <w:rsid w:val="28B21023"/>
    <w:rsid w:val="28B210E0"/>
    <w:rsid w:val="28B430AA"/>
    <w:rsid w:val="28B47FB3"/>
    <w:rsid w:val="28BC3D0D"/>
    <w:rsid w:val="28BC5ABB"/>
    <w:rsid w:val="28BD1316"/>
    <w:rsid w:val="28BF50C6"/>
    <w:rsid w:val="28C055AB"/>
    <w:rsid w:val="28C11DAA"/>
    <w:rsid w:val="28C11F57"/>
    <w:rsid w:val="28C17575"/>
    <w:rsid w:val="28C3509B"/>
    <w:rsid w:val="28C36618"/>
    <w:rsid w:val="28C54A49"/>
    <w:rsid w:val="28C606E7"/>
    <w:rsid w:val="28C8445F"/>
    <w:rsid w:val="28CA642A"/>
    <w:rsid w:val="28CB21A2"/>
    <w:rsid w:val="28CC6CEB"/>
    <w:rsid w:val="28CE16F7"/>
    <w:rsid w:val="28CF3A40"/>
    <w:rsid w:val="28D41022"/>
    <w:rsid w:val="28D41056"/>
    <w:rsid w:val="28D74A8E"/>
    <w:rsid w:val="28D8795B"/>
    <w:rsid w:val="28D92B11"/>
    <w:rsid w:val="28D973AE"/>
    <w:rsid w:val="28DB489F"/>
    <w:rsid w:val="28DC7F0B"/>
    <w:rsid w:val="28DD71BF"/>
    <w:rsid w:val="28DE0127"/>
    <w:rsid w:val="28E079FB"/>
    <w:rsid w:val="28E47A07"/>
    <w:rsid w:val="28E514B5"/>
    <w:rsid w:val="28E53263"/>
    <w:rsid w:val="28E53F58"/>
    <w:rsid w:val="28E55011"/>
    <w:rsid w:val="28EA087A"/>
    <w:rsid w:val="28EA687F"/>
    <w:rsid w:val="28EA6ACC"/>
    <w:rsid w:val="28ED036A"/>
    <w:rsid w:val="28EF5E90"/>
    <w:rsid w:val="28F12E95"/>
    <w:rsid w:val="28F17CF9"/>
    <w:rsid w:val="28F214DC"/>
    <w:rsid w:val="28F41141"/>
    <w:rsid w:val="28F6721F"/>
    <w:rsid w:val="28F72F97"/>
    <w:rsid w:val="28F811E9"/>
    <w:rsid w:val="28FC05AD"/>
    <w:rsid w:val="28FC558A"/>
    <w:rsid w:val="28FD67A9"/>
    <w:rsid w:val="28FE4325"/>
    <w:rsid w:val="2900009D"/>
    <w:rsid w:val="29001E4B"/>
    <w:rsid w:val="29003BF9"/>
    <w:rsid w:val="29057462"/>
    <w:rsid w:val="29080D00"/>
    <w:rsid w:val="290851A4"/>
    <w:rsid w:val="290A0F1C"/>
    <w:rsid w:val="290A2CCA"/>
    <w:rsid w:val="290C07F0"/>
    <w:rsid w:val="29121B7F"/>
    <w:rsid w:val="2912392D"/>
    <w:rsid w:val="29143B49"/>
    <w:rsid w:val="291A7161"/>
    <w:rsid w:val="291B0A33"/>
    <w:rsid w:val="291B1D32"/>
    <w:rsid w:val="291C58F0"/>
    <w:rsid w:val="292024ED"/>
    <w:rsid w:val="29226266"/>
    <w:rsid w:val="29231FDE"/>
    <w:rsid w:val="29263689"/>
    <w:rsid w:val="29283150"/>
    <w:rsid w:val="2928682E"/>
    <w:rsid w:val="292A511A"/>
    <w:rsid w:val="292D69B8"/>
    <w:rsid w:val="292E4C0A"/>
    <w:rsid w:val="293146FB"/>
    <w:rsid w:val="2934401A"/>
    <w:rsid w:val="29361D11"/>
    <w:rsid w:val="2936586D"/>
    <w:rsid w:val="293935AF"/>
    <w:rsid w:val="293B7327"/>
    <w:rsid w:val="293D39A1"/>
    <w:rsid w:val="293D4E4D"/>
    <w:rsid w:val="293E2974"/>
    <w:rsid w:val="293F09E2"/>
    <w:rsid w:val="293F0E4A"/>
    <w:rsid w:val="29424212"/>
    <w:rsid w:val="29430F3E"/>
    <w:rsid w:val="29455AB0"/>
    <w:rsid w:val="29477A7A"/>
    <w:rsid w:val="29480514"/>
    <w:rsid w:val="294A756A"/>
    <w:rsid w:val="295108F9"/>
    <w:rsid w:val="29534671"/>
    <w:rsid w:val="295401B5"/>
    <w:rsid w:val="29560FB2"/>
    <w:rsid w:val="29565F0F"/>
    <w:rsid w:val="29567CBD"/>
    <w:rsid w:val="295977AD"/>
    <w:rsid w:val="295B1778"/>
    <w:rsid w:val="295C0219"/>
    <w:rsid w:val="295C30F4"/>
    <w:rsid w:val="295C5503"/>
    <w:rsid w:val="295C6F9B"/>
    <w:rsid w:val="295D38A9"/>
    <w:rsid w:val="29622B06"/>
    <w:rsid w:val="296248B4"/>
    <w:rsid w:val="29626BD5"/>
    <w:rsid w:val="29655843"/>
    <w:rsid w:val="29656152"/>
    <w:rsid w:val="29661E3F"/>
    <w:rsid w:val="2967011C"/>
    <w:rsid w:val="29673C78"/>
    <w:rsid w:val="296A19BB"/>
    <w:rsid w:val="296F5223"/>
    <w:rsid w:val="297018F5"/>
    <w:rsid w:val="29707D21"/>
    <w:rsid w:val="29714AF7"/>
    <w:rsid w:val="29736AC1"/>
    <w:rsid w:val="29746395"/>
    <w:rsid w:val="2976210D"/>
    <w:rsid w:val="29763734"/>
    <w:rsid w:val="297D524A"/>
    <w:rsid w:val="298365D8"/>
    <w:rsid w:val="2985721F"/>
    <w:rsid w:val="298671EB"/>
    <w:rsid w:val="29867431"/>
    <w:rsid w:val="2989192E"/>
    <w:rsid w:val="298A7967"/>
    <w:rsid w:val="298C36DF"/>
    <w:rsid w:val="298E0AA9"/>
    <w:rsid w:val="298F31CF"/>
    <w:rsid w:val="29916F47"/>
    <w:rsid w:val="29967194"/>
    <w:rsid w:val="29995DFC"/>
    <w:rsid w:val="299D769A"/>
    <w:rsid w:val="299E3412"/>
    <w:rsid w:val="299F1664"/>
    <w:rsid w:val="299F78B6"/>
    <w:rsid w:val="29A104CA"/>
    <w:rsid w:val="29A24CB1"/>
    <w:rsid w:val="29A273A6"/>
    <w:rsid w:val="29A729A6"/>
    <w:rsid w:val="29A97B01"/>
    <w:rsid w:val="29AA0009"/>
    <w:rsid w:val="29AA75E0"/>
    <w:rsid w:val="29AB625B"/>
    <w:rsid w:val="29AC4CB8"/>
    <w:rsid w:val="29AF561F"/>
    <w:rsid w:val="29AF647C"/>
    <w:rsid w:val="29B13146"/>
    <w:rsid w:val="29B82726"/>
    <w:rsid w:val="29BB1C3D"/>
    <w:rsid w:val="29BB4E8F"/>
    <w:rsid w:val="29BD5B7E"/>
    <w:rsid w:val="29BD7D3C"/>
    <w:rsid w:val="29BF1D06"/>
    <w:rsid w:val="29C03727"/>
    <w:rsid w:val="29C15A7E"/>
    <w:rsid w:val="29C242BC"/>
    <w:rsid w:val="29C410CB"/>
    <w:rsid w:val="29C55A1E"/>
    <w:rsid w:val="29C67614"/>
    <w:rsid w:val="29C70BBB"/>
    <w:rsid w:val="29C8403A"/>
    <w:rsid w:val="29C97ADE"/>
    <w:rsid w:val="29CB06AB"/>
    <w:rsid w:val="29CC34BC"/>
    <w:rsid w:val="29CC4423"/>
    <w:rsid w:val="29D137E8"/>
    <w:rsid w:val="29D357B2"/>
    <w:rsid w:val="29D412E5"/>
    <w:rsid w:val="29D470E3"/>
    <w:rsid w:val="29D532D8"/>
    <w:rsid w:val="29D70599"/>
    <w:rsid w:val="29D8669C"/>
    <w:rsid w:val="29DB6F1A"/>
    <w:rsid w:val="29E21551"/>
    <w:rsid w:val="29E2214C"/>
    <w:rsid w:val="29E22587"/>
    <w:rsid w:val="29E452C9"/>
    <w:rsid w:val="29E654E5"/>
    <w:rsid w:val="29E87670"/>
    <w:rsid w:val="29E96D83"/>
    <w:rsid w:val="29EC100E"/>
    <w:rsid w:val="29EF6C3E"/>
    <w:rsid w:val="29F00112"/>
    <w:rsid w:val="29F15C38"/>
    <w:rsid w:val="29F260FF"/>
    <w:rsid w:val="29F55728"/>
    <w:rsid w:val="29F67810"/>
    <w:rsid w:val="29F84CFB"/>
    <w:rsid w:val="29FA2D3E"/>
    <w:rsid w:val="29FA4AED"/>
    <w:rsid w:val="29FA54EE"/>
    <w:rsid w:val="29FA689B"/>
    <w:rsid w:val="2A012054"/>
    <w:rsid w:val="2A0140CD"/>
    <w:rsid w:val="2A0239A1"/>
    <w:rsid w:val="2A040CF7"/>
    <w:rsid w:val="2A043BBD"/>
    <w:rsid w:val="2A04596B"/>
    <w:rsid w:val="2A046A04"/>
    <w:rsid w:val="2A067935"/>
    <w:rsid w:val="2A0874C0"/>
    <w:rsid w:val="2A0B6BDB"/>
    <w:rsid w:val="2A0F0A32"/>
    <w:rsid w:val="2A0F7A1E"/>
    <w:rsid w:val="2A10729A"/>
    <w:rsid w:val="2A1132FB"/>
    <w:rsid w:val="2A12193E"/>
    <w:rsid w:val="2A144F85"/>
    <w:rsid w:val="2A154B20"/>
    <w:rsid w:val="2A1B5CDA"/>
    <w:rsid w:val="2A1D0AA8"/>
    <w:rsid w:val="2A1D799A"/>
    <w:rsid w:val="2A1F27A5"/>
    <w:rsid w:val="2A1F45ED"/>
    <w:rsid w:val="2A202079"/>
    <w:rsid w:val="2A210B5D"/>
    <w:rsid w:val="2A222295"/>
    <w:rsid w:val="2A257690"/>
    <w:rsid w:val="2A263B34"/>
    <w:rsid w:val="2A265309"/>
    <w:rsid w:val="2A2658E2"/>
    <w:rsid w:val="2A273408"/>
    <w:rsid w:val="2A295383"/>
    <w:rsid w:val="2A2A4D27"/>
    <w:rsid w:val="2A30050E"/>
    <w:rsid w:val="2A321A45"/>
    <w:rsid w:val="2A337FFE"/>
    <w:rsid w:val="2A391AB9"/>
    <w:rsid w:val="2A3A0FA7"/>
    <w:rsid w:val="2A3F5E73"/>
    <w:rsid w:val="2A41271B"/>
    <w:rsid w:val="2A4144C9"/>
    <w:rsid w:val="2A426494"/>
    <w:rsid w:val="2A44045E"/>
    <w:rsid w:val="2A457487"/>
    <w:rsid w:val="2A461AE0"/>
    <w:rsid w:val="2A481CFC"/>
    <w:rsid w:val="2A4B5348"/>
    <w:rsid w:val="2A4E308A"/>
    <w:rsid w:val="2A4E6BE6"/>
    <w:rsid w:val="2A4F6448"/>
    <w:rsid w:val="2A506E02"/>
    <w:rsid w:val="2A53751F"/>
    <w:rsid w:val="2A542FA4"/>
    <w:rsid w:val="2A554419"/>
    <w:rsid w:val="2A566FA1"/>
    <w:rsid w:val="2A5702ED"/>
    <w:rsid w:val="2A572EBE"/>
    <w:rsid w:val="2A577B8D"/>
    <w:rsid w:val="2A5C1303"/>
    <w:rsid w:val="2A5D507B"/>
    <w:rsid w:val="2A5E32CD"/>
    <w:rsid w:val="2A5F249B"/>
    <w:rsid w:val="2A611BA7"/>
    <w:rsid w:val="2A6308E4"/>
    <w:rsid w:val="2A677DE2"/>
    <w:rsid w:val="2A6E0160"/>
    <w:rsid w:val="2A784421"/>
    <w:rsid w:val="2A785209"/>
    <w:rsid w:val="2A7A70BB"/>
    <w:rsid w:val="2A7F74F9"/>
    <w:rsid w:val="2A81520E"/>
    <w:rsid w:val="2A830F86"/>
    <w:rsid w:val="2A8940C2"/>
    <w:rsid w:val="2A8A4FE9"/>
    <w:rsid w:val="2A8B24AA"/>
    <w:rsid w:val="2A8B7E3A"/>
    <w:rsid w:val="2A8E3487"/>
    <w:rsid w:val="2A900FAD"/>
    <w:rsid w:val="2A905451"/>
    <w:rsid w:val="2A9071FF"/>
    <w:rsid w:val="2A922F77"/>
    <w:rsid w:val="2A946CEF"/>
    <w:rsid w:val="2A970D9B"/>
    <w:rsid w:val="2A972312"/>
    <w:rsid w:val="2A996F9E"/>
    <w:rsid w:val="2A9A007E"/>
    <w:rsid w:val="2AA1140C"/>
    <w:rsid w:val="2AA47852"/>
    <w:rsid w:val="2AA50EFC"/>
    <w:rsid w:val="2AA64C74"/>
    <w:rsid w:val="2AA7224F"/>
    <w:rsid w:val="2AA84549"/>
    <w:rsid w:val="2AAC13F4"/>
    <w:rsid w:val="2AAC73DC"/>
    <w:rsid w:val="2AAD7DB1"/>
    <w:rsid w:val="2AAF3B29"/>
    <w:rsid w:val="2AB00E6E"/>
    <w:rsid w:val="2AB25A1E"/>
    <w:rsid w:val="2AB4113F"/>
    <w:rsid w:val="2AB60603"/>
    <w:rsid w:val="2AB63109"/>
    <w:rsid w:val="2AB7478C"/>
    <w:rsid w:val="2AB812EE"/>
    <w:rsid w:val="2ABE25D9"/>
    <w:rsid w:val="2AC11AAE"/>
    <w:rsid w:val="2AC21E7D"/>
    <w:rsid w:val="2AC3330D"/>
    <w:rsid w:val="2AC33F52"/>
    <w:rsid w:val="2AC56CC9"/>
    <w:rsid w:val="2AC62C21"/>
    <w:rsid w:val="2AC635A4"/>
    <w:rsid w:val="2AC670C5"/>
    <w:rsid w:val="2AC75CEF"/>
    <w:rsid w:val="2AC9315C"/>
    <w:rsid w:val="2ACB0237"/>
    <w:rsid w:val="2ACB46DB"/>
    <w:rsid w:val="2ACD6BF6"/>
    <w:rsid w:val="2ACE1AD5"/>
    <w:rsid w:val="2ACF5F79"/>
    <w:rsid w:val="2AD01815"/>
    <w:rsid w:val="2AD06C6E"/>
    <w:rsid w:val="2AD31BAE"/>
    <w:rsid w:val="2AD359D3"/>
    <w:rsid w:val="2AD4376A"/>
    <w:rsid w:val="2AD45FAC"/>
    <w:rsid w:val="2AD510B6"/>
    <w:rsid w:val="2AD73080"/>
    <w:rsid w:val="2AD90E51"/>
    <w:rsid w:val="2ADB2B70"/>
    <w:rsid w:val="2ADB5CCE"/>
    <w:rsid w:val="2ADF24B8"/>
    <w:rsid w:val="2AE01F34"/>
    <w:rsid w:val="2AE05406"/>
    <w:rsid w:val="2AE31A25"/>
    <w:rsid w:val="2AE337D3"/>
    <w:rsid w:val="2AE35581"/>
    <w:rsid w:val="2AE5754B"/>
    <w:rsid w:val="2AE71321"/>
    <w:rsid w:val="2AE763AF"/>
    <w:rsid w:val="2AEB5161"/>
    <w:rsid w:val="2AEC6A9F"/>
    <w:rsid w:val="2AED1B89"/>
    <w:rsid w:val="2AED20E7"/>
    <w:rsid w:val="2AED4651"/>
    <w:rsid w:val="2AEE60A8"/>
    <w:rsid w:val="2AF07C9E"/>
    <w:rsid w:val="2AF4778E"/>
    <w:rsid w:val="2AF62DDB"/>
    <w:rsid w:val="2AF754D0"/>
    <w:rsid w:val="2AF91248"/>
    <w:rsid w:val="2AF95717"/>
    <w:rsid w:val="2AFF1E1F"/>
    <w:rsid w:val="2B013C59"/>
    <w:rsid w:val="2B033E75"/>
    <w:rsid w:val="2B0379D1"/>
    <w:rsid w:val="2B081B54"/>
    <w:rsid w:val="2B083239"/>
    <w:rsid w:val="2B0A0D5F"/>
    <w:rsid w:val="2B0C0F7B"/>
    <w:rsid w:val="2B0D4423"/>
    <w:rsid w:val="2B1020EE"/>
    <w:rsid w:val="2B116592"/>
    <w:rsid w:val="2B12002C"/>
    <w:rsid w:val="2B131725"/>
    <w:rsid w:val="2B177920"/>
    <w:rsid w:val="2B195446"/>
    <w:rsid w:val="2B1B2F6C"/>
    <w:rsid w:val="2B1C4BAB"/>
    <w:rsid w:val="2B1C6CE5"/>
    <w:rsid w:val="2B2142FB"/>
    <w:rsid w:val="2B225799"/>
    <w:rsid w:val="2B25203D"/>
    <w:rsid w:val="2B255B99"/>
    <w:rsid w:val="2B2654FC"/>
    <w:rsid w:val="2B26670B"/>
    <w:rsid w:val="2B294E5B"/>
    <w:rsid w:val="2B2A7228"/>
    <w:rsid w:val="2B2A7653"/>
    <w:rsid w:val="2B2A7C64"/>
    <w:rsid w:val="2B2C6A0E"/>
    <w:rsid w:val="2B2D63A8"/>
    <w:rsid w:val="2B2F4C6A"/>
    <w:rsid w:val="2B315312"/>
    <w:rsid w:val="2B326508"/>
    <w:rsid w:val="2B345DDC"/>
    <w:rsid w:val="2B354D70"/>
    <w:rsid w:val="2B367DA6"/>
    <w:rsid w:val="2B387B04"/>
    <w:rsid w:val="2B395AE8"/>
    <w:rsid w:val="2B397B69"/>
    <w:rsid w:val="2B3C2EE3"/>
    <w:rsid w:val="2B40163B"/>
    <w:rsid w:val="2B433905"/>
    <w:rsid w:val="2B434271"/>
    <w:rsid w:val="2B4470C3"/>
    <w:rsid w:val="2B457FE9"/>
    <w:rsid w:val="2B47050D"/>
    <w:rsid w:val="2B481888"/>
    <w:rsid w:val="2B492F35"/>
    <w:rsid w:val="2B4D4BC5"/>
    <w:rsid w:val="2B4F1D87"/>
    <w:rsid w:val="2B5100EC"/>
    <w:rsid w:val="2B546105"/>
    <w:rsid w:val="2B552C19"/>
    <w:rsid w:val="2B5621F6"/>
    <w:rsid w:val="2B58159A"/>
    <w:rsid w:val="2B5869C9"/>
    <w:rsid w:val="2B597F39"/>
    <w:rsid w:val="2B5A7A1C"/>
    <w:rsid w:val="2B5B18D3"/>
    <w:rsid w:val="2B5B5A5F"/>
    <w:rsid w:val="2B646DB3"/>
    <w:rsid w:val="2B683CD8"/>
    <w:rsid w:val="2B6A3EF4"/>
    <w:rsid w:val="2B6C1A1A"/>
    <w:rsid w:val="2B6C7C6C"/>
    <w:rsid w:val="2B6D12EE"/>
    <w:rsid w:val="2B6F32B8"/>
    <w:rsid w:val="2B764647"/>
    <w:rsid w:val="2B765243"/>
    <w:rsid w:val="2B7D3C27"/>
    <w:rsid w:val="2B7E52A9"/>
    <w:rsid w:val="2B7F799F"/>
    <w:rsid w:val="2B806286"/>
    <w:rsid w:val="2B824D9A"/>
    <w:rsid w:val="2B830B12"/>
    <w:rsid w:val="2B832919"/>
    <w:rsid w:val="2B836D64"/>
    <w:rsid w:val="2B875B68"/>
    <w:rsid w:val="2B876854"/>
    <w:rsid w:val="2B8925CC"/>
    <w:rsid w:val="2B8A00F2"/>
    <w:rsid w:val="2B8A2E82"/>
    <w:rsid w:val="2B8F423A"/>
    <w:rsid w:val="2B911481"/>
    <w:rsid w:val="2B9176D3"/>
    <w:rsid w:val="2B9223D2"/>
    <w:rsid w:val="2B9266BF"/>
    <w:rsid w:val="2B936FA7"/>
    <w:rsid w:val="2B945146"/>
    <w:rsid w:val="2B977CDD"/>
    <w:rsid w:val="2B98280F"/>
    <w:rsid w:val="2B99227F"/>
    <w:rsid w:val="2B996587"/>
    <w:rsid w:val="2B9A6504"/>
    <w:rsid w:val="2B9B40AD"/>
    <w:rsid w:val="2B9D6077"/>
    <w:rsid w:val="2B9E594C"/>
    <w:rsid w:val="2B9E76FA"/>
    <w:rsid w:val="2B9F3B9D"/>
    <w:rsid w:val="2BA13EC1"/>
    <w:rsid w:val="2BA47406"/>
    <w:rsid w:val="2BA56CDA"/>
    <w:rsid w:val="2BA80578"/>
    <w:rsid w:val="2BAA2542"/>
    <w:rsid w:val="2BAC1E16"/>
    <w:rsid w:val="2BAD4BF1"/>
    <w:rsid w:val="2BB04CB3"/>
    <w:rsid w:val="2BB331A5"/>
    <w:rsid w:val="2BB44F28"/>
    <w:rsid w:val="2BB62C95"/>
    <w:rsid w:val="2BB77950"/>
    <w:rsid w:val="2BB92785"/>
    <w:rsid w:val="2BB948D5"/>
    <w:rsid w:val="2BBB2606"/>
    <w:rsid w:val="2BBE759C"/>
    <w:rsid w:val="2BBF3B6B"/>
    <w:rsid w:val="2BC5112A"/>
    <w:rsid w:val="2BC52ED8"/>
    <w:rsid w:val="2BC730F4"/>
    <w:rsid w:val="2BC76C50"/>
    <w:rsid w:val="2BC87C0C"/>
    <w:rsid w:val="2BC96E6C"/>
    <w:rsid w:val="2BCD4ACF"/>
    <w:rsid w:val="2BCF1FA9"/>
    <w:rsid w:val="2BD31A99"/>
    <w:rsid w:val="2BD55811"/>
    <w:rsid w:val="2BD82C0B"/>
    <w:rsid w:val="2BD9222E"/>
    <w:rsid w:val="2BD9534F"/>
    <w:rsid w:val="2BD95AFC"/>
    <w:rsid w:val="2BDB6319"/>
    <w:rsid w:val="2BDD6474"/>
    <w:rsid w:val="2BDF043E"/>
    <w:rsid w:val="2BE0256A"/>
    <w:rsid w:val="2BE21CDC"/>
    <w:rsid w:val="2BE37B42"/>
    <w:rsid w:val="2BE43CE0"/>
    <w:rsid w:val="2BE5357A"/>
    <w:rsid w:val="2BE92273"/>
    <w:rsid w:val="2BEC4909"/>
    <w:rsid w:val="2BEC66B7"/>
    <w:rsid w:val="2BEE09B1"/>
    <w:rsid w:val="2BF37734"/>
    <w:rsid w:val="2BF53B52"/>
    <w:rsid w:val="2BF612E4"/>
    <w:rsid w:val="2BF7560D"/>
    <w:rsid w:val="2BF839C5"/>
    <w:rsid w:val="2BF87197"/>
    <w:rsid w:val="2BF913D1"/>
    <w:rsid w:val="2BFA126E"/>
    <w:rsid w:val="2BFD2015"/>
    <w:rsid w:val="2BFD6B16"/>
    <w:rsid w:val="2C0003B4"/>
    <w:rsid w:val="2C001142"/>
    <w:rsid w:val="2C017681"/>
    <w:rsid w:val="2C041C52"/>
    <w:rsid w:val="2C047EA4"/>
    <w:rsid w:val="2C057779"/>
    <w:rsid w:val="2C077995"/>
    <w:rsid w:val="2C092B91"/>
    <w:rsid w:val="2C097269"/>
    <w:rsid w:val="2C0B2AAE"/>
    <w:rsid w:val="2C0E0D23"/>
    <w:rsid w:val="2C0E487F"/>
    <w:rsid w:val="2C110B08"/>
    <w:rsid w:val="2C11436F"/>
    <w:rsid w:val="2C12290F"/>
    <w:rsid w:val="2C122CAC"/>
    <w:rsid w:val="2C155F80"/>
    <w:rsid w:val="2C1874AC"/>
    <w:rsid w:val="2C1A1476"/>
    <w:rsid w:val="2C1B08C7"/>
    <w:rsid w:val="2C212804"/>
    <w:rsid w:val="2C2401D3"/>
    <w:rsid w:val="2C2440A3"/>
    <w:rsid w:val="2C267E1B"/>
    <w:rsid w:val="2C295B04"/>
    <w:rsid w:val="2C2B5431"/>
    <w:rsid w:val="2C2E4F21"/>
    <w:rsid w:val="2C301781"/>
    <w:rsid w:val="2C3047F6"/>
    <w:rsid w:val="2C35005E"/>
    <w:rsid w:val="2C365B84"/>
    <w:rsid w:val="2C3818FC"/>
    <w:rsid w:val="2C3B13EC"/>
    <w:rsid w:val="2C3D33B6"/>
    <w:rsid w:val="2C3D6F12"/>
    <w:rsid w:val="2C3E306D"/>
    <w:rsid w:val="2C416A03"/>
    <w:rsid w:val="2C4209CD"/>
    <w:rsid w:val="2C43568A"/>
    <w:rsid w:val="2C45434C"/>
    <w:rsid w:val="2C46226B"/>
    <w:rsid w:val="2C4C2734"/>
    <w:rsid w:val="2C4D7BD8"/>
    <w:rsid w:val="2C4E2ECE"/>
    <w:rsid w:val="2C513B81"/>
    <w:rsid w:val="2C556723"/>
    <w:rsid w:val="2C557E64"/>
    <w:rsid w:val="2C5A1872"/>
    <w:rsid w:val="2C5A5D16"/>
    <w:rsid w:val="2C5D1363"/>
    <w:rsid w:val="2C5D5807"/>
    <w:rsid w:val="2C5E51BB"/>
    <w:rsid w:val="2C604F77"/>
    <w:rsid w:val="2C640FDC"/>
    <w:rsid w:val="2C66290D"/>
    <w:rsid w:val="2C677C4D"/>
    <w:rsid w:val="2C6E3570"/>
    <w:rsid w:val="2C6E531E"/>
    <w:rsid w:val="2C703257"/>
    <w:rsid w:val="2C756D93"/>
    <w:rsid w:val="2C772424"/>
    <w:rsid w:val="2C792CE4"/>
    <w:rsid w:val="2C7A3CC3"/>
    <w:rsid w:val="2C7C7A3B"/>
    <w:rsid w:val="2C7E7849"/>
    <w:rsid w:val="2C7E7C57"/>
    <w:rsid w:val="2C7F07DE"/>
    <w:rsid w:val="2C7F265E"/>
    <w:rsid w:val="2C7F577D"/>
    <w:rsid w:val="2C805A27"/>
    <w:rsid w:val="2C8132A3"/>
    <w:rsid w:val="2C814A81"/>
    <w:rsid w:val="2C820DC9"/>
    <w:rsid w:val="2C8348CD"/>
    <w:rsid w:val="2C842D93"/>
    <w:rsid w:val="2C862667"/>
    <w:rsid w:val="2C88243E"/>
    <w:rsid w:val="2C883DC8"/>
    <w:rsid w:val="2C88779E"/>
    <w:rsid w:val="2C8903AA"/>
    <w:rsid w:val="2C8B7F33"/>
    <w:rsid w:val="2C8C39F6"/>
    <w:rsid w:val="2C8D7E9A"/>
    <w:rsid w:val="2C8E776E"/>
    <w:rsid w:val="2C92725E"/>
    <w:rsid w:val="2C934D84"/>
    <w:rsid w:val="2C94072F"/>
    <w:rsid w:val="2C98683F"/>
    <w:rsid w:val="2C994B71"/>
    <w:rsid w:val="2C9A4365"/>
    <w:rsid w:val="2C9C632F"/>
    <w:rsid w:val="2C9E3E55"/>
    <w:rsid w:val="2C9F3729"/>
    <w:rsid w:val="2C9F5E1F"/>
    <w:rsid w:val="2CA156F3"/>
    <w:rsid w:val="2CA628E7"/>
    <w:rsid w:val="2CA64AB8"/>
    <w:rsid w:val="2CB01DDA"/>
    <w:rsid w:val="2CB04885"/>
    <w:rsid w:val="2CB1338F"/>
    <w:rsid w:val="2CB17B5A"/>
    <w:rsid w:val="2CB2029A"/>
    <w:rsid w:val="2CB27900"/>
    <w:rsid w:val="2CB43679"/>
    <w:rsid w:val="2CB56C35"/>
    <w:rsid w:val="2CB73169"/>
    <w:rsid w:val="2CB74F17"/>
    <w:rsid w:val="2CB76CC5"/>
    <w:rsid w:val="2CB82A3D"/>
    <w:rsid w:val="2CBC077F"/>
    <w:rsid w:val="2CBC252D"/>
    <w:rsid w:val="2CBD1391"/>
    <w:rsid w:val="2CBF16DD"/>
    <w:rsid w:val="2CC43190"/>
    <w:rsid w:val="2CC52C95"/>
    <w:rsid w:val="2CC633AC"/>
    <w:rsid w:val="2CC65980"/>
    <w:rsid w:val="2CC973D5"/>
    <w:rsid w:val="2CC976CA"/>
    <w:rsid w:val="2CCB6C14"/>
    <w:rsid w:val="2CCC7F97"/>
    <w:rsid w:val="2CD07D87"/>
    <w:rsid w:val="2CD16E38"/>
    <w:rsid w:val="2CD21D51"/>
    <w:rsid w:val="2CD30FF2"/>
    <w:rsid w:val="2CD31625"/>
    <w:rsid w:val="2CD51841"/>
    <w:rsid w:val="2CD535EF"/>
    <w:rsid w:val="2CDA29B3"/>
    <w:rsid w:val="2CDC497D"/>
    <w:rsid w:val="2CDF4B0F"/>
    <w:rsid w:val="2CDF621C"/>
    <w:rsid w:val="2CDF7FCA"/>
    <w:rsid w:val="2CE57990"/>
    <w:rsid w:val="2CE81574"/>
    <w:rsid w:val="2CE83322"/>
    <w:rsid w:val="2CE90E48"/>
    <w:rsid w:val="2CED0939"/>
    <w:rsid w:val="2CED26E7"/>
    <w:rsid w:val="2CEF693A"/>
    <w:rsid w:val="2CF24400"/>
    <w:rsid w:val="2CF256CF"/>
    <w:rsid w:val="2CF27CFD"/>
    <w:rsid w:val="2CF47F19"/>
    <w:rsid w:val="2CF54D76"/>
    <w:rsid w:val="2CF577ED"/>
    <w:rsid w:val="2CF63C91"/>
    <w:rsid w:val="2CF91A3F"/>
    <w:rsid w:val="2CF972DD"/>
    <w:rsid w:val="2CFE48F4"/>
    <w:rsid w:val="2CFF241A"/>
    <w:rsid w:val="2D004D63"/>
    <w:rsid w:val="2D012636"/>
    <w:rsid w:val="2D031F0A"/>
    <w:rsid w:val="2D044742"/>
    <w:rsid w:val="2D055D4A"/>
    <w:rsid w:val="2D0637A8"/>
    <w:rsid w:val="2D0744F2"/>
    <w:rsid w:val="2D0B5263"/>
    <w:rsid w:val="2D0E06C6"/>
    <w:rsid w:val="2D0E6608"/>
    <w:rsid w:val="2D0F08AF"/>
    <w:rsid w:val="2D0F4D53"/>
    <w:rsid w:val="2D103E04"/>
    <w:rsid w:val="2D104627"/>
    <w:rsid w:val="2D12039F"/>
    <w:rsid w:val="2D12358F"/>
    <w:rsid w:val="2D145EC5"/>
    <w:rsid w:val="2D1664DB"/>
    <w:rsid w:val="2D1759B5"/>
    <w:rsid w:val="2D1B36F8"/>
    <w:rsid w:val="2D1C0C0C"/>
    <w:rsid w:val="2D1C4D7A"/>
    <w:rsid w:val="2D1C6606"/>
    <w:rsid w:val="2D1E6D44"/>
    <w:rsid w:val="2D216834"/>
    <w:rsid w:val="2D256324"/>
    <w:rsid w:val="2D2563A1"/>
    <w:rsid w:val="2D261EE1"/>
    <w:rsid w:val="2D263E4A"/>
    <w:rsid w:val="2D2747C4"/>
    <w:rsid w:val="2D285E15"/>
    <w:rsid w:val="2D287BC3"/>
    <w:rsid w:val="2D2B2FA9"/>
    <w:rsid w:val="2D2C32D2"/>
    <w:rsid w:val="2D2F30DD"/>
    <w:rsid w:val="2D2F3C20"/>
    <w:rsid w:val="2D344536"/>
    <w:rsid w:val="2D352EF4"/>
    <w:rsid w:val="2D3547D9"/>
    <w:rsid w:val="2D360531"/>
    <w:rsid w:val="2D3C2DC7"/>
    <w:rsid w:val="2D3C4AA8"/>
    <w:rsid w:val="2D3E73E6"/>
    <w:rsid w:val="2D3F526C"/>
    <w:rsid w:val="2D410C84"/>
    <w:rsid w:val="2D421593"/>
    <w:rsid w:val="2D450775"/>
    <w:rsid w:val="2D481418"/>
    <w:rsid w:val="2D482013"/>
    <w:rsid w:val="2D4A7B39"/>
    <w:rsid w:val="2D4D3D4C"/>
    <w:rsid w:val="2D4E6144"/>
    <w:rsid w:val="2D4F15F3"/>
    <w:rsid w:val="2D4F6EFD"/>
    <w:rsid w:val="2D51633B"/>
    <w:rsid w:val="2D524FED"/>
    <w:rsid w:val="2D532B60"/>
    <w:rsid w:val="2D546C0A"/>
    <w:rsid w:val="2D55028C"/>
    <w:rsid w:val="2D572256"/>
    <w:rsid w:val="2D5B1D46"/>
    <w:rsid w:val="2D5C0C70"/>
    <w:rsid w:val="2D5E1836"/>
    <w:rsid w:val="2D64317E"/>
    <w:rsid w:val="2D6434F8"/>
    <w:rsid w:val="2D644D1D"/>
    <w:rsid w:val="2D646A6C"/>
    <w:rsid w:val="2D671AAB"/>
    <w:rsid w:val="2D67693D"/>
    <w:rsid w:val="2D68108A"/>
    <w:rsid w:val="2D6947B8"/>
    <w:rsid w:val="2D6A1F89"/>
    <w:rsid w:val="2D6C5D01"/>
    <w:rsid w:val="2D6D3827"/>
    <w:rsid w:val="2D713318"/>
    <w:rsid w:val="2D7133AA"/>
    <w:rsid w:val="2D727090"/>
    <w:rsid w:val="2D74181A"/>
    <w:rsid w:val="2D742860"/>
    <w:rsid w:val="2D746964"/>
    <w:rsid w:val="2D7626DC"/>
    <w:rsid w:val="2D76770B"/>
    <w:rsid w:val="2D7746A6"/>
    <w:rsid w:val="2D7824C2"/>
    <w:rsid w:val="2D786D08"/>
    <w:rsid w:val="2D7B4196"/>
    <w:rsid w:val="2D7C1CBC"/>
    <w:rsid w:val="2D7E6726"/>
    <w:rsid w:val="2D7E77E3"/>
    <w:rsid w:val="2D806BDB"/>
    <w:rsid w:val="2D840162"/>
    <w:rsid w:val="2D841E05"/>
    <w:rsid w:val="2D844739"/>
    <w:rsid w:val="2D872B3B"/>
    <w:rsid w:val="2D874C02"/>
    <w:rsid w:val="2D880661"/>
    <w:rsid w:val="2D886230"/>
    <w:rsid w:val="2D8A262B"/>
    <w:rsid w:val="2D8B51DF"/>
    <w:rsid w:val="2D8B7645"/>
    <w:rsid w:val="2D8C63A3"/>
    <w:rsid w:val="2D8D7A26"/>
    <w:rsid w:val="2D8F19F0"/>
    <w:rsid w:val="2D8F7C42"/>
    <w:rsid w:val="2D917516"/>
    <w:rsid w:val="2D930288"/>
    <w:rsid w:val="2D937732"/>
    <w:rsid w:val="2D940DB4"/>
    <w:rsid w:val="2D9467B6"/>
    <w:rsid w:val="2D972291"/>
    <w:rsid w:val="2D9D7A41"/>
    <w:rsid w:val="2D9E1C33"/>
    <w:rsid w:val="2DA134D1"/>
    <w:rsid w:val="2DA27975"/>
    <w:rsid w:val="2DA336ED"/>
    <w:rsid w:val="2DA45F1F"/>
    <w:rsid w:val="2DA74F8B"/>
    <w:rsid w:val="2DA76D39"/>
    <w:rsid w:val="2DA95DA3"/>
    <w:rsid w:val="2DAA4A7C"/>
    <w:rsid w:val="2DAA6FC6"/>
    <w:rsid w:val="2DAC07F4"/>
    <w:rsid w:val="2DB15421"/>
    <w:rsid w:val="2DB256DE"/>
    <w:rsid w:val="2DB30D7B"/>
    <w:rsid w:val="2DB33930"/>
    <w:rsid w:val="2DB43204"/>
    <w:rsid w:val="2DB4438A"/>
    <w:rsid w:val="2DB63420"/>
    <w:rsid w:val="2DB8364D"/>
    <w:rsid w:val="2DB8419B"/>
    <w:rsid w:val="2DB931B3"/>
    <w:rsid w:val="2DB93D3A"/>
    <w:rsid w:val="2DBA2F11"/>
    <w:rsid w:val="2DBB0A37"/>
    <w:rsid w:val="2DBB168C"/>
    <w:rsid w:val="2DBD3FAC"/>
    <w:rsid w:val="2DBD655D"/>
    <w:rsid w:val="2DBE22D5"/>
    <w:rsid w:val="2DC154FE"/>
    <w:rsid w:val="2DC21DC5"/>
    <w:rsid w:val="2DC7118A"/>
    <w:rsid w:val="2DC732A0"/>
    <w:rsid w:val="2DC773DC"/>
    <w:rsid w:val="2DC84F02"/>
    <w:rsid w:val="2DC86CB0"/>
    <w:rsid w:val="2DCD42C6"/>
    <w:rsid w:val="2DCF208D"/>
    <w:rsid w:val="2DD1025A"/>
    <w:rsid w:val="2DD35D80"/>
    <w:rsid w:val="2DD438A6"/>
    <w:rsid w:val="2DD44325"/>
    <w:rsid w:val="2DD44566"/>
    <w:rsid w:val="2DD45655"/>
    <w:rsid w:val="2DD613CD"/>
    <w:rsid w:val="2DD65871"/>
    <w:rsid w:val="2DD815E9"/>
    <w:rsid w:val="2DD83397"/>
    <w:rsid w:val="2DD934D4"/>
    <w:rsid w:val="2DDB69E3"/>
    <w:rsid w:val="2DDE11CA"/>
    <w:rsid w:val="2DE0224B"/>
    <w:rsid w:val="2DE03FF9"/>
    <w:rsid w:val="2DE30981"/>
    <w:rsid w:val="2DE33AEA"/>
    <w:rsid w:val="2DE57862"/>
    <w:rsid w:val="2DE633E5"/>
    <w:rsid w:val="2DE81100"/>
    <w:rsid w:val="2DEE2BBA"/>
    <w:rsid w:val="2DF232BF"/>
    <w:rsid w:val="2DF61A6F"/>
    <w:rsid w:val="2DF83A39"/>
    <w:rsid w:val="2DF9330D"/>
    <w:rsid w:val="2DF97676"/>
    <w:rsid w:val="2DFB7E63"/>
    <w:rsid w:val="2DFD2DFD"/>
    <w:rsid w:val="2DFE54A0"/>
    <w:rsid w:val="2DFF51EF"/>
    <w:rsid w:val="2DFF5A30"/>
    <w:rsid w:val="2E011250"/>
    <w:rsid w:val="2E04418C"/>
    <w:rsid w:val="2E051CB2"/>
    <w:rsid w:val="2E0917A2"/>
    <w:rsid w:val="2E09474D"/>
    <w:rsid w:val="2E0B376C"/>
    <w:rsid w:val="2E0F337C"/>
    <w:rsid w:val="2E151853"/>
    <w:rsid w:val="2E163EBF"/>
    <w:rsid w:val="2E1B7727"/>
    <w:rsid w:val="2E1D349F"/>
    <w:rsid w:val="2E1D6FFC"/>
    <w:rsid w:val="2E1E4B22"/>
    <w:rsid w:val="2E204D3E"/>
    <w:rsid w:val="2E222864"/>
    <w:rsid w:val="2E2345C0"/>
    <w:rsid w:val="2E24038A"/>
    <w:rsid w:val="2E24482E"/>
    <w:rsid w:val="2E29045C"/>
    <w:rsid w:val="2E2C723F"/>
    <w:rsid w:val="2E312AA7"/>
    <w:rsid w:val="2E316328"/>
    <w:rsid w:val="2E3305CD"/>
    <w:rsid w:val="2E344D2B"/>
    <w:rsid w:val="2E3A09D7"/>
    <w:rsid w:val="2E3D31FA"/>
    <w:rsid w:val="2E3F3416"/>
    <w:rsid w:val="2E413A54"/>
    <w:rsid w:val="2E4647A4"/>
    <w:rsid w:val="2E474AE9"/>
    <w:rsid w:val="2E4A1A53"/>
    <w:rsid w:val="2E4A2820"/>
    <w:rsid w:val="2E4B3B69"/>
    <w:rsid w:val="2E4E5407"/>
    <w:rsid w:val="2E505623"/>
    <w:rsid w:val="2E5073D1"/>
    <w:rsid w:val="2E532A1D"/>
    <w:rsid w:val="2E5413BB"/>
    <w:rsid w:val="2E5651FB"/>
    <w:rsid w:val="2E5A0250"/>
    <w:rsid w:val="2E5D1AEE"/>
    <w:rsid w:val="2E6028E6"/>
    <w:rsid w:val="2E625356"/>
    <w:rsid w:val="2E644C2A"/>
    <w:rsid w:val="2E6966E5"/>
    <w:rsid w:val="2E6C1D31"/>
    <w:rsid w:val="2E6C7EF0"/>
    <w:rsid w:val="2E705998"/>
    <w:rsid w:val="2E732B82"/>
    <w:rsid w:val="2E7330BF"/>
    <w:rsid w:val="2E756E38"/>
    <w:rsid w:val="2E7620E0"/>
    <w:rsid w:val="2E7806D6"/>
    <w:rsid w:val="2E7A444E"/>
    <w:rsid w:val="2E7A61FC"/>
    <w:rsid w:val="2E7C1A67"/>
    <w:rsid w:val="2E7C6418"/>
    <w:rsid w:val="2E7E4EF0"/>
    <w:rsid w:val="2E804F49"/>
    <w:rsid w:val="2E8157DC"/>
    <w:rsid w:val="2E81758A"/>
    <w:rsid w:val="2E82325D"/>
    <w:rsid w:val="2E826747"/>
    <w:rsid w:val="2E831067"/>
    <w:rsid w:val="2E837BD7"/>
    <w:rsid w:val="2E876B6B"/>
    <w:rsid w:val="2E892307"/>
    <w:rsid w:val="2E8928E3"/>
    <w:rsid w:val="2E8B2D7C"/>
    <w:rsid w:val="2E8C4181"/>
    <w:rsid w:val="2E8C7518"/>
    <w:rsid w:val="2E8D3FCA"/>
    <w:rsid w:val="2E8D6AD6"/>
    <w:rsid w:val="2E905A1F"/>
    <w:rsid w:val="2E9077CD"/>
    <w:rsid w:val="2E951288"/>
    <w:rsid w:val="2E9574DA"/>
    <w:rsid w:val="2E96490B"/>
    <w:rsid w:val="2E9845F1"/>
    <w:rsid w:val="2E996204"/>
    <w:rsid w:val="2E9A689E"/>
    <w:rsid w:val="2E9B6172"/>
    <w:rsid w:val="2EA12CAF"/>
    <w:rsid w:val="2EA15E7F"/>
    <w:rsid w:val="2EA339A5"/>
    <w:rsid w:val="2EA43279"/>
    <w:rsid w:val="2EA74B17"/>
    <w:rsid w:val="2EAB4607"/>
    <w:rsid w:val="2EAB5D2A"/>
    <w:rsid w:val="2EAC665B"/>
    <w:rsid w:val="2EB23BE8"/>
    <w:rsid w:val="2EB536D8"/>
    <w:rsid w:val="2EB57E94"/>
    <w:rsid w:val="2EB711FE"/>
    <w:rsid w:val="2EB75385"/>
    <w:rsid w:val="2EB86D24"/>
    <w:rsid w:val="2EBC05C2"/>
    <w:rsid w:val="2EBD11F7"/>
    <w:rsid w:val="2EBD258D"/>
    <w:rsid w:val="2EBF4B59"/>
    <w:rsid w:val="2EC3688E"/>
    <w:rsid w:val="2EC44DB8"/>
    <w:rsid w:val="2EC61441"/>
    <w:rsid w:val="2EC639EA"/>
    <w:rsid w:val="2EC658E5"/>
    <w:rsid w:val="2EC851B9"/>
    <w:rsid w:val="2EC95325"/>
    <w:rsid w:val="2ECA3572"/>
    <w:rsid w:val="2ECA71E7"/>
    <w:rsid w:val="2ECD0A22"/>
    <w:rsid w:val="2ECD5F69"/>
    <w:rsid w:val="2ECE02F6"/>
    <w:rsid w:val="2ED022C0"/>
    <w:rsid w:val="2ED27DE6"/>
    <w:rsid w:val="2ED527E6"/>
    <w:rsid w:val="2ED55B28"/>
    <w:rsid w:val="2ED55D3D"/>
    <w:rsid w:val="2ED578D6"/>
    <w:rsid w:val="2ED65BF8"/>
    <w:rsid w:val="2ED7322E"/>
    <w:rsid w:val="2EDE1C71"/>
    <w:rsid w:val="2EDF2503"/>
    <w:rsid w:val="2EDF739F"/>
    <w:rsid w:val="2EE47B19"/>
    <w:rsid w:val="2EE63891"/>
    <w:rsid w:val="2EE8124D"/>
    <w:rsid w:val="2EE92816"/>
    <w:rsid w:val="2EEB70FA"/>
    <w:rsid w:val="2EEC4418"/>
    <w:rsid w:val="2EED2E72"/>
    <w:rsid w:val="2EED69CE"/>
    <w:rsid w:val="2EEE2746"/>
    <w:rsid w:val="2EEF4086"/>
    <w:rsid w:val="2EF57F78"/>
    <w:rsid w:val="2EF75187"/>
    <w:rsid w:val="2EFE507F"/>
    <w:rsid w:val="2F0307C4"/>
    <w:rsid w:val="2F041F69"/>
    <w:rsid w:val="2F083808"/>
    <w:rsid w:val="2F0D7070"/>
    <w:rsid w:val="2F120292"/>
    <w:rsid w:val="2F120B2A"/>
    <w:rsid w:val="2F1228D8"/>
    <w:rsid w:val="2F124686"/>
    <w:rsid w:val="2F126434"/>
    <w:rsid w:val="2F141D40"/>
    <w:rsid w:val="2F171C9D"/>
    <w:rsid w:val="2F1C1962"/>
    <w:rsid w:val="2F1C346F"/>
    <w:rsid w:val="2F1D5999"/>
    <w:rsid w:val="2F1E127D"/>
    <w:rsid w:val="2F1E74CF"/>
    <w:rsid w:val="2F2148C9"/>
    <w:rsid w:val="2F2257D4"/>
    <w:rsid w:val="2F25085E"/>
    <w:rsid w:val="2F261EE0"/>
    <w:rsid w:val="2F266384"/>
    <w:rsid w:val="2F283EAA"/>
    <w:rsid w:val="2F2846BA"/>
    <w:rsid w:val="2F2919D0"/>
    <w:rsid w:val="2F294217"/>
    <w:rsid w:val="2F2A1325"/>
    <w:rsid w:val="2F2A5E74"/>
    <w:rsid w:val="2F2B5748"/>
    <w:rsid w:val="2F2B74F6"/>
    <w:rsid w:val="2F2D14C0"/>
    <w:rsid w:val="2F2F5238"/>
    <w:rsid w:val="2F3051FB"/>
    <w:rsid w:val="2F313E39"/>
    <w:rsid w:val="2F324D29"/>
    <w:rsid w:val="2F3269B4"/>
    <w:rsid w:val="2F326AD7"/>
    <w:rsid w:val="2F3276C7"/>
    <w:rsid w:val="2F35500D"/>
    <w:rsid w:val="2F364819"/>
    <w:rsid w:val="2F395009"/>
    <w:rsid w:val="2F39722B"/>
    <w:rsid w:val="2F397E65"/>
    <w:rsid w:val="2F3C4973"/>
    <w:rsid w:val="2F3E36CD"/>
    <w:rsid w:val="2F3E547B"/>
    <w:rsid w:val="2F3E6E00"/>
    <w:rsid w:val="2F432A92"/>
    <w:rsid w:val="2F4405B8"/>
    <w:rsid w:val="2F462582"/>
    <w:rsid w:val="2F464330"/>
    <w:rsid w:val="2F480C30"/>
    <w:rsid w:val="2F4A02C4"/>
    <w:rsid w:val="2F4B7B98"/>
    <w:rsid w:val="2F4D1B62"/>
    <w:rsid w:val="2F4E5CF5"/>
    <w:rsid w:val="2F5117A6"/>
    <w:rsid w:val="2F520F27"/>
    <w:rsid w:val="2F522CD5"/>
    <w:rsid w:val="2F566C69"/>
    <w:rsid w:val="2F596C88"/>
    <w:rsid w:val="2F5B1C47"/>
    <w:rsid w:val="2F5C7FF7"/>
    <w:rsid w:val="2F635C21"/>
    <w:rsid w:val="2F652D29"/>
    <w:rsid w:val="2F66176D"/>
    <w:rsid w:val="2F662C24"/>
    <w:rsid w:val="2F6649D2"/>
    <w:rsid w:val="2F68699C"/>
    <w:rsid w:val="2F6B3D97"/>
    <w:rsid w:val="2F6B655C"/>
    <w:rsid w:val="2F6C374C"/>
    <w:rsid w:val="2F6D3FB3"/>
    <w:rsid w:val="2F6E407E"/>
    <w:rsid w:val="2F6F3887"/>
    <w:rsid w:val="2F6F4B71"/>
    <w:rsid w:val="2F6F7D2B"/>
    <w:rsid w:val="2F7075FF"/>
    <w:rsid w:val="2F713AA3"/>
    <w:rsid w:val="2F7215C9"/>
    <w:rsid w:val="2F7321DB"/>
    <w:rsid w:val="2F745341"/>
    <w:rsid w:val="2F7470EF"/>
    <w:rsid w:val="2F7522C8"/>
    <w:rsid w:val="2F77098D"/>
    <w:rsid w:val="2F771238"/>
    <w:rsid w:val="2F77273B"/>
    <w:rsid w:val="2F776D1F"/>
    <w:rsid w:val="2F7B047E"/>
    <w:rsid w:val="2F7D6D53"/>
    <w:rsid w:val="2F803CE6"/>
    <w:rsid w:val="2F81180C"/>
    <w:rsid w:val="2F8135BA"/>
    <w:rsid w:val="2F827A5E"/>
    <w:rsid w:val="2F835584"/>
    <w:rsid w:val="2F837332"/>
    <w:rsid w:val="2F84483E"/>
    <w:rsid w:val="2F860BD0"/>
    <w:rsid w:val="2F8A06C1"/>
    <w:rsid w:val="2F8A6913"/>
    <w:rsid w:val="2F8C268B"/>
    <w:rsid w:val="2F8C4439"/>
    <w:rsid w:val="2F911A4F"/>
    <w:rsid w:val="2F940B9B"/>
    <w:rsid w:val="2F963509"/>
    <w:rsid w:val="2F967065"/>
    <w:rsid w:val="2F970416"/>
    <w:rsid w:val="2F984618"/>
    <w:rsid w:val="2F996B56"/>
    <w:rsid w:val="2F9B0B20"/>
    <w:rsid w:val="2F9E23BE"/>
    <w:rsid w:val="2F9E5F1A"/>
    <w:rsid w:val="2FA0434A"/>
    <w:rsid w:val="2FA23C5C"/>
    <w:rsid w:val="2FA30DD3"/>
    <w:rsid w:val="2FA54CD4"/>
    <w:rsid w:val="2FA554FB"/>
    <w:rsid w:val="2FA86D99"/>
    <w:rsid w:val="2FAA09ED"/>
    <w:rsid w:val="2FAA2B11"/>
    <w:rsid w:val="2FAA2E62"/>
    <w:rsid w:val="2FAC4ADB"/>
    <w:rsid w:val="2FAD0853"/>
    <w:rsid w:val="2FAF0127"/>
    <w:rsid w:val="2FB21B58"/>
    <w:rsid w:val="2FB3013A"/>
    <w:rsid w:val="2FB421CC"/>
    <w:rsid w:val="2FB4573E"/>
    <w:rsid w:val="2FB67708"/>
    <w:rsid w:val="2FB76FDC"/>
    <w:rsid w:val="2FB971F8"/>
    <w:rsid w:val="2FBB5EAE"/>
    <w:rsid w:val="2FBB6ACC"/>
    <w:rsid w:val="2FBC2844"/>
    <w:rsid w:val="2FBC45F2"/>
    <w:rsid w:val="2FBE480E"/>
    <w:rsid w:val="2FC00586"/>
    <w:rsid w:val="2FC02334"/>
    <w:rsid w:val="2FC16254"/>
    <w:rsid w:val="2FC33BD3"/>
    <w:rsid w:val="2FC71915"/>
    <w:rsid w:val="2FC736C3"/>
    <w:rsid w:val="2FC87C13"/>
    <w:rsid w:val="2FCA6D0F"/>
    <w:rsid w:val="2FCC6F2B"/>
    <w:rsid w:val="2FCE2CA3"/>
    <w:rsid w:val="2FCE575F"/>
    <w:rsid w:val="2FCF07C9"/>
    <w:rsid w:val="2FCF7117"/>
    <w:rsid w:val="2FD03ECC"/>
    <w:rsid w:val="2FD36CA1"/>
    <w:rsid w:val="2FD536C5"/>
    <w:rsid w:val="2FD60716"/>
    <w:rsid w:val="2FD82CEE"/>
    <w:rsid w:val="2FD87D82"/>
    <w:rsid w:val="2FD933F6"/>
    <w:rsid w:val="2FD960EE"/>
    <w:rsid w:val="2FDB0F1C"/>
    <w:rsid w:val="2FDB3950"/>
    <w:rsid w:val="2FDC3384"/>
    <w:rsid w:val="2FDC44EE"/>
    <w:rsid w:val="2FDF3726"/>
    <w:rsid w:val="2FE204FD"/>
    <w:rsid w:val="2FE538F6"/>
    <w:rsid w:val="2FE801F5"/>
    <w:rsid w:val="2FE9188B"/>
    <w:rsid w:val="2FEF6776"/>
    <w:rsid w:val="2FF00B9F"/>
    <w:rsid w:val="2FF260DE"/>
    <w:rsid w:val="2FF3270A"/>
    <w:rsid w:val="2FF515FC"/>
    <w:rsid w:val="2FF60754"/>
    <w:rsid w:val="2FF65D56"/>
    <w:rsid w:val="2FFD5337"/>
    <w:rsid w:val="2FFE1F39"/>
    <w:rsid w:val="2FFE4C0B"/>
    <w:rsid w:val="2FFF648A"/>
    <w:rsid w:val="30002140"/>
    <w:rsid w:val="30030473"/>
    <w:rsid w:val="30074987"/>
    <w:rsid w:val="300A55D1"/>
    <w:rsid w:val="300A7A53"/>
    <w:rsid w:val="300C557A"/>
    <w:rsid w:val="300D39BD"/>
    <w:rsid w:val="300E150D"/>
    <w:rsid w:val="3017493B"/>
    <w:rsid w:val="30182170"/>
    <w:rsid w:val="30185CCC"/>
    <w:rsid w:val="301A5EE8"/>
    <w:rsid w:val="301B0ECA"/>
    <w:rsid w:val="301E705B"/>
    <w:rsid w:val="301F52AD"/>
    <w:rsid w:val="30202DD3"/>
    <w:rsid w:val="30204B81"/>
    <w:rsid w:val="30243E96"/>
    <w:rsid w:val="30247D84"/>
    <w:rsid w:val="30262C5E"/>
    <w:rsid w:val="302A5A00"/>
    <w:rsid w:val="302C1778"/>
    <w:rsid w:val="302C5C1C"/>
    <w:rsid w:val="302F0210"/>
    <w:rsid w:val="302F1268"/>
    <w:rsid w:val="30313232"/>
    <w:rsid w:val="3038011D"/>
    <w:rsid w:val="303845C1"/>
    <w:rsid w:val="303B19BB"/>
    <w:rsid w:val="303B4CED"/>
    <w:rsid w:val="303C4AC1"/>
    <w:rsid w:val="30405E87"/>
    <w:rsid w:val="30406FD1"/>
    <w:rsid w:val="30420F9B"/>
    <w:rsid w:val="30444929"/>
    <w:rsid w:val="304732AA"/>
    <w:rsid w:val="30474804"/>
    <w:rsid w:val="3049232A"/>
    <w:rsid w:val="304940D8"/>
    <w:rsid w:val="30494BBA"/>
    <w:rsid w:val="304A60A2"/>
    <w:rsid w:val="304E5B92"/>
    <w:rsid w:val="304F36B8"/>
    <w:rsid w:val="304F5466"/>
    <w:rsid w:val="305111DE"/>
    <w:rsid w:val="30517A12"/>
    <w:rsid w:val="305558AE"/>
    <w:rsid w:val="30564A47"/>
    <w:rsid w:val="30586A11"/>
    <w:rsid w:val="306058C5"/>
    <w:rsid w:val="3062163D"/>
    <w:rsid w:val="306233EC"/>
    <w:rsid w:val="30654C8A"/>
    <w:rsid w:val="3067110C"/>
    <w:rsid w:val="306C426A"/>
    <w:rsid w:val="306C7DC6"/>
    <w:rsid w:val="306E7FE2"/>
    <w:rsid w:val="306F78E5"/>
    <w:rsid w:val="307078E3"/>
    <w:rsid w:val="3071362F"/>
    <w:rsid w:val="30713946"/>
    <w:rsid w:val="307153DD"/>
    <w:rsid w:val="307273F6"/>
    <w:rsid w:val="3075311F"/>
    <w:rsid w:val="307750E9"/>
    <w:rsid w:val="3078676B"/>
    <w:rsid w:val="30797C15"/>
    <w:rsid w:val="307A24E3"/>
    <w:rsid w:val="307D1EE9"/>
    <w:rsid w:val="307F5D4C"/>
    <w:rsid w:val="307F7AFA"/>
    <w:rsid w:val="3082324D"/>
    <w:rsid w:val="30847806"/>
    <w:rsid w:val="30851991"/>
    <w:rsid w:val="30873A7C"/>
    <w:rsid w:val="30874C00"/>
    <w:rsid w:val="30886615"/>
    <w:rsid w:val="308A649E"/>
    <w:rsid w:val="308E2433"/>
    <w:rsid w:val="308F23C3"/>
    <w:rsid w:val="3093173A"/>
    <w:rsid w:val="309317F7"/>
    <w:rsid w:val="30941BBB"/>
    <w:rsid w:val="30947B49"/>
    <w:rsid w:val="3095485B"/>
    <w:rsid w:val="30963095"/>
    <w:rsid w:val="309641D1"/>
    <w:rsid w:val="30976DA2"/>
    <w:rsid w:val="30980BBB"/>
    <w:rsid w:val="309B5876"/>
    <w:rsid w:val="309D2676"/>
    <w:rsid w:val="309D61D2"/>
    <w:rsid w:val="309F1F4A"/>
    <w:rsid w:val="30A05CC2"/>
    <w:rsid w:val="30A13F14"/>
    <w:rsid w:val="30A25EDE"/>
    <w:rsid w:val="30A269C9"/>
    <w:rsid w:val="30A27784"/>
    <w:rsid w:val="30A27C8C"/>
    <w:rsid w:val="30A367D5"/>
    <w:rsid w:val="30A47560"/>
    <w:rsid w:val="30A9101A"/>
    <w:rsid w:val="30A92DC8"/>
    <w:rsid w:val="30A9726C"/>
    <w:rsid w:val="30AA0D29"/>
    <w:rsid w:val="30AC28B9"/>
    <w:rsid w:val="30AE5AC1"/>
    <w:rsid w:val="30B023A9"/>
    <w:rsid w:val="30B11C7D"/>
    <w:rsid w:val="30B507AF"/>
    <w:rsid w:val="30B579BF"/>
    <w:rsid w:val="30B81E83"/>
    <w:rsid w:val="30BA3228"/>
    <w:rsid w:val="30BE1A9B"/>
    <w:rsid w:val="30BF486D"/>
    <w:rsid w:val="30C04039"/>
    <w:rsid w:val="30C16364"/>
    <w:rsid w:val="30C21F82"/>
    <w:rsid w:val="30C23E8A"/>
    <w:rsid w:val="30C25BF4"/>
    <w:rsid w:val="30C419B0"/>
    <w:rsid w:val="30C60521"/>
    <w:rsid w:val="30C67223"/>
    <w:rsid w:val="30CB0F91"/>
    <w:rsid w:val="30CB4915"/>
    <w:rsid w:val="30CD2979"/>
    <w:rsid w:val="30CE0A81"/>
    <w:rsid w:val="30CE30FC"/>
    <w:rsid w:val="30CE6CD3"/>
    <w:rsid w:val="30CE6F3A"/>
    <w:rsid w:val="30CF0D12"/>
    <w:rsid w:val="30D836AE"/>
    <w:rsid w:val="30D90552"/>
    <w:rsid w:val="30DB3AB9"/>
    <w:rsid w:val="30DC13F0"/>
    <w:rsid w:val="30DF2C8E"/>
    <w:rsid w:val="30E12562"/>
    <w:rsid w:val="30E262DA"/>
    <w:rsid w:val="30E402A4"/>
    <w:rsid w:val="30E46F60"/>
    <w:rsid w:val="30E61159"/>
    <w:rsid w:val="30E80432"/>
    <w:rsid w:val="30EB1633"/>
    <w:rsid w:val="30EF0377"/>
    <w:rsid w:val="30F32296"/>
    <w:rsid w:val="30F33128"/>
    <w:rsid w:val="30F524B2"/>
    <w:rsid w:val="30F5607D"/>
    <w:rsid w:val="30F7099D"/>
    <w:rsid w:val="30F878AC"/>
    <w:rsid w:val="30FA1876"/>
    <w:rsid w:val="30FA3624"/>
    <w:rsid w:val="30FC55EE"/>
    <w:rsid w:val="30FC739C"/>
    <w:rsid w:val="30FF0C3A"/>
    <w:rsid w:val="30FF1B96"/>
    <w:rsid w:val="30FF6E8C"/>
    <w:rsid w:val="3100742C"/>
    <w:rsid w:val="310123E5"/>
    <w:rsid w:val="31012C04"/>
    <w:rsid w:val="3102072B"/>
    <w:rsid w:val="310444A3"/>
    <w:rsid w:val="31073818"/>
    <w:rsid w:val="31093867"/>
    <w:rsid w:val="310A39CA"/>
    <w:rsid w:val="310B7896"/>
    <w:rsid w:val="310E70CF"/>
    <w:rsid w:val="310F3573"/>
    <w:rsid w:val="31101099"/>
    <w:rsid w:val="31120AB3"/>
    <w:rsid w:val="31126BC0"/>
    <w:rsid w:val="31153F26"/>
    <w:rsid w:val="31184028"/>
    <w:rsid w:val="31215055"/>
    <w:rsid w:val="31227CFB"/>
    <w:rsid w:val="31230DCD"/>
    <w:rsid w:val="312312C2"/>
    <w:rsid w:val="31295CB7"/>
    <w:rsid w:val="312B043B"/>
    <w:rsid w:val="312D7D2E"/>
    <w:rsid w:val="312E1520"/>
    <w:rsid w:val="313308E4"/>
    <w:rsid w:val="31361735"/>
    <w:rsid w:val="313649A0"/>
    <w:rsid w:val="3136653F"/>
    <w:rsid w:val="313B47B1"/>
    <w:rsid w:val="313C3C3D"/>
    <w:rsid w:val="313C59EB"/>
    <w:rsid w:val="313D07D7"/>
    <w:rsid w:val="3140197F"/>
    <w:rsid w:val="31446FA4"/>
    <w:rsid w:val="31456F95"/>
    <w:rsid w:val="31466869"/>
    <w:rsid w:val="31466AED"/>
    <w:rsid w:val="31481E02"/>
    <w:rsid w:val="314825E1"/>
    <w:rsid w:val="31490108"/>
    <w:rsid w:val="314A63D6"/>
    <w:rsid w:val="314B20D2"/>
    <w:rsid w:val="314B32BF"/>
    <w:rsid w:val="314B5142"/>
    <w:rsid w:val="314E571E"/>
    <w:rsid w:val="314F7123"/>
    <w:rsid w:val="3150593A"/>
    <w:rsid w:val="315216B2"/>
    <w:rsid w:val="3152520E"/>
    <w:rsid w:val="315624C1"/>
    <w:rsid w:val="315D7B4B"/>
    <w:rsid w:val="315E1E05"/>
    <w:rsid w:val="315E3BB3"/>
    <w:rsid w:val="315F67E2"/>
    <w:rsid w:val="316311C9"/>
    <w:rsid w:val="31631C82"/>
    <w:rsid w:val="3163566D"/>
    <w:rsid w:val="31647A1E"/>
    <w:rsid w:val="31662A68"/>
    <w:rsid w:val="31666F0B"/>
    <w:rsid w:val="31671ACE"/>
    <w:rsid w:val="316A0560"/>
    <w:rsid w:val="316B1A3F"/>
    <w:rsid w:val="316B62D0"/>
    <w:rsid w:val="31717D8A"/>
    <w:rsid w:val="31741628"/>
    <w:rsid w:val="317433D6"/>
    <w:rsid w:val="317501A0"/>
    <w:rsid w:val="31771119"/>
    <w:rsid w:val="31772EC7"/>
    <w:rsid w:val="31794E91"/>
    <w:rsid w:val="317C672F"/>
    <w:rsid w:val="31803627"/>
    <w:rsid w:val="31837ABD"/>
    <w:rsid w:val="3184468C"/>
    <w:rsid w:val="31884247"/>
    <w:rsid w:val="318A0E4C"/>
    <w:rsid w:val="318B24CE"/>
    <w:rsid w:val="318F37F1"/>
    <w:rsid w:val="31901C05"/>
    <w:rsid w:val="31910310"/>
    <w:rsid w:val="3194066D"/>
    <w:rsid w:val="319475D5"/>
    <w:rsid w:val="319728AC"/>
    <w:rsid w:val="31973569"/>
    <w:rsid w:val="319770C5"/>
    <w:rsid w:val="319C0B7F"/>
    <w:rsid w:val="319C46DB"/>
    <w:rsid w:val="319D7C64"/>
    <w:rsid w:val="319E2F70"/>
    <w:rsid w:val="319F0454"/>
    <w:rsid w:val="31A422DF"/>
    <w:rsid w:val="31A44824"/>
    <w:rsid w:val="31A6555A"/>
    <w:rsid w:val="31A87524"/>
    <w:rsid w:val="31A94C55"/>
    <w:rsid w:val="31AB491E"/>
    <w:rsid w:val="31AD6213"/>
    <w:rsid w:val="31AD68E8"/>
    <w:rsid w:val="31AF440F"/>
    <w:rsid w:val="31B00187"/>
    <w:rsid w:val="31B5579D"/>
    <w:rsid w:val="31B90D9F"/>
    <w:rsid w:val="31BC4D7D"/>
    <w:rsid w:val="31BE28A4"/>
    <w:rsid w:val="31C0486E"/>
    <w:rsid w:val="31C111E4"/>
    <w:rsid w:val="31C33C1F"/>
    <w:rsid w:val="31C559C9"/>
    <w:rsid w:val="31C62851"/>
    <w:rsid w:val="31C775FC"/>
    <w:rsid w:val="31C81974"/>
    <w:rsid w:val="31C854D0"/>
    <w:rsid w:val="31CA1248"/>
    <w:rsid w:val="31CA7C8B"/>
    <w:rsid w:val="31CC3212"/>
    <w:rsid w:val="31CC4FC0"/>
    <w:rsid w:val="31CD0D39"/>
    <w:rsid w:val="31CE2772"/>
    <w:rsid w:val="31CF4AB1"/>
    <w:rsid w:val="31D245A1"/>
    <w:rsid w:val="31D332EC"/>
    <w:rsid w:val="31D369AC"/>
    <w:rsid w:val="31D40319"/>
    <w:rsid w:val="31D43E75"/>
    <w:rsid w:val="31D9592F"/>
    <w:rsid w:val="31D976DD"/>
    <w:rsid w:val="31DD5420"/>
    <w:rsid w:val="31DD59DB"/>
    <w:rsid w:val="31E22A36"/>
    <w:rsid w:val="31E3230A"/>
    <w:rsid w:val="31E53C64"/>
    <w:rsid w:val="31E54036"/>
    <w:rsid w:val="31E83DC4"/>
    <w:rsid w:val="31E8433B"/>
    <w:rsid w:val="31EA0438"/>
    <w:rsid w:val="31EA3699"/>
    <w:rsid w:val="31EB7645"/>
    <w:rsid w:val="31EC5663"/>
    <w:rsid w:val="31EE13DB"/>
    <w:rsid w:val="31F14A27"/>
    <w:rsid w:val="31F439E7"/>
    <w:rsid w:val="31F4513C"/>
    <w:rsid w:val="31F87078"/>
    <w:rsid w:val="31FC517A"/>
    <w:rsid w:val="3203475A"/>
    <w:rsid w:val="32036508"/>
    <w:rsid w:val="3206167C"/>
    <w:rsid w:val="320A5AE9"/>
    <w:rsid w:val="320A7897"/>
    <w:rsid w:val="320C3CA9"/>
    <w:rsid w:val="320E382B"/>
    <w:rsid w:val="320F3E6F"/>
    <w:rsid w:val="32110C25"/>
    <w:rsid w:val="321150C9"/>
    <w:rsid w:val="32130E41"/>
    <w:rsid w:val="32134B55"/>
    <w:rsid w:val="32150B4F"/>
    <w:rsid w:val="32171FB4"/>
    <w:rsid w:val="32185E28"/>
    <w:rsid w:val="321A7DFA"/>
    <w:rsid w:val="321B3F98"/>
    <w:rsid w:val="321C75CA"/>
    <w:rsid w:val="321E1AC7"/>
    <w:rsid w:val="321F6252"/>
    <w:rsid w:val="32243669"/>
    <w:rsid w:val="322A618B"/>
    <w:rsid w:val="322A7F39"/>
    <w:rsid w:val="322E0888"/>
    <w:rsid w:val="322E5C7B"/>
    <w:rsid w:val="32313075"/>
    <w:rsid w:val="32320C39"/>
    <w:rsid w:val="3235075B"/>
    <w:rsid w:val="32356A97"/>
    <w:rsid w:val="323963CE"/>
    <w:rsid w:val="323B0398"/>
    <w:rsid w:val="323B2146"/>
    <w:rsid w:val="323B3DA2"/>
    <w:rsid w:val="323E5792"/>
    <w:rsid w:val="3240150B"/>
    <w:rsid w:val="3242018E"/>
    <w:rsid w:val="32432DA9"/>
    <w:rsid w:val="32440CB0"/>
    <w:rsid w:val="32471B11"/>
    <w:rsid w:val="32494863"/>
    <w:rsid w:val="324949EA"/>
    <w:rsid w:val="324A49A5"/>
    <w:rsid w:val="324D01C5"/>
    <w:rsid w:val="324E1E79"/>
    <w:rsid w:val="3253123E"/>
    <w:rsid w:val="32543208"/>
    <w:rsid w:val="3255145A"/>
    <w:rsid w:val="32556806"/>
    <w:rsid w:val="32561EF9"/>
    <w:rsid w:val="32566F80"/>
    <w:rsid w:val="325831F2"/>
    <w:rsid w:val="325A6A70"/>
    <w:rsid w:val="325D030E"/>
    <w:rsid w:val="325D33FC"/>
    <w:rsid w:val="325D4D96"/>
    <w:rsid w:val="325F7252"/>
    <w:rsid w:val="32601BAD"/>
    <w:rsid w:val="326276D3"/>
    <w:rsid w:val="32676A97"/>
    <w:rsid w:val="3268280F"/>
    <w:rsid w:val="32700042"/>
    <w:rsid w:val="32715B68"/>
    <w:rsid w:val="32717916"/>
    <w:rsid w:val="3272726D"/>
    <w:rsid w:val="32757359"/>
    <w:rsid w:val="327613D0"/>
    <w:rsid w:val="3276317E"/>
    <w:rsid w:val="3276707E"/>
    <w:rsid w:val="32780CA4"/>
    <w:rsid w:val="327A42BE"/>
    <w:rsid w:val="327B402A"/>
    <w:rsid w:val="327D17AF"/>
    <w:rsid w:val="32800130"/>
    <w:rsid w:val="328069C1"/>
    <w:rsid w:val="328238D1"/>
    <w:rsid w:val="328372E0"/>
    <w:rsid w:val="32841682"/>
    <w:rsid w:val="328A6C2A"/>
    <w:rsid w:val="328B5E82"/>
    <w:rsid w:val="328E671A"/>
    <w:rsid w:val="32911D66"/>
    <w:rsid w:val="32931F82"/>
    <w:rsid w:val="32933D30"/>
    <w:rsid w:val="32951856"/>
    <w:rsid w:val="329771E6"/>
    <w:rsid w:val="329779FC"/>
    <w:rsid w:val="32980284"/>
    <w:rsid w:val="329830F5"/>
    <w:rsid w:val="32987598"/>
    <w:rsid w:val="329A6E6D"/>
    <w:rsid w:val="329E4C2A"/>
    <w:rsid w:val="329F0927"/>
    <w:rsid w:val="32A01FA9"/>
    <w:rsid w:val="32A13D8B"/>
    <w:rsid w:val="32A25D21"/>
    <w:rsid w:val="32A31F72"/>
    <w:rsid w:val="32A51FD4"/>
    <w:rsid w:val="32A55811"/>
    <w:rsid w:val="32A6009A"/>
    <w:rsid w:val="32A86A0B"/>
    <w:rsid w:val="32AA2E28"/>
    <w:rsid w:val="32AB107A"/>
    <w:rsid w:val="32AC6BA0"/>
    <w:rsid w:val="32AE46C6"/>
    <w:rsid w:val="32AE533C"/>
    <w:rsid w:val="32B06D03"/>
    <w:rsid w:val="32B37F2E"/>
    <w:rsid w:val="32B617CD"/>
    <w:rsid w:val="32B73187"/>
    <w:rsid w:val="32B759A1"/>
    <w:rsid w:val="32B83797"/>
    <w:rsid w:val="32BA306B"/>
    <w:rsid w:val="32BD2B5B"/>
    <w:rsid w:val="32C91500"/>
    <w:rsid w:val="32C959A4"/>
    <w:rsid w:val="32C97D6B"/>
    <w:rsid w:val="32CB5278"/>
    <w:rsid w:val="32CC2D9E"/>
    <w:rsid w:val="32CE2798"/>
    <w:rsid w:val="32CE4D68"/>
    <w:rsid w:val="32D103B5"/>
    <w:rsid w:val="32D22AAA"/>
    <w:rsid w:val="32D4660A"/>
    <w:rsid w:val="32D560F7"/>
    <w:rsid w:val="32D61E6F"/>
    <w:rsid w:val="32D83E39"/>
    <w:rsid w:val="32DA54BB"/>
    <w:rsid w:val="32DB44C6"/>
    <w:rsid w:val="32DB4B25"/>
    <w:rsid w:val="32DC4D9C"/>
    <w:rsid w:val="32E20814"/>
    <w:rsid w:val="32E60304"/>
    <w:rsid w:val="32E91BA2"/>
    <w:rsid w:val="32E973A0"/>
    <w:rsid w:val="32EA2365"/>
    <w:rsid w:val="32EA3D66"/>
    <w:rsid w:val="32EB5620"/>
    <w:rsid w:val="32EC5D21"/>
    <w:rsid w:val="32EE71E8"/>
    <w:rsid w:val="32F01183"/>
    <w:rsid w:val="32F10A57"/>
    <w:rsid w:val="32F32A21"/>
    <w:rsid w:val="32F50547"/>
    <w:rsid w:val="32F65818"/>
    <w:rsid w:val="32F914A5"/>
    <w:rsid w:val="32FD11AA"/>
    <w:rsid w:val="32FF3174"/>
    <w:rsid w:val="33024A12"/>
    <w:rsid w:val="33044C2E"/>
    <w:rsid w:val="33050847"/>
    <w:rsid w:val="33067D67"/>
    <w:rsid w:val="33073B9F"/>
    <w:rsid w:val="330912B8"/>
    <w:rsid w:val="33092244"/>
    <w:rsid w:val="33096E5B"/>
    <w:rsid w:val="330A5137"/>
    <w:rsid w:val="330B0061"/>
    <w:rsid w:val="330C0FF8"/>
    <w:rsid w:val="330E785B"/>
    <w:rsid w:val="330F644C"/>
    <w:rsid w:val="33105381"/>
    <w:rsid w:val="33152997"/>
    <w:rsid w:val="33154745"/>
    <w:rsid w:val="331C3D26"/>
    <w:rsid w:val="331D18DA"/>
    <w:rsid w:val="331F55C4"/>
    <w:rsid w:val="3321133C"/>
    <w:rsid w:val="33211E00"/>
    <w:rsid w:val="3322495F"/>
    <w:rsid w:val="33244988"/>
    <w:rsid w:val="33260700"/>
    <w:rsid w:val="33262CB4"/>
    <w:rsid w:val="33266952"/>
    <w:rsid w:val="33281B74"/>
    <w:rsid w:val="332826CA"/>
    <w:rsid w:val="33286487"/>
    <w:rsid w:val="332930AB"/>
    <w:rsid w:val="33296443"/>
    <w:rsid w:val="332B1863"/>
    <w:rsid w:val="332D32F1"/>
    <w:rsid w:val="332D6BF3"/>
    <w:rsid w:val="332E3A59"/>
    <w:rsid w:val="332E5DA3"/>
    <w:rsid w:val="3330157F"/>
    <w:rsid w:val="333169EE"/>
    <w:rsid w:val="33332E1D"/>
    <w:rsid w:val="33353039"/>
    <w:rsid w:val="33354DE7"/>
    <w:rsid w:val="33370B5F"/>
    <w:rsid w:val="3338748E"/>
    <w:rsid w:val="333A00E4"/>
    <w:rsid w:val="333A41AC"/>
    <w:rsid w:val="333B06EB"/>
    <w:rsid w:val="333D5A4A"/>
    <w:rsid w:val="333E16CD"/>
    <w:rsid w:val="333E55C8"/>
    <w:rsid w:val="3341378C"/>
    <w:rsid w:val="334206C1"/>
    <w:rsid w:val="334308AF"/>
    <w:rsid w:val="33437E6D"/>
    <w:rsid w:val="33446DD8"/>
    <w:rsid w:val="33460DA3"/>
    <w:rsid w:val="33462B51"/>
    <w:rsid w:val="33466FF4"/>
    <w:rsid w:val="33485848"/>
    <w:rsid w:val="334B4FFB"/>
    <w:rsid w:val="334D0383"/>
    <w:rsid w:val="334E397C"/>
    <w:rsid w:val="334E5EA9"/>
    <w:rsid w:val="3350577D"/>
    <w:rsid w:val="33550FE6"/>
    <w:rsid w:val="33557238"/>
    <w:rsid w:val="33584C40"/>
    <w:rsid w:val="335A2AA0"/>
    <w:rsid w:val="335A3660"/>
    <w:rsid w:val="335A484E"/>
    <w:rsid w:val="335A65FC"/>
    <w:rsid w:val="335D2713"/>
    <w:rsid w:val="335E433E"/>
    <w:rsid w:val="33613E2E"/>
    <w:rsid w:val="33633703"/>
    <w:rsid w:val="336631F3"/>
    <w:rsid w:val="33686F6B"/>
    <w:rsid w:val="336D4581"/>
    <w:rsid w:val="336D5C28"/>
    <w:rsid w:val="336E3D1A"/>
    <w:rsid w:val="336E3E55"/>
    <w:rsid w:val="336F02F9"/>
    <w:rsid w:val="33706B83"/>
    <w:rsid w:val="337376BE"/>
    <w:rsid w:val="33751688"/>
    <w:rsid w:val="33753436"/>
    <w:rsid w:val="33770F5C"/>
    <w:rsid w:val="33791178"/>
    <w:rsid w:val="33792F26"/>
    <w:rsid w:val="337954A8"/>
    <w:rsid w:val="337C031B"/>
    <w:rsid w:val="337C6572"/>
    <w:rsid w:val="337D37B5"/>
    <w:rsid w:val="337E678E"/>
    <w:rsid w:val="33813B89"/>
    <w:rsid w:val="33813F23"/>
    <w:rsid w:val="3381680B"/>
    <w:rsid w:val="33846783"/>
    <w:rsid w:val="3388380E"/>
    <w:rsid w:val="33890C8F"/>
    <w:rsid w:val="338A5133"/>
    <w:rsid w:val="338B0EAB"/>
    <w:rsid w:val="338B2C59"/>
    <w:rsid w:val="338D077F"/>
    <w:rsid w:val="338F1270"/>
    <w:rsid w:val="33905E8E"/>
    <w:rsid w:val="33945FB2"/>
    <w:rsid w:val="33983602"/>
    <w:rsid w:val="33997124"/>
    <w:rsid w:val="339B1F83"/>
    <w:rsid w:val="339F04B3"/>
    <w:rsid w:val="33A03BEC"/>
    <w:rsid w:val="33A1422B"/>
    <w:rsid w:val="33A15FD9"/>
    <w:rsid w:val="33A616A5"/>
    <w:rsid w:val="33A61841"/>
    <w:rsid w:val="33A67A93"/>
    <w:rsid w:val="33A70526"/>
    <w:rsid w:val="33A72933"/>
    <w:rsid w:val="33A871B4"/>
    <w:rsid w:val="33A9221B"/>
    <w:rsid w:val="33A930DF"/>
    <w:rsid w:val="33AB3A5C"/>
    <w:rsid w:val="33AD0E22"/>
    <w:rsid w:val="33AD4398"/>
    <w:rsid w:val="33AE06F6"/>
    <w:rsid w:val="33B0446E"/>
    <w:rsid w:val="33B143F5"/>
    <w:rsid w:val="33B25639"/>
    <w:rsid w:val="33B26438"/>
    <w:rsid w:val="33B45D0C"/>
    <w:rsid w:val="33B71CA0"/>
    <w:rsid w:val="33B977C6"/>
    <w:rsid w:val="33BA709B"/>
    <w:rsid w:val="33BC2E13"/>
    <w:rsid w:val="33BE4DDD"/>
    <w:rsid w:val="33C10429"/>
    <w:rsid w:val="33C110E8"/>
    <w:rsid w:val="33C4499E"/>
    <w:rsid w:val="33C551F0"/>
    <w:rsid w:val="33C62F26"/>
    <w:rsid w:val="33C87A09"/>
    <w:rsid w:val="33C91DF4"/>
    <w:rsid w:val="33CC574C"/>
    <w:rsid w:val="33CD3272"/>
    <w:rsid w:val="33CF2B46"/>
    <w:rsid w:val="33D03794"/>
    <w:rsid w:val="33D068BE"/>
    <w:rsid w:val="33D44600"/>
    <w:rsid w:val="33D52FD5"/>
    <w:rsid w:val="33D62126"/>
    <w:rsid w:val="33D71E67"/>
    <w:rsid w:val="33D95773"/>
    <w:rsid w:val="33D97E69"/>
    <w:rsid w:val="33DA5222"/>
    <w:rsid w:val="33DC493C"/>
    <w:rsid w:val="33DC6096"/>
    <w:rsid w:val="33E16C71"/>
    <w:rsid w:val="33E3206A"/>
    <w:rsid w:val="33E3441D"/>
    <w:rsid w:val="33E365F1"/>
    <w:rsid w:val="33E47038"/>
    <w:rsid w:val="33EB36F8"/>
    <w:rsid w:val="33EC1D49"/>
    <w:rsid w:val="33EC52FF"/>
    <w:rsid w:val="33ED7470"/>
    <w:rsid w:val="33EE2CBB"/>
    <w:rsid w:val="33EE43A7"/>
    <w:rsid w:val="33F407FF"/>
    <w:rsid w:val="33F425AD"/>
    <w:rsid w:val="33F56325"/>
    <w:rsid w:val="33F7209D"/>
    <w:rsid w:val="33F97BC3"/>
    <w:rsid w:val="33FC31CF"/>
    <w:rsid w:val="33FC5905"/>
    <w:rsid w:val="33FC76B3"/>
    <w:rsid w:val="34030A42"/>
    <w:rsid w:val="34034EE6"/>
    <w:rsid w:val="34041673"/>
    <w:rsid w:val="34044EE1"/>
    <w:rsid w:val="34055216"/>
    <w:rsid w:val="34056568"/>
    <w:rsid w:val="34060532"/>
    <w:rsid w:val="340622E0"/>
    <w:rsid w:val="34076784"/>
    <w:rsid w:val="340824FC"/>
    <w:rsid w:val="34087DDA"/>
    <w:rsid w:val="340A6274"/>
    <w:rsid w:val="340B78F6"/>
    <w:rsid w:val="340E2269"/>
    <w:rsid w:val="341174E5"/>
    <w:rsid w:val="34124B0B"/>
    <w:rsid w:val="34160775"/>
    <w:rsid w:val="34190265"/>
    <w:rsid w:val="341B3FDD"/>
    <w:rsid w:val="341B5D8B"/>
    <w:rsid w:val="341C1B03"/>
    <w:rsid w:val="341D1505"/>
    <w:rsid w:val="341E3ACD"/>
    <w:rsid w:val="342015F4"/>
    <w:rsid w:val="342033A2"/>
    <w:rsid w:val="3422095F"/>
    <w:rsid w:val="342310E4"/>
    <w:rsid w:val="34254E5C"/>
    <w:rsid w:val="342719CF"/>
    <w:rsid w:val="34272982"/>
    <w:rsid w:val="3428494C"/>
    <w:rsid w:val="342A2472"/>
    <w:rsid w:val="342B057B"/>
    <w:rsid w:val="342D3D10"/>
    <w:rsid w:val="342D461A"/>
    <w:rsid w:val="342E1F62"/>
    <w:rsid w:val="34346E4D"/>
    <w:rsid w:val="34360842"/>
    <w:rsid w:val="34384B8F"/>
    <w:rsid w:val="34391F37"/>
    <w:rsid w:val="34394545"/>
    <w:rsid w:val="343D03F7"/>
    <w:rsid w:val="343E5F1E"/>
    <w:rsid w:val="343E7CCC"/>
    <w:rsid w:val="343F6B5B"/>
    <w:rsid w:val="34474DD2"/>
    <w:rsid w:val="34476B80"/>
    <w:rsid w:val="34480B4A"/>
    <w:rsid w:val="344828F8"/>
    <w:rsid w:val="34483969"/>
    <w:rsid w:val="3449414B"/>
    <w:rsid w:val="344A2B14"/>
    <w:rsid w:val="344A3CC7"/>
    <w:rsid w:val="344A40AA"/>
    <w:rsid w:val="344A48C2"/>
    <w:rsid w:val="344E7738"/>
    <w:rsid w:val="344F3C87"/>
    <w:rsid w:val="344F440C"/>
    <w:rsid w:val="34501197"/>
    <w:rsid w:val="34527549"/>
    <w:rsid w:val="345474EF"/>
    <w:rsid w:val="34592D57"/>
    <w:rsid w:val="345E4CE1"/>
    <w:rsid w:val="345F6D8C"/>
    <w:rsid w:val="345F6F7C"/>
    <w:rsid w:val="34602AC6"/>
    <w:rsid w:val="34615BAE"/>
    <w:rsid w:val="3462369A"/>
    <w:rsid w:val="346258FD"/>
    <w:rsid w:val="346357F4"/>
    <w:rsid w:val="3466148E"/>
    <w:rsid w:val="346617EF"/>
    <w:rsid w:val="346A0AC1"/>
    <w:rsid w:val="346C4839"/>
    <w:rsid w:val="34710A86"/>
    <w:rsid w:val="347323A4"/>
    <w:rsid w:val="34737FC2"/>
    <w:rsid w:val="34757B91"/>
    <w:rsid w:val="34775202"/>
    <w:rsid w:val="34781430"/>
    <w:rsid w:val="34796F56"/>
    <w:rsid w:val="347D07F4"/>
    <w:rsid w:val="347D3C45"/>
    <w:rsid w:val="34831B82"/>
    <w:rsid w:val="34833930"/>
    <w:rsid w:val="348576A9"/>
    <w:rsid w:val="34871673"/>
    <w:rsid w:val="34873421"/>
    <w:rsid w:val="34874A5F"/>
    <w:rsid w:val="348953EB"/>
    <w:rsid w:val="349105AB"/>
    <w:rsid w:val="3493182A"/>
    <w:rsid w:val="34936269"/>
    <w:rsid w:val="34963664"/>
    <w:rsid w:val="34967B08"/>
    <w:rsid w:val="34973C7F"/>
    <w:rsid w:val="34983880"/>
    <w:rsid w:val="3498562E"/>
    <w:rsid w:val="349873DC"/>
    <w:rsid w:val="349D0E96"/>
    <w:rsid w:val="349D49F2"/>
    <w:rsid w:val="349E076A"/>
    <w:rsid w:val="349E60B0"/>
    <w:rsid w:val="34A02734"/>
    <w:rsid w:val="34A264AC"/>
    <w:rsid w:val="34A35D81"/>
    <w:rsid w:val="34A66242"/>
    <w:rsid w:val="34A71D15"/>
    <w:rsid w:val="34A73AC3"/>
    <w:rsid w:val="34A75AD7"/>
    <w:rsid w:val="34A915E9"/>
    <w:rsid w:val="34A917D2"/>
    <w:rsid w:val="34AE5530"/>
    <w:rsid w:val="34AF2977"/>
    <w:rsid w:val="34B113F4"/>
    <w:rsid w:val="34B32468"/>
    <w:rsid w:val="34B34216"/>
    <w:rsid w:val="34B54432"/>
    <w:rsid w:val="34B76845"/>
    <w:rsid w:val="34B8182C"/>
    <w:rsid w:val="34BB30CA"/>
    <w:rsid w:val="34BB68B1"/>
    <w:rsid w:val="34BD356D"/>
    <w:rsid w:val="34BD6E42"/>
    <w:rsid w:val="34BF39F8"/>
    <w:rsid w:val="34BF4A5B"/>
    <w:rsid w:val="34C226AB"/>
    <w:rsid w:val="34C24459"/>
    <w:rsid w:val="34C5219B"/>
    <w:rsid w:val="34C56129"/>
    <w:rsid w:val="34C93A39"/>
    <w:rsid w:val="34C957E7"/>
    <w:rsid w:val="34CB10D4"/>
    <w:rsid w:val="34CC52D7"/>
    <w:rsid w:val="34CE1050"/>
    <w:rsid w:val="34CE72A2"/>
    <w:rsid w:val="34CF6B76"/>
    <w:rsid w:val="34D0301A"/>
    <w:rsid w:val="34D348B8"/>
    <w:rsid w:val="34D36666"/>
    <w:rsid w:val="34D4418C"/>
    <w:rsid w:val="34D523DE"/>
    <w:rsid w:val="34D5735F"/>
    <w:rsid w:val="34D67F04"/>
    <w:rsid w:val="34D83C7C"/>
    <w:rsid w:val="34DB551B"/>
    <w:rsid w:val="34DD3E47"/>
    <w:rsid w:val="34DD74E5"/>
    <w:rsid w:val="34DE0DA7"/>
    <w:rsid w:val="34DE44DC"/>
    <w:rsid w:val="34DF2F1B"/>
    <w:rsid w:val="34DF325D"/>
    <w:rsid w:val="34E02B31"/>
    <w:rsid w:val="34E13C3F"/>
    <w:rsid w:val="34E20DFF"/>
    <w:rsid w:val="34E22D4D"/>
    <w:rsid w:val="34E36401"/>
    <w:rsid w:val="34E40873"/>
    <w:rsid w:val="34E46AC5"/>
    <w:rsid w:val="34E645EB"/>
    <w:rsid w:val="34E757BD"/>
    <w:rsid w:val="34E84A10"/>
    <w:rsid w:val="34E84D7B"/>
    <w:rsid w:val="34EA39B0"/>
    <w:rsid w:val="34EB1C02"/>
    <w:rsid w:val="34EB2D33"/>
    <w:rsid w:val="34EC3BCC"/>
    <w:rsid w:val="34ED6CE2"/>
    <w:rsid w:val="34F07218"/>
    <w:rsid w:val="34F30AB6"/>
    <w:rsid w:val="34F30EFF"/>
    <w:rsid w:val="34FA09EA"/>
    <w:rsid w:val="34FA1E45"/>
    <w:rsid w:val="34FD36E3"/>
    <w:rsid w:val="34FD4E2A"/>
    <w:rsid w:val="34FD7B87"/>
    <w:rsid w:val="34FD7E90"/>
    <w:rsid w:val="35004F81"/>
    <w:rsid w:val="35042CC3"/>
    <w:rsid w:val="35044A71"/>
    <w:rsid w:val="350607E9"/>
    <w:rsid w:val="35064C8D"/>
    <w:rsid w:val="350B314C"/>
    <w:rsid w:val="350E3B42"/>
    <w:rsid w:val="35124730"/>
    <w:rsid w:val="35154ED0"/>
    <w:rsid w:val="351729F7"/>
    <w:rsid w:val="35183103"/>
    <w:rsid w:val="351A24E7"/>
    <w:rsid w:val="351C000D"/>
    <w:rsid w:val="351C625F"/>
    <w:rsid w:val="351E2AB9"/>
    <w:rsid w:val="351F3659"/>
    <w:rsid w:val="351F5D4F"/>
    <w:rsid w:val="352073D1"/>
    <w:rsid w:val="35207783"/>
    <w:rsid w:val="35221038"/>
    <w:rsid w:val="352260F8"/>
    <w:rsid w:val="35230286"/>
    <w:rsid w:val="35245113"/>
    <w:rsid w:val="35246953"/>
    <w:rsid w:val="352549E8"/>
    <w:rsid w:val="35267D16"/>
    <w:rsid w:val="352A00DC"/>
    <w:rsid w:val="352B64A2"/>
    <w:rsid w:val="35303AB8"/>
    <w:rsid w:val="35337A79"/>
    <w:rsid w:val="3534120B"/>
    <w:rsid w:val="3537147A"/>
    <w:rsid w:val="353A66E5"/>
    <w:rsid w:val="35441312"/>
    <w:rsid w:val="35444A4E"/>
    <w:rsid w:val="354475BF"/>
    <w:rsid w:val="3547605E"/>
    <w:rsid w:val="35487054"/>
    <w:rsid w:val="354A4099"/>
    <w:rsid w:val="354B26A0"/>
    <w:rsid w:val="354B444E"/>
    <w:rsid w:val="354B6B44"/>
    <w:rsid w:val="354C01C6"/>
    <w:rsid w:val="354C3B03"/>
    <w:rsid w:val="354D6418"/>
    <w:rsid w:val="354E03E2"/>
    <w:rsid w:val="35523A2F"/>
    <w:rsid w:val="35577297"/>
    <w:rsid w:val="355D23D3"/>
    <w:rsid w:val="355D66C9"/>
    <w:rsid w:val="355E0625"/>
    <w:rsid w:val="355E6877"/>
    <w:rsid w:val="35610116"/>
    <w:rsid w:val="35611EC4"/>
    <w:rsid w:val="35613CC6"/>
    <w:rsid w:val="356279EA"/>
    <w:rsid w:val="35661288"/>
    <w:rsid w:val="35690D78"/>
    <w:rsid w:val="356B37D8"/>
    <w:rsid w:val="356C2617"/>
    <w:rsid w:val="356C7D8E"/>
    <w:rsid w:val="356D67CB"/>
    <w:rsid w:val="356E45E1"/>
    <w:rsid w:val="356E5B3C"/>
    <w:rsid w:val="357065AB"/>
    <w:rsid w:val="35707279"/>
    <w:rsid w:val="35723EA5"/>
    <w:rsid w:val="35727C2D"/>
    <w:rsid w:val="357339A5"/>
    <w:rsid w:val="35775243"/>
    <w:rsid w:val="35780FBB"/>
    <w:rsid w:val="35793F0F"/>
    <w:rsid w:val="357C4F4F"/>
    <w:rsid w:val="357D2DEB"/>
    <w:rsid w:val="357D4802"/>
    <w:rsid w:val="357D65D2"/>
    <w:rsid w:val="357F67EE"/>
    <w:rsid w:val="35831E3A"/>
    <w:rsid w:val="35883881"/>
    <w:rsid w:val="358931C8"/>
    <w:rsid w:val="358B0CEF"/>
    <w:rsid w:val="358B5193"/>
    <w:rsid w:val="358B6F41"/>
    <w:rsid w:val="358B781C"/>
    <w:rsid w:val="358D0F0B"/>
    <w:rsid w:val="35906305"/>
    <w:rsid w:val="3592207D"/>
    <w:rsid w:val="35951B6D"/>
    <w:rsid w:val="359758E5"/>
    <w:rsid w:val="359A53D6"/>
    <w:rsid w:val="359D5C8F"/>
    <w:rsid w:val="359E4EC6"/>
    <w:rsid w:val="35A149B6"/>
    <w:rsid w:val="35A324DC"/>
    <w:rsid w:val="35A818A1"/>
    <w:rsid w:val="35A82146"/>
    <w:rsid w:val="35A9176E"/>
    <w:rsid w:val="35A95619"/>
    <w:rsid w:val="35AB3C09"/>
    <w:rsid w:val="35AD5109"/>
    <w:rsid w:val="35AF0E81"/>
    <w:rsid w:val="35B17792"/>
    <w:rsid w:val="35B20971"/>
    <w:rsid w:val="35B331A3"/>
    <w:rsid w:val="35B3384B"/>
    <w:rsid w:val="35B50461"/>
    <w:rsid w:val="35B54FC1"/>
    <w:rsid w:val="35B66451"/>
    <w:rsid w:val="35B77D34"/>
    <w:rsid w:val="35B83942"/>
    <w:rsid w:val="35BB5A78"/>
    <w:rsid w:val="35BC17F0"/>
    <w:rsid w:val="35BC534C"/>
    <w:rsid w:val="35C00993"/>
    <w:rsid w:val="35C52507"/>
    <w:rsid w:val="35C5597C"/>
    <w:rsid w:val="35C778E0"/>
    <w:rsid w:val="35C9758C"/>
    <w:rsid w:val="35C97A69"/>
    <w:rsid w:val="35D2691D"/>
    <w:rsid w:val="35D42696"/>
    <w:rsid w:val="35D51E56"/>
    <w:rsid w:val="35D53583"/>
    <w:rsid w:val="35D5640E"/>
    <w:rsid w:val="35D7438A"/>
    <w:rsid w:val="35DA18DA"/>
    <w:rsid w:val="35DA3A24"/>
    <w:rsid w:val="35DE52C2"/>
    <w:rsid w:val="35E0728C"/>
    <w:rsid w:val="35E13004"/>
    <w:rsid w:val="35E1631A"/>
    <w:rsid w:val="35E46651"/>
    <w:rsid w:val="35E825E5"/>
    <w:rsid w:val="35E84393"/>
    <w:rsid w:val="35EB3E83"/>
    <w:rsid w:val="35EB67D0"/>
    <w:rsid w:val="35EB79DF"/>
    <w:rsid w:val="35ED756B"/>
    <w:rsid w:val="35ED7BFB"/>
    <w:rsid w:val="35F06456"/>
    <w:rsid w:val="35F23AD2"/>
    <w:rsid w:val="35F2621D"/>
    <w:rsid w:val="35F42D38"/>
    <w:rsid w:val="35F44AE6"/>
    <w:rsid w:val="35F5085E"/>
    <w:rsid w:val="35F76384"/>
    <w:rsid w:val="35F965A0"/>
    <w:rsid w:val="35FA5E74"/>
    <w:rsid w:val="35FC5E78"/>
    <w:rsid w:val="35FF348B"/>
    <w:rsid w:val="360016DD"/>
    <w:rsid w:val="36006872"/>
    <w:rsid w:val="36052DA2"/>
    <w:rsid w:val="36083F27"/>
    <w:rsid w:val="360867E3"/>
    <w:rsid w:val="36090618"/>
    <w:rsid w:val="360A4309"/>
    <w:rsid w:val="360A60B7"/>
    <w:rsid w:val="360D204B"/>
    <w:rsid w:val="36121410"/>
    <w:rsid w:val="361231BE"/>
    <w:rsid w:val="361242B0"/>
    <w:rsid w:val="36127662"/>
    <w:rsid w:val="36132E0B"/>
    <w:rsid w:val="36133BB0"/>
    <w:rsid w:val="36140CE4"/>
    <w:rsid w:val="3614429B"/>
    <w:rsid w:val="36146F36"/>
    <w:rsid w:val="3616436D"/>
    <w:rsid w:val="361707D4"/>
    <w:rsid w:val="36193571"/>
    <w:rsid w:val="361C5DEB"/>
    <w:rsid w:val="361E1B63"/>
    <w:rsid w:val="361E6007"/>
    <w:rsid w:val="36213401"/>
    <w:rsid w:val="36230D24"/>
    <w:rsid w:val="362353CB"/>
    <w:rsid w:val="36266C69"/>
    <w:rsid w:val="3628478F"/>
    <w:rsid w:val="362C0724"/>
    <w:rsid w:val="362C39B2"/>
    <w:rsid w:val="362F3D70"/>
    <w:rsid w:val="362F49F1"/>
    <w:rsid w:val="36321AB2"/>
    <w:rsid w:val="36341386"/>
    <w:rsid w:val="36343134"/>
    <w:rsid w:val="36356EAC"/>
    <w:rsid w:val="363650FE"/>
    <w:rsid w:val="3636660F"/>
    <w:rsid w:val="36370E76"/>
    <w:rsid w:val="36372206"/>
    <w:rsid w:val="36374E98"/>
    <w:rsid w:val="36380CE7"/>
    <w:rsid w:val="363870C8"/>
    <w:rsid w:val="36394B26"/>
    <w:rsid w:val="3639699D"/>
    <w:rsid w:val="363D46DF"/>
    <w:rsid w:val="363D5FAB"/>
    <w:rsid w:val="363E2205"/>
    <w:rsid w:val="364325F9"/>
    <w:rsid w:val="364610BA"/>
    <w:rsid w:val="364671C7"/>
    <w:rsid w:val="3647730B"/>
    <w:rsid w:val="36483084"/>
    <w:rsid w:val="364A6DFC"/>
    <w:rsid w:val="364C4922"/>
    <w:rsid w:val="364D2448"/>
    <w:rsid w:val="36513CE6"/>
    <w:rsid w:val="3652180C"/>
    <w:rsid w:val="365657A0"/>
    <w:rsid w:val="365816DA"/>
    <w:rsid w:val="36590DED"/>
    <w:rsid w:val="365B3E4B"/>
    <w:rsid w:val="365E6403"/>
    <w:rsid w:val="366003CD"/>
    <w:rsid w:val="36603F29"/>
    <w:rsid w:val="36632773"/>
    <w:rsid w:val="36657792"/>
    <w:rsid w:val="3667350A"/>
    <w:rsid w:val="36677BA4"/>
    <w:rsid w:val="366A2FFA"/>
    <w:rsid w:val="366A6525"/>
    <w:rsid w:val="366D6646"/>
    <w:rsid w:val="366F0610"/>
    <w:rsid w:val="36743E79"/>
    <w:rsid w:val="3679323D"/>
    <w:rsid w:val="367C093A"/>
    <w:rsid w:val="367F2FC4"/>
    <w:rsid w:val="36820DE1"/>
    <w:rsid w:val="368232B6"/>
    <w:rsid w:val="36834AE4"/>
    <w:rsid w:val="36851BE2"/>
    <w:rsid w:val="3687077A"/>
    <w:rsid w:val="36897924"/>
    <w:rsid w:val="368B07D8"/>
    <w:rsid w:val="368D0A96"/>
    <w:rsid w:val="368F41DF"/>
    <w:rsid w:val="36963DEF"/>
    <w:rsid w:val="3697760B"/>
    <w:rsid w:val="3699568D"/>
    <w:rsid w:val="369D6F2B"/>
    <w:rsid w:val="369E2CA4"/>
    <w:rsid w:val="369E4A52"/>
    <w:rsid w:val="36A040D2"/>
    <w:rsid w:val="36A06A1C"/>
    <w:rsid w:val="36A23D34"/>
    <w:rsid w:val="36A54032"/>
    <w:rsid w:val="36A56E62"/>
    <w:rsid w:val="36A6035E"/>
    <w:rsid w:val="36A71B58"/>
    <w:rsid w:val="36A83F25"/>
    <w:rsid w:val="36AA4F34"/>
    <w:rsid w:val="36AA789A"/>
    <w:rsid w:val="36AF255F"/>
    <w:rsid w:val="36AF3103"/>
    <w:rsid w:val="36B14785"/>
    <w:rsid w:val="36B3059C"/>
    <w:rsid w:val="36B63375"/>
    <w:rsid w:val="36B64491"/>
    <w:rsid w:val="36B6571C"/>
    <w:rsid w:val="36BA67AF"/>
    <w:rsid w:val="36BE50F4"/>
    <w:rsid w:val="36BE6EA2"/>
    <w:rsid w:val="36C00E6C"/>
    <w:rsid w:val="36C02C1A"/>
    <w:rsid w:val="36C23DB5"/>
    <w:rsid w:val="36C4095C"/>
    <w:rsid w:val="36C46BAE"/>
    <w:rsid w:val="36C50230"/>
    <w:rsid w:val="36C546D4"/>
    <w:rsid w:val="36C56482"/>
    <w:rsid w:val="36C61A50"/>
    <w:rsid w:val="36C7044C"/>
    <w:rsid w:val="36C73FA8"/>
    <w:rsid w:val="36CC15BF"/>
    <w:rsid w:val="36CC4181"/>
    <w:rsid w:val="36CC5A63"/>
    <w:rsid w:val="36CF1D54"/>
    <w:rsid w:val="36D2555B"/>
    <w:rsid w:val="36D30B9F"/>
    <w:rsid w:val="36D3294D"/>
    <w:rsid w:val="36D466C5"/>
    <w:rsid w:val="36D528A2"/>
    <w:rsid w:val="36D52B69"/>
    <w:rsid w:val="36DB14C0"/>
    <w:rsid w:val="36DE12F2"/>
    <w:rsid w:val="36DF7544"/>
    <w:rsid w:val="36E20DE2"/>
    <w:rsid w:val="36E23B89"/>
    <w:rsid w:val="36E27AE8"/>
    <w:rsid w:val="36E42DAC"/>
    <w:rsid w:val="36E47C4D"/>
    <w:rsid w:val="36E52398"/>
    <w:rsid w:val="36E56B24"/>
    <w:rsid w:val="36E763F9"/>
    <w:rsid w:val="36E92171"/>
    <w:rsid w:val="36E921AB"/>
    <w:rsid w:val="36EC1C61"/>
    <w:rsid w:val="36EC3A0F"/>
    <w:rsid w:val="36EE7787"/>
    <w:rsid w:val="36EF34FF"/>
    <w:rsid w:val="36F154C9"/>
    <w:rsid w:val="36F63248"/>
    <w:rsid w:val="36F759BD"/>
    <w:rsid w:val="36F823B4"/>
    <w:rsid w:val="36FA437E"/>
    <w:rsid w:val="36FD79CA"/>
    <w:rsid w:val="3701395E"/>
    <w:rsid w:val="37025991"/>
    <w:rsid w:val="370276D6"/>
    <w:rsid w:val="37037BF9"/>
    <w:rsid w:val="37052D23"/>
    <w:rsid w:val="37060F75"/>
    <w:rsid w:val="37062D66"/>
    <w:rsid w:val="370C0427"/>
    <w:rsid w:val="370C2303"/>
    <w:rsid w:val="370D5533"/>
    <w:rsid w:val="3710594F"/>
    <w:rsid w:val="37111425"/>
    <w:rsid w:val="3711429C"/>
    <w:rsid w:val="371371EE"/>
    <w:rsid w:val="37182A56"/>
    <w:rsid w:val="371A057C"/>
    <w:rsid w:val="371A5CD6"/>
    <w:rsid w:val="371B3C93"/>
    <w:rsid w:val="371B42F4"/>
    <w:rsid w:val="371C3A63"/>
    <w:rsid w:val="371D5025"/>
    <w:rsid w:val="371E2613"/>
    <w:rsid w:val="371F3DE4"/>
    <w:rsid w:val="37215D80"/>
    <w:rsid w:val="372223AA"/>
    <w:rsid w:val="372413FB"/>
    <w:rsid w:val="372541DD"/>
    <w:rsid w:val="37284969"/>
    <w:rsid w:val="372A4537"/>
    <w:rsid w:val="372B2789"/>
    <w:rsid w:val="372C4753"/>
    <w:rsid w:val="372E04CB"/>
    <w:rsid w:val="372F1A66"/>
    <w:rsid w:val="37335AE2"/>
    <w:rsid w:val="37347008"/>
    <w:rsid w:val="3736112E"/>
    <w:rsid w:val="37363A78"/>
    <w:rsid w:val="373A6E70"/>
    <w:rsid w:val="373E256E"/>
    <w:rsid w:val="373E2860"/>
    <w:rsid w:val="373F4487"/>
    <w:rsid w:val="373F7FE3"/>
    <w:rsid w:val="37427AD3"/>
    <w:rsid w:val="37441A9D"/>
    <w:rsid w:val="3744712F"/>
    <w:rsid w:val="37457D1D"/>
    <w:rsid w:val="3747333B"/>
    <w:rsid w:val="37491867"/>
    <w:rsid w:val="37492C0F"/>
    <w:rsid w:val="374A15B6"/>
    <w:rsid w:val="374C0952"/>
    <w:rsid w:val="374C2700"/>
    <w:rsid w:val="374D0437"/>
    <w:rsid w:val="374D7F37"/>
    <w:rsid w:val="374E6478"/>
    <w:rsid w:val="374F6B69"/>
    <w:rsid w:val="37500442"/>
    <w:rsid w:val="375525A4"/>
    <w:rsid w:val="375810A4"/>
    <w:rsid w:val="375A4E1C"/>
    <w:rsid w:val="375C0B95"/>
    <w:rsid w:val="375C4AF6"/>
    <w:rsid w:val="375D2B5F"/>
    <w:rsid w:val="375E04F1"/>
    <w:rsid w:val="375F2433"/>
    <w:rsid w:val="375F4E6C"/>
    <w:rsid w:val="375F7C0F"/>
    <w:rsid w:val="37607F59"/>
    <w:rsid w:val="376161AB"/>
    <w:rsid w:val="37620175"/>
    <w:rsid w:val="376535E6"/>
    <w:rsid w:val="37661A13"/>
    <w:rsid w:val="376637C1"/>
    <w:rsid w:val="376712E7"/>
    <w:rsid w:val="376718FC"/>
    <w:rsid w:val="376911DC"/>
    <w:rsid w:val="376941C5"/>
    <w:rsid w:val="376A0F62"/>
    <w:rsid w:val="376E08C8"/>
    <w:rsid w:val="376E2676"/>
    <w:rsid w:val="376E4D8D"/>
    <w:rsid w:val="376E70A4"/>
    <w:rsid w:val="37706647"/>
    <w:rsid w:val="37721F02"/>
    <w:rsid w:val="37753A04"/>
    <w:rsid w:val="3777105F"/>
    <w:rsid w:val="37797999"/>
    <w:rsid w:val="377D293D"/>
    <w:rsid w:val="377D6D5D"/>
    <w:rsid w:val="377E4FAF"/>
    <w:rsid w:val="377F356D"/>
    <w:rsid w:val="37824373"/>
    <w:rsid w:val="37831746"/>
    <w:rsid w:val="378400EB"/>
    <w:rsid w:val="3784633D"/>
    <w:rsid w:val="37847042"/>
    <w:rsid w:val="37847E6B"/>
    <w:rsid w:val="37893954"/>
    <w:rsid w:val="378B147A"/>
    <w:rsid w:val="378B76CC"/>
    <w:rsid w:val="378C0D4E"/>
    <w:rsid w:val="378C369C"/>
    <w:rsid w:val="378D51F2"/>
    <w:rsid w:val="378F2B62"/>
    <w:rsid w:val="379245B6"/>
    <w:rsid w:val="37927DAB"/>
    <w:rsid w:val="3795529C"/>
    <w:rsid w:val="37957E64"/>
    <w:rsid w:val="37971BCD"/>
    <w:rsid w:val="37985945"/>
    <w:rsid w:val="379A16BD"/>
    <w:rsid w:val="379C3687"/>
    <w:rsid w:val="379C71E3"/>
    <w:rsid w:val="379D2F5B"/>
    <w:rsid w:val="37A662B4"/>
    <w:rsid w:val="37A95DA4"/>
    <w:rsid w:val="37AB38CA"/>
    <w:rsid w:val="37AC4318"/>
    <w:rsid w:val="37AD7642"/>
    <w:rsid w:val="37AE69C3"/>
    <w:rsid w:val="37B15860"/>
    <w:rsid w:val="37B15FBD"/>
    <w:rsid w:val="37B2398D"/>
    <w:rsid w:val="37B24E1E"/>
    <w:rsid w:val="37B3277F"/>
    <w:rsid w:val="37B41185"/>
    <w:rsid w:val="37BA1D5F"/>
    <w:rsid w:val="37BC2B2A"/>
    <w:rsid w:val="37BC3018"/>
    <w:rsid w:val="37BE184F"/>
    <w:rsid w:val="37BF08C9"/>
    <w:rsid w:val="37C74DFB"/>
    <w:rsid w:val="37C869EA"/>
    <w:rsid w:val="37C87FD8"/>
    <w:rsid w:val="37CD4314"/>
    <w:rsid w:val="37CF74C4"/>
    <w:rsid w:val="37D0036A"/>
    <w:rsid w:val="37D063B4"/>
    <w:rsid w:val="37D270A9"/>
    <w:rsid w:val="37D346B9"/>
    <w:rsid w:val="37D54BE0"/>
    <w:rsid w:val="37D61EBD"/>
    <w:rsid w:val="37D746BF"/>
    <w:rsid w:val="37DA39D0"/>
    <w:rsid w:val="37DC1CD5"/>
    <w:rsid w:val="37DD15AA"/>
    <w:rsid w:val="37DE3C9F"/>
    <w:rsid w:val="37E172EC"/>
    <w:rsid w:val="37E34E12"/>
    <w:rsid w:val="37E56DDC"/>
    <w:rsid w:val="37E62B54"/>
    <w:rsid w:val="37E64902"/>
    <w:rsid w:val="37E80BA5"/>
    <w:rsid w:val="37E82428"/>
    <w:rsid w:val="37EA7A33"/>
    <w:rsid w:val="37ED3EE3"/>
    <w:rsid w:val="37ED5C91"/>
    <w:rsid w:val="37ED7275"/>
    <w:rsid w:val="37EF01AA"/>
    <w:rsid w:val="37F0752F"/>
    <w:rsid w:val="37F214F9"/>
    <w:rsid w:val="37F30DCD"/>
    <w:rsid w:val="37F43E03"/>
    <w:rsid w:val="37F45271"/>
    <w:rsid w:val="37F4686F"/>
    <w:rsid w:val="37F54B45"/>
    <w:rsid w:val="37F737C1"/>
    <w:rsid w:val="37FA03AE"/>
    <w:rsid w:val="37FA0CE4"/>
    <w:rsid w:val="37FA5F4F"/>
    <w:rsid w:val="37FB3F34"/>
    <w:rsid w:val="37FE1C4C"/>
    <w:rsid w:val="3801798E"/>
    <w:rsid w:val="38055726"/>
    <w:rsid w:val="38066D52"/>
    <w:rsid w:val="38074E65"/>
    <w:rsid w:val="38080D1C"/>
    <w:rsid w:val="38084878"/>
    <w:rsid w:val="3809239F"/>
    <w:rsid w:val="380B4369"/>
    <w:rsid w:val="380B69DF"/>
    <w:rsid w:val="380D00E1"/>
    <w:rsid w:val="3810372D"/>
    <w:rsid w:val="38107BD1"/>
    <w:rsid w:val="38156F95"/>
    <w:rsid w:val="38163439"/>
    <w:rsid w:val="38187B2F"/>
    <w:rsid w:val="38190834"/>
    <w:rsid w:val="381A45AC"/>
    <w:rsid w:val="381A7091"/>
    <w:rsid w:val="381C0324"/>
    <w:rsid w:val="381C20D2"/>
    <w:rsid w:val="381D4C13"/>
    <w:rsid w:val="3821593A"/>
    <w:rsid w:val="38216165"/>
    <w:rsid w:val="38262F51"/>
    <w:rsid w:val="3828316D"/>
    <w:rsid w:val="382947EF"/>
    <w:rsid w:val="382B190D"/>
    <w:rsid w:val="382B67B9"/>
    <w:rsid w:val="382F44FB"/>
    <w:rsid w:val="382F62A9"/>
    <w:rsid w:val="38305B7D"/>
    <w:rsid w:val="383270EA"/>
    <w:rsid w:val="383438BF"/>
    <w:rsid w:val="38367638"/>
    <w:rsid w:val="38370662"/>
    <w:rsid w:val="38390ED6"/>
    <w:rsid w:val="383A69FC"/>
    <w:rsid w:val="383B4C4E"/>
    <w:rsid w:val="383D1A69"/>
    <w:rsid w:val="38400902"/>
    <w:rsid w:val="38431D54"/>
    <w:rsid w:val="38434688"/>
    <w:rsid w:val="384653A1"/>
    <w:rsid w:val="38471845"/>
    <w:rsid w:val="38476F03"/>
    <w:rsid w:val="38496DAC"/>
    <w:rsid w:val="384B0C09"/>
    <w:rsid w:val="384F60F2"/>
    <w:rsid w:val="385053C7"/>
    <w:rsid w:val="38531C3E"/>
    <w:rsid w:val="38535627"/>
    <w:rsid w:val="38543F62"/>
    <w:rsid w:val="38552A09"/>
    <w:rsid w:val="38562D5F"/>
    <w:rsid w:val="38563836"/>
    <w:rsid w:val="3857135C"/>
    <w:rsid w:val="38593E3A"/>
    <w:rsid w:val="385A2F9E"/>
    <w:rsid w:val="385C2E16"/>
    <w:rsid w:val="385C6972"/>
    <w:rsid w:val="38600FD2"/>
    <w:rsid w:val="3861656F"/>
    <w:rsid w:val="38630AE9"/>
    <w:rsid w:val="38631A4F"/>
    <w:rsid w:val="386518FB"/>
    <w:rsid w:val="386608F2"/>
    <w:rsid w:val="3869321A"/>
    <w:rsid w:val="38693A61"/>
    <w:rsid w:val="386C12AB"/>
    <w:rsid w:val="386C58FB"/>
    <w:rsid w:val="386D0B7F"/>
    <w:rsid w:val="386F5904"/>
    <w:rsid w:val="38711D79"/>
    <w:rsid w:val="38720D88"/>
    <w:rsid w:val="38726EDD"/>
    <w:rsid w:val="387406C0"/>
    <w:rsid w:val="38743ECA"/>
    <w:rsid w:val="387510FB"/>
    <w:rsid w:val="387C7014"/>
    <w:rsid w:val="387D5266"/>
    <w:rsid w:val="387E4B3B"/>
    <w:rsid w:val="387F3FB0"/>
    <w:rsid w:val="38806B05"/>
    <w:rsid w:val="3882287D"/>
    <w:rsid w:val="38832151"/>
    <w:rsid w:val="38855EC9"/>
    <w:rsid w:val="38855EDB"/>
    <w:rsid w:val="388859B9"/>
    <w:rsid w:val="388A1731"/>
    <w:rsid w:val="388C7258"/>
    <w:rsid w:val="388F2EE6"/>
    <w:rsid w:val="38904BF4"/>
    <w:rsid w:val="389124EF"/>
    <w:rsid w:val="38912AC0"/>
    <w:rsid w:val="3891486E"/>
    <w:rsid w:val="38916A41"/>
    <w:rsid w:val="38926838"/>
    <w:rsid w:val="38934A8A"/>
    <w:rsid w:val="389820A0"/>
    <w:rsid w:val="38993922"/>
    <w:rsid w:val="389A0E5F"/>
    <w:rsid w:val="389A33CF"/>
    <w:rsid w:val="389B369E"/>
    <w:rsid w:val="389B393F"/>
    <w:rsid w:val="389C284F"/>
    <w:rsid w:val="389D7539"/>
    <w:rsid w:val="389E342F"/>
    <w:rsid w:val="389F5471"/>
    <w:rsid w:val="38A02D03"/>
    <w:rsid w:val="38A05EBA"/>
    <w:rsid w:val="38A1238D"/>
    <w:rsid w:val="38A1734A"/>
    <w:rsid w:val="38A56508"/>
    <w:rsid w:val="38A6115A"/>
    <w:rsid w:val="38A62E19"/>
    <w:rsid w:val="38A72048"/>
    <w:rsid w:val="38AA1DD4"/>
    <w:rsid w:val="38AF1DA5"/>
    <w:rsid w:val="38AF451F"/>
    <w:rsid w:val="38AF73EA"/>
    <w:rsid w:val="38B844F1"/>
    <w:rsid w:val="38B95B73"/>
    <w:rsid w:val="38BA3255"/>
    <w:rsid w:val="38BB7B3D"/>
    <w:rsid w:val="38C12CB4"/>
    <w:rsid w:val="38C20ECB"/>
    <w:rsid w:val="38C2711D"/>
    <w:rsid w:val="38C42E95"/>
    <w:rsid w:val="38C61316"/>
    <w:rsid w:val="38C7420D"/>
    <w:rsid w:val="38C94357"/>
    <w:rsid w:val="38CA7F57"/>
    <w:rsid w:val="38CC549E"/>
    <w:rsid w:val="38CC7F9C"/>
    <w:rsid w:val="38CF5396"/>
    <w:rsid w:val="38D34E55"/>
    <w:rsid w:val="38D62BC9"/>
    <w:rsid w:val="38D86941"/>
    <w:rsid w:val="38DA426D"/>
    <w:rsid w:val="38DB01DF"/>
    <w:rsid w:val="38DB3D3B"/>
    <w:rsid w:val="38DF7CCF"/>
    <w:rsid w:val="38E075A3"/>
    <w:rsid w:val="38E10229"/>
    <w:rsid w:val="38E321C8"/>
    <w:rsid w:val="38E452E6"/>
    <w:rsid w:val="38E55D2E"/>
    <w:rsid w:val="38E56968"/>
    <w:rsid w:val="38E671BE"/>
    <w:rsid w:val="38E726E0"/>
    <w:rsid w:val="38E76B84"/>
    <w:rsid w:val="38EB0B78"/>
    <w:rsid w:val="38ED3A6E"/>
    <w:rsid w:val="38EE7F12"/>
    <w:rsid w:val="38F27A29"/>
    <w:rsid w:val="38F60B75"/>
    <w:rsid w:val="38F82B3F"/>
    <w:rsid w:val="38F848ED"/>
    <w:rsid w:val="38F8669B"/>
    <w:rsid w:val="38F92A63"/>
    <w:rsid w:val="38FB43DD"/>
    <w:rsid w:val="38FE6FFB"/>
    <w:rsid w:val="38FF3ECD"/>
    <w:rsid w:val="38FF7129"/>
    <w:rsid w:val="390019F4"/>
    <w:rsid w:val="39030A9D"/>
    <w:rsid w:val="3905700A"/>
    <w:rsid w:val="39062BB4"/>
    <w:rsid w:val="39082B1E"/>
    <w:rsid w:val="390B0AC4"/>
    <w:rsid w:val="390C0ED9"/>
    <w:rsid w:val="390D3AAA"/>
    <w:rsid w:val="390F1C37"/>
    <w:rsid w:val="390F526F"/>
    <w:rsid w:val="391060DB"/>
    <w:rsid w:val="39137979"/>
    <w:rsid w:val="391536F1"/>
    <w:rsid w:val="39161217"/>
    <w:rsid w:val="39162FC5"/>
    <w:rsid w:val="39184F8F"/>
    <w:rsid w:val="391A2AB5"/>
    <w:rsid w:val="391B682D"/>
    <w:rsid w:val="391D7DB8"/>
    <w:rsid w:val="391F49A7"/>
    <w:rsid w:val="392230FF"/>
    <w:rsid w:val="39237490"/>
    <w:rsid w:val="39243934"/>
    <w:rsid w:val="3925145A"/>
    <w:rsid w:val="392576AC"/>
    <w:rsid w:val="39294FD3"/>
    <w:rsid w:val="392A7A39"/>
    <w:rsid w:val="392B00B2"/>
    <w:rsid w:val="392C27E9"/>
    <w:rsid w:val="392C7E2E"/>
    <w:rsid w:val="392E6561"/>
    <w:rsid w:val="392F675A"/>
    <w:rsid w:val="393578EF"/>
    <w:rsid w:val="39362A05"/>
    <w:rsid w:val="39365415"/>
    <w:rsid w:val="3938118D"/>
    <w:rsid w:val="393D00AA"/>
    <w:rsid w:val="393F076E"/>
    <w:rsid w:val="39400042"/>
    <w:rsid w:val="39415F1A"/>
    <w:rsid w:val="394401E0"/>
    <w:rsid w:val="39445D84"/>
    <w:rsid w:val="394538AA"/>
    <w:rsid w:val="39455658"/>
    <w:rsid w:val="394713D0"/>
    <w:rsid w:val="39475874"/>
    <w:rsid w:val="394979EB"/>
    <w:rsid w:val="394A2C6F"/>
    <w:rsid w:val="394C4C39"/>
    <w:rsid w:val="394F0285"/>
    <w:rsid w:val="39501BFE"/>
    <w:rsid w:val="3950297B"/>
    <w:rsid w:val="39547857"/>
    <w:rsid w:val="3955445B"/>
    <w:rsid w:val="39557F91"/>
    <w:rsid w:val="39561FEF"/>
    <w:rsid w:val="39585DE2"/>
    <w:rsid w:val="395A7356"/>
    <w:rsid w:val="395B4E7C"/>
    <w:rsid w:val="395C290E"/>
    <w:rsid w:val="39602492"/>
    <w:rsid w:val="39616936"/>
    <w:rsid w:val="3962096F"/>
    <w:rsid w:val="3962620A"/>
    <w:rsid w:val="39654B23"/>
    <w:rsid w:val="39665CFB"/>
    <w:rsid w:val="39685B45"/>
    <w:rsid w:val="39694FCF"/>
    <w:rsid w:val="396A50BF"/>
    <w:rsid w:val="396B1563"/>
    <w:rsid w:val="396B3311"/>
    <w:rsid w:val="396C5956"/>
    <w:rsid w:val="396D3362"/>
    <w:rsid w:val="396E2E01"/>
    <w:rsid w:val="396F26D5"/>
    <w:rsid w:val="3971644D"/>
    <w:rsid w:val="39747F69"/>
    <w:rsid w:val="39761CB6"/>
    <w:rsid w:val="39765050"/>
    <w:rsid w:val="39772A29"/>
    <w:rsid w:val="3977699E"/>
    <w:rsid w:val="397E6716"/>
    <w:rsid w:val="397E6AD4"/>
    <w:rsid w:val="397F6DBC"/>
    <w:rsid w:val="398126A4"/>
    <w:rsid w:val="3982065B"/>
    <w:rsid w:val="398268AC"/>
    <w:rsid w:val="39861EF9"/>
    <w:rsid w:val="398621C6"/>
    <w:rsid w:val="39873EC3"/>
    <w:rsid w:val="3989152F"/>
    <w:rsid w:val="398919E9"/>
    <w:rsid w:val="398C3AD5"/>
    <w:rsid w:val="398D0823"/>
    <w:rsid w:val="39900FC9"/>
    <w:rsid w:val="3991089E"/>
    <w:rsid w:val="39916AF0"/>
    <w:rsid w:val="3993263F"/>
    <w:rsid w:val="39974106"/>
    <w:rsid w:val="39980B33"/>
    <w:rsid w:val="39987E7E"/>
    <w:rsid w:val="399A3BF6"/>
    <w:rsid w:val="399A4CF7"/>
    <w:rsid w:val="399D322A"/>
    <w:rsid w:val="399D5494"/>
    <w:rsid w:val="39A0424E"/>
    <w:rsid w:val="39A405D1"/>
    <w:rsid w:val="39A86313"/>
    <w:rsid w:val="39A945FB"/>
    <w:rsid w:val="39A95BE7"/>
    <w:rsid w:val="39AB5E03"/>
    <w:rsid w:val="39AB7BB1"/>
    <w:rsid w:val="39AC56D7"/>
    <w:rsid w:val="39AE31FE"/>
    <w:rsid w:val="39AE7B43"/>
    <w:rsid w:val="39B06F76"/>
    <w:rsid w:val="39B12CEE"/>
    <w:rsid w:val="39B21D7C"/>
    <w:rsid w:val="39B27192"/>
    <w:rsid w:val="39B32692"/>
    <w:rsid w:val="39B32F0A"/>
    <w:rsid w:val="39B33F0E"/>
    <w:rsid w:val="39B4157B"/>
    <w:rsid w:val="39B50A30"/>
    <w:rsid w:val="39B5458C"/>
    <w:rsid w:val="39B8571B"/>
    <w:rsid w:val="39B85834"/>
    <w:rsid w:val="39BB07BF"/>
    <w:rsid w:val="39C173D5"/>
    <w:rsid w:val="39C24EFB"/>
    <w:rsid w:val="39C26370"/>
    <w:rsid w:val="39C3314D"/>
    <w:rsid w:val="39C40C73"/>
    <w:rsid w:val="39C55584"/>
    <w:rsid w:val="39C90037"/>
    <w:rsid w:val="39CD7B28"/>
    <w:rsid w:val="39CF48CB"/>
    <w:rsid w:val="39D013C6"/>
    <w:rsid w:val="39D0586A"/>
    <w:rsid w:val="39D37108"/>
    <w:rsid w:val="39D52E80"/>
    <w:rsid w:val="39D65FDC"/>
    <w:rsid w:val="39D709A6"/>
    <w:rsid w:val="39D76BF8"/>
    <w:rsid w:val="39D92970"/>
    <w:rsid w:val="39D9457D"/>
    <w:rsid w:val="39D94A6B"/>
    <w:rsid w:val="39DC5BB6"/>
    <w:rsid w:val="39DD1C17"/>
    <w:rsid w:val="39DD3AE3"/>
    <w:rsid w:val="39E3559D"/>
    <w:rsid w:val="39E71AB7"/>
    <w:rsid w:val="39E75243"/>
    <w:rsid w:val="39E84962"/>
    <w:rsid w:val="39E92488"/>
    <w:rsid w:val="39E9692C"/>
    <w:rsid w:val="39EA015E"/>
    <w:rsid w:val="39F552D0"/>
    <w:rsid w:val="39F5707E"/>
    <w:rsid w:val="39F94DC1"/>
    <w:rsid w:val="39FA6443"/>
    <w:rsid w:val="39FC21BB"/>
    <w:rsid w:val="39FC665F"/>
    <w:rsid w:val="39FD3703"/>
    <w:rsid w:val="39FF7EFD"/>
    <w:rsid w:val="3A0379ED"/>
    <w:rsid w:val="3A053765"/>
    <w:rsid w:val="3A064DE8"/>
    <w:rsid w:val="3A085004"/>
    <w:rsid w:val="3A0D261A"/>
    <w:rsid w:val="3A0D682B"/>
    <w:rsid w:val="3A0E0140"/>
    <w:rsid w:val="3A0E3186"/>
    <w:rsid w:val="3A112102"/>
    <w:rsid w:val="3A1219DE"/>
    <w:rsid w:val="3A1366BC"/>
    <w:rsid w:val="3A175247"/>
    <w:rsid w:val="3A1A02F3"/>
    <w:rsid w:val="3A1A0893"/>
    <w:rsid w:val="3A1A327F"/>
    <w:rsid w:val="3A1C0148"/>
    <w:rsid w:val="3A1D44D9"/>
    <w:rsid w:val="3A1F234D"/>
    <w:rsid w:val="3A26548A"/>
    <w:rsid w:val="3A272D2D"/>
    <w:rsid w:val="3A281202"/>
    <w:rsid w:val="3A2A0CA5"/>
    <w:rsid w:val="3A2A66D5"/>
    <w:rsid w:val="3A2B2AA0"/>
    <w:rsid w:val="3A2D4A6A"/>
    <w:rsid w:val="3A2F07E2"/>
    <w:rsid w:val="3A3000B7"/>
    <w:rsid w:val="3A306308"/>
    <w:rsid w:val="3A342760"/>
    <w:rsid w:val="3A346490"/>
    <w:rsid w:val="3A347BA7"/>
    <w:rsid w:val="3A35391F"/>
    <w:rsid w:val="3A355331"/>
    <w:rsid w:val="3A3758E9"/>
    <w:rsid w:val="3A396781"/>
    <w:rsid w:val="3A3A1FBC"/>
    <w:rsid w:val="3A3A42BF"/>
    <w:rsid w:val="3A3C6694"/>
    <w:rsid w:val="3A3E4582"/>
    <w:rsid w:val="3A403E4E"/>
    <w:rsid w:val="3A433F47"/>
    <w:rsid w:val="3A443B62"/>
    <w:rsid w:val="3A461688"/>
    <w:rsid w:val="3A4818A4"/>
    <w:rsid w:val="3A4966E6"/>
    <w:rsid w:val="3A4A73CA"/>
    <w:rsid w:val="3A4B4EF0"/>
    <w:rsid w:val="3A4B5346"/>
    <w:rsid w:val="3A4B6C9E"/>
    <w:rsid w:val="3A4D2A17"/>
    <w:rsid w:val="3A4E5ED7"/>
    <w:rsid w:val="3A4F3FEF"/>
    <w:rsid w:val="3A500759"/>
    <w:rsid w:val="3A500DE2"/>
    <w:rsid w:val="3A524858"/>
    <w:rsid w:val="3A535CE8"/>
    <w:rsid w:val="3A540249"/>
    <w:rsid w:val="3A557B1D"/>
    <w:rsid w:val="3A563E6C"/>
    <w:rsid w:val="3A577D39"/>
    <w:rsid w:val="3A5B7B82"/>
    <w:rsid w:val="3A5C22B8"/>
    <w:rsid w:val="3A5E1D79"/>
    <w:rsid w:val="3A5E4C24"/>
    <w:rsid w:val="3A5F274A"/>
    <w:rsid w:val="3A606BEE"/>
    <w:rsid w:val="3A614714"/>
    <w:rsid w:val="3A63223A"/>
    <w:rsid w:val="3A6366DE"/>
    <w:rsid w:val="3A647D60"/>
    <w:rsid w:val="3A663AD8"/>
    <w:rsid w:val="3A6753C6"/>
    <w:rsid w:val="3A6A181A"/>
    <w:rsid w:val="3A6A3F6F"/>
    <w:rsid w:val="3A706705"/>
    <w:rsid w:val="3A742699"/>
    <w:rsid w:val="3A775CE5"/>
    <w:rsid w:val="3A791A5E"/>
    <w:rsid w:val="3A79380C"/>
    <w:rsid w:val="3A7A528B"/>
    <w:rsid w:val="3A7A7584"/>
    <w:rsid w:val="3A7B57D6"/>
    <w:rsid w:val="3A7C154E"/>
    <w:rsid w:val="3A7D3C15"/>
    <w:rsid w:val="3A802DEC"/>
    <w:rsid w:val="3A847A6E"/>
    <w:rsid w:val="3A8521B0"/>
    <w:rsid w:val="3A856654"/>
    <w:rsid w:val="3A8D375B"/>
    <w:rsid w:val="3A8D5509"/>
    <w:rsid w:val="3A8E06BB"/>
    <w:rsid w:val="3A8F302F"/>
    <w:rsid w:val="3A960861"/>
    <w:rsid w:val="3A9643BE"/>
    <w:rsid w:val="3A974646"/>
    <w:rsid w:val="3A976A8C"/>
    <w:rsid w:val="3A992100"/>
    <w:rsid w:val="3A9A48F5"/>
    <w:rsid w:val="3A9C118B"/>
    <w:rsid w:val="3A9C596E"/>
    <w:rsid w:val="3A9E028E"/>
    <w:rsid w:val="3A9E14C4"/>
    <w:rsid w:val="3A9E7716"/>
    <w:rsid w:val="3A9F714E"/>
    <w:rsid w:val="3AA12D62"/>
    <w:rsid w:val="3AA12DE4"/>
    <w:rsid w:val="3AA30888"/>
    <w:rsid w:val="3AA32404"/>
    <w:rsid w:val="3AA356D1"/>
    <w:rsid w:val="3AA52853"/>
    <w:rsid w:val="3AA54601"/>
    <w:rsid w:val="3AA765CB"/>
    <w:rsid w:val="3AA80595"/>
    <w:rsid w:val="3AAA009C"/>
    <w:rsid w:val="3AAA1C17"/>
    <w:rsid w:val="3AAA1DCE"/>
    <w:rsid w:val="3AAB598F"/>
    <w:rsid w:val="3AAE1213"/>
    <w:rsid w:val="3AAF678C"/>
    <w:rsid w:val="3AB17449"/>
    <w:rsid w:val="3AB22737"/>
    <w:rsid w:val="3AB26D1E"/>
    <w:rsid w:val="3AB3599D"/>
    <w:rsid w:val="3AB362A6"/>
    <w:rsid w:val="3AB40D23"/>
    <w:rsid w:val="3AB42A96"/>
    <w:rsid w:val="3AB65B13"/>
    <w:rsid w:val="3AB80498"/>
    <w:rsid w:val="3AB807D8"/>
    <w:rsid w:val="3AB80984"/>
    <w:rsid w:val="3AB83A06"/>
    <w:rsid w:val="3AB97A67"/>
    <w:rsid w:val="3ABB02C8"/>
    <w:rsid w:val="3ABB3E24"/>
    <w:rsid w:val="3ABE3914"/>
    <w:rsid w:val="3ABE7AF8"/>
    <w:rsid w:val="3AC56A51"/>
    <w:rsid w:val="3AC70A1B"/>
    <w:rsid w:val="3ACD1B62"/>
    <w:rsid w:val="3ACD2F98"/>
    <w:rsid w:val="3ACE28D1"/>
    <w:rsid w:val="3ACF167E"/>
    <w:rsid w:val="3AD1189A"/>
    <w:rsid w:val="3AD153F6"/>
    <w:rsid w:val="3AD25272"/>
    <w:rsid w:val="3AD4138A"/>
    <w:rsid w:val="3AD41A9E"/>
    <w:rsid w:val="3AD43138"/>
    <w:rsid w:val="3AD969A0"/>
    <w:rsid w:val="3ADB6274"/>
    <w:rsid w:val="3ADE4BAF"/>
    <w:rsid w:val="3ADE5D64"/>
    <w:rsid w:val="3ADE7A6F"/>
    <w:rsid w:val="3AE01ADD"/>
    <w:rsid w:val="3AE31593"/>
    <w:rsid w:val="3AE570F3"/>
    <w:rsid w:val="3AE80991"/>
    <w:rsid w:val="3AE96BE3"/>
    <w:rsid w:val="3AEA64B7"/>
    <w:rsid w:val="3AED2009"/>
    <w:rsid w:val="3AEE5216"/>
    <w:rsid w:val="3AEF1D20"/>
    <w:rsid w:val="3AF31810"/>
    <w:rsid w:val="3AF364B7"/>
    <w:rsid w:val="3AF4093F"/>
    <w:rsid w:val="3AF53CDC"/>
    <w:rsid w:val="3AF833AE"/>
    <w:rsid w:val="3AF85078"/>
    <w:rsid w:val="3AF968DD"/>
    <w:rsid w:val="3AFA0DF0"/>
    <w:rsid w:val="3AFB2473"/>
    <w:rsid w:val="3AFD71EF"/>
    <w:rsid w:val="3AFE1F63"/>
    <w:rsid w:val="3AFF71F4"/>
    <w:rsid w:val="3B002A03"/>
    <w:rsid w:val="3B003F2D"/>
    <w:rsid w:val="3B007A89"/>
    <w:rsid w:val="3B0371A6"/>
    <w:rsid w:val="3B043A1D"/>
    <w:rsid w:val="3B051751"/>
    <w:rsid w:val="3B06174E"/>
    <w:rsid w:val="3B06464C"/>
    <w:rsid w:val="3B0A4DAB"/>
    <w:rsid w:val="3B0C0B24"/>
    <w:rsid w:val="3B11613A"/>
    <w:rsid w:val="3B135A0E"/>
    <w:rsid w:val="3B1705E5"/>
    <w:rsid w:val="3B1718BF"/>
    <w:rsid w:val="3B181184"/>
    <w:rsid w:val="3B183024"/>
    <w:rsid w:val="3B1A1138"/>
    <w:rsid w:val="3B1C3A4F"/>
    <w:rsid w:val="3B1E5785"/>
    <w:rsid w:val="3B1F52A0"/>
    <w:rsid w:val="3B200793"/>
    <w:rsid w:val="3B2220F5"/>
    <w:rsid w:val="3B22460C"/>
    <w:rsid w:val="3B2319C9"/>
    <w:rsid w:val="3B253993"/>
    <w:rsid w:val="3B292D1E"/>
    <w:rsid w:val="3B2A71FC"/>
    <w:rsid w:val="3B2C087E"/>
    <w:rsid w:val="3B2C6AD0"/>
    <w:rsid w:val="3B3435F2"/>
    <w:rsid w:val="3B355A3D"/>
    <w:rsid w:val="3B381919"/>
    <w:rsid w:val="3B392F9B"/>
    <w:rsid w:val="3B3A4C9D"/>
    <w:rsid w:val="3B40257B"/>
    <w:rsid w:val="3B425668"/>
    <w:rsid w:val="3B4258FF"/>
    <w:rsid w:val="3B443E1A"/>
    <w:rsid w:val="3B450DF0"/>
    <w:rsid w:val="3B473250"/>
    <w:rsid w:val="3B485E21"/>
    <w:rsid w:val="3B492769"/>
    <w:rsid w:val="3B4E6CEA"/>
    <w:rsid w:val="3B4F0A10"/>
    <w:rsid w:val="3B530501"/>
    <w:rsid w:val="3B567FF1"/>
    <w:rsid w:val="3B583D69"/>
    <w:rsid w:val="3B5C3046"/>
    <w:rsid w:val="3B5D22E6"/>
    <w:rsid w:val="3B5E2A01"/>
    <w:rsid w:val="3B6001A4"/>
    <w:rsid w:val="3B637FD8"/>
    <w:rsid w:val="3B644CED"/>
    <w:rsid w:val="3B665F8C"/>
    <w:rsid w:val="3B683CCA"/>
    <w:rsid w:val="3B691AD2"/>
    <w:rsid w:val="3B697D2B"/>
    <w:rsid w:val="3B6C13D0"/>
    <w:rsid w:val="3B7003D2"/>
    <w:rsid w:val="3B702505"/>
    <w:rsid w:val="3B762441"/>
    <w:rsid w:val="3B7632AA"/>
    <w:rsid w:val="3B791473"/>
    <w:rsid w:val="3B7C7A57"/>
    <w:rsid w:val="3B7E3D60"/>
    <w:rsid w:val="3B7E5EF0"/>
    <w:rsid w:val="3B8033E1"/>
    <w:rsid w:val="3B814871"/>
    <w:rsid w:val="3B8238CA"/>
    <w:rsid w:val="3B835B80"/>
    <w:rsid w:val="3B8406BA"/>
    <w:rsid w:val="3B84690C"/>
    <w:rsid w:val="3B892174"/>
    <w:rsid w:val="3B892C45"/>
    <w:rsid w:val="3B893940"/>
    <w:rsid w:val="3B893F22"/>
    <w:rsid w:val="3B8B6F33"/>
    <w:rsid w:val="3B8C473C"/>
    <w:rsid w:val="3B8C57C0"/>
    <w:rsid w:val="3B8D5BF3"/>
    <w:rsid w:val="3B903503"/>
    <w:rsid w:val="3B9257F6"/>
    <w:rsid w:val="3B934DA1"/>
    <w:rsid w:val="3B9C1EA7"/>
    <w:rsid w:val="3B9D2A47"/>
    <w:rsid w:val="3B9F54F4"/>
    <w:rsid w:val="3B9F72A2"/>
    <w:rsid w:val="3BA174BE"/>
    <w:rsid w:val="3BA36271"/>
    <w:rsid w:val="3BA66882"/>
    <w:rsid w:val="3BA945C4"/>
    <w:rsid w:val="3BAA664E"/>
    <w:rsid w:val="3BAB296D"/>
    <w:rsid w:val="3BAD419C"/>
    <w:rsid w:val="3BAE3989"/>
    <w:rsid w:val="3BAE5737"/>
    <w:rsid w:val="3BB0325D"/>
    <w:rsid w:val="3BB07701"/>
    <w:rsid w:val="3BB31761"/>
    <w:rsid w:val="3BB33409"/>
    <w:rsid w:val="3BB422D1"/>
    <w:rsid w:val="3BB52F69"/>
    <w:rsid w:val="3BB54D17"/>
    <w:rsid w:val="3BB56AC5"/>
    <w:rsid w:val="3BB645EB"/>
    <w:rsid w:val="3BB8063A"/>
    <w:rsid w:val="3BBC42F8"/>
    <w:rsid w:val="3BBD1E1E"/>
    <w:rsid w:val="3BBD1E80"/>
    <w:rsid w:val="3BBE05D2"/>
    <w:rsid w:val="3BBF16F2"/>
    <w:rsid w:val="3BC11D04"/>
    <w:rsid w:val="3BC27434"/>
    <w:rsid w:val="3BC35686"/>
    <w:rsid w:val="3BC74A4B"/>
    <w:rsid w:val="3BC767F9"/>
    <w:rsid w:val="3BC92571"/>
    <w:rsid w:val="3BC9431F"/>
    <w:rsid w:val="3BC96A15"/>
    <w:rsid w:val="3BCB0097"/>
    <w:rsid w:val="3BCE5A48"/>
    <w:rsid w:val="3BCE7B87"/>
    <w:rsid w:val="3BD038FF"/>
    <w:rsid w:val="3BD117F8"/>
    <w:rsid w:val="3BD17677"/>
    <w:rsid w:val="3BD31641"/>
    <w:rsid w:val="3BD50F16"/>
    <w:rsid w:val="3BD93BD8"/>
    <w:rsid w:val="3BDC6748"/>
    <w:rsid w:val="3BDD601C"/>
    <w:rsid w:val="3BDD713C"/>
    <w:rsid w:val="3BDF7FE6"/>
    <w:rsid w:val="3BE03A79"/>
    <w:rsid w:val="3BE60E9B"/>
    <w:rsid w:val="3BE63123"/>
    <w:rsid w:val="3BE64ED1"/>
    <w:rsid w:val="3BE70C49"/>
    <w:rsid w:val="3BE730AC"/>
    <w:rsid w:val="3BE86E9B"/>
    <w:rsid w:val="3BE949C1"/>
    <w:rsid w:val="3BE96342"/>
    <w:rsid w:val="3BE9676F"/>
    <w:rsid w:val="3BE97F2D"/>
    <w:rsid w:val="3BEB543D"/>
    <w:rsid w:val="3BED2703"/>
    <w:rsid w:val="3BEE0229"/>
    <w:rsid w:val="3BEF473F"/>
    <w:rsid w:val="3BF05D4F"/>
    <w:rsid w:val="3BF47D54"/>
    <w:rsid w:val="3BF7618D"/>
    <w:rsid w:val="3BF839C6"/>
    <w:rsid w:val="3BF85ABC"/>
    <w:rsid w:val="3BFA1FDE"/>
    <w:rsid w:val="3BFC64A2"/>
    <w:rsid w:val="3C000A2B"/>
    <w:rsid w:val="3C005315"/>
    <w:rsid w:val="3C017F5D"/>
    <w:rsid w:val="3C027831"/>
    <w:rsid w:val="3C0417FB"/>
    <w:rsid w:val="3C055B17"/>
    <w:rsid w:val="3C067321"/>
    <w:rsid w:val="3C074E47"/>
    <w:rsid w:val="3C07719C"/>
    <w:rsid w:val="3C0812EB"/>
    <w:rsid w:val="3C0C2E19"/>
    <w:rsid w:val="3C0D06AF"/>
    <w:rsid w:val="3C0D4B53"/>
    <w:rsid w:val="3C0E61D6"/>
    <w:rsid w:val="3C0F0570"/>
    <w:rsid w:val="3C0F179A"/>
    <w:rsid w:val="3C1001A0"/>
    <w:rsid w:val="3C101CEF"/>
    <w:rsid w:val="3C1557B6"/>
    <w:rsid w:val="3C16141A"/>
    <w:rsid w:val="3C162914"/>
    <w:rsid w:val="3C1648AE"/>
    <w:rsid w:val="3C165F61"/>
    <w:rsid w:val="3C1732DC"/>
    <w:rsid w:val="3C182584"/>
    <w:rsid w:val="3C195A73"/>
    <w:rsid w:val="3C1B3150"/>
    <w:rsid w:val="3C1C08F2"/>
    <w:rsid w:val="3C1C6B44"/>
    <w:rsid w:val="3C1E0B0E"/>
    <w:rsid w:val="3C1F3C94"/>
    <w:rsid w:val="3C1F4887"/>
    <w:rsid w:val="3C2105FF"/>
    <w:rsid w:val="3C21734C"/>
    <w:rsid w:val="3C243C4B"/>
    <w:rsid w:val="3C243C71"/>
    <w:rsid w:val="3C2459F9"/>
    <w:rsid w:val="3C251AE4"/>
    <w:rsid w:val="3C261771"/>
    <w:rsid w:val="3C265C15"/>
    <w:rsid w:val="3C277297"/>
    <w:rsid w:val="3C2D0D52"/>
    <w:rsid w:val="3C2D2B00"/>
    <w:rsid w:val="3C331AE0"/>
    <w:rsid w:val="3C333E8E"/>
    <w:rsid w:val="3C334632"/>
    <w:rsid w:val="3C3420E0"/>
    <w:rsid w:val="3C3976F6"/>
    <w:rsid w:val="3C3C71E7"/>
    <w:rsid w:val="3C3D6D89"/>
    <w:rsid w:val="3C4147FD"/>
    <w:rsid w:val="3C447E49"/>
    <w:rsid w:val="3C46443A"/>
    <w:rsid w:val="3C4B11D8"/>
    <w:rsid w:val="3C4D31A2"/>
    <w:rsid w:val="3C4D7E6F"/>
    <w:rsid w:val="3C4E2A76"/>
    <w:rsid w:val="3C502C92"/>
    <w:rsid w:val="3C5462DE"/>
    <w:rsid w:val="3C553E04"/>
    <w:rsid w:val="3C575CBD"/>
    <w:rsid w:val="3C5A141B"/>
    <w:rsid w:val="3C5A58BF"/>
    <w:rsid w:val="3C5B6911"/>
    <w:rsid w:val="3C5E715D"/>
    <w:rsid w:val="3C616C4D"/>
    <w:rsid w:val="3C621BB2"/>
    <w:rsid w:val="3C641104"/>
    <w:rsid w:val="3C644BA3"/>
    <w:rsid w:val="3C6504EB"/>
    <w:rsid w:val="3C65673D"/>
    <w:rsid w:val="3C667DC0"/>
    <w:rsid w:val="3C676AC3"/>
    <w:rsid w:val="3C683B38"/>
    <w:rsid w:val="3C687FDC"/>
    <w:rsid w:val="3C69526B"/>
    <w:rsid w:val="3C6960FA"/>
    <w:rsid w:val="3C6A3D54"/>
    <w:rsid w:val="3C6B3628"/>
    <w:rsid w:val="3C6C0D26"/>
    <w:rsid w:val="3C6D114E"/>
    <w:rsid w:val="3C700C3E"/>
    <w:rsid w:val="3C7050E2"/>
    <w:rsid w:val="3C720E5A"/>
    <w:rsid w:val="3C7474B8"/>
    <w:rsid w:val="3C773390"/>
    <w:rsid w:val="3C797AF3"/>
    <w:rsid w:val="3C7A7FD2"/>
    <w:rsid w:val="3C7B738B"/>
    <w:rsid w:val="3C7C5835"/>
    <w:rsid w:val="3C7F5D0C"/>
    <w:rsid w:val="3C830972"/>
    <w:rsid w:val="3C860462"/>
    <w:rsid w:val="3C86449E"/>
    <w:rsid w:val="3C8B21EB"/>
    <w:rsid w:val="3C8B5A78"/>
    <w:rsid w:val="3C8E24EB"/>
    <w:rsid w:val="3C90308E"/>
    <w:rsid w:val="3C90587B"/>
    <w:rsid w:val="3C9115B1"/>
    <w:rsid w:val="3C915DE9"/>
    <w:rsid w:val="3C93597C"/>
    <w:rsid w:val="3C964B49"/>
    <w:rsid w:val="3C990195"/>
    <w:rsid w:val="3C9B215F"/>
    <w:rsid w:val="3C9B3F0D"/>
    <w:rsid w:val="3C9D27CB"/>
    <w:rsid w:val="3C9E57AB"/>
    <w:rsid w:val="3C9F2184"/>
    <w:rsid w:val="3CA07775"/>
    <w:rsid w:val="3CA1529C"/>
    <w:rsid w:val="3CA202DF"/>
    <w:rsid w:val="3CA32DC2"/>
    <w:rsid w:val="3CA628B2"/>
    <w:rsid w:val="3CA8487C"/>
    <w:rsid w:val="3CAA4150"/>
    <w:rsid w:val="3CB13731"/>
    <w:rsid w:val="3CB1566E"/>
    <w:rsid w:val="3CB3037C"/>
    <w:rsid w:val="3CB37BF5"/>
    <w:rsid w:val="3CB61934"/>
    <w:rsid w:val="3CB72D11"/>
    <w:rsid w:val="3CB925E5"/>
    <w:rsid w:val="3CB94393"/>
    <w:rsid w:val="3CB9464B"/>
    <w:rsid w:val="3CBF08B5"/>
    <w:rsid w:val="3CC64D02"/>
    <w:rsid w:val="3CC72F54"/>
    <w:rsid w:val="3CC86CCC"/>
    <w:rsid w:val="3CCA2A44"/>
    <w:rsid w:val="3CD16A44"/>
    <w:rsid w:val="3CD411CD"/>
    <w:rsid w:val="3CD45671"/>
    <w:rsid w:val="3CD70CBD"/>
    <w:rsid w:val="3CDB07AE"/>
    <w:rsid w:val="3CDB7983"/>
    <w:rsid w:val="3CDB7AC3"/>
    <w:rsid w:val="3CDD6728"/>
    <w:rsid w:val="3CDE029E"/>
    <w:rsid w:val="3CE1162D"/>
    <w:rsid w:val="3CE21B3C"/>
    <w:rsid w:val="3CE279C9"/>
    <w:rsid w:val="3CE27D8E"/>
    <w:rsid w:val="3CE358B4"/>
    <w:rsid w:val="3CE55188"/>
    <w:rsid w:val="3CE60F00"/>
    <w:rsid w:val="3CE820FA"/>
    <w:rsid w:val="3CE872A7"/>
    <w:rsid w:val="3CEA2307"/>
    <w:rsid w:val="3CED4ADC"/>
    <w:rsid w:val="3CEE5F6C"/>
    <w:rsid w:val="3CEF24AB"/>
    <w:rsid w:val="3CEF4922"/>
    <w:rsid w:val="3CF25AF7"/>
    <w:rsid w:val="3CF278A5"/>
    <w:rsid w:val="3CF32861"/>
    <w:rsid w:val="3CF34A45"/>
    <w:rsid w:val="3CF90C34"/>
    <w:rsid w:val="3CF950D8"/>
    <w:rsid w:val="3CF96617"/>
    <w:rsid w:val="3CFB2BFE"/>
    <w:rsid w:val="3CFB49AC"/>
    <w:rsid w:val="3CFC7890"/>
    <w:rsid w:val="3CFD2D8E"/>
    <w:rsid w:val="3CFD4BC8"/>
    <w:rsid w:val="3D000381"/>
    <w:rsid w:val="3D0125FB"/>
    <w:rsid w:val="3D015D3A"/>
    <w:rsid w:val="3D021290"/>
    <w:rsid w:val="3D0A1093"/>
    <w:rsid w:val="3D0A75D7"/>
    <w:rsid w:val="3D0C4E0B"/>
    <w:rsid w:val="3D115F7D"/>
    <w:rsid w:val="3D163594"/>
    <w:rsid w:val="3D18555E"/>
    <w:rsid w:val="3D186480"/>
    <w:rsid w:val="3D1C4922"/>
    <w:rsid w:val="3D1C6BC8"/>
    <w:rsid w:val="3D1D2B74"/>
    <w:rsid w:val="3D1E05AE"/>
    <w:rsid w:val="3D204622"/>
    <w:rsid w:val="3D211F38"/>
    <w:rsid w:val="3D22018A"/>
    <w:rsid w:val="3D22462E"/>
    <w:rsid w:val="3D232155"/>
    <w:rsid w:val="3D26209C"/>
    <w:rsid w:val="3D273B89"/>
    <w:rsid w:val="3D2757A1"/>
    <w:rsid w:val="3D2C725B"/>
    <w:rsid w:val="3D2D0C72"/>
    <w:rsid w:val="3D2E2FD3"/>
    <w:rsid w:val="3D2F4655"/>
    <w:rsid w:val="3D324146"/>
    <w:rsid w:val="3D337E9D"/>
    <w:rsid w:val="3D350429"/>
    <w:rsid w:val="3D363C36"/>
    <w:rsid w:val="3D364457"/>
    <w:rsid w:val="3D3659E4"/>
    <w:rsid w:val="3D3A7A4A"/>
    <w:rsid w:val="3D3B56F0"/>
    <w:rsid w:val="3D3D1A63"/>
    <w:rsid w:val="3D3E2AEA"/>
    <w:rsid w:val="3D402D06"/>
    <w:rsid w:val="3D405813"/>
    <w:rsid w:val="3D406863"/>
    <w:rsid w:val="3D43384B"/>
    <w:rsid w:val="3D436353"/>
    <w:rsid w:val="3D49469E"/>
    <w:rsid w:val="3D4C3459"/>
    <w:rsid w:val="3D4D2D2E"/>
    <w:rsid w:val="3D4E5423"/>
    <w:rsid w:val="3D4F2F4A"/>
    <w:rsid w:val="3D4F68F3"/>
    <w:rsid w:val="3D51281E"/>
    <w:rsid w:val="3D514A6B"/>
    <w:rsid w:val="3D540560"/>
    <w:rsid w:val="3D580050"/>
    <w:rsid w:val="3D594F2A"/>
    <w:rsid w:val="3D5A3DC8"/>
    <w:rsid w:val="3D5D11C3"/>
    <w:rsid w:val="3D5D1633"/>
    <w:rsid w:val="3D5D5666"/>
    <w:rsid w:val="3D6562C9"/>
    <w:rsid w:val="3D66037E"/>
    <w:rsid w:val="3D670293"/>
    <w:rsid w:val="3D672041"/>
    <w:rsid w:val="3D684A0B"/>
    <w:rsid w:val="3D6D1627"/>
    <w:rsid w:val="3D6D517E"/>
    <w:rsid w:val="3D7031B1"/>
    <w:rsid w:val="3D7529B0"/>
    <w:rsid w:val="3D755B93"/>
    <w:rsid w:val="3D762284"/>
    <w:rsid w:val="3D781943"/>
    <w:rsid w:val="3D793B23"/>
    <w:rsid w:val="3D7964F0"/>
    <w:rsid w:val="3D7B5AED"/>
    <w:rsid w:val="3D7F382F"/>
    <w:rsid w:val="3D7F4616"/>
    <w:rsid w:val="3D805CA2"/>
    <w:rsid w:val="3D843738"/>
    <w:rsid w:val="3D89020A"/>
    <w:rsid w:val="3D890734"/>
    <w:rsid w:val="3D891FB8"/>
    <w:rsid w:val="3D8B5D00"/>
    <w:rsid w:val="3D8C21EA"/>
    <w:rsid w:val="3D8C3494"/>
    <w:rsid w:val="3D8E5820"/>
    <w:rsid w:val="3D913C2B"/>
    <w:rsid w:val="3D915310"/>
    <w:rsid w:val="3D927C8C"/>
    <w:rsid w:val="3D931088"/>
    <w:rsid w:val="3D954E00"/>
    <w:rsid w:val="3D976D74"/>
    <w:rsid w:val="3D98044D"/>
    <w:rsid w:val="3D980F2D"/>
    <w:rsid w:val="3D9854A5"/>
    <w:rsid w:val="3D98669F"/>
    <w:rsid w:val="3D987913"/>
    <w:rsid w:val="3D991205"/>
    <w:rsid w:val="3D995F73"/>
    <w:rsid w:val="3D9B1CEB"/>
    <w:rsid w:val="3D9D3CB5"/>
    <w:rsid w:val="3D9D5A63"/>
    <w:rsid w:val="3DA412CB"/>
    <w:rsid w:val="3DA54918"/>
    <w:rsid w:val="3DA70690"/>
    <w:rsid w:val="3DA908AC"/>
    <w:rsid w:val="3DA9265A"/>
    <w:rsid w:val="3DAB4624"/>
    <w:rsid w:val="3DAC5CA6"/>
    <w:rsid w:val="3DAD746C"/>
    <w:rsid w:val="3DAE5EC2"/>
    <w:rsid w:val="3DAE69E5"/>
    <w:rsid w:val="3DAF77FE"/>
    <w:rsid w:val="3DB13215"/>
    <w:rsid w:val="3DB159B2"/>
    <w:rsid w:val="3DB246A5"/>
    <w:rsid w:val="3DB26E9C"/>
    <w:rsid w:val="3DB35286"/>
    <w:rsid w:val="3DB37034"/>
    <w:rsid w:val="3DB53BF7"/>
    <w:rsid w:val="3DB67766"/>
    <w:rsid w:val="3DB73891"/>
    <w:rsid w:val="3DBC7E55"/>
    <w:rsid w:val="3DBF1E7D"/>
    <w:rsid w:val="3DBF6FA9"/>
    <w:rsid w:val="3DC00DF5"/>
    <w:rsid w:val="3DC15BF5"/>
    <w:rsid w:val="3DC456E6"/>
    <w:rsid w:val="3DC83E3F"/>
    <w:rsid w:val="3DC868CB"/>
    <w:rsid w:val="3DCB0822"/>
    <w:rsid w:val="3DCC459A"/>
    <w:rsid w:val="3DCE20C0"/>
    <w:rsid w:val="3DCE3E6E"/>
    <w:rsid w:val="3DD05142"/>
    <w:rsid w:val="3DD23C8F"/>
    <w:rsid w:val="3DD5344F"/>
    <w:rsid w:val="3DD72F92"/>
    <w:rsid w:val="3DD75419"/>
    <w:rsid w:val="3DD76D44"/>
    <w:rsid w:val="3DD93D5F"/>
    <w:rsid w:val="3DDA0EE1"/>
    <w:rsid w:val="3DDA6FF1"/>
    <w:rsid w:val="3DDB7C7F"/>
    <w:rsid w:val="3DDC7912"/>
    <w:rsid w:val="3DDD0555"/>
    <w:rsid w:val="3DDD67A7"/>
    <w:rsid w:val="3DE03BA2"/>
    <w:rsid w:val="3DE11DF4"/>
    <w:rsid w:val="3DE32C1F"/>
    <w:rsid w:val="3DE418E4"/>
    <w:rsid w:val="3DE46669"/>
    <w:rsid w:val="3DE47B36"/>
    <w:rsid w:val="3DE73182"/>
    <w:rsid w:val="3DEA29AB"/>
    <w:rsid w:val="3DEC0798"/>
    <w:rsid w:val="3DEC5488"/>
    <w:rsid w:val="3DEE4511"/>
    <w:rsid w:val="3DEE7220"/>
    <w:rsid w:val="3DF15DAF"/>
    <w:rsid w:val="3DF22091"/>
    <w:rsid w:val="3DF243FA"/>
    <w:rsid w:val="3DF338D5"/>
    <w:rsid w:val="3DF51AC7"/>
    <w:rsid w:val="3DF558E8"/>
    <w:rsid w:val="3DF633C5"/>
    <w:rsid w:val="3DF80EEB"/>
    <w:rsid w:val="3DF8713D"/>
    <w:rsid w:val="3DFE6A3F"/>
    <w:rsid w:val="3DFF04CC"/>
    <w:rsid w:val="3E036B27"/>
    <w:rsid w:val="3E081E37"/>
    <w:rsid w:val="3E09134A"/>
    <w:rsid w:val="3E0C1200"/>
    <w:rsid w:val="3E0C52B0"/>
    <w:rsid w:val="3E0E33DE"/>
    <w:rsid w:val="3E0E6961"/>
    <w:rsid w:val="3E0E74AE"/>
    <w:rsid w:val="3E111FAD"/>
    <w:rsid w:val="3E125CDC"/>
    <w:rsid w:val="3E1366B0"/>
    <w:rsid w:val="3E144ED2"/>
    <w:rsid w:val="3E145494"/>
    <w:rsid w:val="3E155F41"/>
    <w:rsid w:val="3E18158D"/>
    <w:rsid w:val="3E1A3557"/>
    <w:rsid w:val="3E1C107E"/>
    <w:rsid w:val="3E1C6F42"/>
    <w:rsid w:val="3E1D6BA4"/>
    <w:rsid w:val="3E1E45BE"/>
    <w:rsid w:val="3E216694"/>
    <w:rsid w:val="3E241CE0"/>
    <w:rsid w:val="3E2A5C68"/>
    <w:rsid w:val="3E2B7513"/>
    <w:rsid w:val="3E2E7003"/>
    <w:rsid w:val="3E2F6F09"/>
    <w:rsid w:val="3E3068D7"/>
    <w:rsid w:val="3E32264F"/>
    <w:rsid w:val="3E352D7B"/>
    <w:rsid w:val="3E3716A2"/>
    <w:rsid w:val="3E376C61"/>
    <w:rsid w:val="3E3C34CE"/>
    <w:rsid w:val="3E3E7246"/>
    <w:rsid w:val="3E3F09AD"/>
    <w:rsid w:val="3E3F20F0"/>
    <w:rsid w:val="3E42660A"/>
    <w:rsid w:val="3E426AC0"/>
    <w:rsid w:val="3E43023F"/>
    <w:rsid w:val="3E436B44"/>
    <w:rsid w:val="3E491747"/>
    <w:rsid w:val="3E4B3283"/>
    <w:rsid w:val="3E4C0B80"/>
    <w:rsid w:val="3E4D5462"/>
    <w:rsid w:val="3E4E3201"/>
    <w:rsid w:val="3E4F0B1A"/>
    <w:rsid w:val="3E507983"/>
    <w:rsid w:val="3E5720B6"/>
    <w:rsid w:val="3E5A1BA6"/>
    <w:rsid w:val="3E5B688B"/>
    <w:rsid w:val="3E5C147A"/>
    <w:rsid w:val="3E5D51F2"/>
    <w:rsid w:val="3E5E4B58"/>
    <w:rsid w:val="3E611FA5"/>
    <w:rsid w:val="3E630A5B"/>
    <w:rsid w:val="3E634E4B"/>
    <w:rsid w:val="3E642A25"/>
    <w:rsid w:val="3E667015"/>
    <w:rsid w:val="3E675C0A"/>
    <w:rsid w:val="3E6842C3"/>
    <w:rsid w:val="3E686071"/>
    <w:rsid w:val="3E693B97"/>
    <w:rsid w:val="3E6B5345"/>
    <w:rsid w:val="3E6B790F"/>
    <w:rsid w:val="3E6D18D9"/>
    <w:rsid w:val="3E6D7D68"/>
    <w:rsid w:val="3E6F5651"/>
    <w:rsid w:val="3E704F26"/>
    <w:rsid w:val="3E740EBA"/>
    <w:rsid w:val="3E774506"/>
    <w:rsid w:val="3E777074"/>
    <w:rsid w:val="3E7A691C"/>
    <w:rsid w:val="3E7E7642"/>
    <w:rsid w:val="3E7F6A62"/>
    <w:rsid w:val="3E805321"/>
    <w:rsid w:val="3E81604A"/>
    <w:rsid w:val="3E8409D1"/>
    <w:rsid w:val="3E854E75"/>
    <w:rsid w:val="3E86299B"/>
    <w:rsid w:val="3E8A248B"/>
    <w:rsid w:val="3E8D3D29"/>
    <w:rsid w:val="3E8E0DB5"/>
    <w:rsid w:val="3E925A00"/>
    <w:rsid w:val="3E9450B8"/>
    <w:rsid w:val="3E950E30"/>
    <w:rsid w:val="3E976956"/>
    <w:rsid w:val="3E987A56"/>
    <w:rsid w:val="3E990920"/>
    <w:rsid w:val="3E99447C"/>
    <w:rsid w:val="3E9B631A"/>
    <w:rsid w:val="3E9E5F37"/>
    <w:rsid w:val="3E9F580B"/>
    <w:rsid w:val="3EA0216F"/>
    <w:rsid w:val="3EA13331"/>
    <w:rsid w:val="3EA22D1A"/>
    <w:rsid w:val="3EA352FB"/>
    <w:rsid w:val="3EA572C5"/>
    <w:rsid w:val="3EA66B99"/>
    <w:rsid w:val="3EAD7F28"/>
    <w:rsid w:val="3EAE23F1"/>
    <w:rsid w:val="3EAF1EF2"/>
    <w:rsid w:val="3EAF3CA0"/>
    <w:rsid w:val="3EB017C6"/>
    <w:rsid w:val="3EB07A18"/>
    <w:rsid w:val="3EBC3265"/>
    <w:rsid w:val="3EBC5573"/>
    <w:rsid w:val="3EBC5719"/>
    <w:rsid w:val="3EBD2DF6"/>
    <w:rsid w:val="3EBD534C"/>
    <w:rsid w:val="3EBE2135"/>
    <w:rsid w:val="3EBF2CE7"/>
    <w:rsid w:val="3EC11C25"/>
    <w:rsid w:val="3EC30E26"/>
    <w:rsid w:val="3EC7548D"/>
    <w:rsid w:val="3EC82FB3"/>
    <w:rsid w:val="3ECD05CA"/>
    <w:rsid w:val="3ECD2378"/>
    <w:rsid w:val="3ED31281"/>
    <w:rsid w:val="3ED454B4"/>
    <w:rsid w:val="3ED5721B"/>
    <w:rsid w:val="3ED656D0"/>
    <w:rsid w:val="3ED731F7"/>
    <w:rsid w:val="3ED74FA5"/>
    <w:rsid w:val="3ED76E74"/>
    <w:rsid w:val="3ED87FC6"/>
    <w:rsid w:val="3ED90D1D"/>
    <w:rsid w:val="3ED95272"/>
    <w:rsid w:val="3EDC0E0A"/>
    <w:rsid w:val="3EDC25BB"/>
    <w:rsid w:val="3EE14075"/>
    <w:rsid w:val="3EE760D4"/>
    <w:rsid w:val="3EE95B47"/>
    <w:rsid w:val="3EE95F28"/>
    <w:rsid w:val="3EED17D0"/>
    <w:rsid w:val="3EED65FE"/>
    <w:rsid w:val="3EEF22EE"/>
    <w:rsid w:val="3EF05D19"/>
    <w:rsid w:val="3EF06066"/>
    <w:rsid w:val="3EF26282"/>
    <w:rsid w:val="3EF47F62"/>
    <w:rsid w:val="3EF73899"/>
    <w:rsid w:val="3EF75453"/>
    <w:rsid w:val="3EF75647"/>
    <w:rsid w:val="3EF92D60"/>
    <w:rsid w:val="3EFC2C5D"/>
    <w:rsid w:val="3EFE69D5"/>
    <w:rsid w:val="3F007868"/>
    <w:rsid w:val="3F055FB6"/>
    <w:rsid w:val="3F081602"/>
    <w:rsid w:val="3F0A537A"/>
    <w:rsid w:val="3F0B5DBE"/>
    <w:rsid w:val="3F0D4E6A"/>
    <w:rsid w:val="3F12188D"/>
    <w:rsid w:val="3F12422F"/>
    <w:rsid w:val="3F125FDD"/>
    <w:rsid w:val="3F1439AE"/>
    <w:rsid w:val="3F147FA7"/>
    <w:rsid w:val="3F16127C"/>
    <w:rsid w:val="3F161AFC"/>
    <w:rsid w:val="3F161F71"/>
    <w:rsid w:val="3F1E7077"/>
    <w:rsid w:val="3F235E61"/>
    <w:rsid w:val="3F253F62"/>
    <w:rsid w:val="3F277CDA"/>
    <w:rsid w:val="3F283A52"/>
    <w:rsid w:val="3F2A1578"/>
    <w:rsid w:val="3F2A2EB3"/>
    <w:rsid w:val="3F2B4343"/>
    <w:rsid w:val="3F2D72BA"/>
    <w:rsid w:val="3F2E2CC4"/>
    <w:rsid w:val="3F304187"/>
    <w:rsid w:val="3F32042D"/>
    <w:rsid w:val="3F333F65"/>
    <w:rsid w:val="3F346B36"/>
    <w:rsid w:val="3F357FC6"/>
    <w:rsid w:val="3F3917BB"/>
    <w:rsid w:val="3F397A0D"/>
    <w:rsid w:val="3F3B5533"/>
    <w:rsid w:val="3F3B572E"/>
    <w:rsid w:val="3F3E3276"/>
    <w:rsid w:val="3F407AB1"/>
    <w:rsid w:val="3F4225CA"/>
    <w:rsid w:val="3F424B14"/>
    <w:rsid w:val="3F441A8C"/>
    <w:rsid w:val="3F450160"/>
    <w:rsid w:val="3F457ABB"/>
    <w:rsid w:val="3F47037C"/>
    <w:rsid w:val="3F485EA2"/>
    <w:rsid w:val="3F4D34B9"/>
    <w:rsid w:val="3F514D57"/>
    <w:rsid w:val="3F536D21"/>
    <w:rsid w:val="3F5605BF"/>
    <w:rsid w:val="3F566811"/>
    <w:rsid w:val="3F591E5E"/>
    <w:rsid w:val="3F5B5BD6"/>
    <w:rsid w:val="3F5C54AA"/>
    <w:rsid w:val="3F5E347E"/>
    <w:rsid w:val="3F604F9A"/>
    <w:rsid w:val="3F633541"/>
    <w:rsid w:val="3F6521F3"/>
    <w:rsid w:val="3F6525B0"/>
    <w:rsid w:val="3F656A54"/>
    <w:rsid w:val="3F666100"/>
    <w:rsid w:val="3F676329"/>
    <w:rsid w:val="3F6A5171"/>
    <w:rsid w:val="3F6B159C"/>
    <w:rsid w:val="3F6F78D3"/>
    <w:rsid w:val="3F7171A7"/>
    <w:rsid w:val="3F724CCD"/>
    <w:rsid w:val="3F732699"/>
    <w:rsid w:val="3F740A45"/>
    <w:rsid w:val="3F744EE9"/>
    <w:rsid w:val="3F746C97"/>
    <w:rsid w:val="3F762A0F"/>
    <w:rsid w:val="3F7647BE"/>
    <w:rsid w:val="3F7722E4"/>
    <w:rsid w:val="3F786788"/>
    <w:rsid w:val="3F7C101A"/>
    <w:rsid w:val="3F7D67BC"/>
    <w:rsid w:val="3F7F7B16"/>
    <w:rsid w:val="3F82048F"/>
    <w:rsid w:val="3F850EA5"/>
    <w:rsid w:val="3F870779"/>
    <w:rsid w:val="3F875618"/>
    <w:rsid w:val="3F8A6C2B"/>
    <w:rsid w:val="3F8E5FAB"/>
    <w:rsid w:val="3F8F6C07"/>
    <w:rsid w:val="3F93536F"/>
    <w:rsid w:val="3F942E96"/>
    <w:rsid w:val="3F953302"/>
    <w:rsid w:val="3F9609BC"/>
    <w:rsid w:val="3F962B31"/>
    <w:rsid w:val="3F975C22"/>
    <w:rsid w:val="3F982986"/>
    <w:rsid w:val="3F9B2476"/>
    <w:rsid w:val="3F9B5FD2"/>
    <w:rsid w:val="3FA00F1E"/>
    <w:rsid w:val="3FAA4098"/>
    <w:rsid w:val="3FAB2B6A"/>
    <w:rsid w:val="3FAD709A"/>
    <w:rsid w:val="3FAE21A9"/>
    <w:rsid w:val="3FAF1A7E"/>
    <w:rsid w:val="3FAF4B16"/>
    <w:rsid w:val="3FB377C0"/>
    <w:rsid w:val="3FB57A23"/>
    <w:rsid w:val="3FB83028"/>
    <w:rsid w:val="3FBA0B4E"/>
    <w:rsid w:val="3FBB48C6"/>
    <w:rsid w:val="3FBB4B17"/>
    <w:rsid w:val="3FBB6674"/>
    <w:rsid w:val="3FBD419A"/>
    <w:rsid w:val="3FBE399E"/>
    <w:rsid w:val="3FBE7F13"/>
    <w:rsid w:val="3FC13A60"/>
    <w:rsid w:val="3FC714BD"/>
    <w:rsid w:val="3FC76DC7"/>
    <w:rsid w:val="3FC90D91"/>
    <w:rsid w:val="3FCB2D5B"/>
    <w:rsid w:val="3FCC0881"/>
    <w:rsid w:val="3FCC0B73"/>
    <w:rsid w:val="3FCC262F"/>
    <w:rsid w:val="3FCC6AD3"/>
    <w:rsid w:val="3FD20B48"/>
    <w:rsid w:val="3FD31C10"/>
    <w:rsid w:val="3FD85478"/>
    <w:rsid w:val="3FD87226"/>
    <w:rsid w:val="3FDA11F0"/>
    <w:rsid w:val="3FDB2873"/>
    <w:rsid w:val="3FDC5BAF"/>
    <w:rsid w:val="3FDE368D"/>
    <w:rsid w:val="3FE15765"/>
    <w:rsid w:val="3FE21E53"/>
    <w:rsid w:val="3FE43E1D"/>
    <w:rsid w:val="3FE45BCB"/>
    <w:rsid w:val="3FE65914"/>
    <w:rsid w:val="3FE75F13"/>
    <w:rsid w:val="3FEA0D08"/>
    <w:rsid w:val="3FEA3008"/>
    <w:rsid w:val="3FEC2CD2"/>
    <w:rsid w:val="3FEC558C"/>
    <w:rsid w:val="3FEC74A8"/>
    <w:rsid w:val="3FED7D16"/>
    <w:rsid w:val="3FEF370A"/>
    <w:rsid w:val="3FF102E8"/>
    <w:rsid w:val="3FF21F03"/>
    <w:rsid w:val="3FF34060"/>
    <w:rsid w:val="3FF37C19"/>
    <w:rsid w:val="3FF43934"/>
    <w:rsid w:val="3FF51B86"/>
    <w:rsid w:val="3FF7269F"/>
    <w:rsid w:val="3FF878C8"/>
    <w:rsid w:val="3FFC1167"/>
    <w:rsid w:val="3FFC1AB1"/>
    <w:rsid w:val="3FFD6B41"/>
    <w:rsid w:val="4004001B"/>
    <w:rsid w:val="4004334A"/>
    <w:rsid w:val="40071B76"/>
    <w:rsid w:val="400A3AF6"/>
    <w:rsid w:val="400B13AA"/>
    <w:rsid w:val="400C2735"/>
    <w:rsid w:val="400E0E9A"/>
    <w:rsid w:val="40101C87"/>
    <w:rsid w:val="4013025E"/>
    <w:rsid w:val="401447D2"/>
    <w:rsid w:val="40153FD6"/>
    <w:rsid w:val="40161AFD"/>
    <w:rsid w:val="40183119"/>
    <w:rsid w:val="40183AC7"/>
    <w:rsid w:val="40185875"/>
    <w:rsid w:val="401A339B"/>
    <w:rsid w:val="401D732F"/>
    <w:rsid w:val="401F75B3"/>
    <w:rsid w:val="40224945"/>
    <w:rsid w:val="4024246B"/>
    <w:rsid w:val="4024421A"/>
    <w:rsid w:val="40291830"/>
    <w:rsid w:val="40295CD4"/>
    <w:rsid w:val="402C1320"/>
    <w:rsid w:val="402E32EA"/>
    <w:rsid w:val="403235CA"/>
    <w:rsid w:val="40353870"/>
    <w:rsid w:val="40381A70"/>
    <w:rsid w:val="40383B92"/>
    <w:rsid w:val="40384169"/>
    <w:rsid w:val="40385F17"/>
    <w:rsid w:val="403B1563"/>
    <w:rsid w:val="403C750D"/>
    <w:rsid w:val="403D352D"/>
    <w:rsid w:val="403E30A6"/>
    <w:rsid w:val="40416145"/>
    <w:rsid w:val="40426159"/>
    <w:rsid w:val="40436D96"/>
    <w:rsid w:val="40442B0E"/>
    <w:rsid w:val="40464190"/>
    <w:rsid w:val="4047615A"/>
    <w:rsid w:val="404822D9"/>
    <w:rsid w:val="40493C80"/>
    <w:rsid w:val="404B3E9C"/>
    <w:rsid w:val="404B7437"/>
    <w:rsid w:val="404C551E"/>
    <w:rsid w:val="404D19C2"/>
    <w:rsid w:val="4050484D"/>
    <w:rsid w:val="40531BF7"/>
    <w:rsid w:val="40541C2A"/>
    <w:rsid w:val="40550877"/>
    <w:rsid w:val="40550B11"/>
    <w:rsid w:val="40566B0D"/>
    <w:rsid w:val="40572841"/>
    <w:rsid w:val="405745EF"/>
    <w:rsid w:val="405B442D"/>
    <w:rsid w:val="405B4825"/>
    <w:rsid w:val="405C410A"/>
    <w:rsid w:val="405D2AA5"/>
    <w:rsid w:val="405E25C9"/>
    <w:rsid w:val="405F5252"/>
    <w:rsid w:val="40632F94"/>
    <w:rsid w:val="40632F9B"/>
    <w:rsid w:val="40640ABA"/>
    <w:rsid w:val="40642868"/>
    <w:rsid w:val="40646D0C"/>
    <w:rsid w:val="406754CF"/>
    <w:rsid w:val="406867FC"/>
    <w:rsid w:val="406F4AE6"/>
    <w:rsid w:val="40730853"/>
    <w:rsid w:val="40730CFD"/>
    <w:rsid w:val="407451A1"/>
    <w:rsid w:val="40750F19"/>
    <w:rsid w:val="40754A75"/>
    <w:rsid w:val="4077799F"/>
    <w:rsid w:val="407A02DD"/>
    <w:rsid w:val="407A208B"/>
    <w:rsid w:val="407C5E04"/>
    <w:rsid w:val="407F58F4"/>
    <w:rsid w:val="407F5D81"/>
    <w:rsid w:val="40844CB8"/>
    <w:rsid w:val="40872C3D"/>
    <w:rsid w:val="408803E4"/>
    <w:rsid w:val="408847A8"/>
    <w:rsid w:val="408B6047"/>
    <w:rsid w:val="408D2437"/>
    <w:rsid w:val="408E3D89"/>
    <w:rsid w:val="408E5B37"/>
    <w:rsid w:val="408F1FDB"/>
    <w:rsid w:val="409018AF"/>
    <w:rsid w:val="40905D53"/>
    <w:rsid w:val="40906885"/>
    <w:rsid w:val="40916482"/>
    <w:rsid w:val="40917C36"/>
    <w:rsid w:val="40956EC5"/>
    <w:rsid w:val="40982185"/>
    <w:rsid w:val="409A17EE"/>
    <w:rsid w:val="409A44DC"/>
    <w:rsid w:val="409E221E"/>
    <w:rsid w:val="409F1AF2"/>
    <w:rsid w:val="409F5F96"/>
    <w:rsid w:val="40A13ABC"/>
    <w:rsid w:val="40A2452F"/>
    <w:rsid w:val="40A43FE1"/>
    <w:rsid w:val="40A47108"/>
    <w:rsid w:val="40A565A2"/>
    <w:rsid w:val="40A610D2"/>
    <w:rsid w:val="40A8309D"/>
    <w:rsid w:val="40A84E4B"/>
    <w:rsid w:val="40A92971"/>
    <w:rsid w:val="40AE7556"/>
    <w:rsid w:val="40AE7F87"/>
    <w:rsid w:val="40B27A77"/>
    <w:rsid w:val="40B3559D"/>
    <w:rsid w:val="40B414F2"/>
    <w:rsid w:val="40B41A41"/>
    <w:rsid w:val="40B41B13"/>
    <w:rsid w:val="40B60FC7"/>
    <w:rsid w:val="40B67953"/>
    <w:rsid w:val="40B82BB4"/>
    <w:rsid w:val="40B90E06"/>
    <w:rsid w:val="40B943DC"/>
    <w:rsid w:val="40BE466E"/>
    <w:rsid w:val="40C31C84"/>
    <w:rsid w:val="40C477AB"/>
    <w:rsid w:val="40C94DC1"/>
    <w:rsid w:val="40CD2B03"/>
    <w:rsid w:val="40D169AB"/>
    <w:rsid w:val="40D2111D"/>
    <w:rsid w:val="40D211F8"/>
    <w:rsid w:val="40D21EC7"/>
    <w:rsid w:val="40D43E92"/>
    <w:rsid w:val="40D53766"/>
    <w:rsid w:val="40D75730"/>
    <w:rsid w:val="40DB0111"/>
    <w:rsid w:val="40DB5220"/>
    <w:rsid w:val="40DD2FF6"/>
    <w:rsid w:val="40DE6ABE"/>
    <w:rsid w:val="40EB11DB"/>
    <w:rsid w:val="40EB2F89"/>
    <w:rsid w:val="40EB7427"/>
    <w:rsid w:val="40ED0AAF"/>
    <w:rsid w:val="40ED0BD9"/>
    <w:rsid w:val="40ED5808"/>
    <w:rsid w:val="40EE65D6"/>
    <w:rsid w:val="40EF1E66"/>
    <w:rsid w:val="40EF2A79"/>
    <w:rsid w:val="40F40090"/>
    <w:rsid w:val="40F45458"/>
    <w:rsid w:val="40F6359C"/>
    <w:rsid w:val="40F63E08"/>
    <w:rsid w:val="40F94DDB"/>
    <w:rsid w:val="40F956A6"/>
    <w:rsid w:val="40FA3B7C"/>
    <w:rsid w:val="40FE1BD0"/>
    <w:rsid w:val="41004C87"/>
    <w:rsid w:val="410061AC"/>
    <w:rsid w:val="41017CFA"/>
    <w:rsid w:val="410436E2"/>
    <w:rsid w:val="4105404B"/>
    <w:rsid w:val="41083B3B"/>
    <w:rsid w:val="410A6D03"/>
    <w:rsid w:val="410B53D9"/>
    <w:rsid w:val="410B7187"/>
    <w:rsid w:val="410D4CAE"/>
    <w:rsid w:val="410D73A4"/>
    <w:rsid w:val="410F6C78"/>
    <w:rsid w:val="4110479E"/>
    <w:rsid w:val="411249BA"/>
    <w:rsid w:val="41156814"/>
    <w:rsid w:val="41171FD0"/>
    <w:rsid w:val="41197AF6"/>
    <w:rsid w:val="411C61F6"/>
    <w:rsid w:val="411E335F"/>
    <w:rsid w:val="4120126E"/>
    <w:rsid w:val="41214BFD"/>
    <w:rsid w:val="412458BE"/>
    <w:rsid w:val="4125649B"/>
    <w:rsid w:val="41265D6F"/>
    <w:rsid w:val="41272213"/>
    <w:rsid w:val="41297BA8"/>
    <w:rsid w:val="412C31AD"/>
    <w:rsid w:val="412F10C8"/>
    <w:rsid w:val="41303717"/>
    <w:rsid w:val="41313092"/>
    <w:rsid w:val="4134048C"/>
    <w:rsid w:val="413B1290"/>
    <w:rsid w:val="413C5988"/>
    <w:rsid w:val="41406E31"/>
    <w:rsid w:val="41432DC5"/>
    <w:rsid w:val="41443ACF"/>
    <w:rsid w:val="414508EB"/>
    <w:rsid w:val="41455C40"/>
    <w:rsid w:val="4145630B"/>
    <w:rsid w:val="41466412"/>
    <w:rsid w:val="414A5853"/>
    <w:rsid w:val="414A5F02"/>
    <w:rsid w:val="414B62A2"/>
    <w:rsid w:val="414C56AB"/>
    <w:rsid w:val="41526B64"/>
    <w:rsid w:val="4154127B"/>
    <w:rsid w:val="41562AF9"/>
    <w:rsid w:val="41586871"/>
    <w:rsid w:val="41594397"/>
    <w:rsid w:val="415B162D"/>
    <w:rsid w:val="415B43C7"/>
    <w:rsid w:val="415B7B1D"/>
    <w:rsid w:val="415C79E3"/>
    <w:rsid w:val="415D1794"/>
    <w:rsid w:val="415E19AD"/>
    <w:rsid w:val="415E7F28"/>
    <w:rsid w:val="41601281"/>
    <w:rsid w:val="4162149D"/>
    <w:rsid w:val="41635215"/>
    <w:rsid w:val="41636FC4"/>
    <w:rsid w:val="41646408"/>
    <w:rsid w:val="41650392"/>
    <w:rsid w:val="4168282C"/>
    <w:rsid w:val="4169100C"/>
    <w:rsid w:val="416D399E"/>
    <w:rsid w:val="416F3BBA"/>
    <w:rsid w:val="41710001"/>
    <w:rsid w:val="4171747B"/>
    <w:rsid w:val="41740393"/>
    <w:rsid w:val="4175211D"/>
    <w:rsid w:val="41766CF7"/>
    <w:rsid w:val="4177586D"/>
    <w:rsid w:val="417967E7"/>
    <w:rsid w:val="417B7450"/>
    <w:rsid w:val="417D0085"/>
    <w:rsid w:val="417E5BAB"/>
    <w:rsid w:val="417F2C6B"/>
    <w:rsid w:val="418036D2"/>
    <w:rsid w:val="41803B67"/>
    <w:rsid w:val="41807753"/>
    <w:rsid w:val="41820F87"/>
    <w:rsid w:val="418238EE"/>
    <w:rsid w:val="41827323"/>
    <w:rsid w:val="41850CE8"/>
    <w:rsid w:val="418A4550"/>
    <w:rsid w:val="418C02C8"/>
    <w:rsid w:val="418C0797"/>
    <w:rsid w:val="418D4040"/>
    <w:rsid w:val="418D5088"/>
    <w:rsid w:val="418F600A"/>
    <w:rsid w:val="418F7DB9"/>
    <w:rsid w:val="419158DF"/>
    <w:rsid w:val="41931657"/>
    <w:rsid w:val="4193737A"/>
    <w:rsid w:val="419453CF"/>
    <w:rsid w:val="419504B9"/>
    <w:rsid w:val="41984EBF"/>
    <w:rsid w:val="41986C6D"/>
    <w:rsid w:val="419929D9"/>
    <w:rsid w:val="419A3E69"/>
    <w:rsid w:val="419B49AF"/>
    <w:rsid w:val="419C135A"/>
    <w:rsid w:val="419C3B9F"/>
    <w:rsid w:val="41A5138A"/>
    <w:rsid w:val="41A82C28"/>
    <w:rsid w:val="41A90E7A"/>
    <w:rsid w:val="41A970CC"/>
    <w:rsid w:val="41AA2E44"/>
    <w:rsid w:val="41AC5018"/>
    <w:rsid w:val="41AE46E3"/>
    <w:rsid w:val="41AF045B"/>
    <w:rsid w:val="41B10A03"/>
    <w:rsid w:val="41B37891"/>
    <w:rsid w:val="41B45A71"/>
    <w:rsid w:val="41B4781F"/>
    <w:rsid w:val="41BA30C2"/>
    <w:rsid w:val="41BB6E00"/>
    <w:rsid w:val="41BD387A"/>
    <w:rsid w:val="41BD4926"/>
    <w:rsid w:val="41BD7202"/>
    <w:rsid w:val="41BE244C"/>
    <w:rsid w:val="41BF069E"/>
    <w:rsid w:val="41C05B83"/>
    <w:rsid w:val="41C061C4"/>
    <w:rsid w:val="41C07F72"/>
    <w:rsid w:val="41C23CEA"/>
    <w:rsid w:val="41C51A2C"/>
    <w:rsid w:val="41C53741"/>
    <w:rsid w:val="41C9151C"/>
    <w:rsid w:val="41CC6917"/>
    <w:rsid w:val="41CD0038"/>
    <w:rsid w:val="41CE268F"/>
    <w:rsid w:val="41D028AB"/>
    <w:rsid w:val="41D1217F"/>
    <w:rsid w:val="41D4160C"/>
    <w:rsid w:val="41D81760"/>
    <w:rsid w:val="41D83E0A"/>
    <w:rsid w:val="41D852BC"/>
    <w:rsid w:val="41DB1250"/>
    <w:rsid w:val="41DD6D76"/>
    <w:rsid w:val="41E0160C"/>
    <w:rsid w:val="41E2613A"/>
    <w:rsid w:val="41E41EB2"/>
    <w:rsid w:val="41E445B4"/>
    <w:rsid w:val="41E45249"/>
    <w:rsid w:val="41E55C2A"/>
    <w:rsid w:val="41E9396D"/>
    <w:rsid w:val="41E974C9"/>
    <w:rsid w:val="41EC6FB9"/>
    <w:rsid w:val="41ED7834"/>
    <w:rsid w:val="41F22153"/>
    <w:rsid w:val="41F52311"/>
    <w:rsid w:val="41F540C0"/>
    <w:rsid w:val="41F61BE6"/>
    <w:rsid w:val="41F82483"/>
    <w:rsid w:val="41F84EDC"/>
    <w:rsid w:val="41F8748F"/>
    <w:rsid w:val="41FA16D6"/>
    <w:rsid w:val="41FA7928"/>
    <w:rsid w:val="41FB71FC"/>
    <w:rsid w:val="41FC1F57"/>
    <w:rsid w:val="41FC3D74"/>
    <w:rsid w:val="41FE3818"/>
    <w:rsid w:val="41FF0A9A"/>
    <w:rsid w:val="41FF6CEC"/>
    <w:rsid w:val="420324D5"/>
    <w:rsid w:val="42042555"/>
    <w:rsid w:val="420662CD"/>
    <w:rsid w:val="42073DF3"/>
    <w:rsid w:val="42091919"/>
    <w:rsid w:val="42092309"/>
    <w:rsid w:val="42097B6B"/>
    <w:rsid w:val="420F08E9"/>
    <w:rsid w:val="420F2CA7"/>
    <w:rsid w:val="42100EF9"/>
    <w:rsid w:val="42116A20"/>
    <w:rsid w:val="421309EA"/>
    <w:rsid w:val="42132D54"/>
    <w:rsid w:val="421367AF"/>
    <w:rsid w:val="421557A0"/>
    <w:rsid w:val="42165DE4"/>
    <w:rsid w:val="421729DE"/>
    <w:rsid w:val="42177BD6"/>
    <w:rsid w:val="421813AE"/>
    <w:rsid w:val="421B164C"/>
    <w:rsid w:val="421B33FA"/>
    <w:rsid w:val="42254279"/>
    <w:rsid w:val="42261A4B"/>
    <w:rsid w:val="422728BD"/>
    <w:rsid w:val="42274495"/>
    <w:rsid w:val="422A57D8"/>
    <w:rsid w:val="422B4565"/>
    <w:rsid w:val="422C2522"/>
    <w:rsid w:val="422C694B"/>
    <w:rsid w:val="422E1028"/>
    <w:rsid w:val="422E137F"/>
    <w:rsid w:val="422F6EA6"/>
    <w:rsid w:val="42312C1E"/>
    <w:rsid w:val="42334885"/>
    <w:rsid w:val="4234420A"/>
    <w:rsid w:val="42360234"/>
    <w:rsid w:val="42360659"/>
    <w:rsid w:val="4236692B"/>
    <w:rsid w:val="423729B6"/>
    <w:rsid w:val="42373E75"/>
    <w:rsid w:val="423821FE"/>
    <w:rsid w:val="423948E8"/>
    <w:rsid w:val="423C2277"/>
    <w:rsid w:val="423D5A66"/>
    <w:rsid w:val="424132E7"/>
    <w:rsid w:val="42417305"/>
    <w:rsid w:val="424402BA"/>
    <w:rsid w:val="424741EF"/>
    <w:rsid w:val="42485F46"/>
    <w:rsid w:val="4249440B"/>
    <w:rsid w:val="42497F67"/>
    <w:rsid w:val="424B0183"/>
    <w:rsid w:val="424C6530"/>
    <w:rsid w:val="424E37D0"/>
    <w:rsid w:val="42500DFE"/>
    <w:rsid w:val="425036DE"/>
    <w:rsid w:val="4250579A"/>
    <w:rsid w:val="425132C0"/>
    <w:rsid w:val="42523DFF"/>
    <w:rsid w:val="4255690C"/>
    <w:rsid w:val="42563E10"/>
    <w:rsid w:val="42576B28"/>
    <w:rsid w:val="425C592F"/>
    <w:rsid w:val="425D1C65"/>
    <w:rsid w:val="42633843"/>
    <w:rsid w:val="426506F5"/>
    <w:rsid w:val="426614A1"/>
    <w:rsid w:val="42677EC5"/>
    <w:rsid w:val="426E5C20"/>
    <w:rsid w:val="42725666"/>
    <w:rsid w:val="42733236"/>
    <w:rsid w:val="42755200"/>
    <w:rsid w:val="42784485"/>
    <w:rsid w:val="42784CF1"/>
    <w:rsid w:val="42790A19"/>
    <w:rsid w:val="427A2817"/>
    <w:rsid w:val="427C2114"/>
    <w:rsid w:val="427C658F"/>
    <w:rsid w:val="427D40B5"/>
    <w:rsid w:val="427D6F5C"/>
    <w:rsid w:val="427E2307"/>
    <w:rsid w:val="427F1BDB"/>
    <w:rsid w:val="4281740F"/>
    <w:rsid w:val="42845A81"/>
    <w:rsid w:val="42855386"/>
    <w:rsid w:val="42876B0E"/>
    <w:rsid w:val="42894808"/>
    <w:rsid w:val="428C42F8"/>
    <w:rsid w:val="4290173E"/>
    <w:rsid w:val="4290203A"/>
    <w:rsid w:val="42905B96"/>
    <w:rsid w:val="4295453E"/>
    <w:rsid w:val="42975177"/>
    <w:rsid w:val="429B5450"/>
    <w:rsid w:val="429D6505"/>
    <w:rsid w:val="429E54E9"/>
    <w:rsid w:val="429F402B"/>
    <w:rsid w:val="42A16B6B"/>
    <w:rsid w:val="42A24401"/>
    <w:rsid w:val="42A81132"/>
    <w:rsid w:val="42A87384"/>
    <w:rsid w:val="42AB38E9"/>
    <w:rsid w:val="42AE0712"/>
    <w:rsid w:val="42B37AD7"/>
    <w:rsid w:val="42B47DF6"/>
    <w:rsid w:val="42B555FD"/>
    <w:rsid w:val="42B55CBC"/>
    <w:rsid w:val="42B717A5"/>
    <w:rsid w:val="42B86E9B"/>
    <w:rsid w:val="42B9463D"/>
    <w:rsid w:val="42BC2E2F"/>
    <w:rsid w:val="42BC6182"/>
    <w:rsid w:val="42BD2703"/>
    <w:rsid w:val="42BD3DE4"/>
    <w:rsid w:val="42BF022A"/>
    <w:rsid w:val="42BF13A8"/>
    <w:rsid w:val="42C41CE4"/>
    <w:rsid w:val="42C5616E"/>
    <w:rsid w:val="42C57F36"/>
    <w:rsid w:val="42C85330"/>
    <w:rsid w:val="42CA5742"/>
    <w:rsid w:val="42CC4011"/>
    <w:rsid w:val="42CD0B98"/>
    <w:rsid w:val="42CE4911"/>
    <w:rsid w:val="42CF2B62"/>
    <w:rsid w:val="42CF6863"/>
    <w:rsid w:val="42D02437"/>
    <w:rsid w:val="42D13D54"/>
    <w:rsid w:val="42D24401"/>
    <w:rsid w:val="42D2694F"/>
    <w:rsid w:val="42D45207"/>
    <w:rsid w:val="42D57A4D"/>
    <w:rsid w:val="42D924E6"/>
    <w:rsid w:val="42DA497E"/>
    <w:rsid w:val="42DA5B4A"/>
    <w:rsid w:val="42DE6CA5"/>
    <w:rsid w:val="42DF267A"/>
    <w:rsid w:val="42E12896"/>
    <w:rsid w:val="42E2739A"/>
    <w:rsid w:val="42E303BC"/>
    <w:rsid w:val="42E404BF"/>
    <w:rsid w:val="42E44449"/>
    <w:rsid w:val="42E45EE2"/>
    <w:rsid w:val="42E47C90"/>
    <w:rsid w:val="42E5626D"/>
    <w:rsid w:val="42E67EAC"/>
    <w:rsid w:val="42E87780"/>
    <w:rsid w:val="42EB74CC"/>
    <w:rsid w:val="42EC4206"/>
    <w:rsid w:val="42EC59EC"/>
    <w:rsid w:val="42EF6D61"/>
    <w:rsid w:val="42EF7550"/>
    <w:rsid w:val="42F04887"/>
    <w:rsid w:val="42F876AF"/>
    <w:rsid w:val="42F9198D"/>
    <w:rsid w:val="42FA5706"/>
    <w:rsid w:val="42FB0D2D"/>
    <w:rsid w:val="42FC76D0"/>
    <w:rsid w:val="42FE0282"/>
    <w:rsid w:val="42FE2D71"/>
    <w:rsid w:val="42FF63E5"/>
    <w:rsid w:val="43010842"/>
    <w:rsid w:val="43016A94"/>
    <w:rsid w:val="4303280C"/>
    <w:rsid w:val="430345BA"/>
    <w:rsid w:val="43047CC4"/>
    <w:rsid w:val="430622FC"/>
    <w:rsid w:val="43081BD1"/>
    <w:rsid w:val="430A574A"/>
    <w:rsid w:val="430A5AF2"/>
    <w:rsid w:val="430B7913"/>
    <w:rsid w:val="43104143"/>
    <w:rsid w:val="431139DF"/>
    <w:rsid w:val="43122A4F"/>
    <w:rsid w:val="431324CB"/>
    <w:rsid w:val="431337EC"/>
    <w:rsid w:val="43134C02"/>
    <w:rsid w:val="43144A19"/>
    <w:rsid w:val="431467C7"/>
    <w:rsid w:val="431542ED"/>
    <w:rsid w:val="431628F3"/>
    <w:rsid w:val="43170066"/>
    <w:rsid w:val="431A1904"/>
    <w:rsid w:val="4320516C"/>
    <w:rsid w:val="43222C8B"/>
    <w:rsid w:val="43244531"/>
    <w:rsid w:val="432602A9"/>
    <w:rsid w:val="432664FB"/>
    <w:rsid w:val="43271946"/>
    <w:rsid w:val="43284021"/>
    <w:rsid w:val="43285FDD"/>
    <w:rsid w:val="43291B47"/>
    <w:rsid w:val="432A5FEB"/>
    <w:rsid w:val="432B1D63"/>
    <w:rsid w:val="432E715D"/>
    <w:rsid w:val="432F1853"/>
    <w:rsid w:val="432F3601"/>
    <w:rsid w:val="432F53AF"/>
    <w:rsid w:val="433008A3"/>
    <w:rsid w:val="43301127"/>
    <w:rsid w:val="43302ED5"/>
    <w:rsid w:val="433230F1"/>
    <w:rsid w:val="43326EBF"/>
    <w:rsid w:val="43337E46"/>
    <w:rsid w:val="433429C6"/>
    <w:rsid w:val="43362BE2"/>
    <w:rsid w:val="43370708"/>
    <w:rsid w:val="433C46B1"/>
    <w:rsid w:val="433C5D1E"/>
    <w:rsid w:val="433E3844"/>
    <w:rsid w:val="43436B74"/>
    <w:rsid w:val="434370AD"/>
    <w:rsid w:val="4346094B"/>
    <w:rsid w:val="43476B9D"/>
    <w:rsid w:val="4348021F"/>
    <w:rsid w:val="43480943"/>
    <w:rsid w:val="434A25E2"/>
    <w:rsid w:val="434F15AD"/>
    <w:rsid w:val="43500F47"/>
    <w:rsid w:val="4351362D"/>
    <w:rsid w:val="43562A7C"/>
    <w:rsid w:val="43570DAA"/>
    <w:rsid w:val="4359242C"/>
    <w:rsid w:val="435A0E6C"/>
    <w:rsid w:val="435C016E"/>
    <w:rsid w:val="435C1F1C"/>
    <w:rsid w:val="435C668D"/>
    <w:rsid w:val="435D1CBC"/>
    <w:rsid w:val="435D672D"/>
    <w:rsid w:val="435E3EE6"/>
    <w:rsid w:val="436112E1"/>
    <w:rsid w:val="436125E9"/>
    <w:rsid w:val="436444D1"/>
    <w:rsid w:val="43664B49"/>
    <w:rsid w:val="43670FED"/>
    <w:rsid w:val="43675A04"/>
    <w:rsid w:val="436B215F"/>
    <w:rsid w:val="436D7078"/>
    <w:rsid w:val="436D7875"/>
    <w:rsid w:val="437270F3"/>
    <w:rsid w:val="43727992"/>
    <w:rsid w:val="43741014"/>
    <w:rsid w:val="43752EA3"/>
    <w:rsid w:val="43770B04"/>
    <w:rsid w:val="437C436D"/>
    <w:rsid w:val="437C611B"/>
    <w:rsid w:val="437E6337"/>
    <w:rsid w:val="437F1963"/>
    <w:rsid w:val="438032AF"/>
    <w:rsid w:val="43805C0B"/>
    <w:rsid w:val="438324EF"/>
    <w:rsid w:val="438374A9"/>
    <w:rsid w:val="438B2B40"/>
    <w:rsid w:val="438B3EA6"/>
    <w:rsid w:val="438C0A54"/>
    <w:rsid w:val="438F22F2"/>
    <w:rsid w:val="438F40A0"/>
    <w:rsid w:val="43903A09"/>
    <w:rsid w:val="43911BC6"/>
    <w:rsid w:val="4391606A"/>
    <w:rsid w:val="439334F1"/>
    <w:rsid w:val="439478BC"/>
    <w:rsid w:val="439671DC"/>
    <w:rsid w:val="43990038"/>
    <w:rsid w:val="439B47F3"/>
    <w:rsid w:val="439B7EFA"/>
    <w:rsid w:val="439C0680"/>
    <w:rsid w:val="439E2535"/>
    <w:rsid w:val="43A0005B"/>
    <w:rsid w:val="43A044FF"/>
    <w:rsid w:val="43A062AD"/>
    <w:rsid w:val="43A22025"/>
    <w:rsid w:val="43A27383"/>
    <w:rsid w:val="43A51B15"/>
    <w:rsid w:val="43A55454"/>
    <w:rsid w:val="43A63197"/>
    <w:rsid w:val="43AD4526"/>
    <w:rsid w:val="43AF5375"/>
    <w:rsid w:val="43B12268"/>
    <w:rsid w:val="43B21B3C"/>
    <w:rsid w:val="43B36BDA"/>
    <w:rsid w:val="43B41D58"/>
    <w:rsid w:val="43B43B06"/>
    <w:rsid w:val="43B50336"/>
    <w:rsid w:val="43B571B3"/>
    <w:rsid w:val="43B70A87"/>
    <w:rsid w:val="43B9111D"/>
    <w:rsid w:val="43BB30E7"/>
    <w:rsid w:val="43C006FD"/>
    <w:rsid w:val="43C024AB"/>
    <w:rsid w:val="43C24475"/>
    <w:rsid w:val="43C27FD1"/>
    <w:rsid w:val="43C401ED"/>
    <w:rsid w:val="43C875B2"/>
    <w:rsid w:val="43C95804"/>
    <w:rsid w:val="43CA280D"/>
    <w:rsid w:val="43CA50D8"/>
    <w:rsid w:val="43CB512D"/>
    <w:rsid w:val="43CD4BC8"/>
    <w:rsid w:val="43CF0940"/>
    <w:rsid w:val="43CF66A8"/>
    <w:rsid w:val="43CF6B92"/>
    <w:rsid w:val="43D23F8D"/>
    <w:rsid w:val="43D353AE"/>
    <w:rsid w:val="43D561DF"/>
    <w:rsid w:val="43D9356D"/>
    <w:rsid w:val="43DD12AF"/>
    <w:rsid w:val="43DE0B83"/>
    <w:rsid w:val="43DF0CFD"/>
    <w:rsid w:val="43E0474A"/>
    <w:rsid w:val="43E22422"/>
    <w:rsid w:val="43E70A6D"/>
    <w:rsid w:val="43ED5FF6"/>
    <w:rsid w:val="43EF4B3E"/>
    <w:rsid w:val="43F247C7"/>
    <w:rsid w:val="43F263DD"/>
    <w:rsid w:val="43F403A7"/>
    <w:rsid w:val="43F42155"/>
    <w:rsid w:val="43F43707"/>
    <w:rsid w:val="43F54F5F"/>
    <w:rsid w:val="43F60C8F"/>
    <w:rsid w:val="43F6411F"/>
    <w:rsid w:val="43FB1F87"/>
    <w:rsid w:val="43FB7987"/>
    <w:rsid w:val="43FC36AC"/>
    <w:rsid w:val="44000AFA"/>
    <w:rsid w:val="44005B0F"/>
    <w:rsid w:val="44006D4C"/>
    <w:rsid w:val="44020D16"/>
    <w:rsid w:val="44024872"/>
    <w:rsid w:val="4404683C"/>
    <w:rsid w:val="44054362"/>
    <w:rsid w:val="440700DA"/>
    <w:rsid w:val="440920A4"/>
    <w:rsid w:val="440B79EF"/>
    <w:rsid w:val="440D6D0B"/>
    <w:rsid w:val="440F0F41"/>
    <w:rsid w:val="44114AB5"/>
    <w:rsid w:val="441822E7"/>
    <w:rsid w:val="44191BBB"/>
    <w:rsid w:val="441E71D2"/>
    <w:rsid w:val="441F3676"/>
    <w:rsid w:val="4420119C"/>
    <w:rsid w:val="44202F4A"/>
    <w:rsid w:val="44224F14"/>
    <w:rsid w:val="4423303D"/>
    <w:rsid w:val="44240C8C"/>
    <w:rsid w:val="44254A04"/>
    <w:rsid w:val="442567B2"/>
    <w:rsid w:val="4427077C"/>
    <w:rsid w:val="442962A2"/>
    <w:rsid w:val="442A5B77"/>
    <w:rsid w:val="442B0C3B"/>
    <w:rsid w:val="442C18EF"/>
    <w:rsid w:val="442C2E1A"/>
    <w:rsid w:val="442C5D93"/>
    <w:rsid w:val="442E1B0B"/>
    <w:rsid w:val="442F084E"/>
    <w:rsid w:val="442F13DF"/>
    <w:rsid w:val="442F39F3"/>
    <w:rsid w:val="44307631"/>
    <w:rsid w:val="44315157"/>
    <w:rsid w:val="44330ECF"/>
    <w:rsid w:val="443417CC"/>
    <w:rsid w:val="44357FE6"/>
    <w:rsid w:val="44361FAA"/>
    <w:rsid w:val="4436451B"/>
    <w:rsid w:val="443B4F0B"/>
    <w:rsid w:val="443B7D84"/>
    <w:rsid w:val="443B7E95"/>
    <w:rsid w:val="443C4228"/>
    <w:rsid w:val="443F7874"/>
    <w:rsid w:val="44424068"/>
    <w:rsid w:val="44446C38"/>
    <w:rsid w:val="444529B0"/>
    <w:rsid w:val="44476729"/>
    <w:rsid w:val="44496945"/>
    <w:rsid w:val="444B446B"/>
    <w:rsid w:val="444C1F91"/>
    <w:rsid w:val="44511355"/>
    <w:rsid w:val="44531571"/>
    <w:rsid w:val="445350CD"/>
    <w:rsid w:val="445416BA"/>
    <w:rsid w:val="4454269D"/>
    <w:rsid w:val="44557097"/>
    <w:rsid w:val="44564BBE"/>
    <w:rsid w:val="44613C8E"/>
    <w:rsid w:val="44631020"/>
    <w:rsid w:val="4464215F"/>
    <w:rsid w:val="4464552C"/>
    <w:rsid w:val="44686F7B"/>
    <w:rsid w:val="446B68BB"/>
    <w:rsid w:val="446C618F"/>
    <w:rsid w:val="446D7400"/>
    <w:rsid w:val="446F7A2D"/>
    <w:rsid w:val="44703ED1"/>
    <w:rsid w:val="4473751E"/>
    <w:rsid w:val="4475773A"/>
    <w:rsid w:val="44765407"/>
    <w:rsid w:val="44784A74"/>
    <w:rsid w:val="44784B34"/>
    <w:rsid w:val="447A08AC"/>
    <w:rsid w:val="447A7E96"/>
    <w:rsid w:val="447C2876"/>
    <w:rsid w:val="447D6AFD"/>
    <w:rsid w:val="44800952"/>
    <w:rsid w:val="448528B4"/>
    <w:rsid w:val="44870170"/>
    <w:rsid w:val="4487121B"/>
    <w:rsid w:val="44872FC9"/>
    <w:rsid w:val="4488746D"/>
    <w:rsid w:val="448B0D0B"/>
    <w:rsid w:val="448B58BB"/>
    <w:rsid w:val="448C05DF"/>
    <w:rsid w:val="448C1F75"/>
    <w:rsid w:val="448C6831"/>
    <w:rsid w:val="448E07FB"/>
    <w:rsid w:val="448F34CE"/>
    <w:rsid w:val="449000D0"/>
    <w:rsid w:val="44953938"/>
    <w:rsid w:val="44973D85"/>
    <w:rsid w:val="44974FF2"/>
    <w:rsid w:val="44983428"/>
    <w:rsid w:val="44992558"/>
    <w:rsid w:val="449B0822"/>
    <w:rsid w:val="449F34A1"/>
    <w:rsid w:val="449F47B6"/>
    <w:rsid w:val="44A07623"/>
    <w:rsid w:val="44A21BB1"/>
    <w:rsid w:val="44A32AC2"/>
    <w:rsid w:val="44A43B7B"/>
    <w:rsid w:val="44A66F1C"/>
    <w:rsid w:val="44AD0C81"/>
    <w:rsid w:val="44B042E0"/>
    <w:rsid w:val="44B57B36"/>
    <w:rsid w:val="44B7553B"/>
    <w:rsid w:val="44B85878"/>
    <w:rsid w:val="44C10289"/>
    <w:rsid w:val="44C167B8"/>
    <w:rsid w:val="44C71617"/>
    <w:rsid w:val="44C75CC5"/>
    <w:rsid w:val="44C75D5F"/>
    <w:rsid w:val="44CA739B"/>
    <w:rsid w:val="44CB1108"/>
    <w:rsid w:val="44CD1E9C"/>
    <w:rsid w:val="44CD7B1C"/>
    <w:rsid w:val="44D161EA"/>
    <w:rsid w:val="44D34460"/>
    <w:rsid w:val="44D426B2"/>
    <w:rsid w:val="44D83825"/>
    <w:rsid w:val="44DC1567"/>
    <w:rsid w:val="44DC50C3"/>
    <w:rsid w:val="44DD0B46"/>
    <w:rsid w:val="44DF08D0"/>
    <w:rsid w:val="44DF2E05"/>
    <w:rsid w:val="44E33C06"/>
    <w:rsid w:val="44E4041B"/>
    <w:rsid w:val="44E421C9"/>
    <w:rsid w:val="44E73A68"/>
    <w:rsid w:val="44E81CBA"/>
    <w:rsid w:val="44EB7177"/>
    <w:rsid w:val="44EC107E"/>
    <w:rsid w:val="44ED4010"/>
    <w:rsid w:val="44EE3048"/>
    <w:rsid w:val="44EE4DF6"/>
    <w:rsid w:val="44F05012"/>
    <w:rsid w:val="44F06DC0"/>
    <w:rsid w:val="44F22AD9"/>
    <w:rsid w:val="44F3065E"/>
    <w:rsid w:val="44F52628"/>
    <w:rsid w:val="44F857C2"/>
    <w:rsid w:val="44F85C75"/>
    <w:rsid w:val="44FB6886"/>
    <w:rsid w:val="44FC39B7"/>
    <w:rsid w:val="44FC5765"/>
    <w:rsid w:val="44FF34A7"/>
    <w:rsid w:val="45007B27"/>
    <w:rsid w:val="45036AF3"/>
    <w:rsid w:val="4504461A"/>
    <w:rsid w:val="450474AD"/>
    <w:rsid w:val="45060392"/>
    <w:rsid w:val="4508235C"/>
    <w:rsid w:val="450A0BD9"/>
    <w:rsid w:val="450D1720"/>
    <w:rsid w:val="450D7972"/>
    <w:rsid w:val="450F36EA"/>
    <w:rsid w:val="45107462"/>
    <w:rsid w:val="45115463"/>
    <w:rsid w:val="4513485D"/>
    <w:rsid w:val="45195537"/>
    <w:rsid w:val="451A208F"/>
    <w:rsid w:val="451A3E3D"/>
    <w:rsid w:val="451A579C"/>
    <w:rsid w:val="451A5BEB"/>
    <w:rsid w:val="451C5E07"/>
    <w:rsid w:val="451E337D"/>
    <w:rsid w:val="451E56DB"/>
    <w:rsid w:val="45230F44"/>
    <w:rsid w:val="4525779B"/>
    <w:rsid w:val="4528655A"/>
    <w:rsid w:val="45294080"/>
    <w:rsid w:val="452B1BA6"/>
    <w:rsid w:val="452B7DF8"/>
    <w:rsid w:val="453018B3"/>
    <w:rsid w:val="45303661"/>
    <w:rsid w:val="45321187"/>
    <w:rsid w:val="45375A2B"/>
    <w:rsid w:val="453A003B"/>
    <w:rsid w:val="453F0F59"/>
    <w:rsid w:val="453F5652"/>
    <w:rsid w:val="4541586E"/>
    <w:rsid w:val="454168E5"/>
    <w:rsid w:val="4541761C"/>
    <w:rsid w:val="45430D6A"/>
    <w:rsid w:val="45440EBA"/>
    <w:rsid w:val="45441C71"/>
    <w:rsid w:val="45442C68"/>
    <w:rsid w:val="45444959"/>
    <w:rsid w:val="4545710C"/>
    <w:rsid w:val="45462E84"/>
    <w:rsid w:val="45482758"/>
    <w:rsid w:val="454B3FF6"/>
    <w:rsid w:val="454C73D3"/>
    <w:rsid w:val="454F1D39"/>
    <w:rsid w:val="455530C7"/>
    <w:rsid w:val="45554E75"/>
    <w:rsid w:val="45560921"/>
    <w:rsid w:val="45575091"/>
    <w:rsid w:val="45576E3F"/>
    <w:rsid w:val="455B266E"/>
    <w:rsid w:val="455E1F7C"/>
    <w:rsid w:val="455E24C9"/>
    <w:rsid w:val="45611010"/>
    <w:rsid w:val="45633A36"/>
    <w:rsid w:val="456442B5"/>
    <w:rsid w:val="45647319"/>
    <w:rsid w:val="4565155C"/>
    <w:rsid w:val="456A0921"/>
    <w:rsid w:val="456A6B72"/>
    <w:rsid w:val="456B28EB"/>
    <w:rsid w:val="456E4E81"/>
    <w:rsid w:val="456E5B41"/>
    <w:rsid w:val="456F23DB"/>
    <w:rsid w:val="4574179F"/>
    <w:rsid w:val="457572C5"/>
    <w:rsid w:val="45763769"/>
    <w:rsid w:val="4577128F"/>
    <w:rsid w:val="45777448"/>
    <w:rsid w:val="457B2B2E"/>
    <w:rsid w:val="457C2402"/>
    <w:rsid w:val="457C68A6"/>
    <w:rsid w:val="457E0857"/>
    <w:rsid w:val="457E42BB"/>
    <w:rsid w:val="457F25AC"/>
    <w:rsid w:val="45804B5E"/>
    <w:rsid w:val="4582034A"/>
    <w:rsid w:val="458319E2"/>
    <w:rsid w:val="45837C34"/>
    <w:rsid w:val="4585533A"/>
    <w:rsid w:val="45897B99"/>
    <w:rsid w:val="458A0FC3"/>
    <w:rsid w:val="458C4D3B"/>
    <w:rsid w:val="458E1ABF"/>
    <w:rsid w:val="458F65D9"/>
    <w:rsid w:val="45962A23"/>
    <w:rsid w:val="45991971"/>
    <w:rsid w:val="459B6D2C"/>
    <w:rsid w:val="459E681C"/>
    <w:rsid w:val="45A04342"/>
    <w:rsid w:val="45A2455E"/>
    <w:rsid w:val="45A33E32"/>
    <w:rsid w:val="45A55DFD"/>
    <w:rsid w:val="45A57BAB"/>
    <w:rsid w:val="45A71B75"/>
    <w:rsid w:val="45A755F8"/>
    <w:rsid w:val="45AA3F79"/>
    <w:rsid w:val="45AC0F39"/>
    <w:rsid w:val="45AF27D7"/>
    <w:rsid w:val="45B24076"/>
    <w:rsid w:val="45B61DB8"/>
    <w:rsid w:val="45B7168C"/>
    <w:rsid w:val="45B778DE"/>
    <w:rsid w:val="45B8657D"/>
    <w:rsid w:val="45B97915"/>
    <w:rsid w:val="45BB5620"/>
    <w:rsid w:val="45BC4EF4"/>
    <w:rsid w:val="45BE2A1A"/>
    <w:rsid w:val="45BF7093"/>
    <w:rsid w:val="45C02C36"/>
    <w:rsid w:val="45C142B9"/>
    <w:rsid w:val="45C877A2"/>
    <w:rsid w:val="45C950C2"/>
    <w:rsid w:val="45CA13BF"/>
    <w:rsid w:val="45CA3563"/>
    <w:rsid w:val="45CC3389"/>
    <w:rsid w:val="45CC5137"/>
    <w:rsid w:val="45CD0EAF"/>
    <w:rsid w:val="45CF69D6"/>
    <w:rsid w:val="45D3296A"/>
    <w:rsid w:val="45D33185"/>
    <w:rsid w:val="45D76A9C"/>
    <w:rsid w:val="45D97854"/>
    <w:rsid w:val="45DD5596"/>
    <w:rsid w:val="45DE130F"/>
    <w:rsid w:val="45DE4E6B"/>
    <w:rsid w:val="45DF26CC"/>
    <w:rsid w:val="45DF42EB"/>
    <w:rsid w:val="45DF42F9"/>
    <w:rsid w:val="45E22BAD"/>
    <w:rsid w:val="45E32481"/>
    <w:rsid w:val="45E4410A"/>
    <w:rsid w:val="45E5269D"/>
    <w:rsid w:val="45E631D5"/>
    <w:rsid w:val="45E701C3"/>
    <w:rsid w:val="45E76415"/>
    <w:rsid w:val="45E85CE9"/>
    <w:rsid w:val="45EA380F"/>
    <w:rsid w:val="45EC57D9"/>
    <w:rsid w:val="45ED50AE"/>
    <w:rsid w:val="45EF0E26"/>
    <w:rsid w:val="45F1269A"/>
    <w:rsid w:val="45F36B68"/>
    <w:rsid w:val="45F4468E"/>
    <w:rsid w:val="45F60406"/>
    <w:rsid w:val="45F6655B"/>
    <w:rsid w:val="45F83A10"/>
    <w:rsid w:val="45F8417E"/>
    <w:rsid w:val="45F91CA4"/>
    <w:rsid w:val="45F959CA"/>
    <w:rsid w:val="45F97EF6"/>
    <w:rsid w:val="45FB77CB"/>
    <w:rsid w:val="45FE30F0"/>
    <w:rsid w:val="46014AC2"/>
    <w:rsid w:val="46020B59"/>
    <w:rsid w:val="46024FFD"/>
    <w:rsid w:val="460447CF"/>
    <w:rsid w:val="4607345B"/>
    <w:rsid w:val="46081EE8"/>
    <w:rsid w:val="460A1D1C"/>
    <w:rsid w:val="460A5E25"/>
    <w:rsid w:val="460D1A6F"/>
    <w:rsid w:val="460D5750"/>
    <w:rsid w:val="460F14C8"/>
    <w:rsid w:val="46115240"/>
    <w:rsid w:val="46153952"/>
    <w:rsid w:val="46155307"/>
    <w:rsid w:val="46160AEE"/>
    <w:rsid w:val="46164604"/>
    <w:rsid w:val="461865CE"/>
    <w:rsid w:val="46195EA3"/>
    <w:rsid w:val="461A0599"/>
    <w:rsid w:val="461A2CBB"/>
    <w:rsid w:val="461D3BE5"/>
    <w:rsid w:val="461F14A9"/>
    <w:rsid w:val="46202D9A"/>
    <w:rsid w:val="46235D12"/>
    <w:rsid w:val="4629258A"/>
    <w:rsid w:val="462E5798"/>
    <w:rsid w:val="4630064A"/>
    <w:rsid w:val="46305253"/>
    <w:rsid w:val="463116B1"/>
    <w:rsid w:val="46313BA0"/>
    <w:rsid w:val="46320F47"/>
    <w:rsid w:val="46342CDD"/>
    <w:rsid w:val="46350142"/>
    <w:rsid w:val="46362EF9"/>
    <w:rsid w:val="463A4797"/>
    <w:rsid w:val="463E496A"/>
    <w:rsid w:val="463F3C9A"/>
    <w:rsid w:val="46401AF1"/>
    <w:rsid w:val="46441478"/>
    <w:rsid w:val="464473C4"/>
    <w:rsid w:val="4645313C"/>
    <w:rsid w:val="46454EEA"/>
    <w:rsid w:val="46476EB4"/>
    <w:rsid w:val="464861CE"/>
    <w:rsid w:val="464A0752"/>
    <w:rsid w:val="464C7736"/>
    <w:rsid w:val="464E0242"/>
    <w:rsid w:val="464E1FF0"/>
    <w:rsid w:val="464F25D7"/>
    <w:rsid w:val="464F7B16"/>
    <w:rsid w:val="46511AE0"/>
    <w:rsid w:val="46517D32"/>
    <w:rsid w:val="46526569"/>
    <w:rsid w:val="46537607"/>
    <w:rsid w:val="4654337F"/>
    <w:rsid w:val="46545FB4"/>
    <w:rsid w:val="46560EA5"/>
    <w:rsid w:val="4658104C"/>
    <w:rsid w:val="46582E6F"/>
    <w:rsid w:val="465D2233"/>
    <w:rsid w:val="46612515"/>
    <w:rsid w:val="46633E5E"/>
    <w:rsid w:val="466A27E6"/>
    <w:rsid w:val="466B0DF4"/>
    <w:rsid w:val="466D6B15"/>
    <w:rsid w:val="466E2692"/>
    <w:rsid w:val="466E61EE"/>
    <w:rsid w:val="467121DE"/>
    <w:rsid w:val="46717A8D"/>
    <w:rsid w:val="46735870"/>
    <w:rsid w:val="46737CA9"/>
    <w:rsid w:val="46740730"/>
    <w:rsid w:val="467632F5"/>
    <w:rsid w:val="4676729B"/>
    <w:rsid w:val="46767799"/>
    <w:rsid w:val="467A0F90"/>
    <w:rsid w:val="467F03FC"/>
    <w:rsid w:val="46804174"/>
    <w:rsid w:val="46810B28"/>
    <w:rsid w:val="468123C6"/>
    <w:rsid w:val="46820877"/>
    <w:rsid w:val="46827EEC"/>
    <w:rsid w:val="468477C0"/>
    <w:rsid w:val="46865586"/>
    <w:rsid w:val="468772B0"/>
    <w:rsid w:val="46893028"/>
    <w:rsid w:val="468974CC"/>
    <w:rsid w:val="468A0DE6"/>
    <w:rsid w:val="468C48C7"/>
    <w:rsid w:val="468E4AE3"/>
    <w:rsid w:val="468E6891"/>
    <w:rsid w:val="468F6C1A"/>
    <w:rsid w:val="46902609"/>
    <w:rsid w:val="46911EDD"/>
    <w:rsid w:val="46916381"/>
    <w:rsid w:val="46916E54"/>
    <w:rsid w:val="46925734"/>
    <w:rsid w:val="46932F3D"/>
    <w:rsid w:val="469367E2"/>
    <w:rsid w:val="46945A0F"/>
    <w:rsid w:val="46960E65"/>
    <w:rsid w:val="46963997"/>
    <w:rsid w:val="46971BE9"/>
    <w:rsid w:val="469814BD"/>
    <w:rsid w:val="469A3487"/>
    <w:rsid w:val="469A5235"/>
    <w:rsid w:val="469B2D5C"/>
    <w:rsid w:val="46A14816"/>
    <w:rsid w:val="46A240EA"/>
    <w:rsid w:val="46A41C10"/>
    <w:rsid w:val="46A460B4"/>
    <w:rsid w:val="46A936CA"/>
    <w:rsid w:val="46AF0FD5"/>
    <w:rsid w:val="46B053A1"/>
    <w:rsid w:val="46B1257F"/>
    <w:rsid w:val="46B34549"/>
    <w:rsid w:val="46B533C1"/>
    <w:rsid w:val="46B70BF7"/>
    <w:rsid w:val="46B856BC"/>
    <w:rsid w:val="46B9730C"/>
    <w:rsid w:val="46BB51AC"/>
    <w:rsid w:val="46BC33FE"/>
    <w:rsid w:val="46BC628E"/>
    <w:rsid w:val="46BF2EEE"/>
    <w:rsid w:val="46BF4C9C"/>
    <w:rsid w:val="46C113AE"/>
    <w:rsid w:val="46C40504"/>
    <w:rsid w:val="46C47EE3"/>
    <w:rsid w:val="46C56DBC"/>
    <w:rsid w:val="46C67DD9"/>
    <w:rsid w:val="46C745CC"/>
    <w:rsid w:val="46C94266"/>
    <w:rsid w:val="46CE3131"/>
    <w:rsid w:val="46CF5E87"/>
    <w:rsid w:val="46D02A05"/>
    <w:rsid w:val="46D361EE"/>
    <w:rsid w:val="46D60AB1"/>
    <w:rsid w:val="46D86895"/>
    <w:rsid w:val="46D93A89"/>
    <w:rsid w:val="46DA0645"/>
    <w:rsid w:val="46DC0F2A"/>
    <w:rsid w:val="46DE7680"/>
    <w:rsid w:val="46DF533E"/>
    <w:rsid w:val="46DF70EC"/>
    <w:rsid w:val="46E42955"/>
    <w:rsid w:val="46E446A9"/>
    <w:rsid w:val="46E6047B"/>
    <w:rsid w:val="46E75FA1"/>
    <w:rsid w:val="46E841F3"/>
    <w:rsid w:val="46EC63A6"/>
    <w:rsid w:val="46ED1809"/>
    <w:rsid w:val="46ED4E33"/>
    <w:rsid w:val="46EE37D3"/>
    <w:rsid w:val="46EE3897"/>
    <w:rsid w:val="46F00D70"/>
    <w:rsid w:val="46F06F25"/>
    <w:rsid w:val="46F26E20"/>
    <w:rsid w:val="46F30DEA"/>
    <w:rsid w:val="46F4472F"/>
    <w:rsid w:val="46F661E4"/>
    <w:rsid w:val="46FA1179"/>
    <w:rsid w:val="46FD7572"/>
    <w:rsid w:val="46FF153C"/>
    <w:rsid w:val="46FF32EA"/>
    <w:rsid w:val="470041B9"/>
    <w:rsid w:val="4703319D"/>
    <w:rsid w:val="47044DA5"/>
    <w:rsid w:val="47046B53"/>
    <w:rsid w:val="470703F1"/>
    <w:rsid w:val="47072195"/>
    <w:rsid w:val="47086643"/>
    <w:rsid w:val="470923BB"/>
    <w:rsid w:val="470D3C59"/>
    <w:rsid w:val="470E352E"/>
    <w:rsid w:val="470E79D1"/>
    <w:rsid w:val="471054F8"/>
    <w:rsid w:val="4711133C"/>
    <w:rsid w:val="47120309"/>
    <w:rsid w:val="4712301E"/>
    <w:rsid w:val="471274C2"/>
    <w:rsid w:val="47134F3B"/>
    <w:rsid w:val="47174AD8"/>
    <w:rsid w:val="471825FE"/>
    <w:rsid w:val="47182CC8"/>
    <w:rsid w:val="471A0124"/>
    <w:rsid w:val="471A6C25"/>
    <w:rsid w:val="471C3E9C"/>
    <w:rsid w:val="471E5E67"/>
    <w:rsid w:val="471F1BDF"/>
    <w:rsid w:val="472114B3"/>
    <w:rsid w:val="47223F30"/>
    <w:rsid w:val="47255E82"/>
    <w:rsid w:val="47257957"/>
    <w:rsid w:val="472C4F7A"/>
    <w:rsid w:val="472D7E58"/>
    <w:rsid w:val="47305B9A"/>
    <w:rsid w:val="473236C0"/>
    <w:rsid w:val="4734568A"/>
    <w:rsid w:val="47347438"/>
    <w:rsid w:val="47385407"/>
    <w:rsid w:val="47394A4E"/>
    <w:rsid w:val="473E081F"/>
    <w:rsid w:val="473F33F0"/>
    <w:rsid w:val="474305F6"/>
    <w:rsid w:val="474358CD"/>
    <w:rsid w:val="47437CE6"/>
    <w:rsid w:val="47444691"/>
    <w:rsid w:val="47456DDE"/>
    <w:rsid w:val="47460F19"/>
    <w:rsid w:val="474720F6"/>
    <w:rsid w:val="47482EE3"/>
    <w:rsid w:val="47490A0A"/>
    <w:rsid w:val="474B6530"/>
    <w:rsid w:val="474C39E8"/>
    <w:rsid w:val="474D22A8"/>
    <w:rsid w:val="474D4586"/>
    <w:rsid w:val="47523D62"/>
    <w:rsid w:val="475573AE"/>
    <w:rsid w:val="47562428"/>
    <w:rsid w:val="475D0075"/>
    <w:rsid w:val="475F1FDB"/>
    <w:rsid w:val="47605BC6"/>
    <w:rsid w:val="47633879"/>
    <w:rsid w:val="476475F1"/>
    <w:rsid w:val="47652852"/>
    <w:rsid w:val="47694C08"/>
    <w:rsid w:val="476A10AC"/>
    <w:rsid w:val="476A2E5A"/>
    <w:rsid w:val="476F4F18"/>
    <w:rsid w:val="477041E8"/>
    <w:rsid w:val="47727F60"/>
    <w:rsid w:val="477535AD"/>
    <w:rsid w:val="47775577"/>
    <w:rsid w:val="47775DDF"/>
    <w:rsid w:val="47777325"/>
    <w:rsid w:val="47781E40"/>
    <w:rsid w:val="47794E4B"/>
    <w:rsid w:val="477B5067"/>
    <w:rsid w:val="477C2B8D"/>
    <w:rsid w:val="477C493B"/>
    <w:rsid w:val="477D6972"/>
    <w:rsid w:val="477E1670"/>
    <w:rsid w:val="477E4B57"/>
    <w:rsid w:val="477F0A9D"/>
    <w:rsid w:val="47811FA4"/>
    <w:rsid w:val="478203CF"/>
    <w:rsid w:val="47833F1C"/>
    <w:rsid w:val="47836981"/>
    <w:rsid w:val="478373AF"/>
    <w:rsid w:val="478B1022"/>
    <w:rsid w:val="478F28C0"/>
    <w:rsid w:val="478F67EB"/>
    <w:rsid w:val="479003E6"/>
    <w:rsid w:val="47911556"/>
    <w:rsid w:val="47924322"/>
    <w:rsid w:val="479C4FDD"/>
    <w:rsid w:val="47A037F9"/>
    <w:rsid w:val="47A04ACD"/>
    <w:rsid w:val="47A10846"/>
    <w:rsid w:val="47A20030"/>
    <w:rsid w:val="47A23D34"/>
    <w:rsid w:val="47A311D0"/>
    <w:rsid w:val="47A3636C"/>
    <w:rsid w:val="47A479CC"/>
    <w:rsid w:val="47A53E92"/>
    <w:rsid w:val="47A81209"/>
    <w:rsid w:val="47A81BD4"/>
    <w:rsid w:val="47AB5220"/>
    <w:rsid w:val="47AB6C3D"/>
    <w:rsid w:val="47AF4D11"/>
    <w:rsid w:val="47B10A89"/>
    <w:rsid w:val="47B12E23"/>
    <w:rsid w:val="47B24801"/>
    <w:rsid w:val="47B42327"/>
    <w:rsid w:val="47B440D5"/>
    <w:rsid w:val="47B57E4D"/>
    <w:rsid w:val="47B75973"/>
    <w:rsid w:val="47B77A42"/>
    <w:rsid w:val="47B93D6C"/>
    <w:rsid w:val="47B9478D"/>
    <w:rsid w:val="47BB1907"/>
    <w:rsid w:val="47BC13A9"/>
    <w:rsid w:val="47C044F8"/>
    <w:rsid w:val="47C91DEC"/>
    <w:rsid w:val="47CE0924"/>
    <w:rsid w:val="47D115FE"/>
    <w:rsid w:val="47D20620"/>
    <w:rsid w:val="47D209FF"/>
    <w:rsid w:val="47D247C1"/>
    <w:rsid w:val="47D57F3B"/>
    <w:rsid w:val="47D604EF"/>
    <w:rsid w:val="47D6611B"/>
    <w:rsid w:val="47D72A0D"/>
    <w:rsid w:val="47D74267"/>
    <w:rsid w:val="47D91D8D"/>
    <w:rsid w:val="47DC187E"/>
    <w:rsid w:val="47DE1152"/>
    <w:rsid w:val="47E0136E"/>
    <w:rsid w:val="47E04ECA"/>
    <w:rsid w:val="47E10C42"/>
    <w:rsid w:val="47E250E6"/>
    <w:rsid w:val="47E30E5E"/>
    <w:rsid w:val="47E50732"/>
    <w:rsid w:val="47E744AA"/>
    <w:rsid w:val="47E929C7"/>
    <w:rsid w:val="47EA3F9B"/>
    <w:rsid w:val="47EA5D49"/>
    <w:rsid w:val="47EB386F"/>
    <w:rsid w:val="47ED2433"/>
    <w:rsid w:val="47ED3A8B"/>
    <w:rsid w:val="47ED5839"/>
    <w:rsid w:val="47EE451F"/>
    <w:rsid w:val="47F0015D"/>
    <w:rsid w:val="47F00E85"/>
    <w:rsid w:val="47F210A1"/>
    <w:rsid w:val="47F26E19"/>
    <w:rsid w:val="47F40975"/>
    <w:rsid w:val="47F646ED"/>
    <w:rsid w:val="47F829BB"/>
    <w:rsid w:val="47F866B8"/>
    <w:rsid w:val="47F941DE"/>
    <w:rsid w:val="47FC782A"/>
    <w:rsid w:val="47FE7A46"/>
    <w:rsid w:val="4800556C"/>
    <w:rsid w:val="48046405"/>
    <w:rsid w:val="48052B82"/>
    <w:rsid w:val="48054931"/>
    <w:rsid w:val="48061F84"/>
    <w:rsid w:val="48064CD8"/>
    <w:rsid w:val="480C3F11"/>
    <w:rsid w:val="480E45EC"/>
    <w:rsid w:val="480F1B5E"/>
    <w:rsid w:val="48100B60"/>
    <w:rsid w:val="48164D90"/>
    <w:rsid w:val="48180B08"/>
    <w:rsid w:val="481B05F8"/>
    <w:rsid w:val="481B3532"/>
    <w:rsid w:val="481D7ECC"/>
    <w:rsid w:val="481F6949"/>
    <w:rsid w:val="482079BC"/>
    <w:rsid w:val="48223734"/>
    <w:rsid w:val="482374AD"/>
    <w:rsid w:val="482400D6"/>
    <w:rsid w:val="48247721"/>
    <w:rsid w:val="48254FD3"/>
    <w:rsid w:val="4826308B"/>
    <w:rsid w:val="48270D4B"/>
    <w:rsid w:val="48280C73"/>
    <w:rsid w:val="48286871"/>
    <w:rsid w:val="4829517C"/>
    <w:rsid w:val="482A25E9"/>
    <w:rsid w:val="482A4397"/>
    <w:rsid w:val="482B6964"/>
    <w:rsid w:val="48307DEC"/>
    <w:rsid w:val="48315726"/>
    <w:rsid w:val="48337EFA"/>
    <w:rsid w:val="48376AB4"/>
    <w:rsid w:val="48391F39"/>
    <w:rsid w:val="483B0352"/>
    <w:rsid w:val="483B47F6"/>
    <w:rsid w:val="483D056E"/>
    <w:rsid w:val="483D45DA"/>
    <w:rsid w:val="4840005F"/>
    <w:rsid w:val="484336AB"/>
    <w:rsid w:val="48434FC9"/>
    <w:rsid w:val="484418FD"/>
    <w:rsid w:val="48457423"/>
    <w:rsid w:val="48476250"/>
    <w:rsid w:val="48483FF3"/>
    <w:rsid w:val="48487415"/>
    <w:rsid w:val="48496F13"/>
    <w:rsid w:val="484C07B1"/>
    <w:rsid w:val="484C255F"/>
    <w:rsid w:val="484D24D2"/>
    <w:rsid w:val="484E4529"/>
    <w:rsid w:val="484F02A2"/>
    <w:rsid w:val="484F2050"/>
    <w:rsid w:val="48515DC8"/>
    <w:rsid w:val="48537D92"/>
    <w:rsid w:val="485458B8"/>
    <w:rsid w:val="48592ECE"/>
    <w:rsid w:val="48594B98"/>
    <w:rsid w:val="485B6C01"/>
    <w:rsid w:val="485B6C46"/>
    <w:rsid w:val="485D3FBE"/>
    <w:rsid w:val="485D476D"/>
    <w:rsid w:val="485E04E5"/>
    <w:rsid w:val="485E2293"/>
    <w:rsid w:val="4860600B"/>
    <w:rsid w:val="48623B31"/>
    <w:rsid w:val="48662F21"/>
    <w:rsid w:val="486A6E89"/>
    <w:rsid w:val="486B1B3A"/>
    <w:rsid w:val="486B1EB6"/>
    <w:rsid w:val="48711FC6"/>
    <w:rsid w:val="4872475D"/>
    <w:rsid w:val="48735D3E"/>
    <w:rsid w:val="4873782B"/>
    <w:rsid w:val="487541E4"/>
    <w:rsid w:val="4876582E"/>
    <w:rsid w:val="487B1097"/>
    <w:rsid w:val="487D4E0F"/>
    <w:rsid w:val="487E53C2"/>
    <w:rsid w:val="487F59B9"/>
    <w:rsid w:val="4880045B"/>
    <w:rsid w:val="488066AD"/>
    <w:rsid w:val="4881754B"/>
    <w:rsid w:val="48877A3B"/>
    <w:rsid w:val="4888563D"/>
    <w:rsid w:val="48895562"/>
    <w:rsid w:val="488C32A4"/>
    <w:rsid w:val="488C5501"/>
    <w:rsid w:val="488E43C6"/>
    <w:rsid w:val="488F069E"/>
    <w:rsid w:val="489363E0"/>
    <w:rsid w:val="48951557"/>
    <w:rsid w:val="4896248C"/>
    <w:rsid w:val="489839F7"/>
    <w:rsid w:val="489A1407"/>
    <w:rsid w:val="489B65AD"/>
    <w:rsid w:val="489D100D"/>
    <w:rsid w:val="489F0DA6"/>
    <w:rsid w:val="489F2FD7"/>
    <w:rsid w:val="48A04659"/>
    <w:rsid w:val="48A06C37"/>
    <w:rsid w:val="48A4239B"/>
    <w:rsid w:val="48A65DE4"/>
    <w:rsid w:val="48AB58D0"/>
    <w:rsid w:val="48AD4E73"/>
    <w:rsid w:val="48AD6E5F"/>
    <w:rsid w:val="48B00D40"/>
    <w:rsid w:val="48B14AB8"/>
    <w:rsid w:val="48B3438D"/>
    <w:rsid w:val="48B87BF5"/>
    <w:rsid w:val="48BD520B"/>
    <w:rsid w:val="48BE0390"/>
    <w:rsid w:val="48BE68C8"/>
    <w:rsid w:val="48C22822"/>
    <w:rsid w:val="48C52312"/>
    <w:rsid w:val="48C7608A"/>
    <w:rsid w:val="48CA3587"/>
    <w:rsid w:val="48CB3DCC"/>
    <w:rsid w:val="48CB5B7A"/>
    <w:rsid w:val="48CC18F2"/>
    <w:rsid w:val="48CE7418"/>
    <w:rsid w:val="48D013E2"/>
    <w:rsid w:val="48D04C93"/>
    <w:rsid w:val="48D97A4A"/>
    <w:rsid w:val="48DA400F"/>
    <w:rsid w:val="48DB38E3"/>
    <w:rsid w:val="48DC7D87"/>
    <w:rsid w:val="48DD3AFF"/>
    <w:rsid w:val="48E1539E"/>
    <w:rsid w:val="48E24C72"/>
    <w:rsid w:val="48E40097"/>
    <w:rsid w:val="48E409EA"/>
    <w:rsid w:val="48E52AAE"/>
    <w:rsid w:val="48E63E09"/>
    <w:rsid w:val="48E64762"/>
    <w:rsid w:val="48E67DE4"/>
    <w:rsid w:val="48EA334C"/>
    <w:rsid w:val="48EB7FCA"/>
    <w:rsid w:val="48EE315D"/>
    <w:rsid w:val="48EE6DB8"/>
    <w:rsid w:val="48F06C8F"/>
    <w:rsid w:val="48F21359"/>
    <w:rsid w:val="48F31A46"/>
    <w:rsid w:val="48F36E7F"/>
    <w:rsid w:val="48F3729B"/>
    <w:rsid w:val="48F50E49"/>
    <w:rsid w:val="48F549A5"/>
    <w:rsid w:val="48F74BC1"/>
    <w:rsid w:val="48FC1C38"/>
    <w:rsid w:val="48FF1386"/>
    <w:rsid w:val="48FF5824"/>
    <w:rsid w:val="48FF6CB3"/>
    <w:rsid w:val="4901159C"/>
    <w:rsid w:val="490966A2"/>
    <w:rsid w:val="490B6E55"/>
    <w:rsid w:val="490C764F"/>
    <w:rsid w:val="49105C83"/>
    <w:rsid w:val="49155047"/>
    <w:rsid w:val="491868E5"/>
    <w:rsid w:val="491A265E"/>
    <w:rsid w:val="491B335F"/>
    <w:rsid w:val="491B44DC"/>
    <w:rsid w:val="491C3233"/>
    <w:rsid w:val="491C63D6"/>
    <w:rsid w:val="491D214E"/>
    <w:rsid w:val="491D5CAA"/>
    <w:rsid w:val="49206844"/>
    <w:rsid w:val="492360B3"/>
    <w:rsid w:val="492471C9"/>
    <w:rsid w:val="49263B08"/>
    <w:rsid w:val="49265F2E"/>
    <w:rsid w:val="49271743"/>
    <w:rsid w:val="492756F8"/>
    <w:rsid w:val="49290AF3"/>
    <w:rsid w:val="4929464F"/>
    <w:rsid w:val="49296D45"/>
    <w:rsid w:val="492B6619"/>
    <w:rsid w:val="492C093E"/>
    <w:rsid w:val="492D2391"/>
    <w:rsid w:val="492E435B"/>
    <w:rsid w:val="49301E81"/>
    <w:rsid w:val="49303C2F"/>
    <w:rsid w:val="49310C32"/>
    <w:rsid w:val="493168D5"/>
    <w:rsid w:val="49316F70"/>
    <w:rsid w:val="49320D4E"/>
    <w:rsid w:val="49325995"/>
    <w:rsid w:val="49374FBE"/>
    <w:rsid w:val="493C0B62"/>
    <w:rsid w:val="4941408E"/>
    <w:rsid w:val="49423962"/>
    <w:rsid w:val="49424D05"/>
    <w:rsid w:val="49431BB4"/>
    <w:rsid w:val="4944592C"/>
    <w:rsid w:val="494476DB"/>
    <w:rsid w:val="49463453"/>
    <w:rsid w:val="4947762D"/>
    <w:rsid w:val="49496E34"/>
    <w:rsid w:val="49541FD2"/>
    <w:rsid w:val="4954445C"/>
    <w:rsid w:val="49553535"/>
    <w:rsid w:val="495711BC"/>
    <w:rsid w:val="4957740E"/>
    <w:rsid w:val="495913D8"/>
    <w:rsid w:val="495A5150"/>
    <w:rsid w:val="495A6EFE"/>
    <w:rsid w:val="495C2C76"/>
    <w:rsid w:val="495D7988"/>
    <w:rsid w:val="495F4514"/>
    <w:rsid w:val="496304FF"/>
    <w:rsid w:val="496438D9"/>
    <w:rsid w:val="496717FC"/>
    <w:rsid w:val="49675177"/>
    <w:rsid w:val="4968161B"/>
    <w:rsid w:val="496833C9"/>
    <w:rsid w:val="496947E1"/>
    <w:rsid w:val="496B2EB9"/>
    <w:rsid w:val="496D4E83"/>
    <w:rsid w:val="49731D6E"/>
    <w:rsid w:val="49753D38"/>
    <w:rsid w:val="4977360C"/>
    <w:rsid w:val="49795539"/>
    <w:rsid w:val="498126DD"/>
    <w:rsid w:val="49831FB1"/>
    <w:rsid w:val="49842468"/>
    <w:rsid w:val="4984324F"/>
    <w:rsid w:val="49877552"/>
    <w:rsid w:val="498B2E59"/>
    <w:rsid w:val="499046CE"/>
    <w:rsid w:val="49906437"/>
    <w:rsid w:val="49942F2B"/>
    <w:rsid w:val="49956188"/>
    <w:rsid w:val="499A360F"/>
    <w:rsid w:val="499C3073"/>
    <w:rsid w:val="499C5552"/>
    <w:rsid w:val="499E6DEB"/>
    <w:rsid w:val="499F0A6C"/>
    <w:rsid w:val="49A07007"/>
    <w:rsid w:val="49A14B2D"/>
    <w:rsid w:val="49A62143"/>
    <w:rsid w:val="49A81A17"/>
    <w:rsid w:val="49A87C69"/>
    <w:rsid w:val="49A979D2"/>
    <w:rsid w:val="49AB59AC"/>
    <w:rsid w:val="49AD2AFC"/>
    <w:rsid w:val="49B11428"/>
    <w:rsid w:val="49B20A69"/>
    <w:rsid w:val="49B26D3A"/>
    <w:rsid w:val="49B27B2C"/>
    <w:rsid w:val="49B303BC"/>
    <w:rsid w:val="49B32366"/>
    <w:rsid w:val="49B46D37"/>
    <w:rsid w:val="49B51BE9"/>
    <w:rsid w:val="49BC1967"/>
    <w:rsid w:val="49BC3715"/>
    <w:rsid w:val="49BC54C3"/>
    <w:rsid w:val="49BE2A0A"/>
    <w:rsid w:val="49BE52E9"/>
    <w:rsid w:val="49C03205"/>
    <w:rsid w:val="49C11094"/>
    <w:rsid w:val="49C216D2"/>
    <w:rsid w:val="49C27C4A"/>
    <w:rsid w:val="49C425C9"/>
    <w:rsid w:val="49C44304"/>
    <w:rsid w:val="49C5690D"/>
    <w:rsid w:val="49C641CC"/>
    <w:rsid w:val="49C8030C"/>
    <w:rsid w:val="49C86C2C"/>
    <w:rsid w:val="49CB3958"/>
    <w:rsid w:val="49CC7DFC"/>
    <w:rsid w:val="49CD29D6"/>
    <w:rsid w:val="49CE2073"/>
    <w:rsid w:val="49CF3448"/>
    <w:rsid w:val="49CF37DD"/>
    <w:rsid w:val="49CF51F6"/>
    <w:rsid w:val="49D00F6E"/>
    <w:rsid w:val="49D15412"/>
    <w:rsid w:val="49D36098"/>
    <w:rsid w:val="49D46CB0"/>
    <w:rsid w:val="49D547D7"/>
    <w:rsid w:val="49D80A75"/>
    <w:rsid w:val="49D92519"/>
    <w:rsid w:val="49D96075"/>
    <w:rsid w:val="49D97E23"/>
    <w:rsid w:val="49DA3B9B"/>
    <w:rsid w:val="49DB1DED"/>
    <w:rsid w:val="49DE18DD"/>
    <w:rsid w:val="49E07403"/>
    <w:rsid w:val="49E1317B"/>
    <w:rsid w:val="49E14F29"/>
    <w:rsid w:val="49E16794"/>
    <w:rsid w:val="49E544E0"/>
    <w:rsid w:val="49E62540"/>
    <w:rsid w:val="49E77364"/>
    <w:rsid w:val="49E862B8"/>
    <w:rsid w:val="49EC0159"/>
    <w:rsid w:val="49F41101"/>
    <w:rsid w:val="49F42EAF"/>
    <w:rsid w:val="49F43EFB"/>
    <w:rsid w:val="49F44C5D"/>
    <w:rsid w:val="49F509D5"/>
    <w:rsid w:val="49F92586"/>
    <w:rsid w:val="49F954BB"/>
    <w:rsid w:val="49FA4868"/>
    <w:rsid w:val="49FA5FEB"/>
    <w:rsid w:val="49FB423D"/>
    <w:rsid w:val="49FC515A"/>
    <w:rsid w:val="49FD6207"/>
    <w:rsid w:val="49FE3D2D"/>
    <w:rsid w:val="49FE5ADB"/>
    <w:rsid w:val="4A003601"/>
    <w:rsid w:val="4A012A03"/>
    <w:rsid w:val="4A02381D"/>
    <w:rsid w:val="4A0310D5"/>
    <w:rsid w:val="4A037596"/>
    <w:rsid w:val="4A040D5F"/>
    <w:rsid w:val="4A0550BC"/>
    <w:rsid w:val="4A080F4F"/>
    <w:rsid w:val="4A0829C7"/>
    <w:rsid w:val="4A084BAC"/>
    <w:rsid w:val="4A0D3F70"/>
    <w:rsid w:val="4A0F76E1"/>
    <w:rsid w:val="4A12620F"/>
    <w:rsid w:val="4A162E25"/>
    <w:rsid w:val="4A1C2A49"/>
    <w:rsid w:val="4A1C41B3"/>
    <w:rsid w:val="4A1E617D"/>
    <w:rsid w:val="4A205A52"/>
    <w:rsid w:val="4A225C6E"/>
    <w:rsid w:val="4A2319E6"/>
    <w:rsid w:val="4A2472FD"/>
    <w:rsid w:val="4A2512BA"/>
    <w:rsid w:val="4A25750C"/>
    <w:rsid w:val="4A266DE0"/>
    <w:rsid w:val="4A273284"/>
    <w:rsid w:val="4A286FFC"/>
    <w:rsid w:val="4A29004F"/>
    <w:rsid w:val="4A292E59"/>
    <w:rsid w:val="4A2A3144"/>
    <w:rsid w:val="4A2A68D0"/>
    <w:rsid w:val="4A2F2139"/>
    <w:rsid w:val="4A2F3EE7"/>
    <w:rsid w:val="4A3239D7"/>
    <w:rsid w:val="4A332BFD"/>
    <w:rsid w:val="4A370FED"/>
    <w:rsid w:val="4A372D9B"/>
    <w:rsid w:val="4A3A68E8"/>
    <w:rsid w:val="4A3D71C2"/>
    <w:rsid w:val="4A3E05CE"/>
    <w:rsid w:val="4A3F3EE5"/>
    <w:rsid w:val="4A3F7426"/>
    <w:rsid w:val="4A437992"/>
    <w:rsid w:val="4A442B1E"/>
    <w:rsid w:val="4A450EF1"/>
    <w:rsid w:val="4A4623A7"/>
    <w:rsid w:val="4A4762DD"/>
    <w:rsid w:val="4A4E6A63"/>
    <w:rsid w:val="4A4F27DB"/>
    <w:rsid w:val="4A4F62A8"/>
    <w:rsid w:val="4A4F6337"/>
    <w:rsid w:val="4A541B9F"/>
    <w:rsid w:val="4A547DF1"/>
    <w:rsid w:val="4A556518"/>
    <w:rsid w:val="4A5751EC"/>
    <w:rsid w:val="4A5D5169"/>
    <w:rsid w:val="4A5E657A"/>
    <w:rsid w:val="4A5F42DF"/>
    <w:rsid w:val="4A6012D7"/>
    <w:rsid w:val="4A60723A"/>
    <w:rsid w:val="4A62250E"/>
    <w:rsid w:val="4A6364B8"/>
    <w:rsid w:val="4A647FF2"/>
    <w:rsid w:val="4A6718D3"/>
    <w:rsid w:val="4A6A4F1F"/>
    <w:rsid w:val="4A6D4A0F"/>
    <w:rsid w:val="4A6D6C6D"/>
    <w:rsid w:val="4A6E2C61"/>
    <w:rsid w:val="4A6F69D9"/>
    <w:rsid w:val="4A755582"/>
    <w:rsid w:val="4A76198B"/>
    <w:rsid w:val="4A77763C"/>
    <w:rsid w:val="4A78588E"/>
    <w:rsid w:val="4A7A7858"/>
    <w:rsid w:val="4A7E749E"/>
    <w:rsid w:val="4A816D87"/>
    <w:rsid w:val="4A877604"/>
    <w:rsid w:val="4A877774"/>
    <w:rsid w:val="4A897A9B"/>
    <w:rsid w:val="4A8B21A6"/>
    <w:rsid w:val="4A8E50B1"/>
    <w:rsid w:val="4A91694F"/>
    <w:rsid w:val="4A920BB5"/>
    <w:rsid w:val="4A931A68"/>
    <w:rsid w:val="4A933558"/>
    <w:rsid w:val="4A9401EE"/>
    <w:rsid w:val="4A963F66"/>
    <w:rsid w:val="4A981A8C"/>
    <w:rsid w:val="4A9D70A2"/>
    <w:rsid w:val="4AA03036"/>
    <w:rsid w:val="4AA246B9"/>
    <w:rsid w:val="4AA620E4"/>
    <w:rsid w:val="4AA777F9"/>
    <w:rsid w:val="4AA77F21"/>
    <w:rsid w:val="4AAA5C63"/>
    <w:rsid w:val="4AAC19DB"/>
    <w:rsid w:val="4AAC3789"/>
    <w:rsid w:val="4AB12B4E"/>
    <w:rsid w:val="4AB4263E"/>
    <w:rsid w:val="4AB443EC"/>
    <w:rsid w:val="4AB83EDC"/>
    <w:rsid w:val="4AB8462B"/>
    <w:rsid w:val="4AB95273"/>
    <w:rsid w:val="4ABE526B"/>
    <w:rsid w:val="4AC13ECD"/>
    <w:rsid w:val="4AC22FAD"/>
    <w:rsid w:val="4AC30EA4"/>
    <w:rsid w:val="4AC477B5"/>
    <w:rsid w:val="4AC62A9D"/>
    <w:rsid w:val="4AC97E97"/>
    <w:rsid w:val="4ACA3C0F"/>
    <w:rsid w:val="4ACB00B3"/>
    <w:rsid w:val="4ACB251D"/>
    <w:rsid w:val="4ACE54AE"/>
    <w:rsid w:val="4AD00929"/>
    <w:rsid w:val="4AD17653"/>
    <w:rsid w:val="4AD25D9C"/>
    <w:rsid w:val="4AD66A58"/>
    <w:rsid w:val="4ADB406F"/>
    <w:rsid w:val="4ADD3943"/>
    <w:rsid w:val="4ADF590D"/>
    <w:rsid w:val="4ADF76BB"/>
    <w:rsid w:val="4AE01685"/>
    <w:rsid w:val="4AE271AB"/>
    <w:rsid w:val="4AE52E00"/>
    <w:rsid w:val="4AE533C6"/>
    <w:rsid w:val="4AE90539"/>
    <w:rsid w:val="4AEC1DD8"/>
    <w:rsid w:val="4AEC627C"/>
    <w:rsid w:val="4AED35BE"/>
    <w:rsid w:val="4AEE163E"/>
    <w:rsid w:val="4AEE355C"/>
    <w:rsid w:val="4AEE5B50"/>
    <w:rsid w:val="4AF018C8"/>
    <w:rsid w:val="4AF15640"/>
    <w:rsid w:val="4AF173EE"/>
    <w:rsid w:val="4AF51BEA"/>
    <w:rsid w:val="4AF56EDE"/>
    <w:rsid w:val="4AF73F53"/>
    <w:rsid w:val="4AF84C20"/>
    <w:rsid w:val="4AFA62A3"/>
    <w:rsid w:val="4AFC5264"/>
    <w:rsid w:val="4AFD5D93"/>
    <w:rsid w:val="4AFF2A2E"/>
    <w:rsid w:val="4AFF5F31"/>
    <w:rsid w:val="4AFF7D5D"/>
    <w:rsid w:val="4B02784D"/>
    <w:rsid w:val="4B032553"/>
    <w:rsid w:val="4B0435C5"/>
    <w:rsid w:val="4B052E99"/>
    <w:rsid w:val="4B0610EB"/>
    <w:rsid w:val="4B0A12D3"/>
    <w:rsid w:val="4B0C4228"/>
    <w:rsid w:val="4B0D30A6"/>
    <w:rsid w:val="4B0D7E5B"/>
    <w:rsid w:val="4B0E7FA0"/>
    <w:rsid w:val="4B104B11"/>
    <w:rsid w:val="4B11098D"/>
    <w:rsid w:val="4B117A90"/>
    <w:rsid w:val="4B1355B6"/>
    <w:rsid w:val="4B15132F"/>
    <w:rsid w:val="4B157580"/>
    <w:rsid w:val="4B176112"/>
    <w:rsid w:val="4B187071"/>
    <w:rsid w:val="4B1A6B6F"/>
    <w:rsid w:val="4B1B13EE"/>
    <w:rsid w:val="4B1D4687"/>
    <w:rsid w:val="4B1D6435"/>
    <w:rsid w:val="4B1F16AE"/>
    <w:rsid w:val="4B1F1850"/>
    <w:rsid w:val="4B202CE0"/>
    <w:rsid w:val="4B223A4B"/>
    <w:rsid w:val="4B2257F9"/>
    <w:rsid w:val="4B225EDD"/>
    <w:rsid w:val="4B244232"/>
    <w:rsid w:val="4B245A16"/>
    <w:rsid w:val="4B257098"/>
    <w:rsid w:val="4B261723"/>
    <w:rsid w:val="4B2A00A4"/>
    <w:rsid w:val="4B2B0B52"/>
    <w:rsid w:val="4B2D2BAA"/>
    <w:rsid w:val="4B321EE0"/>
    <w:rsid w:val="4B335E33"/>
    <w:rsid w:val="4B337A07"/>
    <w:rsid w:val="4B375749"/>
    <w:rsid w:val="4B391168"/>
    <w:rsid w:val="4B3A0D95"/>
    <w:rsid w:val="4B3B2B55"/>
    <w:rsid w:val="4B3E6269"/>
    <w:rsid w:val="4B3F0159"/>
    <w:rsid w:val="4B4022CA"/>
    <w:rsid w:val="4B40491C"/>
    <w:rsid w:val="4B412124"/>
    <w:rsid w:val="4B427B68"/>
    <w:rsid w:val="4B46773A"/>
    <w:rsid w:val="4B4957AE"/>
    <w:rsid w:val="4B4B6897"/>
    <w:rsid w:val="4B4C2EF5"/>
    <w:rsid w:val="4B4D265B"/>
    <w:rsid w:val="4B4E65EF"/>
    <w:rsid w:val="4B551300"/>
    <w:rsid w:val="4B561E38"/>
    <w:rsid w:val="4B5A1437"/>
    <w:rsid w:val="4B5C0D0B"/>
    <w:rsid w:val="4B5D0F31"/>
    <w:rsid w:val="4B5D2CD5"/>
    <w:rsid w:val="4B5D4A84"/>
    <w:rsid w:val="4B5F25AA"/>
    <w:rsid w:val="4B5F6A4E"/>
    <w:rsid w:val="4B600C9F"/>
    <w:rsid w:val="4B616322"/>
    <w:rsid w:val="4B63653E"/>
    <w:rsid w:val="4B637D79"/>
    <w:rsid w:val="4B642252"/>
    <w:rsid w:val="4B683B54"/>
    <w:rsid w:val="4B692966"/>
    <w:rsid w:val="4B6B0F07"/>
    <w:rsid w:val="4B6B71A0"/>
    <w:rsid w:val="4B6C4CC7"/>
    <w:rsid w:val="4B700C5B"/>
    <w:rsid w:val="4B773D97"/>
    <w:rsid w:val="4B7B4D7B"/>
    <w:rsid w:val="4B7C7600"/>
    <w:rsid w:val="4B810772"/>
    <w:rsid w:val="4B840262"/>
    <w:rsid w:val="4B8457A2"/>
    <w:rsid w:val="4B866DAB"/>
    <w:rsid w:val="4B8736E2"/>
    <w:rsid w:val="4B887D52"/>
    <w:rsid w:val="4B892032"/>
    <w:rsid w:val="4B8B15F1"/>
    <w:rsid w:val="4B8D5A8A"/>
    <w:rsid w:val="4B8F7333"/>
    <w:rsid w:val="4B901608"/>
    <w:rsid w:val="4B92472D"/>
    <w:rsid w:val="4B944949"/>
    <w:rsid w:val="4B95246F"/>
    <w:rsid w:val="4B963A09"/>
    <w:rsid w:val="4B9745A8"/>
    <w:rsid w:val="4B993E6F"/>
    <w:rsid w:val="4B997BA3"/>
    <w:rsid w:val="4B9D00C6"/>
    <w:rsid w:val="4B9F32EE"/>
    <w:rsid w:val="4B9F6645"/>
    <w:rsid w:val="4BA12BC2"/>
    <w:rsid w:val="4BA16A96"/>
    <w:rsid w:val="4BA278E6"/>
    <w:rsid w:val="4BA32BF6"/>
    <w:rsid w:val="4BA32DDE"/>
    <w:rsid w:val="4BA803F5"/>
    <w:rsid w:val="4BAD1567"/>
    <w:rsid w:val="4BAD5A0B"/>
    <w:rsid w:val="4BAD77B9"/>
    <w:rsid w:val="4BAD7C0A"/>
    <w:rsid w:val="4BB22C33"/>
    <w:rsid w:val="4BB24DCF"/>
    <w:rsid w:val="4BB5041C"/>
    <w:rsid w:val="4BB57ADD"/>
    <w:rsid w:val="4BB723E6"/>
    <w:rsid w:val="4BB943B0"/>
    <w:rsid w:val="4BB96EE7"/>
    <w:rsid w:val="4BBA4717"/>
    <w:rsid w:val="4BBC17AA"/>
    <w:rsid w:val="4BBD5522"/>
    <w:rsid w:val="4BBD64EA"/>
    <w:rsid w:val="4BBF129A"/>
    <w:rsid w:val="4BBF74EC"/>
    <w:rsid w:val="4BC36FDC"/>
    <w:rsid w:val="4BC6087B"/>
    <w:rsid w:val="4BC712B4"/>
    <w:rsid w:val="4BC845F3"/>
    <w:rsid w:val="4BC90492"/>
    <w:rsid w:val="4BC93EC7"/>
    <w:rsid w:val="4BCD7E5B"/>
    <w:rsid w:val="4BCF3BD3"/>
    <w:rsid w:val="4BCF5981"/>
    <w:rsid w:val="4BD15DF6"/>
    <w:rsid w:val="4BD36CB5"/>
    <w:rsid w:val="4BD411EA"/>
    <w:rsid w:val="4BD702A6"/>
    <w:rsid w:val="4BD72A88"/>
    <w:rsid w:val="4BD74836"/>
    <w:rsid w:val="4BD835FD"/>
    <w:rsid w:val="4BD905AE"/>
    <w:rsid w:val="4BDB1A2C"/>
    <w:rsid w:val="4BDE0179"/>
    <w:rsid w:val="4BDE7972"/>
    <w:rsid w:val="4BDF0074"/>
    <w:rsid w:val="4BE07B8E"/>
    <w:rsid w:val="4BE11211"/>
    <w:rsid w:val="4BE3142D"/>
    <w:rsid w:val="4BE331DB"/>
    <w:rsid w:val="4BE56F53"/>
    <w:rsid w:val="4BE9528C"/>
    <w:rsid w:val="4BEC7610"/>
    <w:rsid w:val="4BED4059"/>
    <w:rsid w:val="4BEF10FE"/>
    <w:rsid w:val="4BF278C2"/>
    <w:rsid w:val="4BF502BA"/>
    <w:rsid w:val="4BF54CBC"/>
    <w:rsid w:val="4BF61DE9"/>
    <w:rsid w:val="4BFC7DC7"/>
    <w:rsid w:val="4BFE1DC3"/>
    <w:rsid w:val="4C043151"/>
    <w:rsid w:val="4C0513A3"/>
    <w:rsid w:val="4C07090C"/>
    <w:rsid w:val="4C0726E6"/>
    <w:rsid w:val="4C082C41"/>
    <w:rsid w:val="4C0849EF"/>
    <w:rsid w:val="4C093134"/>
    <w:rsid w:val="4C0A4C0B"/>
    <w:rsid w:val="4C0C0983"/>
    <w:rsid w:val="4C0F5D7E"/>
    <w:rsid w:val="4C1130F8"/>
    <w:rsid w:val="4C1300CD"/>
    <w:rsid w:val="4C136DB7"/>
    <w:rsid w:val="4C155E52"/>
    <w:rsid w:val="4C157C1F"/>
    <w:rsid w:val="4C1635B0"/>
    <w:rsid w:val="4C1710D6"/>
    <w:rsid w:val="4C196BFC"/>
    <w:rsid w:val="4C1A4723"/>
    <w:rsid w:val="4C1B0BC7"/>
    <w:rsid w:val="4C204B15"/>
    <w:rsid w:val="4C207F8B"/>
    <w:rsid w:val="4C235CCD"/>
    <w:rsid w:val="4C24126A"/>
    <w:rsid w:val="4C25234A"/>
    <w:rsid w:val="4C2555A1"/>
    <w:rsid w:val="4C261319"/>
    <w:rsid w:val="4C26756B"/>
    <w:rsid w:val="4C2841B0"/>
    <w:rsid w:val="4C285091"/>
    <w:rsid w:val="4C294AB3"/>
    <w:rsid w:val="4C295DB9"/>
    <w:rsid w:val="4C2F01CE"/>
    <w:rsid w:val="4C2F4672"/>
    <w:rsid w:val="4C303F46"/>
    <w:rsid w:val="4C3169EA"/>
    <w:rsid w:val="4C365A00"/>
    <w:rsid w:val="4C3752D5"/>
    <w:rsid w:val="4C392DFB"/>
    <w:rsid w:val="4C3B4DC5"/>
    <w:rsid w:val="4C3C28EB"/>
    <w:rsid w:val="4C3D43F7"/>
    <w:rsid w:val="4C423185"/>
    <w:rsid w:val="4C4243A5"/>
    <w:rsid w:val="4C43011D"/>
    <w:rsid w:val="4C4579F1"/>
    <w:rsid w:val="4C490540"/>
    <w:rsid w:val="4C4A14AC"/>
    <w:rsid w:val="4C51283A"/>
    <w:rsid w:val="4C520360"/>
    <w:rsid w:val="4C52210E"/>
    <w:rsid w:val="4C5365B2"/>
    <w:rsid w:val="4C542F09"/>
    <w:rsid w:val="4C5639AD"/>
    <w:rsid w:val="4C583BC9"/>
    <w:rsid w:val="4C5900BC"/>
    <w:rsid w:val="4C5916EF"/>
    <w:rsid w:val="4C5919D9"/>
    <w:rsid w:val="4C5C4D3B"/>
    <w:rsid w:val="4C5E2A9E"/>
    <w:rsid w:val="4C602A7D"/>
    <w:rsid w:val="4C650094"/>
    <w:rsid w:val="4C677C17"/>
    <w:rsid w:val="4C686B75"/>
    <w:rsid w:val="4C6D0CF6"/>
    <w:rsid w:val="4C6E594D"/>
    <w:rsid w:val="4C733BD5"/>
    <w:rsid w:val="4C7402D7"/>
    <w:rsid w:val="4C787DC7"/>
    <w:rsid w:val="4C7B1FC6"/>
    <w:rsid w:val="4C7D71E6"/>
    <w:rsid w:val="4C870434"/>
    <w:rsid w:val="4C883D82"/>
    <w:rsid w:val="4C8A74C0"/>
    <w:rsid w:val="4C91592D"/>
    <w:rsid w:val="4C92075D"/>
    <w:rsid w:val="4C924E2D"/>
    <w:rsid w:val="4C944F10"/>
    <w:rsid w:val="4C991AEB"/>
    <w:rsid w:val="4C993E74"/>
    <w:rsid w:val="4C994B5B"/>
    <w:rsid w:val="4C995F8F"/>
    <w:rsid w:val="4C9A4CB1"/>
    <w:rsid w:val="4C9B5537"/>
    <w:rsid w:val="4C9B5863"/>
    <w:rsid w:val="4C9C466D"/>
    <w:rsid w:val="4C9D1F42"/>
    <w:rsid w:val="4C9D5A7F"/>
    <w:rsid w:val="4CA23096"/>
    <w:rsid w:val="4CA46E0E"/>
    <w:rsid w:val="4CA50490"/>
    <w:rsid w:val="4CA54934"/>
    <w:rsid w:val="4CA6284D"/>
    <w:rsid w:val="4CA74208"/>
    <w:rsid w:val="4CA90BB3"/>
    <w:rsid w:val="4CA92473"/>
    <w:rsid w:val="4CA94424"/>
    <w:rsid w:val="4CAA3CF8"/>
    <w:rsid w:val="4CAC5CC3"/>
    <w:rsid w:val="4CAD5597"/>
    <w:rsid w:val="4CB132D9"/>
    <w:rsid w:val="4CB22BAD"/>
    <w:rsid w:val="4CB608EF"/>
    <w:rsid w:val="4CB67CC2"/>
    <w:rsid w:val="4CB67D70"/>
    <w:rsid w:val="4CB701C3"/>
    <w:rsid w:val="4CB86415"/>
    <w:rsid w:val="4CB9218D"/>
    <w:rsid w:val="4CBC3CCA"/>
    <w:rsid w:val="4CBD494A"/>
    <w:rsid w:val="4CBF4695"/>
    <w:rsid w:val="4CC403EC"/>
    <w:rsid w:val="4CC50B32"/>
    <w:rsid w:val="4CC56D84"/>
    <w:rsid w:val="4CC6195C"/>
    <w:rsid w:val="4CC76658"/>
    <w:rsid w:val="4CC823D1"/>
    <w:rsid w:val="4CC90623"/>
    <w:rsid w:val="4CCA7316"/>
    <w:rsid w:val="4CCB4560"/>
    <w:rsid w:val="4CCC4DCD"/>
    <w:rsid w:val="4CCD443F"/>
    <w:rsid w:val="4CCE3E8B"/>
    <w:rsid w:val="4CD14126"/>
    <w:rsid w:val="4CD15729"/>
    <w:rsid w:val="4CD55219"/>
    <w:rsid w:val="4CDB65A8"/>
    <w:rsid w:val="4CDD5E7C"/>
    <w:rsid w:val="4CDE03E2"/>
    <w:rsid w:val="4CDE39A2"/>
    <w:rsid w:val="4CE16EA4"/>
    <w:rsid w:val="4CE865CF"/>
    <w:rsid w:val="4CE94821"/>
    <w:rsid w:val="4CEA0599"/>
    <w:rsid w:val="4CEC60BF"/>
    <w:rsid w:val="4CEE0089"/>
    <w:rsid w:val="4CEE4986"/>
    <w:rsid w:val="4CEF0F46"/>
    <w:rsid w:val="4CF03E01"/>
    <w:rsid w:val="4CF05642"/>
    <w:rsid w:val="4CF124D7"/>
    <w:rsid w:val="4CF136D5"/>
    <w:rsid w:val="4CF35FE5"/>
    <w:rsid w:val="4CF55AEC"/>
    <w:rsid w:val="4CF65190"/>
    <w:rsid w:val="4CF66F3E"/>
    <w:rsid w:val="4CF84A64"/>
    <w:rsid w:val="4CFB09F8"/>
    <w:rsid w:val="4CFB4554"/>
    <w:rsid w:val="4CFB5E07"/>
    <w:rsid w:val="4CFE5DF2"/>
    <w:rsid w:val="4D004273"/>
    <w:rsid w:val="4D01650C"/>
    <w:rsid w:val="4D0466A6"/>
    <w:rsid w:val="4D055F1A"/>
    <w:rsid w:val="4D07536F"/>
    <w:rsid w:val="4D07739D"/>
    <w:rsid w:val="4D0774C9"/>
    <w:rsid w:val="4D096C71"/>
    <w:rsid w:val="4D0A6609"/>
    <w:rsid w:val="4D0D2639"/>
    <w:rsid w:val="4D1554D9"/>
    <w:rsid w:val="4D15740A"/>
    <w:rsid w:val="4D16138E"/>
    <w:rsid w:val="4D16313C"/>
    <w:rsid w:val="4D1675E0"/>
    <w:rsid w:val="4D170530"/>
    <w:rsid w:val="4D181B86"/>
    <w:rsid w:val="4D185106"/>
    <w:rsid w:val="4D186EB4"/>
    <w:rsid w:val="4D1A0E7E"/>
    <w:rsid w:val="4D1A1305"/>
    <w:rsid w:val="4D1B0752"/>
    <w:rsid w:val="4D1E1E4B"/>
    <w:rsid w:val="4D1E4B11"/>
    <w:rsid w:val="4D203FBB"/>
    <w:rsid w:val="4D225F85"/>
    <w:rsid w:val="4D227A97"/>
    <w:rsid w:val="4D2515D1"/>
    <w:rsid w:val="4D27359B"/>
    <w:rsid w:val="4D275349"/>
    <w:rsid w:val="4D294E8D"/>
    <w:rsid w:val="4D297313"/>
    <w:rsid w:val="4D2B308B"/>
    <w:rsid w:val="4D2C2AA8"/>
    <w:rsid w:val="4D3006A2"/>
    <w:rsid w:val="4D33390E"/>
    <w:rsid w:val="4D357A66"/>
    <w:rsid w:val="4D364BEE"/>
    <w:rsid w:val="4D396552"/>
    <w:rsid w:val="4D3D2DBF"/>
    <w:rsid w:val="4D3F2693"/>
    <w:rsid w:val="4D40640B"/>
    <w:rsid w:val="4D4203D5"/>
    <w:rsid w:val="4D422183"/>
    <w:rsid w:val="4D423F31"/>
    <w:rsid w:val="4D453A21"/>
    <w:rsid w:val="4D4642C1"/>
    <w:rsid w:val="4D470322"/>
    <w:rsid w:val="4D482874"/>
    <w:rsid w:val="4D491763"/>
    <w:rsid w:val="4D493511"/>
    <w:rsid w:val="4D4B17C6"/>
    <w:rsid w:val="4D530006"/>
    <w:rsid w:val="4D5325E2"/>
    <w:rsid w:val="4D5408C8"/>
    <w:rsid w:val="4D553C64"/>
    <w:rsid w:val="4D573E80"/>
    <w:rsid w:val="4D583E78"/>
    <w:rsid w:val="4D5F2D35"/>
    <w:rsid w:val="4D5F4AE3"/>
    <w:rsid w:val="4D607A39"/>
    <w:rsid w:val="4D61085B"/>
    <w:rsid w:val="4D6245D3"/>
    <w:rsid w:val="4D695962"/>
    <w:rsid w:val="4D6C4BAD"/>
    <w:rsid w:val="4D6D713B"/>
    <w:rsid w:val="4D6E2F78"/>
    <w:rsid w:val="4D6E4D26"/>
    <w:rsid w:val="4D6F1F52"/>
    <w:rsid w:val="4D720CBA"/>
    <w:rsid w:val="4D761E2D"/>
    <w:rsid w:val="4D775CBF"/>
    <w:rsid w:val="4D7762D0"/>
    <w:rsid w:val="4D7871AF"/>
    <w:rsid w:val="4D7A191D"/>
    <w:rsid w:val="4D7A3369"/>
    <w:rsid w:val="4D7B5A62"/>
    <w:rsid w:val="4D7C38E7"/>
    <w:rsid w:val="4D7C5695"/>
    <w:rsid w:val="4D7D31BB"/>
    <w:rsid w:val="4D7E625F"/>
    <w:rsid w:val="4D7E6575"/>
    <w:rsid w:val="4D804966"/>
    <w:rsid w:val="4D88228C"/>
    <w:rsid w:val="4D896004"/>
    <w:rsid w:val="4D8C1650"/>
    <w:rsid w:val="4D8C33FE"/>
    <w:rsid w:val="4D8D4622"/>
    <w:rsid w:val="4D902EEE"/>
    <w:rsid w:val="4D926C66"/>
    <w:rsid w:val="4D93478D"/>
    <w:rsid w:val="4D937532"/>
    <w:rsid w:val="4D96420E"/>
    <w:rsid w:val="4D981DA3"/>
    <w:rsid w:val="4D9A3D6D"/>
    <w:rsid w:val="4D9B1224"/>
    <w:rsid w:val="4D9C7768"/>
    <w:rsid w:val="4D9D5085"/>
    <w:rsid w:val="4D9F3831"/>
    <w:rsid w:val="4D9F43E8"/>
    <w:rsid w:val="4DA10F2C"/>
    <w:rsid w:val="4DA30E74"/>
    <w:rsid w:val="4DA44F56"/>
    <w:rsid w:val="4DA4699A"/>
    <w:rsid w:val="4DA70238"/>
    <w:rsid w:val="4DA8648A"/>
    <w:rsid w:val="4DA90ADA"/>
    <w:rsid w:val="4DA92202"/>
    <w:rsid w:val="4DAA5E09"/>
    <w:rsid w:val="4DAB1AD6"/>
    <w:rsid w:val="4DAC0C96"/>
    <w:rsid w:val="4DAD1CF2"/>
    <w:rsid w:val="4DB36BDD"/>
    <w:rsid w:val="4DB447D1"/>
    <w:rsid w:val="4DB56DF9"/>
    <w:rsid w:val="4DB74893"/>
    <w:rsid w:val="4DB766CD"/>
    <w:rsid w:val="4DB841F3"/>
    <w:rsid w:val="4DBA7C73"/>
    <w:rsid w:val="4DBA7F6B"/>
    <w:rsid w:val="4DBC0187"/>
    <w:rsid w:val="4DBF26D1"/>
    <w:rsid w:val="4DC112FA"/>
    <w:rsid w:val="4DC15DBF"/>
    <w:rsid w:val="4DC3717B"/>
    <w:rsid w:val="4DC4528E"/>
    <w:rsid w:val="4DC50327"/>
    <w:rsid w:val="4DC66910"/>
    <w:rsid w:val="4DC94652"/>
    <w:rsid w:val="4DC96400"/>
    <w:rsid w:val="4DCB03CA"/>
    <w:rsid w:val="4DCB3F26"/>
    <w:rsid w:val="4DCC3EE8"/>
    <w:rsid w:val="4DCD4142"/>
    <w:rsid w:val="4DCE1C69"/>
    <w:rsid w:val="4DCE278A"/>
    <w:rsid w:val="4DCE3A17"/>
    <w:rsid w:val="4DD03C33"/>
    <w:rsid w:val="4DD3102D"/>
    <w:rsid w:val="4DD4244E"/>
    <w:rsid w:val="4DD51CC9"/>
    <w:rsid w:val="4DD82555"/>
    <w:rsid w:val="4DD92AE7"/>
    <w:rsid w:val="4DDC6134"/>
    <w:rsid w:val="4DE0558A"/>
    <w:rsid w:val="4DE1374A"/>
    <w:rsid w:val="4DE17BEE"/>
    <w:rsid w:val="4DE33966"/>
    <w:rsid w:val="4DE4323A"/>
    <w:rsid w:val="4DE84AD8"/>
    <w:rsid w:val="4DEB6377"/>
    <w:rsid w:val="4DEC34D2"/>
    <w:rsid w:val="4DEC376A"/>
    <w:rsid w:val="4DF1080B"/>
    <w:rsid w:val="4DF25957"/>
    <w:rsid w:val="4DF26AA6"/>
    <w:rsid w:val="4DF358C2"/>
    <w:rsid w:val="4DF418B5"/>
    <w:rsid w:val="4DF5447B"/>
    <w:rsid w:val="4DF55447"/>
    <w:rsid w:val="4DFB0D80"/>
    <w:rsid w:val="4DFC5F4D"/>
    <w:rsid w:val="4E002804"/>
    <w:rsid w:val="4E035BB0"/>
    <w:rsid w:val="4E041E15"/>
    <w:rsid w:val="4E043249"/>
    <w:rsid w:val="4E056678"/>
    <w:rsid w:val="4E094A4F"/>
    <w:rsid w:val="4E0C3AF7"/>
    <w:rsid w:val="4E0D09E3"/>
    <w:rsid w:val="4E127DA7"/>
    <w:rsid w:val="4E143B1F"/>
    <w:rsid w:val="4E157897"/>
    <w:rsid w:val="4E17235B"/>
    <w:rsid w:val="4E17648E"/>
    <w:rsid w:val="4E1A6C5C"/>
    <w:rsid w:val="4E1B35C4"/>
    <w:rsid w:val="4E1C0C26"/>
    <w:rsid w:val="4E1C29D4"/>
    <w:rsid w:val="4E1C3097"/>
    <w:rsid w:val="4E1F0554"/>
    <w:rsid w:val="4E200716"/>
    <w:rsid w:val="4E257ADB"/>
    <w:rsid w:val="4E261AA5"/>
    <w:rsid w:val="4E263A7A"/>
    <w:rsid w:val="4E2709D4"/>
    <w:rsid w:val="4E2E4224"/>
    <w:rsid w:val="4E301D0E"/>
    <w:rsid w:val="4E304D1A"/>
    <w:rsid w:val="4E3150E2"/>
    <w:rsid w:val="4E323FA5"/>
    <w:rsid w:val="4E350BB5"/>
    <w:rsid w:val="4E35193A"/>
    <w:rsid w:val="4E353158"/>
    <w:rsid w:val="4E354A9E"/>
    <w:rsid w:val="4E361CE8"/>
    <w:rsid w:val="4E385918"/>
    <w:rsid w:val="4E393586"/>
    <w:rsid w:val="4E395334"/>
    <w:rsid w:val="4E3A10AC"/>
    <w:rsid w:val="4E3B5550"/>
    <w:rsid w:val="4E3B5B69"/>
    <w:rsid w:val="4E3B72FE"/>
    <w:rsid w:val="4E3C5889"/>
    <w:rsid w:val="4E3E06F2"/>
    <w:rsid w:val="4E3E37EC"/>
    <w:rsid w:val="4E402B66"/>
    <w:rsid w:val="4E41243B"/>
    <w:rsid w:val="4E417D93"/>
    <w:rsid w:val="4E434405"/>
    <w:rsid w:val="4E446BEC"/>
    <w:rsid w:val="4E45017D"/>
    <w:rsid w:val="4E451F2B"/>
    <w:rsid w:val="4E4915CE"/>
    <w:rsid w:val="4E4B32B9"/>
    <w:rsid w:val="4E4C150B"/>
    <w:rsid w:val="4E4D5542"/>
    <w:rsid w:val="4E4D7C9E"/>
    <w:rsid w:val="4E5403C0"/>
    <w:rsid w:val="4E54216E"/>
    <w:rsid w:val="4E5657AD"/>
    <w:rsid w:val="4E591146"/>
    <w:rsid w:val="4E5B4F82"/>
    <w:rsid w:val="4E5B5B21"/>
    <w:rsid w:val="4E5C54C6"/>
    <w:rsid w:val="4E5E4D9B"/>
    <w:rsid w:val="4E5E6F3B"/>
    <w:rsid w:val="4E6323B1"/>
    <w:rsid w:val="4E64070B"/>
    <w:rsid w:val="4E683EB1"/>
    <w:rsid w:val="4E6A7BE3"/>
    <w:rsid w:val="4E6B71D6"/>
    <w:rsid w:val="4E6C5709"/>
    <w:rsid w:val="4E6D1482"/>
    <w:rsid w:val="4E6E6020"/>
    <w:rsid w:val="4E704ACE"/>
    <w:rsid w:val="4E712D20"/>
    <w:rsid w:val="4E740A62"/>
    <w:rsid w:val="4E742810"/>
    <w:rsid w:val="4E751E50"/>
    <w:rsid w:val="4E760336"/>
    <w:rsid w:val="4E766588"/>
    <w:rsid w:val="4E772300"/>
    <w:rsid w:val="4E807407"/>
    <w:rsid w:val="4E830CA5"/>
    <w:rsid w:val="4E832A53"/>
    <w:rsid w:val="4E8567CB"/>
    <w:rsid w:val="4E872543"/>
    <w:rsid w:val="4E8A08DC"/>
    <w:rsid w:val="4E8B77FA"/>
    <w:rsid w:val="4E8C5DAC"/>
    <w:rsid w:val="4E8C7B5A"/>
    <w:rsid w:val="4E916F1E"/>
    <w:rsid w:val="4E922C96"/>
    <w:rsid w:val="4E930520"/>
    <w:rsid w:val="4E9407BC"/>
    <w:rsid w:val="4E964534"/>
    <w:rsid w:val="4E9702AC"/>
    <w:rsid w:val="4E9764FE"/>
    <w:rsid w:val="4E984750"/>
    <w:rsid w:val="4E9A063F"/>
    <w:rsid w:val="4E9B5FEF"/>
    <w:rsid w:val="4E9C3B15"/>
    <w:rsid w:val="4E9C58C3"/>
    <w:rsid w:val="4E9E45D0"/>
    <w:rsid w:val="4E9E77F7"/>
    <w:rsid w:val="4E9E788D"/>
    <w:rsid w:val="4E9F706E"/>
    <w:rsid w:val="4EA015F8"/>
    <w:rsid w:val="4EA2737D"/>
    <w:rsid w:val="4EA34EA3"/>
    <w:rsid w:val="4EA56E6D"/>
    <w:rsid w:val="4EA7751E"/>
    <w:rsid w:val="4EA8070C"/>
    <w:rsid w:val="4EA824BA"/>
    <w:rsid w:val="4EA948AD"/>
    <w:rsid w:val="4EAA7FE0"/>
    <w:rsid w:val="4EB06665"/>
    <w:rsid w:val="4EB1136E"/>
    <w:rsid w:val="4EB175C0"/>
    <w:rsid w:val="4EB250E6"/>
    <w:rsid w:val="4EB40E5E"/>
    <w:rsid w:val="4EB55980"/>
    <w:rsid w:val="4EB726FD"/>
    <w:rsid w:val="4EB8094F"/>
    <w:rsid w:val="4EB945D7"/>
    <w:rsid w:val="4EBB043F"/>
    <w:rsid w:val="4EBB0A95"/>
    <w:rsid w:val="4EC07803"/>
    <w:rsid w:val="4EC15329"/>
    <w:rsid w:val="4EC2357B"/>
    <w:rsid w:val="4EC2494C"/>
    <w:rsid w:val="4EC27A09"/>
    <w:rsid w:val="4EC310A1"/>
    <w:rsid w:val="4EC45545"/>
    <w:rsid w:val="4EC6784C"/>
    <w:rsid w:val="4EC72940"/>
    <w:rsid w:val="4EC76DE4"/>
    <w:rsid w:val="4EC8490A"/>
    <w:rsid w:val="4EC970BC"/>
    <w:rsid w:val="4ECA2430"/>
    <w:rsid w:val="4ECC43FA"/>
    <w:rsid w:val="4ED00D27"/>
    <w:rsid w:val="4ED32599"/>
    <w:rsid w:val="4ED4505D"/>
    <w:rsid w:val="4ED80FF1"/>
    <w:rsid w:val="4EDB288F"/>
    <w:rsid w:val="4EDB63EB"/>
    <w:rsid w:val="4EDD6607"/>
    <w:rsid w:val="4EDD74E8"/>
    <w:rsid w:val="4EDF4BC9"/>
    <w:rsid w:val="4EDF611A"/>
    <w:rsid w:val="4EE150E7"/>
    <w:rsid w:val="4EE2777A"/>
    <w:rsid w:val="4EE46FAF"/>
    <w:rsid w:val="4EE5726A"/>
    <w:rsid w:val="4EE71234"/>
    <w:rsid w:val="4EE7471F"/>
    <w:rsid w:val="4EE94887"/>
    <w:rsid w:val="4EE94FAC"/>
    <w:rsid w:val="4EE96D5A"/>
    <w:rsid w:val="4EEA0D24"/>
    <w:rsid w:val="4EEA4880"/>
    <w:rsid w:val="4EEC684A"/>
    <w:rsid w:val="4EEF633A"/>
    <w:rsid w:val="4EF13E61"/>
    <w:rsid w:val="4EF15C0F"/>
    <w:rsid w:val="4EF16DED"/>
    <w:rsid w:val="4EF179BD"/>
    <w:rsid w:val="4EF31987"/>
    <w:rsid w:val="4EF43951"/>
    <w:rsid w:val="4EF456FF"/>
    <w:rsid w:val="4EF63225"/>
    <w:rsid w:val="4EF66343"/>
    <w:rsid w:val="4EF8133E"/>
    <w:rsid w:val="4EF83441"/>
    <w:rsid w:val="4EF8746D"/>
    <w:rsid w:val="4EFB3317"/>
    <w:rsid w:val="4EFB41B1"/>
    <w:rsid w:val="4EFB6A8D"/>
    <w:rsid w:val="4EFD0A57"/>
    <w:rsid w:val="4EFF5B7A"/>
    <w:rsid w:val="4F0040A4"/>
    <w:rsid w:val="4F024807"/>
    <w:rsid w:val="4F027ACE"/>
    <w:rsid w:val="4F027D72"/>
    <w:rsid w:val="4F027E1C"/>
    <w:rsid w:val="4F0516BA"/>
    <w:rsid w:val="4F05790C"/>
    <w:rsid w:val="4F075432"/>
    <w:rsid w:val="4F082F58"/>
    <w:rsid w:val="4F0A4F22"/>
    <w:rsid w:val="4F0D65C6"/>
    <w:rsid w:val="4F0E2627"/>
    <w:rsid w:val="4F0F70E9"/>
    <w:rsid w:val="4F12716D"/>
    <w:rsid w:val="4F1278D3"/>
    <w:rsid w:val="4F130479"/>
    <w:rsid w:val="4F1338C8"/>
    <w:rsid w:val="4F155DA1"/>
    <w:rsid w:val="4F1638C7"/>
    <w:rsid w:val="4F165675"/>
    <w:rsid w:val="4F183BE6"/>
    <w:rsid w:val="4F18763F"/>
    <w:rsid w:val="4F1A33B7"/>
    <w:rsid w:val="4F1D6A04"/>
    <w:rsid w:val="4F1E452A"/>
    <w:rsid w:val="4F1F09CE"/>
    <w:rsid w:val="4F22735C"/>
    <w:rsid w:val="4F245FE4"/>
    <w:rsid w:val="4F253B0A"/>
    <w:rsid w:val="4F2747B0"/>
    <w:rsid w:val="4F277882"/>
    <w:rsid w:val="4F290B6C"/>
    <w:rsid w:val="4F290E4B"/>
    <w:rsid w:val="4F2935FA"/>
    <w:rsid w:val="4F2C30EB"/>
    <w:rsid w:val="4F2F145C"/>
    <w:rsid w:val="4F3124AF"/>
    <w:rsid w:val="4F334479"/>
    <w:rsid w:val="4F337FD9"/>
    <w:rsid w:val="4F3527AE"/>
    <w:rsid w:val="4F3A5808"/>
    <w:rsid w:val="4F3B1580"/>
    <w:rsid w:val="4F3B50DC"/>
    <w:rsid w:val="4F3C2AD4"/>
    <w:rsid w:val="4F3E020B"/>
    <w:rsid w:val="4F3F1822"/>
    <w:rsid w:val="4F413D75"/>
    <w:rsid w:val="4F42290E"/>
    <w:rsid w:val="4F48076A"/>
    <w:rsid w:val="4F495A4B"/>
    <w:rsid w:val="4F4B17C3"/>
    <w:rsid w:val="4F4C553B"/>
    <w:rsid w:val="4F4E12B3"/>
    <w:rsid w:val="4F4E4E0F"/>
    <w:rsid w:val="4F4E52A1"/>
    <w:rsid w:val="4F506DD9"/>
    <w:rsid w:val="4F514250"/>
    <w:rsid w:val="4F5148FF"/>
    <w:rsid w:val="4F5252CE"/>
    <w:rsid w:val="4F583EE0"/>
    <w:rsid w:val="4F59348C"/>
    <w:rsid w:val="4F5A11FE"/>
    <w:rsid w:val="4F5A491C"/>
    <w:rsid w:val="4F5D14F6"/>
    <w:rsid w:val="4F5D5052"/>
    <w:rsid w:val="4F5F701C"/>
    <w:rsid w:val="4F611C1E"/>
    <w:rsid w:val="4F652907"/>
    <w:rsid w:val="4F663636"/>
    <w:rsid w:val="4F676C83"/>
    <w:rsid w:val="4F6B3C13"/>
    <w:rsid w:val="4F6C5EFF"/>
    <w:rsid w:val="4F701229"/>
    <w:rsid w:val="4F711713"/>
    <w:rsid w:val="4F712E54"/>
    <w:rsid w:val="4F727179"/>
    <w:rsid w:val="4F740A98"/>
    <w:rsid w:val="4F74239C"/>
    <w:rsid w:val="4F7615CB"/>
    <w:rsid w:val="4F7A20A8"/>
    <w:rsid w:val="4F7A3E56"/>
    <w:rsid w:val="4F7C7BCE"/>
    <w:rsid w:val="4F8151E4"/>
    <w:rsid w:val="4F823409"/>
    <w:rsid w:val="4F840831"/>
    <w:rsid w:val="4F846A83"/>
    <w:rsid w:val="4F860A4D"/>
    <w:rsid w:val="4F8F3E46"/>
    <w:rsid w:val="4F90367A"/>
    <w:rsid w:val="4F912F4E"/>
    <w:rsid w:val="4F9273F2"/>
    <w:rsid w:val="4F936CC6"/>
    <w:rsid w:val="4F94647A"/>
    <w:rsid w:val="4F964BD7"/>
    <w:rsid w:val="4F9A7223"/>
    <w:rsid w:val="4F9D7B44"/>
    <w:rsid w:val="4FA80603"/>
    <w:rsid w:val="4FA964E9"/>
    <w:rsid w:val="4FAB48D9"/>
    <w:rsid w:val="4FAC6581"/>
    <w:rsid w:val="4FAD5FDA"/>
    <w:rsid w:val="4FAE1D52"/>
    <w:rsid w:val="4FB10AD3"/>
    <w:rsid w:val="4FB37368"/>
    <w:rsid w:val="4FB42A47"/>
    <w:rsid w:val="4FB70C06"/>
    <w:rsid w:val="4FB715EB"/>
    <w:rsid w:val="4FBB7FCB"/>
    <w:rsid w:val="4FBC446F"/>
    <w:rsid w:val="4FBD3D43"/>
    <w:rsid w:val="4FBE01E7"/>
    <w:rsid w:val="4FBF3F5F"/>
    <w:rsid w:val="4FC357FD"/>
    <w:rsid w:val="4FC60E49"/>
    <w:rsid w:val="4FC652ED"/>
    <w:rsid w:val="4FC82E13"/>
    <w:rsid w:val="4FC95BF3"/>
    <w:rsid w:val="4FCB2904"/>
    <w:rsid w:val="4FCC21D8"/>
    <w:rsid w:val="4FD00C22"/>
    <w:rsid w:val="4FD03A76"/>
    <w:rsid w:val="4FD215F5"/>
    <w:rsid w:val="4FDC039B"/>
    <w:rsid w:val="4FDD43E5"/>
    <w:rsid w:val="4FDD76AE"/>
    <w:rsid w:val="4FDE2637"/>
    <w:rsid w:val="4FDF5D53"/>
    <w:rsid w:val="4FE37F63"/>
    <w:rsid w:val="4FE4651D"/>
    <w:rsid w:val="4FE63299"/>
    <w:rsid w:val="4FED4628"/>
    <w:rsid w:val="4FF27E90"/>
    <w:rsid w:val="4FF43C08"/>
    <w:rsid w:val="4FF4485A"/>
    <w:rsid w:val="4FF569A4"/>
    <w:rsid w:val="4FF57980"/>
    <w:rsid w:val="4FF754A7"/>
    <w:rsid w:val="4FF86222"/>
    <w:rsid w:val="4FF93038"/>
    <w:rsid w:val="4FFA4F97"/>
    <w:rsid w:val="4FFB24F9"/>
    <w:rsid w:val="4FFC2ABD"/>
    <w:rsid w:val="4FFF120E"/>
    <w:rsid w:val="50002C9D"/>
    <w:rsid w:val="50011E81"/>
    <w:rsid w:val="50016325"/>
    <w:rsid w:val="5003098E"/>
    <w:rsid w:val="500325F7"/>
    <w:rsid w:val="50033F45"/>
    <w:rsid w:val="50054574"/>
    <w:rsid w:val="5006393C"/>
    <w:rsid w:val="500876B4"/>
    <w:rsid w:val="500951DA"/>
    <w:rsid w:val="50095BEE"/>
    <w:rsid w:val="500A3750"/>
    <w:rsid w:val="500A39D9"/>
    <w:rsid w:val="500B4CDF"/>
    <w:rsid w:val="500B51F2"/>
    <w:rsid w:val="500B71A4"/>
    <w:rsid w:val="500E459E"/>
    <w:rsid w:val="5010654B"/>
    <w:rsid w:val="50121A94"/>
    <w:rsid w:val="50125E3D"/>
    <w:rsid w:val="501716A5"/>
    <w:rsid w:val="5017280E"/>
    <w:rsid w:val="5019541D"/>
    <w:rsid w:val="501A40DC"/>
    <w:rsid w:val="501B72A6"/>
    <w:rsid w:val="501C6CBB"/>
    <w:rsid w:val="50213118"/>
    <w:rsid w:val="5023004A"/>
    <w:rsid w:val="502344EE"/>
    <w:rsid w:val="502528B3"/>
    <w:rsid w:val="50267B3A"/>
    <w:rsid w:val="502913D8"/>
    <w:rsid w:val="50292A81"/>
    <w:rsid w:val="5029616D"/>
    <w:rsid w:val="502A3A06"/>
    <w:rsid w:val="502B33A2"/>
    <w:rsid w:val="502B5150"/>
    <w:rsid w:val="502E69EF"/>
    <w:rsid w:val="502F4C40"/>
    <w:rsid w:val="50302767"/>
    <w:rsid w:val="503032A9"/>
    <w:rsid w:val="5032028D"/>
    <w:rsid w:val="5032409D"/>
    <w:rsid w:val="50324731"/>
    <w:rsid w:val="503264DF"/>
    <w:rsid w:val="50344E97"/>
    <w:rsid w:val="50357D7D"/>
    <w:rsid w:val="50373AF5"/>
    <w:rsid w:val="503867CE"/>
    <w:rsid w:val="503B1837"/>
    <w:rsid w:val="503B2F77"/>
    <w:rsid w:val="503C735D"/>
    <w:rsid w:val="503E02C1"/>
    <w:rsid w:val="503E2640"/>
    <w:rsid w:val="503E4E84"/>
    <w:rsid w:val="503F0BFC"/>
    <w:rsid w:val="503F29AA"/>
    <w:rsid w:val="503F6404"/>
    <w:rsid w:val="504357E6"/>
    <w:rsid w:val="50466B5E"/>
    <w:rsid w:val="504B146F"/>
    <w:rsid w:val="50506965"/>
    <w:rsid w:val="50533347"/>
    <w:rsid w:val="505428F9"/>
    <w:rsid w:val="505446A7"/>
    <w:rsid w:val="50566671"/>
    <w:rsid w:val="50575289"/>
    <w:rsid w:val="50591CBD"/>
    <w:rsid w:val="505A15A9"/>
    <w:rsid w:val="5062199F"/>
    <w:rsid w:val="5065520B"/>
    <w:rsid w:val="50661E70"/>
    <w:rsid w:val="506643DA"/>
    <w:rsid w:val="50680152"/>
    <w:rsid w:val="50681F00"/>
    <w:rsid w:val="50686656"/>
    <w:rsid w:val="50690566"/>
    <w:rsid w:val="50697A27"/>
    <w:rsid w:val="506B4730"/>
    <w:rsid w:val="506B7771"/>
    <w:rsid w:val="506B7C43"/>
    <w:rsid w:val="506D5769"/>
    <w:rsid w:val="506F328F"/>
    <w:rsid w:val="50702323"/>
    <w:rsid w:val="50722FD6"/>
    <w:rsid w:val="50724B2D"/>
    <w:rsid w:val="50746077"/>
    <w:rsid w:val="50760AC1"/>
    <w:rsid w:val="50770396"/>
    <w:rsid w:val="50772144"/>
    <w:rsid w:val="5079410E"/>
    <w:rsid w:val="507A1C34"/>
    <w:rsid w:val="507A34AD"/>
    <w:rsid w:val="507A6580"/>
    <w:rsid w:val="507B60D8"/>
    <w:rsid w:val="507D3D9C"/>
    <w:rsid w:val="507E34D2"/>
    <w:rsid w:val="507E7976"/>
    <w:rsid w:val="50812FC2"/>
    <w:rsid w:val="50825FA5"/>
    <w:rsid w:val="508420A6"/>
    <w:rsid w:val="50854E71"/>
    <w:rsid w:val="5086682B"/>
    <w:rsid w:val="5088002F"/>
    <w:rsid w:val="508D1967"/>
    <w:rsid w:val="508F0E90"/>
    <w:rsid w:val="50900BBC"/>
    <w:rsid w:val="50901457"/>
    <w:rsid w:val="50913377"/>
    <w:rsid w:val="50940112"/>
    <w:rsid w:val="509461CB"/>
    <w:rsid w:val="50947199"/>
    <w:rsid w:val="509B4084"/>
    <w:rsid w:val="509C604E"/>
    <w:rsid w:val="509C7DFC"/>
    <w:rsid w:val="509D6D4D"/>
    <w:rsid w:val="509E5922"/>
    <w:rsid w:val="50A13664"/>
    <w:rsid w:val="50A70C7B"/>
    <w:rsid w:val="50AA312A"/>
    <w:rsid w:val="50AB003F"/>
    <w:rsid w:val="50AC44E3"/>
    <w:rsid w:val="50AC62D8"/>
    <w:rsid w:val="50AD2009"/>
    <w:rsid w:val="50AD387F"/>
    <w:rsid w:val="50AF6900"/>
    <w:rsid w:val="50B05655"/>
    <w:rsid w:val="50B415EA"/>
    <w:rsid w:val="50BB4EA3"/>
    <w:rsid w:val="50BD049E"/>
    <w:rsid w:val="50C555A5"/>
    <w:rsid w:val="50C7131D"/>
    <w:rsid w:val="50C77758"/>
    <w:rsid w:val="50C86974"/>
    <w:rsid w:val="50CA6717"/>
    <w:rsid w:val="50CC6933"/>
    <w:rsid w:val="50CD6BF7"/>
    <w:rsid w:val="50CE348B"/>
    <w:rsid w:val="50CF01D2"/>
    <w:rsid w:val="50D1080A"/>
    <w:rsid w:val="50D2381E"/>
    <w:rsid w:val="50D35CFB"/>
    <w:rsid w:val="50D41344"/>
    <w:rsid w:val="50D476A7"/>
    <w:rsid w:val="50D6330E"/>
    <w:rsid w:val="50D70E34"/>
    <w:rsid w:val="50D71373"/>
    <w:rsid w:val="50D91050"/>
    <w:rsid w:val="50D92DFE"/>
    <w:rsid w:val="50DB26D2"/>
    <w:rsid w:val="50E172E3"/>
    <w:rsid w:val="50E27F05"/>
    <w:rsid w:val="50E517A3"/>
    <w:rsid w:val="50E641D0"/>
    <w:rsid w:val="50E75601"/>
    <w:rsid w:val="50E81293"/>
    <w:rsid w:val="50E83041"/>
    <w:rsid w:val="50E97F21"/>
    <w:rsid w:val="50EA500B"/>
    <w:rsid w:val="50EC2B32"/>
    <w:rsid w:val="50ED0658"/>
    <w:rsid w:val="50ED2406"/>
    <w:rsid w:val="50ED3F31"/>
    <w:rsid w:val="50EE4AFC"/>
    <w:rsid w:val="50EF43D0"/>
    <w:rsid w:val="50F02F69"/>
    <w:rsid w:val="50F1639A"/>
    <w:rsid w:val="50F32112"/>
    <w:rsid w:val="50F33EC0"/>
    <w:rsid w:val="50F360E5"/>
    <w:rsid w:val="50F6575E"/>
    <w:rsid w:val="50F73284"/>
    <w:rsid w:val="50FC6397"/>
    <w:rsid w:val="50FD4D3F"/>
    <w:rsid w:val="5100038B"/>
    <w:rsid w:val="5100482F"/>
    <w:rsid w:val="51031C29"/>
    <w:rsid w:val="51044B29"/>
    <w:rsid w:val="51064216"/>
    <w:rsid w:val="510936E3"/>
    <w:rsid w:val="510A2FB8"/>
    <w:rsid w:val="510E659B"/>
    <w:rsid w:val="510F337D"/>
    <w:rsid w:val="510F4A72"/>
    <w:rsid w:val="510F659C"/>
    <w:rsid w:val="510F6820"/>
    <w:rsid w:val="51114346"/>
    <w:rsid w:val="511730A2"/>
    <w:rsid w:val="511931FB"/>
    <w:rsid w:val="511A43D2"/>
    <w:rsid w:val="511B51C5"/>
    <w:rsid w:val="511B6F73"/>
    <w:rsid w:val="511D3A50"/>
    <w:rsid w:val="512012DC"/>
    <w:rsid w:val="512027DB"/>
    <w:rsid w:val="51204589"/>
    <w:rsid w:val="51214051"/>
    <w:rsid w:val="51220301"/>
    <w:rsid w:val="51223C5D"/>
    <w:rsid w:val="5124673D"/>
    <w:rsid w:val="51254295"/>
    <w:rsid w:val="512A18AC"/>
    <w:rsid w:val="512F2A1E"/>
    <w:rsid w:val="51323088"/>
    <w:rsid w:val="51324101"/>
    <w:rsid w:val="513242BC"/>
    <w:rsid w:val="51324FD6"/>
    <w:rsid w:val="51340035"/>
    <w:rsid w:val="51346287"/>
    <w:rsid w:val="51355098"/>
    <w:rsid w:val="51363DAD"/>
    <w:rsid w:val="51383FC9"/>
    <w:rsid w:val="5139389D"/>
    <w:rsid w:val="513B13C3"/>
    <w:rsid w:val="513B7615"/>
    <w:rsid w:val="513E2C61"/>
    <w:rsid w:val="514069D9"/>
    <w:rsid w:val="5141363B"/>
    <w:rsid w:val="51450494"/>
    <w:rsid w:val="5147420C"/>
    <w:rsid w:val="514C09E6"/>
    <w:rsid w:val="514C537E"/>
    <w:rsid w:val="514E77CC"/>
    <w:rsid w:val="514F30C0"/>
    <w:rsid w:val="51522156"/>
    <w:rsid w:val="51532BB1"/>
    <w:rsid w:val="5153670D"/>
    <w:rsid w:val="51541AB1"/>
    <w:rsid w:val="51542485"/>
    <w:rsid w:val="515727CF"/>
    <w:rsid w:val="51576E03"/>
    <w:rsid w:val="515801C7"/>
    <w:rsid w:val="51581F75"/>
    <w:rsid w:val="51595CED"/>
    <w:rsid w:val="515A3F3F"/>
    <w:rsid w:val="51622DF4"/>
    <w:rsid w:val="5164435F"/>
    <w:rsid w:val="516721B8"/>
    <w:rsid w:val="516758E8"/>
    <w:rsid w:val="51695F30"/>
    <w:rsid w:val="516A7EFA"/>
    <w:rsid w:val="516B0717"/>
    <w:rsid w:val="516E1E1B"/>
    <w:rsid w:val="51711289"/>
    <w:rsid w:val="5171484F"/>
    <w:rsid w:val="517537C1"/>
    <w:rsid w:val="51764AF1"/>
    <w:rsid w:val="51767504"/>
    <w:rsid w:val="51777A1C"/>
    <w:rsid w:val="517A1653"/>
    <w:rsid w:val="517A638F"/>
    <w:rsid w:val="517B3FF3"/>
    <w:rsid w:val="517B5C63"/>
    <w:rsid w:val="517D5E7F"/>
    <w:rsid w:val="517F5754"/>
    <w:rsid w:val="51856AE2"/>
    <w:rsid w:val="51864D34"/>
    <w:rsid w:val="51883D8E"/>
    <w:rsid w:val="518965D2"/>
    <w:rsid w:val="518E1E3B"/>
    <w:rsid w:val="518E3BE9"/>
    <w:rsid w:val="518F7959"/>
    <w:rsid w:val="519117EB"/>
    <w:rsid w:val="519136D9"/>
    <w:rsid w:val="51932FAD"/>
    <w:rsid w:val="51962A9D"/>
    <w:rsid w:val="5196484B"/>
    <w:rsid w:val="51966BC8"/>
    <w:rsid w:val="51976F41"/>
    <w:rsid w:val="519805C3"/>
    <w:rsid w:val="51986815"/>
    <w:rsid w:val="519A3513"/>
    <w:rsid w:val="519C4558"/>
    <w:rsid w:val="51A0391C"/>
    <w:rsid w:val="51A46F68"/>
    <w:rsid w:val="51A72EFC"/>
    <w:rsid w:val="51A94280"/>
    <w:rsid w:val="51A95109"/>
    <w:rsid w:val="51AD75D2"/>
    <w:rsid w:val="51B03B5F"/>
    <w:rsid w:val="51B11685"/>
    <w:rsid w:val="51B33440"/>
    <w:rsid w:val="51B353FD"/>
    <w:rsid w:val="51B573C7"/>
    <w:rsid w:val="51B64EEE"/>
    <w:rsid w:val="51B7485D"/>
    <w:rsid w:val="51BA49DE"/>
    <w:rsid w:val="51BB2504"/>
    <w:rsid w:val="51BF438F"/>
    <w:rsid w:val="51C27D36"/>
    <w:rsid w:val="51C413B8"/>
    <w:rsid w:val="51C4760A"/>
    <w:rsid w:val="51C67AF3"/>
    <w:rsid w:val="51C70EA9"/>
    <w:rsid w:val="51C969CF"/>
    <w:rsid w:val="51D11D27"/>
    <w:rsid w:val="51D22043"/>
    <w:rsid w:val="51D231BB"/>
    <w:rsid w:val="51D27F79"/>
    <w:rsid w:val="51D3784E"/>
    <w:rsid w:val="51D51818"/>
    <w:rsid w:val="51D73698"/>
    <w:rsid w:val="51D81308"/>
    <w:rsid w:val="51DB105C"/>
    <w:rsid w:val="51DB6702"/>
    <w:rsid w:val="51DB7210"/>
    <w:rsid w:val="51DC2BA6"/>
    <w:rsid w:val="51E043F4"/>
    <w:rsid w:val="51E101BC"/>
    <w:rsid w:val="51E11F6A"/>
    <w:rsid w:val="51E23F34"/>
    <w:rsid w:val="51E25083"/>
    <w:rsid w:val="51E27A91"/>
    <w:rsid w:val="51E41A5B"/>
    <w:rsid w:val="51E46623"/>
    <w:rsid w:val="51E47CAD"/>
    <w:rsid w:val="51E56289"/>
    <w:rsid w:val="51E7154B"/>
    <w:rsid w:val="51E91878"/>
    <w:rsid w:val="51E952C3"/>
    <w:rsid w:val="51EA234D"/>
    <w:rsid w:val="51EF4698"/>
    <w:rsid w:val="51F06651"/>
    <w:rsid w:val="51F52ACD"/>
    <w:rsid w:val="51F55A16"/>
    <w:rsid w:val="51F76E23"/>
    <w:rsid w:val="51F83758"/>
    <w:rsid w:val="51F97A85"/>
    <w:rsid w:val="51FA74D0"/>
    <w:rsid w:val="51FB0B52"/>
    <w:rsid w:val="51FD2B1C"/>
    <w:rsid w:val="51FD48CA"/>
    <w:rsid w:val="51FF0643"/>
    <w:rsid w:val="51FF4AE6"/>
    <w:rsid w:val="51FF6894"/>
    <w:rsid w:val="52032787"/>
    <w:rsid w:val="52045C59"/>
    <w:rsid w:val="520619D1"/>
    <w:rsid w:val="52075792"/>
    <w:rsid w:val="52081B54"/>
    <w:rsid w:val="52081BED"/>
    <w:rsid w:val="52093658"/>
    <w:rsid w:val="52097713"/>
    <w:rsid w:val="520B348B"/>
    <w:rsid w:val="520C1272"/>
    <w:rsid w:val="520D09EA"/>
    <w:rsid w:val="52132340"/>
    <w:rsid w:val="521501B5"/>
    <w:rsid w:val="52175619"/>
    <w:rsid w:val="52190A09"/>
    <w:rsid w:val="521A1920"/>
    <w:rsid w:val="521A36CE"/>
    <w:rsid w:val="521F6F37"/>
    <w:rsid w:val="522202F1"/>
    <w:rsid w:val="52224331"/>
    <w:rsid w:val="52271947"/>
    <w:rsid w:val="5227753E"/>
    <w:rsid w:val="522D1FC0"/>
    <w:rsid w:val="522E0F28"/>
    <w:rsid w:val="52367E0C"/>
    <w:rsid w:val="52391DA6"/>
    <w:rsid w:val="52392697"/>
    <w:rsid w:val="523A78CD"/>
    <w:rsid w:val="523B2BB4"/>
    <w:rsid w:val="523C1897"/>
    <w:rsid w:val="523D0094"/>
    <w:rsid w:val="523E560F"/>
    <w:rsid w:val="523F1098"/>
    <w:rsid w:val="523F3135"/>
    <w:rsid w:val="52403CEA"/>
    <w:rsid w:val="52412A09"/>
    <w:rsid w:val="52421D16"/>
    <w:rsid w:val="52466271"/>
    <w:rsid w:val="52472FB7"/>
    <w:rsid w:val="5248159A"/>
    <w:rsid w:val="52481FEA"/>
    <w:rsid w:val="524B1B79"/>
    <w:rsid w:val="524B7D2C"/>
    <w:rsid w:val="524D13AE"/>
    <w:rsid w:val="524D7600"/>
    <w:rsid w:val="524F15CA"/>
    <w:rsid w:val="525057AA"/>
    <w:rsid w:val="525070F0"/>
    <w:rsid w:val="5251037B"/>
    <w:rsid w:val="5253273C"/>
    <w:rsid w:val="52546633"/>
    <w:rsid w:val="52550D5F"/>
    <w:rsid w:val="52554706"/>
    <w:rsid w:val="52557EDD"/>
    <w:rsid w:val="525A3ACB"/>
    <w:rsid w:val="525A5D81"/>
    <w:rsid w:val="525C5A95"/>
    <w:rsid w:val="525C7843"/>
    <w:rsid w:val="525E7A5F"/>
    <w:rsid w:val="52602C06"/>
    <w:rsid w:val="526130AB"/>
    <w:rsid w:val="5262232D"/>
    <w:rsid w:val="52635075"/>
    <w:rsid w:val="52636542"/>
    <w:rsid w:val="52651253"/>
    <w:rsid w:val="52680501"/>
    <w:rsid w:val="52691F60"/>
    <w:rsid w:val="526D1A50"/>
    <w:rsid w:val="526D3CDE"/>
    <w:rsid w:val="526D3D56"/>
    <w:rsid w:val="526D4CD2"/>
    <w:rsid w:val="526F3A1A"/>
    <w:rsid w:val="527032EE"/>
    <w:rsid w:val="527458E8"/>
    <w:rsid w:val="52770B21"/>
    <w:rsid w:val="527728CF"/>
    <w:rsid w:val="527821A3"/>
    <w:rsid w:val="527C6137"/>
    <w:rsid w:val="527C7EE5"/>
    <w:rsid w:val="527D42BC"/>
    <w:rsid w:val="527E021F"/>
    <w:rsid w:val="527E5157"/>
    <w:rsid w:val="527F3531"/>
    <w:rsid w:val="5281374D"/>
    <w:rsid w:val="528154FB"/>
    <w:rsid w:val="528374C6"/>
    <w:rsid w:val="5287579B"/>
    <w:rsid w:val="5288688A"/>
    <w:rsid w:val="52892B81"/>
    <w:rsid w:val="528938E7"/>
    <w:rsid w:val="528A14CF"/>
    <w:rsid w:val="528F6BDC"/>
    <w:rsid w:val="52902DFA"/>
    <w:rsid w:val="5291586A"/>
    <w:rsid w:val="5297584D"/>
    <w:rsid w:val="52984729"/>
    <w:rsid w:val="52992845"/>
    <w:rsid w:val="5299285F"/>
    <w:rsid w:val="529A65BD"/>
    <w:rsid w:val="529C0587"/>
    <w:rsid w:val="529E1C09"/>
    <w:rsid w:val="529F5982"/>
    <w:rsid w:val="529F6ACF"/>
    <w:rsid w:val="52A336C4"/>
    <w:rsid w:val="52A511EA"/>
    <w:rsid w:val="52A52E97"/>
    <w:rsid w:val="52A631B4"/>
    <w:rsid w:val="52A6597E"/>
    <w:rsid w:val="52A77A34"/>
    <w:rsid w:val="52AA2CA4"/>
    <w:rsid w:val="52AD4542"/>
    <w:rsid w:val="52AD5CF4"/>
    <w:rsid w:val="52AD62F0"/>
    <w:rsid w:val="52B06B82"/>
    <w:rsid w:val="52B13FA8"/>
    <w:rsid w:val="52B14033"/>
    <w:rsid w:val="52B23907"/>
    <w:rsid w:val="52B42038"/>
    <w:rsid w:val="52B458D1"/>
    <w:rsid w:val="52B753C1"/>
    <w:rsid w:val="52B7716F"/>
    <w:rsid w:val="52BB6C5F"/>
    <w:rsid w:val="52BE22AC"/>
    <w:rsid w:val="52BF7DD2"/>
    <w:rsid w:val="52C33D66"/>
    <w:rsid w:val="52C35B14"/>
    <w:rsid w:val="52C378C2"/>
    <w:rsid w:val="52C8137C"/>
    <w:rsid w:val="52C97C12"/>
    <w:rsid w:val="52CA07B0"/>
    <w:rsid w:val="52CA1B96"/>
    <w:rsid w:val="52CA29FF"/>
    <w:rsid w:val="52CB1154"/>
    <w:rsid w:val="52CC2C1B"/>
    <w:rsid w:val="52D03D8D"/>
    <w:rsid w:val="52D41ACF"/>
    <w:rsid w:val="52D43A59"/>
    <w:rsid w:val="52D7336D"/>
    <w:rsid w:val="52D733C5"/>
    <w:rsid w:val="52DA5105"/>
    <w:rsid w:val="52E02222"/>
    <w:rsid w:val="52E15F9A"/>
    <w:rsid w:val="52E35DDE"/>
    <w:rsid w:val="52E361B6"/>
    <w:rsid w:val="52E55A8A"/>
    <w:rsid w:val="52E635B0"/>
    <w:rsid w:val="52EB0BC7"/>
    <w:rsid w:val="52EB51AE"/>
    <w:rsid w:val="52EE56CF"/>
    <w:rsid w:val="52EE7DCB"/>
    <w:rsid w:val="52F20089"/>
    <w:rsid w:val="52F61A46"/>
    <w:rsid w:val="52F70D40"/>
    <w:rsid w:val="52F757BE"/>
    <w:rsid w:val="52F76FB3"/>
    <w:rsid w:val="53000B16"/>
    <w:rsid w:val="5300130C"/>
    <w:rsid w:val="530028C4"/>
    <w:rsid w:val="53004672"/>
    <w:rsid w:val="53012F45"/>
    <w:rsid w:val="5302488E"/>
    <w:rsid w:val="53032F5F"/>
    <w:rsid w:val="530346C8"/>
    <w:rsid w:val="53042F77"/>
    <w:rsid w:val="53083527"/>
    <w:rsid w:val="530D3308"/>
    <w:rsid w:val="530F48B5"/>
    <w:rsid w:val="530F6FAB"/>
    <w:rsid w:val="5311062D"/>
    <w:rsid w:val="53114AD1"/>
    <w:rsid w:val="53135ADF"/>
    <w:rsid w:val="53174FCC"/>
    <w:rsid w:val="53177C0E"/>
    <w:rsid w:val="53193986"/>
    <w:rsid w:val="53196D40"/>
    <w:rsid w:val="531B048E"/>
    <w:rsid w:val="531B2676"/>
    <w:rsid w:val="531B4049"/>
    <w:rsid w:val="531B6581"/>
    <w:rsid w:val="53204D14"/>
    <w:rsid w:val="53207EF7"/>
    <w:rsid w:val="53236556"/>
    <w:rsid w:val="5325057D"/>
    <w:rsid w:val="532760A3"/>
    <w:rsid w:val="53283BC9"/>
    <w:rsid w:val="532C0A2A"/>
    <w:rsid w:val="532E7431"/>
    <w:rsid w:val="53312A7E"/>
    <w:rsid w:val="533245B5"/>
    <w:rsid w:val="5334256E"/>
    <w:rsid w:val="5334431C"/>
    <w:rsid w:val="53352D96"/>
    <w:rsid w:val="53363C07"/>
    <w:rsid w:val="53363CF5"/>
    <w:rsid w:val="533C25EA"/>
    <w:rsid w:val="533D7674"/>
    <w:rsid w:val="533F163E"/>
    <w:rsid w:val="534053B7"/>
    <w:rsid w:val="53405875"/>
    <w:rsid w:val="53424C8B"/>
    <w:rsid w:val="53426A39"/>
    <w:rsid w:val="53434D12"/>
    <w:rsid w:val="5349426B"/>
    <w:rsid w:val="534E3B36"/>
    <w:rsid w:val="534E61E1"/>
    <w:rsid w:val="534F1156"/>
    <w:rsid w:val="53513120"/>
    <w:rsid w:val="53530C46"/>
    <w:rsid w:val="535350EA"/>
    <w:rsid w:val="5354676C"/>
    <w:rsid w:val="5355134B"/>
    <w:rsid w:val="53575126"/>
    <w:rsid w:val="535B3F9E"/>
    <w:rsid w:val="535D3873"/>
    <w:rsid w:val="535D7D17"/>
    <w:rsid w:val="536746F1"/>
    <w:rsid w:val="53696431"/>
    <w:rsid w:val="536A41E2"/>
    <w:rsid w:val="536C7F5A"/>
    <w:rsid w:val="536F483D"/>
    <w:rsid w:val="53715570"/>
    <w:rsid w:val="5371731E"/>
    <w:rsid w:val="53722452"/>
    <w:rsid w:val="53775BA0"/>
    <w:rsid w:val="53794425"/>
    <w:rsid w:val="537B2CB3"/>
    <w:rsid w:val="537B63EF"/>
    <w:rsid w:val="537B70F2"/>
    <w:rsid w:val="537C0D51"/>
    <w:rsid w:val="537D1A12"/>
    <w:rsid w:val="537D2167"/>
    <w:rsid w:val="537F6521"/>
    <w:rsid w:val="538057B3"/>
    <w:rsid w:val="53807561"/>
    <w:rsid w:val="538232D9"/>
    <w:rsid w:val="5382777D"/>
    <w:rsid w:val="53852DC9"/>
    <w:rsid w:val="53894668"/>
    <w:rsid w:val="538E6122"/>
    <w:rsid w:val="538F3C48"/>
    <w:rsid w:val="53915C12"/>
    <w:rsid w:val="53937294"/>
    <w:rsid w:val="539450C8"/>
    <w:rsid w:val="53946809"/>
    <w:rsid w:val="53954C5E"/>
    <w:rsid w:val="539574B0"/>
    <w:rsid w:val="53966D85"/>
    <w:rsid w:val="53987211"/>
    <w:rsid w:val="539B25ED"/>
    <w:rsid w:val="539D45B7"/>
    <w:rsid w:val="539D6365"/>
    <w:rsid w:val="539F032F"/>
    <w:rsid w:val="539F20DD"/>
    <w:rsid w:val="53A21514"/>
    <w:rsid w:val="53A2397B"/>
    <w:rsid w:val="53A30A90"/>
    <w:rsid w:val="53A44BEF"/>
    <w:rsid w:val="53A5604D"/>
    <w:rsid w:val="53AD4299"/>
    <w:rsid w:val="53AE0572"/>
    <w:rsid w:val="53AE40CE"/>
    <w:rsid w:val="53AF7E46"/>
    <w:rsid w:val="53B041AE"/>
    <w:rsid w:val="53B31AE1"/>
    <w:rsid w:val="53B35B89"/>
    <w:rsid w:val="53B37937"/>
    <w:rsid w:val="53B446B2"/>
    <w:rsid w:val="53B65679"/>
    <w:rsid w:val="53B844C3"/>
    <w:rsid w:val="53BB13D1"/>
    <w:rsid w:val="53BB4A3D"/>
    <w:rsid w:val="53BD6A07"/>
    <w:rsid w:val="53BF0089"/>
    <w:rsid w:val="53BF756D"/>
    <w:rsid w:val="53C03E02"/>
    <w:rsid w:val="53C07FC2"/>
    <w:rsid w:val="53C1183E"/>
    <w:rsid w:val="53C41B44"/>
    <w:rsid w:val="53C438F2"/>
    <w:rsid w:val="53C5694D"/>
    <w:rsid w:val="53C658BC"/>
    <w:rsid w:val="53C733E2"/>
    <w:rsid w:val="53CB1124"/>
    <w:rsid w:val="53CC7635"/>
    <w:rsid w:val="53CE5317"/>
    <w:rsid w:val="53CF4766"/>
    <w:rsid w:val="53D2346C"/>
    <w:rsid w:val="53D46225"/>
    <w:rsid w:val="53D5383A"/>
    <w:rsid w:val="53D53D51"/>
    <w:rsid w:val="53D8739D"/>
    <w:rsid w:val="53D94C95"/>
    <w:rsid w:val="53DA1367"/>
    <w:rsid w:val="53DE7EB1"/>
    <w:rsid w:val="53DF24DA"/>
    <w:rsid w:val="53E06252"/>
    <w:rsid w:val="53E31F77"/>
    <w:rsid w:val="53E5132F"/>
    <w:rsid w:val="53E61ABA"/>
    <w:rsid w:val="53E775E0"/>
    <w:rsid w:val="53E835A2"/>
    <w:rsid w:val="53E96D15"/>
    <w:rsid w:val="53E977FC"/>
    <w:rsid w:val="53EE0073"/>
    <w:rsid w:val="53EE4E13"/>
    <w:rsid w:val="53EF0F1D"/>
    <w:rsid w:val="53F00B8B"/>
    <w:rsid w:val="53F32429"/>
    <w:rsid w:val="53F8359B"/>
    <w:rsid w:val="53F94527"/>
    <w:rsid w:val="53FA0EE2"/>
    <w:rsid w:val="53FC752F"/>
    <w:rsid w:val="54063F0A"/>
    <w:rsid w:val="54085ED4"/>
    <w:rsid w:val="540B32CF"/>
    <w:rsid w:val="540C0A08"/>
    <w:rsid w:val="54102FDB"/>
    <w:rsid w:val="54136627"/>
    <w:rsid w:val="541505F1"/>
    <w:rsid w:val="54164A93"/>
    <w:rsid w:val="54177AB0"/>
    <w:rsid w:val="54181E8F"/>
    <w:rsid w:val="541859EC"/>
    <w:rsid w:val="541A3860"/>
    <w:rsid w:val="541A5C08"/>
    <w:rsid w:val="541C54DC"/>
    <w:rsid w:val="541E4DB2"/>
    <w:rsid w:val="541F6D7A"/>
    <w:rsid w:val="54212AF2"/>
    <w:rsid w:val="54224ABC"/>
    <w:rsid w:val="542328CE"/>
    <w:rsid w:val="5423406C"/>
    <w:rsid w:val="54240834"/>
    <w:rsid w:val="542603BD"/>
    <w:rsid w:val="54260581"/>
    <w:rsid w:val="54273E81"/>
    <w:rsid w:val="54280325"/>
    <w:rsid w:val="54290122"/>
    <w:rsid w:val="54295E4B"/>
    <w:rsid w:val="54297BF9"/>
    <w:rsid w:val="542C1497"/>
    <w:rsid w:val="543640C4"/>
    <w:rsid w:val="543761FC"/>
    <w:rsid w:val="54386CB0"/>
    <w:rsid w:val="54396E8B"/>
    <w:rsid w:val="543A1843"/>
    <w:rsid w:val="543A1E06"/>
    <w:rsid w:val="543A3BB4"/>
    <w:rsid w:val="543D1359"/>
    <w:rsid w:val="54414F42"/>
    <w:rsid w:val="54434FD7"/>
    <w:rsid w:val="54436F0C"/>
    <w:rsid w:val="544607AB"/>
    <w:rsid w:val="544651F9"/>
    <w:rsid w:val="54482775"/>
    <w:rsid w:val="54486516"/>
    <w:rsid w:val="544868DE"/>
    <w:rsid w:val="544900FE"/>
    <w:rsid w:val="54492049"/>
    <w:rsid w:val="54493DF7"/>
    <w:rsid w:val="544B1F74"/>
    <w:rsid w:val="544F3B03"/>
    <w:rsid w:val="54500C03"/>
    <w:rsid w:val="5451424B"/>
    <w:rsid w:val="54520EFE"/>
    <w:rsid w:val="5452125E"/>
    <w:rsid w:val="54525A12"/>
    <w:rsid w:val="5452714F"/>
    <w:rsid w:val="54574493"/>
    <w:rsid w:val="545A0CF3"/>
    <w:rsid w:val="545B76B8"/>
    <w:rsid w:val="545E787D"/>
    <w:rsid w:val="545F186C"/>
    <w:rsid w:val="54646E83"/>
    <w:rsid w:val="54651176"/>
    <w:rsid w:val="546832F7"/>
    <w:rsid w:val="54684BC5"/>
    <w:rsid w:val="54685C27"/>
    <w:rsid w:val="546940A2"/>
    <w:rsid w:val="54697358"/>
    <w:rsid w:val="546B0211"/>
    <w:rsid w:val="546D21DB"/>
    <w:rsid w:val="546E0DCC"/>
    <w:rsid w:val="5470465A"/>
    <w:rsid w:val="54705828"/>
    <w:rsid w:val="54716984"/>
    <w:rsid w:val="5472334E"/>
    <w:rsid w:val="547370C6"/>
    <w:rsid w:val="54754BEC"/>
    <w:rsid w:val="54790B80"/>
    <w:rsid w:val="547A66A6"/>
    <w:rsid w:val="547D15FE"/>
    <w:rsid w:val="547D183A"/>
    <w:rsid w:val="548337AD"/>
    <w:rsid w:val="54852E78"/>
    <w:rsid w:val="54854942"/>
    <w:rsid w:val="548840F7"/>
    <w:rsid w:val="548F2152"/>
    <w:rsid w:val="549239F0"/>
    <w:rsid w:val="5492579E"/>
    <w:rsid w:val="5495528E"/>
    <w:rsid w:val="54971006"/>
    <w:rsid w:val="54972DB4"/>
    <w:rsid w:val="54994CF6"/>
    <w:rsid w:val="549A0AF6"/>
    <w:rsid w:val="549C661D"/>
    <w:rsid w:val="549D3EDA"/>
    <w:rsid w:val="549E4143"/>
    <w:rsid w:val="549F610D"/>
    <w:rsid w:val="549F7427"/>
    <w:rsid w:val="54A0435F"/>
    <w:rsid w:val="54A2689B"/>
    <w:rsid w:val="54A379AB"/>
    <w:rsid w:val="54A454D1"/>
    <w:rsid w:val="54A63492"/>
    <w:rsid w:val="54A6749B"/>
    <w:rsid w:val="54A83213"/>
    <w:rsid w:val="54A8526C"/>
    <w:rsid w:val="54A86D6F"/>
    <w:rsid w:val="54A92AE8"/>
    <w:rsid w:val="54AB6860"/>
    <w:rsid w:val="54AD25D8"/>
    <w:rsid w:val="54AF1627"/>
    <w:rsid w:val="54B0031A"/>
    <w:rsid w:val="54B03E76"/>
    <w:rsid w:val="54B43966"/>
    <w:rsid w:val="54B90F7D"/>
    <w:rsid w:val="54B94CA2"/>
    <w:rsid w:val="54B95421"/>
    <w:rsid w:val="54BE47E5"/>
    <w:rsid w:val="54C142D5"/>
    <w:rsid w:val="54C161D4"/>
    <w:rsid w:val="54C5114B"/>
    <w:rsid w:val="54C618EB"/>
    <w:rsid w:val="54C6369A"/>
    <w:rsid w:val="54CC0AEA"/>
    <w:rsid w:val="54CD1733"/>
    <w:rsid w:val="54CF254E"/>
    <w:rsid w:val="54D222B5"/>
    <w:rsid w:val="54D23DEC"/>
    <w:rsid w:val="54D264E2"/>
    <w:rsid w:val="54D45DB6"/>
    <w:rsid w:val="54D6501D"/>
    <w:rsid w:val="54D71379"/>
    <w:rsid w:val="54D745DB"/>
    <w:rsid w:val="54DA0EF3"/>
    <w:rsid w:val="54DF6509"/>
    <w:rsid w:val="54E171D9"/>
    <w:rsid w:val="54E372AE"/>
    <w:rsid w:val="54E43E85"/>
    <w:rsid w:val="54E809BF"/>
    <w:rsid w:val="54E83610"/>
    <w:rsid w:val="54EA0F6C"/>
    <w:rsid w:val="54EB3100"/>
    <w:rsid w:val="54EF2BF0"/>
    <w:rsid w:val="54EF43AE"/>
    <w:rsid w:val="54F04A30"/>
    <w:rsid w:val="54F2448F"/>
    <w:rsid w:val="54F31921"/>
    <w:rsid w:val="54F614E1"/>
    <w:rsid w:val="54F621D1"/>
    <w:rsid w:val="54F93A6F"/>
    <w:rsid w:val="54FC355F"/>
    <w:rsid w:val="54FC5522"/>
    <w:rsid w:val="54FD69B2"/>
    <w:rsid w:val="54FE2E33"/>
    <w:rsid w:val="55012924"/>
    <w:rsid w:val="55012C9D"/>
    <w:rsid w:val="550368F4"/>
    <w:rsid w:val="55043CB4"/>
    <w:rsid w:val="55045144"/>
    <w:rsid w:val="5507618C"/>
    <w:rsid w:val="550B72FE"/>
    <w:rsid w:val="550D36B6"/>
    <w:rsid w:val="550D5F4F"/>
    <w:rsid w:val="550F0324"/>
    <w:rsid w:val="550F0DC7"/>
    <w:rsid w:val="55104779"/>
    <w:rsid w:val="55112CDB"/>
    <w:rsid w:val="551148E5"/>
    <w:rsid w:val="55116410"/>
    <w:rsid w:val="5511700B"/>
    <w:rsid w:val="5512068D"/>
    <w:rsid w:val="55124B31"/>
    <w:rsid w:val="551322A2"/>
    <w:rsid w:val="55142657"/>
    <w:rsid w:val="5516017D"/>
    <w:rsid w:val="551615FE"/>
    <w:rsid w:val="551663CF"/>
    <w:rsid w:val="55195EBF"/>
    <w:rsid w:val="551B39E5"/>
    <w:rsid w:val="551C775D"/>
    <w:rsid w:val="551D3AB9"/>
    <w:rsid w:val="551D41AF"/>
    <w:rsid w:val="551E7032"/>
    <w:rsid w:val="55212802"/>
    <w:rsid w:val="5523158C"/>
    <w:rsid w:val="55236D3E"/>
    <w:rsid w:val="552438F8"/>
    <w:rsid w:val="552503C0"/>
    <w:rsid w:val="55264138"/>
    <w:rsid w:val="5527238A"/>
    <w:rsid w:val="55275EE5"/>
    <w:rsid w:val="552E00F5"/>
    <w:rsid w:val="552F123F"/>
    <w:rsid w:val="552F7491"/>
    <w:rsid w:val="55306D65"/>
    <w:rsid w:val="55314FB7"/>
    <w:rsid w:val="55320D2F"/>
    <w:rsid w:val="55345D50"/>
    <w:rsid w:val="55351E20"/>
    <w:rsid w:val="553625CD"/>
    <w:rsid w:val="55374E0D"/>
    <w:rsid w:val="553A3D83"/>
    <w:rsid w:val="553B5E36"/>
    <w:rsid w:val="553C0CF0"/>
    <w:rsid w:val="553E76D4"/>
    <w:rsid w:val="5540344C"/>
    <w:rsid w:val="554051FA"/>
    <w:rsid w:val="5545537D"/>
    <w:rsid w:val="55494FB9"/>
    <w:rsid w:val="554967A4"/>
    <w:rsid w:val="554A42CB"/>
    <w:rsid w:val="554C1DF1"/>
    <w:rsid w:val="554D6705"/>
    <w:rsid w:val="554F7B33"/>
    <w:rsid w:val="5551200A"/>
    <w:rsid w:val="55515659"/>
    <w:rsid w:val="555273D7"/>
    <w:rsid w:val="555551A6"/>
    <w:rsid w:val="55560EC1"/>
    <w:rsid w:val="55564A1D"/>
    <w:rsid w:val="555667CB"/>
    <w:rsid w:val="55591B89"/>
    <w:rsid w:val="5559450E"/>
    <w:rsid w:val="555962BC"/>
    <w:rsid w:val="555A701E"/>
    <w:rsid w:val="555C5C8D"/>
    <w:rsid w:val="555D56E4"/>
    <w:rsid w:val="55627866"/>
    <w:rsid w:val="55630EE8"/>
    <w:rsid w:val="55653867"/>
    <w:rsid w:val="55654C60"/>
    <w:rsid w:val="55690BF5"/>
    <w:rsid w:val="556A499A"/>
    <w:rsid w:val="556B7614"/>
    <w:rsid w:val="556E1BAD"/>
    <w:rsid w:val="556E5844"/>
    <w:rsid w:val="556F788D"/>
    <w:rsid w:val="55713605"/>
    <w:rsid w:val="55717AA9"/>
    <w:rsid w:val="55723A62"/>
    <w:rsid w:val="55741347"/>
    <w:rsid w:val="55747C16"/>
    <w:rsid w:val="55761405"/>
    <w:rsid w:val="557773FB"/>
    <w:rsid w:val="557C32F9"/>
    <w:rsid w:val="557D644E"/>
    <w:rsid w:val="557E3F74"/>
    <w:rsid w:val="557E5D22"/>
    <w:rsid w:val="5581058A"/>
    <w:rsid w:val="55823A64"/>
    <w:rsid w:val="558275C0"/>
    <w:rsid w:val="55832665"/>
    <w:rsid w:val="5584321C"/>
    <w:rsid w:val="55853555"/>
    <w:rsid w:val="55863ACB"/>
    <w:rsid w:val="5587107B"/>
    <w:rsid w:val="55877123"/>
    <w:rsid w:val="55894A97"/>
    <w:rsid w:val="558C61FC"/>
    <w:rsid w:val="558D0DCD"/>
    <w:rsid w:val="55926C87"/>
    <w:rsid w:val="55931A27"/>
    <w:rsid w:val="55932EA4"/>
    <w:rsid w:val="5596306C"/>
    <w:rsid w:val="55983288"/>
    <w:rsid w:val="559865A1"/>
    <w:rsid w:val="55986DE4"/>
    <w:rsid w:val="55997370"/>
    <w:rsid w:val="559A23C6"/>
    <w:rsid w:val="559A612C"/>
    <w:rsid w:val="559B2D78"/>
    <w:rsid w:val="559B44E9"/>
    <w:rsid w:val="559D089E"/>
    <w:rsid w:val="55A007F9"/>
    <w:rsid w:val="55A21A11"/>
    <w:rsid w:val="55A26969"/>
    <w:rsid w:val="55A51501"/>
    <w:rsid w:val="55A559A5"/>
    <w:rsid w:val="55A737AD"/>
    <w:rsid w:val="55A7437E"/>
    <w:rsid w:val="55A96FFE"/>
    <w:rsid w:val="55A97243"/>
    <w:rsid w:val="55AA4D69"/>
    <w:rsid w:val="55AA6B17"/>
    <w:rsid w:val="55AC0AE1"/>
    <w:rsid w:val="55AC288F"/>
    <w:rsid w:val="55AD03B6"/>
    <w:rsid w:val="55AF05D2"/>
    <w:rsid w:val="55B10746"/>
    <w:rsid w:val="55B1434A"/>
    <w:rsid w:val="55B15612"/>
    <w:rsid w:val="55B17EA6"/>
    <w:rsid w:val="55B47996"/>
    <w:rsid w:val="55B55D4B"/>
    <w:rsid w:val="55B81234"/>
    <w:rsid w:val="55C0458D"/>
    <w:rsid w:val="55C0633B"/>
    <w:rsid w:val="55C20305"/>
    <w:rsid w:val="55C776C9"/>
    <w:rsid w:val="55C91693"/>
    <w:rsid w:val="55CA71B9"/>
    <w:rsid w:val="55CE2806"/>
    <w:rsid w:val="55CE5769"/>
    <w:rsid w:val="55CF3F22"/>
    <w:rsid w:val="55D10548"/>
    <w:rsid w:val="55D342C0"/>
    <w:rsid w:val="55D41DE6"/>
    <w:rsid w:val="55D475BA"/>
    <w:rsid w:val="55D840D0"/>
    <w:rsid w:val="55D911AB"/>
    <w:rsid w:val="55DB3175"/>
    <w:rsid w:val="55DF0EB7"/>
    <w:rsid w:val="55DF2C65"/>
    <w:rsid w:val="55E0078B"/>
    <w:rsid w:val="55E262B1"/>
    <w:rsid w:val="55E30CB3"/>
    <w:rsid w:val="55E42029"/>
    <w:rsid w:val="55E942D0"/>
    <w:rsid w:val="55E95892"/>
    <w:rsid w:val="55E97640"/>
    <w:rsid w:val="55EA251B"/>
    <w:rsid w:val="55EC3435"/>
    <w:rsid w:val="55EE5599"/>
    <w:rsid w:val="55F07EB9"/>
    <w:rsid w:val="55F253AA"/>
    <w:rsid w:val="55F34962"/>
    <w:rsid w:val="55F36710"/>
    <w:rsid w:val="55F61D5C"/>
    <w:rsid w:val="55F75F1F"/>
    <w:rsid w:val="55F83D27"/>
    <w:rsid w:val="55FA184D"/>
    <w:rsid w:val="55FA3B3C"/>
    <w:rsid w:val="55FB55C5"/>
    <w:rsid w:val="55FB7373"/>
    <w:rsid w:val="55FD30EB"/>
    <w:rsid w:val="5600257F"/>
    <w:rsid w:val="560426CB"/>
    <w:rsid w:val="56044479"/>
    <w:rsid w:val="5605705C"/>
    <w:rsid w:val="56071CAF"/>
    <w:rsid w:val="560726C2"/>
    <w:rsid w:val="560732C8"/>
    <w:rsid w:val="56091C97"/>
    <w:rsid w:val="56097CE2"/>
    <w:rsid w:val="560A5808"/>
    <w:rsid w:val="560C0B22"/>
    <w:rsid w:val="560C332E"/>
    <w:rsid w:val="560E70A6"/>
    <w:rsid w:val="56160709"/>
    <w:rsid w:val="56160E37"/>
    <w:rsid w:val="56181553"/>
    <w:rsid w:val="56186810"/>
    <w:rsid w:val="561A782E"/>
    <w:rsid w:val="561B7A15"/>
    <w:rsid w:val="561E401D"/>
    <w:rsid w:val="5621327D"/>
    <w:rsid w:val="56220DA3"/>
    <w:rsid w:val="56251A9B"/>
    <w:rsid w:val="562528DD"/>
    <w:rsid w:val="5627460C"/>
    <w:rsid w:val="562C577E"/>
    <w:rsid w:val="562D0EF4"/>
    <w:rsid w:val="5630526E"/>
    <w:rsid w:val="56306A8D"/>
    <w:rsid w:val="563103E9"/>
    <w:rsid w:val="563167DC"/>
    <w:rsid w:val="5632548A"/>
    <w:rsid w:val="56336B0D"/>
    <w:rsid w:val="5634515D"/>
    <w:rsid w:val="56350AD7"/>
    <w:rsid w:val="563549C4"/>
    <w:rsid w:val="56356D29"/>
    <w:rsid w:val="56365AA5"/>
    <w:rsid w:val="563866AF"/>
    <w:rsid w:val="563C1E65"/>
    <w:rsid w:val="563D3E2F"/>
    <w:rsid w:val="563E7AE6"/>
    <w:rsid w:val="56446F6C"/>
    <w:rsid w:val="56462CE4"/>
    <w:rsid w:val="56484A62"/>
    <w:rsid w:val="56486A5C"/>
    <w:rsid w:val="56494582"/>
    <w:rsid w:val="564C5E20"/>
    <w:rsid w:val="564C7BCE"/>
    <w:rsid w:val="564E1B99"/>
    <w:rsid w:val="564E7DEA"/>
    <w:rsid w:val="56505911"/>
    <w:rsid w:val="56521689"/>
    <w:rsid w:val="56530F5D"/>
    <w:rsid w:val="56551179"/>
    <w:rsid w:val="56576C9F"/>
    <w:rsid w:val="56582A17"/>
    <w:rsid w:val="565A678F"/>
    <w:rsid w:val="565B1A48"/>
    <w:rsid w:val="565B69BB"/>
    <w:rsid w:val="565D002E"/>
    <w:rsid w:val="565E4DBB"/>
    <w:rsid w:val="565E57F8"/>
    <w:rsid w:val="566029D6"/>
    <w:rsid w:val="566118CC"/>
    <w:rsid w:val="566273F2"/>
    <w:rsid w:val="566413BC"/>
    <w:rsid w:val="56642682"/>
    <w:rsid w:val="56644F18"/>
    <w:rsid w:val="56680EAC"/>
    <w:rsid w:val="566943FC"/>
    <w:rsid w:val="566B44F9"/>
    <w:rsid w:val="566D3E5D"/>
    <w:rsid w:val="566E3FE9"/>
    <w:rsid w:val="56701B0F"/>
    <w:rsid w:val="56703FA6"/>
    <w:rsid w:val="56707D61"/>
    <w:rsid w:val="56710A58"/>
    <w:rsid w:val="567168E2"/>
    <w:rsid w:val="567425EF"/>
    <w:rsid w:val="567710EF"/>
    <w:rsid w:val="56785D5C"/>
    <w:rsid w:val="56794E67"/>
    <w:rsid w:val="567E1B89"/>
    <w:rsid w:val="567E247E"/>
    <w:rsid w:val="567E6272"/>
    <w:rsid w:val="567F61F6"/>
    <w:rsid w:val="5684380C"/>
    <w:rsid w:val="56843DD2"/>
    <w:rsid w:val="56861FA7"/>
    <w:rsid w:val="56872257"/>
    <w:rsid w:val="568850AA"/>
    <w:rsid w:val="568A30CF"/>
    <w:rsid w:val="568A6A87"/>
    <w:rsid w:val="568B06F7"/>
    <w:rsid w:val="568B4B9B"/>
    <w:rsid w:val="568B6949"/>
    <w:rsid w:val="568D446F"/>
    <w:rsid w:val="568E01E7"/>
    <w:rsid w:val="568E5C3E"/>
    <w:rsid w:val="56903F5F"/>
    <w:rsid w:val="56906545"/>
    <w:rsid w:val="56927CD7"/>
    <w:rsid w:val="56967B7B"/>
    <w:rsid w:val="569A3030"/>
    <w:rsid w:val="569C2904"/>
    <w:rsid w:val="569C7E2B"/>
    <w:rsid w:val="569F41A2"/>
    <w:rsid w:val="56A04739"/>
    <w:rsid w:val="56A1616C"/>
    <w:rsid w:val="56A2227C"/>
    <w:rsid w:val="56A4570F"/>
    <w:rsid w:val="56A563E6"/>
    <w:rsid w:val="56A8690E"/>
    <w:rsid w:val="56AA3DFF"/>
    <w:rsid w:val="56AB2B47"/>
    <w:rsid w:val="56AC6220"/>
    <w:rsid w:val="56AD2D63"/>
    <w:rsid w:val="56AD68BF"/>
    <w:rsid w:val="56AE2637"/>
    <w:rsid w:val="56B00020"/>
    <w:rsid w:val="56B0015D"/>
    <w:rsid w:val="56B01C19"/>
    <w:rsid w:val="56B04601"/>
    <w:rsid w:val="56B04895"/>
    <w:rsid w:val="56B20379"/>
    <w:rsid w:val="56B37999"/>
    <w:rsid w:val="56B37C4E"/>
    <w:rsid w:val="56B539C6"/>
    <w:rsid w:val="56B7773E"/>
    <w:rsid w:val="56B97893"/>
    <w:rsid w:val="56BB0D2A"/>
    <w:rsid w:val="56BC0DE5"/>
    <w:rsid w:val="56BC2FA6"/>
    <w:rsid w:val="56BE6D1E"/>
    <w:rsid w:val="56CA55D7"/>
    <w:rsid w:val="56CB31E9"/>
    <w:rsid w:val="56D06A51"/>
    <w:rsid w:val="56D21B7B"/>
    <w:rsid w:val="56D227CA"/>
    <w:rsid w:val="56D4209E"/>
    <w:rsid w:val="56D73191"/>
    <w:rsid w:val="56D93B58"/>
    <w:rsid w:val="56DE2BF4"/>
    <w:rsid w:val="56E147BB"/>
    <w:rsid w:val="56E542AB"/>
    <w:rsid w:val="56E60023"/>
    <w:rsid w:val="56E61DD1"/>
    <w:rsid w:val="56E63150"/>
    <w:rsid w:val="56E83D9B"/>
    <w:rsid w:val="56E85B49"/>
    <w:rsid w:val="56E9366F"/>
    <w:rsid w:val="56EA7B13"/>
    <w:rsid w:val="56EB73E7"/>
    <w:rsid w:val="56EE0C86"/>
    <w:rsid w:val="56EF6ED8"/>
    <w:rsid w:val="56F00EA2"/>
    <w:rsid w:val="56F049FE"/>
    <w:rsid w:val="56F3629C"/>
    <w:rsid w:val="56F50266"/>
    <w:rsid w:val="56F75059"/>
    <w:rsid w:val="56FB4CB8"/>
    <w:rsid w:val="56FC33A3"/>
    <w:rsid w:val="56FE536D"/>
    <w:rsid w:val="57002533"/>
    <w:rsid w:val="57003D3C"/>
    <w:rsid w:val="5705494D"/>
    <w:rsid w:val="57060A6B"/>
    <w:rsid w:val="57064221"/>
    <w:rsid w:val="570653E1"/>
    <w:rsid w:val="5709481B"/>
    <w:rsid w:val="570E771B"/>
    <w:rsid w:val="570F1328"/>
    <w:rsid w:val="570F4F7D"/>
    <w:rsid w:val="571046EE"/>
    <w:rsid w:val="5710688D"/>
    <w:rsid w:val="571132F2"/>
    <w:rsid w:val="571406EC"/>
    <w:rsid w:val="571526B6"/>
    <w:rsid w:val="571903F8"/>
    <w:rsid w:val="5719147B"/>
    <w:rsid w:val="571C3A45"/>
    <w:rsid w:val="571C6718"/>
    <w:rsid w:val="571E156B"/>
    <w:rsid w:val="571F7013"/>
    <w:rsid w:val="57203535"/>
    <w:rsid w:val="57206EF9"/>
    <w:rsid w:val="57211164"/>
    <w:rsid w:val="57233025"/>
    <w:rsid w:val="572A6162"/>
    <w:rsid w:val="572E4B7E"/>
    <w:rsid w:val="572E74B9"/>
    <w:rsid w:val="572F6536"/>
    <w:rsid w:val="57323268"/>
    <w:rsid w:val="57327818"/>
    <w:rsid w:val="573338E1"/>
    <w:rsid w:val="573448C8"/>
    <w:rsid w:val="5737087F"/>
    <w:rsid w:val="5737262D"/>
    <w:rsid w:val="57387C5F"/>
    <w:rsid w:val="573945F7"/>
    <w:rsid w:val="573B211D"/>
    <w:rsid w:val="573C5E95"/>
    <w:rsid w:val="57405985"/>
    <w:rsid w:val="57430FD1"/>
    <w:rsid w:val="5747738E"/>
    <w:rsid w:val="574B60D8"/>
    <w:rsid w:val="574F5BC8"/>
    <w:rsid w:val="57504512"/>
    <w:rsid w:val="575046D6"/>
    <w:rsid w:val="575118D0"/>
    <w:rsid w:val="57511940"/>
    <w:rsid w:val="57521D36"/>
    <w:rsid w:val="57546DC1"/>
    <w:rsid w:val="57572CCF"/>
    <w:rsid w:val="57580F21"/>
    <w:rsid w:val="575925A3"/>
    <w:rsid w:val="57597E07"/>
    <w:rsid w:val="575B456D"/>
    <w:rsid w:val="575C02E5"/>
    <w:rsid w:val="57601B83"/>
    <w:rsid w:val="57607DD5"/>
    <w:rsid w:val="576276B7"/>
    <w:rsid w:val="57627703"/>
    <w:rsid w:val="57635426"/>
    <w:rsid w:val="576378C6"/>
    <w:rsid w:val="57645AC5"/>
    <w:rsid w:val="57646A15"/>
    <w:rsid w:val="57684EDC"/>
    <w:rsid w:val="57686C8A"/>
    <w:rsid w:val="577168F6"/>
    <w:rsid w:val="577218B7"/>
    <w:rsid w:val="57730E9A"/>
    <w:rsid w:val="5776215B"/>
    <w:rsid w:val="577675F9"/>
    <w:rsid w:val="577949F3"/>
    <w:rsid w:val="577D2735"/>
    <w:rsid w:val="577E64AD"/>
    <w:rsid w:val="57802226"/>
    <w:rsid w:val="57810B57"/>
    <w:rsid w:val="5781620E"/>
    <w:rsid w:val="578507C0"/>
    <w:rsid w:val="57877110"/>
    <w:rsid w:val="578A4E52"/>
    <w:rsid w:val="578B019D"/>
    <w:rsid w:val="578D049F"/>
    <w:rsid w:val="57911D3D"/>
    <w:rsid w:val="579201F3"/>
    <w:rsid w:val="57931F59"/>
    <w:rsid w:val="5794182D"/>
    <w:rsid w:val="57945CD1"/>
    <w:rsid w:val="57953E1C"/>
    <w:rsid w:val="57961A49"/>
    <w:rsid w:val="579932E7"/>
    <w:rsid w:val="579D4B86"/>
    <w:rsid w:val="579E26AC"/>
    <w:rsid w:val="57A00167"/>
    <w:rsid w:val="57A15F65"/>
    <w:rsid w:val="57A2219C"/>
    <w:rsid w:val="57A53A3A"/>
    <w:rsid w:val="57A66A42"/>
    <w:rsid w:val="57A67AF9"/>
    <w:rsid w:val="57A8352A"/>
    <w:rsid w:val="57AA1051"/>
    <w:rsid w:val="57AD1917"/>
    <w:rsid w:val="57AF2EE7"/>
    <w:rsid w:val="57B376F8"/>
    <w:rsid w:val="57B44EC0"/>
    <w:rsid w:val="57B63E99"/>
    <w:rsid w:val="57BA0B3F"/>
    <w:rsid w:val="57BA127A"/>
    <w:rsid w:val="57BC2B32"/>
    <w:rsid w:val="57BD0D84"/>
    <w:rsid w:val="57BD5228"/>
    <w:rsid w:val="57BD6FD6"/>
    <w:rsid w:val="57BE0E51"/>
    <w:rsid w:val="57BE5D7F"/>
    <w:rsid w:val="57BE6431"/>
    <w:rsid w:val="57BE68AA"/>
    <w:rsid w:val="57BF2D4E"/>
    <w:rsid w:val="57C2639A"/>
    <w:rsid w:val="57C33EC0"/>
    <w:rsid w:val="57C40364"/>
    <w:rsid w:val="57C540DC"/>
    <w:rsid w:val="57C71C02"/>
    <w:rsid w:val="57C83143"/>
    <w:rsid w:val="57C9597B"/>
    <w:rsid w:val="57CA34A1"/>
    <w:rsid w:val="57CA6046"/>
    <w:rsid w:val="57CC462D"/>
    <w:rsid w:val="57CC4A0D"/>
    <w:rsid w:val="57CE2F91"/>
    <w:rsid w:val="57D03135"/>
    <w:rsid w:val="57D11007"/>
    <w:rsid w:val="57D15936"/>
    <w:rsid w:val="57D165DD"/>
    <w:rsid w:val="57D369BC"/>
    <w:rsid w:val="57D36B15"/>
    <w:rsid w:val="57D615DD"/>
    <w:rsid w:val="57D810AF"/>
    <w:rsid w:val="57DA2877"/>
    <w:rsid w:val="57DC2A49"/>
    <w:rsid w:val="57E07C89"/>
    <w:rsid w:val="57E30BED"/>
    <w:rsid w:val="57E3356E"/>
    <w:rsid w:val="57E44562"/>
    <w:rsid w:val="57E74053"/>
    <w:rsid w:val="57E80126"/>
    <w:rsid w:val="57E91B79"/>
    <w:rsid w:val="57E91E84"/>
    <w:rsid w:val="57EC1D94"/>
    <w:rsid w:val="57EC3417"/>
    <w:rsid w:val="57EF4A8F"/>
    <w:rsid w:val="57F51477"/>
    <w:rsid w:val="57F515A6"/>
    <w:rsid w:val="57F66044"/>
    <w:rsid w:val="57F67076"/>
    <w:rsid w:val="57F7435A"/>
    <w:rsid w:val="57F8000E"/>
    <w:rsid w:val="57FC0820"/>
    <w:rsid w:val="57FD73D2"/>
    <w:rsid w:val="57FF010C"/>
    <w:rsid w:val="57FF139C"/>
    <w:rsid w:val="58040325"/>
    <w:rsid w:val="58044C05"/>
    <w:rsid w:val="580469B3"/>
    <w:rsid w:val="5806097D"/>
    <w:rsid w:val="58061A6F"/>
    <w:rsid w:val="580746F5"/>
    <w:rsid w:val="5809221B"/>
    <w:rsid w:val="58093FC9"/>
    <w:rsid w:val="580B4A27"/>
    <w:rsid w:val="580C394F"/>
    <w:rsid w:val="580C3AB9"/>
    <w:rsid w:val="580C5867"/>
    <w:rsid w:val="58100C54"/>
    <w:rsid w:val="58117D1B"/>
    <w:rsid w:val="58164938"/>
    <w:rsid w:val="581806B0"/>
    <w:rsid w:val="5818420C"/>
    <w:rsid w:val="581A4428"/>
    <w:rsid w:val="581B5AAA"/>
    <w:rsid w:val="581D1822"/>
    <w:rsid w:val="581E495A"/>
    <w:rsid w:val="581F559B"/>
    <w:rsid w:val="58207669"/>
    <w:rsid w:val="58247055"/>
    <w:rsid w:val="582639A9"/>
    <w:rsid w:val="582708F3"/>
    <w:rsid w:val="582726A1"/>
    <w:rsid w:val="5829466B"/>
    <w:rsid w:val="58296419"/>
    <w:rsid w:val="582B2191"/>
    <w:rsid w:val="582C415B"/>
    <w:rsid w:val="582D0E61"/>
    <w:rsid w:val="582D57D1"/>
    <w:rsid w:val="582F1556"/>
    <w:rsid w:val="58312279"/>
    <w:rsid w:val="58350A83"/>
    <w:rsid w:val="58353010"/>
    <w:rsid w:val="583848AE"/>
    <w:rsid w:val="583A6878"/>
    <w:rsid w:val="583C31B4"/>
    <w:rsid w:val="583F021F"/>
    <w:rsid w:val="583F3E8F"/>
    <w:rsid w:val="583F6DA0"/>
    <w:rsid w:val="583F79EB"/>
    <w:rsid w:val="584032A3"/>
    <w:rsid w:val="58403763"/>
    <w:rsid w:val="58421BF7"/>
    <w:rsid w:val="584274DB"/>
    <w:rsid w:val="58445001"/>
    <w:rsid w:val="58466FCB"/>
    <w:rsid w:val="584A64CD"/>
    <w:rsid w:val="584B45E2"/>
    <w:rsid w:val="58502ABA"/>
    <w:rsid w:val="58507DDB"/>
    <w:rsid w:val="58523BC2"/>
    <w:rsid w:val="5853793A"/>
    <w:rsid w:val="58557C07"/>
    <w:rsid w:val="585711D8"/>
    <w:rsid w:val="58584F50"/>
    <w:rsid w:val="585F111F"/>
    <w:rsid w:val="585F62DF"/>
    <w:rsid w:val="58600C6F"/>
    <w:rsid w:val="5862495B"/>
    <w:rsid w:val="58627B7D"/>
    <w:rsid w:val="5863277C"/>
    <w:rsid w:val="5863503A"/>
    <w:rsid w:val="58643EBA"/>
    <w:rsid w:val="58644352"/>
    <w:rsid w:val="58646EBC"/>
    <w:rsid w:val="58654F91"/>
    <w:rsid w:val="58692CBA"/>
    <w:rsid w:val="58694E18"/>
    <w:rsid w:val="586B2497"/>
    <w:rsid w:val="586B4C84"/>
    <w:rsid w:val="586B6A32"/>
    <w:rsid w:val="586C4558"/>
    <w:rsid w:val="586E02D0"/>
    <w:rsid w:val="5870229A"/>
    <w:rsid w:val="58704048"/>
    <w:rsid w:val="58714FC8"/>
    <w:rsid w:val="58727DC0"/>
    <w:rsid w:val="58770836"/>
    <w:rsid w:val="58783407"/>
    <w:rsid w:val="58791752"/>
    <w:rsid w:val="587A4EC7"/>
    <w:rsid w:val="587A6C75"/>
    <w:rsid w:val="587B78FE"/>
    <w:rsid w:val="587E6C78"/>
    <w:rsid w:val="587F072F"/>
    <w:rsid w:val="587F428B"/>
    <w:rsid w:val="587F6039"/>
    <w:rsid w:val="5880733A"/>
    <w:rsid w:val="58816256"/>
    <w:rsid w:val="588418A2"/>
    <w:rsid w:val="58884B84"/>
    <w:rsid w:val="588C013C"/>
    <w:rsid w:val="588C5C9B"/>
    <w:rsid w:val="588C69A8"/>
    <w:rsid w:val="588C6B1E"/>
    <w:rsid w:val="588D4BFA"/>
    <w:rsid w:val="58931AE5"/>
    <w:rsid w:val="58977827"/>
    <w:rsid w:val="5898534D"/>
    <w:rsid w:val="589870FB"/>
    <w:rsid w:val="589A5609"/>
    <w:rsid w:val="589C6BEB"/>
    <w:rsid w:val="589D0BB5"/>
    <w:rsid w:val="589F0489"/>
    <w:rsid w:val="589F492D"/>
    <w:rsid w:val="589F5E76"/>
    <w:rsid w:val="589F6A37"/>
    <w:rsid w:val="58A06022"/>
    <w:rsid w:val="58A166B7"/>
    <w:rsid w:val="58A4109F"/>
    <w:rsid w:val="58A41F44"/>
    <w:rsid w:val="58A61818"/>
    <w:rsid w:val="58A67A6A"/>
    <w:rsid w:val="58A82691"/>
    <w:rsid w:val="58AB5E83"/>
    <w:rsid w:val="58AD0DF8"/>
    <w:rsid w:val="58AE2DC2"/>
    <w:rsid w:val="58AE4B70"/>
    <w:rsid w:val="58B008E9"/>
    <w:rsid w:val="58B06B3A"/>
    <w:rsid w:val="58B303D9"/>
    <w:rsid w:val="58B32E3A"/>
    <w:rsid w:val="58B51F19"/>
    <w:rsid w:val="58B54151"/>
    <w:rsid w:val="58B67C3B"/>
    <w:rsid w:val="58B8154B"/>
    <w:rsid w:val="58B830D4"/>
    <w:rsid w:val="58BA1767"/>
    <w:rsid w:val="58BA3515"/>
    <w:rsid w:val="58BA52C3"/>
    <w:rsid w:val="58BD34CA"/>
    <w:rsid w:val="58BE3005"/>
    <w:rsid w:val="58BF11BC"/>
    <w:rsid w:val="58BF6D7E"/>
    <w:rsid w:val="58C06C50"/>
    <w:rsid w:val="58C16652"/>
    <w:rsid w:val="58C4066D"/>
    <w:rsid w:val="58C6010C"/>
    <w:rsid w:val="58C779E0"/>
    <w:rsid w:val="58CB413F"/>
    <w:rsid w:val="58CD149A"/>
    <w:rsid w:val="58CD3249"/>
    <w:rsid w:val="58CD5BED"/>
    <w:rsid w:val="58CE0D6F"/>
    <w:rsid w:val="58CF60B2"/>
    <w:rsid w:val="58CF6576"/>
    <w:rsid w:val="58D12EEE"/>
    <w:rsid w:val="58D1771E"/>
    <w:rsid w:val="58D41407"/>
    <w:rsid w:val="58DC348C"/>
    <w:rsid w:val="58DD25BE"/>
    <w:rsid w:val="58DF2304"/>
    <w:rsid w:val="58DF2F7C"/>
    <w:rsid w:val="58E223C6"/>
    <w:rsid w:val="58E32A6C"/>
    <w:rsid w:val="58E34AAF"/>
    <w:rsid w:val="58E34F27"/>
    <w:rsid w:val="58E467E4"/>
    <w:rsid w:val="58EB7C76"/>
    <w:rsid w:val="58EC5D11"/>
    <w:rsid w:val="58EF660C"/>
    <w:rsid w:val="58F05189"/>
    <w:rsid w:val="58F20F01"/>
    <w:rsid w:val="58F24A5D"/>
    <w:rsid w:val="58F307D5"/>
    <w:rsid w:val="58F509F1"/>
    <w:rsid w:val="58F5279F"/>
    <w:rsid w:val="58F52D66"/>
    <w:rsid w:val="58F72073"/>
    <w:rsid w:val="58F9403E"/>
    <w:rsid w:val="59040DBD"/>
    <w:rsid w:val="590429E2"/>
    <w:rsid w:val="590723E4"/>
    <w:rsid w:val="59085CEB"/>
    <w:rsid w:val="59097FF9"/>
    <w:rsid w:val="590B3D71"/>
    <w:rsid w:val="590D5D3B"/>
    <w:rsid w:val="591064E5"/>
    <w:rsid w:val="59126EAD"/>
    <w:rsid w:val="59142684"/>
    <w:rsid w:val="59143DC5"/>
    <w:rsid w:val="59153B14"/>
    <w:rsid w:val="59154BEF"/>
    <w:rsid w:val="591E5852"/>
    <w:rsid w:val="592137F8"/>
    <w:rsid w:val="59227859"/>
    <w:rsid w:val="59282B75"/>
    <w:rsid w:val="59284923"/>
    <w:rsid w:val="592B7F6F"/>
    <w:rsid w:val="592E78CE"/>
    <w:rsid w:val="592F45B5"/>
    <w:rsid w:val="59301A29"/>
    <w:rsid w:val="593212FE"/>
    <w:rsid w:val="59325B16"/>
    <w:rsid w:val="5934151A"/>
    <w:rsid w:val="593432C8"/>
    <w:rsid w:val="59350DEE"/>
    <w:rsid w:val="59352B9C"/>
    <w:rsid w:val="593530FD"/>
    <w:rsid w:val="59367040"/>
    <w:rsid w:val="593B28A8"/>
    <w:rsid w:val="593C2BA3"/>
    <w:rsid w:val="593C715A"/>
    <w:rsid w:val="593E4146"/>
    <w:rsid w:val="593E565E"/>
    <w:rsid w:val="593F3A1A"/>
    <w:rsid w:val="594006C5"/>
    <w:rsid w:val="594013EC"/>
    <w:rsid w:val="5942138D"/>
    <w:rsid w:val="5943175D"/>
    <w:rsid w:val="594352B9"/>
    <w:rsid w:val="59462FFB"/>
    <w:rsid w:val="59480B21"/>
    <w:rsid w:val="594869A2"/>
    <w:rsid w:val="59486D73"/>
    <w:rsid w:val="594A2A9B"/>
    <w:rsid w:val="594D25DB"/>
    <w:rsid w:val="59505C28"/>
    <w:rsid w:val="59527BF2"/>
    <w:rsid w:val="595317A4"/>
    <w:rsid w:val="595F22C1"/>
    <w:rsid w:val="59617E35"/>
    <w:rsid w:val="596516D3"/>
    <w:rsid w:val="59667064"/>
    <w:rsid w:val="596671F9"/>
    <w:rsid w:val="5967369D"/>
    <w:rsid w:val="59682F71"/>
    <w:rsid w:val="59696A4A"/>
    <w:rsid w:val="596A347D"/>
    <w:rsid w:val="596A4F3B"/>
    <w:rsid w:val="596A75AC"/>
    <w:rsid w:val="596C0CB3"/>
    <w:rsid w:val="596C2A61"/>
    <w:rsid w:val="596D0588"/>
    <w:rsid w:val="596D4A2C"/>
    <w:rsid w:val="596F60AE"/>
    <w:rsid w:val="597265D0"/>
    <w:rsid w:val="59741916"/>
    <w:rsid w:val="59742BBD"/>
    <w:rsid w:val="59771D33"/>
    <w:rsid w:val="597903A1"/>
    <w:rsid w:val="5979095E"/>
    <w:rsid w:val="597B4402"/>
    <w:rsid w:val="597B513F"/>
    <w:rsid w:val="597E2795"/>
    <w:rsid w:val="597E47CE"/>
    <w:rsid w:val="59851D75"/>
    <w:rsid w:val="59861649"/>
    <w:rsid w:val="59876129"/>
    <w:rsid w:val="598A113A"/>
    <w:rsid w:val="598B6C60"/>
    <w:rsid w:val="598C4EB2"/>
    <w:rsid w:val="598D0C2A"/>
    <w:rsid w:val="598D29D8"/>
    <w:rsid w:val="598E4D65"/>
    <w:rsid w:val="59926240"/>
    <w:rsid w:val="59927FEE"/>
    <w:rsid w:val="59945B14"/>
    <w:rsid w:val="59947126"/>
    <w:rsid w:val="59956FD4"/>
    <w:rsid w:val="5996188C"/>
    <w:rsid w:val="59965D30"/>
    <w:rsid w:val="5997006D"/>
    <w:rsid w:val="599D317C"/>
    <w:rsid w:val="59A10231"/>
    <w:rsid w:val="59A246D5"/>
    <w:rsid w:val="59A3044D"/>
    <w:rsid w:val="59A445D0"/>
    <w:rsid w:val="59A651A2"/>
    <w:rsid w:val="59A73A9A"/>
    <w:rsid w:val="59A8341F"/>
    <w:rsid w:val="59AD4E28"/>
    <w:rsid w:val="59AD756C"/>
    <w:rsid w:val="59AF294E"/>
    <w:rsid w:val="59B12B6A"/>
    <w:rsid w:val="59B32904"/>
    <w:rsid w:val="59B36457"/>
    <w:rsid w:val="59B44408"/>
    <w:rsid w:val="59B461B6"/>
    <w:rsid w:val="59B60181"/>
    <w:rsid w:val="59B62CC0"/>
    <w:rsid w:val="59B90AA1"/>
    <w:rsid w:val="59BB12F3"/>
    <w:rsid w:val="59C25A74"/>
    <w:rsid w:val="59C3464B"/>
    <w:rsid w:val="59C363FA"/>
    <w:rsid w:val="59C56616"/>
    <w:rsid w:val="59C77E38"/>
    <w:rsid w:val="59C81C62"/>
    <w:rsid w:val="59CA59DA"/>
    <w:rsid w:val="59CC168B"/>
    <w:rsid w:val="59CD7278"/>
    <w:rsid w:val="59CE07A9"/>
    <w:rsid w:val="59CF1242"/>
    <w:rsid w:val="59D0681A"/>
    <w:rsid w:val="59D5500D"/>
    <w:rsid w:val="59D800F7"/>
    <w:rsid w:val="59D9502B"/>
    <w:rsid w:val="59DB3743"/>
    <w:rsid w:val="59DB7BE7"/>
    <w:rsid w:val="59DD6E9D"/>
    <w:rsid w:val="59DF76D7"/>
    <w:rsid w:val="59DF7BD0"/>
    <w:rsid w:val="59E24AD2"/>
    <w:rsid w:val="59E31276"/>
    <w:rsid w:val="59E52169"/>
    <w:rsid w:val="59E545C2"/>
    <w:rsid w:val="59E56370"/>
    <w:rsid w:val="59E63722"/>
    <w:rsid w:val="59EC3BA2"/>
    <w:rsid w:val="59EC6F75"/>
    <w:rsid w:val="59EE791A"/>
    <w:rsid w:val="59F01C15"/>
    <w:rsid w:val="59F30559"/>
    <w:rsid w:val="59F63A72"/>
    <w:rsid w:val="59FA1EEB"/>
    <w:rsid w:val="59FA28A1"/>
    <w:rsid w:val="59FB0BB0"/>
    <w:rsid w:val="59FD190B"/>
    <w:rsid w:val="59FE56A9"/>
    <w:rsid w:val="5A0053F8"/>
    <w:rsid w:val="5A00764E"/>
    <w:rsid w:val="5A011A11"/>
    <w:rsid w:val="5A023443"/>
    <w:rsid w:val="5A025174"/>
    <w:rsid w:val="5A037B4C"/>
    <w:rsid w:val="5A07278A"/>
    <w:rsid w:val="5A074538"/>
    <w:rsid w:val="5A096502"/>
    <w:rsid w:val="5A0D02E3"/>
    <w:rsid w:val="5A0E3B19"/>
    <w:rsid w:val="5A0E58C7"/>
    <w:rsid w:val="5A1153B7"/>
    <w:rsid w:val="5A1223DE"/>
    <w:rsid w:val="5A1629CD"/>
    <w:rsid w:val="5A166E71"/>
    <w:rsid w:val="5A1C1CB8"/>
    <w:rsid w:val="5A1D5B0A"/>
    <w:rsid w:val="5A20384C"/>
    <w:rsid w:val="5A217436"/>
    <w:rsid w:val="5A221372"/>
    <w:rsid w:val="5A2275C4"/>
    <w:rsid w:val="5A236E98"/>
    <w:rsid w:val="5A2570B4"/>
    <w:rsid w:val="5A296BA4"/>
    <w:rsid w:val="5A2A6479"/>
    <w:rsid w:val="5A2C3F9F"/>
    <w:rsid w:val="5A2E3651"/>
    <w:rsid w:val="5A3115B5"/>
    <w:rsid w:val="5A312D45"/>
    <w:rsid w:val="5A3141A2"/>
    <w:rsid w:val="5A323A7D"/>
    <w:rsid w:val="5A33532D"/>
    <w:rsid w:val="5A3617D9"/>
    <w:rsid w:val="5A364E1D"/>
    <w:rsid w:val="5A3B7573"/>
    <w:rsid w:val="5A403EEE"/>
    <w:rsid w:val="5A426ABB"/>
    <w:rsid w:val="5A44753A"/>
    <w:rsid w:val="5A470DD9"/>
    <w:rsid w:val="5A490FF5"/>
    <w:rsid w:val="5A494B51"/>
    <w:rsid w:val="5A4B6B1B"/>
    <w:rsid w:val="5A4D4E8F"/>
    <w:rsid w:val="5A4E0416"/>
    <w:rsid w:val="5A585A5B"/>
    <w:rsid w:val="5A597EEA"/>
    <w:rsid w:val="5A5A0B0C"/>
    <w:rsid w:val="5A5A4FB0"/>
    <w:rsid w:val="5A5A528C"/>
    <w:rsid w:val="5A5B4884"/>
    <w:rsid w:val="5A5F25C6"/>
    <w:rsid w:val="5A5F4374"/>
    <w:rsid w:val="5A5F53D0"/>
    <w:rsid w:val="5A615ED6"/>
    <w:rsid w:val="5A6220B6"/>
    <w:rsid w:val="5A647BDD"/>
    <w:rsid w:val="5A681176"/>
    <w:rsid w:val="5A6A4AC7"/>
    <w:rsid w:val="5A6F20DD"/>
    <w:rsid w:val="5A70032F"/>
    <w:rsid w:val="5A731BCE"/>
    <w:rsid w:val="5A753B98"/>
    <w:rsid w:val="5A753DA0"/>
    <w:rsid w:val="5A7877AA"/>
    <w:rsid w:val="5A7A35EE"/>
    <w:rsid w:val="5A7B30DA"/>
    <w:rsid w:val="5A7D2A4C"/>
    <w:rsid w:val="5A7D47FA"/>
    <w:rsid w:val="5A7F0572"/>
    <w:rsid w:val="5A7F67C4"/>
    <w:rsid w:val="5A83034D"/>
    <w:rsid w:val="5A847010"/>
    <w:rsid w:val="5A875679"/>
    <w:rsid w:val="5A8804F4"/>
    <w:rsid w:val="5A8C0EE1"/>
    <w:rsid w:val="5A8E2EAB"/>
    <w:rsid w:val="5A8F6C33"/>
    <w:rsid w:val="5A902780"/>
    <w:rsid w:val="5A904EAA"/>
    <w:rsid w:val="5A912133"/>
    <w:rsid w:val="5A9304C2"/>
    <w:rsid w:val="5A963B0E"/>
    <w:rsid w:val="5A9658BC"/>
    <w:rsid w:val="5A971D60"/>
    <w:rsid w:val="5A981634"/>
    <w:rsid w:val="5A996F37"/>
    <w:rsid w:val="5A9A1850"/>
    <w:rsid w:val="5A9C5DB6"/>
    <w:rsid w:val="5A9D4E9D"/>
    <w:rsid w:val="5A9F29C3"/>
    <w:rsid w:val="5AA13369"/>
    <w:rsid w:val="5AA20705"/>
    <w:rsid w:val="5AA218C5"/>
    <w:rsid w:val="5AA224B3"/>
    <w:rsid w:val="5AA407BB"/>
    <w:rsid w:val="5AA4622B"/>
    <w:rsid w:val="5AA47913"/>
    <w:rsid w:val="5AA47FD9"/>
    <w:rsid w:val="5AA51D31"/>
    <w:rsid w:val="5AA81FF6"/>
    <w:rsid w:val="5AAA305F"/>
    <w:rsid w:val="5AAB390F"/>
    <w:rsid w:val="5AAB580B"/>
    <w:rsid w:val="5AAE6BFF"/>
    <w:rsid w:val="5AB02E22"/>
    <w:rsid w:val="5AB04526"/>
    <w:rsid w:val="5AB0697E"/>
    <w:rsid w:val="5AB346C0"/>
    <w:rsid w:val="5AB3646E"/>
    <w:rsid w:val="5AB46C0D"/>
    <w:rsid w:val="5AB67D0C"/>
    <w:rsid w:val="5ABA77FD"/>
    <w:rsid w:val="5ABC17C7"/>
    <w:rsid w:val="5ABF3065"/>
    <w:rsid w:val="5AC17303"/>
    <w:rsid w:val="5AC24903"/>
    <w:rsid w:val="5AC4067B"/>
    <w:rsid w:val="5AC44FC1"/>
    <w:rsid w:val="5AC468CD"/>
    <w:rsid w:val="5AC57B92"/>
    <w:rsid w:val="5AC643F3"/>
    <w:rsid w:val="5AC71F19"/>
    <w:rsid w:val="5AC73CC7"/>
    <w:rsid w:val="5AC75083"/>
    <w:rsid w:val="5AC762F1"/>
    <w:rsid w:val="5AC93EE4"/>
    <w:rsid w:val="5ACC12DE"/>
    <w:rsid w:val="5ACC7530"/>
    <w:rsid w:val="5ACD5782"/>
    <w:rsid w:val="5ACE32A8"/>
    <w:rsid w:val="5ACF4E66"/>
    <w:rsid w:val="5ACF557D"/>
    <w:rsid w:val="5AD00DCE"/>
    <w:rsid w:val="5AD07020"/>
    <w:rsid w:val="5AD07711"/>
    <w:rsid w:val="5AD14B46"/>
    <w:rsid w:val="5AD3266C"/>
    <w:rsid w:val="5AD63E24"/>
    <w:rsid w:val="5AD76600"/>
    <w:rsid w:val="5ADA39FB"/>
    <w:rsid w:val="5ADB1120"/>
    <w:rsid w:val="5ADD34EB"/>
    <w:rsid w:val="5AE00F5A"/>
    <w:rsid w:val="5AE05C2A"/>
    <w:rsid w:val="5AE34FA5"/>
    <w:rsid w:val="5AE40D1D"/>
    <w:rsid w:val="5AE445AB"/>
    <w:rsid w:val="5AE66844"/>
    <w:rsid w:val="5AE91E90"/>
    <w:rsid w:val="5AE96DAB"/>
    <w:rsid w:val="5AF076C2"/>
    <w:rsid w:val="5AF30F60"/>
    <w:rsid w:val="5AF32D0E"/>
    <w:rsid w:val="5AF34ABD"/>
    <w:rsid w:val="5AF54CD9"/>
    <w:rsid w:val="5AF56A87"/>
    <w:rsid w:val="5AF66FA7"/>
    <w:rsid w:val="5AF7262D"/>
    <w:rsid w:val="5AF745AD"/>
    <w:rsid w:val="5AF90B34"/>
    <w:rsid w:val="5AF947C9"/>
    <w:rsid w:val="5AFD12C7"/>
    <w:rsid w:val="5AFF16B3"/>
    <w:rsid w:val="5B0974A9"/>
    <w:rsid w:val="5B0A0784"/>
    <w:rsid w:val="5B0B1E06"/>
    <w:rsid w:val="5B0E18F6"/>
    <w:rsid w:val="5B0F2F87"/>
    <w:rsid w:val="5B0F614B"/>
    <w:rsid w:val="5B1433B1"/>
    <w:rsid w:val="5B146880"/>
    <w:rsid w:val="5B152C85"/>
    <w:rsid w:val="5B157129"/>
    <w:rsid w:val="5B1769FD"/>
    <w:rsid w:val="5B1A64ED"/>
    <w:rsid w:val="5B1C38DA"/>
    <w:rsid w:val="5B1D0BB9"/>
    <w:rsid w:val="5B1E42F8"/>
    <w:rsid w:val="5B1F3B03"/>
    <w:rsid w:val="5B21162A"/>
    <w:rsid w:val="5B242EC8"/>
    <w:rsid w:val="5B26435E"/>
    <w:rsid w:val="5B2844EF"/>
    <w:rsid w:val="5B2860E1"/>
    <w:rsid w:val="5B2908F5"/>
    <w:rsid w:val="5B2A2BD4"/>
    <w:rsid w:val="5B2F0B75"/>
    <w:rsid w:val="5B2F1F99"/>
    <w:rsid w:val="5B316588"/>
    <w:rsid w:val="5B3255E5"/>
    <w:rsid w:val="5B331E3F"/>
    <w:rsid w:val="5B337F9C"/>
    <w:rsid w:val="5B34725D"/>
    <w:rsid w:val="5B3475AF"/>
    <w:rsid w:val="5B35078D"/>
    <w:rsid w:val="5B353327"/>
    <w:rsid w:val="5B3550D5"/>
    <w:rsid w:val="5B370E4D"/>
    <w:rsid w:val="5B377EB4"/>
    <w:rsid w:val="5B386773"/>
    <w:rsid w:val="5B3A2569"/>
    <w:rsid w:val="5B3A26EB"/>
    <w:rsid w:val="5B3C6463"/>
    <w:rsid w:val="5B3E0678"/>
    <w:rsid w:val="5B3E6680"/>
    <w:rsid w:val="5B3F1DB5"/>
    <w:rsid w:val="5B413A7A"/>
    <w:rsid w:val="5B417F1E"/>
    <w:rsid w:val="5B427A6A"/>
    <w:rsid w:val="5B4812AC"/>
    <w:rsid w:val="5B4968E4"/>
    <w:rsid w:val="5B4B48F9"/>
    <w:rsid w:val="5B4D0671"/>
    <w:rsid w:val="5B4D68C3"/>
    <w:rsid w:val="5B4E19C2"/>
    <w:rsid w:val="5B4F43E9"/>
    <w:rsid w:val="5B5419FF"/>
    <w:rsid w:val="5B547C51"/>
    <w:rsid w:val="5B5639C7"/>
    <w:rsid w:val="5B597015"/>
    <w:rsid w:val="5B5E0214"/>
    <w:rsid w:val="5B5E022C"/>
    <w:rsid w:val="5B5E04BE"/>
    <w:rsid w:val="5B5F0309"/>
    <w:rsid w:val="5B61236E"/>
    <w:rsid w:val="5B6634E0"/>
    <w:rsid w:val="5B6B0AF7"/>
    <w:rsid w:val="5B6F14AD"/>
    <w:rsid w:val="5B6F4A8B"/>
    <w:rsid w:val="5B7420A1"/>
    <w:rsid w:val="5B7667EC"/>
    <w:rsid w:val="5B7B3430"/>
    <w:rsid w:val="5B7C0F56"/>
    <w:rsid w:val="5B7F2398"/>
    <w:rsid w:val="5B7F3AD9"/>
    <w:rsid w:val="5B8147BE"/>
    <w:rsid w:val="5B865931"/>
    <w:rsid w:val="5B866D04"/>
    <w:rsid w:val="5B8A5421"/>
    <w:rsid w:val="5B8A71CF"/>
    <w:rsid w:val="5B8C18BC"/>
    <w:rsid w:val="5B8E7680"/>
    <w:rsid w:val="5B92504F"/>
    <w:rsid w:val="5B93080E"/>
    <w:rsid w:val="5B956B6B"/>
    <w:rsid w:val="5B962018"/>
    <w:rsid w:val="5B975075"/>
    <w:rsid w:val="5B984680"/>
    <w:rsid w:val="5B9B5880"/>
    <w:rsid w:val="5B9C33A6"/>
    <w:rsid w:val="5B9C6F02"/>
    <w:rsid w:val="5BA1276A"/>
    <w:rsid w:val="5BA26C0E"/>
    <w:rsid w:val="5BA54009"/>
    <w:rsid w:val="5BAC35E9"/>
    <w:rsid w:val="5BAE5FBF"/>
    <w:rsid w:val="5BAE7FE7"/>
    <w:rsid w:val="5BAF30D9"/>
    <w:rsid w:val="5BAF6C35"/>
    <w:rsid w:val="5BB04C2C"/>
    <w:rsid w:val="5BB4249E"/>
    <w:rsid w:val="5BB46942"/>
    <w:rsid w:val="5BB56B61"/>
    <w:rsid w:val="5BB64468"/>
    <w:rsid w:val="5BB66216"/>
    <w:rsid w:val="5BB97AB4"/>
    <w:rsid w:val="5BBB4FCE"/>
    <w:rsid w:val="5BBB6CA5"/>
    <w:rsid w:val="5BBB7CD0"/>
    <w:rsid w:val="5BBC1352"/>
    <w:rsid w:val="5BBF7D40"/>
    <w:rsid w:val="5BC07095"/>
    <w:rsid w:val="5BC207B3"/>
    <w:rsid w:val="5BC20A68"/>
    <w:rsid w:val="5BC30933"/>
    <w:rsid w:val="5BC621D1"/>
    <w:rsid w:val="5BC70423"/>
    <w:rsid w:val="5BC76675"/>
    <w:rsid w:val="5BC7779C"/>
    <w:rsid w:val="5BC85F49"/>
    <w:rsid w:val="5BCA1CC1"/>
    <w:rsid w:val="5BCA59A6"/>
    <w:rsid w:val="5BCA7F5D"/>
    <w:rsid w:val="5BCC6458"/>
    <w:rsid w:val="5BCF184A"/>
    <w:rsid w:val="5BCF72D8"/>
    <w:rsid w:val="5BD20B76"/>
    <w:rsid w:val="5BD3620A"/>
    <w:rsid w:val="5BD37619"/>
    <w:rsid w:val="5BD53824"/>
    <w:rsid w:val="5BD62414"/>
    <w:rsid w:val="5BD743DE"/>
    <w:rsid w:val="5BDA4A94"/>
    <w:rsid w:val="5BDB3ECE"/>
    <w:rsid w:val="5BDC7136"/>
    <w:rsid w:val="5BDE576D"/>
    <w:rsid w:val="5BE03293"/>
    <w:rsid w:val="5BE03C4D"/>
    <w:rsid w:val="5BE05778"/>
    <w:rsid w:val="5BE07737"/>
    <w:rsid w:val="5BE30FD5"/>
    <w:rsid w:val="5BE32D83"/>
    <w:rsid w:val="5BE3658C"/>
    <w:rsid w:val="5BE41A30"/>
    <w:rsid w:val="5BE508A9"/>
    <w:rsid w:val="5BE52D7E"/>
    <w:rsid w:val="5BE70AC5"/>
    <w:rsid w:val="5BEA5EBF"/>
    <w:rsid w:val="5BED775E"/>
    <w:rsid w:val="5BEF1728"/>
    <w:rsid w:val="5BEF34D6"/>
    <w:rsid w:val="5BF136F2"/>
    <w:rsid w:val="5BF1724E"/>
    <w:rsid w:val="5BF31218"/>
    <w:rsid w:val="5BF40AEC"/>
    <w:rsid w:val="5BF46D3E"/>
    <w:rsid w:val="5BF6783B"/>
    <w:rsid w:val="5BF74F3D"/>
    <w:rsid w:val="5BF90F94"/>
    <w:rsid w:val="5BF94355"/>
    <w:rsid w:val="5BFB3C44"/>
    <w:rsid w:val="5BFE2E58"/>
    <w:rsid w:val="5BFF597D"/>
    <w:rsid w:val="5C023A8F"/>
    <w:rsid w:val="5C0351D3"/>
    <w:rsid w:val="5C037EDF"/>
    <w:rsid w:val="5C04759E"/>
    <w:rsid w:val="5C083CBB"/>
    <w:rsid w:val="5C0A0310"/>
    <w:rsid w:val="5C0A47B4"/>
    <w:rsid w:val="5C0C052C"/>
    <w:rsid w:val="5C0D4CE2"/>
    <w:rsid w:val="5C110814"/>
    <w:rsid w:val="5C1218F5"/>
    <w:rsid w:val="5C125416"/>
    <w:rsid w:val="5C1271C4"/>
    <w:rsid w:val="5C166CB5"/>
    <w:rsid w:val="5C17056B"/>
    <w:rsid w:val="5C171193"/>
    <w:rsid w:val="5C174A85"/>
    <w:rsid w:val="5C183B51"/>
    <w:rsid w:val="5C1906F7"/>
    <w:rsid w:val="5C1B0F0A"/>
    <w:rsid w:val="5C1B6F16"/>
    <w:rsid w:val="5C1D44E7"/>
    <w:rsid w:val="5C1D5AFA"/>
    <w:rsid w:val="5C1E200D"/>
    <w:rsid w:val="5C1E3DBB"/>
    <w:rsid w:val="5C203C2E"/>
    <w:rsid w:val="5C21668C"/>
    <w:rsid w:val="5C216BFF"/>
    <w:rsid w:val="5C252399"/>
    <w:rsid w:val="5C25514A"/>
    <w:rsid w:val="5C277114"/>
    <w:rsid w:val="5C2869E8"/>
    <w:rsid w:val="5C2A09B2"/>
    <w:rsid w:val="5C2C66C4"/>
    <w:rsid w:val="5C2D3FFE"/>
    <w:rsid w:val="5C2E0911"/>
    <w:rsid w:val="5C2F5FC8"/>
    <w:rsid w:val="5C311D40"/>
    <w:rsid w:val="5C317F92"/>
    <w:rsid w:val="5C381321"/>
    <w:rsid w:val="5C3830CF"/>
    <w:rsid w:val="5C3F445D"/>
    <w:rsid w:val="5C403D31"/>
    <w:rsid w:val="5C427AAA"/>
    <w:rsid w:val="5C447CC6"/>
    <w:rsid w:val="5C456250"/>
    <w:rsid w:val="5C474011"/>
    <w:rsid w:val="5C4E644E"/>
    <w:rsid w:val="5C514191"/>
    <w:rsid w:val="5C537F09"/>
    <w:rsid w:val="5C545A2F"/>
    <w:rsid w:val="5C5617A7"/>
    <w:rsid w:val="5C5A20A8"/>
    <w:rsid w:val="5C5D2B35"/>
    <w:rsid w:val="5C5D3646"/>
    <w:rsid w:val="5C6234B3"/>
    <w:rsid w:val="5C642116"/>
    <w:rsid w:val="5C642C63"/>
    <w:rsid w:val="5C645C72"/>
    <w:rsid w:val="5C645EF8"/>
    <w:rsid w:val="5C657C3C"/>
    <w:rsid w:val="5C677510"/>
    <w:rsid w:val="5C693288"/>
    <w:rsid w:val="5C6C0FCA"/>
    <w:rsid w:val="5C6C2D78"/>
    <w:rsid w:val="5C6C4B26"/>
    <w:rsid w:val="5C734107"/>
    <w:rsid w:val="5C737BB0"/>
    <w:rsid w:val="5C7419FB"/>
    <w:rsid w:val="5C745B1A"/>
    <w:rsid w:val="5C753E74"/>
    <w:rsid w:val="5C7560D1"/>
    <w:rsid w:val="5C761E49"/>
    <w:rsid w:val="5C7716D7"/>
    <w:rsid w:val="5C7922E1"/>
    <w:rsid w:val="5C797243"/>
    <w:rsid w:val="5C7A36E7"/>
    <w:rsid w:val="5C7A5495"/>
    <w:rsid w:val="5C7B745F"/>
    <w:rsid w:val="5C7D02C9"/>
    <w:rsid w:val="5C7D31D8"/>
    <w:rsid w:val="5C7F2AAC"/>
    <w:rsid w:val="5C824AD4"/>
    <w:rsid w:val="5C825168"/>
    <w:rsid w:val="5C853E3A"/>
    <w:rsid w:val="5C8B06F2"/>
    <w:rsid w:val="5C8E0F41"/>
    <w:rsid w:val="5C8E2CEF"/>
    <w:rsid w:val="5C902F0B"/>
    <w:rsid w:val="5C950521"/>
    <w:rsid w:val="5C961BA3"/>
    <w:rsid w:val="5C966047"/>
    <w:rsid w:val="5C985D8A"/>
    <w:rsid w:val="5C9B64A5"/>
    <w:rsid w:val="5C9D73D6"/>
    <w:rsid w:val="5CA16EC6"/>
    <w:rsid w:val="5CA24B14"/>
    <w:rsid w:val="5CA30247"/>
    <w:rsid w:val="5CA46515"/>
    <w:rsid w:val="5CA67026"/>
    <w:rsid w:val="5CA73DB1"/>
    <w:rsid w:val="5CA949CF"/>
    <w:rsid w:val="5CAA564F"/>
    <w:rsid w:val="5CAE15E3"/>
    <w:rsid w:val="5CAE513F"/>
    <w:rsid w:val="5CAF3AF1"/>
    <w:rsid w:val="5CAF478F"/>
    <w:rsid w:val="5CB00EB7"/>
    <w:rsid w:val="5CB07109"/>
    <w:rsid w:val="5CB12E81"/>
    <w:rsid w:val="5CB169DD"/>
    <w:rsid w:val="5CB32755"/>
    <w:rsid w:val="5CB35695"/>
    <w:rsid w:val="5CB4600F"/>
    <w:rsid w:val="5CB5471F"/>
    <w:rsid w:val="5CB87D6C"/>
    <w:rsid w:val="5CC11316"/>
    <w:rsid w:val="5CC266A0"/>
    <w:rsid w:val="5CC47359"/>
    <w:rsid w:val="5CC901CB"/>
    <w:rsid w:val="5CC93D27"/>
    <w:rsid w:val="5CC977C8"/>
    <w:rsid w:val="5CCB30D5"/>
    <w:rsid w:val="5CCB3F43"/>
    <w:rsid w:val="5CCD3AA2"/>
    <w:rsid w:val="5CCF199A"/>
    <w:rsid w:val="5CD131C8"/>
    <w:rsid w:val="5CD40EEF"/>
    <w:rsid w:val="5CD5091E"/>
    <w:rsid w:val="5CD551B9"/>
    <w:rsid w:val="5CD56B70"/>
    <w:rsid w:val="5CD945FC"/>
    <w:rsid w:val="5CDA5F34"/>
    <w:rsid w:val="5CDD5A24"/>
    <w:rsid w:val="5CE172C2"/>
    <w:rsid w:val="5CE2128D"/>
    <w:rsid w:val="5CE84AF5"/>
    <w:rsid w:val="5CED210B"/>
    <w:rsid w:val="5CED6664"/>
    <w:rsid w:val="5CEE7AF4"/>
    <w:rsid w:val="5CF07506"/>
    <w:rsid w:val="5CF10C74"/>
    <w:rsid w:val="5CF1327E"/>
    <w:rsid w:val="5CF214D0"/>
    <w:rsid w:val="5CF3631E"/>
    <w:rsid w:val="5CF50FC0"/>
    <w:rsid w:val="5CF60894"/>
    <w:rsid w:val="5CF67D18"/>
    <w:rsid w:val="5CF80AB0"/>
    <w:rsid w:val="5CF90780"/>
    <w:rsid w:val="5CF936CB"/>
    <w:rsid w:val="5CFA6097"/>
    <w:rsid w:val="5CFB5EAA"/>
    <w:rsid w:val="5CFC40FC"/>
    <w:rsid w:val="5CFD4A18"/>
    <w:rsid w:val="5CFD7E74"/>
    <w:rsid w:val="5CFF1508"/>
    <w:rsid w:val="5D00541C"/>
    <w:rsid w:val="5D011713"/>
    <w:rsid w:val="5D02548B"/>
    <w:rsid w:val="5D0607CD"/>
    <w:rsid w:val="5D072AA1"/>
    <w:rsid w:val="5D081262"/>
    <w:rsid w:val="5D096819"/>
    <w:rsid w:val="5D09707E"/>
    <w:rsid w:val="5D126DFC"/>
    <w:rsid w:val="5D142D43"/>
    <w:rsid w:val="5D157AF5"/>
    <w:rsid w:val="5D170190"/>
    <w:rsid w:val="5D170F36"/>
    <w:rsid w:val="5D172CE4"/>
    <w:rsid w:val="5D177188"/>
    <w:rsid w:val="5D1A067D"/>
    <w:rsid w:val="5D1A4582"/>
    <w:rsid w:val="5D1D22C5"/>
    <w:rsid w:val="5D1F428F"/>
    <w:rsid w:val="5D202983"/>
    <w:rsid w:val="5D24556C"/>
    <w:rsid w:val="5D251732"/>
    <w:rsid w:val="5D295176"/>
    <w:rsid w:val="5D2B2C34"/>
    <w:rsid w:val="5D2B3D11"/>
    <w:rsid w:val="5D30024A"/>
    <w:rsid w:val="5D31207E"/>
    <w:rsid w:val="5D331AE8"/>
    <w:rsid w:val="5D3513BC"/>
    <w:rsid w:val="5D353C30"/>
    <w:rsid w:val="5D355860"/>
    <w:rsid w:val="5D3715D8"/>
    <w:rsid w:val="5D380EAD"/>
    <w:rsid w:val="5D386F41"/>
    <w:rsid w:val="5D395350"/>
    <w:rsid w:val="5D3D5702"/>
    <w:rsid w:val="5D3D64C3"/>
    <w:rsid w:val="5D3D6D9F"/>
    <w:rsid w:val="5D3F5F0C"/>
    <w:rsid w:val="5D414205"/>
    <w:rsid w:val="5D417D61"/>
    <w:rsid w:val="5D437F7D"/>
    <w:rsid w:val="5D445AA3"/>
    <w:rsid w:val="5D4635C9"/>
    <w:rsid w:val="5D467A6D"/>
    <w:rsid w:val="5D4810F0"/>
    <w:rsid w:val="5D4A12F8"/>
    <w:rsid w:val="5D4B0BE0"/>
    <w:rsid w:val="5D4F7DAA"/>
    <w:rsid w:val="5D50269A"/>
    <w:rsid w:val="5D504448"/>
    <w:rsid w:val="5D505750"/>
    <w:rsid w:val="5D526412"/>
    <w:rsid w:val="5D535CE6"/>
    <w:rsid w:val="5D541157"/>
    <w:rsid w:val="5D55380D"/>
    <w:rsid w:val="5D5A1124"/>
    <w:rsid w:val="5D5E6B65"/>
    <w:rsid w:val="5D6323CD"/>
    <w:rsid w:val="5D63417B"/>
    <w:rsid w:val="5D6470DC"/>
    <w:rsid w:val="5D656145"/>
    <w:rsid w:val="5D663C6C"/>
    <w:rsid w:val="5D671943"/>
    <w:rsid w:val="5D69148B"/>
    <w:rsid w:val="5D692859"/>
    <w:rsid w:val="5D6E0D73"/>
    <w:rsid w:val="5D706898"/>
    <w:rsid w:val="5D72616D"/>
    <w:rsid w:val="5D73575C"/>
    <w:rsid w:val="5D755C5D"/>
    <w:rsid w:val="5D762E2E"/>
    <w:rsid w:val="5D780ABD"/>
    <w:rsid w:val="5D7874FB"/>
    <w:rsid w:val="5D7C0913"/>
    <w:rsid w:val="5D7C29BC"/>
    <w:rsid w:val="5D7D60DA"/>
    <w:rsid w:val="5D7E1EC0"/>
    <w:rsid w:val="5D7E7207"/>
    <w:rsid w:val="5D7F1C5E"/>
    <w:rsid w:val="5D814602"/>
    <w:rsid w:val="5D83481E"/>
    <w:rsid w:val="5D883BE2"/>
    <w:rsid w:val="5D891708"/>
    <w:rsid w:val="5D8958E1"/>
    <w:rsid w:val="5D896F5C"/>
    <w:rsid w:val="5D8B5480"/>
    <w:rsid w:val="5D8C1339"/>
    <w:rsid w:val="5D8D5D95"/>
    <w:rsid w:val="5D8F12C5"/>
    <w:rsid w:val="5D900CE9"/>
    <w:rsid w:val="5D9205BD"/>
    <w:rsid w:val="5D941DBC"/>
    <w:rsid w:val="5D99194B"/>
    <w:rsid w:val="5D9929B9"/>
    <w:rsid w:val="5D9A0E4D"/>
    <w:rsid w:val="5D9C768D"/>
    <w:rsid w:val="5D9D51E6"/>
    <w:rsid w:val="5DA12EF6"/>
    <w:rsid w:val="5DA14CA4"/>
    <w:rsid w:val="5DA57F63"/>
    <w:rsid w:val="5DA6050C"/>
    <w:rsid w:val="5DA61A44"/>
    <w:rsid w:val="5DA70892"/>
    <w:rsid w:val="5DA86032"/>
    <w:rsid w:val="5DA909EB"/>
    <w:rsid w:val="5DA97E4D"/>
    <w:rsid w:val="5DAA3B58"/>
    <w:rsid w:val="5DAC0CF7"/>
    <w:rsid w:val="5DB03139"/>
    <w:rsid w:val="5DB20C5F"/>
    <w:rsid w:val="5DB22A0D"/>
    <w:rsid w:val="5DB46785"/>
    <w:rsid w:val="5DB5346D"/>
    <w:rsid w:val="5DB669A1"/>
    <w:rsid w:val="5DB67025"/>
    <w:rsid w:val="5DB81EF7"/>
    <w:rsid w:val="5DB93D9B"/>
    <w:rsid w:val="5DBA31E3"/>
    <w:rsid w:val="5DBC1ADE"/>
    <w:rsid w:val="5DBC3340"/>
    <w:rsid w:val="5DC015CE"/>
    <w:rsid w:val="5DC21AC7"/>
    <w:rsid w:val="5DC32037"/>
    <w:rsid w:val="5DC42740"/>
    <w:rsid w:val="5DCA5944"/>
    <w:rsid w:val="5DCC7F73"/>
    <w:rsid w:val="5DCF5572"/>
    <w:rsid w:val="5DD1521D"/>
    <w:rsid w:val="5DD21301"/>
    <w:rsid w:val="5DD230AF"/>
    <w:rsid w:val="5DD25566"/>
    <w:rsid w:val="5DD40BD5"/>
    <w:rsid w:val="5DD41735"/>
    <w:rsid w:val="5DD64ABE"/>
    <w:rsid w:val="5DD72E4A"/>
    <w:rsid w:val="5DD7451F"/>
    <w:rsid w:val="5DD76917"/>
    <w:rsid w:val="5DD83C52"/>
    <w:rsid w:val="5DD92690"/>
    <w:rsid w:val="5DD961EC"/>
    <w:rsid w:val="5DDB01B6"/>
    <w:rsid w:val="5DDC083B"/>
    <w:rsid w:val="5DDE1A54"/>
    <w:rsid w:val="5DE0757A"/>
    <w:rsid w:val="5DE2253E"/>
    <w:rsid w:val="5DE3706A"/>
    <w:rsid w:val="5DE40DCE"/>
    <w:rsid w:val="5DE51295"/>
    <w:rsid w:val="5DE762FC"/>
    <w:rsid w:val="5DE96053"/>
    <w:rsid w:val="5DEA21A7"/>
    <w:rsid w:val="5DEB5F1F"/>
    <w:rsid w:val="5DEF5A0F"/>
    <w:rsid w:val="5DF179D9"/>
    <w:rsid w:val="5DF2441E"/>
    <w:rsid w:val="5DF41277"/>
    <w:rsid w:val="5DF50B4C"/>
    <w:rsid w:val="5DF70D68"/>
    <w:rsid w:val="5DF72B16"/>
    <w:rsid w:val="5DF81A6F"/>
    <w:rsid w:val="5DF97B7F"/>
    <w:rsid w:val="5DFB2606"/>
    <w:rsid w:val="5DFC012C"/>
    <w:rsid w:val="5DFC1EDA"/>
    <w:rsid w:val="5DFC3737"/>
    <w:rsid w:val="5DFD5DF4"/>
    <w:rsid w:val="5E0019CA"/>
    <w:rsid w:val="5E005A13"/>
    <w:rsid w:val="5E0170BB"/>
    <w:rsid w:val="5E023994"/>
    <w:rsid w:val="5E054327"/>
    <w:rsid w:val="5E08087F"/>
    <w:rsid w:val="5E096D50"/>
    <w:rsid w:val="5E096E73"/>
    <w:rsid w:val="5E0A45F7"/>
    <w:rsid w:val="5E0C4813"/>
    <w:rsid w:val="5E0D07EE"/>
    <w:rsid w:val="5E101AD3"/>
    <w:rsid w:val="5E113BD7"/>
    <w:rsid w:val="5E1158CC"/>
    <w:rsid w:val="5E1216FE"/>
    <w:rsid w:val="5E183D28"/>
    <w:rsid w:val="5E1C514C"/>
    <w:rsid w:val="5E1E66DC"/>
    <w:rsid w:val="5E2002BE"/>
    <w:rsid w:val="5E20206C"/>
    <w:rsid w:val="5E217EDA"/>
    <w:rsid w:val="5E227B93"/>
    <w:rsid w:val="5E251431"/>
    <w:rsid w:val="5E2558D5"/>
    <w:rsid w:val="5E256DA3"/>
    <w:rsid w:val="5E2725DC"/>
    <w:rsid w:val="5E282CCF"/>
    <w:rsid w:val="5E287173"/>
    <w:rsid w:val="5E2A2EEB"/>
    <w:rsid w:val="5E2C0A11"/>
    <w:rsid w:val="5E2F22B0"/>
    <w:rsid w:val="5E2F405E"/>
    <w:rsid w:val="5E2F4EF2"/>
    <w:rsid w:val="5E317DD6"/>
    <w:rsid w:val="5E351028"/>
    <w:rsid w:val="5E357FB3"/>
    <w:rsid w:val="5E3631AE"/>
    <w:rsid w:val="5E3653EC"/>
    <w:rsid w:val="5E3B0C54"/>
    <w:rsid w:val="5E3B2779"/>
    <w:rsid w:val="5E3C677A"/>
    <w:rsid w:val="5E3E6996"/>
    <w:rsid w:val="5E3F6EB8"/>
    <w:rsid w:val="5E47584B"/>
    <w:rsid w:val="5E4A533B"/>
    <w:rsid w:val="5E4C4C10"/>
    <w:rsid w:val="5E4E0A96"/>
    <w:rsid w:val="5E4E693A"/>
    <w:rsid w:val="5E4F64AE"/>
    <w:rsid w:val="5E5169FC"/>
    <w:rsid w:val="5E547F68"/>
    <w:rsid w:val="5E56792A"/>
    <w:rsid w:val="5E587A58"/>
    <w:rsid w:val="5E5A78D5"/>
    <w:rsid w:val="5E5C55A2"/>
    <w:rsid w:val="5E5D506F"/>
    <w:rsid w:val="5E602490"/>
    <w:rsid w:val="5E624433"/>
    <w:rsid w:val="5E6463FD"/>
    <w:rsid w:val="5E6505D1"/>
    <w:rsid w:val="5E652175"/>
    <w:rsid w:val="5E68174B"/>
    <w:rsid w:val="5E6A778C"/>
    <w:rsid w:val="5E6E102A"/>
    <w:rsid w:val="5E701F85"/>
    <w:rsid w:val="5E71005E"/>
    <w:rsid w:val="5E7128C8"/>
    <w:rsid w:val="5E714948"/>
    <w:rsid w:val="5E714AFD"/>
    <w:rsid w:val="5E731656"/>
    <w:rsid w:val="5E734892"/>
    <w:rsid w:val="5E736640"/>
    <w:rsid w:val="5E744166"/>
    <w:rsid w:val="5E7A5C21"/>
    <w:rsid w:val="5E7C30F9"/>
    <w:rsid w:val="5E7D74BF"/>
    <w:rsid w:val="5E7F79B1"/>
    <w:rsid w:val="5E7F7A73"/>
    <w:rsid w:val="5E82799A"/>
    <w:rsid w:val="5E84188B"/>
    <w:rsid w:val="5E852A2B"/>
    <w:rsid w:val="5E875C48"/>
    <w:rsid w:val="5E895E64"/>
    <w:rsid w:val="5E8C0F8B"/>
    <w:rsid w:val="5E8E5228"/>
    <w:rsid w:val="5E8F1717"/>
    <w:rsid w:val="5E9131D5"/>
    <w:rsid w:val="5E9465B6"/>
    <w:rsid w:val="5E966CFA"/>
    <w:rsid w:val="5E9B7945"/>
    <w:rsid w:val="5E9F5687"/>
    <w:rsid w:val="5EA031AD"/>
    <w:rsid w:val="5EA30896"/>
    <w:rsid w:val="5EA52305"/>
    <w:rsid w:val="5EA762EA"/>
    <w:rsid w:val="5EAA35A6"/>
    <w:rsid w:val="5EAA4AD8"/>
    <w:rsid w:val="5EAB402C"/>
    <w:rsid w:val="5EAC56AE"/>
    <w:rsid w:val="5EAD072D"/>
    <w:rsid w:val="5EAF522C"/>
    <w:rsid w:val="5EB35D99"/>
    <w:rsid w:val="5EB36A3D"/>
    <w:rsid w:val="5EB427B5"/>
    <w:rsid w:val="5EB506B9"/>
    <w:rsid w:val="5EB50A07"/>
    <w:rsid w:val="5EB6652D"/>
    <w:rsid w:val="5EB6733A"/>
    <w:rsid w:val="5EB85BAA"/>
    <w:rsid w:val="5EB86749"/>
    <w:rsid w:val="5EBA426F"/>
    <w:rsid w:val="5EBF1885"/>
    <w:rsid w:val="5EBF3633"/>
    <w:rsid w:val="5EBF74DB"/>
    <w:rsid w:val="5EC46E9C"/>
    <w:rsid w:val="5EC7698C"/>
    <w:rsid w:val="5EC93D19"/>
    <w:rsid w:val="5ECB036D"/>
    <w:rsid w:val="5ECE1AC8"/>
    <w:rsid w:val="5ECE230D"/>
    <w:rsid w:val="5ECF39C1"/>
    <w:rsid w:val="5ECF75EF"/>
    <w:rsid w:val="5ED12224"/>
    <w:rsid w:val="5ED15CFA"/>
    <w:rsid w:val="5ED300D4"/>
    <w:rsid w:val="5ED746F7"/>
    <w:rsid w:val="5ED74E21"/>
    <w:rsid w:val="5EDB5F93"/>
    <w:rsid w:val="5EDF7832"/>
    <w:rsid w:val="5EE40F07"/>
    <w:rsid w:val="5EE412EC"/>
    <w:rsid w:val="5EE44AD4"/>
    <w:rsid w:val="5EE44E48"/>
    <w:rsid w:val="5EE46A0E"/>
    <w:rsid w:val="5EE50BC0"/>
    <w:rsid w:val="5EE74938"/>
    <w:rsid w:val="5EEB1EC9"/>
    <w:rsid w:val="5EEC5E21"/>
    <w:rsid w:val="5EF07C91"/>
    <w:rsid w:val="5EF130E3"/>
    <w:rsid w:val="5EF157B7"/>
    <w:rsid w:val="5EF37781"/>
    <w:rsid w:val="5EF534F9"/>
    <w:rsid w:val="5EF7101F"/>
    <w:rsid w:val="5EFA466C"/>
    <w:rsid w:val="5EFD0600"/>
    <w:rsid w:val="5F047298"/>
    <w:rsid w:val="5F053F00"/>
    <w:rsid w:val="5F055A90"/>
    <w:rsid w:val="5F074FDA"/>
    <w:rsid w:val="5F085DA4"/>
    <w:rsid w:val="5F09604F"/>
    <w:rsid w:val="5F096FA4"/>
    <w:rsid w:val="5F0C439F"/>
    <w:rsid w:val="5F0D0843"/>
    <w:rsid w:val="5F0D17A2"/>
    <w:rsid w:val="5F100333"/>
    <w:rsid w:val="5F105C3D"/>
    <w:rsid w:val="5F107B83"/>
    <w:rsid w:val="5F1203BA"/>
    <w:rsid w:val="5F175824"/>
    <w:rsid w:val="5F182D44"/>
    <w:rsid w:val="5F1871E8"/>
    <w:rsid w:val="5F1A6ABC"/>
    <w:rsid w:val="5F1D035A"/>
    <w:rsid w:val="5F1D47FE"/>
    <w:rsid w:val="5F1E426D"/>
    <w:rsid w:val="5F21609C"/>
    <w:rsid w:val="5F227C34"/>
    <w:rsid w:val="5F25206C"/>
    <w:rsid w:val="5F2711D9"/>
    <w:rsid w:val="5F28567D"/>
    <w:rsid w:val="5F2B6F1B"/>
    <w:rsid w:val="5F2F44F2"/>
    <w:rsid w:val="5F310BD2"/>
    <w:rsid w:val="5F312F38"/>
    <w:rsid w:val="5F3757C9"/>
    <w:rsid w:val="5F3758C0"/>
    <w:rsid w:val="5F3A715E"/>
    <w:rsid w:val="5F3C2ED6"/>
    <w:rsid w:val="5F3C4C84"/>
    <w:rsid w:val="5F3D2A47"/>
    <w:rsid w:val="5F3F4090"/>
    <w:rsid w:val="5F3F4774"/>
    <w:rsid w:val="5F431D91"/>
    <w:rsid w:val="5F454594"/>
    <w:rsid w:val="5F45532B"/>
    <w:rsid w:val="5F473E49"/>
    <w:rsid w:val="5F49114F"/>
    <w:rsid w:val="5F4D185F"/>
    <w:rsid w:val="5F4E2C09"/>
    <w:rsid w:val="5F4E6765"/>
    <w:rsid w:val="5F4F0E5B"/>
    <w:rsid w:val="5F5046B7"/>
    <w:rsid w:val="5F507610"/>
    <w:rsid w:val="5F530220"/>
    <w:rsid w:val="5F557AF4"/>
    <w:rsid w:val="5F585F70"/>
    <w:rsid w:val="5F5A2333"/>
    <w:rsid w:val="5F5D2E4C"/>
    <w:rsid w:val="5F5D3F12"/>
    <w:rsid w:val="5F5D3F52"/>
    <w:rsid w:val="5F5E1B31"/>
    <w:rsid w:val="5F6146EB"/>
    <w:rsid w:val="5F630463"/>
    <w:rsid w:val="5F631F0A"/>
    <w:rsid w:val="5F633376"/>
    <w:rsid w:val="5F6749DD"/>
    <w:rsid w:val="5F683CCB"/>
    <w:rsid w:val="5F69359F"/>
    <w:rsid w:val="5F6A335E"/>
    <w:rsid w:val="5F6A4401"/>
    <w:rsid w:val="5F6B725A"/>
    <w:rsid w:val="5F6B7317"/>
    <w:rsid w:val="5F6E316F"/>
    <w:rsid w:val="5F700DD2"/>
    <w:rsid w:val="5F70492E"/>
    <w:rsid w:val="5F712585"/>
    <w:rsid w:val="5F76780E"/>
    <w:rsid w:val="5F772160"/>
    <w:rsid w:val="5F7833CE"/>
    <w:rsid w:val="5F795ED8"/>
    <w:rsid w:val="5F797C86"/>
    <w:rsid w:val="5F7A3CB8"/>
    <w:rsid w:val="5F7F2DC3"/>
    <w:rsid w:val="5F856381"/>
    <w:rsid w:val="5F864151"/>
    <w:rsid w:val="5F887EC9"/>
    <w:rsid w:val="5F8959EF"/>
    <w:rsid w:val="5F8A78B8"/>
    <w:rsid w:val="5F8B1768"/>
    <w:rsid w:val="5F8B3515"/>
    <w:rsid w:val="5F8B5C0B"/>
    <w:rsid w:val="5F8B79B9"/>
    <w:rsid w:val="5F8E3006"/>
    <w:rsid w:val="5F906D7E"/>
    <w:rsid w:val="5F922AF6"/>
    <w:rsid w:val="5F9340F2"/>
    <w:rsid w:val="5F950838"/>
    <w:rsid w:val="5F95178D"/>
    <w:rsid w:val="5F954394"/>
    <w:rsid w:val="5F96141C"/>
    <w:rsid w:val="5F97010C"/>
    <w:rsid w:val="5F97237B"/>
    <w:rsid w:val="5F985B5D"/>
    <w:rsid w:val="5F9A19AB"/>
    <w:rsid w:val="5F9C1566"/>
    <w:rsid w:val="5F9D0AD6"/>
    <w:rsid w:val="5F9F113B"/>
    <w:rsid w:val="5FA15FFE"/>
    <w:rsid w:val="5FA25B22"/>
    <w:rsid w:val="5FA36AB1"/>
    <w:rsid w:val="5FA876EE"/>
    <w:rsid w:val="5FA92918"/>
    <w:rsid w:val="5FA97E40"/>
    <w:rsid w:val="5FAB1E0A"/>
    <w:rsid w:val="5FAD16DE"/>
    <w:rsid w:val="5FAD7930"/>
    <w:rsid w:val="5FAE5456"/>
    <w:rsid w:val="5FAF04E6"/>
    <w:rsid w:val="5FAF36A8"/>
    <w:rsid w:val="5FB011CE"/>
    <w:rsid w:val="5FB213EA"/>
    <w:rsid w:val="5FB32A6C"/>
    <w:rsid w:val="5FB76A00"/>
    <w:rsid w:val="5FB82DF5"/>
    <w:rsid w:val="5FB92779"/>
    <w:rsid w:val="5FBD4636"/>
    <w:rsid w:val="5FBD7995"/>
    <w:rsid w:val="5FBE1B3D"/>
    <w:rsid w:val="5FC15189"/>
    <w:rsid w:val="5FC30F01"/>
    <w:rsid w:val="5FC353A5"/>
    <w:rsid w:val="5FC52ECB"/>
    <w:rsid w:val="5FC86518"/>
    <w:rsid w:val="5FCB425A"/>
    <w:rsid w:val="5FCC63D2"/>
    <w:rsid w:val="5FCD244A"/>
    <w:rsid w:val="5FCD5CFB"/>
    <w:rsid w:val="5FCF559B"/>
    <w:rsid w:val="5FCF64AB"/>
    <w:rsid w:val="5FD01B27"/>
    <w:rsid w:val="5FD04220"/>
    <w:rsid w:val="5FD2383A"/>
    <w:rsid w:val="5FD255E8"/>
    <w:rsid w:val="5FD50C35"/>
    <w:rsid w:val="5FD538A4"/>
    <w:rsid w:val="5FD56E87"/>
    <w:rsid w:val="5FD667B9"/>
    <w:rsid w:val="5FD90725"/>
    <w:rsid w:val="5FDA624B"/>
    <w:rsid w:val="5FDE2001"/>
    <w:rsid w:val="5FDE5D3B"/>
    <w:rsid w:val="5FDF0E6B"/>
    <w:rsid w:val="5FDF3861"/>
    <w:rsid w:val="5FE10EFE"/>
    <w:rsid w:val="5FE5531C"/>
    <w:rsid w:val="5FE66502"/>
    <w:rsid w:val="5FEA2932"/>
    <w:rsid w:val="5FEB2206"/>
    <w:rsid w:val="5FED2422"/>
    <w:rsid w:val="5FEF619A"/>
    <w:rsid w:val="5FF07D96"/>
    <w:rsid w:val="5FF24416"/>
    <w:rsid w:val="5FF27D42"/>
    <w:rsid w:val="5FF42364"/>
    <w:rsid w:val="5FF42C6F"/>
    <w:rsid w:val="5FF732A1"/>
    <w:rsid w:val="5FF7504F"/>
    <w:rsid w:val="5FFB68ED"/>
    <w:rsid w:val="5FFC2665"/>
    <w:rsid w:val="5FFE018B"/>
    <w:rsid w:val="5FFE63DD"/>
    <w:rsid w:val="5FFE7904"/>
    <w:rsid w:val="5FFF5CB2"/>
    <w:rsid w:val="5FFF6A1A"/>
    <w:rsid w:val="5FFF6C2F"/>
    <w:rsid w:val="600052D9"/>
    <w:rsid w:val="60022122"/>
    <w:rsid w:val="60025ECE"/>
    <w:rsid w:val="60043EE8"/>
    <w:rsid w:val="6005776C"/>
    <w:rsid w:val="6006455A"/>
    <w:rsid w:val="60067040"/>
    <w:rsid w:val="60070ABD"/>
    <w:rsid w:val="6008725C"/>
    <w:rsid w:val="600C6545"/>
    <w:rsid w:val="600D4872"/>
    <w:rsid w:val="600D6620"/>
    <w:rsid w:val="600F2399"/>
    <w:rsid w:val="60107EBF"/>
    <w:rsid w:val="60116111"/>
    <w:rsid w:val="60120DE3"/>
    <w:rsid w:val="60121E89"/>
    <w:rsid w:val="6017124D"/>
    <w:rsid w:val="6017749F"/>
    <w:rsid w:val="601856F1"/>
    <w:rsid w:val="601B0ECB"/>
    <w:rsid w:val="601B2AEB"/>
    <w:rsid w:val="601D2D07"/>
    <w:rsid w:val="60220673"/>
    <w:rsid w:val="6025526A"/>
    <w:rsid w:val="60296132"/>
    <w:rsid w:val="602C5EE1"/>
    <w:rsid w:val="602D0A71"/>
    <w:rsid w:val="602D6CC3"/>
    <w:rsid w:val="602F356E"/>
    <w:rsid w:val="602F6597"/>
    <w:rsid w:val="60321E53"/>
    <w:rsid w:val="60341DFF"/>
    <w:rsid w:val="60342E35"/>
    <w:rsid w:val="60363DC9"/>
    <w:rsid w:val="60381B1C"/>
    <w:rsid w:val="603911C4"/>
    <w:rsid w:val="60395667"/>
    <w:rsid w:val="603B13E0"/>
    <w:rsid w:val="603E4A2C"/>
    <w:rsid w:val="6041089C"/>
    <w:rsid w:val="60432042"/>
    <w:rsid w:val="604364E6"/>
    <w:rsid w:val="6045400C"/>
    <w:rsid w:val="60471B32"/>
    <w:rsid w:val="60483AFC"/>
    <w:rsid w:val="604A1623"/>
    <w:rsid w:val="604A3BDE"/>
    <w:rsid w:val="604A517F"/>
    <w:rsid w:val="604C0EF7"/>
    <w:rsid w:val="604C539B"/>
    <w:rsid w:val="604D2EC1"/>
    <w:rsid w:val="604F09E7"/>
    <w:rsid w:val="6051650D"/>
    <w:rsid w:val="60516FF3"/>
    <w:rsid w:val="60550F2F"/>
    <w:rsid w:val="60593614"/>
    <w:rsid w:val="605C4EB2"/>
    <w:rsid w:val="605D0B3D"/>
    <w:rsid w:val="605D1356"/>
    <w:rsid w:val="6061058D"/>
    <w:rsid w:val="60612051"/>
    <w:rsid w:val="60636F96"/>
    <w:rsid w:val="6065020A"/>
    <w:rsid w:val="606B0879"/>
    <w:rsid w:val="606B58CA"/>
    <w:rsid w:val="606C77EB"/>
    <w:rsid w:val="606E519E"/>
    <w:rsid w:val="606F1089"/>
    <w:rsid w:val="606F2E37"/>
    <w:rsid w:val="606F72DB"/>
    <w:rsid w:val="60716BAF"/>
    <w:rsid w:val="60742F4C"/>
    <w:rsid w:val="607448F1"/>
    <w:rsid w:val="607466A0"/>
    <w:rsid w:val="60762418"/>
    <w:rsid w:val="60776754"/>
    <w:rsid w:val="60787F3E"/>
    <w:rsid w:val="60791AEB"/>
    <w:rsid w:val="607E4BAE"/>
    <w:rsid w:val="608508AD"/>
    <w:rsid w:val="60854874"/>
    <w:rsid w:val="60885307"/>
    <w:rsid w:val="608A1A1F"/>
    <w:rsid w:val="608E1741"/>
    <w:rsid w:val="608E59B3"/>
    <w:rsid w:val="608F71EE"/>
    <w:rsid w:val="60910B83"/>
    <w:rsid w:val="60911000"/>
    <w:rsid w:val="60934D78"/>
    <w:rsid w:val="609805E0"/>
    <w:rsid w:val="60985ACB"/>
    <w:rsid w:val="609D1752"/>
    <w:rsid w:val="609E3187"/>
    <w:rsid w:val="60A158F0"/>
    <w:rsid w:val="60A26D69"/>
    <w:rsid w:val="60A54AAB"/>
    <w:rsid w:val="60A73BCF"/>
    <w:rsid w:val="60AA0313"/>
    <w:rsid w:val="60AA0423"/>
    <w:rsid w:val="60AC7BE7"/>
    <w:rsid w:val="60AD570E"/>
    <w:rsid w:val="60AF2399"/>
    <w:rsid w:val="60B116A2"/>
    <w:rsid w:val="60B22A8D"/>
    <w:rsid w:val="60B33F1D"/>
    <w:rsid w:val="60B3541A"/>
    <w:rsid w:val="60B43136"/>
    <w:rsid w:val="60B44333"/>
    <w:rsid w:val="60B62814"/>
    <w:rsid w:val="60B629B4"/>
    <w:rsid w:val="60B80627"/>
    <w:rsid w:val="60B84D11"/>
    <w:rsid w:val="60BA798A"/>
    <w:rsid w:val="60BB42CE"/>
    <w:rsid w:val="60BB607C"/>
    <w:rsid w:val="60BB7E2A"/>
    <w:rsid w:val="60BD0047"/>
    <w:rsid w:val="60BE26CF"/>
    <w:rsid w:val="60C369A4"/>
    <w:rsid w:val="60C44EA2"/>
    <w:rsid w:val="60C465E3"/>
    <w:rsid w:val="60C51A2C"/>
    <w:rsid w:val="60C6403A"/>
    <w:rsid w:val="60C666A3"/>
    <w:rsid w:val="60C70EC5"/>
    <w:rsid w:val="60C90799"/>
    <w:rsid w:val="60C946CD"/>
    <w:rsid w:val="60C969EB"/>
    <w:rsid w:val="60CB38E5"/>
    <w:rsid w:val="60CC028A"/>
    <w:rsid w:val="60CC2038"/>
    <w:rsid w:val="60D07D7A"/>
    <w:rsid w:val="60D13AF2"/>
    <w:rsid w:val="60D158A0"/>
    <w:rsid w:val="60D1764E"/>
    <w:rsid w:val="60D27FCB"/>
    <w:rsid w:val="60D33493"/>
    <w:rsid w:val="60D46992"/>
    <w:rsid w:val="60D809DC"/>
    <w:rsid w:val="60D944E3"/>
    <w:rsid w:val="60DD2497"/>
    <w:rsid w:val="60E032EE"/>
    <w:rsid w:val="60E05AE3"/>
    <w:rsid w:val="60E100FA"/>
    <w:rsid w:val="60E43825"/>
    <w:rsid w:val="60E455D3"/>
    <w:rsid w:val="60E530F9"/>
    <w:rsid w:val="60E76E71"/>
    <w:rsid w:val="60E94998"/>
    <w:rsid w:val="60EB4BB4"/>
    <w:rsid w:val="60EC092C"/>
    <w:rsid w:val="60F02006"/>
    <w:rsid w:val="60F11A9E"/>
    <w:rsid w:val="60F17CF0"/>
    <w:rsid w:val="60F31CBA"/>
    <w:rsid w:val="60F4333C"/>
    <w:rsid w:val="60F670B5"/>
    <w:rsid w:val="60F73C2D"/>
    <w:rsid w:val="60F83D92"/>
    <w:rsid w:val="60F90953"/>
    <w:rsid w:val="60FB291D"/>
    <w:rsid w:val="60FD2E3F"/>
    <w:rsid w:val="60FE3E6C"/>
    <w:rsid w:val="60FE664A"/>
    <w:rsid w:val="61001CE1"/>
    <w:rsid w:val="610139B4"/>
    <w:rsid w:val="61016185"/>
    <w:rsid w:val="61047A23"/>
    <w:rsid w:val="6109503A"/>
    <w:rsid w:val="610C0EF2"/>
    <w:rsid w:val="610E43FE"/>
    <w:rsid w:val="610F0176"/>
    <w:rsid w:val="610F75D9"/>
    <w:rsid w:val="610F79DB"/>
    <w:rsid w:val="61135EB8"/>
    <w:rsid w:val="61142815"/>
    <w:rsid w:val="61144FBE"/>
    <w:rsid w:val="61147259"/>
    <w:rsid w:val="61181721"/>
    <w:rsid w:val="611A0FF5"/>
    <w:rsid w:val="611B3299"/>
    <w:rsid w:val="611B6B1B"/>
    <w:rsid w:val="611D1A4C"/>
    <w:rsid w:val="611D1AAB"/>
    <w:rsid w:val="611F2AAF"/>
    <w:rsid w:val="612105D5"/>
    <w:rsid w:val="61212899"/>
    <w:rsid w:val="612229C7"/>
    <w:rsid w:val="612400C6"/>
    <w:rsid w:val="61265BEC"/>
    <w:rsid w:val="6126799A"/>
    <w:rsid w:val="61273927"/>
    <w:rsid w:val="612754C0"/>
    <w:rsid w:val="61291238"/>
    <w:rsid w:val="612D33D0"/>
    <w:rsid w:val="612F2105"/>
    <w:rsid w:val="613227E3"/>
    <w:rsid w:val="61332B14"/>
    <w:rsid w:val="61356498"/>
    <w:rsid w:val="613626DF"/>
    <w:rsid w:val="6138092A"/>
    <w:rsid w:val="61381225"/>
    <w:rsid w:val="6138147B"/>
    <w:rsid w:val="613839F8"/>
    <w:rsid w:val="6138591F"/>
    <w:rsid w:val="61385EC9"/>
    <w:rsid w:val="613A51F3"/>
    <w:rsid w:val="613B39A0"/>
    <w:rsid w:val="613B4CA0"/>
    <w:rsid w:val="613C1835"/>
    <w:rsid w:val="613F7A59"/>
    <w:rsid w:val="614147D4"/>
    <w:rsid w:val="614232C3"/>
    <w:rsid w:val="614437F2"/>
    <w:rsid w:val="61497B2C"/>
    <w:rsid w:val="614A3BE6"/>
    <w:rsid w:val="614B38A4"/>
    <w:rsid w:val="6151078F"/>
    <w:rsid w:val="615201A2"/>
    <w:rsid w:val="61534507"/>
    <w:rsid w:val="61534FE8"/>
    <w:rsid w:val="615434A5"/>
    <w:rsid w:val="6155027F"/>
    <w:rsid w:val="61554890"/>
    <w:rsid w:val="61590315"/>
    <w:rsid w:val="615A3AE7"/>
    <w:rsid w:val="615F4C5A"/>
    <w:rsid w:val="61605860"/>
    <w:rsid w:val="616404C2"/>
    <w:rsid w:val="6165658B"/>
    <w:rsid w:val="616B35FF"/>
    <w:rsid w:val="616B7B35"/>
    <w:rsid w:val="616E30EF"/>
    <w:rsid w:val="61706E67"/>
    <w:rsid w:val="61722BDF"/>
    <w:rsid w:val="61733CD6"/>
    <w:rsid w:val="61734BA9"/>
    <w:rsid w:val="617526CF"/>
    <w:rsid w:val="617701F5"/>
    <w:rsid w:val="61772ACA"/>
    <w:rsid w:val="617821BF"/>
    <w:rsid w:val="61785574"/>
    <w:rsid w:val="61797B48"/>
    <w:rsid w:val="617A0FD8"/>
    <w:rsid w:val="617A1A94"/>
    <w:rsid w:val="617C3A5E"/>
    <w:rsid w:val="617C580C"/>
    <w:rsid w:val="617D3332"/>
    <w:rsid w:val="618172C6"/>
    <w:rsid w:val="6182233B"/>
    <w:rsid w:val="6184208A"/>
    <w:rsid w:val="618446C0"/>
    <w:rsid w:val="618648DC"/>
    <w:rsid w:val="6186668A"/>
    <w:rsid w:val="61867AEA"/>
    <w:rsid w:val="61882403"/>
    <w:rsid w:val="618B5A4F"/>
    <w:rsid w:val="618D7A19"/>
    <w:rsid w:val="61903065"/>
    <w:rsid w:val="61930DA7"/>
    <w:rsid w:val="619863BE"/>
    <w:rsid w:val="619A2136"/>
    <w:rsid w:val="619A3EE4"/>
    <w:rsid w:val="619A6C69"/>
    <w:rsid w:val="619C1A0A"/>
    <w:rsid w:val="619E03D3"/>
    <w:rsid w:val="619E1C26"/>
    <w:rsid w:val="619F14FA"/>
    <w:rsid w:val="619F774C"/>
    <w:rsid w:val="61A13872"/>
    <w:rsid w:val="61A22D98"/>
    <w:rsid w:val="61A30FEA"/>
    <w:rsid w:val="61A44D62"/>
    <w:rsid w:val="61A60ADB"/>
    <w:rsid w:val="61A73CF3"/>
    <w:rsid w:val="61A82AA5"/>
    <w:rsid w:val="61A905CB"/>
    <w:rsid w:val="61A92379"/>
    <w:rsid w:val="61A927B6"/>
    <w:rsid w:val="61AB60F1"/>
    <w:rsid w:val="61AB7E9F"/>
    <w:rsid w:val="61AD00BB"/>
    <w:rsid w:val="61AD3C17"/>
    <w:rsid w:val="61B52BB6"/>
    <w:rsid w:val="61B56F70"/>
    <w:rsid w:val="61B825BC"/>
    <w:rsid w:val="61B830A5"/>
    <w:rsid w:val="61BA6D58"/>
    <w:rsid w:val="61BD0199"/>
    <w:rsid w:val="61BE303B"/>
    <w:rsid w:val="61BE6EF5"/>
    <w:rsid w:val="61BF394A"/>
    <w:rsid w:val="61C40F61"/>
    <w:rsid w:val="61C61346"/>
    <w:rsid w:val="61C86CA3"/>
    <w:rsid w:val="61C947C9"/>
    <w:rsid w:val="61CB0541"/>
    <w:rsid w:val="61CB26C4"/>
    <w:rsid w:val="61CD250B"/>
    <w:rsid w:val="61CE48E1"/>
    <w:rsid w:val="61D01D8D"/>
    <w:rsid w:val="61D23CC7"/>
    <w:rsid w:val="61D30A56"/>
    <w:rsid w:val="61D35B82"/>
    <w:rsid w:val="61D45648"/>
    <w:rsid w:val="61D902B3"/>
    <w:rsid w:val="61E11B13"/>
    <w:rsid w:val="61E26891"/>
    <w:rsid w:val="61E33ADD"/>
    <w:rsid w:val="61E45B3F"/>
    <w:rsid w:val="61EC4DC7"/>
    <w:rsid w:val="61EF2482"/>
    <w:rsid w:val="61EF4230"/>
    <w:rsid w:val="61F01D56"/>
    <w:rsid w:val="61F109D0"/>
    <w:rsid w:val="61F55C5F"/>
    <w:rsid w:val="61F71336"/>
    <w:rsid w:val="61F730E4"/>
    <w:rsid w:val="61F93300"/>
    <w:rsid w:val="61F950AE"/>
    <w:rsid w:val="61FA2BD4"/>
    <w:rsid w:val="61FA4982"/>
    <w:rsid w:val="61FE4473"/>
    <w:rsid w:val="61FE6B56"/>
    <w:rsid w:val="62013F63"/>
    <w:rsid w:val="620174BF"/>
    <w:rsid w:val="62045801"/>
    <w:rsid w:val="620810C2"/>
    <w:rsid w:val="620852F1"/>
    <w:rsid w:val="62091DBD"/>
    <w:rsid w:val="62092E18"/>
    <w:rsid w:val="620C3034"/>
    <w:rsid w:val="620D2908"/>
    <w:rsid w:val="620D46B6"/>
    <w:rsid w:val="620F6680"/>
    <w:rsid w:val="621243C2"/>
    <w:rsid w:val="62145A44"/>
    <w:rsid w:val="62161995"/>
    <w:rsid w:val="62162102"/>
    <w:rsid w:val="62175534"/>
    <w:rsid w:val="62181AF6"/>
    <w:rsid w:val="62195750"/>
    <w:rsid w:val="62195FFF"/>
    <w:rsid w:val="621974FF"/>
    <w:rsid w:val="621A7FC0"/>
    <w:rsid w:val="621B3277"/>
    <w:rsid w:val="621E2CF8"/>
    <w:rsid w:val="621E68C3"/>
    <w:rsid w:val="6220088D"/>
    <w:rsid w:val="62215569"/>
    <w:rsid w:val="62237826"/>
    <w:rsid w:val="622540F5"/>
    <w:rsid w:val="62265778"/>
    <w:rsid w:val="62285994"/>
    <w:rsid w:val="62294961"/>
    <w:rsid w:val="622951E7"/>
    <w:rsid w:val="622A5268"/>
    <w:rsid w:val="622B7C1F"/>
    <w:rsid w:val="622C222F"/>
    <w:rsid w:val="622D7E34"/>
    <w:rsid w:val="622E53F6"/>
    <w:rsid w:val="622F579C"/>
    <w:rsid w:val="623117B5"/>
    <w:rsid w:val="62361E5F"/>
    <w:rsid w:val="62363A87"/>
    <w:rsid w:val="62375BD7"/>
    <w:rsid w:val="623936FD"/>
    <w:rsid w:val="623954AB"/>
    <w:rsid w:val="623C3ABD"/>
    <w:rsid w:val="62407622"/>
    <w:rsid w:val="62420210"/>
    <w:rsid w:val="62426A55"/>
    <w:rsid w:val="624441C1"/>
    <w:rsid w:val="62456545"/>
    <w:rsid w:val="62460674"/>
    <w:rsid w:val="62475BA8"/>
    <w:rsid w:val="624A590A"/>
    <w:rsid w:val="624C05D4"/>
    <w:rsid w:val="624C78D4"/>
    <w:rsid w:val="624D71A8"/>
    <w:rsid w:val="62522A10"/>
    <w:rsid w:val="625369E0"/>
    <w:rsid w:val="62593D9F"/>
    <w:rsid w:val="62595B4D"/>
    <w:rsid w:val="625978FB"/>
    <w:rsid w:val="625B7B17"/>
    <w:rsid w:val="625E7607"/>
    <w:rsid w:val="6260512D"/>
    <w:rsid w:val="62606EDB"/>
    <w:rsid w:val="62610D92"/>
    <w:rsid w:val="62614A02"/>
    <w:rsid w:val="6263077A"/>
    <w:rsid w:val="62634C1E"/>
    <w:rsid w:val="62645D4F"/>
    <w:rsid w:val="62650996"/>
    <w:rsid w:val="62683FE2"/>
    <w:rsid w:val="626A28D6"/>
    <w:rsid w:val="626C3AD2"/>
    <w:rsid w:val="626D33A6"/>
    <w:rsid w:val="62744735"/>
    <w:rsid w:val="627609DC"/>
    <w:rsid w:val="62764951"/>
    <w:rsid w:val="627806C9"/>
    <w:rsid w:val="627A6223"/>
    <w:rsid w:val="627D5CDF"/>
    <w:rsid w:val="6280757E"/>
    <w:rsid w:val="6283706E"/>
    <w:rsid w:val="628506F0"/>
    <w:rsid w:val="62854B94"/>
    <w:rsid w:val="62894684"/>
    <w:rsid w:val="628F156F"/>
    <w:rsid w:val="628F45B3"/>
    <w:rsid w:val="628F5A13"/>
    <w:rsid w:val="628F77C1"/>
    <w:rsid w:val="62922E0D"/>
    <w:rsid w:val="6293052C"/>
    <w:rsid w:val="6294085A"/>
    <w:rsid w:val="629B3094"/>
    <w:rsid w:val="629B40CC"/>
    <w:rsid w:val="629B7E29"/>
    <w:rsid w:val="629C1EA0"/>
    <w:rsid w:val="629C4C96"/>
    <w:rsid w:val="629D7E7C"/>
    <w:rsid w:val="629E45F3"/>
    <w:rsid w:val="62A50D92"/>
    <w:rsid w:val="62A70E07"/>
    <w:rsid w:val="62AC3ECF"/>
    <w:rsid w:val="62AE0E71"/>
    <w:rsid w:val="62B114E5"/>
    <w:rsid w:val="62B17737"/>
    <w:rsid w:val="62B22353"/>
    <w:rsid w:val="62B31767"/>
    <w:rsid w:val="62B47227"/>
    <w:rsid w:val="62BA2E87"/>
    <w:rsid w:val="62BB2364"/>
    <w:rsid w:val="62BB487B"/>
    <w:rsid w:val="62BC7281"/>
    <w:rsid w:val="62BD60DC"/>
    <w:rsid w:val="62BE79F6"/>
    <w:rsid w:val="62BF00A6"/>
    <w:rsid w:val="62C1708F"/>
    <w:rsid w:val="62C17277"/>
    <w:rsid w:val="62C21944"/>
    <w:rsid w:val="62C31218"/>
    <w:rsid w:val="62C45737"/>
    <w:rsid w:val="62C5460D"/>
    <w:rsid w:val="62C76F5B"/>
    <w:rsid w:val="62CD2097"/>
    <w:rsid w:val="62CD7ABA"/>
    <w:rsid w:val="62CE1078"/>
    <w:rsid w:val="62D147A2"/>
    <w:rsid w:val="62D17DD9"/>
    <w:rsid w:val="62D376AD"/>
    <w:rsid w:val="62DA698E"/>
    <w:rsid w:val="62DB2A06"/>
    <w:rsid w:val="62DC103F"/>
    <w:rsid w:val="62DE0B21"/>
    <w:rsid w:val="62E0001C"/>
    <w:rsid w:val="62E06F7C"/>
    <w:rsid w:val="62E16C89"/>
    <w:rsid w:val="62E25E39"/>
    <w:rsid w:val="62E418BB"/>
    <w:rsid w:val="62E47B0C"/>
    <w:rsid w:val="62E573E1"/>
    <w:rsid w:val="62E879FE"/>
    <w:rsid w:val="62E93375"/>
    <w:rsid w:val="62E938D7"/>
    <w:rsid w:val="62E93960"/>
    <w:rsid w:val="62E95123"/>
    <w:rsid w:val="62E96541"/>
    <w:rsid w:val="62ED3774"/>
    <w:rsid w:val="62F04EC6"/>
    <w:rsid w:val="62F37D50"/>
    <w:rsid w:val="62F51D1A"/>
    <w:rsid w:val="62F53AC8"/>
    <w:rsid w:val="62F6033A"/>
    <w:rsid w:val="62F615EE"/>
    <w:rsid w:val="62F87114"/>
    <w:rsid w:val="62F95FBA"/>
    <w:rsid w:val="62FD297C"/>
    <w:rsid w:val="62FD472A"/>
    <w:rsid w:val="62FF2E4A"/>
    <w:rsid w:val="630006BE"/>
    <w:rsid w:val="63027F93"/>
    <w:rsid w:val="63030933"/>
    <w:rsid w:val="6304451C"/>
    <w:rsid w:val="63057A83"/>
    <w:rsid w:val="63081B56"/>
    <w:rsid w:val="630B7E2C"/>
    <w:rsid w:val="630C2BBF"/>
    <w:rsid w:val="630C7063"/>
    <w:rsid w:val="630C7132"/>
    <w:rsid w:val="63114EA6"/>
    <w:rsid w:val="63116347"/>
    <w:rsid w:val="631303F2"/>
    <w:rsid w:val="63144FD1"/>
    <w:rsid w:val="63161C90"/>
    <w:rsid w:val="631657EC"/>
    <w:rsid w:val="631712FB"/>
    <w:rsid w:val="631A1780"/>
    <w:rsid w:val="631A52DC"/>
    <w:rsid w:val="631B3DC6"/>
    <w:rsid w:val="631F0B45"/>
    <w:rsid w:val="63220635"/>
    <w:rsid w:val="63230B6A"/>
    <w:rsid w:val="63251390"/>
    <w:rsid w:val="632717A7"/>
    <w:rsid w:val="632B4423"/>
    <w:rsid w:val="632C2DB9"/>
    <w:rsid w:val="632C3D6D"/>
    <w:rsid w:val="63332842"/>
    <w:rsid w:val="63352116"/>
    <w:rsid w:val="633B4FDF"/>
    <w:rsid w:val="633C5D2B"/>
    <w:rsid w:val="633D0FCB"/>
    <w:rsid w:val="633F0B20"/>
    <w:rsid w:val="63402869"/>
    <w:rsid w:val="63462575"/>
    <w:rsid w:val="63463A84"/>
    <w:rsid w:val="63464323"/>
    <w:rsid w:val="6347009B"/>
    <w:rsid w:val="63493E13"/>
    <w:rsid w:val="634E142A"/>
    <w:rsid w:val="63510466"/>
    <w:rsid w:val="63511F1B"/>
    <w:rsid w:val="63514A76"/>
    <w:rsid w:val="63554566"/>
    <w:rsid w:val="63556314"/>
    <w:rsid w:val="635D166D"/>
    <w:rsid w:val="635E4522"/>
    <w:rsid w:val="63633AA7"/>
    <w:rsid w:val="63636F83"/>
    <w:rsid w:val="6365658B"/>
    <w:rsid w:val="63676048"/>
    <w:rsid w:val="63681C59"/>
    <w:rsid w:val="63696264"/>
    <w:rsid w:val="636B5B38"/>
    <w:rsid w:val="636B6EB2"/>
    <w:rsid w:val="636C407B"/>
    <w:rsid w:val="636E0BBA"/>
    <w:rsid w:val="636E5628"/>
    <w:rsid w:val="636E73D6"/>
    <w:rsid w:val="63705CFB"/>
    <w:rsid w:val="63715118"/>
    <w:rsid w:val="63732C3E"/>
    <w:rsid w:val="63750765"/>
    <w:rsid w:val="637569B7"/>
    <w:rsid w:val="63777544"/>
    <w:rsid w:val="63780255"/>
    <w:rsid w:val="637A5D7B"/>
    <w:rsid w:val="637B1AF3"/>
    <w:rsid w:val="637C24D9"/>
    <w:rsid w:val="63813CC5"/>
    <w:rsid w:val="63814E23"/>
    <w:rsid w:val="6381535B"/>
    <w:rsid w:val="638210D3"/>
    <w:rsid w:val="63822E81"/>
    <w:rsid w:val="638A0392"/>
    <w:rsid w:val="638B61DA"/>
    <w:rsid w:val="638D6ECA"/>
    <w:rsid w:val="638E1826"/>
    <w:rsid w:val="63901A42"/>
    <w:rsid w:val="63915694"/>
    <w:rsid w:val="63927568"/>
    <w:rsid w:val="639332E1"/>
    <w:rsid w:val="6393508F"/>
    <w:rsid w:val="63942591"/>
    <w:rsid w:val="639554A5"/>
    <w:rsid w:val="639808F7"/>
    <w:rsid w:val="639826A5"/>
    <w:rsid w:val="639A466F"/>
    <w:rsid w:val="639A641D"/>
    <w:rsid w:val="639C0C65"/>
    <w:rsid w:val="639D5F0D"/>
    <w:rsid w:val="639E455C"/>
    <w:rsid w:val="63A252D2"/>
    <w:rsid w:val="63A262C7"/>
    <w:rsid w:val="63A26B33"/>
    <w:rsid w:val="63A4104A"/>
    <w:rsid w:val="63A728E8"/>
    <w:rsid w:val="63A850AF"/>
    <w:rsid w:val="63AB4186"/>
    <w:rsid w:val="63AB687C"/>
    <w:rsid w:val="63AF7624"/>
    <w:rsid w:val="63B0096C"/>
    <w:rsid w:val="63B079EF"/>
    <w:rsid w:val="63B53257"/>
    <w:rsid w:val="63B55005"/>
    <w:rsid w:val="63B70E50"/>
    <w:rsid w:val="63B75221"/>
    <w:rsid w:val="63B81CCF"/>
    <w:rsid w:val="63BA6ABF"/>
    <w:rsid w:val="63BC7BCA"/>
    <w:rsid w:val="63BD3EBA"/>
    <w:rsid w:val="63C01013"/>
    <w:rsid w:val="63C139AA"/>
    <w:rsid w:val="63C27722"/>
    <w:rsid w:val="63C74D38"/>
    <w:rsid w:val="63C811DC"/>
    <w:rsid w:val="63CB4828"/>
    <w:rsid w:val="63CC234F"/>
    <w:rsid w:val="63D00091"/>
    <w:rsid w:val="63D062E3"/>
    <w:rsid w:val="63D6234D"/>
    <w:rsid w:val="63DA0F0F"/>
    <w:rsid w:val="63E31B72"/>
    <w:rsid w:val="63E47698"/>
    <w:rsid w:val="63EB0A27"/>
    <w:rsid w:val="63ED75C0"/>
    <w:rsid w:val="63EE0517"/>
    <w:rsid w:val="63EE6769"/>
    <w:rsid w:val="63EF52B5"/>
    <w:rsid w:val="63F024E1"/>
    <w:rsid w:val="63F0603D"/>
    <w:rsid w:val="63F84591"/>
    <w:rsid w:val="63FA510E"/>
    <w:rsid w:val="63FB55BB"/>
    <w:rsid w:val="63FC1622"/>
    <w:rsid w:val="63FC2C34"/>
    <w:rsid w:val="63FC6E29"/>
    <w:rsid w:val="63FE4F17"/>
    <w:rsid w:val="63FE69AC"/>
    <w:rsid w:val="6401024A"/>
    <w:rsid w:val="64025D70"/>
    <w:rsid w:val="64040B40"/>
    <w:rsid w:val="64041AE8"/>
    <w:rsid w:val="64044275"/>
    <w:rsid w:val="64061D04"/>
    <w:rsid w:val="64074DBD"/>
    <w:rsid w:val="64075CC4"/>
    <w:rsid w:val="64095351"/>
    <w:rsid w:val="640B2E77"/>
    <w:rsid w:val="640B3837"/>
    <w:rsid w:val="640D4E41"/>
    <w:rsid w:val="640D6BEF"/>
    <w:rsid w:val="6410048D"/>
    <w:rsid w:val="64104931"/>
    <w:rsid w:val="64127D09"/>
    <w:rsid w:val="6416019A"/>
    <w:rsid w:val="6418785F"/>
    <w:rsid w:val="64191A38"/>
    <w:rsid w:val="641937E6"/>
    <w:rsid w:val="641B57B0"/>
    <w:rsid w:val="641C5084"/>
    <w:rsid w:val="641D7C93"/>
    <w:rsid w:val="641E0DFC"/>
    <w:rsid w:val="6420374D"/>
    <w:rsid w:val="6421269A"/>
    <w:rsid w:val="64215D7C"/>
    <w:rsid w:val="64223BEF"/>
    <w:rsid w:val="642301C1"/>
    <w:rsid w:val="64234664"/>
    <w:rsid w:val="64243F39"/>
    <w:rsid w:val="6425689C"/>
    <w:rsid w:val="642A59F3"/>
    <w:rsid w:val="642B176B"/>
    <w:rsid w:val="642D04CF"/>
    <w:rsid w:val="642D6052"/>
    <w:rsid w:val="642F3009"/>
    <w:rsid w:val="64306D81"/>
    <w:rsid w:val="643248A8"/>
    <w:rsid w:val="64340620"/>
    <w:rsid w:val="64346872"/>
    <w:rsid w:val="64362A83"/>
    <w:rsid w:val="64371EBE"/>
    <w:rsid w:val="6438384B"/>
    <w:rsid w:val="643A375C"/>
    <w:rsid w:val="643C1282"/>
    <w:rsid w:val="643C74D4"/>
    <w:rsid w:val="643E4FFA"/>
    <w:rsid w:val="64400212"/>
    <w:rsid w:val="64427E7D"/>
    <w:rsid w:val="64430863"/>
    <w:rsid w:val="6443445A"/>
    <w:rsid w:val="64446389"/>
    <w:rsid w:val="644545DB"/>
    <w:rsid w:val="64462101"/>
    <w:rsid w:val="64485E79"/>
    <w:rsid w:val="644A7E43"/>
    <w:rsid w:val="644F01F6"/>
    <w:rsid w:val="644F13EC"/>
    <w:rsid w:val="64504D2E"/>
    <w:rsid w:val="64550596"/>
    <w:rsid w:val="64572560"/>
    <w:rsid w:val="64590086"/>
    <w:rsid w:val="645B2050"/>
    <w:rsid w:val="645E744B"/>
    <w:rsid w:val="64607667"/>
    <w:rsid w:val="6461518D"/>
    <w:rsid w:val="646156B6"/>
    <w:rsid w:val="64664551"/>
    <w:rsid w:val="64674E53"/>
    <w:rsid w:val="646A5DEF"/>
    <w:rsid w:val="646B101A"/>
    <w:rsid w:val="646D1D84"/>
    <w:rsid w:val="6470078E"/>
    <w:rsid w:val="6470717E"/>
    <w:rsid w:val="64714F34"/>
    <w:rsid w:val="6473773C"/>
    <w:rsid w:val="64790728"/>
    <w:rsid w:val="647A1DAB"/>
    <w:rsid w:val="647C3D75"/>
    <w:rsid w:val="647E189B"/>
    <w:rsid w:val="647E5D3F"/>
    <w:rsid w:val="647F17BD"/>
    <w:rsid w:val="6480119E"/>
    <w:rsid w:val="6481138B"/>
    <w:rsid w:val="64813139"/>
    <w:rsid w:val="64814F72"/>
    <w:rsid w:val="648246FC"/>
    <w:rsid w:val="648275DD"/>
    <w:rsid w:val="6486074F"/>
    <w:rsid w:val="64874BF3"/>
    <w:rsid w:val="6488096B"/>
    <w:rsid w:val="64891C28"/>
    <w:rsid w:val="648C220A"/>
    <w:rsid w:val="648D1ADE"/>
    <w:rsid w:val="649015CE"/>
    <w:rsid w:val="64925346"/>
    <w:rsid w:val="64947318"/>
    <w:rsid w:val="649477D9"/>
    <w:rsid w:val="64966BE4"/>
    <w:rsid w:val="64971FCF"/>
    <w:rsid w:val="64986E00"/>
    <w:rsid w:val="64990483"/>
    <w:rsid w:val="649A686C"/>
    <w:rsid w:val="649B069F"/>
    <w:rsid w:val="649B4725"/>
    <w:rsid w:val="649B69EC"/>
    <w:rsid w:val="64A137DB"/>
    <w:rsid w:val="64A21A2D"/>
    <w:rsid w:val="64A2464C"/>
    <w:rsid w:val="64A532CB"/>
    <w:rsid w:val="64A70DF2"/>
    <w:rsid w:val="64A77044"/>
    <w:rsid w:val="64A82DBC"/>
    <w:rsid w:val="64A84B6A"/>
    <w:rsid w:val="64AD03D2"/>
    <w:rsid w:val="64B13A1E"/>
    <w:rsid w:val="64B40B67"/>
    <w:rsid w:val="64B452BD"/>
    <w:rsid w:val="64B67287"/>
    <w:rsid w:val="64BD0615"/>
    <w:rsid w:val="64BD718B"/>
    <w:rsid w:val="64BE5B12"/>
    <w:rsid w:val="64C01EB3"/>
    <w:rsid w:val="64C25130"/>
    <w:rsid w:val="64C319A4"/>
    <w:rsid w:val="64C34CCA"/>
    <w:rsid w:val="64C51278"/>
    <w:rsid w:val="64C5571C"/>
    <w:rsid w:val="64C64FF0"/>
    <w:rsid w:val="64CA0F84"/>
    <w:rsid w:val="64CA2D32"/>
    <w:rsid w:val="64CB5049"/>
    <w:rsid w:val="64CD21AB"/>
    <w:rsid w:val="64CF20F6"/>
    <w:rsid w:val="64D27AC2"/>
    <w:rsid w:val="64D37E39"/>
    <w:rsid w:val="64D43BB1"/>
    <w:rsid w:val="64D4770D"/>
    <w:rsid w:val="64D8544F"/>
    <w:rsid w:val="64DB6CED"/>
    <w:rsid w:val="64DB76E4"/>
    <w:rsid w:val="64DC6A0C"/>
    <w:rsid w:val="64DD0CB7"/>
    <w:rsid w:val="64DD2A65"/>
    <w:rsid w:val="64E060B2"/>
    <w:rsid w:val="64E118E4"/>
    <w:rsid w:val="64E169E0"/>
    <w:rsid w:val="64E2007C"/>
    <w:rsid w:val="64E33DF4"/>
    <w:rsid w:val="64E536C8"/>
    <w:rsid w:val="64E738E4"/>
    <w:rsid w:val="64EC4A56"/>
    <w:rsid w:val="64ED07CF"/>
    <w:rsid w:val="64F14763"/>
    <w:rsid w:val="64F16511"/>
    <w:rsid w:val="64F27748"/>
    <w:rsid w:val="64F8164D"/>
    <w:rsid w:val="64FB533F"/>
    <w:rsid w:val="64FD1850"/>
    <w:rsid w:val="65000502"/>
    <w:rsid w:val="650049A6"/>
    <w:rsid w:val="650224CC"/>
    <w:rsid w:val="65044496"/>
    <w:rsid w:val="650517C9"/>
    <w:rsid w:val="65077E41"/>
    <w:rsid w:val="650A1380"/>
    <w:rsid w:val="650A1649"/>
    <w:rsid w:val="650C50F9"/>
    <w:rsid w:val="650C6EA7"/>
    <w:rsid w:val="65152445"/>
    <w:rsid w:val="65164D65"/>
    <w:rsid w:val="6516797A"/>
    <w:rsid w:val="65180E1A"/>
    <w:rsid w:val="651B5CD1"/>
    <w:rsid w:val="651C57D7"/>
    <w:rsid w:val="651D10B4"/>
    <w:rsid w:val="651E4E2C"/>
    <w:rsid w:val="651E6BDA"/>
    <w:rsid w:val="65202952"/>
    <w:rsid w:val="652137D3"/>
    <w:rsid w:val="65217654"/>
    <w:rsid w:val="65235ED9"/>
    <w:rsid w:val="6525440C"/>
    <w:rsid w:val="652561BA"/>
    <w:rsid w:val="65273CE0"/>
    <w:rsid w:val="6529060A"/>
    <w:rsid w:val="652977EB"/>
    <w:rsid w:val="652A1A23"/>
    <w:rsid w:val="652A5F56"/>
    <w:rsid w:val="652C7549"/>
    <w:rsid w:val="65312DB1"/>
    <w:rsid w:val="65337FE8"/>
    <w:rsid w:val="653502EE"/>
    <w:rsid w:val="65352EBF"/>
    <w:rsid w:val="65362175"/>
    <w:rsid w:val="65366619"/>
    <w:rsid w:val="6537195E"/>
    <w:rsid w:val="653B59DE"/>
    <w:rsid w:val="653B778C"/>
    <w:rsid w:val="653D1756"/>
    <w:rsid w:val="653D52B2"/>
    <w:rsid w:val="65420B1A"/>
    <w:rsid w:val="65447821"/>
    <w:rsid w:val="654523B9"/>
    <w:rsid w:val="654752D4"/>
    <w:rsid w:val="654900FB"/>
    <w:rsid w:val="65493C57"/>
    <w:rsid w:val="654C3747"/>
    <w:rsid w:val="654E25D6"/>
    <w:rsid w:val="654F0FE3"/>
    <w:rsid w:val="65511181"/>
    <w:rsid w:val="655317A9"/>
    <w:rsid w:val="65545E79"/>
    <w:rsid w:val="65576017"/>
    <w:rsid w:val="65576B3F"/>
    <w:rsid w:val="6558272A"/>
    <w:rsid w:val="655976E9"/>
    <w:rsid w:val="655B398A"/>
    <w:rsid w:val="655B43CA"/>
    <w:rsid w:val="655F03DC"/>
    <w:rsid w:val="65646CE3"/>
    <w:rsid w:val="656A35BA"/>
    <w:rsid w:val="656C203B"/>
    <w:rsid w:val="656E327E"/>
    <w:rsid w:val="657468C8"/>
    <w:rsid w:val="65750EF0"/>
    <w:rsid w:val="65796CD3"/>
    <w:rsid w:val="657B402C"/>
    <w:rsid w:val="657C2A83"/>
    <w:rsid w:val="657D13E8"/>
    <w:rsid w:val="65801643"/>
    <w:rsid w:val="65802894"/>
    <w:rsid w:val="65856C59"/>
    <w:rsid w:val="65864EAB"/>
    <w:rsid w:val="65870C23"/>
    <w:rsid w:val="658824B6"/>
    <w:rsid w:val="658C6239"/>
    <w:rsid w:val="658E3D60"/>
    <w:rsid w:val="658F0577"/>
    <w:rsid w:val="658F0EF9"/>
    <w:rsid w:val="65901886"/>
    <w:rsid w:val="65930D0A"/>
    <w:rsid w:val="65962C14"/>
    <w:rsid w:val="659A2704"/>
    <w:rsid w:val="659D0447"/>
    <w:rsid w:val="659D08F4"/>
    <w:rsid w:val="659D7A0A"/>
    <w:rsid w:val="659F0431"/>
    <w:rsid w:val="659F5F6D"/>
    <w:rsid w:val="65A13A93"/>
    <w:rsid w:val="65A215B9"/>
    <w:rsid w:val="65A2766C"/>
    <w:rsid w:val="65A610A9"/>
    <w:rsid w:val="65A6554D"/>
    <w:rsid w:val="65A67161"/>
    <w:rsid w:val="65A672FB"/>
    <w:rsid w:val="65A70610"/>
    <w:rsid w:val="65A74E21"/>
    <w:rsid w:val="65A81AA0"/>
    <w:rsid w:val="65A92947"/>
    <w:rsid w:val="65B0017A"/>
    <w:rsid w:val="65B058D7"/>
    <w:rsid w:val="65B17A4E"/>
    <w:rsid w:val="65B418F2"/>
    <w:rsid w:val="65B71508"/>
    <w:rsid w:val="65B732B6"/>
    <w:rsid w:val="65BA2DA7"/>
    <w:rsid w:val="65BB267B"/>
    <w:rsid w:val="65C13289"/>
    <w:rsid w:val="65C4108F"/>
    <w:rsid w:val="65C54233"/>
    <w:rsid w:val="65C6174B"/>
    <w:rsid w:val="65C94D98"/>
    <w:rsid w:val="65CD2ADA"/>
    <w:rsid w:val="65CE6852"/>
    <w:rsid w:val="65CF638C"/>
    <w:rsid w:val="65D26342"/>
    <w:rsid w:val="65D335CC"/>
    <w:rsid w:val="65D41643"/>
    <w:rsid w:val="65D56B0E"/>
    <w:rsid w:val="65D56E97"/>
    <w:rsid w:val="65D60872"/>
    <w:rsid w:val="65D774B5"/>
    <w:rsid w:val="65D8147F"/>
    <w:rsid w:val="65D97655"/>
    <w:rsid w:val="65DC5FE6"/>
    <w:rsid w:val="65E10333"/>
    <w:rsid w:val="65E124EA"/>
    <w:rsid w:val="65E25E59"/>
    <w:rsid w:val="65E46075"/>
    <w:rsid w:val="65E73470"/>
    <w:rsid w:val="65E76F1F"/>
    <w:rsid w:val="65E816C2"/>
    <w:rsid w:val="65E9543A"/>
    <w:rsid w:val="65EA73D7"/>
    <w:rsid w:val="65F31E15"/>
    <w:rsid w:val="65F75598"/>
    <w:rsid w:val="65F91B21"/>
    <w:rsid w:val="65FA31A3"/>
    <w:rsid w:val="65FA7C54"/>
    <w:rsid w:val="65FD2050"/>
    <w:rsid w:val="66016BDA"/>
    <w:rsid w:val="66033743"/>
    <w:rsid w:val="66063E47"/>
    <w:rsid w:val="660758C0"/>
    <w:rsid w:val="6608394C"/>
    <w:rsid w:val="660A6E29"/>
    <w:rsid w:val="660B3602"/>
    <w:rsid w:val="660B53B0"/>
    <w:rsid w:val="660E4EA0"/>
    <w:rsid w:val="66100C18"/>
    <w:rsid w:val="661221A0"/>
    <w:rsid w:val="6612673F"/>
    <w:rsid w:val="661E1587"/>
    <w:rsid w:val="66236B9E"/>
    <w:rsid w:val="662446C4"/>
    <w:rsid w:val="66245681"/>
    <w:rsid w:val="66252916"/>
    <w:rsid w:val="66260260"/>
    <w:rsid w:val="66260616"/>
    <w:rsid w:val="66263F98"/>
    <w:rsid w:val="66281332"/>
    <w:rsid w:val="66297639"/>
    <w:rsid w:val="662A14BA"/>
    <w:rsid w:val="662A7107"/>
    <w:rsid w:val="662C5623"/>
    <w:rsid w:val="663012BB"/>
    <w:rsid w:val="66320B8F"/>
    <w:rsid w:val="663247CE"/>
    <w:rsid w:val="66326DE1"/>
    <w:rsid w:val="66381483"/>
    <w:rsid w:val="663C66B7"/>
    <w:rsid w:val="66424284"/>
    <w:rsid w:val="664408C2"/>
    <w:rsid w:val="66482160"/>
    <w:rsid w:val="66495ED8"/>
    <w:rsid w:val="664E3B3B"/>
    <w:rsid w:val="665015D2"/>
    <w:rsid w:val="66547C66"/>
    <w:rsid w:val="66552ACF"/>
    <w:rsid w:val="665925BF"/>
    <w:rsid w:val="6659436D"/>
    <w:rsid w:val="6659611C"/>
    <w:rsid w:val="665A4684"/>
    <w:rsid w:val="665C048A"/>
    <w:rsid w:val="665C32B6"/>
    <w:rsid w:val="665D1B75"/>
    <w:rsid w:val="665E7BD6"/>
    <w:rsid w:val="66600A8D"/>
    <w:rsid w:val="66644AC0"/>
    <w:rsid w:val="66650F64"/>
    <w:rsid w:val="66686C88"/>
    <w:rsid w:val="666920D7"/>
    <w:rsid w:val="666B3C3C"/>
    <w:rsid w:val="666F3B91"/>
    <w:rsid w:val="66703465"/>
    <w:rsid w:val="66707909"/>
    <w:rsid w:val="667271DD"/>
    <w:rsid w:val="667411A7"/>
    <w:rsid w:val="667431B0"/>
    <w:rsid w:val="66754F1F"/>
    <w:rsid w:val="667733BA"/>
    <w:rsid w:val="667967BE"/>
    <w:rsid w:val="667A3E11"/>
    <w:rsid w:val="667E5A76"/>
    <w:rsid w:val="667F664F"/>
    <w:rsid w:val="66815672"/>
    <w:rsid w:val="66822AB6"/>
    <w:rsid w:val="6683356A"/>
    <w:rsid w:val="6683763C"/>
    <w:rsid w:val="66850A94"/>
    <w:rsid w:val="66860EDB"/>
    <w:rsid w:val="66882EA5"/>
    <w:rsid w:val="66884C53"/>
    <w:rsid w:val="668A2779"/>
    <w:rsid w:val="668A4AAB"/>
    <w:rsid w:val="668B029F"/>
    <w:rsid w:val="668C4743"/>
    <w:rsid w:val="668D04BB"/>
    <w:rsid w:val="668F4233"/>
    <w:rsid w:val="668F7D8F"/>
    <w:rsid w:val="66924AC5"/>
    <w:rsid w:val="669435F8"/>
    <w:rsid w:val="669453A6"/>
    <w:rsid w:val="6695111E"/>
    <w:rsid w:val="66984D4F"/>
    <w:rsid w:val="66990C0E"/>
    <w:rsid w:val="66996E60"/>
    <w:rsid w:val="669E4932"/>
    <w:rsid w:val="66A01F9C"/>
    <w:rsid w:val="66A202A8"/>
    <w:rsid w:val="66A51361"/>
    <w:rsid w:val="66A55799"/>
    <w:rsid w:val="66A7157D"/>
    <w:rsid w:val="66A84904"/>
    <w:rsid w:val="66AF1479"/>
    <w:rsid w:val="66AF3FED"/>
    <w:rsid w:val="66B051A7"/>
    <w:rsid w:val="66B07D06"/>
    <w:rsid w:val="66B15F58"/>
    <w:rsid w:val="66B75538"/>
    <w:rsid w:val="66B772E6"/>
    <w:rsid w:val="66BB5028"/>
    <w:rsid w:val="66BC2B4E"/>
    <w:rsid w:val="66BC66AA"/>
    <w:rsid w:val="66BC7FA2"/>
    <w:rsid w:val="66BE68C6"/>
    <w:rsid w:val="66C0619B"/>
    <w:rsid w:val="66C20165"/>
    <w:rsid w:val="66C44D83"/>
    <w:rsid w:val="66C51A03"/>
    <w:rsid w:val="66C65BD1"/>
    <w:rsid w:val="66C8504F"/>
    <w:rsid w:val="66CC0FE3"/>
    <w:rsid w:val="66CF4F33"/>
    <w:rsid w:val="66D103A8"/>
    <w:rsid w:val="66D24120"/>
    <w:rsid w:val="66D6776C"/>
    <w:rsid w:val="66D71736"/>
    <w:rsid w:val="66E11A46"/>
    <w:rsid w:val="66E37694"/>
    <w:rsid w:val="66E40A98"/>
    <w:rsid w:val="66E520A5"/>
    <w:rsid w:val="66E55C01"/>
    <w:rsid w:val="66E856F1"/>
    <w:rsid w:val="66E8749F"/>
    <w:rsid w:val="66E947FF"/>
    <w:rsid w:val="66EA3218"/>
    <w:rsid w:val="66EF4CD2"/>
    <w:rsid w:val="66F066D0"/>
    <w:rsid w:val="66F06D10"/>
    <w:rsid w:val="66F145A6"/>
    <w:rsid w:val="66F2031E"/>
    <w:rsid w:val="66F45E44"/>
    <w:rsid w:val="66F66060"/>
    <w:rsid w:val="66F71B1D"/>
    <w:rsid w:val="66FB3677"/>
    <w:rsid w:val="67000C8D"/>
    <w:rsid w:val="67006EDF"/>
    <w:rsid w:val="670267B3"/>
    <w:rsid w:val="6703077D"/>
    <w:rsid w:val="6704453E"/>
    <w:rsid w:val="670544F5"/>
    <w:rsid w:val="67073DC9"/>
    <w:rsid w:val="67090333"/>
    <w:rsid w:val="67095D94"/>
    <w:rsid w:val="670B3158"/>
    <w:rsid w:val="670B5CF4"/>
    <w:rsid w:val="670B68E5"/>
    <w:rsid w:val="670C020F"/>
    <w:rsid w:val="670C7632"/>
    <w:rsid w:val="670E5506"/>
    <w:rsid w:val="670F7329"/>
    <w:rsid w:val="671169F6"/>
    <w:rsid w:val="6712451C"/>
    <w:rsid w:val="67184229"/>
    <w:rsid w:val="671B4A94"/>
    <w:rsid w:val="67201D84"/>
    <w:rsid w:val="67206C39"/>
    <w:rsid w:val="672506F4"/>
    <w:rsid w:val="67280542"/>
    <w:rsid w:val="672D1356"/>
    <w:rsid w:val="672E5483"/>
    <w:rsid w:val="672E57FA"/>
    <w:rsid w:val="672F50CE"/>
    <w:rsid w:val="6732696D"/>
    <w:rsid w:val="67346B89"/>
    <w:rsid w:val="673615F3"/>
    <w:rsid w:val="6736296D"/>
    <w:rsid w:val="673821D5"/>
    <w:rsid w:val="673D5A3D"/>
    <w:rsid w:val="673D6B00"/>
    <w:rsid w:val="673E0C66"/>
    <w:rsid w:val="673F16FF"/>
    <w:rsid w:val="673F7A07"/>
    <w:rsid w:val="67401089"/>
    <w:rsid w:val="67416925"/>
    <w:rsid w:val="67445D29"/>
    <w:rsid w:val="67491A44"/>
    <w:rsid w:val="674D4CE8"/>
    <w:rsid w:val="674E7C4A"/>
    <w:rsid w:val="67501A05"/>
    <w:rsid w:val="67515045"/>
    <w:rsid w:val="67530C5C"/>
    <w:rsid w:val="6753617B"/>
    <w:rsid w:val="67544B35"/>
    <w:rsid w:val="675608AD"/>
    <w:rsid w:val="67584625"/>
    <w:rsid w:val="675A5EE3"/>
    <w:rsid w:val="675D6ECD"/>
    <w:rsid w:val="675D7E8D"/>
    <w:rsid w:val="67614098"/>
    <w:rsid w:val="676254A4"/>
    <w:rsid w:val="67657336"/>
    <w:rsid w:val="67670D0C"/>
    <w:rsid w:val="676905E0"/>
    <w:rsid w:val="67694A84"/>
    <w:rsid w:val="676A6106"/>
    <w:rsid w:val="676B4AF1"/>
    <w:rsid w:val="676C1E7F"/>
    <w:rsid w:val="676E3E49"/>
    <w:rsid w:val="67713AF5"/>
    <w:rsid w:val="67766643"/>
    <w:rsid w:val="677A27ED"/>
    <w:rsid w:val="677D0530"/>
    <w:rsid w:val="6780592A"/>
    <w:rsid w:val="678371C8"/>
    <w:rsid w:val="67851192"/>
    <w:rsid w:val="67855FCC"/>
    <w:rsid w:val="6787300D"/>
    <w:rsid w:val="67880D3F"/>
    <w:rsid w:val="678A0557"/>
    <w:rsid w:val="678A67A9"/>
    <w:rsid w:val="678F3006"/>
    <w:rsid w:val="678F3DBF"/>
    <w:rsid w:val="67900263"/>
    <w:rsid w:val="67927669"/>
    <w:rsid w:val="67931B01"/>
    <w:rsid w:val="67941A60"/>
    <w:rsid w:val="67944631"/>
    <w:rsid w:val="67947F79"/>
    <w:rsid w:val="67955879"/>
    <w:rsid w:val="6796339F"/>
    <w:rsid w:val="67966F51"/>
    <w:rsid w:val="67980EC5"/>
    <w:rsid w:val="679A70A5"/>
    <w:rsid w:val="679D028A"/>
    <w:rsid w:val="679F04A6"/>
    <w:rsid w:val="67A05FCC"/>
    <w:rsid w:val="67A1421E"/>
    <w:rsid w:val="67A6239B"/>
    <w:rsid w:val="67A843FD"/>
    <w:rsid w:val="67AB0BF9"/>
    <w:rsid w:val="67AE2497"/>
    <w:rsid w:val="67AE7E4C"/>
    <w:rsid w:val="67B101D9"/>
    <w:rsid w:val="67B22418"/>
    <w:rsid w:val="67B33F51"/>
    <w:rsid w:val="67B37AAD"/>
    <w:rsid w:val="67B6759E"/>
    <w:rsid w:val="67B727BA"/>
    <w:rsid w:val="67B97689"/>
    <w:rsid w:val="67BB4BB4"/>
    <w:rsid w:val="67BC1058"/>
    <w:rsid w:val="67BC2E06"/>
    <w:rsid w:val="67BD092C"/>
    <w:rsid w:val="67BE0DD0"/>
    <w:rsid w:val="67BF28F6"/>
    <w:rsid w:val="67C021CA"/>
    <w:rsid w:val="67C1666E"/>
    <w:rsid w:val="67C223E6"/>
    <w:rsid w:val="67C24194"/>
    <w:rsid w:val="67C41CBB"/>
    <w:rsid w:val="67C5345F"/>
    <w:rsid w:val="67C9107F"/>
    <w:rsid w:val="67CC6DC1"/>
    <w:rsid w:val="67CD2688"/>
    <w:rsid w:val="67CE0D8B"/>
    <w:rsid w:val="67CE48E7"/>
    <w:rsid w:val="67D068B1"/>
    <w:rsid w:val="67D53EC8"/>
    <w:rsid w:val="67D55C76"/>
    <w:rsid w:val="67D933AF"/>
    <w:rsid w:val="67DA6DE3"/>
    <w:rsid w:val="67DC1C9C"/>
    <w:rsid w:val="67E265E5"/>
    <w:rsid w:val="67E61C31"/>
    <w:rsid w:val="67E660D5"/>
    <w:rsid w:val="67E67E83"/>
    <w:rsid w:val="67E74ACD"/>
    <w:rsid w:val="67E81E4D"/>
    <w:rsid w:val="67E90086"/>
    <w:rsid w:val="67EB5179"/>
    <w:rsid w:val="67EC2FBF"/>
    <w:rsid w:val="67ED7463"/>
    <w:rsid w:val="67EE0AE5"/>
    <w:rsid w:val="67F1602B"/>
    <w:rsid w:val="67F500C6"/>
    <w:rsid w:val="67F52EA3"/>
    <w:rsid w:val="67F5622B"/>
    <w:rsid w:val="67F56318"/>
    <w:rsid w:val="67F60DFC"/>
    <w:rsid w:val="67F70212"/>
    <w:rsid w:val="67F72090"/>
    <w:rsid w:val="67F81964"/>
    <w:rsid w:val="67FA4DDD"/>
    <w:rsid w:val="680227E3"/>
    <w:rsid w:val="6804655B"/>
    <w:rsid w:val="68064081"/>
    <w:rsid w:val="680B22EA"/>
    <w:rsid w:val="680B4E69"/>
    <w:rsid w:val="680B7D7F"/>
    <w:rsid w:val="680C65CD"/>
    <w:rsid w:val="680D18B3"/>
    <w:rsid w:val="680D76C2"/>
    <w:rsid w:val="680E2F36"/>
    <w:rsid w:val="680E73DA"/>
    <w:rsid w:val="68103152"/>
    <w:rsid w:val="68112A26"/>
    <w:rsid w:val="681744E0"/>
    <w:rsid w:val="68182006"/>
    <w:rsid w:val="68183DB4"/>
    <w:rsid w:val="681A18DB"/>
    <w:rsid w:val="681F15E7"/>
    <w:rsid w:val="681F2568"/>
    <w:rsid w:val="681F5143"/>
    <w:rsid w:val="68204069"/>
    <w:rsid w:val="68210EBB"/>
    <w:rsid w:val="68212C69"/>
    <w:rsid w:val="682208CE"/>
    <w:rsid w:val="682218B3"/>
    <w:rsid w:val="68232E85"/>
    <w:rsid w:val="68247204"/>
    <w:rsid w:val="68263E4E"/>
    <w:rsid w:val="682664D1"/>
    <w:rsid w:val="68277ADA"/>
    <w:rsid w:val="68285051"/>
    <w:rsid w:val="683010FE"/>
    <w:rsid w:val="68307A21"/>
    <w:rsid w:val="6834396F"/>
    <w:rsid w:val="68352BB8"/>
    <w:rsid w:val="68354966"/>
    <w:rsid w:val="68356714"/>
    <w:rsid w:val="6837248C"/>
    <w:rsid w:val="6838004E"/>
    <w:rsid w:val="683A1F7D"/>
    <w:rsid w:val="683E7CBF"/>
    <w:rsid w:val="683F3A37"/>
    <w:rsid w:val="68403334"/>
    <w:rsid w:val="68435CC2"/>
    <w:rsid w:val="68436422"/>
    <w:rsid w:val="68437083"/>
    <w:rsid w:val="68443854"/>
    <w:rsid w:val="68444BA9"/>
    <w:rsid w:val="684567F6"/>
    <w:rsid w:val="68460921"/>
    <w:rsid w:val="68476448"/>
    <w:rsid w:val="684921C0"/>
    <w:rsid w:val="684A2A6A"/>
    <w:rsid w:val="684B418A"/>
    <w:rsid w:val="68502AE7"/>
    <w:rsid w:val="68546A40"/>
    <w:rsid w:val="68555008"/>
    <w:rsid w:val="68580655"/>
    <w:rsid w:val="68581629"/>
    <w:rsid w:val="685C1EF3"/>
    <w:rsid w:val="685E210F"/>
    <w:rsid w:val="686314D3"/>
    <w:rsid w:val="68633281"/>
    <w:rsid w:val="68637725"/>
    <w:rsid w:val="6864524C"/>
    <w:rsid w:val="6865092A"/>
    <w:rsid w:val="6865279D"/>
    <w:rsid w:val="6865349E"/>
    <w:rsid w:val="68662D72"/>
    <w:rsid w:val="68677C8E"/>
    <w:rsid w:val="686A0AB4"/>
    <w:rsid w:val="686D4100"/>
    <w:rsid w:val="686D5EAE"/>
    <w:rsid w:val="686E1C26"/>
    <w:rsid w:val="6874548F"/>
    <w:rsid w:val="68751207"/>
    <w:rsid w:val="68751A69"/>
    <w:rsid w:val="68757459"/>
    <w:rsid w:val="687A4A6F"/>
    <w:rsid w:val="687A681D"/>
    <w:rsid w:val="687E00BB"/>
    <w:rsid w:val="68816051"/>
    <w:rsid w:val="68833924"/>
    <w:rsid w:val="688356D2"/>
    <w:rsid w:val="6885168F"/>
    <w:rsid w:val="6885769C"/>
    <w:rsid w:val="68863F8C"/>
    <w:rsid w:val="68891E8F"/>
    <w:rsid w:val="68896A60"/>
    <w:rsid w:val="688D6550"/>
    <w:rsid w:val="688E4077"/>
    <w:rsid w:val="688F22C8"/>
    <w:rsid w:val="68923B67"/>
    <w:rsid w:val="68925915"/>
    <w:rsid w:val="6894168D"/>
    <w:rsid w:val="6894556A"/>
    <w:rsid w:val="68953657"/>
    <w:rsid w:val="689618A9"/>
    <w:rsid w:val="68962018"/>
    <w:rsid w:val="68974519"/>
    <w:rsid w:val="68994EF5"/>
    <w:rsid w:val="689D7F6A"/>
    <w:rsid w:val="689F0032"/>
    <w:rsid w:val="68A33FC6"/>
    <w:rsid w:val="68A525EA"/>
    <w:rsid w:val="68A66BD4"/>
    <w:rsid w:val="68AA0EB0"/>
    <w:rsid w:val="68AA6B1A"/>
    <w:rsid w:val="68AB3AA2"/>
    <w:rsid w:val="68AE5A1C"/>
    <w:rsid w:val="68AF2172"/>
    <w:rsid w:val="68AF296B"/>
    <w:rsid w:val="68AF4066"/>
    <w:rsid w:val="68B03FED"/>
    <w:rsid w:val="68B166E3"/>
    <w:rsid w:val="68B31BE5"/>
    <w:rsid w:val="68B451C3"/>
    <w:rsid w:val="68B54E31"/>
    <w:rsid w:val="68B63CF9"/>
    <w:rsid w:val="68B72764"/>
    <w:rsid w:val="68B735CD"/>
    <w:rsid w:val="68BC5088"/>
    <w:rsid w:val="68BD67A1"/>
    <w:rsid w:val="68BE2BAE"/>
    <w:rsid w:val="68BF2482"/>
    <w:rsid w:val="68C06926"/>
    <w:rsid w:val="68C124EF"/>
    <w:rsid w:val="68C21D29"/>
    <w:rsid w:val="68C22A13"/>
    <w:rsid w:val="68C36416"/>
    <w:rsid w:val="68C55803"/>
    <w:rsid w:val="68C55CEA"/>
    <w:rsid w:val="68C857DA"/>
    <w:rsid w:val="68CA04BB"/>
    <w:rsid w:val="68CB7079"/>
    <w:rsid w:val="68CD1F31"/>
    <w:rsid w:val="68CE56FB"/>
    <w:rsid w:val="68CF46F9"/>
    <w:rsid w:val="68CF6B69"/>
    <w:rsid w:val="68D66A5E"/>
    <w:rsid w:val="68D7310F"/>
    <w:rsid w:val="68D91796"/>
    <w:rsid w:val="68D979E8"/>
    <w:rsid w:val="68DB5389"/>
    <w:rsid w:val="68DC1286"/>
    <w:rsid w:val="68DE4FFE"/>
    <w:rsid w:val="68DF4F3B"/>
    <w:rsid w:val="68E1064A"/>
    <w:rsid w:val="68EA1700"/>
    <w:rsid w:val="68EA5751"/>
    <w:rsid w:val="68EA74FF"/>
    <w:rsid w:val="68ED3493"/>
    <w:rsid w:val="68F16ADF"/>
    <w:rsid w:val="68F24AF6"/>
    <w:rsid w:val="68F4037D"/>
    <w:rsid w:val="68F41FE7"/>
    <w:rsid w:val="68F6059A"/>
    <w:rsid w:val="68F91E38"/>
    <w:rsid w:val="68FB795E"/>
    <w:rsid w:val="68FE2FAA"/>
    <w:rsid w:val="68FE744E"/>
    <w:rsid w:val="69001614"/>
    <w:rsid w:val="69076FCD"/>
    <w:rsid w:val="690802CD"/>
    <w:rsid w:val="69083E29"/>
    <w:rsid w:val="690B56C7"/>
    <w:rsid w:val="690F6B9A"/>
    <w:rsid w:val="6910451E"/>
    <w:rsid w:val="69110F2F"/>
    <w:rsid w:val="6912159C"/>
    <w:rsid w:val="69126A56"/>
    <w:rsid w:val="69144F70"/>
    <w:rsid w:val="69166546"/>
    <w:rsid w:val="691933D8"/>
    <w:rsid w:val="69197DE4"/>
    <w:rsid w:val="691E189E"/>
    <w:rsid w:val="691E364C"/>
    <w:rsid w:val="692073C4"/>
    <w:rsid w:val="6922138F"/>
    <w:rsid w:val="69272501"/>
    <w:rsid w:val="692769A5"/>
    <w:rsid w:val="692D388F"/>
    <w:rsid w:val="692E2178"/>
    <w:rsid w:val="692F13B6"/>
    <w:rsid w:val="693027FB"/>
    <w:rsid w:val="69314F32"/>
    <w:rsid w:val="69324EAF"/>
    <w:rsid w:val="693370F8"/>
    <w:rsid w:val="69344C1E"/>
    <w:rsid w:val="693764BC"/>
    <w:rsid w:val="69382960"/>
    <w:rsid w:val="69390F51"/>
    <w:rsid w:val="6939182E"/>
    <w:rsid w:val="69392657"/>
    <w:rsid w:val="693B684A"/>
    <w:rsid w:val="693C3AD3"/>
    <w:rsid w:val="693C7E58"/>
    <w:rsid w:val="693D15B6"/>
    <w:rsid w:val="693D7F76"/>
    <w:rsid w:val="693F590D"/>
    <w:rsid w:val="6940217B"/>
    <w:rsid w:val="69424298"/>
    <w:rsid w:val="6942733B"/>
    <w:rsid w:val="694475A0"/>
    <w:rsid w:val="69456E2B"/>
    <w:rsid w:val="694740E2"/>
    <w:rsid w:val="694A61EF"/>
    <w:rsid w:val="69511FA2"/>
    <w:rsid w:val="695169A2"/>
    <w:rsid w:val="6953779A"/>
    <w:rsid w:val="69540E1C"/>
    <w:rsid w:val="69544C7A"/>
    <w:rsid w:val="695615B3"/>
    <w:rsid w:val="69564B94"/>
    <w:rsid w:val="69572528"/>
    <w:rsid w:val="69586B5E"/>
    <w:rsid w:val="695928D6"/>
    <w:rsid w:val="695B03FD"/>
    <w:rsid w:val="695B21AB"/>
    <w:rsid w:val="695D23C7"/>
    <w:rsid w:val="695D57C2"/>
    <w:rsid w:val="695D5F23"/>
    <w:rsid w:val="695E4E55"/>
    <w:rsid w:val="695E5E3C"/>
    <w:rsid w:val="6961093C"/>
    <w:rsid w:val="6962178B"/>
    <w:rsid w:val="69652054"/>
    <w:rsid w:val="696574CD"/>
    <w:rsid w:val="69676DA1"/>
    <w:rsid w:val="69682B80"/>
    <w:rsid w:val="69690516"/>
    <w:rsid w:val="69690D6B"/>
    <w:rsid w:val="69692B1A"/>
    <w:rsid w:val="696A0640"/>
    <w:rsid w:val="696A0C89"/>
    <w:rsid w:val="696C260A"/>
    <w:rsid w:val="696D1EDE"/>
    <w:rsid w:val="696F3EA8"/>
    <w:rsid w:val="697274E6"/>
    <w:rsid w:val="69736F03"/>
    <w:rsid w:val="697414BE"/>
    <w:rsid w:val="6974326C"/>
    <w:rsid w:val="697469DA"/>
    <w:rsid w:val="6975143C"/>
    <w:rsid w:val="69766FE4"/>
    <w:rsid w:val="69772919"/>
    <w:rsid w:val="697B284D"/>
    <w:rsid w:val="697F058F"/>
    <w:rsid w:val="69801C11"/>
    <w:rsid w:val="69807EB1"/>
    <w:rsid w:val="69817394"/>
    <w:rsid w:val="69820E7A"/>
    <w:rsid w:val="69821E2D"/>
    <w:rsid w:val="69823BDB"/>
    <w:rsid w:val="69825989"/>
    <w:rsid w:val="69894212"/>
    <w:rsid w:val="698E432E"/>
    <w:rsid w:val="698F62F8"/>
    <w:rsid w:val="69912070"/>
    <w:rsid w:val="69921BD7"/>
    <w:rsid w:val="69931944"/>
    <w:rsid w:val="69966CB4"/>
    <w:rsid w:val="69981651"/>
    <w:rsid w:val="699837EB"/>
    <w:rsid w:val="699851AD"/>
    <w:rsid w:val="69987F14"/>
    <w:rsid w:val="699F29DF"/>
    <w:rsid w:val="699F478D"/>
    <w:rsid w:val="699F7F40"/>
    <w:rsid w:val="69A021B3"/>
    <w:rsid w:val="69A144A2"/>
    <w:rsid w:val="69A17D59"/>
    <w:rsid w:val="69A2602B"/>
    <w:rsid w:val="69A41DA4"/>
    <w:rsid w:val="69A578CA"/>
    <w:rsid w:val="69A753F0"/>
    <w:rsid w:val="69A9560C"/>
    <w:rsid w:val="69B0699A"/>
    <w:rsid w:val="69B31FE7"/>
    <w:rsid w:val="69B33D95"/>
    <w:rsid w:val="69B47B0D"/>
    <w:rsid w:val="69B624CF"/>
    <w:rsid w:val="69B813AB"/>
    <w:rsid w:val="69BD4906"/>
    <w:rsid w:val="69BE2739"/>
    <w:rsid w:val="69C13F18"/>
    <w:rsid w:val="69C45FA2"/>
    <w:rsid w:val="69C9323C"/>
    <w:rsid w:val="69CA10DE"/>
    <w:rsid w:val="69CB5582"/>
    <w:rsid w:val="69CC4E56"/>
    <w:rsid w:val="69CC74F2"/>
    <w:rsid w:val="69CD7801"/>
    <w:rsid w:val="69D32689"/>
    <w:rsid w:val="69D34437"/>
    <w:rsid w:val="69D361E5"/>
    <w:rsid w:val="69D41F5D"/>
    <w:rsid w:val="69D67DB2"/>
    <w:rsid w:val="69DA7573"/>
    <w:rsid w:val="69DC2875"/>
    <w:rsid w:val="69DC4EFF"/>
    <w:rsid w:val="69E00902"/>
    <w:rsid w:val="69E20D5F"/>
    <w:rsid w:val="69E421A0"/>
    <w:rsid w:val="69E46644"/>
    <w:rsid w:val="69E93C5A"/>
    <w:rsid w:val="69E94057"/>
    <w:rsid w:val="69EB79D2"/>
    <w:rsid w:val="69EC72A7"/>
    <w:rsid w:val="69EE1271"/>
    <w:rsid w:val="69EE301F"/>
    <w:rsid w:val="69EE74C3"/>
    <w:rsid w:val="69F22885"/>
    <w:rsid w:val="69F34AD9"/>
    <w:rsid w:val="69F60125"/>
    <w:rsid w:val="69F67DBC"/>
    <w:rsid w:val="69F70048"/>
    <w:rsid w:val="69FD7706"/>
    <w:rsid w:val="6A010FA4"/>
    <w:rsid w:val="6A026ACA"/>
    <w:rsid w:val="6A037121"/>
    <w:rsid w:val="6A040A94"/>
    <w:rsid w:val="6A050368"/>
    <w:rsid w:val="6A084C72"/>
    <w:rsid w:val="6A0942FC"/>
    <w:rsid w:val="6A0A597F"/>
    <w:rsid w:val="6A0C7949"/>
    <w:rsid w:val="6A0C7B07"/>
    <w:rsid w:val="6A0D5B9B"/>
    <w:rsid w:val="6A0E18E4"/>
    <w:rsid w:val="6A107439"/>
    <w:rsid w:val="6A1231B1"/>
    <w:rsid w:val="6A12583C"/>
    <w:rsid w:val="6A154A4F"/>
    <w:rsid w:val="6A155328"/>
    <w:rsid w:val="6A162576"/>
    <w:rsid w:val="6A18009C"/>
    <w:rsid w:val="6A1C5DDE"/>
    <w:rsid w:val="6A1D1B56"/>
    <w:rsid w:val="6A1E0CB9"/>
    <w:rsid w:val="6A1E0CE9"/>
    <w:rsid w:val="6A224F35"/>
    <w:rsid w:val="6A2353BE"/>
    <w:rsid w:val="6A235F03"/>
    <w:rsid w:val="6A242EE4"/>
    <w:rsid w:val="6A2627B9"/>
    <w:rsid w:val="6A276531"/>
    <w:rsid w:val="6A296DE7"/>
    <w:rsid w:val="6A2A744A"/>
    <w:rsid w:val="6A2B6021"/>
    <w:rsid w:val="6A2C1D99"/>
    <w:rsid w:val="6A2D09E2"/>
    <w:rsid w:val="6A2D7FEB"/>
    <w:rsid w:val="6A2F0CBC"/>
    <w:rsid w:val="6A3003EA"/>
    <w:rsid w:val="6A301889"/>
    <w:rsid w:val="6A325B36"/>
    <w:rsid w:val="6A33672E"/>
    <w:rsid w:val="6A343DA8"/>
    <w:rsid w:val="6A3525FE"/>
    <w:rsid w:val="6A37490E"/>
    <w:rsid w:val="6A3749C6"/>
    <w:rsid w:val="6A3A6264"/>
    <w:rsid w:val="6A3B76A2"/>
    <w:rsid w:val="6A3C1FDC"/>
    <w:rsid w:val="6A3D5A1F"/>
    <w:rsid w:val="6A413A96"/>
    <w:rsid w:val="6A471681"/>
    <w:rsid w:val="6A4813FA"/>
    <w:rsid w:val="6A4964A7"/>
    <w:rsid w:val="6A4B66C3"/>
    <w:rsid w:val="6A4C2EAF"/>
    <w:rsid w:val="6A4F66FC"/>
    <w:rsid w:val="6A507835"/>
    <w:rsid w:val="6A51065F"/>
    <w:rsid w:val="6A5135AE"/>
    <w:rsid w:val="6A51641B"/>
    <w:rsid w:val="6A535578"/>
    <w:rsid w:val="6A541B18"/>
    <w:rsid w:val="6A554E4C"/>
    <w:rsid w:val="6A570BC4"/>
    <w:rsid w:val="6A58493C"/>
    <w:rsid w:val="6A5B43F9"/>
    <w:rsid w:val="6A5B50A9"/>
    <w:rsid w:val="6A5C267E"/>
    <w:rsid w:val="6A617C95"/>
    <w:rsid w:val="6A636BAF"/>
    <w:rsid w:val="6A682DD1"/>
    <w:rsid w:val="6A685317"/>
    <w:rsid w:val="6A694D9B"/>
    <w:rsid w:val="6A6B0B13"/>
    <w:rsid w:val="6A6B466F"/>
    <w:rsid w:val="6A6C5C24"/>
    <w:rsid w:val="6A6D488B"/>
    <w:rsid w:val="6A710772"/>
    <w:rsid w:val="6A721EA2"/>
    <w:rsid w:val="6A730B80"/>
    <w:rsid w:val="6A742430"/>
    <w:rsid w:val="6A787BEC"/>
    <w:rsid w:val="6A7A2B04"/>
    <w:rsid w:val="6A7C14DB"/>
    <w:rsid w:val="6A7D43A3"/>
    <w:rsid w:val="6A7E25F5"/>
    <w:rsid w:val="6A8120E5"/>
    <w:rsid w:val="6A82126C"/>
    <w:rsid w:val="6A825F32"/>
    <w:rsid w:val="6A835E5D"/>
    <w:rsid w:val="6A841BD5"/>
    <w:rsid w:val="6A8614A9"/>
    <w:rsid w:val="6A866E30"/>
    <w:rsid w:val="6A881480"/>
    <w:rsid w:val="6A890F99"/>
    <w:rsid w:val="6A8B2D2D"/>
    <w:rsid w:val="6A941E18"/>
    <w:rsid w:val="6A955B90"/>
    <w:rsid w:val="6A9A31A7"/>
    <w:rsid w:val="6A9B0CD7"/>
    <w:rsid w:val="6A9C6F1F"/>
    <w:rsid w:val="6A9E45C1"/>
    <w:rsid w:val="6AA10B75"/>
    <w:rsid w:val="6AA13425"/>
    <w:rsid w:val="6AA42D4F"/>
    <w:rsid w:val="6AA45403"/>
    <w:rsid w:val="6AA574F6"/>
    <w:rsid w:val="6AA638F9"/>
    <w:rsid w:val="6AA67D9D"/>
    <w:rsid w:val="6AA807C1"/>
    <w:rsid w:val="6AA81420"/>
    <w:rsid w:val="6AA933EA"/>
    <w:rsid w:val="6AAB53B4"/>
    <w:rsid w:val="6AAD4C88"/>
    <w:rsid w:val="6AAF0D2D"/>
    <w:rsid w:val="6AB029CA"/>
    <w:rsid w:val="6AB2229E"/>
    <w:rsid w:val="6AB44268"/>
    <w:rsid w:val="6AB853DB"/>
    <w:rsid w:val="6AB9187F"/>
    <w:rsid w:val="6AB9362D"/>
    <w:rsid w:val="6AB956BB"/>
    <w:rsid w:val="6ABC136F"/>
    <w:rsid w:val="6ABC311D"/>
    <w:rsid w:val="6ABC4ECB"/>
    <w:rsid w:val="6ABE0D2A"/>
    <w:rsid w:val="6AC124E1"/>
    <w:rsid w:val="6AC326FD"/>
    <w:rsid w:val="6AC4614D"/>
    <w:rsid w:val="6AC50223"/>
    <w:rsid w:val="6AC56475"/>
    <w:rsid w:val="6AC83870"/>
    <w:rsid w:val="6ACA3A8C"/>
    <w:rsid w:val="6ACA583A"/>
    <w:rsid w:val="6ACB1211"/>
    <w:rsid w:val="6ACE4BFE"/>
    <w:rsid w:val="6ACF2E50"/>
    <w:rsid w:val="6AD05313"/>
    <w:rsid w:val="6AD10895"/>
    <w:rsid w:val="6AD16513"/>
    <w:rsid w:val="6AD541DF"/>
    <w:rsid w:val="6AD55F8D"/>
    <w:rsid w:val="6AD93CCF"/>
    <w:rsid w:val="6ADA17F5"/>
    <w:rsid w:val="6ADC6767"/>
    <w:rsid w:val="6AE00865"/>
    <w:rsid w:val="6AE0505D"/>
    <w:rsid w:val="6AE16007"/>
    <w:rsid w:val="6AE306AA"/>
    <w:rsid w:val="6AE663EC"/>
    <w:rsid w:val="6AE82251"/>
    <w:rsid w:val="6AEA1A38"/>
    <w:rsid w:val="6AEB1137"/>
    <w:rsid w:val="6AEC5E21"/>
    <w:rsid w:val="6AEC79FA"/>
    <w:rsid w:val="6AF428B7"/>
    <w:rsid w:val="6AF44665"/>
    <w:rsid w:val="6AF56098"/>
    <w:rsid w:val="6AF60E36"/>
    <w:rsid w:val="6AF7565C"/>
    <w:rsid w:val="6AF91C7B"/>
    <w:rsid w:val="6AFA0FF5"/>
    <w:rsid w:val="6AFB3C45"/>
    <w:rsid w:val="6AFC79BD"/>
    <w:rsid w:val="6AFD409F"/>
    <w:rsid w:val="6AFD6B40"/>
    <w:rsid w:val="6AFE3735"/>
    <w:rsid w:val="6AFE7291"/>
    <w:rsid w:val="6B011744"/>
    <w:rsid w:val="6B030D4C"/>
    <w:rsid w:val="6B036F9E"/>
    <w:rsid w:val="6B040620"/>
    <w:rsid w:val="6B0455CC"/>
    <w:rsid w:val="6B060F13"/>
    <w:rsid w:val="6B07083C"/>
    <w:rsid w:val="6B080110"/>
    <w:rsid w:val="6B086362"/>
    <w:rsid w:val="6B0A032C"/>
    <w:rsid w:val="6B0D1BCA"/>
    <w:rsid w:val="6B0D3978"/>
    <w:rsid w:val="6B0D5727"/>
    <w:rsid w:val="6B0F5943"/>
    <w:rsid w:val="6B105217"/>
    <w:rsid w:val="6B1110D4"/>
    <w:rsid w:val="6B1139A5"/>
    <w:rsid w:val="6B1271E1"/>
    <w:rsid w:val="6B146AB5"/>
    <w:rsid w:val="6B152326"/>
    <w:rsid w:val="6B166CD1"/>
    <w:rsid w:val="6B1B411A"/>
    <w:rsid w:val="6B1B7E43"/>
    <w:rsid w:val="6B2111D2"/>
    <w:rsid w:val="6B226663"/>
    <w:rsid w:val="6B23319C"/>
    <w:rsid w:val="6B237BBE"/>
    <w:rsid w:val="6B2506DA"/>
    <w:rsid w:val="6B263CCE"/>
    <w:rsid w:val="6B2667E8"/>
    <w:rsid w:val="6B286A04"/>
    <w:rsid w:val="6B2B0BF0"/>
    <w:rsid w:val="6B2C2051"/>
    <w:rsid w:val="6B2F1B41"/>
    <w:rsid w:val="6B2F38EF"/>
    <w:rsid w:val="6B317667"/>
    <w:rsid w:val="6B340F05"/>
    <w:rsid w:val="6B342A0A"/>
    <w:rsid w:val="6B3453A9"/>
    <w:rsid w:val="6B347157"/>
    <w:rsid w:val="6B393F1A"/>
    <w:rsid w:val="6B3B6738"/>
    <w:rsid w:val="6B3C600C"/>
    <w:rsid w:val="6B3C7DBA"/>
    <w:rsid w:val="6B3D24B0"/>
    <w:rsid w:val="6B3D425E"/>
    <w:rsid w:val="6B3E3B32"/>
    <w:rsid w:val="6B3E7FD6"/>
    <w:rsid w:val="6B3F558D"/>
    <w:rsid w:val="6B43383E"/>
    <w:rsid w:val="6B44754B"/>
    <w:rsid w:val="6B460705"/>
    <w:rsid w:val="6B4750DC"/>
    <w:rsid w:val="6B485B3F"/>
    <w:rsid w:val="6B4A2F0E"/>
    <w:rsid w:val="6B4C26F3"/>
    <w:rsid w:val="6B4C44A1"/>
    <w:rsid w:val="6B4C6968"/>
    <w:rsid w:val="6B4E24B7"/>
    <w:rsid w:val="6B4F5D3F"/>
    <w:rsid w:val="6B52582F"/>
    <w:rsid w:val="6B545C45"/>
    <w:rsid w:val="6B560E7C"/>
    <w:rsid w:val="6B581098"/>
    <w:rsid w:val="6B594E10"/>
    <w:rsid w:val="6B596BBE"/>
    <w:rsid w:val="6B5C4102"/>
    <w:rsid w:val="6B5D66AE"/>
    <w:rsid w:val="6B5F54AE"/>
    <w:rsid w:val="6B60512A"/>
    <w:rsid w:val="6B611FBE"/>
    <w:rsid w:val="6B6214E3"/>
    <w:rsid w:val="6B6813C7"/>
    <w:rsid w:val="6B685053"/>
    <w:rsid w:val="6B6E2E66"/>
    <w:rsid w:val="6B6F1F3D"/>
    <w:rsid w:val="6B6F4633"/>
    <w:rsid w:val="6B6F63E1"/>
    <w:rsid w:val="6B721A2E"/>
    <w:rsid w:val="6B722451"/>
    <w:rsid w:val="6B750159"/>
    <w:rsid w:val="6B7624D2"/>
    <w:rsid w:val="6B7632CC"/>
    <w:rsid w:val="6B777F82"/>
    <w:rsid w:val="6B7B14D4"/>
    <w:rsid w:val="6B7B768E"/>
    <w:rsid w:val="6B7C1223"/>
    <w:rsid w:val="6B7D526B"/>
    <w:rsid w:val="6B7E4876"/>
    <w:rsid w:val="6B7E6624"/>
    <w:rsid w:val="6B823DA0"/>
    <w:rsid w:val="6B827EC3"/>
    <w:rsid w:val="6B8359E9"/>
    <w:rsid w:val="6B841E8D"/>
    <w:rsid w:val="6B84214A"/>
    <w:rsid w:val="6B842A13"/>
    <w:rsid w:val="6B851761"/>
    <w:rsid w:val="6B854620"/>
    <w:rsid w:val="6B8579B3"/>
    <w:rsid w:val="6B87372B"/>
    <w:rsid w:val="6B894F68"/>
    <w:rsid w:val="6B8A321B"/>
    <w:rsid w:val="6B8C0D41"/>
    <w:rsid w:val="6B8E0DD2"/>
    <w:rsid w:val="6B8E4AB9"/>
    <w:rsid w:val="6B8F25DF"/>
    <w:rsid w:val="6B901B90"/>
    <w:rsid w:val="6B907C85"/>
    <w:rsid w:val="6B916358"/>
    <w:rsid w:val="6B93601A"/>
    <w:rsid w:val="6B94171A"/>
    <w:rsid w:val="6B9419A4"/>
    <w:rsid w:val="6B947BF6"/>
    <w:rsid w:val="6B96396E"/>
    <w:rsid w:val="6B9A583C"/>
    <w:rsid w:val="6B9D2F4E"/>
    <w:rsid w:val="6B9E0A74"/>
    <w:rsid w:val="6B9F6CC6"/>
    <w:rsid w:val="6BA063DE"/>
    <w:rsid w:val="6BA51E03"/>
    <w:rsid w:val="6BA52D52"/>
    <w:rsid w:val="6BA75B7B"/>
    <w:rsid w:val="6BA77929"/>
    <w:rsid w:val="6BAA11C7"/>
    <w:rsid w:val="6BAA42A1"/>
    <w:rsid w:val="6BAA566B"/>
    <w:rsid w:val="6BAC62FD"/>
    <w:rsid w:val="6BAC6F90"/>
    <w:rsid w:val="6BAD2A66"/>
    <w:rsid w:val="6BAD3293"/>
    <w:rsid w:val="6BAE0CB8"/>
    <w:rsid w:val="6BB74F81"/>
    <w:rsid w:val="6BBA3D96"/>
    <w:rsid w:val="6BBB5183"/>
    <w:rsid w:val="6BBB53B4"/>
    <w:rsid w:val="6BBD463B"/>
    <w:rsid w:val="6BC06C3D"/>
    <w:rsid w:val="6BC12AA9"/>
    <w:rsid w:val="6BC22528"/>
    <w:rsid w:val="6BC5524D"/>
    <w:rsid w:val="6BC56001"/>
    <w:rsid w:val="6BC73B27"/>
    <w:rsid w:val="6BC8789F"/>
    <w:rsid w:val="6BCA3618"/>
    <w:rsid w:val="6BCE4EB6"/>
    <w:rsid w:val="6BD3071E"/>
    <w:rsid w:val="6BD34BC2"/>
    <w:rsid w:val="6BD36970"/>
    <w:rsid w:val="6BD43284"/>
    <w:rsid w:val="6BD6020E"/>
    <w:rsid w:val="6BD61FBC"/>
    <w:rsid w:val="6BD91127"/>
    <w:rsid w:val="6BD91AAD"/>
    <w:rsid w:val="6BDA003C"/>
    <w:rsid w:val="6BDB5825"/>
    <w:rsid w:val="6BDE1F8E"/>
    <w:rsid w:val="6BDF3567"/>
    <w:rsid w:val="6BE1384B"/>
    <w:rsid w:val="6BE20961"/>
    <w:rsid w:val="6BE446D9"/>
    <w:rsid w:val="6BE741CA"/>
    <w:rsid w:val="6BE75F78"/>
    <w:rsid w:val="6BE97F42"/>
    <w:rsid w:val="6BEA5A68"/>
    <w:rsid w:val="6BEC7A32"/>
    <w:rsid w:val="6BEF1B0D"/>
    <w:rsid w:val="6BEF4116"/>
    <w:rsid w:val="6BF568E6"/>
    <w:rsid w:val="6BF6440D"/>
    <w:rsid w:val="6BF70A41"/>
    <w:rsid w:val="6BFA214F"/>
    <w:rsid w:val="6BFA235B"/>
    <w:rsid w:val="6BFB5EC7"/>
    <w:rsid w:val="6BFF3C0B"/>
    <w:rsid w:val="6C022DB1"/>
    <w:rsid w:val="6C0338C5"/>
    <w:rsid w:val="6C042FCD"/>
    <w:rsid w:val="6C046B2A"/>
    <w:rsid w:val="6C0703C8"/>
    <w:rsid w:val="6C0905E4"/>
    <w:rsid w:val="6C09129B"/>
    <w:rsid w:val="6C0B52C6"/>
    <w:rsid w:val="6C0C4371"/>
    <w:rsid w:val="6C0C59DE"/>
    <w:rsid w:val="6C0D3DEF"/>
    <w:rsid w:val="6C0D538C"/>
    <w:rsid w:val="6C0F54CE"/>
    <w:rsid w:val="6C103720"/>
    <w:rsid w:val="6C11746E"/>
    <w:rsid w:val="6C1175BA"/>
    <w:rsid w:val="6C1236EB"/>
    <w:rsid w:val="6C123F77"/>
    <w:rsid w:val="6C1256EA"/>
    <w:rsid w:val="6C152AE5"/>
    <w:rsid w:val="6C184383"/>
    <w:rsid w:val="6C1A2407"/>
    <w:rsid w:val="6C1A53FF"/>
    <w:rsid w:val="6C1B3E73"/>
    <w:rsid w:val="6C1F5711"/>
    <w:rsid w:val="6C1F6F69"/>
    <w:rsid w:val="6C272818"/>
    <w:rsid w:val="6C2A6280"/>
    <w:rsid w:val="6C2B0057"/>
    <w:rsid w:val="6C2B5ACD"/>
    <w:rsid w:val="6C2B67AC"/>
    <w:rsid w:val="6C2C6080"/>
    <w:rsid w:val="6C2D620B"/>
    <w:rsid w:val="6C303DC2"/>
    <w:rsid w:val="6C30791F"/>
    <w:rsid w:val="6C315CF1"/>
    <w:rsid w:val="6C3167E1"/>
    <w:rsid w:val="6C3311BD"/>
    <w:rsid w:val="6C335661"/>
    <w:rsid w:val="6C3513D9"/>
    <w:rsid w:val="6C353FEF"/>
    <w:rsid w:val="6C3A079D"/>
    <w:rsid w:val="6C41513D"/>
    <w:rsid w:val="6C427652"/>
    <w:rsid w:val="6C4307CE"/>
    <w:rsid w:val="6C44776E"/>
    <w:rsid w:val="6C46272D"/>
    <w:rsid w:val="6C4909E0"/>
    <w:rsid w:val="6C496C32"/>
    <w:rsid w:val="6C4A4E69"/>
    <w:rsid w:val="6C4C04D0"/>
    <w:rsid w:val="6C4D202C"/>
    <w:rsid w:val="6C4D6722"/>
    <w:rsid w:val="6C4E5FF7"/>
    <w:rsid w:val="6C5001CC"/>
    <w:rsid w:val="6C523D39"/>
    <w:rsid w:val="6C566E2D"/>
    <w:rsid w:val="6C573D17"/>
    <w:rsid w:val="6C587073"/>
    <w:rsid w:val="6C5922CC"/>
    <w:rsid w:val="6C594E90"/>
    <w:rsid w:val="6C5A69F1"/>
    <w:rsid w:val="6C5B3D73"/>
    <w:rsid w:val="6C5D26DE"/>
    <w:rsid w:val="6C5F0204"/>
    <w:rsid w:val="6C621AA2"/>
    <w:rsid w:val="6C625422"/>
    <w:rsid w:val="6C663340"/>
    <w:rsid w:val="6C692E30"/>
    <w:rsid w:val="6C6B0F56"/>
    <w:rsid w:val="6C6E6699"/>
    <w:rsid w:val="6C707ECB"/>
    <w:rsid w:val="6C711CE5"/>
    <w:rsid w:val="6C7353BC"/>
    <w:rsid w:val="6C7517D5"/>
    <w:rsid w:val="6C7742CC"/>
    <w:rsid w:val="6C782225"/>
    <w:rsid w:val="6C787517"/>
    <w:rsid w:val="6C7A3290"/>
    <w:rsid w:val="6C7B4287"/>
    <w:rsid w:val="6C7D68DC"/>
    <w:rsid w:val="6C7E4B2F"/>
    <w:rsid w:val="6C7F08A6"/>
    <w:rsid w:val="6C81461E"/>
    <w:rsid w:val="6C823EF2"/>
    <w:rsid w:val="6C830396"/>
    <w:rsid w:val="6C865790"/>
    <w:rsid w:val="6C877168"/>
    <w:rsid w:val="6C891725"/>
    <w:rsid w:val="6C8A44EC"/>
    <w:rsid w:val="6C8A6022"/>
    <w:rsid w:val="6C8B724B"/>
    <w:rsid w:val="6C8D2FC3"/>
    <w:rsid w:val="6C9003BD"/>
    <w:rsid w:val="6C922387"/>
    <w:rsid w:val="6C937EAD"/>
    <w:rsid w:val="6C941C77"/>
    <w:rsid w:val="6C950C99"/>
    <w:rsid w:val="6C951E77"/>
    <w:rsid w:val="6C97174C"/>
    <w:rsid w:val="6C975BF0"/>
    <w:rsid w:val="6C9E1AF7"/>
    <w:rsid w:val="6C9F4AA4"/>
    <w:rsid w:val="6CA64085"/>
    <w:rsid w:val="6CA65E33"/>
    <w:rsid w:val="6CA87DFD"/>
    <w:rsid w:val="6CA976D1"/>
    <w:rsid w:val="6CAB3449"/>
    <w:rsid w:val="6CAD546A"/>
    <w:rsid w:val="6CAD6955"/>
    <w:rsid w:val="6CAD765A"/>
    <w:rsid w:val="6CAE2F39"/>
    <w:rsid w:val="6CB00A5F"/>
    <w:rsid w:val="6CB23210"/>
    <w:rsid w:val="6CB26586"/>
    <w:rsid w:val="6CB30550"/>
    <w:rsid w:val="6CB322FE"/>
    <w:rsid w:val="6CB5251A"/>
    <w:rsid w:val="6CB611D0"/>
    <w:rsid w:val="6CBA18DE"/>
    <w:rsid w:val="6CBA7B30"/>
    <w:rsid w:val="6CBC11B2"/>
    <w:rsid w:val="6CBC1713"/>
    <w:rsid w:val="6CBF0CA2"/>
    <w:rsid w:val="6CBF6EF4"/>
    <w:rsid w:val="6CC42093"/>
    <w:rsid w:val="6CC462B9"/>
    <w:rsid w:val="6CC62031"/>
    <w:rsid w:val="6CC664D5"/>
    <w:rsid w:val="6CC8506F"/>
    <w:rsid w:val="6CC91B21"/>
    <w:rsid w:val="6CCB5899"/>
    <w:rsid w:val="6CCD0F97"/>
    <w:rsid w:val="6CD01102"/>
    <w:rsid w:val="6CD04C5E"/>
    <w:rsid w:val="6CD14697"/>
    <w:rsid w:val="6CD25AAA"/>
    <w:rsid w:val="6CD26C28"/>
    <w:rsid w:val="6CD40BF2"/>
    <w:rsid w:val="6CD504C6"/>
    <w:rsid w:val="6CD51C5E"/>
    <w:rsid w:val="6CD74FCF"/>
    <w:rsid w:val="6CD81D64"/>
    <w:rsid w:val="6CD8343A"/>
    <w:rsid w:val="6CD877C3"/>
    <w:rsid w:val="6CD95417"/>
    <w:rsid w:val="6CDB7686"/>
    <w:rsid w:val="6CDC7AA6"/>
    <w:rsid w:val="6CDD6717"/>
    <w:rsid w:val="6CDF6C9B"/>
    <w:rsid w:val="6CE10C19"/>
    <w:rsid w:val="6CE30E35"/>
    <w:rsid w:val="6CE36AAC"/>
    <w:rsid w:val="6CE55E74"/>
    <w:rsid w:val="6CE93F71"/>
    <w:rsid w:val="6CEA21C3"/>
    <w:rsid w:val="6CEB2A7E"/>
    <w:rsid w:val="6CEF1588"/>
    <w:rsid w:val="6CF070AE"/>
    <w:rsid w:val="6CF13C18"/>
    <w:rsid w:val="6CF22E26"/>
    <w:rsid w:val="6CF307A1"/>
    <w:rsid w:val="6CF43042"/>
    <w:rsid w:val="6CF50B68"/>
    <w:rsid w:val="6CFA617E"/>
    <w:rsid w:val="6D036DE1"/>
    <w:rsid w:val="6D082649"/>
    <w:rsid w:val="6D0A4613"/>
    <w:rsid w:val="6D0B3EE8"/>
    <w:rsid w:val="6D0D7C60"/>
    <w:rsid w:val="6D0F39D8"/>
    <w:rsid w:val="6D12171A"/>
    <w:rsid w:val="6D176058"/>
    <w:rsid w:val="6D194848"/>
    <w:rsid w:val="6D194857"/>
    <w:rsid w:val="6D197AEA"/>
    <w:rsid w:val="6D1A231B"/>
    <w:rsid w:val="6D1A237D"/>
    <w:rsid w:val="6D1A412B"/>
    <w:rsid w:val="6D1C4347"/>
    <w:rsid w:val="6D2033A5"/>
    <w:rsid w:val="6D2154B9"/>
    <w:rsid w:val="6D224D4C"/>
    <w:rsid w:val="6D2356D5"/>
    <w:rsid w:val="6D2531FB"/>
    <w:rsid w:val="6D286848"/>
    <w:rsid w:val="6D296BD2"/>
    <w:rsid w:val="6D2B3E12"/>
    <w:rsid w:val="6D2B458A"/>
    <w:rsid w:val="6D2C27DC"/>
    <w:rsid w:val="6D2D2E12"/>
    <w:rsid w:val="6D2F5E28"/>
    <w:rsid w:val="6D341690"/>
    <w:rsid w:val="6D35147C"/>
    <w:rsid w:val="6D3723B5"/>
    <w:rsid w:val="6D372F2F"/>
    <w:rsid w:val="6D374CDD"/>
    <w:rsid w:val="6D381F23"/>
    <w:rsid w:val="6D3A0125"/>
    <w:rsid w:val="6D3B2A1F"/>
    <w:rsid w:val="6D3C0545"/>
    <w:rsid w:val="6D3E1A32"/>
    <w:rsid w:val="6D3E42BD"/>
    <w:rsid w:val="6D417909"/>
    <w:rsid w:val="6D4318D3"/>
    <w:rsid w:val="6D433682"/>
    <w:rsid w:val="6D437B25"/>
    <w:rsid w:val="6D45564C"/>
    <w:rsid w:val="6D495C5A"/>
    <w:rsid w:val="6D4B0788"/>
    <w:rsid w:val="6D4C4C2C"/>
    <w:rsid w:val="6D4D2A68"/>
    <w:rsid w:val="6D4D4500"/>
    <w:rsid w:val="6D52044D"/>
    <w:rsid w:val="6D521B17"/>
    <w:rsid w:val="6D5238C5"/>
    <w:rsid w:val="6D527D69"/>
    <w:rsid w:val="6D54763D"/>
    <w:rsid w:val="6D5533B5"/>
    <w:rsid w:val="6D5605F4"/>
    <w:rsid w:val="6D567859"/>
    <w:rsid w:val="6D594C53"/>
    <w:rsid w:val="6D5B09CB"/>
    <w:rsid w:val="6D5C4743"/>
    <w:rsid w:val="6D5D0BE7"/>
    <w:rsid w:val="6D6261FE"/>
    <w:rsid w:val="6D635AD2"/>
    <w:rsid w:val="6D6368D2"/>
    <w:rsid w:val="6D645D0C"/>
    <w:rsid w:val="6D6630AF"/>
    <w:rsid w:val="6D6630DF"/>
    <w:rsid w:val="6D671A85"/>
    <w:rsid w:val="6D6738F5"/>
    <w:rsid w:val="6D674CF6"/>
    <w:rsid w:val="6D682098"/>
    <w:rsid w:val="6D6B4986"/>
    <w:rsid w:val="6D6F26C8"/>
    <w:rsid w:val="6D702199"/>
    <w:rsid w:val="6D7101EF"/>
    <w:rsid w:val="6D714A7D"/>
    <w:rsid w:val="6D725524"/>
    <w:rsid w:val="6D747CDF"/>
    <w:rsid w:val="6D76267E"/>
    <w:rsid w:val="6D76496F"/>
    <w:rsid w:val="6D77157D"/>
    <w:rsid w:val="6D77332B"/>
    <w:rsid w:val="6D791F9F"/>
    <w:rsid w:val="6D7935F8"/>
    <w:rsid w:val="6D794E90"/>
    <w:rsid w:val="6D7A7510"/>
    <w:rsid w:val="6D7D3037"/>
    <w:rsid w:val="6D81609C"/>
    <w:rsid w:val="6D8223FC"/>
    <w:rsid w:val="6D855A48"/>
    <w:rsid w:val="6D875C64"/>
    <w:rsid w:val="6D877A12"/>
    <w:rsid w:val="6D8819DC"/>
    <w:rsid w:val="6D8A7502"/>
    <w:rsid w:val="6D8D0DA1"/>
    <w:rsid w:val="6D8D0DE5"/>
    <w:rsid w:val="6D8E6FF3"/>
    <w:rsid w:val="6D914840"/>
    <w:rsid w:val="6D924738"/>
    <w:rsid w:val="6D92578D"/>
    <w:rsid w:val="6D965EA7"/>
    <w:rsid w:val="6D98027D"/>
    <w:rsid w:val="6D981C1F"/>
    <w:rsid w:val="6D9914F3"/>
    <w:rsid w:val="6D997745"/>
    <w:rsid w:val="6D9B2D57"/>
    <w:rsid w:val="6D9C00D3"/>
    <w:rsid w:val="6D9C7C33"/>
    <w:rsid w:val="6D9D5488"/>
    <w:rsid w:val="6D9E29F3"/>
    <w:rsid w:val="6DA018DB"/>
    <w:rsid w:val="6DA305C4"/>
    <w:rsid w:val="6DA5433C"/>
    <w:rsid w:val="6DA750E8"/>
    <w:rsid w:val="6DA85BDA"/>
    <w:rsid w:val="6DA87988"/>
    <w:rsid w:val="6DA93E2C"/>
    <w:rsid w:val="6DAD4F9F"/>
    <w:rsid w:val="6DAF4E08"/>
    <w:rsid w:val="6DB12CE1"/>
    <w:rsid w:val="6DB14A8F"/>
    <w:rsid w:val="6DB36A59"/>
    <w:rsid w:val="6DB523BB"/>
    <w:rsid w:val="6DB620A5"/>
    <w:rsid w:val="6DB66549"/>
    <w:rsid w:val="6DB74CDB"/>
    <w:rsid w:val="6DB91B96"/>
    <w:rsid w:val="6DBB3B60"/>
    <w:rsid w:val="6DBB76BC"/>
    <w:rsid w:val="6DBE0F5A"/>
    <w:rsid w:val="6DBE71AC"/>
    <w:rsid w:val="6DC24EEE"/>
    <w:rsid w:val="6DC347C2"/>
    <w:rsid w:val="6DC36570"/>
    <w:rsid w:val="6DC5678C"/>
    <w:rsid w:val="6DC81DD9"/>
    <w:rsid w:val="6DCA3DA3"/>
    <w:rsid w:val="6DCB4F07"/>
    <w:rsid w:val="6DCE00F3"/>
    <w:rsid w:val="6DCF13B9"/>
    <w:rsid w:val="6DCF4F15"/>
    <w:rsid w:val="6DD16EDF"/>
    <w:rsid w:val="6DD30EA9"/>
    <w:rsid w:val="6DD35943"/>
    <w:rsid w:val="6DD46DD3"/>
    <w:rsid w:val="6DD83511"/>
    <w:rsid w:val="6DD91AF0"/>
    <w:rsid w:val="6DD95D94"/>
    <w:rsid w:val="6DDB1B0C"/>
    <w:rsid w:val="6DDB7D59"/>
    <w:rsid w:val="6DDD2C1A"/>
    <w:rsid w:val="6DDD5960"/>
    <w:rsid w:val="6DDE33AA"/>
    <w:rsid w:val="6DE309C1"/>
    <w:rsid w:val="6DE37191"/>
    <w:rsid w:val="6DE94F98"/>
    <w:rsid w:val="6DEA61F3"/>
    <w:rsid w:val="6DEC0D55"/>
    <w:rsid w:val="6DEC6E13"/>
    <w:rsid w:val="6DED471D"/>
    <w:rsid w:val="6DEE183F"/>
    <w:rsid w:val="6DF31506"/>
    <w:rsid w:val="6DF332FA"/>
    <w:rsid w:val="6DF33E11"/>
    <w:rsid w:val="6DF350A8"/>
    <w:rsid w:val="6DF40E20"/>
    <w:rsid w:val="6DF5610C"/>
    <w:rsid w:val="6DF80910"/>
    <w:rsid w:val="6DF901E4"/>
    <w:rsid w:val="6DF943C9"/>
    <w:rsid w:val="6DFA4688"/>
    <w:rsid w:val="6DFA6436"/>
    <w:rsid w:val="6DFB21AE"/>
    <w:rsid w:val="6DFD489E"/>
    <w:rsid w:val="6DFE5E04"/>
    <w:rsid w:val="6DFF1C9E"/>
    <w:rsid w:val="6E041063"/>
    <w:rsid w:val="6E0411A2"/>
    <w:rsid w:val="6E057057"/>
    <w:rsid w:val="6E072901"/>
    <w:rsid w:val="6E076DA5"/>
    <w:rsid w:val="6E0830F2"/>
    <w:rsid w:val="6E0B3AA9"/>
    <w:rsid w:val="6E0C43BB"/>
    <w:rsid w:val="6E0C760F"/>
    <w:rsid w:val="6E100C1B"/>
    <w:rsid w:val="6E1312A6"/>
    <w:rsid w:val="6E162B44"/>
    <w:rsid w:val="6E18241F"/>
    <w:rsid w:val="6E184B0E"/>
    <w:rsid w:val="6E19797F"/>
    <w:rsid w:val="6E1A0886"/>
    <w:rsid w:val="6E1B015A"/>
    <w:rsid w:val="6E1C12B7"/>
    <w:rsid w:val="6E1E4550"/>
    <w:rsid w:val="6E1E747F"/>
    <w:rsid w:val="6E264F3A"/>
    <w:rsid w:val="6E2C2368"/>
    <w:rsid w:val="6E2C7DFF"/>
    <w:rsid w:val="6E2E0A64"/>
    <w:rsid w:val="6E2E4332"/>
    <w:rsid w:val="6E2E4EEF"/>
    <w:rsid w:val="6E2E60E0"/>
    <w:rsid w:val="6E315BD0"/>
    <w:rsid w:val="6E337B9A"/>
    <w:rsid w:val="6E3410F6"/>
    <w:rsid w:val="6E34121C"/>
    <w:rsid w:val="6E354A69"/>
    <w:rsid w:val="6E3631E6"/>
    <w:rsid w:val="6E366354"/>
    <w:rsid w:val="6E377600"/>
    <w:rsid w:val="6E3A0F28"/>
    <w:rsid w:val="6E3A5F0F"/>
    <w:rsid w:val="6E3B1A16"/>
    <w:rsid w:val="6E3B25AB"/>
    <w:rsid w:val="6E3C1251"/>
    <w:rsid w:val="6E453429"/>
    <w:rsid w:val="6E46167B"/>
    <w:rsid w:val="6E4678CD"/>
    <w:rsid w:val="6E472888"/>
    <w:rsid w:val="6E4753F3"/>
    <w:rsid w:val="6E4771A1"/>
    <w:rsid w:val="6E4A58C8"/>
    <w:rsid w:val="6E4B6F06"/>
    <w:rsid w:val="6E4C7188"/>
    <w:rsid w:val="6E5378F4"/>
    <w:rsid w:val="6E5518BE"/>
    <w:rsid w:val="6E5A5127"/>
    <w:rsid w:val="6E5B2C4D"/>
    <w:rsid w:val="6E5F098F"/>
    <w:rsid w:val="6E5F273D"/>
    <w:rsid w:val="6E5F44EB"/>
    <w:rsid w:val="6E625A93"/>
    <w:rsid w:val="6E625D89"/>
    <w:rsid w:val="6E65267E"/>
    <w:rsid w:val="6E6733A0"/>
    <w:rsid w:val="6E677844"/>
    <w:rsid w:val="6E680717"/>
    <w:rsid w:val="6E697118"/>
    <w:rsid w:val="6E6A40D6"/>
    <w:rsid w:val="6E6B10E2"/>
    <w:rsid w:val="6E6C4E5A"/>
    <w:rsid w:val="6E6D01C7"/>
    <w:rsid w:val="6E6E472E"/>
    <w:rsid w:val="6E710C21"/>
    <w:rsid w:val="6E71421E"/>
    <w:rsid w:val="6E7206C2"/>
    <w:rsid w:val="6E755ABD"/>
    <w:rsid w:val="6E7D7067"/>
    <w:rsid w:val="6E7E0654"/>
    <w:rsid w:val="6E7E30C2"/>
    <w:rsid w:val="6E7F2DDF"/>
    <w:rsid w:val="6E7F693B"/>
    <w:rsid w:val="6E801591"/>
    <w:rsid w:val="6E8126B3"/>
    <w:rsid w:val="6E8403F6"/>
    <w:rsid w:val="6E847687"/>
    <w:rsid w:val="6E860B3B"/>
    <w:rsid w:val="6E865F1C"/>
    <w:rsid w:val="6E881C94"/>
    <w:rsid w:val="6E890338"/>
    <w:rsid w:val="6E8B48F3"/>
    <w:rsid w:val="6E8C4383"/>
    <w:rsid w:val="6E8C5829"/>
    <w:rsid w:val="6E8E1376"/>
    <w:rsid w:val="6E8E63AE"/>
    <w:rsid w:val="6E8F20B9"/>
    <w:rsid w:val="6E9028F6"/>
    <w:rsid w:val="6E906D9A"/>
    <w:rsid w:val="6E91041D"/>
    <w:rsid w:val="6E934195"/>
    <w:rsid w:val="6E95615F"/>
    <w:rsid w:val="6E9817AB"/>
    <w:rsid w:val="6E9862AC"/>
    <w:rsid w:val="6E9879FD"/>
    <w:rsid w:val="6E9A3189"/>
    <w:rsid w:val="6E9C129B"/>
    <w:rsid w:val="6E9F2B3A"/>
    <w:rsid w:val="6E9F6FDD"/>
    <w:rsid w:val="6EA2087C"/>
    <w:rsid w:val="6EA35E84"/>
    <w:rsid w:val="6EA36ACE"/>
    <w:rsid w:val="6EA476A6"/>
    <w:rsid w:val="6EA57B32"/>
    <w:rsid w:val="6EA6211A"/>
    <w:rsid w:val="6EA75E92"/>
    <w:rsid w:val="6EA97922"/>
    <w:rsid w:val="6EAB7730"/>
    <w:rsid w:val="6EAC5256"/>
    <w:rsid w:val="6EAE4965"/>
    <w:rsid w:val="6EAE7221"/>
    <w:rsid w:val="6EB04D47"/>
    <w:rsid w:val="6EB32A89"/>
    <w:rsid w:val="6EB365E5"/>
    <w:rsid w:val="6EB760D5"/>
    <w:rsid w:val="6EB81A3F"/>
    <w:rsid w:val="6EB81E4D"/>
    <w:rsid w:val="6EB83BFB"/>
    <w:rsid w:val="6EB84DF6"/>
    <w:rsid w:val="6EBA302C"/>
    <w:rsid w:val="6EBA5F8A"/>
    <w:rsid w:val="6EBC193D"/>
    <w:rsid w:val="6EBD6BCC"/>
    <w:rsid w:val="6EBD7464"/>
    <w:rsid w:val="6EBE7228"/>
    <w:rsid w:val="6EBF31DC"/>
    <w:rsid w:val="6EBF4F8A"/>
    <w:rsid w:val="6EBF6A0B"/>
    <w:rsid w:val="6EC10D02"/>
    <w:rsid w:val="6EC151A6"/>
    <w:rsid w:val="6EC52C73"/>
    <w:rsid w:val="6EC64279"/>
    <w:rsid w:val="6EC72090"/>
    <w:rsid w:val="6EC86534"/>
    <w:rsid w:val="6EC9147E"/>
    <w:rsid w:val="6EC9405A"/>
    <w:rsid w:val="6ECA6C5B"/>
    <w:rsid w:val="6ECB182C"/>
    <w:rsid w:val="6ECC76A7"/>
    <w:rsid w:val="6ECE2487"/>
    <w:rsid w:val="6ECF12F1"/>
    <w:rsid w:val="6ED00F45"/>
    <w:rsid w:val="6ED30A35"/>
    <w:rsid w:val="6ED529FF"/>
    <w:rsid w:val="6ED82236"/>
    <w:rsid w:val="6EDA0016"/>
    <w:rsid w:val="6EDA5D29"/>
    <w:rsid w:val="6EDC27B1"/>
    <w:rsid w:val="6EDC5B3C"/>
    <w:rsid w:val="6EDD0ED1"/>
    <w:rsid w:val="6EDD3662"/>
    <w:rsid w:val="6EDE2CAE"/>
    <w:rsid w:val="6EDE7B06"/>
    <w:rsid w:val="6EE025C2"/>
    <w:rsid w:val="6EE028B7"/>
    <w:rsid w:val="6EE036BB"/>
    <w:rsid w:val="6EE24726"/>
    <w:rsid w:val="6EE3336E"/>
    <w:rsid w:val="6EE3511C"/>
    <w:rsid w:val="6EE42C42"/>
    <w:rsid w:val="6EE60768"/>
    <w:rsid w:val="6EE705F1"/>
    <w:rsid w:val="6EE70955"/>
    <w:rsid w:val="6EE76183"/>
    <w:rsid w:val="6EEA247C"/>
    <w:rsid w:val="6EEA5EC2"/>
    <w:rsid w:val="6EF00976"/>
    <w:rsid w:val="6EF13B07"/>
    <w:rsid w:val="6EF235B1"/>
    <w:rsid w:val="6EF2535F"/>
    <w:rsid w:val="6EF31311"/>
    <w:rsid w:val="6EF47A62"/>
    <w:rsid w:val="6EF94940"/>
    <w:rsid w:val="6EF957F8"/>
    <w:rsid w:val="6EFC4430"/>
    <w:rsid w:val="6EFC61DE"/>
    <w:rsid w:val="6EFF1C82"/>
    <w:rsid w:val="6EFF5CCE"/>
    <w:rsid w:val="6F0155A2"/>
    <w:rsid w:val="6F020397"/>
    <w:rsid w:val="6F06705D"/>
    <w:rsid w:val="6F082A05"/>
    <w:rsid w:val="6F082DD5"/>
    <w:rsid w:val="6F094457"/>
    <w:rsid w:val="6F0A08FB"/>
    <w:rsid w:val="6F0B6CBF"/>
    <w:rsid w:val="6F0C6A0E"/>
    <w:rsid w:val="6F0D5F20"/>
    <w:rsid w:val="6F0F4163"/>
    <w:rsid w:val="6F0F5516"/>
    <w:rsid w:val="6F0F5F11"/>
    <w:rsid w:val="6F11681F"/>
    <w:rsid w:val="6F145C7D"/>
    <w:rsid w:val="6F15104E"/>
    <w:rsid w:val="6F152DFC"/>
    <w:rsid w:val="6F183579"/>
    <w:rsid w:val="6F196D90"/>
    <w:rsid w:val="6F1C062E"/>
    <w:rsid w:val="6F1C6503"/>
    <w:rsid w:val="6F1C77E1"/>
    <w:rsid w:val="6F1F65C5"/>
    <w:rsid w:val="6F217867"/>
    <w:rsid w:val="6F23376B"/>
    <w:rsid w:val="6F263C26"/>
    <w:rsid w:val="6F280D81"/>
    <w:rsid w:val="6F282D15"/>
    <w:rsid w:val="6F2A334D"/>
    <w:rsid w:val="6F2A4AF9"/>
    <w:rsid w:val="6F2B0871"/>
    <w:rsid w:val="6F2B261F"/>
    <w:rsid w:val="6F2B6AC3"/>
    <w:rsid w:val="6F2C53EA"/>
    <w:rsid w:val="6F3040D9"/>
    <w:rsid w:val="6F316A46"/>
    <w:rsid w:val="6F324FEC"/>
    <w:rsid w:val="6F342420"/>
    <w:rsid w:val="6F347726"/>
    <w:rsid w:val="6F3507EB"/>
    <w:rsid w:val="6F35524C"/>
    <w:rsid w:val="6F370FC4"/>
    <w:rsid w:val="6F375468"/>
    <w:rsid w:val="6F3859F4"/>
    <w:rsid w:val="6F3A0A5C"/>
    <w:rsid w:val="6F3A0AB4"/>
    <w:rsid w:val="6F3B6D06"/>
    <w:rsid w:val="6F433E0D"/>
    <w:rsid w:val="6F437969"/>
    <w:rsid w:val="6F464484"/>
    <w:rsid w:val="6F4656AB"/>
    <w:rsid w:val="6F465952"/>
    <w:rsid w:val="6F481423"/>
    <w:rsid w:val="6F4B2A10"/>
    <w:rsid w:val="6F4B2CC1"/>
    <w:rsid w:val="6F530252"/>
    <w:rsid w:val="6F541B76"/>
    <w:rsid w:val="6F54601A"/>
    <w:rsid w:val="6F563B40"/>
    <w:rsid w:val="6F571666"/>
    <w:rsid w:val="6F5A2F04"/>
    <w:rsid w:val="6F5A4D44"/>
    <w:rsid w:val="6F5B1156"/>
    <w:rsid w:val="6F5B73A8"/>
    <w:rsid w:val="6F5C0A2B"/>
    <w:rsid w:val="6F5C6C7D"/>
    <w:rsid w:val="6F5F0EF2"/>
    <w:rsid w:val="6F6049BF"/>
    <w:rsid w:val="6F631DB9"/>
    <w:rsid w:val="6F636421"/>
    <w:rsid w:val="6F645EE2"/>
    <w:rsid w:val="6F6675D0"/>
    <w:rsid w:val="6F675D4D"/>
    <w:rsid w:val="6F683873"/>
    <w:rsid w:val="6F6A106F"/>
    <w:rsid w:val="6F6A75EB"/>
    <w:rsid w:val="6F6C3363"/>
    <w:rsid w:val="6F71097A"/>
    <w:rsid w:val="6F72024E"/>
    <w:rsid w:val="6F743FC6"/>
    <w:rsid w:val="6F745D74"/>
    <w:rsid w:val="6F755B11"/>
    <w:rsid w:val="6F767D3E"/>
    <w:rsid w:val="6F793E6F"/>
    <w:rsid w:val="6F795A80"/>
    <w:rsid w:val="6F7A01AD"/>
    <w:rsid w:val="6F7B35A7"/>
    <w:rsid w:val="6F7E589F"/>
    <w:rsid w:val="6F80296B"/>
    <w:rsid w:val="6F83245B"/>
    <w:rsid w:val="6F84252A"/>
    <w:rsid w:val="6F852F91"/>
    <w:rsid w:val="6F857F81"/>
    <w:rsid w:val="6F86531E"/>
    <w:rsid w:val="6F885CC3"/>
    <w:rsid w:val="6F891A3B"/>
    <w:rsid w:val="6F8B4932"/>
    <w:rsid w:val="6F8D5088"/>
    <w:rsid w:val="6F912DCA"/>
    <w:rsid w:val="6F920CFF"/>
    <w:rsid w:val="6F92269E"/>
    <w:rsid w:val="6F942F44"/>
    <w:rsid w:val="6F9603E0"/>
    <w:rsid w:val="6F972386"/>
    <w:rsid w:val="6F977B87"/>
    <w:rsid w:val="6F99049D"/>
    <w:rsid w:val="6F9A3937"/>
    <w:rsid w:val="6F9A42D9"/>
    <w:rsid w:val="6F9A795C"/>
    <w:rsid w:val="6F9B77A5"/>
    <w:rsid w:val="6F9C08DE"/>
    <w:rsid w:val="6F9E2AEE"/>
    <w:rsid w:val="6FA128E1"/>
    <w:rsid w:val="6FA36659"/>
    <w:rsid w:val="6FA50623"/>
    <w:rsid w:val="6FA63014"/>
    <w:rsid w:val="6FA80B0C"/>
    <w:rsid w:val="6FAA342C"/>
    <w:rsid w:val="6FAD1286"/>
    <w:rsid w:val="6FAF2EFE"/>
    <w:rsid w:val="6FAF3250"/>
    <w:rsid w:val="6FAF4FFE"/>
    <w:rsid w:val="6FB16F5C"/>
    <w:rsid w:val="6FB2304E"/>
    <w:rsid w:val="6FB70357"/>
    <w:rsid w:val="6FB90798"/>
    <w:rsid w:val="6FB91A91"/>
    <w:rsid w:val="6FB968F9"/>
    <w:rsid w:val="6FB97C2B"/>
    <w:rsid w:val="6FBB0776"/>
    <w:rsid w:val="6FBD3BBF"/>
    <w:rsid w:val="6FBD596D"/>
    <w:rsid w:val="6FBE3493"/>
    <w:rsid w:val="6FC0720B"/>
    <w:rsid w:val="6FC14D32"/>
    <w:rsid w:val="6FC22F83"/>
    <w:rsid w:val="6FC3302A"/>
    <w:rsid w:val="6FC50568"/>
    <w:rsid w:val="6FC52A74"/>
    <w:rsid w:val="6FC63139"/>
    <w:rsid w:val="6FC75525"/>
    <w:rsid w:val="6FC84312"/>
    <w:rsid w:val="6FCA1E38"/>
    <w:rsid w:val="6FCC3E02"/>
    <w:rsid w:val="6FCC795E"/>
    <w:rsid w:val="6FCD36D6"/>
    <w:rsid w:val="6FCF3CB7"/>
    <w:rsid w:val="6FD05147"/>
    <w:rsid w:val="6FD3088D"/>
    <w:rsid w:val="6FD35191"/>
    <w:rsid w:val="6FD64C81"/>
    <w:rsid w:val="6FD76303"/>
    <w:rsid w:val="6FD86214"/>
    <w:rsid w:val="6FDA6AB6"/>
    <w:rsid w:val="6FDB4045"/>
    <w:rsid w:val="6FDB5DF3"/>
    <w:rsid w:val="6FDE3B35"/>
    <w:rsid w:val="6FDF4FC4"/>
    <w:rsid w:val="6FE0340A"/>
    <w:rsid w:val="6FE078AE"/>
    <w:rsid w:val="6FE42753"/>
    <w:rsid w:val="6FE468F4"/>
    <w:rsid w:val="6FE51CF0"/>
    <w:rsid w:val="6FE532F1"/>
    <w:rsid w:val="6FE56C72"/>
    <w:rsid w:val="6FE86762"/>
    <w:rsid w:val="6FE95CEE"/>
    <w:rsid w:val="6FEF189F"/>
    <w:rsid w:val="6FF00FE8"/>
    <w:rsid w:val="6FF9096F"/>
    <w:rsid w:val="6FFB6928"/>
    <w:rsid w:val="6FFC5531"/>
    <w:rsid w:val="6FFE1AE2"/>
    <w:rsid w:val="6FFE5F86"/>
    <w:rsid w:val="6FFF0637"/>
    <w:rsid w:val="7000585A"/>
    <w:rsid w:val="70020F87"/>
    <w:rsid w:val="7004359C"/>
    <w:rsid w:val="700A7EA9"/>
    <w:rsid w:val="700B40AB"/>
    <w:rsid w:val="700C4E6D"/>
    <w:rsid w:val="7012558D"/>
    <w:rsid w:val="70161F87"/>
    <w:rsid w:val="7017503A"/>
    <w:rsid w:val="70183AB3"/>
    <w:rsid w:val="701A4133"/>
    <w:rsid w:val="701D01BA"/>
    <w:rsid w:val="70240EF4"/>
    <w:rsid w:val="70251764"/>
    <w:rsid w:val="7025763E"/>
    <w:rsid w:val="70270861"/>
    <w:rsid w:val="70271038"/>
    <w:rsid w:val="70280693"/>
    <w:rsid w:val="70296F3F"/>
    <w:rsid w:val="702A0B29"/>
    <w:rsid w:val="702B176E"/>
    <w:rsid w:val="702E0619"/>
    <w:rsid w:val="702E686B"/>
    <w:rsid w:val="702F613F"/>
    <w:rsid w:val="703419A7"/>
    <w:rsid w:val="7035021F"/>
    <w:rsid w:val="70362979"/>
    <w:rsid w:val="703642F5"/>
    <w:rsid w:val="70370356"/>
    <w:rsid w:val="70383246"/>
    <w:rsid w:val="70393070"/>
    <w:rsid w:val="703A6FBE"/>
    <w:rsid w:val="703B2D36"/>
    <w:rsid w:val="703B4AE4"/>
    <w:rsid w:val="703D085C"/>
    <w:rsid w:val="703F2602"/>
    <w:rsid w:val="70425469"/>
    <w:rsid w:val="704774D5"/>
    <w:rsid w:val="70485B31"/>
    <w:rsid w:val="70485CE6"/>
    <w:rsid w:val="704936A5"/>
    <w:rsid w:val="705838E8"/>
    <w:rsid w:val="70587BED"/>
    <w:rsid w:val="705A71B0"/>
    <w:rsid w:val="705D4A5A"/>
    <w:rsid w:val="70607777"/>
    <w:rsid w:val="70622071"/>
    <w:rsid w:val="706342EF"/>
    <w:rsid w:val="7064228D"/>
    <w:rsid w:val="70650D10"/>
    <w:rsid w:val="7066064A"/>
    <w:rsid w:val="70673B2B"/>
    <w:rsid w:val="70716DA6"/>
    <w:rsid w:val="707308BB"/>
    <w:rsid w:val="70744BA6"/>
    <w:rsid w:val="70781894"/>
    <w:rsid w:val="70790236"/>
    <w:rsid w:val="707A1AB0"/>
    <w:rsid w:val="707B23F7"/>
    <w:rsid w:val="707D1F03"/>
    <w:rsid w:val="707D334E"/>
    <w:rsid w:val="707F31B6"/>
    <w:rsid w:val="707F5E5A"/>
    <w:rsid w:val="70812E3F"/>
    <w:rsid w:val="70826EAE"/>
    <w:rsid w:val="70832E1C"/>
    <w:rsid w:val="708446DD"/>
    <w:rsid w:val="70862203"/>
    <w:rsid w:val="70877D29"/>
    <w:rsid w:val="708B6419"/>
    <w:rsid w:val="708D6817"/>
    <w:rsid w:val="70901563"/>
    <w:rsid w:val="70904E30"/>
    <w:rsid w:val="709366CE"/>
    <w:rsid w:val="70952DD2"/>
    <w:rsid w:val="70981F36"/>
    <w:rsid w:val="70993893"/>
    <w:rsid w:val="70993EA4"/>
    <w:rsid w:val="709A5CAE"/>
    <w:rsid w:val="709B37D5"/>
    <w:rsid w:val="709B59C5"/>
    <w:rsid w:val="709C277B"/>
    <w:rsid w:val="709D1149"/>
    <w:rsid w:val="709E0994"/>
    <w:rsid w:val="709E70F3"/>
    <w:rsid w:val="709F32C5"/>
    <w:rsid w:val="70A019DF"/>
    <w:rsid w:val="70A032B4"/>
    <w:rsid w:val="70A22DB5"/>
    <w:rsid w:val="70A42689"/>
    <w:rsid w:val="70A67126"/>
    <w:rsid w:val="70A72179"/>
    <w:rsid w:val="70A73F27"/>
    <w:rsid w:val="70AC4FD4"/>
    <w:rsid w:val="70AE175A"/>
    <w:rsid w:val="70B0102E"/>
    <w:rsid w:val="70B12FF8"/>
    <w:rsid w:val="70B34FC2"/>
    <w:rsid w:val="70B54896"/>
    <w:rsid w:val="70B60224"/>
    <w:rsid w:val="70B623BC"/>
    <w:rsid w:val="70B65B38"/>
    <w:rsid w:val="70B84386"/>
    <w:rsid w:val="70BA00FF"/>
    <w:rsid w:val="70BA1EAD"/>
    <w:rsid w:val="70BB2177"/>
    <w:rsid w:val="70BB79D3"/>
    <w:rsid w:val="70BB7C1A"/>
    <w:rsid w:val="70BC6BDD"/>
    <w:rsid w:val="70BD7BEF"/>
    <w:rsid w:val="70BF5715"/>
    <w:rsid w:val="70C1323B"/>
    <w:rsid w:val="70C64CF5"/>
    <w:rsid w:val="70CD22D0"/>
    <w:rsid w:val="70CE6331"/>
    <w:rsid w:val="70D2369A"/>
    <w:rsid w:val="70D540F2"/>
    <w:rsid w:val="70D62E1A"/>
    <w:rsid w:val="70D67923"/>
    <w:rsid w:val="70D80585"/>
    <w:rsid w:val="70D84288"/>
    <w:rsid w:val="70D96BE4"/>
    <w:rsid w:val="70DB74A5"/>
    <w:rsid w:val="70DE5E26"/>
    <w:rsid w:val="70E21403"/>
    <w:rsid w:val="70E4517B"/>
    <w:rsid w:val="70E51DA8"/>
    <w:rsid w:val="70E909E4"/>
    <w:rsid w:val="70EB02B8"/>
    <w:rsid w:val="70EB475C"/>
    <w:rsid w:val="70EB650A"/>
    <w:rsid w:val="70EB6E44"/>
    <w:rsid w:val="70ED4030"/>
    <w:rsid w:val="70EF3E1D"/>
    <w:rsid w:val="70F25AEA"/>
    <w:rsid w:val="70F3716D"/>
    <w:rsid w:val="70F465CD"/>
    <w:rsid w:val="70F467DE"/>
    <w:rsid w:val="70F51137"/>
    <w:rsid w:val="70F638CB"/>
    <w:rsid w:val="70F76C5D"/>
    <w:rsid w:val="70F829D5"/>
    <w:rsid w:val="70F84783"/>
    <w:rsid w:val="70FB7041"/>
    <w:rsid w:val="70FF3D63"/>
    <w:rsid w:val="71022650"/>
    <w:rsid w:val="71025602"/>
    <w:rsid w:val="71033854"/>
    <w:rsid w:val="71033AE0"/>
    <w:rsid w:val="7107545B"/>
    <w:rsid w:val="710B2708"/>
    <w:rsid w:val="710C74BB"/>
    <w:rsid w:val="711C01E4"/>
    <w:rsid w:val="711D0999"/>
    <w:rsid w:val="711D243B"/>
    <w:rsid w:val="711E68DF"/>
    <w:rsid w:val="711F4406"/>
    <w:rsid w:val="71213CDA"/>
    <w:rsid w:val="71233EF6"/>
    <w:rsid w:val="71237A52"/>
    <w:rsid w:val="712A1F88"/>
    <w:rsid w:val="712B4B58"/>
    <w:rsid w:val="712D267F"/>
    <w:rsid w:val="712F3172"/>
    <w:rsid w:val="71324139"/>
    <w:rsid w:val="71371818"/>
    <w:rsid w:val="713734FD"/>
    <w:rsid w:val="71374018"/>
    <w:rsid w:val="713752AB"/>
    <w:rsid w:val="71381023"/>
    <w:rsid w:val="71397275"/>
    <w:rsid w:val="7140235F"/>
    <w:rsid w:val="714125CE"/>
    <w:rsid w:val="71445C1A"/>
    <w:rsid w:val="714479C8"/>
    <w:rsid w:val="71453E6C"/>
    <w:rsid w:val="714874B8"/>
    <w:rsid w:val="714B6FA9"/>
    <w:rsid w:val="714D0F73"/>
    <w:rsid w:val="714F4CEB"/>
    <w:rsid w:val="714F6A99"/>
    <w:rsid w:val="71500A63"/>
    <w:rsid w:val="71520337"/>
    <w:rsid w:val="71526589"/>
    <w:rsid w:val="71573B9F"/>
    <w:rsid w:val="7157594D"/>
    <w:rsid w:val="71593474"/>
    <w:rsid w:val="715B0859"/>
    <w:rsid w:val="715C2AFE"/>
    <w:rsid w:val="715E2D17"/>
    <w:rsid w:val="715F579E"/>
    <w:rsid w:val="7160306C"/>
    <w:rsid w:val="716156F9"/>
    <w:rsid w:val="71630796"/>
    <w:rsid w:val="716342F2"/>
    <w:rsid w:val="7164006A"/>
    <w:rsid w:val="71665B90"/>
    <w:rsid w:val="71675760"/>
    <w:rsid w:val="71690025"/>
    <w:rsid w:val="7169030C"/>
    <w:rsid w:val="716A5681"/>
    <w:rsid w:val="716F783D"/>
    <w:rsid w:val="71744751"/>
    <w:rsid w:val="717604C9"/>
    <w:rsid w:val="71762F3D"/>
    <w:rsid w:val="717B7C74"/>
    <w:rsid w:val="717C1858"/>
    <w:rsid w:val="717E112C"/>
    <w:rsid w:val="71804EA4"/>
    <w:rsid w:val="71810F15"/>
    <w:rsid w:val="71834994"/>
    <w:rsid w:val="71836406"/>
    <w:rsid w:val="71844269"/>
    <w:rsid w:val="71881FAB"/>
    <w:rsid w:val="718A7AD1"/>
    <w:rsid w:val="718C1A9B"/>
    <w:rsid w:val="718D4739"/>
    <w:rsid w:val="71933BEE"/>
    <w:rsid w:val="71941F5C"/>
    <w:rsid w:val="719721EE"/>
    <w:rsid w:val="719941B8"/>
    <w:rsid w:val="71997D14"/>
    <w:rsid w:val="719B705D"/>
    <w:rsid w:val="719E6957"/>
    <w:rsid w:val="719F1C9B"/>
    <w:rsid w:val="719F4E58"/>
    <w:rsid w:val="71A02EE6"/>
    <w:rsid w:val="71A14E1B"/>
    <w:rsid w:val="71A24A5D"/>
    <w:rsid w:val="71A411A4"/>
    <w:rsid w:val="71A52B5D"/>
    <w:rsid w:val="71A5490B"/>
    <w:rsid w:val="71A558AC"/>
    <w:rsid w:val="71A66D7B"/>
    <w:rsid w:val="71A768D5"/>
    <w:rsid w:val="71AF12E6"/>
    <w:rsid w:val="71B132B0"/>
    <w:rsid w:val="71B2527A"/>
    <w:rsid w:val="71B42DA0"/>
    <w:rsid w:val="71B44B4E"/>
    <w:rsid w:val="71B45E73"/>
    <w:rsid w:val="71B50581"/>
    <w:rsid w:val="71B52674"/>
    <w:rsid w:val="71B8780A"/>
    <w:rsid w:val="71B903B6"/>
    <w:rsid w:val="71BA2F54"/>
    <w:rsid w:val="71BC1C54"/>
    <w:rsid w:val="71BC4782"/>
    <w:rsid w:val="71BE777B"/>
    <w:rsid w:val="71C01745"/>
    <w:rsid w:val="71C034F3"/>
    <w:rsid w:val="71C519EE"/>
    <w:rsid w:val="71C54785"/>
    <w:rsid w:val="71C74DEB"/>
    <w:rsid w:val="71CB1E97"/>
    <w:rsid w:val="71CD20B4"/>
    <w:rsid w:val="71D11051"/>
    <w:rsid w:val="71D1309A"/>
    <w:rsid w:val="71D1496D"/>
    <w:rsid w:val="71D43929"/>
    <w:rsid w:val="71D64AC4"/>
    <w:rsid w:val="71D7083C"/>
    <w:rsid w:val="71D84CE0"/>
    <w:rsid w:val="71DA2715"/>
    <w:rsid w:val="71DB20DB"/>
    <w:rsid w:val="71DD152F"/>
    <w:rsid w:val="71DD4DB3"/>
    <w:rsid w:val="71DD6189"/>
    <w:rsid w:val="71DE606F"/>
    <w:rsid w:val="71DF4422"/>
    <w:rsid w:val="71E03B95"/>
    <w:rsid w:val="71E05943"/>
    <w:rsid w:val="71E0790E"/>
    <w:rsid w:val="71E116BB"/>
    <w:rsid w:val="71E35433"/>
    <w:rsid w:val="71E52F59"/>
    <w:rsid w:val="71EB2202"/>
    <w:rsid w:val="71EF3FF7"/>
    <w:rsid w:val="71F17B50"/>
    <w:rsid w:val="71F238C8"/>
    <w:rsid w:val="71F45626"/>
    <w:rsid w:val="71F716C4"/>
    <w:rsid w:val="71F80EDE"/>
    <w:rsid w:val="71F920D5"/>
    <w:rsid w:val="71F96A05"/>
    <w:rsid w:val="71FC5539"/>
    <w:rsid w:val="71FF7CE7"/>
    <w:rsid w:val="72005FE5"/>
    <w:rsid w:val="720244D3"/>
    <w:rsid w:val="72031631"/>
    <w:rsid w:val="72035AD5"/>
    <w:rsid w:val="720553A9"/>
    <w:rsid w:val="72062ED0"/>
    <w:rsid w:val="7209630A"/>
    <w:rsid w:val="720A0C12"/>
    <w:rsid w:val="720C16A4"/>
    <w:rsid w:val="720C498A"/>
    <w:rsid w:val="72104BA7"/>
    <w:rsid w:val="72113D4E"/>
    <w:rsid w:val="72114604"/>
    <w:rsid w:val="72140981"/>
    <w:rsid w:val="7216360B"/>
    <w:rsid w:val="72192C03"/>
    <w:rsid w:val="721C1589"/>
    <w:rsid w:val="721C2FA2"/>
    <w:rsid w:val="721C4480"/>
    <w:rsid w:val="721D18D3"/>
    <w:rsid w:val="72233A82"/>
    <w:rsid w:val="722515A8"/>
    <w:rsid w:val="72253C9E"/>
    <w:rsid w:val="722577FA"/>
    <w:rsid w:val="72267CE5"/>
    <w:rsid w:val="72273572"/>
    <w:rsid w:val="72282E5A"/>
    <w:rsid w:val="722C6DDA"/>
    <w:rsid w:val="722D6D0B"/>
    <w:rsid w:val="722E438B"/>
    <w:rsid w:val="722F68B9"/>
    <w:rsid w:val="72321761"/>
    <w:rsid w:val="72337E0B"/>
    <w:rsid w:val="72345C8F"/>
    <w:rsid w:val="72356ABA"/>
    <w:rsid w:val="7238752D"/>
    <w:rsid w:val="723F4C6C"/>
    <w:rsid w:val="72402885"/>
    <w:rsid w:val="72402D78"/>
    <w:rsid w:val="724063E2"/>
    <w:rsid w:val="7240783D"/>
    <w:rsid w:val="72444124"/>
    <w:rsid w:val="724815F5"/>
    <w:rsid w:val="724C4D86"/>
    <w:rsid w:val="724E4FA2"/>
    <w:rsid w:val="724E6D50"/>
    <w:rsid w:val="725107C2"/>
    <w:rsid w:val="72536115"/>
    <w:rsid w:val="72556331"/>
    <w:rsid w:val="725620A9"/>
    <w:rsid w:val="72565C05"/>
    <w:rsid w:val="72586EDA"/>
    <w:rsid w:val="725B2D60"/>
    <w:rsid w:val="725E6519"/>
    <w:rsid w:val="72606A84"/>
    <w:rsid w:val="726447C6"/>
    <w:rsid w:val="726551C5"/>
    <w:rsid w:val="72661558"/>
    <w:rsid w:val="72674440"/>
    <w:rsid w:val="72676064"/>
    <w:rsid w:val="72683B1C"/>
    <w:rsid w:val="726B6EC5"/>
    <w:rsid w:val="726C03A9"/>
    <w:rsid w:val="726C53CA"/>
    <w:rsid w:val="726E0878"/>
    <w:rsid w:val="727051DB"/>
    <w:rsid w:val="7270708A"/>
    <w:rsid w:val="72707DAC"/>
    <w:rsid w:val="72730565"/>
    <w:rsid w:val="727367B7"/>
    <w:rsid w:val="72753FCA"/>
    <w:rsid w:val="72764ADA"/>
    <w:rsid w:val="7278201F"/>
    <w:rsid w:val="72787113"/>
    <w:rsid w:val="727B566C"/>
    <w:rsid w:val="727D53BF"/>
    <w:rsid w:val="727D5888"/>
    <w:rsid w:val="727E4DDB"/>
    <w:rsid w:val="72800AE6"/>
    <w:rsid w:val="72807126"/>
    <w:rsid w:val="7284105E"/>
    <w:rsid w:val="72842772"/>
    <w:rsid w:val="728A58AF"/>
    <w:rsid w:val="728E1843"/>
    <w:rsid w:val="72907369"/>
    <w:rsid w:val="72936E59"/>
    <w:rsid w:val="7294672D"/>
    <w:rsid w:val="7295497F"/>
    <w:rsid w:val="729A4A41"/>
    <w:rsid w:val="729A6EF8"/>
    <w:rsid w:val="729B5D0E"/>
    <w:rsid w:val="729D55E2"/>
    <w:rsid w:val="729F135A"/>
    <w:rsid w:val="729F57FE"/>
    <w:rsid w:val="72A03324"/>
    <w:rsid w:val="72A44BC2"/>
    <w:rsid w:val="72A45C65"/>
    <w:rsid w:val="72A46970"/>
    <w:rsid w:val="72A66B8C"/>
    <w:rsid w:val="72A93F87"/>
    <w:rsid w:val="72AE5A41"/>
    <w:rsid w:val="72B21867"/>
    <w:rsid w:val="72B433A5"/>
    <w:rsid w:val="72B62B48"/>
    <w:rsid w:val="72B648F6"/>
    <w:rsid w:val="72B8066E"/>
    <w:rsid w:val="72BB45AB"/>
    <w:rsid w:val="72BD2C86"/>
    <w:rsid w:val="72BD5C84"/>
    <w:rsid w:val="72C02163"/>
    <w:rsid w:val="72C042C1"/>
    <w:rsid w:val="72C26EAB"/>
    <w:rsid w:val="72C43510"/>
    <w:rsid w:val="72C45265"/>
    <w:rsid w:val="72C54B39"/>
    <w:rsid w:val="72C718FD"/>
    <w:rsid w:val="72C74D55"/>
    <w:rsid w:val="72C76B71"/>
    <w:rsid w:val="72CB03A1"/>
    <w:rsid w:val="72CB757B"/>
    <w:rsid w:val="72D03584"/>
    <w:rsid w:val="72D27981"/>
    <w:rsid w:val="72D336FA"/>
    <w:rsid w:val="72D41235"/>
    <w:rsid w:val="72D54D7C"/>
    <w:rsid w:val="72D57472"/>
    <w:rsid w:val="72DB610A"/>
    <w:rsid w:val="72DD168B"/>
    <w:rsid w:val="72E20D96"/>
    <w:rsid w:val="72E256EB"/>
    <w:rsid w:val="72E27499"/>
    <w:rsid w:val="72E41463"/>
    <w:rsid w:val="72E476B5"/>
    <w:rsid w:val="72E512AD"/>
    <w:rsid w:val="72E74AAF"/>
    <w:rsid w:val="72E77EDF"/>
    <w:rsid w:val="72ED1180"/>
    <w:rsid w:val="72EE5E3E"/>
    <w:rsid w:val="72F07B01"/>
    <w:rsid w:val="72F07BBA"/>
    <w:rsid w:val="72F26881"/>
    <w:rsid w:val="72FF629D"/>
    <w:rsid w:val="73010267"/>
    <w:rsid w:val="73017D61"/>
    <w:rsid w:val="73041B05"/>
    <w:rsid w:val="7304384B"/>
    <w:rsid w:val="73060194"/>
    <w:rsid w:val="73060561"/>
    <w:rsid w:val="730613D9"/>
    <w:rsid w:val="73076EFF"/>
    <w:rsid w:val="730D5D93"/>
    <w:rsid w:val="730D6C0C"/>
    <w:rsid w:val="730E028E"/>
    <w:rsid w:val="730F087D"/>
    <w:rsid w:val="731004AA"/>
    <w:rsid w:val="73117D7E"/>
    <w:rsid w:val="73133AF6"/>
    <w:rsid w:val="7314090E"/>
    <w:rsid w:val="73165394"/>
    <w:rsid w:val="731801D9"/>
    <w:rsid w:val="73197253"/>
    <w:rsid w:val="731C6E4F"/>
    <w:rsid w:val="731E2BC7"/>
    <w:rsid w:val="73200B7A"/>
    <w:rsid w:val="732115B0"/>
    <w:rsid w:val="73223D39"/>
    <w:rsid w:val="73247A12"/>
    <w:rsid w:val="7327134F"/>
    <w:rsid w:val="732A5BB6"/>
    <w:rsid w:val="732B0E40"/>
    <w:rsid w:val="732D2E0A"/>
    <w:rsid w:val="732D4BB8"/>
    <w:rsid w:val="732F23C3"/>
    <w:rsid w:val="732F4E6A"/>
    <w:rsid w:val="733046A8"/>
    <w:rsid w:val="73320420"/>
    <w:rsid w:val="73334198"/>
    <w:rsid w:val="733777E5"/>
    <w:rsid w:val="733A5527"/>
    <w:rsid w:val="733A6046"/>
    <w:rsid w:val="733A72D5"/>
    <w:rsid w:val="733C129F"/>
    <w:rsid w:val="733E6DC5"/>
    <w:rsid w:val="73410663"/>
    <w:rsid w:val="73412411"/>
    <w:rsid w:val="734611F2"/>
    <w:rsid w:val="7346211D"/>
    <w:rsid w:val="73466D96"/>
    <w:rsid w:val="734671BA"/>
    <w:rsid w:val="73467A28"/>
    <w:rsid w:val="734876F0"/>
    <w:rsid w:val="73487977"/>
    <w:rsid w:val="73542159"/>
    <w:rsid w:val="73577E87"/>
    <w:rsid w:val="735A34D3"/>
    <w:rsid w:val="735A61C9"/>
    <w:rsid w:val="735A6AC0"/>
    <w:rsid w:val="735B228D"/>
    <w:rsid w:val="735D0D8C"/>
    <w:rsid w:val="735F2305"/>
    <w:rsid w:val="73625252"/>
    <w:rsid w:val="7363508A"/>
    <w:rsid w:val="73677AAD"/>
    <w:rsid w:val="73683C95"/>
    <w:rsid w:val="736A39E4"/>
    <w:rsid w:val="736A5E0C"/>
    <w:rsid w:val="736C2616"/>
    <w:rsid w:val="736D1458"/>
    <w:rsid w:val="736E3167"/>
    <w:rsid w:val="73702CF6"/>
    <w:rsid w:val="7370719A"/>
    <w:rsid w:val="73707CA3"/>
    <w:rsid w:val="73722F12"/>
    <w:rsid w:val="73774085"/>
    <w:rsid w:val="737A3B75"/>
    <w:rsid w:val="737C78ED"/>
    <w:rsid w:val="737D2D95"/>
    <w:rsid w:val="737D7931"/>
    <w:rsid w:val="737F0C22"/>
    <w:rsid w:val="737F34EE"/>
    <w:rsid w:val="737F68AE"/>
    <w:rsid w:val="73801EE2"/>
    <w:rsid w:val="738133AC"/>
    <w:rsid w:val="73830C7C"/>
    <w:rsid w:val="7384322E"/>
    <w:rsid w:val="738467A2"/>
    <w:rsid w:val="73852C46"/>
    <w:rsid w:val="7387590E"/>
    <w:rsid w:val="738844E4"/>
    <w:rsid w:val="738B18DE"/>
    <w:rsid w:val="738E5899"/>
    <w:rsid w:val="738F3604"/>
    <w:rsid w:val="7390319E"/>
    <w:rsid w:val="73944C37"/>
    <w:rsid w:val="739500E1"/>
    <w:rsid w:val="739509AF"/>
    <w:rsid w:val="7396230B"/>
    <w:rsid w:val="73970283"/>
    <w:rsid w:val="73974727"/>
    <w:rsid w:val="739A5FC5"/>
    <w:rsid w:val="739B4217"/>
    <w:rsid w:val="739E1612"/>
    <w:rsid w:val="739F538A"/>
    <w:rsid w:val="73A155A6"/>
    <w:rsid w:val="73A3649F"/>
    <w:rsid w:val="73A40BF2"/>
    <w:rsid w:val="73A429A0"/>
    <w:rsid w:val="73A821AB"/>
    <w:rsid w:val="73A95B81"/>
    <w:rsid w:val="73A96EFE"/>
    <w:rsid w:val="73AA018B"/>
    <w:rsid w:val="73AA445A"/>
    <w:rsid w:val="73AB1BA2"/>
    <w:rsid w:val="73AD5CF9"/>
    <w:rsid w:val="73B250BD"/>
    <w:rsid w:val="73B40D21"/>
    <w:rsid w:val="73B452D9"/>
    <w:rsid w:val="73B61051"/>
    <w:rsid w:val="73B76B77"/>
    <w:rsid w:val="73B928EF"/>
    <w:rsid w:val="73BA4A84"/>
    <w:rsid w:val="73BC23E0"/>
    <w:rsid w:val="73BE077C"/>
    <w:rsid w:val="73BE7F06"/>
    <w:rsid w:val="73BF5DBF"/>
    <w:rsid w:val="73BF77DA"/>
    <w:rsid w:val="73C05A2C"/>
    <w:rsid w:val="73C3605B"/>
    <w:rsid w:val="73C372CA"/>
    <w:rsid w:val="73C445EE"/>
    <w:rsid w:val="73C6500C"/>
    <w:rsid w:val="73C848E1"/>
    <w:rsid w:val="73C901C3"/>
    <w:rsid w:val="73C973F1"/>
    <w:rsid w:val="73CB43D1"/>
    <w:rsid w:val="73CB5ADB"/>
    <w:rsid w:val="73CB617F"/>
    <w:rsid w:val="73CD0149"/>
    <w:rsid w:val="73CD639B"/>
    <w:rsid w:val="73CF2113"/>
    <w:rsid w:val="73D03795"/>
    <w:rsid w:val="73D20082"/>
    <w:rsid w:val="73D239B1"/>
    <w:rsid w:val="73D2750D"/>
    <w:rsid w:val="73D43285"/>
    <w:rsid w:val="73D56FFD"/>
    <w:rsid w:val="73D72D76"/>
    <w:rsid w:val="73D903D6"/>
    <w:rsid w:val="73DB2866"/>
    <w:rsid w:val="73DC213A"/>
    <w:rsid w:val="73DF29C5"/>
    <w:rsid w:val="73E00E2F"/>
    <w:rsid w:val="73E35E8C"/>
    <w:rsid w:val="73E3796C"/>
    <w:rsid w:val="73E62FB9"/>
    <w:rsid w:val="73E765D7"/>
    <w:rsid w:val="73E8031B"/>
    <w:rsid w:val="73E9749F"/>
    <w:rsid w:val="73EA4857"/>
    <w:rsid w:val="73EE2845"/>
    <w:rsid w:val="73EF00BF"/>
    <w:rsid w:val="73F1482C"/>
    <w:rsid w:val="73F2451C"/>
    <w:rsid w:val="73F25E01"/>
    <w:rsid w:val="73F30AFC"/>
    <w:rsid w:val="73F336CD"/>
    <w:rsid w:val="73F352DB"/>
    <w:rsid w:val="73F44B5D"/>
    <w:rsid w:val="73F531FC"/>
    <w:rsid w:val="73F6144E"/>
    <w:rsid w:val="73F65A1C"/>
    <w:rsid w:val="73F676A0"/>
    <w:rsid w:val="73F751C6"/>
    <w:rsid w:val="73F834DE"/>
    <w:rsid w:val="73F90F3E"/>
    <w:rsid w:val="73F94DAE"/>
    <w:rsid w:val="73F97190"/>
    <w:rsid w:val="73FC27DC"/>
    <w:rsid w:val="73FD3F88"/>
    <w:rsid w:val="73FE53C6"/>
    <w:rsid w:val="73FE6554"/>
    <w:rsid w:val="73FF2075"/>
    <w:rsid w:val="73FF5D47"/>
    <w:rsid w:val="740022CC"/>
    <w:rsid w:val="74035927"/>
    <w:rsid w:val="74065409"/>
    <w:rsid w:val="74085625"/>
    <w:rsid w:val="740A58F3"/>
    <w:rsid w:val="740B0213"/>
    <w:rsid w:val="740C0C71"/>
    <w:rsid w:val="740D49E9"/>
    <w:rsid w:val="740D6797"/>
    <w:rsid w:val="740F0761"/>
    <w:rsid w:val="740F250F"/>
    <w:rsid w:val="74116D7A"/>
    <w:rsid w:val="74145D78"/>
    <w:rsid w:val="741C3B1A"/>
    <w:rsid w:val="741C4C2C"/>
    <w:rsid w:val="741C6781"/>
    <w:rsid w:val="741D2E7E"/>
    <w:rsid w:val="741E4551"/>
    <w:rsid w:val="7420296E"/>
    <w:rsid w:val="742534CF"/>
    <w:rsid w:val="742D0BE7"/>
    <w:rsid w:val="742D6E39"/>
    <w:rsid w:val="742E463B"/>
    <w:rsid w:val="742F2BB2"/>
    <w:rsid w:val="743106D8"/>
    <w:rsid w:val="7431692A"/>
    <w:rsid w:val="743374A1"/>
    <w:rsid w:val="7434641A"/>
    <w:rsid w:val="74380B51"/>
    <w:rsid w:val="7439758C"/>
    <w:rsid w:val="743B1556"/>
    <w:rsid w:val="743E7FA4"/>
    <w:rsid w:val="74405172"/>
    <w:rsid w:val="74421286"/>
    <w:rsid w:val="7443040B"/>
    <w:rsid w:val="74432040"/>
    <w:rsid w:val="744321B9"/>
    <w:rsid w:val="74454183"/>
    <w:rsid w:val="744A1799"/>
    <w:rsid w:val="744A3547"/>
    <w:rsid w:val="74501E58"/>
    <w:rsid w:val="745148D6"/>
    <w:rsid w:val="74532056"/>
    <w:rsid w:val="74534AF2"/>
    <w:rsid w:val="74535579"/>
    <w:rsid w:val="7456013E"/>
    <w:rsid w:val="745919DD"/>
    <w:rsid w:val="745B5755"/>
    <w:rsid w:val="745C4947"/>
    <w:rsid w:val="745E268C"/>
    <w:rsid w:val="74602D6B"/>
    <w:rsid w:val="746278CC"/>
    <w:rsid w:val="74640AAD"/>
    <w:rsid w:val="746740F9"/>
    <w:rsid w:val="746A3BEA"/>
    <w:rsid w:val="746A48C1"/>
    <w:rsid w:val="746C1710"/>
    <w:rsid w:val="746C21E9"/>
    <w:rsid w:val="746E5488"/>
    <w:rsid w:val="746F1200"/>
    <w:rsid w:val="74716D26"/>
    <w:rsid w:val="74730CF0"/>
    <w:rsid w:val="747607E0"/>
    <w:rsid w:val="7479207F"/>
    <w:rsid w:val="747B7557"/>
    <w:rsid w:val="747F3106"/>
    <w:rsid w:val="747F7695"/>
    <w:rsid w:val="74801C8A"/>
    <w:rsid w:val="7480340D"/>
    <w:rsid w:val="74820346"/>
    <w:rsid w:val="74850A24"/>
    <w:rsid w:val="7487479C"/>
    <w:rsid w:val="74886046"/>
    <w:rsid w:val="748864DD"/>
    <w:rsid w:val="748A428C"/>
    <w:rsid w:val="748C590E"/>
    <w:rsid w:val="749312CB"/>
    <w:rsid w:val="74940994"/>
    <w:rsid w:val="74956546"/>
    <w:rsid w:val="74956EB9"/>
    <w:rsid w:val="74982505"/>
    <w:rsid w:val="749D3FBF"/>
    <w:rsid w:val="749E3893"/>
    <w:rsid w:val="749E4CF0"/>
    <w:rsid w:val="749E5641"/>
    <w:rsid w:val="749F7D37"/>
    <w:rsid w:val="74A0585D"/>
    <w:rsid w:val="74A4534E"/>
    <w:rsid w:val="74A52E74"/>
    <w:rsid w:val="74A54C22"/>
    <w:rsid w:val="74A7099A"/>
    <w:rsid w:val="74A82608"/>
    <w:rsid w:val="74AB11EE"/>
    <w:rsid w:val="74AB66DC"/>
    <w:rsid w:val="74AC4202"/>
    <w:rsid w:val="74AC5174"/>
    <w:rsid w:val="74AE583F"/>
    <w:rsid w:val="74AF43A5"/>
    <w:rsid w:val="74AF5AA0"/>
    <w:rsid w:val="74B44E65"/>
    <w:rsid w:val="74B453E8"/>
    <w:rsid w:val="74B51309"/>
    <w:rsid w:val="74B577EC"/>
    <w:rsid w:val="74B70165"/>
    <w:rsid w:val="74B80DF9"/>
    <w:rsid w:val="74BA691F"/>
    <w:rsid w:val="74C01A29"/>
    <w:rsid w:val="74C257D4"/>
    <w:rsid w:val="74C27582"/>
    <w:rsid w:val="74C4154C"/>
    <w:rsid w:val="74C54F54"/>
    <w:rsid w:val="74C635F2"/>
    <w:rsid w:val="74C74B98"/>
    <w:rsid w:val="74C90910"/>
    <w:rsid w:val="74CD49CD"/>
    <w:rsid w:val="74CE4179"/>
    <w:rsid w:val="74CF1C9F"/>
    <w:rsid w:val="74D3353D"/>
    <w:rsid w:val="74D3398C"/>
    <w:rsid w:val="74DC4AE7"/>
    <w:rsid w:val="74E05C5A"/>
    <w:rsid w:val="74E120FE"/>
    <w:rsid w:val="74E12754"/>
    <w:rsid w:val="74E14FF5"/>
    <w:rsid w:val="74E219D2"/>
    <w:rsid w:val="74E25787"/>
    <w:rsid w:val="74E25E76"/>
    <w:rsid w:val="74E41BEE"/>
    <w:rsid w:val="74E4574A"/>
    <w:rsid w:val="74E65854"/>
    <w:rsid w:val="74E75396"/>
    <w:rsid w:val="74EC45FF"/>
    <w:rsid w:val="74EF5803"/>
    <w:rsid w:val="74F11F08"/>
    <w:rsid w:val="74F6547D"/>
    <w:rsid w:val="74F71921"/>
    <w:rsid w:val="74FA3D10"/>
    <w:rsid w:val="74FA4F6E"/>
    <w:rsid w:val="74FB14A6"/>
    <w:rsid w:val="74FE7ABF"/>
    <w:rsid w:val="75015288"/>
    <w:rsid w:val="75023E22"/>
    <w:rsid w:val="75041948"/>
    <w:rsid w:val="750551C9"/>
    <w:rsid w:val="75060B4A"/>
    <w:rsid w:val="75063912"/>
    <w:rsid w:val="75072A7D"/>
    <w:rsid w:val="750758DC"/>
    <w:rsid w:val="750765A4"/>
    <w:rsid w:val="7507768A"/>
    <w:rsid w:val="750802A9"/>
    <w:rsid w:val="750B1268"/>
    <w:rsid w:val="750C4747"/>
    <w:rsid w:val="750F3A04"/>
    <w:rsid w:val="750F78DA"/>
    <w:rsid w:val="7510653F"/>
    <w:rsid w:val="75137DDD"/>
    <w:rsid w:val="75151DA7"/>
    <w:rsid w:val="75153469"/>
    <w:rsid w:val="751D0C5C"/>
    <w:rsid w:val="751F12AB"/>
    <w:rsid w:val="7521074C"/>
    <w:rsid w:val="75226272"/>
    <w:rsid w:val="7524023C"/>
    <w:rsid w:val="75250343"/>
    <w:rsid w:val="752528EA"/>
    <w:rsid w:val="752B5127"/>
    <w:rsid w:val="752D66BF"/>
    <w:rsid w:val="752E2E69"/>
    <w:rsid w:val="7530098F"/>
    <w:rsid w:val="7530273D"/>
    <w:rsid w:val="7534582C"/>
    <w:rsid w:val="75385A96"/>
    <w:rsid w:val="753A7A60"/>
    <w:rsid w:val="753B10E2"/>
    <w:rsid w:val="753C37D8"/>
    <w:rsid w:val="753F2A72"/>
    <w:rsid w:val="753F5038"/>
    <w:rsid w:val="75410DEE"/>
    <w:rsid w:val="75432CCF"/>
    <w:rsid w:val="75491A51"/>
    <w:rsid w:val="75497CA3"/>
    <w:rsid w:val="754D26E4"/>
    <w:rsid w:val="754D7793"/>
    <w:rsid w:val="754E0E15"/>
    <w:rsid w:val="754E353B"/>
    <w:rsid w:val="754E6641"/>
    <w:rsid w:val="75501031"/>
    <w:rsid w:val="75504B8E"/>
    <w:rsid w:val="75510906"/>
    <w:rsid w:val="755723C0"/>
    <w:rsid w:val="755A5A0C"/>
    <w:rsid w:val="755C3532"/>
    <w:rsid w:val="75616D9B"/>
    <w:rsid w:val="75622B13"/>
    <w:rsid w:val="75630D65"/>
    <w:rsid w:val="75680129"/>
    <w:rsid w:val="756845CD"/>
    <w:rsid w:val="756920F3"/>
    <w:rsid w:val="756D573F"/>
    <w:rsid w:val="75706FDE"/>
    <w:rsid w:val="75717D36"/>
    <w:rsid w:val="75727362"/>
    <w:rsid w:val="75734D20"/>
    <w:rsid w:val="75736ACE"/>
    <w:rsid w:val="757403BC"/>
    <w:rsid w:val="75741AFD"/>
    <w:rsid w:val="757765BE"/>
    <w:rsid w:val="757840E4"/>
    <w:rsid w:val="75790588"/>
    <w:rsid w:val="757A06A2"/>
    <w:rsid w:val="757A1C0A"/>
    <w:rsid w:val="757A4300"/>
    <w:rsid w:val="757C0B1A"/>
    <w:rsid w:val="757C2E60"/>
    <w:rsid w:val="757D16FB"/>
    <w:rsid w:val="757E5B9F"/>
    <w:rsid w:val="757F1917"/>
    <w:rsid w:val="757F6C10"/>
    <w:rsid w:val="75812F99"/>
    <w:rsid w:val="75814D02"/>
    <w:rsid w:val="75840CDB"/>
    <w:rsid w:val="7584645D"/>
    <w:rsid w:val="75897CC2"/>
    <w:rsid w:val="758E5275"/>
    <w:rsid w:val="7590142E"/>
    <w:rsid w:val="7592164A"/>
    <w:rsid w:val="75925086"/>
    <w:rsid w:val="75947170"/>
    <w:rsid w:val="7595113B"/>
    <w:rsid w:val="75956A44"/>
    <w:rsid w:val="75963BE6"/>
    <w:rsid w:val="759A04C0"/>
    <w:rsid w:val="759A22AD"/>
    <w:rsid w:val="759F5B15"/>
    <w:rsid w:val="75A06E35"/>
    <w:rsid w:val="75A153E9"/>
    <w:rsid w:val="75A3600B"/>
    <w:rsid w:val="75A4749B"/>
    <w:rsid w:val="75A5092B"/>
    <w:rsid w:val="75A5137D"/>
    <w:rsid w:val="75A86778"/>
    <w:rsid w:val="75A924F0"/>
    <w:rsid w:val="75AB270C"/>
    <w:rsid w:val="75AB52C9"/>
    <w:rsid w:val="75B1627E"/>
    <w:rsid w:val="75B24E1F"/>
    <w:rsid w:val="75B5389C"/>
    <w:rsid w:val="75B61AC7"/>
    <w:rsid w:val="75B72E5F"/>
    <w:rsid w:val="75BA4767"/>
    <w:rsid w:val="75BB32E4"/>
    <w:rsid w:val="75BE41ED"/>
    <w:rsid w:val="75C25129"/>
    <w:rsid w:val="75C324F8"/>
    <w:rsid w:val="75C40BAB"/>
    <w:rsid w:val="75C630A2"/>
    <w:rsid w:val="75CB7C46"/>
    <w:rsid w:val="75CF01A8"/>
    <w:rsid w:val="75D03F20"/>
    <w:rsid w:val="75D05CCE"/>
    <w:rsid w:val="75D12ADD"/>
    <w:rsid w:val="75D164B8"/>
    <w:rsid w:val="75D237F5"/>
    <w:rsid w:val="75D250B0"/>
    <w:rsid w:val="75D31F92"/>
    <w:rsid w:val="75D532E5"/>
    <w:rsid w:val="75D82E78"/>
    <w:rsid w:val="75D86DE7"/>
    <w:rsid w:val="75D91D6C"/>
    <w:rsid w:val="75D94B83"/>
    <w:rsid w:val="75DA6B4D"/>
    <w:rsid w:val="75DC0B17"/>
    <w:rsid w:val="75E1612D"/>
    <w:rsid w:val="75E30167"/>
    <w:rsid w:val="75E31EA6"/>
    <w:rsid w:val="75E35A02"/>
    <w:rsid w:val="75E672A0"/>
    <w:rsid w:val="75E83018"/>
    <w:rsid w:val="75EF084A"/>
    <w:rsid w:val="75EF43A6"/>
    <w:rsid w:val="75F02ED1"/>
    <w:rsid w:val="75F23E97"/>
    <w:rsid w:val="75F419BD"/>
    <w:rsid w:val="75F53987"/>
    <w:rsid w:val="75F55735"/>
    <w:rsid w:val="75F66805"/>
    <w:rsid w:val="75FA2D4B"/>
    <w:rsid w:val="75FB1725"/>
    <w:rsid w:val="75FC4D15"/>
    <w:rsid w:val="75FC6AC3"/>
    <w:rsid w:val="75FE6CDF"/>
    <w:rsid w:val="75FF0A4C"/>
    <w:rsid w:val="75FF1536"/>
    <w:rsid w:val="7601057E"/>
    <w:rsid w:val="76024F88"/>
    <w:rsid w:val="76025374"/>
    <w:rsid w:val="76034BED"/>
    <w:rsid w:val="76053BCA"/>
    <w:rsid w:val="760553A8"/>
    <w:rsid w:val="7606693D"/>
    <w:rsid w:val="76067942"/>
    <w:rsid w:val="76083D29"/>
    <w:rsid w:val="76085468"/>
    <w:rsid w:val="760A5684"/>
    <w:rsid w:val="760D0CD1"/>
    <w:rsid w:val="760F67F7"/>
    <w:rsid w:val="760F78EA"/>
    <w:rsid w:val="761107C1"/>
    <w:rsid w:val="76120095"/>
    <w:rsid w:val="76143E0D"/>
    <w:rsid w:val="761453B1"/>
    <w:rsid w:val="7616632D"/>
    <w:rsid w:val="761B163F"/>
    <w:rsid w:val="761F2967"/>
    <w:rsid w:val="761F7059"/>
    <w:rsid w:val="7621477C"/>
    <w:rsid w:val="762304F4"/>
    <w:rsid w:val="76253251"/>
    <w:rsid w:val="7625426C"/>
    <w:rsid w:val="76263B40"/>
    <w:rsid w:val="762878B8"/>
    <w:rsid w:val="762C55FB"/>
    <w:rsid w:val="762D3121"/>
    <w:rsid w:val="762D3FE7"/>
    <w:rsid w:val="762F0C47"/>
    <w:rsid w:val="762F6E99"/>
    <w:rsid w:val="76312F35"/>
    <w:rsid w:val="763444AF"/>
    <w:rsid w:val="7634625D"/>
    <w:rsid w:val="763641D6"/>
    <w:rsid w:val="76375D4D"/>
    <w:rsid w:val="763A11D3"/>
    <w:rsid w:val="763B75EC"/>
    <w:rsid w:val="763E532E"/>
    <w:rsid w:val="764221C2"/>
    <w:rsid w:val="764741E2"/>
    <w:rsid w:val="764A0398"/>
    <w:rsid w:val="764A3CD3"/>
    <w:rsid w:val="764A5A81"/>
    <w:rsid w:val="764A782F"/>
    <w:rsid w:val="764B2878"/>
    <w:rsid w:val="764D37C3"/>
    <w:rsid w:val="76516E0F"/>
    <w:rsid w:val="7652226E"/>
    <w:rsid w:val="7653508C"/>
    <w:rsid w:val="76562678"/>
    <w:rsid w:val="765661D4"/>
    <w:rsid w:val="7657019E"/>
    <w:rsid w:val="76577566"/>
    <w:rsid w:val="76593F16"/>
    <w:rsid w:val="765B5EE0"/>
    <w:rsid w:val="765B7C8E"/>
    <w:rsid w:val="765E32DA"/>
    <w:rsid w:val="76612DCA"/>
    <w:rsid w:val="766308F1"/>
    <w:rsid w:val="76634D94"/>
    <w:rsid w:val="766543D8"/>
    <w:rsid w:val="76674885"/>
    <w:rsid w:val="76674F2A"/>
    <w:rsid w:val="76676633"/>
    <w:rsid w:val="7668056A"/>
    <w:rsid w:val="76684159"/>
    <w:rsid w:val="766C1E9B"/>
    <w:rsid w:val="766C59E6"/>
    <w:rsid w:val="766F4706"/>
    <w:rsid w:val="7671300D"/>
    <w:rsid w:val="767174B1"/>
    <w:rsid w:val="76721858"/>
    <w:rsid w:val="76764AC8"/>
    <w:rsid w:val="767825EE"/>
    <w:rsid w:val="76796366"/>
    <w:rsid w:val="767B20DE"/>
    <w:rsid w:val="767B290A"/>
    <w:rsid w:val="767C19B2"/>
    <w:rsid w:val="767F0A04"/>
    <w:rsid w:val="7680773A"/>
    <w:rsid w:val="76836616"/>
    <w:rsid w:val="768371E5"/>
    <w:rsid w:val="76852F5D"/>
    <w:rsid w:val="76872831"/>
    <w:rsid w:val="76876CD5"/>
    <w:rsid w:val="76894F0E"/>
    <w:rsid w:val="768A40CF"/>
    <w:rsid w:val="768A6E35"/>
    <w:rsid w:val="768C7E47"/>
    <w:rsid w:val="768E1E11"/>
    <w:rsid w:val="768E61AF"/>
    <w:rsid w:val="768F5B89"/>
    <w:rsid w:val="76963538"/>
    <w:rsid w:val="769A6A08"/>
    <w:rsid w:val="769D3E02"/>
    <w:rsid w:val="769E7B7B"/>
    <w:rsid w:val="769F431A"/>
    <w:rsid w:val="76A15D65"/>
    <w:rsid w:val="76A21419"/>
    <w:rsid w:val="76A333E3"/>
    <w:rsid w:val="76A35191"/>
    <w:rsid w:val="76A74C81"/>
    <w:rsid w:val="76AA4771"/>
    <w:rsid w:val="76AB4621"/>
    <w:rsid w:val="76AC27D3"/>
    <w:rsid w:val="76AC2D9E"/>
    <w:rsid w:val="76AC2E78"/>
    <w:rsid w:val="76AF3B36"/>
    <w:rsid w:val="76AF7FDA"/>
    <w:rsid w:val="76B63116"/>
    <w:rsid w:val="76B77F8B"/>
    <w:rsid w:val="76BA0E58"/>
    <w:rsid w:val="76BB697E"/>
    <w:rsid w:val="76BF021D"/>
    <w:rsid w:val="76C03F95"/>
    <w:rsid w:val="76C05D43"/>
    <w:rsid w:val="76C21ABB"/>
    <w:rsid w:val="76C43A85"/>
    <w:rsid w:val="76C577FD"/>
    <w:rsid w:val="76C70E7F"/>
    <w:rsid w:val="76C74A02"/>
    <w:rsid w:val="76C836B1"/>
    <w:rsid w:val="76CC0B8C"/>
    <w:rsid w:val="76D11CFE"/>
    <w:rsid w:val="76D17F50"/>
    <w:rsid w:val="76DA5057"/>
    <w:rsid w:val="76DB2B7D"/>
    <w:rsid w:val="76E00627"/>
    <w:rsid w:val="76E11AB7"/>
    <w:rsid w:val="76EE56B6"/>
    <w:rsid w:val="76F105F2"/>
    <w:rsid w:val="76F459ED"/>
    <w:rsid w:val="76F51E90"/>
    <w:rsid w:val="76FA1255"/>
    <w:rsid w:val="76FA1F58"/>
    <w:rsid w:val="76FB4FCD"/>
    <w:rsid w:val="76FD6F97"/>
    <w:rsid w:val="76FF358D"/>
    <w:rsid w:val="76FF6781"/>
    <w:rsid w:val="770025E3"/>
    <w:rsid w:val="77004391"/>
    <w:rsid w:val="77040325"/>
    <w:rsid w:val="77044E51"/>
    <w:rsid w:val="77057BFA"/>
    <w:rsid w:val="770737D2"/>
    <w:rsid w:val="7709593C"/>
    <w:rsid w:val="770976EA"/>
    <w:rsid w:val="770C2D36"/>
    <w:rsid w:val="770C64FD"/>
    <w:rsid w:val="770D26AD"/>
    <w:rsid w:val="77100A78"/>
    <w:rsid w:val="77133CA5"/>
    <w:rsid w:val="77147E3D"/>
    <w:rsid w:val="7715608F"/>
    <w:rsid w:val="77183DD1"/>
    <w:rsid w:val="7718792D"/>
    <w:rsid w:val="771C566F"/>
    <w:rsid w:val="771E05C9"/>
    <w:rsid w:val="771F0CBB"/>
    <w:rsid w:val="771F2A69"/>
    <w:rsid w:val="77235F82"/>
    <w:rsid w:val="77277DEF"/>
    <w:rsid w:val="772938E8"/>
    <w:rsid w:val="772E0EFE"/>
    <w:rsid w:val="772E551E"/>
    <w:rsid w:val="772E7150"/>
    <w:rsid w:val="7731279D"/>
    <w:rsid w:val="77316C41"/>
    <w:rsid w:val="77320701"/>
    <w:rsid w:val="77334767"/>
    <w:rsid w:val="77335A15"/>
    <w:rsid w:val="77336515"/>
    <w:rsid w:val="77337708"/>
    <w:rsid w:val="77381D7D"/>
    <w:rsid w:val="773D234D"/>
    <w:rsid w:val="773D55E5"/>
    <w:rsid w:val="773D7394"/>
    <w:rsid w:val="774150D6"/>
    <w:rsid w:val="77421009"/>
    <w:rsid w:val="77422BFC"/>
    <w:rsid w:val="774249AA"/>
    <w:rsid w:val="774405AC"/>
    <w:rsid w:val="7744462F"/>
    <w:rsid w:val="774954BE"/>
    <w:rsid w:val="774B1AB0"/>
    <w:rsid w:val="774C3647"/>
    <w:rsid w:val="774C75D7"/>
    <w:rsid w:val="774C794D"/>
    <w:rsid w:val="77504376"/>
    <w:rsid w:val="77514BED"/>
    <w:rsid w:val="77530965"/>
    <w:rsid w:val="77550B81"/>
    <w:rsid w:val="775A7F45"/>
    <w:rsid w:val="776070C7"/>
    <w:rsid w:val="77662047"/>
    <w:rsid w:val="7769429B"/>
    <w:rsid w:val="776963DA"/>
    <w:rsid w:val="77696E73"/>
    <w:rsid w:val="776B2153"/>
    <w:rsid w:val="776C1A27"/>
    <w:rsid w:val="776C7C79"/>
    <w:rsid w:val="776D40C1"/>
    <w:rsid w:val="776E39F1"/>
    <w:rsid w:val="777031CF"/>
    <w:rsid w:val="777340BC"/>
    <w:rsid w:val="777575B0"/>
    <w:rsid w:val="77785EA7"/>
    <w:rsid w:val="7778661E"/>
    <w:rsid w:val="777D1E86"/>
    <w:rsid w:val="777F175A"/>
    <w:rsid w:val="7782124A"/>
    <w:rsid w:val="7786309E"/>
    <w:rsid w:val="7789082B"/>
    <w:rsid w:val="778A35E9"/>
    <w:rsid w:val="778A7344"/>
    <w:rsid w:val="778B5F9F"/>
    <w:rsid w:val="778D031B"/>
    <w:rsid w:val="778E436B"/>
    <w:rsid w:val="778E5E41"/>
    <w:rsid w:val="7792494C"/>
    <w:rsid w:val="77933457"/>
    <w:rsid w:val="77934298"/>
    <w:rsid w:val="77935DDC"/>
    <w:rsid w:val="779571D0"/>
    <w:rsid w:val="77961B8C"/>
    <w:rsid w:val="77995ADA"/>
    <w:rsid w:val="77997D88"/>
    <w:rsid w:val="779A2EE6"/>
    <w:rsid w:val="779A6594"/>
    <w:rsid w:val="779F3BAA"/>
    <w:rsid w:val="77A10D31"/>
    <w:rsid w:val="77A56E9C"/>
    <w:rsid w:val="77A80CB1"/>
    <w:rsid w:val="77A94A29"/>
    <w:rsid w:val="77AA1D7B"/>
    <w:rsid w:val="77AD276B"/>
    <w:rsid w:val="77B0683C"/>
    <w:rsid w:val="77B27D81"/>
    <w:rsid w:val="77B77146"/>
    <w:rsid w:val="77B84C6C"/>
    <w:rsid w:val="77B94F26"/>
    <w:rsid w:val="77BC5328"/>
    <w:rsid w:val="77BC650A"/>
    <w:rsid w:val="77BF249E"/>
    <w:rsid w:val="77BF424C"/>
    <w:rsid w:val="77C3377A"/>
    <w:rsid w:val="77C35AEB"/>
    <w:rsid w:val="77C41863"/>
    <w:rsid w:val="77C5724C"/>
    <w:rsid w:val="77C6382D"/>
    <w:rsid w:val="77C67389"/>
    <w:rsid w:val="77C71A27"/>
    <w:rsid w:val="77C80D66"/>
    <w:rsid w:val="77C96E79"/>
    <w:rsid w:val="77CD162C"/>
    <w:rsid w:val="77D0645A"/>
    <w:rsid w:val="77D20625"/>
    <w:rsid w:val="77D31AA6"/>
    <w:rsid w:val="77D44DFB"/>
    <w:rsid w:val="77D575CC"/>
    <w:rsid w:val="77D73344"/>
    <w:rsid w:val="77D73CB6"/>
    <w:rsid w:val="77D777E8"/>
    <w:rsid w:val="77D9530E"/>
    <w:rsid w:val="77DC4DFE"/>
    <w:rsid w:val="77DF044B"/>
    <w:rsid w:val="77E030EF"/>
    <w:rsid w:val="77E141C3"/>
    <w:rsid w:val="77E16FD2"/>
    <w:rsid w:val="77E3618D"/>
    <w:rsid w:val="77E370B7"/>
    <w:rsid w:val="77E56778"/>
    <w:rsid w:val="77E720FB"/>
    <w:rsid w:val="77E93077"/>
    <w:rsid w:val="77EB6DF0"/>
    <w:rsid w:val="77EF417C"/>
    <w:rsid w:val="77EF68E0"/>
    <w:rsid w:val="77F02658"/>
    <w:rsid w:val="77F13C27"/>
    <w:rsid w:val="77F51A1C"/>
    <w:rsid w:val="77F739E6"/>
    <w:rsid w:val="77F9775E"/>
    <w:rsid w:val="77FA2FE2"/>
    <w:rsid w:val="77FA7033"/>
    <w:rsid w:val="77FA7843"/>
    <w:rsid w:val="77FC724F"/>
    <w:rsid w:val="77FD1DFD"/>
    <w:rsid w:val="77FF0693"/>
    <w:rsid w:val="78006D3F"/>
    <w:rsid w:val="78034139"/>
    <w:rsid w:val="780517B1"/>
    <w:rsid w:val="780B56E4"/>
    <w:rsid w:val="780C4AC2"/>
    <w:rsid w:val="780C7F28"/>
    <w:rsid w:val="780F0D30"/>
    <w:rsid w:val="78102922"/>
    <w:rsid w:val="78126A72"/>
    <w:rsid w:val="78174B98"/>
    <w:rsid w:val="78186DD1"/>
    <w:rsid w:val="781A1483"/>
    <w:rsid w:val="781B5927"/>
    <w:rsid w:val="781C392B"/>
    <w:rsid w:val="781C5848"/>
    <w:rsid w:val="781D3294"/>
    <w:rsid w:val="781F4CEB"/>
    <w:rsid w:val="78210A63"/>
    <w:rsid w:val="78224CA5"/>
    <w:rsid w:val="78236AB5"/>
    <w:rsid w:val="78287D8D"/>
    <w:rsid w:val="782A3DBC"/>
    <w:rsid w:val="782A5B6A"/>
    <w:rsid w:val="782B18E2"/>
    <w:rsid w:val="782E1286"/>
    <w:rsid w:val="78302D49"/>
    <w:rsid w:val="78307C29"/>
    <w:rsid w:val="78324A1E"/>
    <w:rsid w:val="78340796"/>
    <w:rsid w:val="783469E8"/>
    <w:rsid w:val="78370287"/>
    <w:rsid w:val="78372035"/>
    <w:rsid w:val="78373E11"/>
    <w:rsid w:val="783A38D3"/>
    <w:rsid w:val="783D6892"/>
    <w:rsid w:val="783E1615"/>
    <w:rsid w:val="783E7867"/>
    <w:rsid w:val="78405FDD"/>
    <w:rsid w:val="7840713B"/>
    <w:rsid w:val="78422590"/>
    <w:rsid w:val="78436C2C"/>
    <w:rsid w:val="78454752"/>
    <w:rsid w:val="78462278"/>
    <w:rsid w:val="7847671C"/>
    <w:rsid w:val="78482494"/>
    <w:rsid w:val="78484242"/>
    <w:rsid w:val="784A620C"/>
    <w:rsid w:val="784C3D32"/>
    <w:rsid w:val="785030F6"/>
    <w:rsid w:val="7851759A"/>
    <w:rsid w:val="78520C1D"/>
    <w:rsid w:val="78526E6F"/>
    <w:rsid w:val="7856695F"/>
    <w:rsid w:val="78566F3D"/>
    <w:rsid w:val="785957F2"/>
    <w:rsid w:val="785C1A9B"/>
    <w:rsid w:val="7860333A"/>
    <w:rsid w:val="786110AB"/>
    <w:rsid w:val="786178B9"/>
    <w:rsid w:val="7866291A"/>
    <w:rsid w:val="78662CFC"/>
    <w:rsid w:val="78672E54"/>
    <w:rsid w:val="786B1CDE"/>
    <w:rsid w:val="786D3CA8"/>
    <w:rsid w:val="786E1805"/>
    <w:rsid w:val="786F7A21"/>
    <w:rsid w:val="78753109"/>
    <w:rsid w:val="78764DC5"/>
    <w:rsid w:val="78770683"/>
    <w:rsid w:val="78775022"/>
    <w:rsid w:val="78783C62"/>
    <w:rsid w:val="787B7F18"/>
    <w:rsid w:val="787D213D"/>
    <w:rsid w:val="787E5EB6"/>
    <w:rsid w:val="788039DC"/>
    <w:rsid w:val="78811502"/>
    <w:rsid w:val="78832A30"/>
    <w:rsid w:val="7883527A"/>
    <w:rsid w:val="7885138D"/>
    <w:rsid w:val="78870DCA"/>
    <w:rsid w:val="78880AE2"/>
    <w:rsid w:val="788A03B6"/>
    <w:rsid w:val="788E75C3"/>
    <w:rsid w:val="789418E6"/>
    <w:rsid w:val="78947487"/>
    <w:rsid w:val="78970D25"/>
    <w:rsid w:val="78972AD3"/>
    <w:rsid w:val="78994A9D"/>
    <w:rsid w:val="7899684C"/>
    <w:rsid w:val="789A4489"/>
    <w:rsid w:val="789D458E"/>
    <w:rsid w:val="789D523F"/>
    <w:rsid w:val="78A064A8"/>
    <w:rsid w:val="78A07BDA"/>
    <w:rsid w:val="78A23952"/>
    <w:rsid w:val="78A30A77"/>
    <w:rsid w:val="78A3591C"/>
    <w:rsid w:val="78A413DB"/>
    <w:rsid w:val="78A53442"/>
    <w:rsid w:val="78A70F68"/>
    <w:rsid w:val="78A7675A"/>
    <w:rsid w:val="78AB0E83"/>
    <w:rsid w:val="78AC47D1"/>
    <w:rsid w:val="78B64C80"/>
    <w:rsid w:val="78B73659"/>
    <w:rsid w:val="78B813C8"/>
    <w:rsid w:val="78B93023"/>
    <w:rsid w:val="78BB4A14"/>
    <w:rsid w:val="78BD078C"/>
    <w:rsid w:val="78BE0E43"/>
    <w:rsid w:val="78BE2756"/>
    <w:rsid w:val="78BE4504"/>
    <w:rsid w:val="78BE62B2"/>
    <w:rsid w:val="78C22246"/>
    <w:rsid w:val="78C30B4D"/>
    <w:rsid w:val="78C31B1A"/>
    <w:rsid w:val="78C338C8"/>
    <w:rsid w:val="78C5717F"/>
    <w:rsid w:val="78C733B9"/>
    <w:rsid w:val="78C92418"/>
    <w:rsid w:val="78CA10FB"/>
    <w:rsid w:val="78CC09CF"/>
    <w:rsid w:val="78CE2973"/>
    <w:rsid w:val="78CF04BF"/>
    <w:rsid w:val="78CF226D"/>
    <w:rsid w:val="78CF4397"/>
    <w:rsid w:val="78D37FAF"/>
    <w:rsid w:val="78D679B2"/>
    <w:rsid w:val="78DB3308"/>
    <w:rsid w:val="78DB39C6"/>
    <w:rsid w:val="78DB6E64"/>
    <w:rsid w:val="78DD498A"/>
    <w:rsid w:val="78DE0702"/>
    <w:rsid w:val="78DE6954"/>
    <w:rsid w:val="78E17EBF"/>
    <w:rsid w:val="78E26444"/>
    <w:rsid w:val="78E55F84"/>
    <w:rsid w:val="78E57216"/>
    <w:rsid w:val="78E919AD"/>
    <w:rsid w:val="78EA70A7"/>
    <w:rsid w:val="78EC72C3"/>
    <w:rsid w:val="78ED1061"/>
    <w:rsid w:val="78EF46BD"/>
    <w:rsid w:val="78F10436"/>
    <w:rsid w:val="78F148D9"/>
    <w:rsid w:val="78F16688"/>
    <w:rsid w:val="78F477F3"/>
    <w:rsid w:val="78F56773"/>
    <w:rsid w:val="78F61EF0"/>
    <w:rsid w:val="78F817C4"/>
    <w:rsid w:val="78F85C68"/>
    <w:rsid w:val="78FB12B4"/>
    <w:rsid w:val="78FE2B52"/>
    <w:rsid w:val="79022643"/>
    <w:rsid w:val="79052133"/>
    <w:rsid w:val="79075EAB"/>
    <w:rsid w:val="790A14F7"/>
    <w:rsid w:val="790A5C0D"/>
    <w:rsid w:val="790A7749"/>
    <w:rsid w:val="790C1713"/>
    <w:rsid w:val="790E7239"/>
    <w:rsid w:val="79110AD8"/>
    <w:rsid w:val="791B3704"/>
    <w:rsid w:val="791D122B"/>
    <w:rsid w:val="792321E3"/>
    <w:rsid w:val="79234AE0"/>
    <w:rsid w:val="7924080B"/>
    <w:rsid w:val="792425B9"/>
    <w:rsid w:val="79254583"/>
    <w:rsid w:val="792620AF"/>
    <w:rsid w:val="792702FB"/>
    <w:rsid w:val="7927654D"/>
    <w:rsid w:val="792A1B99"/>
    <w:rsid w:val="792A1CA4"/>
    <w:rsid w:val="792E3438"/>
    <w:rsid w:val="792F1514"/>
    <w:rsid w:val="792F71B0"/>
    <w:rsid w:val="79312F28"/>
    <w:rsid w:val="79346574"/>
    <w:rsid w:val="793547C6"/>
    <w:rsid w:val="7936053E"/>
    <w:rsid w:val="793772DB"/>
    <w:rsid w:val="793842B6"/>
    <w:rsid w:val="79386064"/>
    <w:rsid w:val="793A1DDD"/>
    <w:rsid w:val="793A6280"/>
    <w:rsid w:val="793B3DA7"/>
    <w:rsid w:val="793C0BCE"/>
    <w:rsid w:val="793C27A7"/>
    <w:rsid w:val="794013BD"/>
    <w:rsid w:val="7940316B"/>
    <w:rsid w:val="79424F6E"/>
    <w:rsid w:val="79426EE3"/>
    <w:rsid w:val="794762A8"/>
    <w:rsid w:val="79490272"/>
    <w:rsid w:val="7949756C"/>
    <w:rsid w:val="794A5D98"/>
    <w:rsid w:val="794B10D1"/>
    <w:rsid w:val="794C38BE"/>
    <w:rsid w:val="794C7D62"/>
    <w:rsid w:val="795310F0"/>
    <w:rsid w:val="795402EE"/>
    <w:rsid w:val="79554E68"/>
    <w:rsid w:val="79555700"/>
    <w:rsid w:val="79584959"/>
    <w:rsid w:val="795C0904"/>
    <w:rsid w:val="795C12C1"/>
    <w:rsid w:val="795D3D1D"/>
    <w:rsid w:val="795F5CE7"/>
    <w:rsid w:val="79607369"/>
    <w:rsid w:val="79627585"/>
    <w:rsid w:val="79646E59"/>
    <w:rsid w:val="79652BD2"/>
    <w:rsid w:val="79660E24"/>
    <w:rsid w:val="79665D4F"/>
    <w:rsid w:val="79667075"/>
    <w:rsid w:val="79674B9C"/>
    <w:rsid w:val="79684BF5"/>
    <w:rsid w:val="796B5EF3"/>
    <w:rsid w:val="796C21B2"/>
    <w:rsid w:val="796E1A86"/>
    <w:rsid w:val="796F62A7"/>
    <w:rsid w:val="79703A50"/>
    <w:rsid w:val="79733540"/>
    <w:rsid w:val="797572B9"/>
    <w:rsid w:val="79766ADB"/>
    <w:rsid w:val="797846B3"/>
    <w:rsid w:val="79786DA9"/>
    <w:rsid w:val="797A2BC5"/>
    <w:rsid w:val="797B1A2A"/>
    <w:rsid w:val="797B484A"/>
    <w:rsid w:val="797D43BF"/>
    <w:rsid w:val="797D7AAD"/>
    <w:rsid w:val="797F3C93"/>
    <w:rsid w:val="797F79C2"/>
    <w:rsid w:val="79825F6B"/>
    <w:rsid w:val="79840BD1"/>
    <w:rsid w:val="79872B48"/>
    <w:rsid w:val="7989747E"/>
    <w:rsid w:val="798B088A"/>
    <w:rsid w:val="798E3ED6"/>
    <w:rsid w:val="79927E6B"/>
    <w:rsid w:val="799325F8"/>
    <w:rsid w:val="79975481"/>
    <w:rsid w:val="79984D55"/>
    <w:rsid w:val="79986942"/>
    <w:rsid w:val="799A6D1F"/>
    <w:rsid w:val="799B65F3"/>
    <w:rsid w:val="799C6753"/>
    <w:rsid w:val="799E4968"/>
    <w:rsid w:val="799F4335"/>
    <w:rsid w:val="79A26E60"/>
    <w:rsid w:val="79A33E26"/>
    <w:rsid w:val="79A47660"/>
    <w:rsid w:val="79A57791"/>
    <w:rsid w:val="79A6109B"/>
    <w:rsid w:val="79A67884"/>
    <w:rsid w:val="79A74F98"/>
    <w:rsid w:val="79A74FA7"/>
    <w:rsid w:val="79A90D10"/>
    <w:rsid w:val="79AB5E33"/>
    <w:rsid w:val="79AC0800"/>
    <w:rsid w:val="79AD6A52"/>
    <w:rsid w:val="79AE6381"/>
    <w:rsid w:val="79AF15AF"/>
    <w:rsid w:val="79B25E17"/>
    <w:rsid w:val="79B307CD"/>
    <w:rsid w:val="79B31B8F"/>
    <w:rsid w:val="79B50AEB"/>
    <w:rsid w:val="79B51190"/>
    <w:rsid w:val="79B64503"/>
    <w:rsid w:val="79B7342D"/>
    <w:rsid w:val="79B778D1"/>
    <w:rsid w:val="79B871A5"/>
    <w:rsid w:val="79B91595"/>
    <w:rsid w:val="79BA4CCB"/>
    <w:rsid w:val="79BB5628"/>
    <w:rsid w:val="79BC0A44"/>
    <w:rsid w:val="79BC6C95"/>
    <w:rsid w:val="79C3011E"/>
    <w:rsid w:val="79C45B4A"/>
    <w:rsid w:val="79C63A82"/>
    <w:rsid w:val="79C773E8"/>
    <w:rsid w:val="79C93160"/>
    <w:rsid w:val="79CA1BF9"/>
    <w:rsid w:val="79CA5238"/>
    <w:rsid w:val="79CD0EA3"/>
    <w:rsid w:val="79CD2C51"/>
    <w:rsid w:val="79D0629D"/>
    <w:rsid w:val="79D35D8D"/>
    <w:rsid w:val="79D815F5"/>
    <w:rsid w:val="79D923C1"/>
    <w:rsid w:val="79DB3429"/>
    <w:rsid w:val="79DC10E6"/>
    <w:rsid w:val="79E306C6"/>
    <w:rsid w:val="79E61F64"/>
    <w:rsid w:val="79E81839"/>
    <w:rsid w:val="79ED6E4F"/>
    <w:rsid w:val="79EE0E19"/>
    <w:rsid w:val="79EF706B"/>
    <w:rsid w:val="79F20909"/>
    <w:rsid w:val="79F3642F"/>
    <w:rsid w:val="79F53F55"/>
    <w:rsid w:val="79F63EA4"/>
    <w:rsid w:val="79FA77BE"/>
    <w:rsid w:val="79FC05FF"/>
    <w:rsid w:val="79FC20E6"/>
    <w:rsid w:val="79FF1FCA"/>
    <w:rsid w:val="7A0049E3"/>
    <w:rsid w:val="7A012FE1"/>
    <w:rsid w:val="7A032EEF"/>
    <w:rsid w:val="7A036672"/>
    <w:rsid w:val="7A06090D"/>
    <w:rsid w:val="7A066163"/>
    <w:rsid w:val="7A067F11"/>
    <w:rsid w:val="7A092C03"/>
    <w:rsid w:val="7A0D5743"/>
    <w:rsid w:val="7A146AD1"/>
    <w:rsid w:val="7A150154"/>
    <w:rsid w:val="7A1557C3"/>
    <w:rsid w:val="7A173ECC"/>
    <w:rsid w:val="7A1926F8"/>
    <w:rsid w:val="7A195E96"/>
    <w:rsid w:val="7A1C14E2"/>
    <w:rsid w:val="7A1C7734"/>
    <w:rsid w:val="7A1D648A"/>
    <w:rsid w:val="7A1E34AC"/>
    <w:rsid w:val="7A2117A6"/>
    <w:rsid w:val="7A222FBE"/>
    <w:rsid w:val="7A225C80"/>
    <w:rsid w:val="7A2326FC"/>
    <w:rsid w:val="7A236D15"/>
    <w:rsid w:val="7A252A8D"/>
    <w:rsid w:val="7A2605B3"/>
    <w:rsid w:val="7A262361"/>
    <w:rsid w:val="7A262C38"/>
    <w:rsid w:val="7A2D7B93"/>
    <w:rsid w:val="7A2F6206"/>
    <w:rsid w:val="7A3251AA"/>
    <w:rsid w:val="7A363361"/>
    <w:rsid w:val="7A3727C0"/>
    <w:rsid w:val="7A383EA6"/>
    <w:rsid w:val="7A3B22B0"/>
    <w:rsid w:val="7A3C3932"/>
    <w:rsid w:val="7A3C4F69"/>
    <w:rsid w:val="7A3C7DD6"/>
    <w:rsid w:val="7A3F4413"/>
    <w:rsid w:val="7A410F49"/>
    <w:rsid w:val="7A415E3A"/>
    <w:rsid w:val="7A432F13"/>
    <w:rsid w:val="7A4874F5"/>
    <w:rsid w:val="7A4A24F3"/>
    <w:rsid w:val="7A4B1DC7"/>
    <w:rsid w:val="7A4D1FE3"/>
    <w:rsid w:val="7A4D3D91"/>
    <w:rsid w:val="7A4F18B8"/>
    <w:rsid w:val="7A505398"/>
    <w:rsid w:val="7A546ECE"/>
    <w:rsid w:val="7A5C6203"/>
    <w:rsid w:val="7A600A67"/>
    <w:rsid w:val="7A6269DF"/>
    <w:rsid w:val="7A652E89"/>
    <w:rsid w:val="7A65337B"/>
    <w:rsid w:val="7A666614"/>
    <w:rsid w:val="7A680BCB"/>
    <w:rsid w:val="7A6B4218"/>
    <w:rsid w:val="7A6D61E2"/>
    <w:rsid w:val="7A6D6319"/>
    <w:rsid w:val="7A6D7F90"/>
    <w:rsid w:val="7A6F5AB6"/>
    <w:rsid w:val="7A715CD2"/>
    <w:rsid w:val="7A7237F8"/>
    <w:rsid w:val="7A730732"/>
    <w:rsid w:val="7A7509B3"/>
    <w:rsid w:val="7A7632E8"/>
    <w:rsid w:val="7A777060"/>
    <w:rsid w:val="7A7936AD"/>
    <w:rsid w:val="7A7C2EFB"/>
    <w:rsid w:val="7A7E3F4B"/>
    <w:rsid w:val="7A804167"/>
    <w:rsid w:val="7A8157E9"/>
    <w:rsid w:val="7A8167C9"/>
    <w:rsid w:val="7A8231AE"/>
    <w:rsid w:val="7A8507F7"/>
    <w:rsid w:val="7A861B7B"/>
    <w:rsid w:val="7A886B78"/>
    <w:rsid w:val="7A8B310D"/>
    <w:rsid w:val="7A8B6668"/>
    <w:rsid w:val="7A8D418E"/>
    <w:rsid w:val="7A8E4BF5"/>
    <w:rsid w:val="7A8F43AA"/>
    <w:rsid w:val="7A911ED0"/>
    <w:rsid w:val="7A9377CC"/>
    <w:rsid w:val="7A9419C0"/>
    <w:rsid w:val="7A967A1B"/>
    <w:rsid w:val="7A97500D"/>
    <w:rsid w:val="7A9814B1"/>
    <w:rsid w:val="7A996798"/>
    <w:rsid w:val="7A997C4B"/>
    <w:rsid w:val="7A9B4AFD"/>
    <w:rsid w:val="7A9B68AB"/>
    <w:rsid w:val="7A9E2300"/>
    <w:rsid w:val="7A9E45ED"/>
    <w:rsid w:val="7AA03EC1"/>
    <w:rsid w:val="7AA17C39"/>
    <w:rsid w:val="7AA339B1"/>
    <w:rsid w:val="7AA34926"/>
    <w:rsid w:val="7AA453E2"/>
    <w:rsid w:val="7AA634A2"/>
    <w:rsid w:val="7AA837EE"/>
    <w:rsid w:val="7AA8721A"/>
    <w:rsid w:val="7AAA2F04"/>
    <w:rsid w:val="7AAA4D40"/>
    <w:rsid w:val="7AAB2866"/>
    <w:rsid w:val="7AAF3204"/>
    <w:rsid w:val="7AB57A3E"/>
    <w:rsid w:val="7AB636E5"/>
    <w:rsid w:val="7AB67B89"/>
    <w:rsid w:val="7AB70577"/>
    <w:rsid w:val="7AB76D60"/>
    <w:rsid w:val="7AB7745D"/>
    <w:rsid w:val="7AB83901"/>
    <w:rsid w:val="7AB86E66"/>
    <w:rsid w:val="7AB94F83"/>
    <w:rsid w:val="7ABA3CDD"/>
    <w:rsid w:val="7ABB6F4D"/>
    <w:rsid w:val="7ABC4A73"/>
    <w:rsid w:val="7ABE6A3D"/>
    <w:rsid w:val="7AC027B5"/>
    <w:rsid w:val="7AC11659"/>
    <w:rsid w:val="7AC1208A"/>
    <w:rsid w:val="7AC202DC"/>
    <w:rsid w:val="7AC35E02"/>
    <w:rsid w:val="7AC54306"/>
    <w:rsid w:val="7AC6403B"/>
    <w:rsid w:val="7AC676A0"/>
    <w:rsid w:val="7AC72841"/>
    <w:rsid w:val="7AC91619"/>
    <w:rsid w:val="7ACB4CB6"/>
    <w:rsid w:val="7ACB52B7"/>
    <w:rsid w:val="7ACC7EAD"/>
    <w:rsid w:val="7AD324E9"/>
    <w:rsid w:val="7AD46EDE"/>
    <w:rsid w:val="7AD623EF"/>
    <w:rsid w:val="7AD65B35"/>
    <w:rsid w:val="7AD710E4"/>
    <w:rsid w:val="7AD77D75"/>
    <w:rsid w:val="7ADC2696"/>
    <w:rsid w:val="7ADC6EC3"/>
    <w:rsid w:val="7ADD3367"/>
    <w:rsid w:val="7AE04F1E"/>
    <w:rsid w:val="7AE27356"/>
    <w:rsid w:val="7AE364A4"/>
    <w:rsid w:val="7AE446F6"/>
    <w:rsid w:val="7AE5221C"/>
    <w:rsid w:val="7AE6195B"/>
    <w:rsid w:val="7AE91D0C"/>
    <w:rsid w:val="7AEA5A84"/>
    <w:rsid w:val="7AED115E"/>
    <w:rsid w:val="7AEE7323"/>
    <w:rsid w:val="7AF15F85"/>
    <w:rsid w:val="7AF16E13"/>
    <w:rsid w:val="7AF53977"/>
    <w:rsid w:val="7AF80155"/>
    <w:rsid w:val="7AF952B8"/>
    <w:rsid w:val="7AFB37ED"/>
    <w:rsid w:val="7AFE6E3A"/>
    <w:rsid w:val="7B000E04"/>
    <w:rsid w:val="7B024B7C"/>
    <w:rsid w:val="7B045647"/>
    <w:rsid w:val="7B0501C8"/>
    <w:rsid w:val="7B05641A"/>
    <w:rsid w:val="7B0E1773"/>
    <w:rsid w:val="7B0F1377"/>
    <w:rsid w:val="7B0F54EB"/>
    <w:rsid w:val="7B116B6D"/>
    <w:rsid w:val="7B125BD2"/>
    <w:rsid w:val="7B130B37"/>
    <w:rsid w:val="7B130F00"/>
    <w:rsid w:val="7B1339EF"/>
    <w:rsid w:val="7B136D89"/>
    <w:rsid w:val="7B1413AD"/>
    <w:rsid w:val="7B166879"/>
    <w:rsid w:val="7B18614D"/>
    <w:rsid w:val="7B1B79EC"/>
    <w:rsid w:val="7B1C6BA1"/>
    <w:rsid w:val="7B1E74DC"/>
    <w:rsid w:val="7B213B24"/>
    <w:rsid w:val="7B222136"/>
    <w:rsid w:val="7B2745E3"/>
    <w:rsid w:val="7B2A7C2F"/>
    <w:rsid w:val="7B2E3BC3"/>
    <w:rsid w:val="7B2E5EF7"/>
    <w:rsid w:val="7B2F5831"/>
    <w:rsid w:val="7B310FBD"/>
    <w:rsid w:val="7B315461"/>
    <w:rsid w:val="7B32218D"/>
    <w:rsid w:val="7B324E29"/>
    <w:rsid w:val="7B332F87"/>
    <w:rsid w:val="7B334D35"/>
    <w:rsid w:val="7B340AAD"/>
    <w:rsid w:val="7B353B37"/>
    <w:rsid w:val="7B362A78"/>
    <w:rsid w:val="7B391B36"/>
    <w:rsid w:val="7B3B010C"/>
    <w:rsid w:val="7B3B22B3"/>
    <w:rsid w:val="7B3B62E0"/>
    <w:rsid w:val="7B3C4A6B"/>
    <w:rsid w:val="7B3D5BB4"/>
    <w:rsid w:val="7B3F192C"/>
    <w:rsid w:val="7B3F7B7E"/>
    <w:rsid w:val="7B4056A4"/>
    <w:rsid w:val="7B441594"/>
    <w:rsid w:val="7B442A17"/>
    <w:rsid w:val="7B445194"/>
    <w:rsid w:val="7B451A19"/>
    <w:rsid w:val="7B46200C"/>
    <w:rsid w:val="7B4927AB"/>
    <w:rsid w:val="7B49555D"/>
    <w:rsid w:val="7B4B6523"/>
    <w:rsid w:val="7B4D0E37"/>
    <w:rsid w:val="7B4E6013"/>
    <w:rsid w:val="7B4E646D"/>
    <w:rsid w:val="7B4F58E7"/>
    <w:rsid w:val="7B5178B1"/>
    <w:rsid w:val="7B523868"/>
    <w:rsid w:val="7B537186"/>
    <w:rsid w:val="7B541AE3"/>
    <w:rsid w:val="7B5573A2"/>
    <w:rsid w:val="7B5770BD"/>
    <w:rsid w:val="7B5829EE"/>
    <w:rsid w:val="7B5B24DE"/>
    <w:rsid w:val="7B5B428C"/>
    <w:rsid w:val="7B5B603A"/>
    <w:rsid w:val="7B5B7C0F"/>
    <w:rsid w:val="7B5D0004"/>
    <w:rsid w:val="7B5F1FCE"/>
    <w:rsid w:val="7B5F6041"/>
    <w:rsid w:val="7B607AF4"/>
    <w:rsid w:val="7B6273C9"/>
    <w:rsid w:val="7B640A94"/>
    <w:rsid w:val="7B647440"/>
    <w:rsid w:val="7B6475E5"/>
    <w:rsid w:val="7B66335D"/>
    <w:rsid w:val="7B6716D6"/>
    <w:rsid w:val="7B694BFB"/>
    <w:rsid w:val="7B6E0463"/>
    <w:rsid w:val="7B6E2211"/>
    <w:rsid w:val="7B6E5D6D"/>
    <w:rsid w:val="7B707D38"/>
    <w:rsid w:val="7B713AB0"/>
    <w:rsid w:val="7B7315D6"/>
    <w:rsid w:val="7B735A7A"/>
    <w:rsid w:val="7B746E0D"/>
    <w:rsid w:val="7B783090"/>
    <w:rsid w:val="7B7A6E08"/>
    <w:rsid w:val="7B7B202A"/>
    <w:rsid w:val="7B7B492E"/>
    <w:rsid w:val="7B7D4202"/>
    <w:rsid w:val="7B7E5661"/>
    <w:rsid w:val="7B810197"/>
    <w:rsid w:val="7B821819"/>
    <w:rsid w:val="7B825CBD"/>
    <w:rsid w:val="7B841DB2"/>
    <w:rsid w:val="7B845591"/>
    <w:rsid w:val="7B862F60"/>
    <w:rsid w:val="7B8657AD"/>
    <w:rsid w:val="7B876E2F"/>
    <w:rsid w:val="7B8F3645"/>
    <w:rsid w:val="7B915F00"/>
    <w:rsid w:val="7B947887"/>
    <w:rsid w:val="7B953E2D"/>
    <w:rsid w:val="7B98728E"/>
    <w:rsid w:val="7B9A6B62"/>
    <w:rsid w:val="7B9B2EAA"/>
    <w:rsid w:val="7B9C4B10"/>
    <w:rsid w:val="7B9F061D"/>
    <w:rsid w:val="7B9F686F"/>
    <w:rsid w:val="7BA06143"/>
    <w:rsid w:val="7BA14395"/>
    <w:rsid w:val="7BA234CA"/>
    <w:rsid w:val="7BA45C33"/>
    <w:rsid w:val="7BA5368F"/>
    <w:rsid w:val="7BA63759"/>
    <w:rsid w:val="7BA67BFD"/>
    <w:rsid w:val="7BA75723"/>
    <w:rsid w:val="7BA9149B"/>
    <w:rsid w:val="7BAB6FC2"/>
    <w:rsid w:val="7BB0116A"/>
    <w:rsid w:val="7BB265A2"/>
    <w:rsid w:val="7BB318B1"/>
    <w:rsid w:val="7BB330E6"/>
    <w:rsid w:val="7BB57E40"/>
    <w:rsid w:val="7BB857F2"/>
    <w:rsid w:val="7BB87930"/>
    <w:rsid w:val="7BB90EFB"/>
    <w:rsid w:val="7BBD6FF0"/>
    <w:rsid w:val="7BBF0CBF"/>
    <w:rsid w:val="7BBF2A6D"/>
    <w:rsid w:val="7BBF481B"/>
    <w:rsid w:val="7BC167E5"/>
    <w:rsid w:val="7BC462D5"/>
    <w:rsid w:val="7BC46AE2"/>
    <w:rsid w:val="7BC57958"/>
    <w:rsid w:val="7BC65BA9"/>
    <w:rsid w:val="7BC938EC"/>
    <w:rsid w:val="7BCC0CE6"/>
    <w:rsid w:val="7BD007D6"/>
    <w:rsid w:val="7BD51053"/>
    <w:rsid w:val="7BD67AF8"/>
    <w:rsid w:val="7BD76009"/>
    <w:rsid w:val="7BD77DB7"/>
    <w:rsid w:val="7BDA3403"/>
    <w:rsid w:val="7BDB1CFE"/>
    <w:rsid w:val="7BDB4177"/>
    <w:rsid w:val="7BDD1145"/>
    <w:rsid w:val="7BDD3848"/>
    <w:rsid w:val="7BDE7397"/>
    <w:rsid w:val="7BDF0A19"/>
    <w:rsid w:val="7BE349AD"/>
    <w:rsid w:val="7BE40725"/>
    <w:rsid w:val="7BE44282"/>
    <w:rsid w:val="7BE57DD3"/>
    <w:rsid w:val="7BE7064E"/>
    <w:rsid w:val="7BEC3136"/>
    <w:rsid w:val="7BEC668E"/>
    <w:rsid w:val="7BF02DB2"/>
    <w:rsid w:val="7BF21DD7"/>
    <w:rsid w:val="7BF24BF0"/>
    <w:rsid w:val="7BF34E93"/>
    <w:rsid w:val="7BF5023D"/>
    <w:rsid w:val="7BF72207"/>
    <w:rsid w:val="7BFA287F"/>
    <w:rsid w:val="7BFC667B"/>
    <w:rsid w:val="7C0102FD"/>
    <w:rsid w:val="7C030BAC"/>
    <w:rsid w:val="7C036657"/>
    <w:rsid w:val="7C044924"/>
    <w:rsid w:val="7C084414"/>
    <w:rsid w:val="7C0A73F6"/>
    <w:rsid w:val="7C0B5CB2"/>
    <w:rsid w:val="7C0D1A2A"/>
    <w:rsid w:val="7C0E57A2"/>
    <w:rsid w:val="7C0E781F"/>
    <w:rsid w:val="7C103A06"/>
    <w:rsid w:val="7C1508DF"/>
    <w:rsid w:val="7C167239"/>
    <w:rsid w:val="7C195991"/>
    <w:rsid w:val="7C1E0CA1"/>
    <w:rsid w:val="7C1E59E5"/>
    <w:rsid w:val="7C217284"/>
    <w:rsid w:val="7C23124E"/>
    <w:rsid w:val="7C246D74"/>
    <w:rsid w:val="7C280612"/>
    <w:rsid w:val="7C286864"/>
    <w:rsid w:val="7C296138"/>
    <w:rsid w:val="7C2B1EB0"/>
    <w:rsid w:val="7C2D1965"/>
    <w:rsid w:val="7C2D348E"/>
    <w:rsid w:val="7C2F7BF3"/>
    <w:rsid w:val="7C324DF4"/>
    <w:rsid w:val="7C347CA5"/>
    <w:rsid w:val="7C352D2F"/>
    <w:rsid w:val="7C3832A0"/>
    <w:rsid w:val="7C38637B"/>
    <w:rsid w:val="7C3B7086"/>
    <w:rsid w:val="7C3E1BE4"/>
    <w:rsid w:val="7C3E7E36"/>
    <w:rsid w:val="7C3F1B77"/>
    <w:rsid w:val="7C43369E"/>
    <w:rsid w:val="7C442F72"/>
    <w:rsid w:val="7C447735"/>
    <w:rsid w:val="7C460A98"/>
    <w:rsid w:val="7C4B2553"/>
    <w:rsid w:val="7C4E5B9F"/>
    <w:rsid w:val="7C4F4251"/>
    <w:rsid w:val="7C507B69"/>
    <w:rsid w:val="7C520A0E"/>
    <w:rsid w:val="7C541A59"/>
    <w:rsid w:val="7C5C25FA"/>
    <w:rsid w:val="7C5C4760"/>
    <w:rsid w:val="7C5D0938"/>
    <w:rsid w:val="7C5F32C3"/>
    <w:rsid w:val="7C5F7DAC"/>
    <w:rsid w:val="7C627BFF"/>
    <w:rsid w:val="7C63164A"/>
    <w:rsid w:val="7C6333F8"/>
    <w:rsid w:val="7C63789C"/>
    <w:rsid w:val="7C6453C2"/>
    <w:rsid w:val="7C647170"/>
    <w:rsid w:val="7C66738C"/>
    <w:rsid w:val="7C667A6A"/>
    <w:rsid w:val="7C686C61"/>
    <w:rsid w:val="7C6B6751"/>
    <w:rsid w:val="7C6E5AA6"/>
    <w:rsid w:val="7C6F1677"/>
    <w:rsid w:val="7C741AA9"/>
    <w:rsid w:val="7C75137E"/>
    <w:rsid w:val="7C7935C3"/>
    <w:rsid w:val="7C794503"/>
    <w:rsid w:val="7C7970C0"/>
    <w:rsid w:val="7C7B2E38"/>
    <w:rsid w:val="7C7C5096"/>
    <w:rsid w:val="7C7E7CDC"/>
    <w:rsid w:val="7C7F136B"/>
    <w:rsid w:val="7C7F3FAA"/>
    <w:rsid w:val="7C833A9B"/>
    <w:rsid w:val="7C8415C1"/>
    <w:rsid w:val="7C843B4D"/>
    <w:rsid w:val="7C870D8D"/>
    <w:rsid w:val="7C887303"/>
    <w:rsid w:val="7C896115"/>
    <w:rsid w:val="7C896BD7"/>
    <w:rsid w:val="7C8E36D7"/>
    <w:rsid w:val="7C904B5B"/>
    <w:rsid w:val="7C920181"/>
    <w:rsid w:val="7C923CDE"/>
    <w:rsid w:val="7C925128"/>
    <w:rsid w:val="7C926444"/>
    <w:rsid w:val="7C961A20"/>
    <w:rsid w:val="7C9C2FD3"/>
    <w:rsid w:val="7C9C3264"/>
    <w:rsid w:val="7C9C4B5C"/>
    <w:rsid w:val="7C9C690A"/>
    <w:rsid w:val="7CA12173"/>
    <w:rsid w:val="7CA13F21"/>
    <w:rsid w:val="7CA21C7D"/>
    <w:rsid w:val="7CA57EB5"/>
    <w:rsid w:val="7CA66275"/>
    <w:rsid w:val="7CA81753"/>
    <w:rsid w:val="7CA83501"/>
    <w:rsid w:val="7CAD5781"/>
    <w:rsid w:val="7CAD7B21"/>
    <w:rsid w:val="7CB11CDC"/>
    <w:rsid w:val="7CB24380"/>
    <w:rsid w:val="7CB26E8E"/>
    <w:rsid w:val="7CB43637"/>
    <w:rsid w:val="7CBB1486"/>
    <w:rsid w:val="7CBB3234"/>
    <w:rsid w:val="7CBC5BAF"/>
    <w:rsid w:val="7CBE0F77"/>
    <w:rsid w:val="7CC073B5"/>
    <w:rsid w:val="7CC3033B"/>
    <w:rsid w:val="7CC51603"/>
    <w:rsid w:val="7CC876FF"/>
    <w:rsid w:val="7CCA791B"/>
    <w:rsid w:val="7CCB4BA1"/>
    <w:rsid w:val="7CCC5441"/>
    <w:rsid w:val="7CCD2092"/>
    <w:rsid w:val="7CCD5793"/>
    <w:rsid w:val="7CCF0A8E"/>
    <w:rsid w:val="7CCF4F32"/>
    <w:rsid w:val="7CD10CAA"/>
    <w:rsid w:val="7CD21EA3"/>
    <w:rsid w:val="7CD25682"/>
    <w:rsid w:val="7CD461A4"/>
    <w:rsid w:val="7CD6006E"/>
    <w:rsid w:val="7CD61CB4"/>
    <w:rsid w:val="7CD808E6"/>
    <w:rsid w:val="7CD9190C"/>
    <w:rsid w:val="7CDB5685"/>
    <w:rsid w:val="7CDC4E4D"/>
    <w:rsid w:val="7CDD1B87"/>
    <w:rsid w:val="7CDD43BF"/>
    <w:rsid w:val="7CDE33C7"/>
    <w:rsid w:val="7CDE6F23"/>
    <w:rsid w:val="7CE617A9"/>
    <w:rsid w:val="7CE65DD7"/>
    <w:rsid w:val="7CE9012A"/>
    <w:rsid w:val="7CE94EE1"/>
    <w:rsid w:val="7CE96A06"/>
    <w:rsid w:val="7CED53B8"/>
    <w:rsid w:val="7CF130FA"/>
    <w:rsid w:val="7CF35F88"/>
    <w:rsid w:val="7CF50338"/>
    <w:rsid w:val="7CF51023"/>
    <w:rsid w:val="7CF71650"/>
    <w:rsid w:val="7CF77FE5"/>
    <w:rsid w:val="7CF83BBE"/>
    <w:rsid w:val="7CF90201"/>
    <w:rsid w:val="7CF91FAF"/>
    <w:rsid w:val="7CF93585"/>
    <w:rsid w:val="7CFB1883"/>
    <w:rsid w:val="7CFB7AD5"/>
    <w:rsid w:val="7CFD1A9F"/>
    <w:rsid w:val="7CFD39FE"/>
    <w:rsid w:val="7CFD674B"/>
    <w:rsid w:val="7D0019DC"/>
    <w:rsid w:val="7D00333D"/>
    <w:rsid w:val="7D012C11"/>
    <w:rsid w:val="7D0270B5"/>
    <w:rsid w:val="7D060228"/>
    <w:rsid w:val="7D07647A"/>
    <w:rsid w:val="7D0806BE"/>
    <w:rsid w:val="7D0864CC"/>
    <w:rsid w:val="7D0B583E"/>
    <w:rsid w:val="7D0C35D2"/>
    <w:rsid w:val="7D0D7808"/>
    <w:rsid w:val="7D0F532E"/>
    <w:rsid w:val="7D1312C2"/>
    <w:rsid w:val="7D146DE8"/>
    <w:rsid w:val="7D157953"/>
    <w:rsid w:val="7D176D34"/>
    <w:rsid w:val="7D184638"/>
    <w:rsid w:val="7D1868D9"/>
    <w:rsid w:val="7D1D5C9D"/>
    <w:rsid w:val="7D22017B"/>
    <w:rsid w:val="7D221505"/>
    <w:rsid w:val="7D252DA4"/>
    <w:rsid w:val="7D256900"/>
    <w:rsid w:val="7D264FC3"/>
    <w:rsid w:val="7D2955BD"/>
    <w:rsid w:val="7D2C193A"/>
    <w:rsid w:val="7D2E7EAA"/>
    <w:rsid w:val="7D2E7F9F"/>
    <w:rsid w:val="7D2F59D0"/>
    <w:rsid w:val="7D2F777E"/>
    <w:rsid w:val="7D306D89"/>
    <w:rsid w:val="7D311748"/>
    <w:rsid w:val="7D374624"/>
    <w:rsid w:val="7D382AD7"/>
    <w:rsid w:val="7D3A1082"/>
    <w:rsid w:val="7D3A23FC"/>
    <w:rsid w:val="7D3A6705"/>
    <w:rsid w:val="7D3D1E9B"/>
    <w:rsid w:val="7D3F19B9"/>
    <w:rsid w:val="7D4025D5"/>
    <w:rsid w:val="7D4642E0"/>
    <w:rsid w:val="7D474AC8"/>
    <w:rsid w:val="7D48191E"/>
    <w:rsid w:val="7D4E16BD"/>
    <w:rsid w:val="7D5316BF"/>
    <w:rsid w:val="7D553689"/>
    <w:rsid w:val="7D5574EA"/>
    <w:rsid w:val="7D562F5D"/>
    <w:rsid w:val="7D572557"/>
    <w:rsid w:val="7D586CD5"/>
    <w:rsid w:val="7D5B2F52"/>
    <w:rsid w:val="7D5B67C5"/>
    <w:rsid w:val="7D5B68B0"/>
    <w:rsid w:val="7D5F5D12"/>
    <w:rsid w:val="7D603DDC"/>
    <w:rsid w:val="7D605B8A"/>
    <w:rsid w:val="7D625DA6"/>
    <w:rsid w:val="7D63567A"/>
    <w:rsid w:val="7D637428"/>
    <w:rsid w:val="7D657644"/>
    <w:rsid w:val="7D6733BC"/>
    <w:rsid w:val="7D676F18"/>
    <w:rsid w:val="7D697134"/>
    <w:rsid w:val="7D6B2EAC"/>
    <w:rsid w:val="7D6C1D7F"/>
    <w:rsid w:val="7D6C6800"/>
    <w:rsid w:val="7D6D630D"/>
    <w:rsid w:val="7D6E2861"/>
    <w:rsid w:val="7D7004C3"/>
    <w:rsid w:val="7D70472C"/>
    <w:rsid w:val="7D7176DD"/>
    <w:rsid w:val="7D781125"/>
    <w:rsid w:val="7D787377"/>
    <w:rsid w:val="7D796C4C"/>
    <w:rsid w:val="7D7A30EF"/>
    <w:rsid w:val="7D7B6E68"/>
    <w:rsid w:val="7D7D1955"/>
    <w:rsid w:val="7D7E4262"/>
    <w:rsid w:val="7D80064D"/>
    <w:rsid w:val="7D807FDA"/>
    <w:rsid w:val="7D8201F6"/>
    <w:rsid w:val="7D827CD7"/>
    <w:rsid w:val="7D834D23"/>
    <w:rsid w:val="7D834ED8"/>
    <w:rsid w:val="7D871368"/>
    <w:rsid w:val="7D8775BA"/>
    <w:rsid w:val="7D8B6677"/>
    <w:rsid w:val="7D8B70AB"/>
    <w:rsid w:val="7D8E2059"/>
    <w:rsid w:val="7D8F021D"/>
    <w:rsid w:val="7D8F40DE"/>
    <w:rsid w:val="7D8F646F"/>
    <w:rsid w:val="7D902913"/>
    <w:rsid w:val="7D9121E7"/>
    <w:rsid w:val="7D913864"/>
    <w:rsid w:val="7D937D0D"/>
    <w:rsid w:val="7D951CD7"/>
    <w:rsid w:val="7D957F29"/>
    <w:rsid w:val="7D960C66"/>
    <w:rsid w:val="7D9879F5"/>
    <w:rsid w:val="7D9A5540"/>
    <w:rsid w:val="7D9C40E6"/>
    <w:rsid w:val="7DA2115B"/>
    <w:rsid w:val="7DA32BE1"/>
    <w:rsid w:val="7DA71A0B"/>
    <w:rsid w:val="7DAC5BB7"/>
    <w:rsid w:val="7DAC7021"/>
    <w:rsid w:val="7DAE2D99"/>
    <w:rsid w:val="7DB02C3C"/>
    <w:rsid w:val="7DB163E5"/>
    <w:rsid w:val="7DB52379"/>
    <w:rsid w:val="7DB61C4E"/>
    <w:rsid w:val="7DB83C18"/>
    <w:rsid w:val="7DB87774"/>
    <w:rsid w:val="7DB91536"/>
    <w:rsid w:val="7DBA34EC"/>
    <w:rsid w:val="7DBA7990"/>
    <w:rsid w:val="7DBB7264"/>
    <w:rsid w:val="7DBC3788"/>
    <w:rsid w:val="7DBF2C63"/>
    <w:rsid w:val="7DC04AEA"/>
    <w:rsid w:val="7DC26844"/>
    <w:rsid w:val="7DC51E91"/>
    <w:rsid w:val="7DC600E3"/>
    <w:rsid w:val="7DC84D08"/>
    <w:rsid w:val="7DC974CD"/>
    <w:rsid w:val="7DCA179F"/>
    <w:rsid w:val="7DCB7F0E"/>
    <w:rsid w:val="7DCC321F"/>
    <w:rsid w:val="7DCE4366"/>
    <w:rsid w:val="7DD24CD9"/>
    <w:rsid w:val="7DD30A52"/>
    <w:rsid w:val="7DD34395"/>
    <w:rsid w:val="7DD4769B"/>
    <w:rsid w:val="7DD6409E"/>
    <w:rsid w:val="7DD81BC4"/>
    <w:rsid w:val="7DD91BFA"/>
    <w:rsid w:val="7DDC7906"/>
    <w:rsid w:val="7DDE6431"/>
    <w:rsid w:val="7DDF0F91"/>
    <w:rsid w:val="7DDF11A4"/>
    <w:rsid w:val="7DDF32C1"/>
    <w:rsid w:val="7DDF537D"/>
    <w:rsid w:val="7DE20C95"/>
    <w:rsid w:val="7DE20D43"/>
    <w:rsid w:val="7DE22447"/>
    <w:rsid w:val="7DE44A0D"/>
    <w:rsid w:val="7DE95B7F"/>
    <w:rsid w:val="7DEA43B4"/>
    <w:rsid w:val="7DEB18F7"/>
    <w:rsid w:val="7DF10ED8"/>
    <w:rsid w:val="7DF36428"/>
    <w:rsid w:val="7DF562E5"/>
    <w:rsid w:val="7DF82266"/>
    <w:rsid w:val="7DFC6489"/>
    <w:rsid w:val="7DFD162B"/>
    <w:rsid w:val="7E01736D"/>
    <w:rsid w:val="7E040C0B"/>
    <w:rsid w:val="7E046E5D"/>
    <w:rsid w:val="7E062BD5"/>
    <w:rsid w:val="7E074464"/>
    <w:rsid w:val="7E0871BD"/>
    <w:rsid w:val="7E0B1A97"/>
    <w:rsid w:val="7E0B1F99"/>
    <w:rsid w:val="7E0B3D48"/>
    <w:rsid w:val="7E0D5D12"/>
    <w:rsid w:val="7E0E3838"/>
    <w:rsid w:val="7E1150D6"/>
    <w:rsid w:val="7E130E4E"/>
    <w:rsid w:val="7E1370A0"/>
    <w:rsid w:val="7E1B3C67"/>
    <w:rsid w:val="7E1C0204"/>
    <w:rsid w:val="7E1C41A7"/>
    <w:rsid w:val="7E1E56F5"/>
    <w:rsid w:val="7E21356B"/>
    <w:rsid w:val="7E215319"/>
    <w:rsid w:val="7E221091"/>
    <w:rsid w:val="7E2237B2"/>
    <w:rsid w:val="7E241DDE"/>
    <w:rsid w:val="7E265025"/>
    <w:rsid w:val="7E2B06CC"/>
    <w:rsid w:val="7E2E3EDA"/>
    <w:rsid w:val="7E2F3AA9"/>
    <w:rsid w:val="7E325778"/>
    <w:rsid w:val="7E33329E"/>
    <w:rsid w:val="7E33504C"/>
    <w:rsid w:val="7E335249"/>
    <w:rsid w:val="7E3A462D"/>
    <w:rsid w:val="7E3A63DB"/>
    <w:rsid w:val="7E3C03A5"/>
    <w:rsid w:val="7E3F2705"/>
    <w:rsid w:val="7E402F74"/>
    <w:rsid w:val="7E41734E"/>
    <w:rsid w:val="7E417769"/>
    <w:rsid w:val="7E470AF8"/>
    <w:rsid w:val="7E482253"/>
    <w:rsid w:val="7E482A3A"/>
    <w:rsid w:val="7E490D14"/>
    <w:rsid w:val="7E4B2FD1"/>
    <w:rsid w:val="7E4B683A"/>
    <w:rsid w:val="7E4C19A5"/>
    <w:rsid w:val="7E4D47E1"/>
    <w:rsid w:val="7E4D7910"/>
    <w:rsid w:val="7E501C78"/>
    <w:rsid w:val="7E53749D"/>
    <w:rsid w:val="7E553215"/>
    <w:rsid w:val="7E584AB3"/>
    <w:rsid w:val="7E585886"/>
    <w:rsid w:val="7E5971A9"/>
    <w:rsid w:val="7E5E47BF"/>
    <w:rsid w:val="7E5F06D1"/>
    <w:rsid w:val="7E5F322E"/>
    <w:rsid w:val="7E5F5E41"/>
    <w:rsid w:val="7E5F7C24"/>
    <w:rsid w:val="7E61605D"/>
    <w:rsid w:val="7E616A05"/>
    <w:rsid w:val="7E6410D2"/>
    <w:rsid w:val="7E66131A"/>
    <w:rsid w:val="7E6727AA"/>
    <w:rsid w:val="7E683111"/>
    <w:rsid w:val="7E6B0C8A"/>
    <w:rsid w:val="7E6B6EDC"/>
    <w:rsid w:val="7E6D0329"/>
    <w:rsid w:val="7E6F3B0D"/>
    <w:rsid w:val="7E751B09"/>
    <w:rsid w:val="7E785B84"/>
    <w:rsid w:val="7E7933A7"/>
    <w:rsid w:val="7E7C5BB6"/>
    <w:rsid w:val="7E7E776C"/>
    <w:rsid w:val="7E8054AD"/>
    <w:rsid w:val="7E8104AE"/>
    <w:rsid w:val="7E810B60"/>
    <w:rsid w:val="7E885398"/>
    <w:rsid w:val="7E893B09"/>
    <w:rsid w:val="7E8A55B4"/>
    <w:rsid w:val="7E8D0C00"/>
    <w:rsid w:val="7E8D6E52"/>
    <w:rsid w:val="7E8F4979"/>
    <w:rsid w:val="7E9006F1"/>
    <w:rsid w:val="7E927FC5"/>
    <w:rsid w:val="7E963CAD"/>
    <w:rsid w:val="7E97382D"/>
    <w:rsid w:val="7E975577"/>
    <w:rsid w:val="7E991353"/>
    <w:rsid w:val="7E992A68"/>
    <w:rsid w:val="7E9A1E77"/>
    <w:rsid w:val="7E9C0E44"/>
    <w:rsid w:val="7E9D7B39"/>
    <w:rsid w:val="7EA06F82"/>
    <w:rsid w:val="7EA63A70"/>
    <w:rsid w:val="7EA83C8C"/>
    <w:rsid w:val="7EAA00E8"/>
    <w:rsid w:val="7EAA3560"/>
    <w:rsid w:val="7EAB1087"/>
    <w:rsid w:val="7EAB552B"/>
    <w:rsid w:val="7EAB72D9"/>
    <w:rsid w:val="7EAD12EA"/>
    <w:rsid w:val="7EAD3051"/>
    <w:rsid w:val="7EAE4F3F"/>
    <w:rsid w:val="7EAF501B"/>
    <w:rsid w:val="7EAF557B"/>
    <w:rsid w:val="7EAF6DC9"/>
    <w:rsid w:val="7EB05F55"/>
    <w:rsid w:val="7EB10D93"/>
    <w:rsid w:val="7EB42631"/>
    <w:rsid w:val="7EB536D1"/>
    <w:rsid w:val="7EB54C7D"/>
    <w:rsid w:val="7EB663A9"/>
    <w:rsid w:val="7EB85585"/>
    <w:rsid w:val="7EB919F5"/>
    <w:rsid w:val="7EBA6836"/>
    <w:rsid w:val="7EBC3294"/>
    <w:rsid w:val="7EC02D84"/>
    <w:rsid w:val="7EC108AA"/>
    <w:rsid w:val="7EC301BA"/>
    <w:rsid w:val="7EC87E8B"/>
    <w:rsid w:val="7ECD36F3"/>
    <w:rsid w:val="7ECF1219"/>
    <w:rsid w:val="7ED22AB7"/>
    <w:rsid w:val="7ED3400A"/>
    <w:rsid w:val="7ED44A81"/>
    <w:rsid w:val="7ED76320"/>
    <w:rsid w:val="7ED86C92"/>
    <w:rsid w:val="7EDA66D5"/>
    <w:rsid w:val="7EDC0A12"/>
    <w:rsid w:val="7EDE145C"/>
    <w:rsid w:val="7EDE320A"/>
    <w:rsid w:val="7EE06F82"/>
    <w:rsid w:val="7EE10F4C"/>
    <w:rsid w:val="7EE14AFA"/>
    <w:rsid w:val="7EE2719E"/>
    <w:rsid w:val="7EE460E6"/>
    <w:rsid w:val="7EE50A3C"/>
    <w:rsid w:val="7EE60311"/>
    <w:rsid w:val="7EE75906"/>
    <w:rsid w:val="7EEA7E01"/>
    <w:rsid w:val="7EEB2310"/>
    <w:rsid w:val="7EEB5927"/>
    <w:rsid w:val="7EEC5C98"/>
    <w:rsid w:val="7EED169F"/>
    <w:rsid w:val="7EF0118F"/>
    <w:rsid w:val="7EF02F3D"/>
    <w:rsid w:val="7EF255F7"/>
    <w:rsid w:val="7EF46244"/>
    <w:rsid w:val="7EF649F8"/>
    <w:rsid w:val="7EF96296"/>
    <w:rsid w:val="7EFB200E"/>
    <w:rsid w:val="7EFC5D86"/>
    <w:rsid w:val="7EFF0162"/>
    <w:rsid w:val="7F010848"/>
    <w:rsid w:val="7F030EC3"/>
    <w:rsid w:val="7F0314A2"/>
    <w:rsid w:val="7F03523F"/>
    <w:rsid w:val="7F052E8D"/>
    <w:rsid w:val="7F0569E9"/>
    <w:rsid w:val="7F0864D9"/>
    <w:rsid w:val="7F091139"/>
    <w:rsid w:val="7F0A2251"/>
    <w:rsid w:val="7F0C5047"/>
    <w:rsid w:val="7F0D7F93"/>
    <w:rsid w:val="7F121106"/>
    <w:rsid w:val="7F160BF6"/>
    <w:rsid w:val="7F1629A4"/>
    <w:rsid w:val="7F166F47"/>
    <w:rsid w:val="7F17496E"/>
    <w:rsid w:val="7F175B5D"/>
    <w:rsid w:val="7F1A029F"/>
    <w:rsid w:val="7F1B6BFC"/>
    <w:rsid w:val="7F1E2455"/>
    <w:rsid w:val="7F1E3F4E"/>
    <w:rsid w:val="7F2166F1"/>
    <w:rsid w:val="7F233313"/>
    <w:rsid w:val="7F233380"/>
    <w:rsid w:val="7F2350C1"/>
    <w:rsid w:val="7F25708B"/>
    <w:rsid w:val="7F274788"/>
    <w:rsid w:val="7F297554"/>
    <w:rsid w:val="7F2A644F"/>
    <w:rsid w:val="7F2A6E94"/>
    <w:rsid w:val="7F2D4191"/>
    <w:rsid w:val="7F2F7F0A"/>
    <w:rsid w:val="7F323556"/>
    <w:rsid w:val="7F33516B"/>
    <w:rsid w:val="7F364DF4"/>
    <w:rsid w:val="7F365FF7"/>
    <w:rsid w:val="7F370917"/>
    <w:rsid w:val="7F386A99"/>
    <w:rsid w:val="7F390D88"/>
    <w:rsid w:val="7F3D2627"/>
    <w:rsid w:val="7F3F1CCB"/>
    <w:rsid w:val="7F3F284E"/>
    <w:rsid w:val="7F40036D"/>
    <w:rsid w:val="7F413799"/>
    <w:rsid w:val="7F4145BF"/>
    <w:rsid w:val="7F4219EB"/>
    <w:rsid w:val="7F435763"/>
    <w:rsid w:val="7F435D04"/>
    <w:rsid w:val="7F453289"/>
    <w:rsid w:val="7F47362C"/>
    <w:rsid w:val="7F475253"/>
    <w:rsid w:val="7F48272D"/>
    <w:rsid w:val="7F484B27"/>
    <w:rsid w:val="7F4952C0"/>
    <w:rsid w:val="7F4C0ABC"/>
    <w:rsid w:val="7F4C4618"/>
    <w:rsid w:val="7F4C7455"/>
    <w:rsid w:val="7F4D0390"/>
    <w:rsid w:val="7F4F291E"/>
    <w:rsid w:val="7F4F5EB6"/>
    <w:rsid w:val="7F533BF8"/>
    <w:rsid w:val="7F575330"/>
    <w:rsid w:val="7F577F01"/>
    <w:rsid w:val="7F587460"/>
    <w:rsid w:val="7F592821"/>
    <w:rsid w:val="7F5D2632"/>
    <w:rsid w:val="7F5E77FA"/>
    <w:rsid w:val="7F625BE9"/>
    <w:rsid w:val="7F673200"/>
    <w:rsid w:val="7F67379A"/>
    <w:rsid w:val="7F694E44"/>
    <w:rsid w:val="7F6D458E"/>
    <w:rsid w:val="7F71407E"/>
    <w:rsid w:val="7F7153BB"/>
    <w:rsid w:val="7F737DF6"/>
    <w:rsid w:val="7F742CA8"/>
    <w:rsid w:val="7F765B38"/>
    <w:rsid w:val="7F7818B1"/>
    <w:rsid w:val="7F78523B"/>
    <w:rsid w:val="7F792F33"/>
    <w:rsid w:val="7F7A0C13"/>
    <w:rsid w:val="7F7A739C"/>
    <w:rsid w:val="7F7D0C75"/>
    <w:rsid w:val="7F7D7E21"/>
    <w:rsid w:val="7F800765"/>
    <w:rsid w:val="7F806879"/>
    <w:rsid w:val="7F853FCE"/>
    <w:rsid w:val="7F854C92"/>
    <w:rsid w:val="7F8A1CBA"/>
    <w:rsid w:val="7F8A5140"/>
    <w:rsid w:val="7F8D69DE"/>
    <w:rsid w:val="7F8E2E82"/>
    <w:rsid w:val="7F8F6BFA"/>
    <w:rsid w:val="7F906806"/>
    <w:rsid w:val="7F916950"/>
    <w:rsid w:val="7F932247"/>
    <w:rsid w:val="7F945FBF"/>
    <w:rsid w:val="7F9950E2"/>
    <w:rsid w:val="7F9A11C0"/>
    <w:rsid w:val="7F9A1827"/>
    <w:rsid w:val="7F9B559F"/>
    <w:rsid w:val="7F9C1053"/>
    <w:rsid w:val="7F9C51A4"/>
    <w:rsid w:val="7F9D1317"/>
    <w:rsid w:val="7F9E0BEB"/>
    <w:rsid w:val="7F9F0FE3"/>
    <w:rsid w:val="7F9F3B25"/>
    <w:rsid w:val="7FA04963"/>
    <w:rsid w:val="7FA2248A"/>
    <w:rsid w:val="7FA42DDC"/>
    <w:rsid w:val="7FA77AA0"/>
    <w:rsid w:val="7FAC3308"/>
    <w:rsid w:val="7FAC50B6"/>
    <w:rsid w:val="7FAE7080"/>
    <w:rsid w:val="7FB20B86"/>
    <w:rsid w:val="7FB331DD"/>
    <w:rsid w:val="7FB421BD"/>
    <w:rsid w:val="7FB43C60"/>
    <w:rsid w:val="7FB65F35"/>
    <w:rsid w:val="7FB80376"/>
    <w:rsid w:val="7FBA726B"/>
    <w:rsid w:val="7FBB79EF"/>
    <w:rsid w:val="7FBE053E"/>
    <w:rsid w:val="7FBF303C"/>
    <w:rsid w:val="7FC12FC4"/>
    <w:rsid w:val="7FC543CA"/>
    <w:rsid w:val="7FC56178"/>
    <w:rsid w:val="7FC65583"/>
    <w:rsid w:val="7FC71857"/>
    <w:rsid w:val="7FC73451"/>
    <w:rsid w:val="7FC815F0"/>
    <w:rsid w:val="7FC9210C"/>
    <w:rsid w:val="7FC93EBA"/>
    <w:rsid w:val="7FC95651"/>
    <w:rsid w:val="7FCB7F71"/>
    <w:rsid w:val="7FCC2858"/>
    <w:rsid w:val="7FCC4628"/>
    <w:rsid w:val="7FCE327F"/>
    <w:rsid w:val="7FD01448"/>
    <w:rsid w:val="7FD05249"/>
    <w:rsid w:val="7FD509D9"/>
    <w:rsid w:val="7FD64829"/>
    <w:rsid w:val="7FD665D7"/>
    <w:rsid w:val="7FD77C55"/>
    <w:rsid w:val="7FD8453F"/>
    <w:rsid w:val="7FD85EAB"/>
    <w:rsid w:val="7FD91A42"/>
    <w:rsid w:val="7FD91C23"/>
    <w:rsid w:val="7FDA7E75"/>
    <w:rsid w:val="7FDC1E3F"/>
    <w:rsid w:val="7FDD5BB8"/>
    <w:rsid w:val="7FDF723A"/>
    <w:rsid w:val="7FE06C56"/>
    <w:rsid w:val="7FE115B6"/>
    <w:rsid w:val="7FE231CE"/>
    <w:rsid w:val="7FE5681A"/>
    <w:rsid w:val="7FE66BA8"/>
    <w:rsid w:val="7FE93E1C"/>
    <w:rsid w:val="7FE9630A"/>
    <w:rsid w:val="7FEA1938"/>
    <w:rsid w:val="7FEA3E31"/>
    <w:rsid w:val="7FEB2083"/>
    <w:rsid w:val="7FEC7BA9"/>
    <w:rsid w:val="7FF01447"/>
    <w:rsid w:val="7FF036EA"/>
    <w:rsid w:val="7FF06159"/>
    <w:rsid w:val="7FF151BF"/>
    <w:rsid w:val="7FF37189"/>
    <w:rsid w:val="7FFB603E"/>
    <w:rsid w:val="7FFD2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600" w:lineRule="exact"/>
      <w:ind w:firstLine="200" w:firstLineChars="200"/>
      <w:jc w:val="both"/>
    </w:pPr>
    <w:rPr>
      <w:rFonts w:ascii="Cambria Math" w:hAnsi="Cambria Math" w:eastAsia="宋体" w:cs="Cambria Math"/>
      <w:kern w:val="2"/>
      <w:sz w:val="24"/>
      <w:szCs w:val="20"/>
      <w:lang w:val="en-US" w:eastAsia="zh-CN" w:bidi="ar-SA"/>
    </w:rPr>
  </w:style>
  <w:style w:type="paragraph" w:styleId="2">
    <w:name w:val="heading 1"/>
    <w:basedOn w:val="1"/>
    <w:next w:val="3"/>
    <w:link w:val="28"/>
    <w:autoRedefine/>
    <w:qFormat/>
    <w:uiPriority w:val="0"/>
    <w:pPr>
      <w:tabs>
        <w:tab w:val="left" w:pos="3360"/>
      </w:tabs>
      <w:snapToGrid w:val="0"/>
      <w:ind w:firstLine="0" w:firstLineChars="0"/>
      <w:jc w:val="center"/>
      <w:outlineLvl w:val="0"/>
    </w:pPr>
    <w:rPr>
      <w:rFonts w:ascii="宋体" w:hAnsi="宋体" w:cs="等线 Light"/>
      <w:b/>
      <w:snapToGrid w:val="0"/>
      <w:kern w:val="0"/>
      <w:sz w:val="44"/>
      <w:szCs w:val="44"/>
    </w:rPr>
  </w:style>
  <w:style w:type="paragraph" w:styleId="3">
    <w:name w:val="heading 2"/>
    <w:basedOn w:val="1"/>
    <w:next w:val="1"/>
    <w:link w:val="54"/>
    <w:autoRedefine/>
    <w:qFormat/>
    <w:uiPriority w:val="0"/>
    <w:pPr>
      <w:ind w:firstLine="0" w:firstLineChars="0"/>
      <w:outlineLvl w:val="1"/>
    </w:pPr>
    <w:rPr>
      <w:rFonts w:ascii="宋体" w:hAnsi="宋体" w:cs="Times New Roman"/>
      <w:b/>
      <w:bCs/>
      <w:snapToGrid w:val="0"/>
      <w:szCs w:val="24"/>
    </w:rPr>
  </w:style>
  <w:style w:type="paragraph" w:styleId="4">
    <w:name w:val="heading 3"/>
    <w:basedOn w:val="1"/>
    <w:next w:val="1"/>
    <w:link w:val="30"/>
    <w:autoRedefine/>
    <w:qFormat/>
    <w:uiPriority w:val="0"/>
    <w:pPr>
      <w:outlineLvl w:val="2"/>
    </w:pPr>
    <w:rPr>
      <w:b/>
      <w:bCs/>
      <w:szCs w:val="32"/>
    </w:rPr>
  </w:style>
  <w:style w:type="paragraph" w:styleId="5">
    <w:name w:val="heading 4"/>
    <w:basedOn w:val="1"/>
    <w:next w:val="1"/>
    <w:link w:val="31"/>
    <w:autoRedefine/>
    <w:qFormat/>
    <w:uiPriority w:val="0"/>
    <w:pPr>
      <w:outlineLvl w:val="3"/>
    </w:pPr>
    <w:rPr>
      <w:rFonts w:ascii="Calibri Light" w:hAnsi="Calibri Light" w:cs="Times New Roman"/>
      <w:bCs/>
      <w:szCs w:val="28"/>
    </w:rPr>
  </w:style>
  <w:style w:type="paragraph" w:styleId="6">
    <w:name w:val="heading 5"/>
    <w:basedOn w:val="1"/>
    <w:next w:val="1"/>
    <w:link w:val="32"/>
    <w:autoRedefine/>
    <w:qFormat/>
    <w:uiPriority w:val="0"/>
    <w:pPr>
      <w:spacing w:line="360" w:lineRule="auto"/>
      <w:ind w:firstLine="0" w:firstLineChars="0"/>
      <w:jc w:val="center"/>
      <w:outlineLvl w:val="4"/>
    </w:pPr>
    <w:rPr>
      <w:b/>
      <w:sz w:val="28"/>
    </w:rPr>
  </w:style>
  <w:style w:type="paragraph" w:styleId="7">
    <w:name w:val="heading 6"/>
    <w:basedOn w:val="1"/>
    <w:next w:val="1"/>
    <w:link w:val="33"/>
    <w:autoRedefine/>
    <w:qFormat/>
    <w:uiPriority w:val="0"/>
    <w:pPr>
      <w:keepNext/>
      <w:keepLines/>
      <w:spacing w:before="240" w:after="64" w:line="317" w:lineRule="auto"/>
      <w:outlineLvl w:val="5"/>
    </w:pPr>
    <w:rPr>
      <w:rFonts w:ascii="Arial" w:hAnsi="Arial" w:eastAsia="黑体"/>
      <w:b/>
    </w:rPr>
  </w:style>
  <w:style w:type="character" w:default="1" w:styleId="24">
    <w:name w:val="Default Paragraph Font"/>
    <w:autoRedefine/>
    <w:qFormat/>
    <w:uiPriority w:val="0"/>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8">
    <w:name w:val="Normal Indent"/>
    <w:basedOn w:val="1"/>
    <w:next w:val="1"/>
    <w:autoRedefine/>
    <w:unhideWhenUsed/>
    <w:qFormat/>
    <w:uiPriority w:val="0"/>
    <w:pPr>
      <w:adjustRightInd w:val="0"/>
      <w:spacing w:line="360" w:lineRule="atLeast"/>
      <w:ind w:firstLine="482"/>
    </w:pPr>
    <w:rPr>
      <w:sz w:val="24"/>
      <w:szCs w:val="20"/>
    </w:rPr>
  </w:style>
  <w:style w:type="paragraph" w:styleId="9">
    <w:name w:val="caption"/>
    <w:basedOn w:val="1"/>
    <w:next w:val="1"/>
    <w:autoRedefine/>
    <w:qFormat/>
    <w:uiPriority w:val="0"/>
    <w:pPr>
      <w:ind w:firstLine="0" w:firstLineChars="0"/>
      <w:jc w:val="center"/>
    </w:pPr>
    <w:rPr>
      <w:rFonts w:ascii="Times New Roman" w:hAnsi="Times New Roman"/>
      <w:sz w:val="24"/>
      <w:szCs w:val="24"/>
    </w:rPr>
  </w:style>
  <w:style w:type="paragraph" w:styleId="10">
    <w:name w:val="annotation text"/>
    <w:basedOn w:val="1"/>
    <w:next w:val="11"/>
    <w:autoRedefine/>
    <w:qFormat/>
    <w:uiPriority w:val="0"/>
    <w:pPr>
      <w:jc w:val="left"/>
    </w:pPr>
  </w:style>
  <w:style w:type="paragraph" w:styleId="11">
    <w:name w:val="toc 1"/>
    <w:basedOn w:val="1"/>
    <w:next w:val="1"/>
    <w:autoRedefine/>
    <w:qFormat/>
    <w:uiPriority w:val="0"/>
  </w:style>
  <w:style w:type="paragraph" w:styleId="12">
    <w:name w:val="Body Text"/>
    <w:basedOn w:val="1"/>
    <w:next w:val="13"/>
    <w:autoRedefine/>
    <w:qFormat/>
    <w:uiPriority w:val="0"/>
    <w:pPr>
      <w:spacing w:before="100" w:beforeAutospacing="1" w:after="120"/>
    </w:pPr>
  </w:style>
  <w:style w:type="paragraph" w:styleId="13">
    <w:name w:val="Body Text Indent"/>
    <w:basedOn w:val="1"/>
    <w:autoRedefine/>
    <w:qFormat/>
    <w:uiPriority w:val="0"/>
    <w:pPr>
      <w:spacing w:beforeLines="50" w:line="400" w:lineRule="exact"/>
      <w:ind w:left="150" w:leftChars="150"/>
    </w:pPr>
  </w:style>
  <w:style w:type="paragraph" w:styleId="14">
    <w:name w:val="Plain Text"/>
    <w:basedOn w:val="1"/>
    <w:autoRedefine/>
    <w:qFormat/>
    <w:uiPriority w:val="0"/>
    <w:rPr>
      <w:rFonts w:ascii="宋体" w:eastAsia="宋体"/>
      <w:spacing w:val="0"/>
      <w:sz w:val="21"/>
      <w:szCs w:val="21"/>
    </w:rPr>
  </w:style>
  <w:style w:type="paragraph" w:styleId="15">
    <w:name w:val="Body Text Indent 2"/>
    <w:basedOn w:val="1"/>
    <w:autoRedefine/>
    <w:qFormat/>
    <w:uiPriority w:val="0"/>
    <w:pPr>
      <w:spacing w:beforeLines="50" w:line="400" w:lineRule="exact"/>
      <w:ind w:firstLine="200" w:firstLineChars="200"/>
    </w:pPr>
  </w:style>
  <w:style w:type="paragraph" w:styleId="16">
    <w:name w:val="Balloon Text"/>
    <w:basedOn w:val="1"/>
    <w:autoRedefine/>
    <w:qFormat/>
    <w:uiPriority w:val="0"/>
    <w:pPr>
      <w:spacing w:line="240" w:lineRule="auto"/>
    </w:pPr>
    <w:rPr>
      <w:sz w:val="18"/>
      <w:szCs w:val="18"/>
    </w:rPr>
  </w:style>
  <w:style w:type="paragraph" w:styleId="17">
    <w:name w:val="footer"/>
    <w:basedOn w:val="1"/>
    <w:autoRedefine/>
    <w:qFormat/>
    <w:uiPriority w:val="0"/>
    <w:pPr>
      <w:tabs>
        <w:tab w:val="center" w:pos="4153"/>
        <w:tab w:val="right" w:pos="8306"/>
      </w:tabs>
      <w:snapToGrid w:val="0"/>
      <w:jc w:val="left"/>
    </w:pPr>
    <w:rPr>
      <w:sz w:val="18"/>
    </w:rPr>
  </w:style>
  <w:style w:type="paragraph" w:styleId="18">
    <w:name w:val="header"/>
    <w:basedOn w:val="1"/>
    <w:autoRedefine/>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pPr>
    <w:rPr>
      <w:sz w:val="18"/>
    </w:rPr>
  </w:style>
  <w:style w:type="paragraph" w:styleId="19">
    <w:name w:val="Subtitle"/>
    <w:basedOn w:val="1"/>
    <w:autoRedefine/>
    <w:qFormat/>
    <w:uiPriority w:val="0"/>
    <w:pPr>
      <w:spacing w:before="240" w:after="60" w:line="312" w:lineRule="auto"/>
      <w:jc w:val="center"/>
      <w:outlineLvl w:val="1"/>
    </w:pPr>
    <w:rPr>
      <w:rFonts w:ascii="Arial" w:hAnsi="Arial"/>
      <w:b/>
      <w:kern w:val="28"/>
      <w:sz w:val="32"/>
    </w:rPr>
  </w:style>
  <w:style w:type="paragraph" w:styleId="20">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21">
    <w:name w:val="annotation subject"/>
    <w:basedOn w:val="10"/>
    <w:next w:val="10"/>
    <w:autoRedefine/>
    <w:qFormat/>
    <w:uiPriority w:val="0"/>
    <w:rPr>
      <w:b/>
      <w:bCs/>
    </w:r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autoRedefine/>
    <w:qFormat/>
    <w:uiPriority w:val="0"/>
    <w:rPr>
      <w:b/>
      <w:bCs/>
    </w:rPr>
  </w:style>
  <w:style w:type="character" w:styleId="26">
    <w:name w:val="page number"/>
    <w:basedOn w:val="24"/>
    <w:autoRedefine/>
    <w:qFormat/>
    <w:uiPriority w:val="0"/>
  </w:style>
  <w:style w:type="character" w:styleId="27">
    <w:name w:val="annotation reference"/>
    <w:basedOn w:val="24"/>
    <w:autoRedefine/>
    <w:qFormat/>
    <w:uiPriority w:val="0"/>
    <w:rPr>
      <w:sz w:val="21"/>
      <w:szCs w:val="21"/>
    </w:rPr>
  </w:style>
  <w:style w:type="character" w:customStyle="1" w:styleId="28">
    <w:name w:val="heading 1 Char"/>
    <w:basedOn w:val="24"/>
    <w:link w:val="2"/>
    <w:autoRedefine/>
    <w:qFormat/>
    <w:uiPriority w:val="0"/>
    <w:rPr>
      <w:rFonts w:ascii="宋体" w:hAnsi="宋体" w:eastAsia="宋体" w:cs="等线 Light"/>
      <w:b/>
      <w:snapToGrid w:val="0"/>
      <w:kern w:val="0"/>
      <w:sz w:val="44"/>
      <w:szCs w:val="44"/>
      <w:lang w:val="en-US" w:eastAsia="zh-CN" w:bidi="ar-SA"/>
    </w:rPr>
  </w:style>
  <w:style w:type="character" w:customStyle="1" w:styleId="29">
    <w:name w:val="heading 2 Char"/>
    <w:basedOn w:val="24"/>
    <w:link w:val="3"/>
    <w:autoRedefine/>
    <w:qFormat/>
    <w:uiPriority w:val="0"/>
    <w:rPr>
      <w:rFonts w:ascii="宋体" w:hAnsi="宋体" w:eastAsia="宋体" w:cs="Times New Roman"/>
      <w:b/>
      <w:bCs/>
      <w:snapToGrid w:val="0"/>
      <w:kern w:val="2"/>
      <w:sz w:val="24"/>
      <w:szCs w:val="24"/>
      <w:lang w:val="en-US" w:eastAsia="zh-CN" w:bidi="ar-SA"/>
    </w:rPr>
  </w:style>
  <w:style w:type="character" w:customStyle="1" w:styleId="30">
    <w:name w:val="heading 3 Char"/>
    <w:basedOn w:val="24"/>
    <w:link w:val="4"/>
    <w:autoRedefine/>
    <w:qFormat/>
    <w:uiPriority w:val="0"/>
    <w:rPr>
      <w:rFonts w:ascii="Cambria Math" w:hAnsi="Cambria Math" w:eastAsia="宋体" w:cs="Cambria Math"/>
      <w:b/>
      <w:bCs/>
      <w:kern w:val="2"/>
      <w:sz w:val="24"/>
      <w:szCs w:val="32"/>
      <w:lang w:val="en-US" w:eastAsia="zh-CN" w:bidi="ar-SA"/>
    </w:rPr>
  </w:style>
  <w:style w:type="character" w:customStyle="1" w:styleId="31">
    <w:name w:val="heading 4 Char"/>
    <w:basedOn w:val="24"/>
    <w:link w:val="5"/>
    <w:autoRedefine/>
    <w:qFormat/>
    <w:uiPriority w:val="0"/>
    <w:rPr>
      <w:rFonts w:ascii="Calibri Light" w:hAnsi="Calibri Light" w:eastAsia="宋体" w:cs="Times New Roman"/>
      <w:bCs/>
      <w:kern w:val="2"/>
      <w:sz w:val="24"/>
      <w:szCs w:val="28"/>
      <w:lang w:val="en-US" w:eastAsia="zh-CN" w:bidi="ar-SA"/>
    </w:rPr>
  </w:style>
  <w:style w:type="character" w:customStyle="1" w:styleId="32">
    <w:name w:val="heading 5 Char"/>
    <w:basedOn w:val="24"/>
    <w:link w:val="6"/>
    <w:autoRedefine/>
    <w:qFormat/>
    <w:uiPriority w:val="0"/>
    <w:rPr>
      <w:rFonts w:ascii="Cambria Math" w:hAnsi="Cambria Math" w:eastAsia="宋体" w:cs="Cambria Math"/>
      <w:b/>
      <w:kern w:val="2"/>
      <w:sz w:val="28"/>
      <w:szCs w:val="20"/>
      <w:lang w:val="en-US" w:eastAsia="zh-CN" w:bidi="ar-SA"/>
    </w:rPr>
  </w:style>
  <w:style w:type="character" w:customStyle="1" w:styleId="33">
    <w:name w:val="heading 6 Char"/>
    <w:basedOn w:val="24"/>
    <w:link w:val="7"/>
    <w:autoRedefine/>
    <w:qFormat/>
    <w:uiPriority w:val="0"/>
    <w:rPr>
      <w:rFonts w:ascii="Arial" w:hAnsi="Arial" w:eastAsia="黑体" w:cs="Cambria Math"/>
      <w:b/>
      <w:kern w:val="2"/>
      <w:sz w:val="24"/>
      <w:szCs w:val="20"/>
      <w:lang w:val="en-US" w:eastAsia="zh-CN" w:bidi="ar-SA"/>
    </w:rPr>
  </w:style>
  <w:style w:type="paragraph" w:customStyle="1" w:styleId="34">
    <w:name w:val="参选文件格式1"/>
    <w:basedOn w:val="1"/>
    <w:next w:val="1"/>
    <w:link w:val="35"/>
    <w:autoRedefine/>
    <w:qFormat/>
    <w:uiPriority w:val="0"/>
    <w:pPr>
      <w:spacing w:line="360" w:lineRule="auto"/>
      <w:ind w:firstLine="0" w:firstLineChars="0"/>
      <w:jc w:val="center"/>
      <w:outlineLvl w:val="1"/>
    </w:pPr>
    <w:rPr>
      <w:b/>
      <w:sz w:val="28"/>
    </w:rPr>
  </w:style>
  <w:style w:type="character" w:customStyle="1" w:styleId="35">
    <w:name w:val="参选文件格式1 Char"/>
    <w:basedOn w:val="24"/>
    <w:link w:val="34"/>
    <w:autoRedefine/>
    <w:qFormat/>
    <w:uiPriority w:val="0"/>
    <w:rPr>
      <w:rFonts w:ascii="Cambria Math" w:hAnsi="Cambria Math" w:eastAsia="宋体" w:cs="Cambria Math"/>
      <w:b/>
      <w:kern w:val="2"/>
      <w:sz w:val="28"/>
      <w:szCs w:val="20"/>
      <w:lang w:val="en-US" w:eastAsia="zh-CN" w:bidi="ar-SA"/>
    </w:rPr>
  </w:style>
  <w:style w:type="paragraph" w:customStyle="1" w:styleId="36">
    <w:name w:val="参选文件格式2"/>
    <w:basedOn w:val="1"/>
    <w:next w:val="1"/>
    <w:autoRedefine/>
    <w:qFormat/>
    <w:uiPriority w:val="0"/>
    <w:pPr>
      <w:ind w:firstLine="0" w:firstLineChars="0"/>
      <w:jc w:val="center"/>
      <w:outlineLvl w:val="2"/>
    </w:pPr>
    <w:rPr>
      <w:bCs/>
      <w:szCs w:val="32"/>
    </w:rPr>
  </w:style>
  <w:style w:type="paragraph" w:customStyle="1" w:styleId="37">
    <w:name w:val="参选文件格式3"/>
    <w:basedOn w:val="1"/>
    <w:link w:val="38"/>
    <w:autoRedefine/>
    <w:qFormat/>
    <w:uiPriority w:val="0"/>
    <w:pPr>
      <w:tabs>
        <w:tab w:val="left" w:pos="6300"/>
      </w:tabs>
      <w:snapToGrid w:val="0"/>
      <w:ind w:firstLine="0" w:firstLineChars="0"/>
      <w:jc w:val="center"/>
    </w:pPr>
    <w:rPr>
      <w:rFonts w:ascii="宋体" w:hAnsi="宋体"/>
      <w:b/>
      <w:snapToGrid w:val="0"/>
      <w:kern w:val="0"/>
    </w:rPr>
  </w:style>
  <w:style w:type="character" w:customStyle="1" w:styleId="38">
    <w:name w:val="参选文件格式3 Char"/>
    <w:basedOn w:val="24"/>
    <w:link w:val="37"/>
    <w:autoRedefine/>
    <w:qFormat/>
    <w:uiPriority w:val="0"/>
    <w:rPr>
      <w:rFonts w:ascii="宋体" w:hAnsi="宋体" w:eastAsia="宋体" w:cs="Cambria Math"/>
      <w:b/>
      <w:snapToGrid w:val="0"/>
      <w:kern w:val="0"/>
      <w:sz w:val="24"/>
      <w:szCs w:val="20"/>
      <w:lang w:val="en-US" w:eastAsia="zh-CN" w:bidi="ar-SA"/>
    </w:rPr>
  </w:style>
  <w:style w:type="character" w:customStyle="1" w:styleId="39">
    <w:name w:val="font11"/>
    <w:basedOn w:val="24"/>
    <w:autoRedefine/>
    <w:qFormat/>
    <w:uiPriority w:val="0"/>
    <w:rPr>
      <w:rFonts w:ascii="宋体" w:hAnsi="宋体" w:eastAsia="宋体" w:cs="宋体"/>
      <w:b/>
      <w:bCs/>
      <w:color w:val="000000"/>
      <w:sz w:val="21"/>
      <w:szCs w:val="21"/>
      <w:u w:val="none"/>
    </w:rPr>
  </w:style>
  <w:style w:type="character" w:customStyle="1" w:styleId="40">
    <w:name w:val="font21"/>
    <w:basedOn w:val="24"/>
    <w:autoRedefine/>
    <w:qFormat/>
    <w:uiPriority w:val="0"/>
    <w:rPr>
      <w:rFonts w:ascii="宋体" w:hAnsi="宋体" w:eastAsia="宋体" w:cs="宋体"/>
      <w:color w:val="000000"/>
      <w:sz w:val="21"/>
      <w:szCs w:val="21"/>
      <w:u w:val="none"/>
    </w:rPr>
  </w:style>
  <w:style w:type="character" w:customStyle="1" w:styleId="41">
    <w:name w:val="font31"/>
    <w:basedOn w:val="24"/>
    <w:autoRedefine/>
    <w:qFormat/>
    <w:uiPriority w:val="0"/>
    <w:rPr>
      <w:rFonts w:ascii="宋体" w:hAnsi="宋体" w:eastAsia="宋体" w:cs="宋体"/>
      <w:color w:val="FF0000"/>
      <w:sz w:val="21"/>
      <w:szCs w:val="21"/>
      <w:u w:val="none"/>
    </w:rPr>
  </w:style>
  <w:style w:type="paragraph" w:styleId="42">
    <w:name w:val="List Paragraph"/>
    <w:basedOn w:val="1"/>
    <w:autoRedefine/>
    <w:qFormat/>
    <w:uiPriority w:val="0"/>
  </w:style>
  <w:style w:type="paragraph" w:customStyle="1" w:styleId="43">
    <w:name w:val="列出段落2"/>
    <w:basedOn w:val="1"/>
    <w:autoRedefine/>
    <w:qFormat/>
    <w:uiPriority w:val="0"/>
    <w:pPr>
      <w:spacing w:line="360" w:lineRule="auto"/>
    </w:pPr>
    <w:rPr>
      <w:rFonts w:ascii="Calibri" w:hAnsi="Calibri" w:eastAsia="宋体" w:cs="Arial"/>
      <w:szCs w:val="22"/>
    </w:rPr>
  </w:style>
  <w:style w:type="paragraph" w:customStyle="1" w:styleId="44">
    <w:name w:val="第四行"/>
    <w:basedOn w:val="1"/>
    <w:autoRedefine/>
    <w:qFormat/>
    <w:uiPriority w:val="0"/>
    <w:pPr>
      <w:tabs>
        <w:tab w:val="left" w:pos="1200"/>
      </w:tabs>
      <w:spacing w:line="360" w:lineRule="auto"/>
      <w:jc w:val="center"/>
    </w:pPr>
    <w:rPr>
      <w:rFonts w:ascii="宋体" w:hAnsi="Arial Narrow" w:eastAsia="宋体" w:cs="Times New Roman"/>
      <w:b/>
      <w:spacing w:val="40"/>
      <w:kern w:val="2"/>
      <w:sz w:val="28"/>
      <w:szCs w:val="20"/>
      <w:lang w:eastAsia="zh-CN"/>
    </w:rPr>
  </w:style>
  <w:style w:type="paragraph" w:customStyle="1" w:styleId="45">
    <w:name w:val="列表段落"/>
    <w:basedOn w:val="1"/>
    <w:autoRedefine/>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46">
    <w:name w:val="一级"/>
    <w:basedOn w:val="1"/>
    <w:autoRedefine/>
    <w:qFormat/>
    <w:uiPriority w:val="0"/>
    <w:pPr>
      <w:spacing w:before="20" w:beforeLines="20" w:after="20" w:afterLines="20"/>
      <w:jc w:val="left"/>
    </w:pPr>
    <w:rPr>
      <w:rFonts w:ascii="Times New Roman" w:hAnsi="Times New Roman" w:eastAsia="方正黑体_GBK" w:cs="Times New Roman"/>
      <w:szCs w:val="28"/>
    </w:rPr>
  </w:style>
  <w:style w:type="paragraph" w:customStyle="1" w:styleId="47">
    <w:name w:val="列出段落1"/>
    <w:basedOn w:val="1"/>
    <w:autoRedefine/>
    <w:qFormat/>
    <w:uiPriority w:val="34"/>
    <w:pPr>
      <w:ind w:firstLine="420" w:firstLineChars="200"/>
    </w:pPr>
  </w:style>
  <w:style w:type="character" w:customStyle="1" w:styleId="48">
    <w:name w:val="font51"/>
    <w:basedOn w:val="24"/>
    <w:autoRedefine/>
    <w:qFormat/>
    <w:uiPriority w:val="0"/>
    <w:rPr>
      <w:rFonts w:hint="eastAsia" w:ascii="宋体" w:hAnsi="宋体" w:eastAsia="宋体" w:cs="宋体"/>
      <w:b/>
      <w:bCs/>
      <w:color w:val="000000"/>
      <w:sz w:val="21"/>
      <w:szCs w:val="21"/>
      <w:u w:val="none"/>
    </w:rPr>
  </w:style>
  <w:style w:type="character" w:customStyle="1" w:styleId="49">
    <w:name w:val="font_text_1"/>
    <w:basedOn w:val="24"/>
    <w:autoRedefine/>
    <w:qFormat/>
    <w:uiPriority w:val="0"/>
  </w:style>
  <w:style w:type="paragraph" w:customStyle="1" w:styleId="50">
    <w:name w:val="*正文"/>
    <w:basedOn w:val="1"/>
    <w:autoRedefine/>
    <w:qFormat/>
    <w:uiPriority w:val="0"/>
    <w:pPr>
      <w:widowControl/>
      <w:ind w:firstLine="200" w:firstLineChars="200"/>
    </w:pPr>
    <w:rPr>
      <w:rFonts w:ascii="仿宋_GB2312" w:eastAsia="仿宋_GB2312"/>
      <w:kern w:val="0"/>
      <w:sz w:val="24"/>
      <w:szCs w:val="28"/>
    </w:rPr>
  </w:style>
  <w:style w:type="character" w:customStyle="1" w:styleId="51">
    <w:name w:val="font61"/>
    <w:basedOn w:val="24"/>
    <w:autoRedefine/>
    <w:qFormat/>
    <w:uiPriority w:val="0"/>
    <w:rPr>
      <w:rFonts w:hint="default" w:ascii="Times New Roman" w:hAnsi="Times New Roman" w:cs="Times New Roman"/>
      <w:color w:val="000000"/>
      <w:sz w:val="28"/>
      <w:szCs w:val="28"/>
      <w:u w:val="none"/>
    </w:rPr>
  </w:style>
  <w:style w:type="character" w:customStyle="1" w:styleId="52">
    <w:name w:val="font41"/>
    <w:basedOn w:val="24"/>
    <w:autoRedefine/>
    <w:qFormat/>
    <w:uiPriority w:val="0"/>
    <w:rPr>
      <w:rFonts w:hint="eastAsia" w:ascii="宋体" w:hAnsi="宋体" w:eastAsia="宋体" w:cs="宋体"/>
      <w:color w:val="FF0000"/>
      <w:sz w:val="28"/>
      <w:szCs w:val="28"/>
      <w:u w:val="none"/>
    </w:rPr>
  </w:style>
  <w:style w:type="character" w:customStyle="1" w:styleId="53">
    <w:name w:val="font71"/>
    <w:basedOn w:val="24"/>
    <w:autoRedefine/>
    <w:qFormat/>
    <w:uiPriority w:val="0"/>
    <w:rPr>
      <w:rFonts w:hint="eastAsia" w:ascii="宋体" w:hAnsi="宋体" w:eastAsia="宋体" w:cs="宋体"/>
      <w:color w:val="FF0000"/>
      <w:sz w:val="28"/>
      <w:szCs w:val="28"/>
      <w:u w:val="none"/>
    </w:rPr>
  </w:style>
  <w:style w:type="character" w:customStyle="1" w:styleId="54">
    <w:name w:val="标题 2 Char"/>
    <w:basedOn w:val="24"/>
    <w:link w:val="3"/>
    <w:autoRedefine/>
    <w:qFormat/>
    <w:uiPriority w:val="9"/>
    <w:rPr>
      <w:rFonts w:ascii="宋体" w:hAnsi="宋体" w:cstheme="majorBidi"/>
      <w:b/>
      <w:bCs/>
      <w:snapToGrid w:val="0"/>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000 0 1 1 1 1"/>
    <sectPr/>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43D9D2-AE98-411B-A263-417897A7E577}">
  <ds:schemaRefs/>
</ds:datastoreItem>
</file>

<file path=docProps/app.xml><?xml version="1.0" encoding="utf-8"?>
<Properties xmlns="http://schemas.openxmlformats.org/officeDocument/2006/extended-properties" xmlns:vt="http://schemas.openxmlformats.org/officeDocument/2006/docPropsVTypes">
  <Template>Normal.eit</Template>
  <Pages>156</Pages>
  <Words>70883</Words>
  <Characters>74958</Characters>
  <Lines>0</Lines>
  <Paragraphs>719</Paragraphs>
  <TotalTime>3</TotalTime>
  <ScaleCrop>false</ScaleCrop>
  <LinksUpToDate>false</LinksUpToDate>
  <CharactersWithSpaces>76058</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2024-01-16T14:16:00Z</dcterms:created>
  <dc:creator>admin</dc:creator>
  <cp:lastModifiedBy>张婷</cp:lastModifiedBy>
  <cp:lastPrinted>2024-01-19T17:29:00Z</cp:lastPrinted>
  <dcterms:modified xsi:type="dcterms:W3CDTF">2024-09-29T07:32:38Z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ECEEBE38B1044DA089DACFFBE31078B4_13</vt:lpwstr>
  </property>
</Properties>
</file>