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8393">
      <w:pPr>
        <w:tabs>
          <w:tab w:val="center" w:pos="4201"/>
          <w:tab w:val="right" w:leader="dot" w:pos="9298"/>
        </w:tabs>
        <w:spacing w:line="360" w:lineRule="auto"/>
        <w:ind w:firstLine="0" w:firstLineChars="0"/>
        <w:rPr>
          <w:rFonts w:ascii="Times New Roman" w:hAnsi="Times New Roman"/>
          <w:color w:val="auto"/>
          <w:highlight w:val="none"/>
        </w:rPr>
      </w:pPr>
    </w:p>
    <w:p w14:paraId="457CF66E">
      <w:pPr>
        <w:spacing w:line="360" w:lineRule="auto"/>
        <w:ind w:firstLine="0" w:firstLineChars="0"/>
        <w:rPr>
          <w:rFonts w:ascii="Times New Roman" w:hAnsi="Times New Roman" w:cs="Cambria"/>
          <w:b/>
          <w:snapToGrid w:val="0"/>
          <w:color w:val="auto"/>
          <w:kern w:val="0"/>
          <w:sz w:val="52"/>
          <w:szCs w:val="84"/>
          <w:highlight w:val="none"/>
        </w:rPr>
      </w:pPr>
    </w:p>
    <w:p w14:paraId="4D2E85A7">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67EF1D9C">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u w:val="none"/>
        </w:rPr>
        <w:t>2024年电子银行安全评估服务</w:t>
      </w:r>
      <w:r>
        <w:rPr>
          <w:rFonts w:hint="eastAsia" w:ascii="Times New Roman" w:hAnsi="Times New Roman" w:cs="Times New Roman"/>
          <w:b/>
          <w:snapToGrid w:val="0"/>
          <w:color w:val="auto"/>
          <w:kern w:val="0"/>
          <w:sz w:val="48"/>
          <w:szCs w:val="84"/>
          <w:highlight w:val="none"/>
        </w:rPr>
        <w:t>项目</w:t>
      </w:r>
    </w:p>
    <w:p w14:paraId="7F146D60">
      <w:pPr>
        <w:spacing w:line="360" w:lineRule="auto"/>
        <w:ind w:firstLine="0" w:firstLineChars="0"/>
        <w:jc w:val="center"/>
        <w:rPr>
          <w:rFonts w:ascii="Times New Roman" w:hAnsi="Times New Roman" w:cs="Times New Roman"/>
          <w:snapToGrid w:val="0"/>
          <w:color w:val="auto"/>
          <w:kern w:val="0"/>
          <w:sz w:val="18"/>
          <w:highlight w:val="none"/>
        </w:rPr>
      </w:pPr>
    </w:p>
    <w:p w14:paraId="4F4726A7">
      <w:pPr>
        <w:spacing w:line="360" w:lineRule="auto"/>
        <w:ind w:firstLine="0" w:firstLineChars="0"/>
        <w:jc w:val="center"/>
        <w:rPr>
          <w:rFonts w:ascii="Times New Roman" w:hAnsi="Times New Roman" w:cs="Times New Roman"/>
          <w:snapToGrid w:val="0"/>
          <w:color w:val="auto"/>
          <w:kern w:val="0"/>
          <w:sz w:val="20"/>
          <w:highlight w:val="none"/>
        </w:rPr>
      </w:pPr>
    </w:p>
    <w:p w14:paraId="4931FC76">
      <w:pPr>
        <w:spacing w:line="360" w:lineRule="auto"/>
        <w:ind w:firstLine="0" w:firstLineChars="0"/>
        <w:jc w:val="left"/>
        <w:rPr>
          <w:rFonts w:ascii="Times New Roman" w:hAnsi="Times New Roman" w:cs="Times New Roman"/>
          <w:snapToGrid w:val="0"/>
          <w:color w:val="auto"/>
          <w:kern w:val="0"/>
          <w:sz w:val="20"/>
          <w:highlight w:val="none"/>
        </w:rPr>
      </w:pPr>
    </w:p>
    <w:p w14:paraId="07A30113">
      <w:pPr>
        <w:spacing w:line="360" w:lineRule="auto"/>
        <w:ind w:firstLine="0" w:firstLineChars="0"/>
        <w:jc w:val="left"/>
        <w:rPr>
          <w:rFonts w:ascii="Times New Roman" w:hAnsi="Times New Roman" w:cs="Times New Roman"/>
          <w:snapToGrid w:val="0"/>
          <w:color w:val="auto"/>
          <w:kern w:val="0"/>
          <w:sz w:val="20"/>
          <w:highlight w:val="none"/>
        </w:rPr>
      </w:pPr>
    </w:p>
    <w:p w14:paraId="4FD01C46">
      <w:pPr>
        <w:spacing w:line="360" w:lineRule="auto"/>
        <w:ind w:firstLine="0" w:firstLineChars="0"/>
        <w:jc w:val="left"/>
        <w:rPr>
          <w:rFonts w:ascii="Times New Roman" w:hAnsi="Times New Roman" w:cs="Times New Roman"/>
          <w:snapToGrid w:val="0"/>
          <w:color w:val="auto"/>
          <w:kern w:val="0"/>
          <w:sz w:val="20"/>
          <w:highlight w:val="none"/>
        </w:rPr>
      </w:pPr>
    </w:p>
    <w:p w14:paraId="771AB28F">
      <w:pPr>
        <w:spacing w:line="360" w:lineRule="auto"/>
        <w:ind w:firstLine="0" w:firstLineChars="0"/>
        <w:jc w:val="left"/>
        <w:rPr>
          <w:rFonts w:ascii="Times New Roman" w:hAnsi="Times New Roman" w:cs="Times New Roman"/>
          <w:snapToGrid w:val="0"/>
          <w:color w:val="auto"/>
          <w:kern w:val="0"/>
          <w:sz w:val="20"/>
          <w:highlight w:val="none"/>
        </w:rPr>
      </w:pPr>
    </w:p>
    <w:p w14:paraId="5949C8DA">
      <w:pPr>
        <w:spacing w:line="360" w:lineRule="auto"/>
        <w:ind w:firstLine="0" w:firstLineChars="0"/>
        <w:jc w:val="left"/>
        <w:rPr>
          <w:rFonts w:ascii="Times New Roman" w:hAnsi="Times New Roman" w:cs="Times New Roman"/>
          <w:snapToGrid w:val="0"/>
          <w:color w:val="auto"/>
          <w:kern w:val="0"/>
          <w:sz w:val="20"/>
          <w:highlight w:val="none"/>
        </w:rPr>
      </w:pPr>
    </w:p>
    <w:p w14:paraId="2A3DD2A8">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4859DD1C">
      <w:pPr>
        <w:spacing w:line="360" w:lineRule="auto"/>
        <w:ind w:firstLine="0" w:firstLineChars="0"/>
        <w:jc w:val="center"/>
        <w:rPr>
          <w:rFonts w:ascii="Times New Roman" w:hAnsi="Times New Roman" w:cs="Times New Roman"/>
          <w:b/>
          <w:snapToGrid w:val="0"/>
          <w:color w:val="auto"/>
          <w:kern w:val="0"/>
          <w:szCs w:val="28"/>
          <w:highlight w:val="none"/>
        </w:rPr>
      </w:pPr>
    </w:p>
    <w:p w14:paraId="3507A9E7">
      <w:pPr>
        <w:spacing w:line="360" w:lineRule="auto"/>
        <w:ind w:firstLine="0" w:firstLineChars="0"/>
        <w:jc w:val="center"/>
        <w:rPr>
          <w:rFonts w:ascii="Times New Roman" w:hAnsi="Times New Roman" w:cs="Times New Roman"/>
          <w:b/>
          <w:snapToGrid w:val="0"/>
          <w:color w:val="auto"/>
          <w:kern w:val="0"/>
          <w:szCs w:val="28"/>
          <w:highlight w:val="none"/>
        </w:rPr>
      </w:pPr>
    </w:p>
    <w:p w14:paraId="7FFBCA91">
      <w:pPr>
        <w:spacing w:line="360" w:lineRule="auto"/>
        <w:ind w:firstLine="0" w:firstLineChars="0"/>
        <w:jc w:val="center"/>
        <w:rPr>
          <w:rFonts w:ascii="Times New Roman" w:hAnsi="Times New Roman" w:cs="Times New Roman"/>
          <w:b/>
          <w:snapToGrid w:val="0"/>
          <w:color w:val="auto"/>
          <w:kern w:val="0"/>
          <w:szCs w:val="28"/>
          <w:highlight w:val="none"/>
        </w:rPr>
      </w:pPr>
    </w:p>
    <w:p w14:paraId="463631E5">
      <w:pPr>
        <w:ind w:firstLine="0" w:firstLineChars="0"/>
        <w:rPr>
          <w:rFonts w:ascii="Times New Roman" w:hAnsi="Times New Roman"/>
          <w:color w:val="auto"/>
          <w:highlight w:val="none"/>
        </w:rPr>
      </w:pPr>
    </w:p>
    <w:p w14:paraId="2CABF1CE">
      <w:pPr>
        <w:pStyle w:val="9"/>
        <w:rPr>
          <w:rFonts w:ascii="Times New Roman" w:hAnsi="Times New Roman"/>
          <w:color w:val="auto"/>
          <w:highlight w:val="none"/>
        </w:rPr>
      </w:pPr>
    </w:p>
    <w:p w14:paraId="6B2DCAB2">
      <w:pPr>
        <w:rPr>
          <w:rFonts w:ascii="Times New Roman" w:hAnsi="Times New Roman"/>
          <w:color w:val="auto"/>
          <w:highlight w:val="none"/>
        </w:rPr>
      </w:pPr>
    </w:p>
    <w:p w14:paraId="4797DD4F">
      <w:pPr>
        <w:rPr>
          <w:rFonts w:ascii="Times New Roman" w:hAnsi="Times New Roman"/>
          <w:color w:val="auto"/>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A07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56" w:type="dxa"/>
            <w:tcBorders>
              <w:top w:val="nil"/>
              <w:left w:val="nil"/>
              <w:bottom w:val="nil"/>
              <w:right w:val="nil"/>
              <w:tl2br w:val="nil"/>
              <w:tr2bl w:val="nil"/>
            </w:tcBorders>
            <w:noWrap/>
            <w:vAlign w:val="center"/>
          </w:tcPr>
          <w:p w14:paraId="39ADCADA">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op w:val="nil"/>
              <w:left w:val="nil"/>
              <w:bottom w:val="nil"/>
              <w:right w:val="nil"/>
              <w:tl2br w:val="nil"/>
              <w:tr2bl w:val="nil"/>
            </w:tcBorders>
            <w:noWrap/>
            <w:vAlign w:val="center"/>
          </w:tcPr>
          <w:p w14:paraId="1DC6CE8D">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op w:val="nil"/>
              <w:left w:val="nil"/>
              <w:bottom w:val="nil"/>
              <w:right w:val="nil"/>
              <w:tl2br w:val="nil"/>
              <w:tr2bl w:val="nil"/>
            </w:tcBorders>
            <w:noWrap/>
            <w:vAlign w:val="center"/>
          </w:tcPr>
          <w:p w14:paraId="679A0C77">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0B86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0D42C3E3">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op w:val="nil"/>
              <w:left w:val="nil"/>
              <w:bottom w:val="nil"/>
              <w:right w:val="nil"/>
              <w:tl2br w:val="nil"/>
              <w:tr2bl w:val="nil"/>
            </w:tcBorders>
            <w:noWrap/>
            <w:vAlign w:val="center"/>
          </w:tcPr>
          <w:p w14:paraId="01834C2D">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2024</w:t>
            </w:r>
            <w:r>
              <w:rPr>
                <w:rFonts w:ascii="Times New Roman" w:hAnsi="Times New Roman" w:cs="Times New Roman"/>
                <w:b/>
                <w:snapToGrid w:val="0"/>
                <w:color w:val="auto"/>
                <w:kern w:val="0"/>
                <w:sz w:val="30"/>
                <w:szCs w:val="30"/>
                <w:highlight w:val="none"/>
              </w:rPr>
              <w:t>年</w:t>
            </w:r>
            <w:r>
              <w:rPr>
                <w:rFonts w:hint="eastAsia" w:ascii="Times New Roman" w:hAnsi="Times New Roman" w:cs="Times New Roman"/>
                <w:b/>
                <w:snapToGrid w:val="0"/>
                <w:color w:val="auto"/>
                <w:kern w:val="0"/>
                <w:sz w:val="30"/>
                <w:szCs w:val="30"/>
                <w:highlight w:val="none"/>
                <w:lang w:val="en-US" w:eastAsia="zh-CN"/>
              </w:rPr>
              <w:t>10</w:t>
            </w:r>
            <w:r>
              <w:rPr>
                <w:rFonts w:ascii="Times New Roman" w:hAnsi="Times New Roman" w:cs="Times New Roman"/>
                <w:b/>
                <w:snapToGrid w:val="0"/>
                <w:color w:val="auto"/>
                <w:kern w:val="0"/>
                <w:sz w:val="30"/>
                <w:szCs w:val="30"/>
                <w:highlight w:val="none"/>
              </w:rPr>
              <w:t>月</w:t>
            </w:r>
          </w:p>
        </w:tc>
        <w:tc>
          <w:tcPr>
            <w:tcW w:w="2020" w:type="dxa"/>
            <w:vMerge w:val="continue"/>
            <w:tcBorders>
              <w:top w:val="nil"/>
              <w:left w:val="nil"/>
              <w:bottom w:val="nil"/>
              <w:right w:val="nil"/>
              <w:tl2br w:val="nil"/>
              <w:tr2bl w:val="nil"/>
            </w:tcBorders>
            <w:noWrap/>
            <w:vAlign w:val="center"/>
          </w:tcPr>
          <w:p w14:paraId="73475483">
            <w:pPr>
              <w:rPr>
                <w:color w:val="auto"/>
                <w:highlight w:val="none"/>
              </w:rPr>
            </w:pPr>
          </w:p>
        </w:tc>
      </w:tr>
    </w:tbl>
    <w:p w14:paraId="23541295">
      <w:pPr>
        <w:rPr>
          <w:rFonts w:ascii="Times New Roman" w:hAnsi="Times New Roman"/>
          <w:color w:val="auto"/>
          <w:highlight w:val="none"/>
        </w:rPr>
      </w:pPr>
    </w:p>
    <w:p w14:paraId="009FC58F">
      <w:pPr>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0302A3CC">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5789C373">
      <w:pPr>
        <w:pStyle w:val="16"/>
        <w:tabs>
          <w:tab w:val="right" w:leader="dot" w:pos="8306"/>
        </w:tabs>
      </w:pPr>
      <w:r>
        <w:rPr>
          <w:rFonts w:hint="eastAsia"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_Toc23074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_Toc23074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1E5FDAF7">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_Toc5925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_Toc5925 \h </w:instrText>
      </w:r>
      <w:r>
        <w:fldChar w:fldCharType="separate"/>
      </w:r>
      <w:r>
        <w:t>6</w:t>
      </w:r>
      <w:r>
        <w:fldChar w:fldCharType="end"/>
      </w:r>
      <w:r>
        <w:rPr>
          <w:rFonts w:ascii="Times New Roman" w:hAnsi="Times New Roman"/>
          <w:snapToGrid w:val="0"/>
          <w:color w:val="auto"/>
          <w:kern w:val="0"/>
          <w:szCs w:val="24"/>
          <w:highlight w:val="none"/>
        </w:rPr>
        <w:fldChar w:fldCharType="end"/>
      </w:r>
    </w:p>
    <w:p w14:paraId="61D0208F">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_Toc4279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_Toc4279 \h </w:instrText>
      </w:r>
      <w:r>
        <w:fldChar w:fldCharType="separate"/>
      </w:r>
      <w:r>
        <w:t>15</w:t>
      </w:r>
      <w:r>
        <w:fldChar w:fldCharType="end"/>
      </w:r>
      <w:r>
        <w:rPr>
          <w:rFonts w:ascii="Times New Roman" w:hAnsi="Times New Roman"/>
          <w:snapToGrid w:val="0"/>
          <w:color w:val="auto"/>
          <w:kern w:val="0"/>
          <w:szCs w:val="24"/>
          <w:highlight w:val="none"/>
        </w:rPr>
        <w:fldChar w:fldCharType="end"/>
      </w:r>
    </w:p>
    <w:p w14:paraId="66469A92">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_Toc23910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_Toc23910 \h </w:instrText>
      </w:r>
      <w:r>
        <w:fldChar w:fldCharType="separate"/>
      </w:r>
      <w:r>
        <w:t>20</w:t>
      </w:r>
      <w:r>
        <w:fldChar w:fldCharType="end"/>
      </w:r>
      <w:r>
        <w:rPr>
          <w:rFonts w:ascii="Times New Roman" w:hAnsi="Times New Roman"/>
          <w:snapToGrid w:val="0"/>
          <w:color w:val="auto"/>
          <w:kern w:val="0"/>
          <w:szCs w:val="24"/>
          <w:highlight w:val="none"/>
        </w:rPr>
        <w:fldChar w:fldCharType="end"/>
      </w:r>
    </w:p>
    <w:p w14:paraId="0DA1E57B">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_Toc10650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_Toc10650 \h </w:instrText>
      </w:r>
      <w:r>
        <w:fldChar w:fldCharType="separate"/>
      </w:r>
      <w:r>
        <w:t>27</w:t>
      </w:r>
      <w:r>
        <w:fldChar w:fldCharType="end"/>
      </w:r>
      <w:r>
        <w:rPr>
          <w:rFonts w:ascii="Times New Roman" w:hAnsi="Times New Roman"/>
          <w:snapToGrid w:val="0"/>
          <w:color w:val="auto"/>
          <w:kern w:val="0"/>
          <w:szCs w:val="24"/>
          <w:highlight w:val="none"/>
        </w:rPr>
        <w:fldChar w:fldCharType="end"/>
      </w:r>
    </w:p>
    <w:p w14:paraId="1AD71A38">
      <w:pPr>
        <w:pStyle w:val="16"/>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_Toc32556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_Toc32556 \h </w:instrText>
      </w:r>
      <w:r>
        <w:fldChar w:fldCharType="separate"/>
      </w:r>
      <w:r>
        <w:t>48</w:t>
      </w:r>
      <w:r>
        <w:fldChar w:fldCharType="end"/>
      </w:r>
      <w:r>
        <w:rPr>
          <w:rFonts w:ascii="Times New Roman" w:hAnsi="Times New Roman"/>
          <w:snapToGrid w:val="0"/>
          <w:color w:val="auto"/>
          <w:kern w:val="0"/>
          <w:szCs w:val="24"/>
          <w:highlight w:val="none"/>
        </w:rPr>
        <w:fldChar w:fldCharType="end"/>
      </w:r>
    </w:p>
    <w:p w14:paraId="7F72D72F">
      <w:pPr>
        <w:widowControl/>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302FE413">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0CAFA7A8">
      <w:pPr>
        <w:pStyle w:val="2"/>
        <w:rPr>
          <w:rFonts w:ascii="Times New Roman" w:hAnsi="Times New Roman"/>
          <w:color w:val="auto"/>
          <w:highlight w:val="none"/>
        </w:rPr>
      </w:pPr>
      <w:bookmarkStart w:id="0" w:name="_Toc440628903"/>
      <w:bookmarkStart w:id="1" w:name="_Toc678"/>
      <w:bookmarkStart w:id="2" w:name="_Toc6745"/>
      <w:bookmarkStart w:id="3" w:name="_Toc469574661"/>
      <w:bookmarkStart w:id="4" w:name="_Toc23074"/>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p>
    <w:p w14:paraId="78FEE898">
      <w:pPr>
        <w:rPr>
          <w:rFonts w:ascii="Times New Roman" w:hAnsi="Times New Roman"/>
          <w:color w:val="auto"/>
          <w:highlight w:val="none"/>
        </w:rPr>
      </w:pPr>
      <w:bookmarkStart w:id="5" w:name="_Toc55379218"/>
      <w:bookmarkStart w:id="6" w:name="_Toc89675127"/>
      <w:r>
        <w:rPr>
          <w:rFonts w:hint="eastAsia" w:ascii="宋体" w:cs="宋体"/>
          <w:bCs/>
          <w:snapToGrid w:val="0"/>
          <w:color w:val="auto"/>
          <w:kern w:val="0"/>
          <w:szCs w:val="24"/>
          <w:highlight w:val="none"/>
        </w:rPr>
        <w:t>为做好我行电子银行类系统及互联网相关系统的网络安全防护，持续加强网络安全主动防御能力，做好相关应用系统安全检查、评估及问题修复处置工作，需采购2024年电子银行安全评估服务项目。</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hint="eastAsia" w:ascii="Times New Roman" w:hAnsi="Times New Roman"/>
          <w:color w:val="auto"/>
          <w:highlight w:val="none"/>
        </w:rPr>
        <w:t>2024年电子银行安全评估服务项目进行公开比选，</w:t>
      </w:r>
      <w:r>
        <w:rPr>
          <w:rFonts w:ascii="Times New Roman" w:hAnsi="Times New Roman"/>
          <w:color w:val="auto"/>
          <w:highlight w:val="none"/>
        </w:rPr>
        <w:t>特邀请有</w:t>
      </w:r>
      <w:bookmarkStart w:id="7" w:name="_Hlk59455120"/>
      <w:r>
        <w:rPr>
          <w:rFonts w:ascii="Times New Roman" w:hAnsi="Times New Roman"/>
          <w:color w:val="auto"/>
          <w:highlight w:val="none"/>
        </w:rPr>
        <w:t>意向</w:t>
      </w:r>
      <w:bookmarkEnd w:id="7"/>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0874AAAB">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5"/>
      <w:bookmarkEnd w:id="6"/>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963"/>
        <w:gridCol w:w="1509"/>
        <w:gridCol w:w="1798"/>
        <w:gridCol w:w="1798"/>
      </w:tblGrid>
      <w:tr w14:paraId="7F54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6B86F3E7">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963" w:type="dxa"/>
            <w:tcBorders>
              <w:top w:val="single" w:color="auto" w:sz="4" w:space="0"/>
              <w:left w:val="single" w:color="auto" w:sz="4" w:space="0"/>
              <w:bottom w:val="single" w:color="auto" w:sz="4" w:space="0"/>
              <w:right w:val="single" w:color="auto" w:sz="4" w:space="0"/>
            </w:tcBorders>
            <w:noWrap/>
            <w:vAlign w:val="center"/>
          </w:tcPr>
          <w:p w14:paraId="06A733DA">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509" w:type="dxa"/>
            <w:tcBorders>
              <w:top w:val="single" w:color="auto" w:sz="4" w:space="0"/>
              <w:left w:val="single" w:color="auto" w:sz="4" w:space="0"/>
              <w:bottom w:val="single" w:color="auto" w:sz="4" w:space="0"/>
              <w:right w:val="single" w:color="auto" w:sz="4" w:space="0"/>
            </w:tcBorders>
            <w:noWrap/>
            <w:vAlign w:val="center"/>
          </w:tcPr>
          <w:p w14:paraId="31CEEE9A">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tcBorders>
              <w:top w:val="single" w:color="auto" w:sz="4" w:space="0"/>
              <w:left w:val="single" w:color="auto" w:sz="4" w:space="0"/>
              <w:bottom w:val="single" w:color="auto" w:sz="4" w:space="0"/>
              <w:right w:val="single" w:color="auto" w:sz="4" w:space="0"/>
            </w:tcBorders>
            <w:noWrap/>
            <w:vAlign w:val="center"/>
          </w:tcPr>
          <w:p w14:paraId="481996B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tcBorders>
              <w:top w:val="single" w:color="auto" w:sz="4" w:space="0"/>
              <w:left w:val="single" w:color="auto" w:sz="4" w:space="0"/>
              <w:bottom w:val="single" w:color="auto" w:sz="4" w:space="0"/>
              <w:right w:val="single" w:color="auto" w:sz="4" w:space="0"/>
            </w:tcBorders>
            <w:noWrap/>
            <w:vAlign w:val="center"/>
          </w:tcPr>
          <w:p w14:paraId="5B331CFB">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13B0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78537C9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963" w:type="dxa"/>
            <w:tcBorders>
              <w:top w:val="single" w:color="auto" w:sz="4" w:space="0"/>
              <w:left w:val="single" w:color="auto" w:sz="4" w:space="0"/>
              <w:bottom w:val="single" w:color="auto" w:sz="4" w:space="0"/>
              <w:right w:val="single" w:color="auto" w:sz="4" w:space="0"/>
            </w:tcBorders>
            <w:noWrap/>
            <w:vAlign w:val="center"/>
          </w:tcPr>
          <w:p w14:paraId="41E0A09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Cambria"/>
                <w:snapToGrid w:val="0"/>
                <w:color w:val="auto"/>
                <w:kern w:val="0"/>
                <w:sz w:val="21"/>
                <w:szCs w:val="21"/>
                <w:highlight w:val="none"/>
                <w:lang w:val="en-US" w:eastAsia="zh-CN"/>
              </w:rPr>
            </w:pPr>
            <w:r>
              <w:rPr>
                <w:rFonts w:hint="eastAsia" w:ascii="Times New Roman" w:hAnsi="Times New Roman" w:cs="Cambria"/>
                <w:snapToGrid w:val="0"/>
                <w:color w:val="auto"/>
                <w:kern w:val="0"/>
                <w:sz w:val="21"/>
                <w:szCs w:val="21"/>
                <w:highlight w:val="none"/>
                <w:lang w:val="en-US" w:eastAsia="zh-CN"/>
              </w:rPr>
              <w:t>重庆三峡银行</w:t>
            </w:r>
            <w:r>
              <w:rPr>
                <w:rFonts w:hint="eastAsia" w:ascii="Times New Roman" w:hAnsi="Times New Roman" w:cs="Cambria"/>
                <w:snapToGrid w:val="0"/>
                <w:color w:val="auto"/>
                <w:kern w:val="0"/>
                <w:sz w:val="21"/>
                <w:szCs w:val="21"/>
                <w:highlight w:val="none"/>
              </w:rPr>
              <w:t>2024年电子银行安全评估服务</w:t>
            </w:r>
            <w:r>
              <w:rPr>
                <w:rFonts w:hint="eastAsia" w:ascii="Times New Roman" w:hAnsi="Times New Roman" w:cs="Cambria"/>
                <w:snapToGrid w:val="0"/>
                <w:color w:val="auto"/>
                <w:kern w:val="0"/>
                <w:sz w:val="21"/>
                <w:szCs w:val="21"/>
                <w:highlight w:val="none"/>
                <w:lang w:val="en-US" w:eastAsia="zh-CN"/>
              </w:rPr>
              <w:t>项目</w:t>
            </w:r>
          </w:p>
        </w:tc>
        <w:tc>
          <w:tcPr>
            <w:tcW w:w="1509" w:type="dxa"/>
            <w:tcBorders>
              <w:top w:val="single" w:color="auto" w:sz="4" w:space="0"/>
              <w:left w:val="single" w:color="auto" w:sz="4" w:space="0"/>
              <w:bottom w:val="single" w:color="auto" w:sz="4" w:space="0"/>
              <w:right w:val="single" w:color="auto" w:sz="4" w:space="0"/>
            </w:tcBorders>
            <w:noWrap/>
            <w:vAlign w:val="center"/>
          </w:tcPr>
          <w:p w14:paraId="099F9AD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Times New Roman" w:hAnsi="Times New Roman" w:eastAsia="宋体" w:cs="Cambria"/>
                <w:snapToGrid w:val="0"/>
                <w:color w:val="auto"/>
                <w:kern w:val="0"/>
                <w:sz w:val="21"/>
                <w:szCs w:val="21"/>
                <w:highlight w:val="none"/>
                <w:lang w:val="en-US" w:eastAsia="zh-CN"/>
              </w:rPr>
            </w:pPr>
            <w:r>
              <w:rPr>
                <w:rFonts w:hint="eastAsia" w:ascii="Times New Roman" w:hAnsi="Times New Roman" w:cs="Cambria"/>
                <w:snapToGrid w:val="0"/>
                <w:color w:val="auto"/>
                <w:kern w:val="0"/>
                <w:sz w:val="21"/>
                <w:szCs w:val="21"/>
                <w:highlight w:val="none"/>
              </w:rPr>
              <w:t>80.1万</w:t>
            </w:r>
            <w:r>
              <w:rPr>
                <w:rFonts w:hint="eastAsia" w:ascii="Times New Roman" w:hAnsi="Times New Roman" w:cs="Cambria"/>
                <w:snapToGrid w:val="0"/>
                <w:color w:val="auto"/>
                <w:kern w:val="0"/>
                <w:sz w:val="21"/>
                <w:szCs w:val="21"/>
                <w:highlight w:val="none"/>
                <w:lang w:val="en-US" w:eastAsia="zh-CN"/>
              </w:rPr>
              <w:t>元</w:t>
            </w:r>
          </w:p>
        </w:tc>
        <w:tc>
          <w:tcPr>
            <w:tcW w:w="1798" w:type="dxa"/>
            <w:tcBorders>
              <w:top w:val="single" w:color="auto" w:sz="4" w:space="0"/>
              <w:left w:val="single" w:color="auto" w:sz="4" w:space="0"/>
              <w:bottom w:val="single" w:color="auto" w:sz="4" w:space="0"/>
              <w:right w:val="single" w:color="auto" w:sz="4" w:space="0"/>
            </w:tcBorders>
            <w:noWrap/>
            <w:vAlign w:val="center"/>
          </w:tcPr>
          <w:p w14:paraId="1232CA9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1798" w:type="dxa"/>
            <w:tcBorders>
              <w:top w:val="single" w:color="auto" w:sz="4" w:space="0"/>
              <w:left w:val="single" w:color="auto" w:sz="4" w:space="0"/>
              <w:bottom w:val="single" w:color="auto" w:sz="4" w:space="0"/>
              <w:right w:val="single" w:color="auto" w:sz="4" w:space="0"/>
            </w:tcBorders>
            <w:noWrap/>
            <w:vAlign w:val="center"/>
          </w:tcPr>
          <w:p w14:paraId="0514123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含税价</w:t>
            </w:r>
          </w:p>
        </w:tc>
      </w:tr>
    </w:tbl>
    <w:p w14:paraId="27851DA6">
      <w:pPr>
        <w:pStyle w:val="3"/>
        <w:rPr>
          <w:rFonts w:ascii="Times New Roman" w:hAnsi="Times New Roman"/>
          <w:color w:val="auto"/>
          <w:highlight w:val="none"/>
        </w:rPr>
      </w:pPr>
      <w:bookmarkStart w:id="8" w:name="_Toc297817088"/>
      <w:bookmarkStart w:id="9" w:name="_Toc469574664"/>
      <w:bookmarkStart w:id="10" w:name="_Toc89675128"/>
      <w:bookmarkStart w:id="11" w:name="_Toc288224935"/>
      <w:bookmarkStart w:id="12" w:name="_Toc55379219"/>
      <w:r>
        <w:rPr>
          <w:rFonts w:hint="eastAsia" w:ascii="Times New Roman" w:hAnsi="Times New Roman"/>
          <w:color w:val="auto"/>
          <w:highlight w:val="none"/>
        </w:rPr>
        <w:t>2. 参选人资格要求</w:t>
      </w:r>
      <w:bookmarkEnd w:id="8"/>
      <w:bookmarkEnd w:id="9"/>
      <w:bookmarkEnd w:id="10"/>
      <w:bookmarkEnd w:id="11"/>
      <w:bookmarkEnd w:id="12"/>
    </w:p>
    <w:p w14:paraId="131650BA">
      <w:pPr>
        <w:rPr>
          <w:rFonts w:ascii="Times New Roman" w:hAnsi="Times New Roman"/>
          <w:color w:val="auto"/>
          <w:highlight w:val="none"/>
        </w:rPr>
      </w:pPr>
      <w:bookmarkStart w:id="13" w:name="_Hlk55488870"/>
      <w:r>
        <w:rPr>
          <w:rFonts w:hint="eastAsia" w:ascii="Times New Roman" w:hAnsi="Times New Roman"/>
          <w:color w:val="auto"/>
          <w:highlight w:val="none"/>
        </w:rPr>
        <w:t>2.1 具有独立承担民事责任的能力</w:t>
      </w:r>
    </w:p>
    <w:p w14:paraId="36314BB5">
      <w:pPr>
        <w:rPr>
          <w:rFonts w:ascii="Times New Roman" w:hAnsi="Times New Roman"/>
          <w:color w:val="auto"/>
          <w:highlight w:val="none"/>
        </w:rPr>
      </w:pPr>
      <w:r>
        <w:rPr>
          <w:rFonts w:hint="eastAsia" w:ascii="Times New Roman" w:hAnsi="Times New Roman"/>
          <w:color w:val="auto"/>
          <w:highlight w:val="none"/>
        </w:rPr>
        <w:t>【提供参选人有效营业执照（副本）或事业单位法人证书（副本）或个体工商户营业执照或有效的自然人身份证明；参选人法定代表人身份证明和法定代表人授权代表委托书。】</w:t>
      </w:r>
    </w:p>
    <w:p w14:paraId="208D0316">
      <w:pPr>
        <w:rPr>
          <w:rFonts w:ascii="Times New Roman" w:hAnsi="Times New Roman"/>
          <w:color w:val="auto"/>
          <w:highlight w:val="none"/>
        </w:rPr>
      </w:pPr>
      <w:r>
        <w:rPr>
          <w:rFonts w:hint="eastAsia" w:ascii="Times New Roman" w:hAnsi="Times New Roman"/>
          <w:color w:val="auto"/>
          <w:highlight w:val="none"/>
        </w:rPr>
        <w:t>注：若为法定代表人办理并签署参选文件的，不提供授权代表委托书。</w:t>
      </w:r>
    </w:p>
    <w:p w14:paraId="1B99F0C8">
      <w:pPr>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31848342">
      <w:pPr>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747D8DB7">
      <w:pPr>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24D7B894">
      <w:pPr>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6B6728F5">
      <w:pPr>
        <w:rPr>
          <w:rFonts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28C737C4">
      <w:pPr>
        <w:rPr>
          <w:rFonts w:ascii="Times New Roman" w:hAnsi="Times New Roman"/>
          <w:color w:val="auto"/>
          <w:highlight w:val="none"/>
        </w:rPr>
      </w:pPr>
      <w:r>
        <w:rPr>
          <w:rFonts w:hint="eastAsia" w:ascii="Times New Roman" w:hAnsi="Times New Roman"/>
          <w:color w:val="auto"/>
          <w:highlight w:val="none"/>
        </w:rPr>
        <w:t>2.7 本项目不允许任何形式的转包【提供书面声明】。</w:t>
      </w:r>
    </w:p>
    <w:p w14:paraId="235F9A4A">
      <w:pPr>
        <w:rPr>
          <w:rFonts w:ascii="Times New Roman" w:hAnsi="Times New Roman"/>
          <w:color w:val="auto"/>
          <w:highlight w:val="none"/>
        </w:rPr>
      </w:pPr>
      <w:r>
        <w:rPr>
          <w:rFonts w:hint="eastAsia" w:ascii="Times New Roman" w:hAnsi="Times New Roman"/>
          <w:color w:val="auto"/>
          <w:highlight w:val="none"/>
        </w:rPr>
        <w:t>2.8 本次招标不接受联合体参选。</w:t>
      </w:r>
    </w:p>
    <w:p w14:paraId="444F59FB">
      <w:pPr>
        <w:rPr>
          <w:rFonts w:hint="eastAsia" w:ascii="Times New Roman" w:hAnsi="Times New Roman"/>
          <w:color w:val="auto"/>
          <w:highlight w:val="none"/>
        </w:rPr>
      </w:pPr>
      <w:r>
        <w:rPr>
          <w:rFonts w:hint="eastAsia" w:ascii="Times New Roman" w:hAnsi="Times New Roman"/>
          <w:color w:val="auto"/>
          <w:highlight w:val="none"/>
        </w:rPr>
        <w:t>2.9 2021年1月1日至今</w:t>
      </w:r>
      <w:r>
        <w:rPr>
          <w:rFonts w:hint="eastAsia" w:ascii="Times New Roman" w:hAnsi="Times New Roman"/>
          <w:color w:val="auto"/>
          <w:highlight w:val="none"/>
          <w:lang w:eastAsia="zh-CN"/>
        </w:rPr>
        <w:t>（</w:t>
      </w:r>
      <w:r>
        <w:rPr>
          <w:rFonts w:hint="eastAsia" w:ascii="Times New Roman" w:hAnsi="Times New Roman" w:cs="Cambria Math"/>
          <w:color w:val="auto"/>
          <w:highlight w:val="none"/>
          <w:lang w:val="en-US" w:eastAsia="zh-CN"/>
        </w:rPr>
        <w:t>以合同签订时间为准</w:t>
      </w:r>
      <w:r>
        <w:rPr>
          <w:rFonts w:hint="eastAsia" w:ascii="Times New Roman" w:hAnsi="Times New Roman"/>
          <w:color w:val="auto"/>
          <w:highlight w:val="none"/>
          <w:lang w:eastAsia="zh-CN"/>
        </w:rPr>
        <w:t>）</w:t>
      </w:r>
      <w:r>
        <w:rPr>
          <w:rFonts w:hint="eastAsia" w:ascii="Times New Roman" w:hAnsi="Times New Roman"/>
          <w:color w:val="auto"/>
          <w:highlight w:val="none"/>
        </w:rPr>
        <w:t>，至少具有国内银行金融机构电子银行安全评估、信息系统安全渗透测试或网络安全风险评估项目实施案例3个，低于3个案例（不含3个）取消参选资质。</w:t>
      </w:r>
    </w:p>
    <w:p w14:paraId="534773B2">
      <w:pPr>
        <w:rPr>
          <w:rFonts w:hint="eastAsia"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olor w:val="auto"/>
          <w:highlight w:val="none"/>
        </w:rPr>
        <w:t>提供</w:t>
      </w:r>
      <w:r>
        <w:rPr>
          <w:rFonts w:hint="eastAsia" w:ascii="Times New Roman" w:hAnsi="Times New Roman" w:cs="Times New Roman"/>
          <w:color w:val="auto"/>
          <w:highlight w:val="none"/>
        </w:rPr>
        <w:t>项目实施案例</w:t>
      </w:r>
      <w:r>
        <w:rPr>
          <w:rFonts w:hint="eastAsia" w:ascii="Times New Roman" w:hAnsi="Times New Roman"/>
          <w:color w:val="auto"/>
          <w:highlight w:val="none"/>
        </w:rPr>
        <w:t>合同</w:t>
      </w:r>
      <w:r>
        <w:rPr>
          <w:rFonts w:hint="eastAsia" w:ascii="Times New Roman" w:hAnsi="Times New Roman"/>
          <w:color w:val="auto"/>
          <w:highlight w:val="none"/>
          <w:lang w:val="en-US" w:eastAsia="zh-CN"/>
        </w:rPr>
        <w:t>关键页</w:t>
      </w:r>
      <w:r>
        <w:rPr>
          <w:rFonts w:hint="eastAsia" w:ascii="Times New Roman" w:hAnsi="Times New Roman"/>
          <w:color w:val="auto"/>
          <w:highlight w:val="none"/>
          <w:lang w:eastAsia="zh-CN"/>
        </w:rPr>
        <w:t>，</w:t>
      </w:r>
      <w:r>
        <w:rPr>
          <w:rFonts w:hint="eastAsia" w:ascii="Times New Roman" w:hAnsi="Times New Roman" w:cs="Times New Roman"/>
          <w:color w:val="auto"/>
          <w:highlight w:val="none"/>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rPr>
        <w:t>、</w:t>
      </w:r>
      <w:r>
        <w:rPr>
          <w:rFonts w:hint="eastAsia" w:ascii="Times New Roman" w:hAnsi="Times New Roman"/>
          <w:color w:val="auto"/>
          <w:highlight w:val="none"/>
        </w:rPr>
        <w:t>服务范围(需包含所证明内容的关键字，包括但不限于“风险评估”、“安全评估”、“渗透测试”）</w:t>
      </w:r>
      <w:r>
        <w:rPr>
          <w:rFonts w:hint="eastAsia" w:ascii="Times New Roman" w:hAnsi="Times New Roman" w:cs="Times New Roman"/>
          <w:color w:val="auto"/>
          <w:highlight w:val="none"/>
        </w:rPr>
        <w:t>】</w:t>
      </w:r>
    </w:p>
    <w:p w14:paraId="3E61D870">
      <w:pPr>
        <w:rPr>
          <w:rFonts w:ascii="Times New Roman" w:hAnsi="Times New Roman"/>
          <w:color w:val="auto"/>
          <w:highlight w:val="none"/>
        </w:rPr>
      </w:pPr>
      <w:r>
        <w:rPr>
          <w:rFonts w:hint="eastAsia" w:ascii="Times New Roman" w:hAnsi="Times New Roman"/>
          <w:color w:val="auto"/>
          <w:highlight w:val="none"/>
        </w:rPr>
        <w:t>2.10 应具备中国网络安全审查技术与认证中心颁发的《信息安全风险评估服务资质（一级）》；【提供《信息安全风险评估服务资质（一级）》资质证书复印件并加盖供应商公章】</w:t>
      </w:r>
    </w:p>
    <w:p w14:paraId="7AB6F107">
      <w:pPr>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0EB057B5">
      <w:pPr>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634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14:paraId="380974E4">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Borders>
              <w:top w:val="single" w:color="auto" w:sz="4" w:space="0"/>
              <w:left w:val="single" w:color="auto" w:sz="4" w:space="0"/>
              <w:bottom w:val="single" w:color="auto" w:sz="4" w:space="0"/>
              <w:right w:val="single" w:color="auto" w:sz="4" w:space="0"/>
            </w:tcBorders>
            <w:noWrap/>
          </w:tcPr>
          <w:p w14:paraId="08004DC1">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04C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tcPr>
          <w:p w14:paraId="535441B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top w:val="single" w:color="auto" w:sz="4" w:space="0"/>
              <w:left w:val="single" w:color="auto" w:sz="4" w:space="0"/>
              <w:bottom w:val="single" w:color="auto" w:sz="4" w:space="0"/>
              <w:right w:val="single" w:color="auto" w:sz="4" w:space="0"/>
            </w:tcBorders>
            <w:noWrap/>
          </w:tcPr>
          <w:p w14:paraId="371A0824">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2AF3DCB4">
      <w:pPr>
        <w:rPr>
          <w:rFonts w:ascii="Times New Roman" w:hAnsi="Times New Roman"/>
          <w:color w:val="auto"/>
          <w:highlight w:val="none"/>
        </w:rPr>
      </w:pPr>
    </w:p>
    <w:bookmarkEnd w:id="13"/>
    <w:p w14:paraId="7FF8A75C">
      <w:pPr>
        <w:pStyle w:val="3"/>
        <w:numPr>
          <w:ilvl w:val="0"/>
          <w:numId w:val="1"/>
        </w:numPr>
        <w:rPr>
          <w:rFonts w:hint="eastAsia" w:ascii="Times New Roman" w:hAnsi="Times New Roman"/>
          <w:color w:val="auto"/>
          <w:highlight w:val="none"/>
        </w:rPr>
      </w:pPr>
      <w:bookmarkStart w:id="14" w:name="_Toc55379220"/>
      <w:bookmarkStart w:id="15" w:name="_Toc89675130"/>
      <w:bookmarkStart w:id="16" w:name="_Toc297817090"/>
      <w:bookmarkStart w:id="17" w:name="_Toc469574667"/>
      <w:r>
        <w:rPr>
          <w:rFonts w:hint="eastAsia" w:ascii="Times New Roman" w:hAnsi="Times New Roman"/>
          <w:color w:val="auto"/>
          <w:highlight w:val="none"/>
        </w:rPr>
        <w:t>比选文件的获取</w:t>
      </w:r>
      <w:bookmarkEnd w:id="14"/>
    </w:p>
    <w:p w14:paraId="5FB9070A">
      <w:pPr>
        <w:bidi w:val="0"/>
        <w:ind w:firstLine="480" w:firstLineChars="200"/>
        <w:rPr>
          <w:rFonts w:hint="default"/>
          <w:color w:val="auto"/>
          <w:highlight w:val="none"/>
          <w:lang w:val="en-US" w:eastAsia="zh-CN"/>
        </w:rPr>
      </w:pPr>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321EA470">
      <w:pPr>
        <w:rPr>
          <w:rFonts w:ascii="Times New Roman" w:hAnsi="Times New Roman"/>
          <w:color w:val="auto"/>
          <w:highlight w:val="none"/>
        </w:rPr>
      </w:pPr>
      <w:r>
        <w:rPr>
          <w:rFonts w:hint="eastAsia" w:ascii="Times New Roman" w:hAnsi="Times New Roman"/>
          <w:color w:val="auto"/>
          <w:highlight w:val="none"/>
          <w:lang w:val="en-US" w:eastAsia="zh-CN"/>
        </w:rPr>
        <w:t xml:space="preserve">3.2 </w:t>
      </w:r>
      <w:r>
        <w:rPr>
          <w:rFonts w:hint="eastAsia" w:ascii="Times New Roman" w:hAnsi="Times New Roman"/>
          <w:color w:val="auto"/>
          <w:highlight w:val="none"/>
        </w:rPr>
        <w:t>获取时间和方式：</w:t>
      </w:r>
      <w:r>
        <w:rPr>
          <w:rFonts w:hint="eastAsia"/>
          <w:color w:val="auto"/>
          <w:highlight w:val="none"/>
        </w:rPr>
        <w:t>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日到</w:t>
      </w:r>
      <w:r>
        <w:rPr>
          <w:rFonts w:hint="eastAsia"/>
          <w:color w:val="auto"/>
          <w:highlight w:val="none"/>
          <w:u w:val="single"/>
          <w:lang w:val="en-US" w:eastAsia="zh-CN"/>
        </w:rPr>
        <w:t>参选截止时间</w:t>
      </w:r>
      <w:r>
        <w:rPr>
          <w:rFonts w:hint="eastAsia"/>
          <w:color w:val="auto"/>
          <w:highlight w:val="none"/>
        </w:rPr>
        <w:t>，</w:t>
      </w:r>
      <w:r>
        <w:rPr>
          <w:rFonts w:hint="eastAsia" w:ascii="Times New Roman" w:hAnsi="Times New Roman"/>
          <w:color w:val="auto"/>
          <w:highlight w:val="none"/>
          <w:lang w:val="en-US" w:eastAsia="zh-CN"/>
        </w:rPr>
        <w:t>在重庆市公共资源交易网（www.cqggzy.com）下载比选文件</w:t>
      </w:r>
      <w:r>
        <w:rPr>
          <w:rFonts w:hint="eastAsia" w:ascii="Times New Roman" w:hAnsi="Times New Roman"/>
          <w:color w:val="auto"/>
          <w:highlight w:val="none"/>
        </w:rPr>
        <w:t>。</w:t>
      </w:r>
    </w:p>
    <w:p w14:paraId="05B606C1">
      <w:pPr>
        <w:numPr>
          <w:ilvl w:val="-1"/>
          <w:numId w:val="0"/>
        </w:numPr>
        <w:ind w:firstLine="0" w:firstLineChars="0"/>
        <w:rPr>
          <w:color w:val="auto"/>
          <w:highlight w:val="none"/>
        </w:rPr>
      </w:pPr>
    </w:p>
    <w:p w14:paraId="7A616B38">
      <w:pPr>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3</w:t>
      </w:r>
      <w:r>
        <w:rPr>
          <w:rFonts w:hint="eastAsia" w:ascii="Times New Roman" w:hAnsi="Times New Roman"/>
          <w:color w:val="auto"/>
          <w:highlight w:val="none"/>
        </w:rPr>
        <w:t xml:space="preserve">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14</w:t>
      </w:r>
      <w:r>
        <w:rPr>
          <w:rFonts w:hint="eastAsia"/>
          <w:color w:val="auto"/>
          <w:highlight w:val="none"/>
        </w:rPr>
        <w:t>日</w:t>
      </w:r>
      <w:r>
        <w:rPr>
          <w:rFonts w:hint="eastAsia"/>
          <w:color w:val="auto"/>
          <w:highlight w:val="none"/>
          <w:u w:val="single"/>
          <w:lang w:val="en-US" w:eastAsia="zh-CN"/>
        </w:rPr>
        <w:t>17</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ascii="Times New Roman" w:hAnsi="Times New Roman"/>
          <w:color w:val="auto"/>
          <w:highlight w:val="none"/>
        </w:rPr>
        <w:t>（北京时间）前自行在重庆市公共资源交易网（http://www.cqggzy.com/）比选公告的“我要提问”栏目匿名提出。参选人未提出，则视为参选人已全面确认比选文件内容。</w:t>
      </w:r>
    </w:p>
    <w:p w14:paraId="15F4E697">
      <w:pPr>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4</w:t>
      </w:r>
      <w:r>
        <w:rPr>
          <w:rFonts w:hint="eastAsia" w:ascii="Times New Roman" w:hAnsi="Times New Roman"/>
          <w:color w:val="auto"/>
          <w:highlight w:val="none"/>
        </w:rPr>
        <w:t xml:space="preserve">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D344201">
      <w:pPr>
        <w:pStyle w:val="3"/>
        <w:rPr>
          <w:rFonts w:ascii="Times New Roman" w:hAnsi="Times New Roman"/>
          <w:color w:val="auto"/>
          <w:highlight w:val="none"/>
        </w:rPr>
      </w:pPr>
      <w:bookmarkStart w:id="18" w:name="_Toc55379221"/>
      <w:r>
        <w:rPr>
          <w:rFonts w:hint="eastAsia" w:ascii="Times New Roman" w:hAnsi="Times New Roman"/>
          <w:color w:val="auto"/>
          <w:highlight w:val="none"/>
        </w:rPr>
        <w:t>4. 参选保证金的递交</w:t>
      </w:r>
      <w:bookmarkEnd w:id="15"/>
      <w:bookmarkEnd w:id="16"/>
      <w:bookmarkEnd w:id="17"/>
      <w:bookmarkEnd w:id="18"/>
    </w:p>
    <w:p w14:paraId="2280B0FD">
      <w:pPr>
        <w:rPr>
          <w:rFonts w:ascii="Times New Roman" w:hAnsi="Times New Roman"/>
          <w:color w:val="auto"/>
          <w:highlight w:val="none"/>
        </w:rPr>
      </w:pPr>
      <w:bookmarkStart w:id="19" w:name="_Toc469574668"/>
      <w:bookmarkStart w:id="20" w:name="_Toc89675131"/>
      <w:bookmarkStart w:id="21" w:name="_Toc297817091"/>
      <w:bookmarkStart w:id="22" w:name="_Toc55379222"/>
      <w:r>
        <w:rPr>
          <w:rFonts w:hint="eastAsia" w:ascii="Times New Roman" w:hAnsi="Times New Roman"/>
          <w:color w:val="auto"/>
          <w:highlight w:val="none"/>
        </w:rPr>
        <w:t>4.1 参选保证金的金额：</w:t>
      </w:r>
      <w:r>
        <w:rPr>
          <w:rFonts w:hint="eastAsia" w:ascii="Times New Roman" w:hAnsi="Times New Roman"/>
          <w:b/>
          <w:bCs/>
          <w:color w:val="auto"/>
          <w:highlight w:val="none"/>
          <w:u w:val="single"/>
        </w:rPr>
        <w:t xml:space="preserve">15000 </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 xml:space="preserve"> 壹万伍仟元整 </w:t>
      </w:r>
      <w:r>
        <w:rPr>
          <w:rFonts w:hint="eastAsia" w:ascii="Times New Roman" w:hAnsi="Times New Roman"/>
          <w:b/>
          <w:bCs/>
          <w:color w:val="auto"/>
          <w:highlight w:val="none"/>
        </w:rPr>
        <w:t>）</w:t>
      </w:r>
      <w:r>
        <w:rPr>
          <w:rFonts w:hint="eastAsia" w:ascii="Times New Roman" w:hAnsi="Times New Roman"/>
          <w:color w:val="auto"/>
          <w:highlight w:val="none"/>
        </w:rPr>
        <w:t>。</w:t>
      </w:r>
    </w:p>
    <w:p w14:paraId="7A93342E">
      <w:pPr>
        <w:rPr>
          <w:rFonts w:ascii="Times New Roman" w:hAnsi="Times New Roman"/>
          <w:color w:val="auto"/>
          <w:highlight w:val="none"/>
        </w:rPr>
      </w:pPr>
      <w:r>
        <w:rPr>
          <w:rFonts w:hint="eastAsia" w:ascii="Times New Roman" w:hAnsi="Times New Roman"/>
          <w:color w:val="auto"/>
          <w:highlight w:val="none"/>
        </w:rPr>
        <w:t>4.2 参选保证金缴纳方式：参选</w:t>
      </w:r>
      <w:bookmarkStart w:id="273" w:name="_GoBack"/>
      <w:bookmarkEnd w:id="273"/>
      <w:r>
        <w:rPr>
          <w:rFonts w:hint="eastAsia" w:ascii="Times New Roman" w:hAnsi="Times New Roman"/>
          <w:color w:val="auto"/>
          <w:highlight w:val="none"/>
        </w:rPr>
        <w:t>人从参选人的银行账户，通过转账或电汇方式直接划付至下面指定的账户（任选其一），否则，参选保证金无效。参选人自行考虑汇入到账时间风险，本项目参选保证金不接受任何形式保函（包括电子保函）；</w:t>
      </w:r>
    </w:p>
    <w:p w14:paraId="03E90DBC">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hint="eastAsia" w:ascii="Times New Roman" w:hAnsi="Times New Roman"/>
          <w:b/>
          <w:bCs/>
          <w:color w:val="auto"/>
          <w:highlight w:val="none"/>
          <w:u w:val="single"/>
        </w:rPr>
        <w:t xml:space="preserve"> 2024年电子银行安全评估服务</w:t>
      </w:r>
      <w:r>
        <w:rPr>
          <w:rFonts w:hint="eastAsia" w:ascii="Times New Roman" w:hAnsi="Times New Roman"/>
          <w:b/>
          <w:bCs/>
          <w:color w:val="auto"/>
          <w:highlight w:val="none"/>
        </w:rPr>
        <w:t>项目。</w:t>
      </w:r>
    </w:p>
    <w:p w14:paraId="6C198074">
      <w:pPr>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ascii="Times New Roman" w:hAnsi="Times New Roman"/>
          <w:color w:val="auto"/>
          <w:highlight w:val="none"/>
        </w:rPr>
        <w:t>（北京时间）。</w:t>
      </w:r>
    </w:p>
    <w:p w14:paraId="7195C37E">
      <w:pPr>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358202B3">
      <w:pPr>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39F896B1">
      <w:pPr>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19"/>
    <w:bookmarkEnd w:id="20"/>
    <w:bookmarkEnd w:id="21"/>
    <w:bookmarkEnd w:id="22"/>
    <w:p w14:paraId="47EEDF7C">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021380F2">
      <w:pPr>
        <w:rPr>
          <w:rFonts w:hint="eastAsia" w:ascii="Times New Roman" w:hAnsi="Times New Roman"/>
          <w:color w:val="auto"/>
          <w:highlight w:val="none"/>
        </w:rPr>
      </w:pPr>
      <w:bookmarkStart w:id="23" w:name="_Toc55379223"/>
      <w:bookmarkStart w:id="24" w:name="_Toc89675132"/>
      <w:bookmarkStart w:id="25" w:name="_Toc469574669"/>
      <w:r>
        <w:rPr>
          <w:rFonts w:hint="eastAsia" w:ascii="Times New Roman" w:hAnsi="Times New Roman"/>
          <w:color w:val="auto"/>
          <w:highlight w:val="none"/>
        </w:rPr>
        <w:t>5.1 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w:t>
      </w:r>
      <w:r>
        <w:rPr>
          <w:rFonts w:hint="eastAsia" w:ascii="Times New Roman" w:hAnsi="Times New Roman"/>
          <w:color w:val="auto"/>
          <w:highlight w:val="none"/>
        </w:rPr>
        <w:t>(北京时间)</w:t>
      </w:r>
      <w:r>
        <w:rPr>
          <w:rFonts w:hint="eastAsia" w:ascii="Times New Roman" w:hAnsi="Times New Roman"/>
          <w:color w:val="auto"/>
          <w:highlight w:val="none"/>
          <w:u w:val="single"/>
          <w:lang w:val="en-US" w:eastAsia="zh-CN"/>
        </w:rPr>
        <w:t>至</w:t>
      </w:r>
      <w:r>
        <w:rPr>
          <w:rFonts w:hint="eastAsia" w:ascii="Times New Roman" w:hAnsi="Times New Roman"/>
          <w:color w:val="auto"/>
          <w:highlight w:val="none"/>
          <w:lang w:val="en-US" w:eastAsia="zh-CN"/>
        </w:rPr>
        <w:t>参选截止时间。</w:t>
      </w:r>
    </w:p>
    <w:p w14:paraId="46D0AED7">
      <w:pPr>
        <w:rPr>
          <w:rFonts w:ascii="Times New Roman" w:hAnsi="Times New Roman"/>
          <w:color w:val="auto"/>
          <w:highlight w:val="none"/>
        </w:rPr>
      </w:pPr>
      <w:r>
        <w:rPr>
          <w:rFonts w:hint="eastAsia" w:ascii="Times New Roman" w:hAnsi="Times New Roman"/>
          <w:color w:val="auto"/>
          <w:highlight w:val="none"/>
        </w:rPr>
        <w:t>5.2 递交地点为</w:t>
      </w:r>
      <w:r>
        <w:rPr>
          <w:rFonts w:hint="eastAsia"/>
          <w:color w:val="auto"/>
          <w:highlight w:val="none"/>
        </w:rPr>
        <w:t>重庆市渝北区青枫北路6号渝兴广场B10栋重庆市公共资源交易中心开标区</w:t>
      </w:r>
      <w:r>
        <w:rPr>
          <w:rFonts w:hint="eastAsia" w:ascii="Times New Roman" w:hAnsi="Times New Roman"/>
          <w:color w:val="auto"/>
          <w:highlight w:val="none"/>
        </w:rPr>
        <w:t>重庆市公共资源交易中心开标区（具体请登陆重庆市公共资源交易网（www.cqggzy.com）查询或递交文件当日见交易中心大厅电子显示屏）。</w:t>
      </w:r>
    </w:p>
    <w:p w14:paraId="080AA8B7">
      <w:pPr>
        <w:rPr>
          <w:rFonts w:ascii="Times New Roman" w:hAnsi="Times New Roman"/>
          <w:color w:val="auto"/>
          <w:highlight w:val="none"/>
        </w:rPr>
      </w:pPr>
      <w:r>
        <w:rPr>
          <w:rFonts w:hint="eastAsia" w:ascii="Times New Roman" w:hAnsi="Times New Roman"/>
          <w:color w:val="auto"/>
          <w:highlight w:val="none"/>
        </w:rPr>
        <w:t>5.3 逾期送达的参选文件，不予接收。</w:t>
      </w:r>
    </w:p>
    <w:p w14:paraId="079681E8">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3"/>
      <w:bookmarkEnd w:id="24"/>
      <w:bookmarkEnd w:id="25"/>
    </w:p>
    <w:p w14:paraId="320462DF">
      <w:pPr>
        <w:rPr>
          <w:rFonts w:ascii="Times New Roman" w:hAnsi="Times New Roman"/>
          <w:color w:val="auto"/>
          <w:highlight w:val="none"/>
        </w:rPr>
      </w:pPr>
      <w:bookmarkStart w:id="26" w:name="_Toc250565211"/>
      <w:bookmarkStart w:id="27" w:name="_Toc469574670"/>
      <w:bookmarkStart w:id="28" w:name="_Toc55379224"/>
      <w:bookmarkStart w:id="29" w:name="_Toc89675133"/>
      <w:r>
        <w:rPr>
          <w:rFonts w:hint="eastAsia" w:ascii="Times New Roman" w:hAnsi="Times New Roman"/>
          <w:color w:val="auto"/>
          <w:highlight w:val="none"/>
        </w:rPr>
        <w:t>本次比选公告同时在《重庆市公共资源交易网（www.cqggzy.com）》《重庆三峡银行官网（https://www.ccqtgb.com）》和《中国</w:t>
      </w:r>
      <w:r>
        <w:rPr>
          <w:rFonts w:hint="eastAsia" w:ascii="Times New Roman" w:hAnsi="Times New Roman"/>
          <w:color w:val="auto"/>
          <w:highlight w:val="none"/>
          <w:lang w:val="en-US" w:eastAsia="zh-CN"/>
        </w:rPr>
        <w:t>招标投标</w:t>
      </w:r>
      <w:r>
        <w:rPr>
          <w:rFonts w:hint="eastAsia" w:ascii="Times New Roman" w:hAnsi="Times New Roman"/>
          <w:color w:val="auto"/>
          <w:highlight w:val="none"/>
        </w:rPr>
        <w:t>公共服务平台（http://www.cebpubservice.com）》上发布。</w:t>
      </w:r>
    </w:p>
    <w:p w14:paraId="25E55EE3">
      <w:pPr>
        <w:pStyle w:val="3"/>
        <w:numPr>
          <w:ilvl w:val="0"/>
          <w:numId w:val="2"/>
        </w:numPr>
        <w:rPr>
          <w:rFonts w:hint="eastAsia" w:ascii="Times New Roman" w:hAnsi="Times New Roman"/>
          <w:color w:val="auto"/>
          <w:highlight w:val="none"/>
        </w:rPr>
      </w:pPr>
      <w:r>
        <w:rPr>
          <w:rFonts w:hint="eastAsia" w:ascii="Times New Roman" w:hAnsi="Times New Roman"/>
          <w:color w:val="auto"/>
          <w:highlight w:val="none"/>
        </w:rPr>
        <w:t>联系方式</w:t>
      </w:r>
      <w:bookmarkEnd w:id="26"/>
      <w:bookmarkEnd w:id="27"/>
      <w:bookmarkEnd w:id="28"/>
      <w:bookmarkEnd w:id="29"/>
    </w:p>
    <w:tbl>
      <w:tblPr>
        <w:tblStyle w:val="21"/>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rFonts w:hint="eastAsia" w:ascii="Times New Roman" w:hAnsi="Times New Roman" w:cs="宋体"/>
                <w:color w:val="auto"/>
                <w:sz w:val="21"/>
                <w:szCs w:val="21"/>
                <w:highlight w:val="none"/>
              </w:rPr>
              <w:t>苏柯</w:t>
            </w:r>
          </w:p>
        </w:tc>
        <w:tc>
          <w:tcPr>
            <w:tcW w:w="5333" w:type="dxa"/>
            <w:tcBorders>
              <w:top w:val="nil"/>
              <w:left w:val="nil"/>
              <w:bottom w:val="nil"/>
              <w:right w:val="single" w:color="auto" w:sz="4" w:space="0"/>
            </w:tcBorders>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rFonts w:hint="eastAsia" w:ascii="Times New Roman" w:hAnsi="Times New Roman" w:cs="宋体"/>
                <w:color w:val="auto"/>
                <w:sz w:val="21"/>
                <w:szCs w:val="21"/>
                <w:highlight w:val="none"/>
              </w:rPr>
              <w:t>023-88170725</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1156677">
            <w:pPr>
              <w:spacing w:line="360" w:lineRule="auto"/>
              <w:ind w:firstLine="0" w:firstLineChars="0"/>
              <w:jc w:val="left"/>
              <w:rPr>
                <w:rFonts w:hint="eastAsia" w:cs="宋体"/>
                <w:color w:val="auto"/>
                <w:sz w:val="21"/>
                <w:szCs w:val="21"/>
                <w:highlight w:val="none"/>
              </w:rPr>
            </w:pPr>
            <w:r>
              <w:rPr>
                <w:rFonts w:hint="eastAsia"/>
                <w:color w:val="auto"/>
                <w:highlight w:val="none"/>
              </w:rPr>
              <w:t>平台联系人：</w:t>
            </w:r>
            <w:r>
              <w:rPr>
                <w:rFonts w:hint="eastAsia"/>
                <w:color w:val="auto"/>
                <w:highlight w:val="none"/>
                <w:lang w:val="en-US" w:eastAsia="zh-CN"/>
              </w:rPr>
              <w:t>张</w:t>
            </w:r>
            <w:r>
              <w:rPr>
                <w:rFonts w:hint="eastAsia"/>
                <w:color w:val="auto"/>
                <w:highlight w:val="none"/>
              </w:rPr>
              <w:t>老师</w:t>
            </w:r>
          </w:p>
        </w:tc>
        <w:tc>
          <w:tcPr>
            <w:tcW w:w="5333" w:type="dxa"/>
            <w:tcBorders>
              <w:top w:val="nil"/>
              <w:left w:val="nil"/>
              <w:bottom w:val="nil"/>
              <w:right w:val="single" w:color="auto" w:sz="4" w:space="0"/>
            </w:tcBorders>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4FF7F2">
            <w:pPr>
              <w:spacing w:line="360" w:lineRule="auto"/>
              <w:ind w:firstLine="0" w:firstLineChars="0"/>
              <w:jc w:val="left"/>
              <w:rPr>
                <w:rFonts w:hint="eastAsia"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5B32D887">
      <w:pPr>
        <w:numPr>
          <w:ilvl w:val="-1"/>
          <w:numId w:val="0"/>
        </w:numPr>
        <w:ind w:firstLine="0" w:firstLineChars="0"/>
        <w:rPr>
          <w:color w:val="auto"/>
          <w:highlight w:val="none"/>
        </w:rPr>
      </w:pPr>
    </w:p>
    <w:p w14:paraId="021573F1">
      <w:pPr>
        <w:rPr>
          <w:rFonts w:ascii="Times New Roman" w:hAnsi="Times New Roman"/>
          <w:color w:val="auto"/>
          <w:highlight w:val="none"/>
        </w:rPr>
      </w:pPr>
    </w:p>
    <w:p w14:paraId="09141BF2">
      <w:pPr>
        <w:rPr>
          <w:rFonts w:ascii="Times New Roman" w:hAnsi="Times New Roman"/>
          <w:color w:val="auto"/>
          <w:highlight w:val="none"/>
        </w:rPr>
      </w:pPr>
    </w:p>
    <w:p w14:paraId="148A8C38">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4DA09279">
      <w:pPr>
        <w:ind w:firstLine="480"/>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4</w:t>
      </w:r>
      <w:r>
        <w:rPr>
          <w:rFonts w:hint="eastAsia" w:ascii="Times New Roman" w:hAnsi="Times New Roman"/>
          <w:color w:val="auto"/>
          <w:highlight w:val="none"/>
        </w:rPr>
        <w:t>年</w:t>
      </w:r>
      <w:r>
        <w:rPr>
          <w:rFonts w:hint="eastAsia" w:ascii="Times New Roman" w:hAnsi="Times New Roman"/>
          <w:color w:val="auto"/>
          <w:highlight w:val="none"/>
          <w:lang w:val="en-US" w:eastAsia="zh-CN"/>
        </w:rPr>
        <w:t>10</w:t>
      </w:r>
      <w:r>
        <w:rPr>
          <w:rFonts w:hint="eastAsia" w:ascii="Times New Roman" w:hAnsi="Times New Roman"/>
          <w:color w:val="auto"/>
          <w:highlight w:val="none"/>
        </w:rPr>
        <w:t>月</w:t>
      </w:r>
      <w:r>
        <w:rPr>
          <w:rFonts w:hint="eastAsia" w:ascii="Times New Roman" w:hAnsi="Times New Roman"/>
          <w:color w:val="auto"/>
          <w:highlight w:val="none"/>
          <w:lang w:val="en-US" w:eastAsia="zh-CN"/>
        </w:rPr>
        <w:t>11</w:t>
      </w:r>
      <w:r>
        <w:rPr>
          <w:rFonts w:hint="eastAsia" w:ascii="Times New Roman" w:hAnsi="Times New Roman"/>
          <w:color w:val="auto"/>
          <w:highlight w:val="none"/>
        </w:rPr>
        <w:t>日</w:t>
      </w:r>
    </w:p>
    <w:p w14:paraId="3627560D">
      <w:pPr>
        <w:rPr>
          <w:rFonts w:ascii="Times New Roman" w:hAnsi="Times New Roman"/>
          <w:color w:val="auto"/>
          <w:highlight w:val="none"/>
        </w:rPr>
      </w:pPr>
      <w:r>
        <w:rPr>
          <w:rFonts w:ascii="Times New Roman" w:hAnsi="Times New Roman"/>
          <w:color w:val="auto"/>
          <w:highlight w:val="none"/>
        </w:rPr>
        <w:br w:type="page"/>
      </w:r>
    </w:p>
    <w:p w14:paraId="27C6FF13">
      <w:pPr>
        <w:ind w:firstLine="0" w:firstLineChars="0"/>
        <w:rPr>
          <w:rFonts w:ascii="Times New Roman" w:hAnsi="Times New Roman"/>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30" w:name="_Toc303066033"/>
      <w:bookmarkStart w:id="31" w:name="_Toc89675159"/>
      <w:bookmarkStart w:id="32" w:name="_Toc27630"/>
    </w:p>
    <w:p w14:paraId="54316931">
      <w:pPr>
        <w:pStyle w:val="2"/>
        <w:rPr>
          <w:rFonts w:ascii="Times New Roman" w:hAnsi="Times New Roman"/>
          <w:color w:val="auto"/>
          <w:highlight w:val="none"/>
        </w:rPr>
      </w:pPr>
      <w:bookmarkStart w:id="33" w:name="_Toc5925"/>
      <w:r>
        <w:rPr>
          <w:rFonts w:hint="eastAsia" w:ascii="Times New Roman" w:hAnsi="Times New Roman"/>
          <w:color w:val="auto"/>
          <w:highlight w:val="none"/>
        </w:rPr>
        <w:t>第二章 参选人须知</w:t>
      </w:r>
      <w:bookmarkEnd w:id="30"/>
      <w:bookmarkEnd w:id="31"/>
      <w:bookmarkEnd w:id="32"/>
      <w:bookmarkEnd w:id="33"/>
    </w:p>
    <w:p w14:paraId="750C9A3E">
      <w:pPr>
        <w:pStyle w:val="3"/>
        <w:rPr>
          <w:rFonts w:ascii="Times New Roman" w:hAnsi="Times New Roman"/>
          <w:color w:val="auto"/>
          <w:highlight w:val="none"/>
        </w:rPr>
      </w:pPr>
      <w:bookmarkStart w:id="34" w:name="_Toc89675160"/>
      <w:r>
        <w:rPr>
          <w:rFonts w:hint="eastAsia" w:ascii="Times New Roman" w:hAnsi="Times New Roman"/>
          <w:color w:val="auto"/>
          <w:highlight w:val="none"/>
        </w:rPr>
        <w:t>1. 项目信息</w:t>
      </w:r>
    </w:p>
    <w:p w14:paraId="6776F125">
      <w:pPr>
        <w:pStyle w:val="4"/>
        <w:rPr>
          <w:rFonts w:ascii="Times New Roman" w:hAnsi="Times New Roman"/>
          <w:color w:val="auto"/>
          <w:highlight w:val="none"/>
        </w:rPr>
      </w:pPr>
      <w:r>
        <w:rPr>
          <w:rFonts w:hint="eastAsia" w:ascii="Times New Roman" w:hAnsi="Times New Roman"/>
          <w:color w:val="auto"/>
          <w:highlight w:val="none"/>
        </w:rPr>
        <w:t>1.1 比选人</w:t>
      </w:r>
    </w:p>
    <w:p w14:paraId="07F6941D">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2E530671">
      <w:pPr>
        <w:pStyle w:val="4"/>
        <w:rPr>
          <w:rFonts w:ascii="Times New Roman" w:hAnsi="Times New Roman"/>
          <w:color w:val="auto"/>
          <w:highlight w:val="none"/>
        </w:rPr>
      </w:pPr>
      <w:r>
        <w:rPr>
          <w:rFonts w:hint="eastAsia" w:ascii="Times New Roman" w:hAnsi="Times New Roman"/>
          <w:color w:val="auto"/>
          <w:highlight w:val="none"/>
        </w:rPr>
        <w:t>1.2 最高限价</w:t>
      </w:r>
    </w:p>
    <w:p w14:paraId="6FE136E3">
      <w:pPr>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801000元 </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捌拾万</w:t>
      </w:r>
      <w:r>
        <w:rPr>
          <w:rFonts w:hint="eastAsia" w:ascii="Times New Roman" w:hAnsi="Times New Roman"/>
          <w:color w:val="auto"/>
          <w:highlight w:val="none"/>
          <w:u w:val="single"/>
        </w:rPr>
        <w:t xml:space="preserve">壹仟元整 </w:t>
      </w:r>
      <w:r>
        <w:rPr>
          <w:rFonts w:hint="eastAsia" w:ascii="Times New Roman" w:hAnsi="Times New Roman"/>
          <w:color w:val="auto"/>
          <w:highlight w:val="none"/>
        </w:rPr>
        <w:t>）。</w:t>
      </w:r>
    </w:p>
    <w:p w14:paraId="6A906DF3">
      <w:pPr>
        <w:pStyle w:val="4"/>
        <w:rPr>
          <w:rFonts w:ascii="Times New Roman" w:hAnsi="Times New Roman"/>
          <w:color w:val="auto"/>
          <w:highlight w:val="none"/>
        </w:rPr>
      </w:pPr>
      <w:r>
        <w:rPr>
          <w:rFonts w:hint="eastAsia" w:ascii="Times New Roman" w:hAnsi="Times New Roman"/>
          <w:color w:val="auto"/>
          <w:highlight w:val="none"/>
        </w:rPr>
        <w:t>1.3 项目概况</w:t>
      </w:r>
    </w:p>
    <w:bookmarkEnd w:id="34"/>
    <w:p w14:paraId="309EBDB6">
      <w:pPr>
        <w:rPr>
          <w:rFonts w:ascii="Times New Roman" w:hAnsi="Times New Roman"/>
          <w:color w:val="auto"/>
          <w:highlight w:val="none"/>
        </w:rPr>
      </w:pPr>
      <w:bookmarkStart w:id="35" w:name="_Toc89675161"/>
      <w:r>
        <w:rPr>
          <w:rFonts w:hint="eastAsia" w:ascii="Times New Roman" w:hAnsi="Times New Roman"/>
          <w:color w:val="auto"/>
          <w:highlight w:val="none"/>
        </w:rPr>
        <w:t>根据《电子银行安全评估指引》（银监发﹝2006﹞9号）要求，对我行电子银行类系统进行安全评估，发现问题并提出科学合理的整改建议</w:t>
      </w:r>
      <w:r>
        <w:rPr>
          <w:rFonts w:hint="eastAsia" w:ascii="宋体" w:cs="宋体"/>
          <w:bCs/>
          <w:snapToGrid w:val="0"/>
          <w:color w:val="auto"/>
          <w:kern w:val="0"/>
          <w:szCs w:val="24"/>
          <w:highlight w:val="none"/>
        </w:rPr>
        <w:t>。</w:t>
      </w:r>
    </w:p>
    <w:p w14:paraId="6D0241D3">
      <w:pPr>
        <w:pStyle w:val="4"/>
        <w:rPr>
          <w:rFonts w:ascii="Times New Roman" w:hAnsi="Times New Roman"/>
          <w:color w:val="auto"/>
          <w:highlight w:val="none"/>
        </w:rPr>
      </w:pPr>
      <w:r>
        <w:rPr>
          <w:rFonts w:hint="eastAsia" w:ascii="Times New Roman" w:hAnsi="Times New Roman"/>
          <w:color w:val="auto"/>
          <w:highlight w:val="none"/>
        </w:rPr>
        <w:t>1.4 项目目标</w:t>
      </w:r>
    </w:p>
    <w:p w14:paraId="3E12119A">
      <w:pPr>
        <w:spacing w:line="360" w:lineRule="auto"/>
        <w:rPr>
          <w:rFonts w:hint="eastAsia" w:ascii="宋体" w:cs="Arial"/>
          <w:color w:val="auto"/>
          <w:highlight w:val="none"/>
        </w:rPr>
      </w:pPr>
      <w:r>
        <w:rPr>
          <w:rFonts w:hint="eastAsia" w:ascii="宋体" w:cs="Arial"/>
          <w:color w:val="auto"/>
          <w:highlight w:val="none"/>
        </w:rPr>
        <w:t>通过安全评估和安全渗透测试的实施，识别并评估现有风险控制措施的有效性，尽量挖掘和暴露电子银行及互联网相关系统的漏洞和脆弱性，并提出相应的改进建议，以便有针对性地进行修复，提升系统安全防护能力、保障业务功能上线后安全稳定运行。</w:t>
      </w:r>
    </w:p>
    <w:p w14:paraId="553C760D">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5"/>
    </w:p>
    <w:p w14:paraId="63CDB730">
      <w:pPr>
        <w:rPr>
          <w:rFonts w:ascii="Times New Roman" w:hAnsi="Times New Roman"/>
          <w:color w:val="auto"/>
          <w:highlight w:val="none"/>
        </w:rPr>
      </w:pPr>
      <w:r>
        <w:rPr>
          <w:rFonts w:hint="eastAsia" w:ascii="Times New Roman" w:hAnsi="Times New Roman"/>
          <w:color w:val="auto"/>
          <w:highlight w:val="none"/>
        </w:rPr>
        <w:t>2.1 合格参选人条件</w:t>
      </w:r>
    </w:p>
    <w:p w14:paraId="52D1FCF2">
      <w:pPr>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7D17F364">
      <w:pPr>
        <w:rPr>
          <w:rFonts w:ascii="Times New Roman" w:hAnsi="Times New Roman"/>
          <w:color w:val="auto"/>
          <w:highlight w:val="none"/>
        </w:rPr>
      </w:pPr>
      <w:r>
        <w:rPr>
          <w:rFonts w:hint="eastAsia" w:ascii="Times New Roman" w:hAnsi="Times New Roman"/>
          <w:color w:val="auto"/>
          <w:highlight w:val="none"/>
        </w:rPr>
        <w:t>2.2 参选人的风险</w:t>
      </w:r>
    </w:p>
    <w:p w14:paraId="3CCFA6A4">
      <w:pPr>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61DE7B00">
      <w:pPr>
        <w:pStyle w:val="3"/>
        <w:rPr>
          <w:rFonts w:ascii="Times New Roman" w:hAnsi="Times New Roman"/>
          <w:color w:val="auto"/>
          <w:highlight w:val="none"/>
        </w:rPr>
      </w:pPr>
      <w:bookmarkStart w:id="36" w:name="_Toc89675162"/>
      <w:r>
        <w:rPr>
          <w:rFonts w:hint="eastAsia" w:ascii="Times New Roman" w:hAnsi="Times New Roman"/>
          <w:color w:val="auto"/>
          <w:highlight w:val="none"/>
        </w:rPr>
        <w:t>3. 比选文件</w:t>
      </w:r>
      <w:bookmarkEnd w:id="36"/>
    </w:p>
    <w:p w14:paraId="76D736D5">
      <w:pPr>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218B7126">
      <w:pPr>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15FD503C">
      <w:pPr>
        <w:pStyle w:val="3"/>
        <w:rPr>
          <w:rFonts w:ascii="Times New Roman" w:hAnsi="Times New Roman"/>
          <w:color w:val="auto"/>
          <w:highlight w:val="none"/>
        </w:rPr>
      </w:pPr>
      <w:bookmarkStart w:id="37"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37"/>
    </w:p>
    <w:p w14:paraId="1F9CF0D3">
      <w:pPr>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7C8825C2">
      <w:pPr>
        <w:pStyle w:val="4"/>
        <w:rPr>
          <w:rFonts w:ascii="Times New Roman" w:hAnsi="Times New Roman"/>
          <w:color w:val="auto"/>
          <w:highlight w:val="none"/>
        </w:rPr>
      </w:pPr>
      <w:r>
        <w:rPr>
          <w:rFonts w:hint="eastAsia" w:ascii="Times New Roman" w:hAnsi="Times New Roman"/>
          <w:color w:val="auto"/>
          <w:highlight w:val="none"/>
        </w:rPr>
        <w:t>4.1 参选文件组成</w:t>
      </w:r>
    </w:p>
    <w:p w14:paraId="5BFB1847">
      <w:pPr>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0A9938DE">
      <w:pPr>
        <w:pStyle w:val="4"/>
        <w:rPr>
          <w:rFonts w:ascii="Times New Roman" w:hAnsi="Times New Roman"/>
          <w:color w:val="auto"/>
          <w:highlight w:val="none"/>
        </w:rPr>
      </w:pPr>
      <w:r>
        <w:rPr>
          <w:rFonts w:hint="eastAsia" w:ascii="Times New Roman" w:hAnsi="Times New Roman"/>
          <w:color w:val="auto"/>
          <w:highlight w:val="none"/>
        </w:rPr>
        <w:t>4.2 联合参选</w:t>
      </w:r>
    </w:p>
    <w:p w14:paraId="0C2D88A9">
      <w:pPr>
        <w:rPr>
          <w:rFonts w:ascii="Times New Roman" w:hAnsi="Times New Roman"/>
          <w:color w:val="auto"/>
          <w:highlight w:val="none"/>
        </w:rPr>
      </w:pPr>
      <w:r>
        <w:rPr>
          <w:rFonts w:hint="eastAsia" w:ascii="Times New Roman" w:hAnsi="Times New Roman"/>
          <w:color w:val="auto"/>
          <w:highlight w:val="none"/>
        </w:rPr>
        <w:t>本比选项目不接受联合参选</w:t>
      </w:r>
    </w:p>
    <w:p w14:paraId="2727B43A">
      <w:pPr>
        <w:pStyle w:val="4"/>
        <w:rPr>
          <w:rFonts w:ascii="Times New Roman" w:hAnsi="Times New Roman"/>
          <w:color w:val="auto"/>
          <w:highlight w:val="none"/>
        </w:rPr>
      </w:pPr>
      <w:r>
        <w:rPr>
          <w:rFonts w:hint="eastAsia" w:ascii="Times New Roman" w:hAnsi="Times New Roman"/>
          <w:color w:val="auto"/>
          <w:highlight w:val="none"/>
        </w:rPr>
        <w:t>4.3 参选有效期</w:t>
      </w:r>
    </w:p>
    <w:p w14:paraId="248901B1">
      <w:pPr>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2A712969">
      <w:pPr>
        <w:pStyle w:val="4"/>
        <w:rPr>
          <w:rFonts w:ascii="Times New Roman" w:hAnsi="Times New Roman"/>
          <w:color w:val="auto"/>
          <w:highlight w:val="none"/>
        </w:rPr>
      </w:pPr>
      <w:r>
        <w:rPr>
          <w:rFonts w:hint="eastAsia" w:ascii="Times New Roman" w:hAnsi="Times New Roman"/>
          <w:color w:val="auto"/>
          <w:highlight w:val="none"/>
        </w:rPr>
        <w:t>4.4 参选保证金</w:t>
      </w:r>
    </w:p>
    <w:p w14:paraId="7FC1B9B2">
      <w:pPr>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3AD5A643">
      <w:pPr>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3FB156A1">
      <w:pPr>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6313723D">
      <w:pPr>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421AD845">
      <w:pPr>
        <w:rPr>
          <w:rFonts w:ascii="Times New Roman" w:hAnsi="Times New Roman"/>
          <w:color w:val="auto"/>
          <w:highlight w:val="none"/>
        </w:rPr>
      </w:pPr>
      <w:r>
        <w:rPr>
          <w:rFonts w:hint="eastAsia" w:ascii="Times New Roman" w:hAnsi="Times New Roman"/>
          <w:color w:val="auto"/>
          <w:highlight w:val="none"/>
        </w:rPr>
        <w:t>4.4.5 参选保证金的退还：</w:t>
      </w:r>
    </w:p>
    <w:p w14:paraId="79DA1503">
      <w:pPr>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2E6E679C">
      <w:pPr>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79DB28C4">
      <w:pPr>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663DD35C">
      <w:pPr>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2B64ECA5">
      <w:pPr>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2EEE4E1E">
      <w:pPr>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1AABB9AD">
      <w:pPr>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730113C1">
      <w:pPr>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0FCA6911">
      <w:pPr>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69D340CE">
      <w:pPr>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74867778">
      <w:pPr>
        <w:pStyle w:val="4"/>
        <w:rPr>
          <w:rFonts w:ascii="Times New Roman" w:hAnsi="Times New Roman"/>
          <w:color w:val="auto"/>
          <w:highlight w:val="none"/>
        </w:rPr>
      </w:pPr>
      <w:r>
        <w:rPr>
          <w:rFonts w:hint="eastAsia" w:ascii="Times New Roman" w:hAnsi="Times New Roman"/>
          <w:color w:val="auto"/>
          <w:highlight w:val="none"/>
        </w:rPr>
        <w:t>4.5 参选文件的份数和签署</w:t>
      </w:r>
    </w:p>
    <w:p w14:paraId="33F1035F">
      <w:pPr>
        <w:rPr>
          <w:rFonts w:hint="eastAsia" w:ascii="Times New Roman" w:hAnsi="Times New Roman"/>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130926E9">
      <w:pPr>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04360F8C">
      <w:pPr>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4471C7E9">
      <w:pPr>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33813CA7">
      <w:pPr>
        <w:pStyle w:val="4"/>
        <w:rPr>
          <w:rFonts w:ascii="Times New Roman" w:hAnsi="Times New Roman"/>
          <w:color w:val="auto"/>
          <w:highlight w:val="none"/>
        </w:rPr>
      </w:pPr>
      <w:r>
        <w:rPr>
          <w:rFonts w:hint="eastAsia" w:ascii="Times New Roman" w:hAnsi="Times New Roman"/>
          <w:color w:val="auto"/>
          <w:highlight w:val="none"/>
        </w:rPr>
        <w:t>4.6 参选文件的密封与标记</w:t>
      </w:r>
    </w:p>
    <w:p w14:paraId="10803B3A">
      <w:pPr>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361E5CED">
      <w:pPr>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79ECA830">
      <w:pPr>
        <w:pStyle w:val="4"/>
        <w:rPr>
          <w:rFonts w:ascii="Times New Roman" w:hAnsi="Times New Roman"/>
          <w:color w:val="auto"/>
          <w:highlight w:val="none"/>
        </w:rPr>
      </w:pPr>
      <w:r>
        <w:rPr>
          <w:rFonts w:hint="eastAsia" w:ascii="Times New Roman" w:hAnsi="Times New Roman"/>
          <w:color w:val="auto"/>
          <w:highlight w:val="none"/>
        </w:rPr>
        <w:t>4.7 参选报价</w:t>
      </w:r>
    </w:p>
    <w:p w14:paraId="35414E17">
      <w:pPr>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5FD93DD6">
      <w:pPr>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71965D22">
      <w:pPr>
        <w:rPr>
          <w:rFonts w:hint="eastAsia"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54950B7F">
      <w:pPr>
        <w:ind w:firstLine="480"/>
        <w:outlineLvl w:val="3"/>
        <w:rPr>
          <w:rFonts w:hint="eastAsia" w:ascii="Times New Roman" w:hAnsi="Times New Roman"/>
          <w:color w:val="auto"/>
          <w:highlight w:val="none"/>
        </w:rPr>
      </w:pPr>
      <w:r>
        <w:rPr>
          <w:rFonts w:hint="eastAsia"/>
          <w:color w:val="auto"/>
          <w:highlight w:val="none"/>
          <w:lang w:val="en-US" w:eastAsia="zh-CN"/>
        </w:rPr>
        <w:t>4.7.4 参选报价不得超过最高限价。</w:t>
      </w:r>
    </w:p>
    <w:p w14:paraId="2E3031F4">
      <w:pPr>
        <w:pStyle w:val="4"/>
        <w:rPr>
          <w:rFonts w:ascii="Times New Roman" w:hAnsi="Times New Roman"/>
          <w:color w:val="auto"/>
          <w:highlight w:val="none"/>
        </w:rPr>
      </w:pPr>
      <w:r>
        <w:rPr>
          <w:rFonts w:hint="eastAsia" w:ascii="Times New Roman" w:hAnsi="Times New Roman"/>
          <w:color w:val="auto"/>
          <w:highlight w:val="none"/>
        </w:rPr>
        <w:t>4.8 修正错误</w:t>
      </w:r>
    </w:p>
    <w:p w14:paraId="1856F3C2">
      <w:pPr>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7C90243D">
      <w:pPr>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1F178EF8">
      <w:pPr>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6B076766">
      <w:pPr>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07B6DB3D">
      <w:pPr>
        <w:rPr>
          <w:rFonts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32E0B126">
      <w:pPr>
        <w:rPr>
          <w:rFonts w:hint="eastAsia"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6F5E6EF2">
      <w:pPr>
        <w:ind w:firstLine="480"/>
        <w:outlineLvl w:val="3"/>
        <w:rPr>
          <w:rFonts w:hint="eastAsia" w:ascii="Times New Roman" w:hAnsi="Times New Roman"/>
          <w:color w:val="auto"/>
          <w:highlight w:val="none"/>
        </w:rPr>
      </w:pPr>
      <w:r>
        <w:rPr>
          <w:rFonts w:hint="eastAsia"/>
          <w:color w:val="auto"/>
          <w:highlight w:val="none"/>
          <w:lang w:val="en-US" w:eastAsia="zh-CN"/>
        </w:rPr>
        <w:t>4.8.5 含税金额与不含税金额存在计算错误的，以含税金额为准。</w:t>
      </w:r>
    </w:p>
    <w:p w14:paraId="520EBCC5">
      <w:pPr>
        <w:pStyle w:val="3"/>
        <w:rPr>
          <w:rFonts w:ascii="Times New Roman" w:hAnsi="Times New Roman"/>
          <w:color w:val="auto"/>
          <w:highlight w:val="none"/>
        </w:rPr>
      </w:pPr>
      <w:bookmarkStart w:id="38" w:name="_Toc89675166"/>
      <w:r>
        <w:rPr>
          <w:rFonts w:hint="eastAsia" w:ascii="Times New Roman" w:hAnsi="Times New Roman"/>
          <w:color w:val="auto"/>
          <w:highlight w:val="none"/>
        </w:rPr>
        <w:t>5. 比选程序</w:t>
      </w:r>
    </w:p>
    <w:p w14:paraId="2891B592">
      <w:pPr>
        <w:rPr>
          <w:rFonts w:ascii="Times New Roman" w:hAnsi="Times New Roman"/>
          <w:color w:val="auto"/>
          <w:highlight w:val="none"/>
        </w:rPr>
      </w:pPr>
      <w:r>
        <w:rPr>
          <w:rFonts w:hint="eastAsia" w:ascii="Times New Roman" w:hAnsi="Times New Roman"/>
          <w:color w:val="auto"/>
          <w:highlight w:val="none"/>
        </w:rPr>
        <w:t>主持人按下列程序进行比选：</w:t>
      </w:r>
    </w:p>
    <w:p w14:paraId="4CE015C4">
      <w:pPr>
        <w:rPr>
          <w:rFonts w:ascii="Times New Roman" w:hAnsi="Times New Roman"/>
          <w:color w:val="auto"/>
          <w:highlight w:val="none"/>
        </w:rPr>
      </w:pPr>
      <w:r>
        <w:rPr>
          <w:rFonts w:hint="eastAsia" w:ascii="Times New Roman" w:hAnsi="Times New Roman"/>
          <w:color w:val="auto"/>
          <w:highlight w:val="none"/>
        </w:rPr>
        <w:t>5.1 宣布比选纪律；</w:t>
      </w:r>
    </w:p>
    <w:p w14:paraId="253DDB2B">
      <w:pPr>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11ADDB7A">
      <w:pPr>
        <w:rPr>
          <w:rFonts w:ascii="Times New Roman" w:hAnsi="Times New Roman"/>
          <w:color w:val="auto"/>
          <w:highlight w:val="none"/>
        </w:rPr>
      </w:pPr>
      <w:r>
        <w:rPr>
          <w:rFonts w:hint="eastAsia" w:ascii="Times New Roman" w:hAnsi="Times New Roman"/>
          <w:color w:val="auto"/>
          <w:highlight w:val="none"/>
        </w:rPr>
        <w:t>5.3 公布在</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截止时间前递交参选文件的参选人名称，并点名确认参选人是否派人到场；</w:t>
      </w:r>
    </w:p>
    <w:p w14:paraId="1488A22F">
      <w:pPr>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5F99FB78">
      <w:pPr>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6480BA90">
      <w:pPr>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3CC3EA20">
      <w:pPr>
        <w:rPr>
          <w:rFonts w:ascii="Times New Roman" w:hAnsi="Times New Roman"/>
          <w:color w:val="auto"/>
          <w:highlight w:val="none"/>
        </w:rPr>
      </w:pPr>
      <w:r>
        <w:rPr>
          <w:rFonts w:hint="eastAsia" w:ascii="Times New Roman" w:hAnsi="Times New Roman"/>
          <w:color w:val="auto"/>
          <w:highlight w:val="none"/>
        </w:rPr>
        <w:t>5.7 开启参选文件；</w:t>
      </w:r>
    </w:p>
    <w:p w14:paraId="747B2C8C">
      <w:pPr>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4E352701">
      <w:pPr>
        <w:rPr>
          <w:rFonts w:ascii="Times New Roman" w:hAnsi="Times New Roman"/>
          <w:color w:val="auto"/>
          <w:highlight w:val="none"/>
        </w:rPr>
      </w:pPr>
      <w:r>
        <w:rPr>
          <w:rFonts w:hint="eastAsia" w:ascii="Times New Roman" w:hAnsi="Times New Roman"/>
          <w:color w:val="auto"/>
          <w:highlight w:val="none"/>
        </w:rPr>
        <w:t>5.9 比选结束。</w:t>
      </w:r>
    </w:p>
    <w:p w14:paraId="0C631CFA">
      <w:pPr>
        <w:pStyle w:val="3"/>
        <w:rPr>
          <w:rFonts w:ascii="Times New Roman" w:hAnsi="Times New Roman"/>
          <w:color w:val="auto"/>
          <w:highlight w:val="none"/>
        </w:rPr>
      </w:pPr>
      <w:r>
        <w:rPr>
          <w:rFonts w:hint="eastAsia" w:ascii="Times New Roman" w:hAnsi="Times New Roman"/>
          <w:color w:val="auto"/>
          <w:highlight w:val="none"/>
        </w:rPr>
        <w:t>6. 评审</w:t>
      </w:r>
    </w:p>
    <w:p w14:paraId="66F5A3C2">
      <w:pPr>
        <w:rPr>
          <w:rFonts w:ascii="Times New Roman" w:hAnsi="Times New Roman"/>
          <w:color w:val="auto"/>
          <w:highlight w:val="none"/>
        </w:rPr>
      </w:pPr>
      <w:r>
        <w:rPr>
          <w:rFonts w:hint="eastAsia" w:ascii="Times New Roman" w:hAnsi="Times New Roman"/>
          <w:color w:val="auto"/>
          <w:highlight w:val="none"/>
        </w:rPr>
        <w:t>见第四章内容。</w:t>
      </w:r>
    </w:p>
    <w:p w14:paraId="0DF4CA21">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38"/>
    </w:p>
    <w:p w14:paraId="58383588">
      <w:pPr>
        <w:rPr>
          <w:rFonts w:ascii="Times New Roman" w:hAnsi="Times New Roman"/>
          <w:color w:val="auto"/>
          <w:highlight w:val="none"/>
        </w:rPr>
      </w:pPr>
      <w:r>
        <w:rPr>
          <w:rFonts w:hint="eastAsia" w:ascii="Times New Roman" w:hAnsi="Times New Roman"/>
          <w:color w:val="auto"/>
          <w:highlight w:val="none"/>
        </w:rPr>
        <w:t>7.1 定选原则</w:t>
      </w:r>
    </w:p>
    <w:p w14:paraId="56F9B332">
      <w:pPr>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63624D4E">
      <w:pPr>
        <w:rPr>
          <w:rFonts w:ascii="Times New Roman" w:hAnsi="Times New Roman"/>
          <w:color w:val="auto"/>
          <w:highlight w:val="none"/>
        </w:rPr>
      </w:pPr>
      <w:r>
        <w:rPr>
          <w:rFonts w:hint="eastAsia" w:ascii="Times New Roman" w:hAnsi="Times New Roman"/>
          <w:color w:val="auto"/>
          <w:highlight w:val="none"/>
        </w:rPr>
        <w:t>7.2 不承诺最低价格中选。</w:t>
      </w:r>
    </w:p>
    <w:p w14:paraId="088691C5">
      <w:pPr>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458C75C6">
      <w:pPr>
        <w:pStyle w:val="3"/>
        <w:rPr>
          <w:rFonts w:ascii="Times New Roman" w:hAnsi="Times New Roman"/>
          <w:color w:val="auto"/>
          <w:highlight w:val="none"/>
        </w:rPr>
      </w:pPr>
      <w:bookmarkStart w:id="39" w:name="_Toc12245"/>
      <w:bookmarkStart w:id="40" w:name="_Toc89675168"/>
      <w:r>
        <w:rPr>
          <w:rFonts w:hint="eastAsia" w:ascii="Times New Roman" w:hAnsi="Times New Roman"/>
          <w:color w:val="auto"/>
          <w:highlight w:val="none"/>
        </w:rPr>
        <w:t>8. 签订合同</w:t>
      </w:r>
      <w:bookmarkEnd w:id="39"/>
      <w:bookmarkEnd w:id="40"/>
    </w:p>
    <w:p w14:paraId="29D9ECB9">
      <w:pPr>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1D6D1E9">
      <w:pPr>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6AA99B6F">
      <w:pPr>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26F7E5A3">
      <w:pPr>
        <w:rPr>
          <w:rFonts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5F55DA82">
      <w:pPr>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17E3A6A8">
      <w:pPr>
        <w:pStyle w:val="3"/>
        <w:rPr>
          <w:rFonts w:ascii="Times New Roman" w:hAnsi="Times New Roman"/>
          <w:color w:val="auto"/>
          <w:highlight w:val="none"/>
        </w:rPr>
      </w:pPr>
      <w:r>
        <w:rPr>
          <w:rFonts w:hint="eastAsia" w:ascii="Times New Roman" w:hAnsi="Times New Roman"/>
          <w:color w:val="auto"/>
          <w:highlight w:val="none"/>
        </w:rPr>
        <w:t>9. 纪律与要求</w:t>
      </w:r>
    </w:p>
    <w:p w14:paraId="44EC4D64">
      <w:pPr>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098F6F08">
      <w:pPr>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2B1A4F7D">
      <w:pPr>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3ECFE873">
      <w:pPr>
        <w:rPr>
          <w:rFonts w:ascii="Times New Roman" w:hAnsi="Times New Roman"/>
          <w:color w:val="auto"/>
          <w:highlight w:val="none"/>
        </w:rPr>
      </w:pPr>
      <w:r>
        <w:rPr>
          <w:rFonts w:hint="eastAsia" w:ascii="Times New Roman" w:hAnsi="Times New Roman"/>
          <w:color w:val="auto"/>
          <w:highlight w:val="none"/>
        </w:rPr>
        <w:t>9.1.2 参选人之间约定中选人；</w:t>
      </w:r>
    </w:p>
    <w:p w14:paraId="7C06542A">
      <w:pPr>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0C89B4A8">
      <w:pPr>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12EE6A93">
      <w:pPr>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554359DC">
      <w:pPr>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73A47851">
      <w:pPr>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6FD5908F">
      <w:pPr>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3D7C37C2">
      <w:pPr>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2834E284">
      <w:pPr>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183CF086">
      <w:pPr>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3B2686A3">
      <w:pPr>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4B0BA457">
      <w:pPr>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46AE0622">
      <w:pPr>
        <w:rPr>
          <w:rFonts w:ascii="Times New Roman" w:hAnsi="Times New Roman"/>
          <w:color w:val="auto"/>
          <w:highlight w:val="none"/>
        </w:rPr>
      </w:pPr>
      <w:r>
        <w:rPr>
          <w:rFonts w:hint="eastAsia" w:ascii="Times New Roman" w:hAnsi="Times New Roman"/>
          <w:color w:val="auto"/>
          <w:highlight w:val="none"/>
        </w:rPr>
        <w:t>9.4.1 使用伪造、变造的许可证件；</w:t>
      </w:r>
    </w:p>
    <w:p w14:paraId="69EB0F51">
      <w:pPr>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06FEB927">
      <w:pPr>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418E65E6">
      <w:pPr>
        <w:rPr>
          <w:rFonts w:ascii="Times New Roman" w:hAnsi="Times New Roman"/>
          <w:color w:val="auto"/>
          <w:highlight w:val="none"/>
        </w:rPr>
      </w:pPr>
      <w:r>
        <w:rPr>
          <w:rFonts w:hint="eastAsia" w:ascii="Times New Roman" w:hAnsi="Times New Roman"/>
          <w:color w:val="auto"/>
          <w:highlight w:val="none"/>
        </w:rPr>
        <w:t>9.4.4 提供虚假的信用状况；</w:t>
      </w:r>
    </w:p>
    <w:p w14:paraId="7D35C9CA">
      <w:pPr>
        <w:rPr>
          <w:rFonts w:ascii="Times New Roman" w:hAnsi="Times New Roman"/>
          <w:color w:val="auto"/>
          <w:highlight w:val="none"/>
        </w:rPr>
      </w:pPr>
      <w:r>
        <w:rPr>
          <w:rFonts w:hint="eastAsia" w:ascii="Times New Roman" w:hAnsi="Times New Roman"/>
          <w:color w:val="auto"/>
          <w:highlight w:val="none"/>
        </w:rPr>
        <w:t>9.4.5 其它弄虚作假的行为。</w:t>
      </w:r>
    </w:p>
    <w:p w14:paraId="05754BEA">
      <w:pPr>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24ABB3C2">
      <w:pPr>
        <w:pStyle w:val="3"/>
        <w:rPr>
          <w:rFonts w:ascii="Times New Roman" w:hAnsi="Times New Roman"/>
          <w:color w:val="auto"/>
          <w:highlight w:val="none"/>
        </w:rPr>
      </w:pPr>
      <w:bookmarkStart w:id="41" w:name="_Toc89675169"/>
      <w:r>
        <w:rPr>
          <w:rFonts w:hint="eastAsia" w:ascii="Times New Roman" w:hAnsi="Times New Roman"/>
          <w:color w:val="auto"/>
          <w:highlight w:val="none"/>
        </w:rPr>
        <w:t>10. 提问、质疑、投诉</w:t>
      </w:r>
    </w:p>
    <w:p w14:paraId="16081756">
      <w:pPr>
        <w:rPr>
          <w:rFonts w:ascii="Times New Roman" w:hAnsi="Times New Roman"/>
          <w:color w:val="auto"/>
          <w:highlight w:val="none"/>
        </w:rPr>
      </w:pPr>
      <w:r>
        <w:rPr>
          <w:rFonts w:hint="eastAsia" w:ascii="Times New Roman" w:hAnsi="Times New Roman"/>
          <w:color w:val="auto"/>
          <w:highlight w:val="none"/>
        </w:rPr>
        <w:t>10.1 补遗内容可能影响参选文件编制的，须在</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截止时间3日前发布，发布时间至</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截止时间不足3日的，须相应延后</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w:t>
      </w:r>
    </w:p>
    <w:p w14:paraId="6ADE6B28">
      <w:pPr>
        <w:bidi w:val="0"/>
        <w:rPr>
          <w:rFonts w:hint="eastAsia"/>
          <w:color w:val="auto"/>
          <w:highlight w:val="none"/>
        </w:rPr>
      </w:pPr>
      <w:r>
        <w:rPr>
          <w:rFonts w:hint="eastAsia" w:ascii="Times New Roman" w:hAnsi="Times New Roman"/>
          <w:color w:val="auto"/>
          <w:highlight w:val="none"/>
        </w:rPr>
        <w:t>10.2 参选人对比选文件和答疑补遗有质疑的，应当在</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截止时间3日前，以书面形式通知比选人。</w:t>
      </w:r>
      <w:r>
        <w:rPr>
          <w:rFonts w:hint="eastAsia"/>
          <w:color w:val="auto"/>
          <w:highlight w:val="none"/>
        </w:rPr>
        <w:t>比选人认为有必要对参选人所提问题进行答复或对比选文件进行补充时，将答复内容以补遗的形式发布。</w:t>
      </w:r>
    </w:p>
    <w:p w14:paraId="29BAE4DE">
      <w:pPr>
        <w:bidi w:val="0"/>
        <w:rPr>
          <w:color w:val="auto"/>
          <w:highlight w:val="none"/>
        </w:rPr>
      </w:pPr>
      <w:r>
        <w:rPr>
          <w:rFonts w:hint="eastAsia" w:ascii="Times New Roman" w:hAnsi="Times New Roman"/>
          <w:color w:val="auto"/>
          <w:highlight w:val="none"/>
        </w:rPr>
        <w:t>10.3 参选人对公示的中选结果有质疑，参选人需在公示期内以书面形式向比选人提出质疑。</w:t>
      </w:r>
      <w:r>
        <w:rPr>
          <w:rFonts w:hint="eastAsia"/>
          <w:color w:val="auto"/>
          <w:highlight w:val="none"/>
        </w:rPr>
        <w:t>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56173009">
      <w:pPr>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6F12156F">
      <w:pPr>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07BEAF0C">
      <w:pPr>
        <w:rPr>
          <w:rFonts w:ascii="Times New Roman" w:hAnsi="Times New Roman"/>
          <w:color w:val="auto"/>
          <w:highlight w:val="none"/>
        </w:rPr>
      </w:pPr>
      <w:r>
        <w:rPr>
          <w:rFonts w:hint="eastAsia" w:ascii="Times New Roman" w:hAnsi="Times New Roman"/>
          <w:color w:val="auto"/>
          <w:highlight w:val="none"/>
        </w:rPr>
        <w:t>采购投诉邮箱：</w:t>
      </w:r>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p>
    <w:p w14:paraId="7FBAC81A">
      <w:pPr>
        <w:pStyle w:val="3"/>
        <w:rPr>
          <w:rFonts w:ascii="Times New Roman" w:hAnsi="Times New Roman"/>
          <w:color w:val="auto"/>
          <w:highlight w:val="none"/>
        </w:rPr>
      </w:pPr>
      <w:bookmarkStart w:id="42" w:name="_Toc440628924"/>
      <w:bookmarkStart w:id="43" w:name="_Toc15059431"/>
      <w:bookmarkStart w:id="44" w:name="_Toc275199618"/>
      <w:bookmarkStart w:id="45" w:name="_Toc89675157"/>
      <w:bookmarkStart w:id="46" w:name="_Toc11439"/>
      <w:r>
        <w:rPr>
          <w:rFonts w:hint="eastAsia" w:ascii="Times New Roman" w:hAnsi="Times New Roman"/>
          <w:color w:val="auto"/>
          <w:highlight w:val="none"/>
        </w:rPr>
        <w:t>11. 无效参选条款</w:t>
      </w:r>
      <w:bookmarkEnd w:id="42"/>
      <w:bookmarkEnd w:id="43"/>
      <w:bookmarkEnd w:id="44"/>
      <w:bookmarkEnd w:id="45"/>
      <w:bookmarkEnd w:id="46"/>
    </w:p>
    <w:p w14:paraId="1E6D6C32">
      <w:pPr>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381AE92F">
      <w:pPr>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3CDFC0D4">
      <w:pPr>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52A91214">
      <w:pPr>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609A996F">
      <w:pPr>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6B081CEF">
      <w:pPr>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4D11A079">
      <w:pPr>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1D95E0B5">
      <w:pPr>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08FE561A">
      <w:pPr>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49B5E13B">
      <w:pPr>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1B1DCC1E">
      <w:pPr>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1D6C4FD2">
      <w:pPr>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296F86EC">
      <w:pPr>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37750D12">
      <w:pPr>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5616A362">
      <w:pPr>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4FBC36C7">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6E71EE26">
      <w:pPr>
        <w:snapToGrid w:val="0"/>
        <w:rPr>
          <w:rFonts w:ascii="Times New Roman" w:hAnsi="Times New Roman"/>
          <w:color w:val="auto"/>
          <w:highlight w:val="none"/>
        </w:rPr>
      </w:pPr>
      <w:r>
        <w:rPr>
          <w:rFonts w:hint="eastAsia" w:ascii="Times New Roman" w:hAnsi="Times New Roman"/>
          <w:color w:val="auto"/>
          <w:highlight w:val="none"/>
        </w:rPr>
        <w:t>出现以下情形本次比选失败：</w:t>
      </w:r>
    </w:p>
    <w:p w14:paraId="0EE8EEC7">
      <w:pPr>
        <w:snapToGrid w:val="0"/>
        <w:rPr>
          <w:rFonts w:ascii="Times New Roman" w:hAnsi="Times New Roman"/>
          <w:color w:val="auto"/>
          <w:highlight w:val="none"/>
        </w:rPr>
      </w:pPr>
      <w:r>
        <w:rPr>
          <w:rFonts w:hint="eastAsia" w:ascii="Times New Roman" w:hAnsi="Times New Roman"/>
          <w:color w:val="auto"/>
          <w:highlight w:val="none"/>
        </w:rPr>
        <w:t xml:space="preserve">12.1 </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截止时间止，参选人少于2个的。</w:t>
      </w:r>
    </w:p>
    <w:p w14:paraId="37BA4C72">
      <w:pPr>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5AC23D7E">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41"/>
    </w:p>
    <w:p w14:paraId="7E800470">
      <w:pPr>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09B3FC32">
      <w:pPr>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26DF3E4B">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2BA18439">
      <w:pPr>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42E3DEFA">
      <w:pPr>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lang w:val="en-US" w:eastAsia="zh-CN"/>
        </w:rPr>
        <w:t>15000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44317ACD">
      <w:pPr>
        <w:widowControl/>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5BE84905">
      <w:pPr>
        <w:pStyle w:val="2"/>
        <w:rPr>
          <w:rFonts w:ascii="Times New Roman" w:hAnsi="Times New Roman"/>
          <w:color w:val="auto"/>
          <w:highlight w:val="none"/>
        </w:rPr>
      </w:pPr>
      <w:bookmarkStart w:id="47" w:name="_Toc11825"/>
      <w:bookmarkStart w:id="48" w:name="_Toc4279"/>
      <w:r>
        <w:rPr>
          <w:rFonts w:hint="eastAsia" w:ascii="Times New Roman" w:hAnsi="Times New Roman"/>
          <w:color w:val="auto"/>
          <w:highlight w:val="none"/>
        </w:rPr>
        <w:t>第三章 项目要求</w:t>
      </w:r>
      <w:bookmarkEnd w:id="47"/>
      <w:bookmarkEnd w:id="48"/>
    </w:p>
    <w:p w14:paraId="60E7D7D2">
      <w:pPr>
        <w:pStyle w:val="3"/>
        <w:numPr>
          <w:ilvl w:val="0"/>
          <w:numId w:val="3"/>
        </w:numPr>
        <w:rPr>
          <w:rFonts w:ascii="Times New Roman" w:hAnsi="Times New Roman"/>
          <w:color w:val="auto"/>
          <w:highlight w:val="none"/>
        </w:rPr>
      </w:pPr>
      <w:r>
        <w:rPr>
          <w:rFonts w:hint="eastAsia" w:ascii="Times New Roman" w:hAnsi="Times New Roman"/>
          <w:color w:val="auto"/>
          <w:highlight w:val="none"/>
        </w:rPr>
        <w:t>总体要求</w:t>
      </w:r>
    </w:p>
    <w:p w14:paraId="680984DD">
      <w:pPr>
        <w:rPr>
          <w:rFonts w:hint="eastAsia"/>
          <w:color w:val="auto"/>
          <w:highlight w:val="none"/>
        </w:rPr>
      </w:pPr>
      <w:r>
        <w:rPr>
          <w:rFonts w:hint="eastAsia" w:ascii="Times New Roman" w:hAnsi="Times New Roman" w:cs="Times New Roman"/>
          <w:snapToGrid w:val="0"/>
          <w:color w:val="auto"/>
          <w:kern w:val="0"/>
          <w:szCs w:val="24"/>
          <w:highlight w:val="none"/>
        </w:rPr>
        <w:t>依据《电子银行安全评估指引》《网上银行系统信息安全通用规范》等标准规范</w:t>
      </w:r>
      <w:r>
        <w:rPr>
          <w:rFonts w:ascii="Times New Roman" w:hAnsi="Times New Roman" w:cs="Times New Roman"/>
          <w:snapToGrid w:val="0"/>
          <w:color w:val="auto"/>
          <w:kern w:val="0"/>
          <w:szCs w:val="24"/>
          <w:highlight w:val="none"/>
        </w:rPr>
        <w:t>，按照有关管理规范、技术标准</w:t>
      </w:r>
      <w:r>
        <w:rPr>
          <w:rFonts w:hint="eastAsia" w:ascii="Times New Roman" w:hAnsi="Times New Roman" w:cs="Times New Roman"/>
          <w:snapToGrid w:val="0"/>
          <w:color w:val="auto"/>
          <w:kern w:val="0"/>
          <w:szCs w:val="24"/>
          <w:highlight w:val="none"/>
        </w:rPr>
        <w:t>等对电子银行系统进行安全评估，并模拟黑客常用攻击方式，对我行现有互联网及电子银行类信息系统进行安全渗透测试，尽量挖掘和暴露安全漏洞，以便有针对性地进行修复，提升系统安全性。</w:t>
      </w:r>
    </w:p>
    <w:p w14:paraId="591E40A0">
      <w:pPr>
        <w:pStyle w:val="3"/>
        <w:numPr>
          <w:ilvl w:val="0"/>
          <w:numId w:val="3"/>
        </w:numPr>
        <w:rPr>
          <w:rFonts w:ascii="Times New Roman" w:hAnsi="Times New Roman"/>
          <w:color w:val="auto"/>
          <w:highlight w:val="none"/>
        </w:rPr>
      </w:pPr>
      <w:r>
        <w:rPr>
          <w:rFonts w:ascii="Times New Roman" w:hAnsi="Times New Roman" w:cs="Times New Roman"/>
          <w:color w:val="auto"/>
          <w:kern w:val="0"/>
          <w:highlight w:val="none"/>
        </w:rPr>
        <w:t>服务内容</w:t>
      </w:r>
    </w:p>
    <w:p w14:paraId="3FA010C1">
      <w:pP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2.1 服务范围</w:t>
      </w:r>
    </w:p>
    <w:p w14:paraId="3F5E8C7C">
      <w:pP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1）电子银行安全评估</w:t>
      </w:r>
    </w:p>
    <w:p w14:paraId="59666486">
      <w:pP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根据《电子银行安全评估指引》（银监发﹝2006﹞9号）要求，对我行电子银行类系统进行安全评估，发现问题并提出科学合理的整改建议，出具电子银行安全评估报告。</w:t>
      </w:r>
    </w:p>
    <w:p w14:paraId="20C4344A">
      <w:pP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2）现有互联网及电子银行类信息系统安全渗透测试</w:t>
      </w:r>
    </w:p>
    <w:p w14:paraId="12960859">
      <w:pP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模拟黑客常用攻击方式，对比选人现有互联网及电子银行类信息系统进行模拟入侵，尽量挖掘和暴露安全漏洞，以便有针对性地进行修复，提升系统安全防护能力，每季度开展一次。</w:t>
      </w:r>
    </w:p>
    <w:p w14:paraId="277593BC">
      <w:pPr>
        <w:pStyle w:val="20"/>
        <w:spacing w:before="0" w:beforeAutospacing="0" w:after="0"/>
        <w:ind w:firstLine="482" w:firstLineChars="200"/>
        <w:rPr>
          <w:rFonts w:hint="eastAsia" w:ascii="Times New Roman" w:hAnsi="Times New Roman" w:cs="Times New Roman"/>
          <w:b/>
          <w:bCs/>
          <w:snapToGrid w:val="0"/>
          <w:color w:val="auto"/>
          <w:kern w:val="0"/>
          <w:sz w:val="24"/>
          <w:szCs w:val="24"/>
          <w:highlight w:val="none"/>
        </w:rPr>
      </w:pPr>
      <w:r>
        <w:rPr>
          <w:rFonts w:hint="eastAsia" w:ascii="Times New Roman" w:hAnsi="Times New Roman" w:cs="Times New Roman"/>
          <w:b/>
          <w:bCs/>
          <w:snapToGrid w:val="0"/>
          <w:color w:val="auto"/>
          <w:kern w:val="0"/>
          <w:sz w:val="24"/>
          <w:szCs w:val="24"/>
          <w:highlight w:val="none"/>
        </w:rPr>
        <w:t>测试对象：</w:t>
      </w:r>
      <w:r>
        <w:rPr>
          <w:rFonts w:hint="eastAsia" w:ascii="Times New Roman" w:hAnsi="Times New Roman" w:cs="Times New Roman"/>
          <w:snapToGrid w:val="0"/>
          <w:color w:val="auto"/>
          <w:kern w:val="0"/>
          <w:sz w:val="24"/>
          <w:szCs w:val="24"/>
          <w:highlight w:val="none"/>
          <w:lang w:val="en-US" w:eastAsia="zh-CN"/>
        </w:rPr>
        <w:t>参选人互联网及</w:t>
      </w:r>
      <w:r>
        <w:rPr>
          <w:rFonts w:hint="eastAsia" w:ascii="Times New Roman" w:hAnsi="Times New Roman" w:cs="Times New Roman"/>
          <w:snapToGrid w:val="0"/>
          <w:color w:val="auto"/>
          <w:kern w:val="0"/>
          <w:sz w:val="24"/>
          <w:szCs w:val="24"/>
          <w:highlight w:val="none"/>
        </w:rPr>
        <w:t>电子银行类信息系统</w:t>
      </w:r>
      <w:r>
        <w:rPr>
          <w:rFonts w:hint="eastAsia" w:ascii="Times New Roman" w:hAnsi="Times New Roman" w:cs="Times New Roman"/>
          <w:snapToGrid w:val="0"/>
          <w:color w:val="auto"/>
          <w:kern w:val="0"/>
          <w:sz w:val="24"/>
          <w:szCs w:val="24"/>
          <w:highlight w:val="none"/>
          <w:lang w:eastAsia="zh-CN"/>
        </w:rPr>
        <w:t>，</w:t>
      </w:r>
      <w:r>
        <w:rPr>
          <w:rFonts w:hint="eastAsia" w:ascii="Times New Roman" w:hAnsi="Times New Roman" w:cs="Times New Roman"/>
          <w:snapToGrid w:val="0"/>
          <w:color w:val="auto"/>
          <w:kern w:val="0"/>
          <w:sz w:val="24"/>
          <w:szCs w:val="24"/>
          <w:highlight w:val="none"/>
        </w:rPr>
        <w:t>包括网上银行（</w:t>
      </w:r>
      <w:r>
        <w:rPr>
          <w:rFonts w:hint="eastAsia" w:ascii="Times New Roman" w:hAnsi="Times New Roman" w:cs="Times New Roman"/>
          <w:snapToGrid w:val="0"/>
          <w:color w:val="auto"/>
          <w:kern w:val="0"/>
          <w:sz w:val="24"/>
          <w:szCs w:val="24"/>
          <w:highlight w:val="none"/>
          <w:lang w:val="en-US" w:eastAsia="zh-CN"/>
        </w:rPr>
        <w:t>含</w:t>
      </w:r>
      <w:r>
        <w:rPr>
          <w:rFonts w:hint="eastAsia" w:ascii="Times New Roman" w:hAnsi="Times New Roman" w:cs="Times New Roman"/>
          <w:snapToGrid w:val="0"/>
          <w:color w:val="auto"/>
          <w:kern w:val="0"/>
          <w:sz w:val="24"/>
          <w:szCs w:val="24"/>
          <w:highlight w:val="none"/>
        </w:rPr>
        <w:t>企业网银和个人网银）、三峡付、手机银行</w:t>
      </w:r>
      <w:r>
        <w:rPr>
          <w:rFonts w:hint="eastAsia" w:ascii="Times New Roman" w:hAnsi="Times New Roman" w:cs="Times New Roman"/>
          <w:snapToGrid w:val="0"/>
          <w:color w:val="auto"/>
          <w:kern w:val="0"/>
          <w:sz w:val="24"/>
          <w:szCs w:val="24"/>
          <w:highlight w:val="none"/>
          <w:lang w:eastAsia="zh-CN"/>
        </w:rPr>
        <w:t>、</w:t>
      </w:r>
      <w:r>
        <w:rPr>
          <w:rFonts w:hint="eastAsia" w:ascii="Times New Roman" w:hAnsi="Times New Roman" w:cs="Times New Roman"/>
          <w:snapToGrid w:val="0"/>
          <w:color w:val="auto"/>
          <w:kern w:val="0"/>
          <w:sz w:val="24"/>
          <w:szCs w:val="24"/>
          <w:highlight w:val="none"/>
        </w:rPr>
        <w:t>外网门户、智能客服、人力资源系统等</w:t>
      </w:r>
      <w:r>
        <w:rPr>
          <w:rFonts w:hint="eastAsia" w:ascii="Times New Roman" w:hAnsi="Times New Roman" w:cs="Times New Roman"/>
          <w:snapToGrid w:val="0"/>
          <w:color w:val="auto"/>
          <w:kern w:val="0"/>
          <w:sz w:val="24"/>
          <w:szCs w:val="24"/>
          <w:highlight w:val="none"/>
          <w:lang w:val="en-US" w:eastAsia="zh-CN"/>
        </w:rPr>
        <w:t>相关互联网及电子银行类</w:t>
      </w:r>
      <w:r>
        <w:rPr>
          <w:rFonts w:hint="eastAsia" w:ascii="Times New Roman" w:hAnsi="Times New Roman" w:cs="Times New Roman"/>
          <w:snapToGrid w:val="0"/>
          <w:color w:val="auto"/>
          <w:kern w:val="0"/>
          <w:sz w:val="24"/>
          <w:szCs w:val="24"/>
          <w:highlight w:val="none"/>
        </w:rPr>
        <w:t>信息系统</w:t>
      </w:r>
      <w:r>
        <w:rPr>
          <w:rFonts w:hint="eastAsia" w:ascii="Times New Roman" w:hAnsi="Times New Roman" w:cs="Times New Roman"/>
          <w:snapToGrid w:val="0"/>
          <w:color w:val="auto"/>
          <w:kern w:val="0"/>
          <w:sz w:val="24"/>
          <w:szCs w:val="24"/>
          <w:highlight w:val="none"/>
          <w:lang w:eastAsia="zh-CN"/>
        </w:rPr>
        <w:t>，</w:t>
      </w:r>
      <w:r>
        <w:rPr>
          <w:rFonts w:hint="eastAsia" w:ascii="Times New Roman" w:hAnsi="Times New Roman" w:cs="Times New Roman"/>
          <w:snapToGrid w:val="0"/>
          <w:color w:val="auto"/>
          <w:kern w:val="0"/>
          <w:sz w:val="24"/>
          <w:szCs w:val="24"/>
          <w:highlight w:val="none"/>
          <w:lang w:val="en-US" w:eastAsia="zh-CN"/>
        </w:rPr>
        <w:t>具体由甲方指定，</w:t>
      </w:r>
      <w:r>
        <w:rPr>
          <w:rFonts w:hint="eastAsia" w:ascii="Times New Roman" w:hAnsi="Times New Roman" w:eastAsia="宋体" w:cs="Times New Roman"/>
          <w:b w:val="0"/>
          <w:bCs w:val="0"/>
          <w:snapToGrid w:val="0"/>
          <w:color w:val="auto"/>
          <w:kern w:val="0"/>
          <w:sz w:val="24"/>
          <w:szCs w:val="24"/>
          <w:highlight w:val="none"/>
          <w:lang w:val="en-US" w:eastAsia="zh-CN" w:bidi="ar-SA"/>
        </w:rPr>
        <w:t>测试范围包含系统的相关前端、后端、APP 客户端、开放 SDK 及 API、微信公众号等。</w:t>
      </w:r>
    </w:p>
    <w:p w14:paraId="41C9AD92">
      <w:pP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3）新业务功能上线前安全渗透测试</w:t>
      </w:r>
    </w:p>
    <w:p w14:paraId="5E429E12">
      <w:pPr>
        <w:rPr>
          <w:rFonts w:ascii="Times New Roman" w:hAnsi="Times New Roman" w:cs="Times New Roman"/>
          <w:snapToGrid w:val="0"/>
          <w:color w:val="auto"/>
          <w:kern w:val="0"/>
          <w:szCs w:val="24"/>
          <w:highlight w:val="none"/>
        </w:rPr>
      </w:pPr>
      <w:r>
        <w:rPr>
          <w:rFonts w:hint="eastAsia" w:ascii="Times New Roman" w:hAnsi="Times New Roman" w:cs="Times New Roman"/>
          <w:snapToGrid w:val="0"/>
          <w:color w:val="auto"/>
          <w:kern w:val="0"/>
          <w:szCs w:val="24"/>
          <w:highlight w:val="none"/>
        </w:rPr>
        <w:t>根据比选人互联网系统新业务功能投产上线需求，开展新业务功能上线前安全渗透测试工作，10次</w:t>
      </w:r>
      <w:r>
        <w:rPr>
          <w:rFonts w:hint="eastAsia" w:ascii="Times New Roman" w:hAnsi="Times New Roman" w:cs="Times New Roman"/>
          <w:snapToGrid w:val="0"/>
          <w:color w:val="auto"/>
          <w:kern w:val="0"/>
          <w:szCs w:val="24"/>
          <w:highlight w:val="none"/>
          <w:lang w:eastAsia="zh-CN"/>
        </w:rPr>
        <w:t>（</w:t>
      </w:r>
      <w:r>
        <w:rPr>
          <w:rFonts w:hint="eastAsia" w:ascii="Times New Roman" w:hAnsi="Times New Roman" w:cs="Times New Roman"/>
          <w:snapToGrid w:val="0"/>
          <w:color w:val="auto"/>
          <w:kern w:val="0"/>
          <w:szCs w:val="24"/>
          <w:highlight w:val="none"/>
          <w:lang w:val="en-US" w:eastAsia="zh-CN"/>
        </w:rPr>
        <w:t>具体由比选人指定</w:t>
      </w:r>
      <w:r>
        <w:rPr>
          <w:rFonts w:hint="eastAsia" w:ascii="Times New Roman" w:hAnsi="Times New Roman" w:cs="Times New Roman"/>
          <w:snapToGrid w:val="0"/>
          <w:color w:val="auto"/>
          <w:kern w:val="0"/>
          <w:szCs w:val="24"/>
          <w:highlight w:val="none"/>
          <w:lang w:eastAsia="zh-CN"/>
        </w:rPr>
        <w:t>）</w:t>
      </w:r>
      <w:r>
        <w:rPr>
          <w:rFonts w:hint="eastAsia" w:ascii="Times New Roman" w:hAnsi="Times New Roman" w:cs="Times New Roman"/>
          <w:snapToGrid w:val="0"/>
          <w:color w:val="auto"/>
          <w:kern w:val="0"/>
          <w:szCs w:val="24"/>
          <w:highlight w:val="none"/>
        </w:rPr>
        <w:t>，并指导比选人完成整改，保障业务功能上线后安全稳定运行。</w:t>
      </w:r>
    </w:p>
    <w:p w14:paraId="2F3CA0E0">
      <w:pPr>
        <w:pStyle w:val="4"/>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.2 </w:t>
      </w:r>
      <w:r>
        <w:rPr>
          <w:rFonts w:hint="eastAsia" w:ascii="Times New Roman" w:hAnsi="Times New Roman"/>
          <w:color w:val="auto"/>
          <w:highlight w:val="none"/>
        </w:rPr>
        <w:t>服务时间</w:t>
      </w:r>
    </w:p>
    <w:p w14:paraId="2AA4C4A0">
      <w:pPr>
        <w:spacing w:line="360" w:lineRule="auto"/>
        <w:rPr>
          <w:rFonts w:hint="eastAsia"/>
          <w:color w:val="auto"/>
          <w:highlight w:val="none"/>
        </w:rPr>
      </w:pPr>
      <w:r>
        <w:rPr>
          <w:rFonts w:ascii="Times New Roman" w:hAnsi="Times New Roman" w:cs="Times New Roman"/>
          <w:snapToGrid w:val="0"/>
          <w:color w:val="auto"/>
          <w:highlight w:val="none"/>
        </w:rPr>
        <w:t>自合同签订之日起，服务期一年</w:t>
      </w:r>
      <w:r>
        <w:rPr>
          <w:rFonts w:hint="eastAsia" w:ascii="Times New Roman" w:hAnsi="Times New Roman" w:cs="Times New Roman"/>
          <w:snapToGrid w:val="0"/>
          <w:color w:val="auto"/>
          <w:highlight w:val="none"/>
        </w:rPr>
        <w:t>，服务期限结束时如项目未实施完，则服务期自动顺延至实施完毕</w:t>
      </w:r>
      <w:r>
        <w:rPr>
          <w:rFonts w:ascii="Times New Roman" w:hAnsi="Times New Roman" w:cs="Times New Roman"/>
          <w:snapToGrid w:val="0"/>
          <w:color w:val="auto"/>
          <w:highlight w:val="none"/>
        </w:rPr>
        <w:t>。</w:t>
      </w:r>
    </w:p>
    <w:p w14:paraId="373752BC">
      <w:pPr>
        <w:pStyle w:val="3"/>
        <w:numPr>
          <w:ilvl w:val="0"/>
          <w:numId w:val="3"/>
        </w:numPr>
        <w:rPr>
          <w:rFonts w:ascii="Times New Roman" w:hAnsi="Times New Roman"/>
          <w:color w:val="auto"/>
          <w:highlight w:val="none"/>
        </w:rPr>
      </w:pPr>
      <w:r>
        <w:rPr>
          <w:rFonts w:ascii="Times New Roman" w:hAnsi="Times New Roman" w:cs="Times New Roman"/>
          <w:color w:val="auto"/>
          <w:kern w:val="0"/>
          <w:highlight w:val="none"/>
        </w:rPr>
        <w:t>实施要求</w:t>
      </w:r>
    </w:p>
    <w:p w14:paraId="0759C429">
      <w:pPr>
        <w:ind w:left="0" w:firstLine="480" w:firstLineChars="200"/>
        <w:rPr>
          <w:rFonts w:ascii="Times New Roman" w:hAnsi="Times New Roman"/>
          <w:color w:val="auto"/>
          <w:highlight w:val="none"/>
        </w:rPr>
      </w:pPr>
      <w:r>
        <w:rPr>
          <w:rFonts w:hint="eastAsia" w:ascii="Times New Roman" w:hAnsi="Times New Roman"/>
          <w:color w:val="auto"/>
          <w:highlight w:val="none"/>
          <w:lang w:val="en-US" w:eastAsia="zh-CN"/>
        </w:rPr>
        <w:t>1）</w:t>
      </w:r>
      <w:r>
        <w:rPr>
          <w:rFonts w:hint="eastAsia" w:ascii="Times New Roman" w:hAnsi="Times New Roman"/>
          <w:color w:val="auto"/>
          <w:highlight w:val="none"/>
        </w:rPr>
        <w:t>参选人需按照服务内容和范围，制定详细的实施方案，实施方案中至少应包括服务计划及措施、实施方法、人员组织安排、风险控制等内容。</w:t>
      </w:r>
    </w:p>
    <w:p w14:paraId="2FD4A8A6">
      <w:pPr>
        <w:ind w:left="0" w:firstLine="480" w:firstLineChars="20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）在本项目实施周期内，如遇到任何可能影响系统安全的事件，需要及时通告我行，提出相应处理方案，并在我行认可后方可执行处理方案。</w:t>
      </w:r>
    </w:p>
    <w:p w14:paraId="13639CB1">
      <w:pPr>
        <w:rPr>
          <w:rFonts w:hint="eastAsia"/>
          <w:color w:val="auto"/>
          <w:highlight w:val="none"/>
        </w:rPr>
      </w:pPr>
      <w:r>
        <w:rPr>
          <w:rFonts w:ascii="Times New Roman" w:hAnsi="Times New Roman"/>
          <w:color w:val="auto"/>
          <w:highlight w:val="none"/>
        </w:rPr>
        <w:t>3</w:t>
      </w:r>
      <w:r>
        <w:rPr>
          <w:rFonts w:hint="eastAsia" w:ascii="Times New Roman" w:hAnsi="Times New Roman"/>
          <w:color w:val="auto"/>
          <w:highlight w:val="none"/>
        </w:rPr>
        <w:t>）参选人项目组在作业现场必须严格遵守我行外包人员行为管理要求和规范。</w:t>
      </w:r>
    </w:p>
    <w:p w14:paraId="4CC5902E">
      <w:pPr>
        <w:pStyle w:val="3"/>
        <w:numPr>
          <w:ilvl w:val="0"/>
          <w:numId w:val="3"/>
        </w:numPr>
        <w:rPr>
          <w:rFonts w:ascii="Times New Roman" w:hAnsi="Times New Roman" w:cs="Times New Roman"/>
          <w:color w:val="auto"/>
          <w:kern w:val="0"/>
          <w:highlight w:val="none"/>
        </w:rPr>
      </w:pPr>
      <w:r>
        <w:rPr>
          <w:rFonts w:ascii="Times New Roman" w:hAnsi="Times New Roman" w:cs="Times New Roman"/>
          <w:color w:val="auto"/>
          <w:kern w:val="0"/>
          <w:highlight w:val="none"/>
        </w:rPr>
        <w:t>人员要求</w:t>
      </w:r>
    </w:p>
    <w:p w14:paraId="314B9FEC">
      <w:pPr>
        <w:pStyle w:val="3"/>
        <w:numPr>
          <w:ilvl w:val="0"/>
          <w:numId w:val="3"/>
        </w:numPr>
        <w:rPr>
          <w:rFonts w:hint="eastAsia" w:ascii="Times New Roman" w:hAnsi="Times New Roman" w:cs="Cambria Math"/>
          <w:b w:val="0"/>
          <w:bCs w:val="0"/>
          <w:snapToGrid/>
          <w:color w:val="auto"/>
          <w:szCs w:val="20"/>
          <w:highlight w:val="none"/>
        </w:rPr>
      </w:pPr>
      <w:r>
        <w:rPr>
          <w:rFonts w:hint="eastAsia" w:ascii="Times New Roman" w:hAnsi="Times New Roman" w:cs="Cambria Math"/>
          <w:b w:val="0"/>
          <w:bCs w:val="0"/>
          <w:snapToGrid/>
          <w:color w:val="auto"/>
          <w:kern w:val="2"/>
          <w:sz w:val="24"/>
          <w:szCs w:val="20"/>
          <w:highlight w:val="none"/>
          <w:lang w:val="en-US" w:eastAsia="zh-CN"/>
        </w:rPr>
        <w:t>参选人项目成员应具</w:t>
      </w:r>
      <w:r>
        <w:rPr>
          <w:rFonts w:hint="eastAsia" w:ascii="Times New Roman" w:hAnsi="Times New Roman" w:cs="Cambria Math"/>
          <w:b w:val="0"/>
          <w:bCs w:val="0"/>
          <w:snapToGrid/>
          <w:color w:val="auto"/>
          <w:kern w:val="2"/>
          <w:sz w:val="24"/>
          <w:szCs w:val="20"/>
          <w:highlight w:val="none"/>
        </w:rPr>
        <w:t>备如下资质，比选人有权对项目人员资质进行审核，参选人应提供项目成员的相关资质材料（如社保证明、专业认证证书、参与过相关</w:t>
      </w:r>
      <w:r>
        <w:rPr>
          <w:rFonts w:hint="eastAsia" w:ascii="Times New Roman" w:hAnsi="Times New Roman" w:cs="Cambria Math"/>
          <w:b w:val="0"/>
          <w:bCs w:val="0"/>
          <w:snapToGrid/>
          <w:color w:val="auto"/>
          <w:sz w:val="24"/>
          <w:szCs w:val="20"/>
          <w:highlight w:val="none"/>
        </w:rPr>
        <w:t>项目证明材料等）。</w:t>
      </w:r>
    </w:p>
    <w:p w14:paraId="6C6DD871">
      <w:pPr>
        <w:pStyle w:val="20"/>
        <w:spacing w:before="0" w:beforeAutospacing="0" w:after="0"/>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1）项目所有成员必须为参选人单位员工，参选人项目组成员须提供最近1个月社保缴纳记录等证明材料</w:t>
      </w:r>
      <w:r>
        <w:rPr>
          <w:rFonts w:ascii="Times New Roman" w:hAnsi="Times New Roman"/>
          <w:color w:val="auto"/>
          <w:sz w:val="24"/>
          <w:highlight w:val="none"/>
        </w:rPr>
        <w:t>（员工参保单位为参选人）</w:t>
      </w:r>
      <w:r>
        <w:rPr>
          <w:rFonts w:hint="eastAsia" w:ascii="Times New Roman" w:hAnsi="Times New Roman"/>
          <w:color w:val="auto"/>
          <w:sz w:val="24"/>
          <w:highlight w:val="none"/>
        </w:rPr>
        <w:t>，不得外包其他单位员工</w:t>
      </w:r>
      <w:r>
        <w:rPr>
          <w:rFonts w:ascii="Times New Roman" w:hAnsi="Times New Roman"/>
          <w:color w:val="auto"/>
          <w:sz w:val="24"/>
          <w:highlight w:val="none"/>
        </w:rPr>
        <w:t>。</w:t>
      </w:r>
      <w:r>
        <w:rPr>
          <w:rFonts w:hint="eastAsia" w:ascii="Times New Roman" w:hAnsi="Times New Roman"/>
          <w:color w:val="auto"/>
          <w:sz w:val="24"/>
          <w:highlight w:val="none"/>
        </w:rPr>
        <w:t>【提供</w:t>
      </w:r>
      <w:r>
        <w:rPr>
          <w:rFonts w:hint="eastAsia" w:ascii="Times New Roman" w:hAnsi="Times New Roman"/>
          <w:color w:val="auto"/>
          <w:sz w:val="24"/>
          <w:highlight w:val="none"/>
          <w:lang w:val="en-US" w:eastAsia="zh-CN"/>
        </w:rPr>
        <w:t>最</w:t>
      </w:r>
      <w:r>
        <w:rPr>
          <w:rFonts w:hint="eastAsia" w:ascii="Times New Roman" w:hAnsi="Times New Roman"/>
          <w:color w:val="auto"/>
          <w:sz w:val="24"/>
          <w:highlight w:val="none"/>
        </w:rPr>
        <w:t>近1个月社保缴纳记录证明材料】</w:t>
      </w:r>
    </w:p>
    <w:p w14:paraId="689C4445">
      <w:pPr>
        <w:pStyle w:val="20"/>
        <w:spacing w:before="0" w:beforeAutospacing="0" w:after="0"/>
        <w:ind w:firstLine="480" w:firstLineChars="200"/>
        <w:rPr>
          <w:rFonts w:ascii="Times New Roman" w:hAnsi="Times New Roman"/>
          <w:color w:val="auto"/>
          <w:sz w:val="24"/>
          <w:szCs w:val="22"/>
          <w:highlight w:val="none"/>
        </w:rPr>
      </w:pPr>
      <w:r>
        <w:rPr>
          <w:rFonts w:hint="eastAsia" w:ascii="Times New Roman" w:hAnsi="Times New Roman"/>
          <w:color w:val="auto"/>
          <w:sz w:val="24"/>
          <w:szCs w:val="22"/>
          <w:highlight w:val="none"/>
        </w:rPr>
        <w:t>2）</w:t>
      </w:r>
      <w:r>
        <w:rPr>
          <w:rFonts w:hint="eastAsia" w:ascii="Times New Roman" w:hAnsi="Times New Roman"/>
          <w:color w:val="auto"/>
          <w:sz w:val="24"/>
          <w:highlight w:val="none"/>
        </w:rPr>
        <w:t>参选人未征得</w:t>
      </w:r>
      <w:r>
        <w:rPr>
          <w:rFonts w:hint="eastAsia" w:ascii="Times New Roman" w:hAnsi="Times New Roman"/>
          <w:color w:val="auto"/>
          <w:sz w:val="24"/>
          <w:highlight w:val="none"/>
          <w:lang w:val="en-US" w:eastAsia="zh-CN"/>
        </w:rPr>
        <w:t>比选人</w:t>
      </w:r>
      <w:r>
        <w:rPr>
          <w:rFonts w:hint="eastAsia" w:ascii="Times New Roman" w:hAnsi="Times New Roman"/>
          <w:color w:val="auto"/>
          <w:sz w:val="24"/>
          <w:highlight w:val="none"/>
        </w:rPr>
        <w:t>同意，原则上不得更换项目经理和关键实施人员，确需更换的，</w:t>
      </w:r>
      <w:r>
        <w:rPr>
          <w:rFonts w:hint="eastAsia" w:ascii="Times New Roman" w:hAnsi="Times New Roman"/>
          <w:color w:val="auto"/>
          <w:sz w:val="24"/>
          <w:highlight w:val="none"/>
          <w:lang w:val="en-US" w:eastAsia="zh-CN"/>
        </w:rPr>
        <w:t>参选人</w:t>
      </w:r>
      <w:r>
        <w:rPr>
          <w:rFonts w:hint="eastAsia" w:ascii="Times New Roman" w:hAnsi="Times New Roman"/>
          <w:color w:val="auto"/>
          <w:sz w:val="24"/>
          <w:highlight w:val="none"/>
        </w:rPr>
        <w:t>应提前通知</w:t>
      </w:r>
      <w:r>
        <w:rPr>
          <w:rFonts w:hint="eastAsia" w:ascii="Times New Roman" w:hAnsi="Times New Roman"/>
          <w:color w:val="auto"/>
          <w:sz w:val="24"/>
          <w:highlight w:val="none"/>
          <w:lang w:val="en-US" w:eastAsia="zh-CN"/>
        </w:rPr>
        <w:t>比选人</w:t>
      </w:r>
      <w:r>
        <w:rPr>
          <w:rFonts w:hint="eastAsia" w:ascii="Times New Roman" w:hAnsi="Times New Roman"/>
          <w:color w:val="auto"/>
          <w:sz w:val="24"/>
          <w:highlight w:val="none"/>
        </w:rPr>
        <w:t>并经过</w:t>
      </w:r>
      <w:r>
        <w:rPr>
          <w:rFonts w:hint="eastAsia" w:ascii="Times New Roman" w:hAnsi="Times New Roman"/>
          <w:color w:val="auto"/>
          <w:sz w:val="24"/>
          <w:highlight w:val="none"/>
          <w:lang w:val="en-US" w:eastAsia="zh-CN"/>
        </w:rPr>
        <w:t>比选人</w:t>
      </w:r>
      <w:r>
        <w:rPr>
          <w:rFonts w:hint="eastAsia" w:ascii="Times New Roman" w:hAnsi="Times New Roman"/>
          <w:color w:val="auto"/>
          <w:sz w:val="24"/>
          <w:highlight w:val="none"/>
        </w:rPr>
        <w:t>同意，并配备同等级的人员替补，且</w:t>
      </w:r>
      <w:r>
        <w:rPr>
          <w:rFonts w:hint="eastAsia" w:ascii="Times New Roman" w:hAnsi="Times New Roman"/>
          <w:color w:val="auto"/>
          <w:sz w:val="24"/>
          <w:highlight w:val="none"/>
          <w:lang w:val="en-US" w:eastAsia="zh-CN"/>
        </w:rPr>
        <w:t>参选人</w:t>
      </w:r>
      <w:r>
        <w:rPr>
          <w:rFonts w:hint="eastAsia" w:ascii="Times New Roman" w:hAnsi="Times New Roman"/>
          <w:color w:val="auto"/>
          <w:sz w:val="24"/>
          <w:highlight w:val="none"/>
        </w:rPr>
        <w:t>保证有关人员的更换不影响项目的质量和实施进程。</w:t>
      </w:r>
    </w:p>
    <w:p w14:paraId="3364AA0E">
      <w:pPr>
        <w:rPr>
          <w:rFonts w:hint="eastAsia" w:ascii="Times New Roman" w:hAnsi="Times New Roman"/>
          <w:color w:val="auto"/>
          <w:highlight w:val="none"/>
        </w:rPr>
      </w:pPr>
      <w:r>
        <w:rPr>
          <w:rFonts w:hint="eastAsia" w:ascii="Times New Roman" w:hAnsi="Times New Roman"/>
          <w:color w:val="auto"/>
          <w:highlight w:val="none"/>
        </w:rPr>
        <w:t>3）项目经理须具有3年及以上相关工作经历，且担任过至少2个商业银行安全评估或安全渗透测试项目的项目经理。项目关键实施人员（至少2名）</w:t>
      </w:r>
      <w:r>
        <w:rPr>
          <w:rFonts w:hint="eastAsia"/>
          <w:color w:val="auto"/>
          <w:highlight w:val="none"/>
        </w:rPr>
        <w:t>须具有2年及以上相关工作经历，且</w:t>
      </w:r>
      <w:r>
        <w:rPr>
          <w:rFonts w:hint="eastAsia"/>
          <w:color w:val="auto"/>
          <w:highlight w:val="none"/>
          <w:lang w:val="en-US" w:eastAsia="zh-CN"/>
        </w:rPr>
        <w:t>至少</w:t>
      </w:r>
      <w:r>
        <w:rPr>
          <w:rFonts w:hint="eastAsia"/>
          <w:color w:val="auto"/>
          <w:highlight w:val="none"/>
        </w:rPr>
        <w:t>参与过2个商业银行安全评估或安全渗透性测试项目。【提供</w:t>
      </w:r>
      <w:r>
        <w:rPr>
          <w:rFonts w:hint="eastAsia"/>
          <w:color w:val="auto"/>
          <w:highlight w:val="none"/>
          <w:lang w:val="en-US" w:eastAsia="zh-CN"/>
        </w:rPr>
        <w:t>项目经理及项目成员</w:t>
      </w:r>
      <w:r>
        <w:rPr>
          <w:rFonts w:hint="eastAsia" w:ascii="Times New Roman" w:hAnsi="Times New Roman"/>
          <w:color w:val="auto"/>
          <w:highlight w:val="none"/>
          <w:lang w:val="zh-CN"/>
        </w:rPr>
        <w:t>个人简历</w:t>
      </w:r>
      <w:r>
        <w:rPr>
          <w:rFonts w:hint="eastAsia"/>
          <w:color w:val="auto"/>
          <w:highlight w:val="none"/>
        </w:rPr>
        <w:t>，格式自拟】</w:t>
      </w:r>
    </w:p>
    <w:p w14:paraId="2B67C6B0">
      <w:pPr>
        <w:pStyle w:val="20"/>
        <w:spacing w:before="0" w:beforeAutospacing="0" w:after="0"/>
        <w:ind w:firstLine="480" w:firstLineChars="200"/>
        <w:rPr>
          <w:rFonts w:hint="eastAsia" w:ascii="Cambria Math" w:hAnsi="Cambria Math"/>
          <w:color w:val="auto"/>
          <w:sz w:val="24"/>
          <w:highlight w:val="none"/>
        </w:rPr>
      </w:pPr>
      <w:r>
        <w:rPr>
          <w:rFonts w:hint="eastAsia" w:ascii="Cambria Math" w:hAnsi="Cambria Math"/>
          <w:color w:val="auto"/>
          <w:sz w:val="24"/>
          <w:highlight w:val="none"/>
        </w:rPr>
        <w:t>4）项目实施过程中，</w:t>
      </w:r>
      <w:r>
        <w:rPr>
          <w:rFonts w:hint="eastAsia" w:ascii="Cambria Math" w:hAnsi="Cambria Math"/>
          <w:color w:val="auto"/>
          <w:sz w:val="24"/>
          <w:highlight w:val="none"/>
          <w:lang w:val="en-US" w:eastAsia="zh-CN"/>
        </w:rPr>
        <w:t>比选人</w:t>
      </w:r>
      <w:r>
        <w:rPr>
          <w:rFonts w:hint="eastAsia" w:ascii="Cambria Math" w:hAnsi="Cambria Math"/>
          <w:color w:val="auto"/>
          <w:sz w:val="24"/>
          <w:highlight w:val="none"/>
        </w:rPr>
        <w:t>有权对参选人项目组人员进行考核，达不到银行方要求的将要求替换；若人员替换后仍无法达到</w:t>
      </w:r>
      <w:r>
        <w:rPr>
          <w:rFonts w:hint="eastAsia" w:ascii="Cambria Math" w:hAnsi="Cambria Math"/>
          <w:color w:val="auto"/>
          <w:sz w:val="24"/>
          <w:highlight w:val="none"/>
          <w:lang w:val="en-US" w:eastAsia="zh-CN"/>
        </w:rPr>
        <w:t>比选人</w:t>
      </w:r>
      <w:r>
        <w:rPr>
          <w:rFonts w:hint="eastAsia" w:ascii="Cambria Math" w:hAnsi="Cambria Math"/>
          <w:color w:val="auto"/>
          <w:sz w:val="24"/>
          <w:highlight w:val="none"/>
        </w:rPr>
        <w:t>要求，</w:t>
      </w:r>
      <w:r>
        <w:rPr>
          <w:rFonts w:hint="eastAsia" w:ascii="Cambria Math" w:hAnsi="Cambria Math"/>
          <w:color w:val="auto"/>
          <w:sz w:val="24"/>
          <w:highlight w:val="none"/>
          <w:lang w:val="en-US" w:eastAsia="zh-CN"/>
        </w:rPr>
        <w:t>比选人</w:t>
      </w:r>
      <w:r>
        <w:rPr>
          <w:rFonts w:hint="eastAsia" w:ascii="Cambria Math" w:hAnsi="Cambria Math"/>
          <w:color w:val="auto"/>
          <w:sz w:val="24"/>
          <w:highlight w:val="none"/>
        </w:rPr>
        <w:t>有权终止合同。</w:t>
      </w:r>
    </w:p>
    <w:p w14:paraId="4BFE4A0B">
      <w:pPr>
        <w:rPr>
          <w:rFonts w:ascii="Times New Roman" w:hAnsi="Times New Roman"/>
          <w:color w:val="auto"/>
          <w:highlight w:val="none"/>
        </w:rPr>
      </w:pPr>
      <w:r>
        <w:rPr>
          <w:rFonts w:hint="eastAsia" w:ascii="Times New Roman" w:hAnsi="Times New Roman"/>
          <w:color w:val="auto"/>
          <w:highlight w:val="none"/>
        </w:rPr>
        <w:t>5）项目组成员若有违约违规行为将由参选人承担责任。</w:t>
      </w:r>
    </w:p>
    <w:p w14:paraId="3D011DB3">
      <w:pPr>
        <w:pStyle w:val="3"/>
        <w:numPr>
          <w:ilvl w:val="0"/>
          <w:numId w:val="3"/>
        </w:numPr>
        <w:rPr>
          <w:rFonts w:ascii="Times New Roman" w:hAnsi="Times New Roman"/>
          <w:color w:val="auto"/>
          <w:highlight w:val="none"/>
        </w:rPr>
      </w:pPr>
      <w:bookmarkStart w:id="49" w:name="_Toc15059418"/>
      <w:bookmarkStart w:id="50" w:name="_Toc89675144"/>
      <w:r>
        <w:rPr>
          <w:rFonts w:hint="eastAsia" w:ascii="Times New Roman" w:hAnsi="Times New Roman"/>
          <w:color w:val="auto"/>
          <w:highlight w:val="none"/>
        </w:rPr>
        <w:t>交付周期、地点</w:t>
      </w:r>
      <w:bookmarkEnd w:id="49"/>
      <w:bookmarkEnd w:id="50"/>
      <w:r>
        <w:rPr>
          <w:rFonts w:hint="eastAsia" w:ascii="Times New Roman" w:hAnsi="Times New Roman"/>
          <w:color w:val="auto"/>
          <w:highlight w:val="none"/>
        </w:rPr>
        <w:t>【购销</w:t>
      </w:r>
      <w:r>
        <w:rPr>
          <w:rFonts w:ascii="Times New Roman" w:hAnsi="Times New Roman"/>
          <w:color w:val="auto"/>
          <w:highlight w:val="none"/>
        </w:rPr>
        <w:t>类项目】</w:t>
      </w:r>
    </w:p>
    <w:p w14:paraId="1213F122">
      <w:pPr>
        <w:pStyle w:val="4"/>
        <w:rPr>
          <w:rFonts w:ascii="Times New Roman" w:hAnsi="Times New Roman"/>
          <w:color w:val="auto"/>
          <w:highlight w:val="none"/>
        </w:rPr>
      </w:pPr>
      <w:bookmarkStart w:id="51" w:name="_Toc89675146"/>
      <w:bookmarkStart w:id="52" w:name="_Toc15059420"/>
      <w:bookmarkStart w:id="53" w:name="_Toc440628915"/>
      <w:bookmarkStart w:id="54" w:name="_Toc432254881"/>
      <w:bookmarkStart w:id="55" w:name="_Toc1125"/>
      <w:bookmarkStart w:id="56" w:name="_Toc387826347"/>
      <w:r>
        <w:rPr>
          <w:rFonts w:ascii="Times New Roman" w:hAnsi="Times New Roman"/>
          <w:color w:val="auto"/>
          <w:highlight w:val="none"/>
        </w:rPr>
        <w:t>5</w:t>
      </w:r>
      <w:r>
        <w:rPr>
          <w:rFonts w:hint="eastAsia" w:ascii="Times New Roman" w:hAnsi="Times New Roman"/>
          <w:color w:val="auto"/>
          <w:highlight w:val="none"/>
        </w:rPr>
        <w:t>.1 交付时间</w:t>
      </w:r>
    </w:p>
    <w:p w14:paraId="2732AA82">
      <w:pPr>
        <w:rPr>
          <w:rFonts w:ascii="Times New Roman" w:hAnsi="Times New Roman"/>
          <w:color w:val="auto"/>
          <w:highlight w:val="none"/>
        </w:rPr>
      </w:pPr>
      <w:r>
        <w:rPr>
          <w:rFonts w:hint="eastAsia" w:ascii="Times New Roman" w:hAnsi="Times New Roman"/>
          <w:color w:val="auto"/>
          <w:highlight w:val="none"/>
        </w:rPr>
        <w:t>以项目合同为准。</w:t>
      </w:r>
    </w:p>
    <w:p w14:paraId="2235982B">
      <w:pPr>
        <w:pStyle w:val="4"/>
        <w:rPr>
          <w:rFonts w:ascii="Times New Roman" w:hAnsi="Times New Roman"/>
          <w:color w:val="auto"/>
          <w:highlight w:val="none"/>
        </w:rPr>
      </w:pPr>
      <w:r>
        <w:rPr>
          <w:rFonts w:ascii="Times New Roman" w:hAnsi="Times New Roman"/>
          <w:color w:val="auto"/>
          <w:highlight w:val="none"/>
        </w:rPr>
        <w:t>5</w:t>
      </w:r>
      <w:r>
        <w:rPr>
          <w:rFonts w:hint="eastAsia" w:ascii="Times New Roman" w:hAnsi="Times New Roman"/>
          <w:color w:val="auto"/>
          <w:highlight w:val="none"/>
        </w:rPr>
        <w:t>.2 实施及交付地点</w:t>
      </w:r>
    </w:p>
    <w:p w14:paraId="55859C55">
      <w:pPr>
        <w:rPr>
          <w:rFonts w:ascii="Times New Roman" w:hAnsi="Times New Roman"/>
          <w:color w:val="auto"/>
          <w:highlight w:val="none"/>
        </w:rPr>
      </w:pPr>
      <w:r>
        <w:rPr>
          <w:rFonts w:hint="eastAsia" w:ascii="Times New Roman" w:hAnsi="Times New Roman"/>
          <w:color w:val="auto"/>
          <w:highlight w:val="none"/>
        </w:rPr>
        <w:t>重庆市。</w:t>
      </w:r>
    </w:p>
    <w:p w14:paraId="0C98E898">
      <w:pPr>
        <w:pStyle w:val="3"/>
        <w:numPr>
          <w:ilvl w:val="0"/>
          <w:numId w:val="3"/>
        </w:numPr>
        <w:rPr>
          <w:rFonts w:ascii="Times New Roman" w:hAnsi="Times New Roman"/>
          <w:color w:val="auto"/>
          <w:highlight w:val="none"/>
        </w:rPr>
      </w:pPr>
      <w:r>
        <w:rPr>
          <w:rFonts w:hint="eastAsia" w:ascii="Times New Roman" w:hAnsi="Times New Roman"/>
          <w:color w:val="auto"/>
          <w:highlight w:val="none"/>
        </w:rPr>
        <w:t>验收</w:t>
      </w:r>
    </w:p>
    <w:p w14:paraId="555500BD">
      <w:pPr>
        <w:rPr>
          <w:rFonts w:ascii="Times New Roman" w:hAnsi="Times New Roman"/>
          <w:color w:val="auto"/>
          <w:highlight w:val="none"/>
        </w:rPr>
      </w:pPr>
      <w:r>
        <w:rPr>
          <w:rFonts w:hint="eastAsia" w:ascii="Times New Roman" w:hAnsi="Times New Roman"/>
          <w:color w:val="auto"/>
          <w:highlight w:val="none"/>
        </w:rPr>
        <w:t>中选人按合同约定完成各项服务工作，项目实施结束后，中选人做好验收相关准备，向比选人提交各项交付物并通过比选人审核，比选人组织开展项目验收工作。</w:t>
      </w:r>
    </w:p>
    <w:p w14:paraId="3FA8F819">
      <w:pPr>
        <w:pStyle w:val="3"/>
        <w:numPr>
          <w:ilvl w:val="0"/>
          <w:numId w:val="3"/>
        </w:numPr>
        <w:rPr>
          <w:rFonts w:ascii="Times New Roman" w:hAnsi="Times New Roman"/>
          <w:color w:val="auto"/>
          <w:highlight w:val="none"/>
        </w:rPr>
      </w:pPr>
      <w:r>
        <w:rPr>
          <w:rFonts w:hint="eastAsia" w:ascii="Times New Roman" w:hAnsi="Times New Roman"/>
          <w:color w:val="auto"/>
          <w:highlight w:val="none"/>
        </w:rPr>
        <w:t>服务连续性预案</w:t>
      </w:r>
    </w:p>
    <w:p w14:paraId="66D74D24">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243F794D">
      <w:pPr>
        <w:pStyle w:val="3"/>
        <w:numPr>
          <w:ilvl w:val="0"/>
          <w:numId w:val="3"/>
        </w:numPr>
        <w:rPr>
          <w:rFonts w:ascii="Times New Roman" w:hAnsi="Times New Roman"/>
          <w:color w:val="auto"/>
          <w:highlight w:val="none"/>
        </w:rPr>
      </w:pPr>
      <w:r>
        <w:rPr>
          <w:rFonts w:hint="eastAsia" w:ascii="Times New Roman" w:hAnsi="Times New Roman"/>
          <w:color w:val="auto"/>
          <w:highlight w:val="none"/>
        </w:rPr>
        <w:t>项目实施方案</w:t>
      </w:r>
    </w:p>
    <w:p w14:paraId="564407C4">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在本次比选中，参选人应在参选文件中提供项目实施方案供比选人查看，方案中至少应包括服务计划及措施、实施方法、人员组织安排、风险控制等内容。【提供项目实施方案】</w:t>
      </w:r>
    </w:p>
    <w:bookmarkEnd w:id="51"/>
    <w:bookmarkEnd w:id="52"/>
    <w:p w14:paraId="7BF83339">
      <w:pPr>
        <w:pStyle w:val="3"/>
        <w:numPr>
          <w:ilvl w:val="0"/>
          <w:numId w:val="3"/>
        </w:numPr>
        <w:rPr>
          <w:rFonts w:ascii="Times New Roman" w:hAnsi="Times New Roman"/>
          <w:color w:val="auto"/>
          <w:highlight w:val="none"/>
        </w:rPr>
      </w:pPr>
      <w:bookmarkStart w:id="57" w:name="_Toc15059422"/>
      <w:bookmarkStart w:id="58" w:name="_Toc89675148"/>
      <w:r>
        <w:rPr>
          <w:rFonts w:hint="eastAsia" w:ascii="Times New Roman" w:hAnsi="Times New Roman"/>
          <w:color w:val="auto"/>
          <w:highlight w:val="none"/>
        </w:rPr>
        <w:t>付款方式</w:t>
      </w:r>
      <w:bookmarkEnd w:id="57"/>
      <w:bookmarkEnd w:id="58"/>
    </w:p>
    <w:p w14:paraId="5EA0223B">
      <w:pPr>
        <w:spacing w:line="360" w:lineRule="auto"/>
        <w:jc w:val="left"/>
        <w:rPr>
          <w:rFonts w:hint="eastAsia" w:ascii="宋体" w:cs="宋体"/>
          <w:snapToGrid w:val="0"/>
          <w:color w:val="auto"/>
          <w:kern w:val="0"/>
          <w:szCs w:val="24"/>
          <w:highlight w:val="none"/>
        </w:rPr>
      </w:pPr>
      <w:r>
        <w:rPr>
          <w:rFonts w:hint="eastAsia" w:ascii="宋体" w:cs="宋体"/>
          <w:snapToGrid w:val="0"/>
          <w:color w:val="auto"/>
          <w:kern w:val="0"/>
          <w:szCs w:val="24"/>
          <w:highlight w:val="none"/>
        </w:rPr>
        <w:t>本项目采用分阶段按比例后付款，付款方式如下：</w:t>
      </w:r>
    </w:p>
    <w:p w14:paraId="117EA6E4">
      <w:pPr>
        <w:rPr>
          <w:rFonts w:ascii="Times New Roman" w:hAnsi="Times New Roman" w:cs="Times New Roman"/>
          <w:color w:val="auto"/>
          <w:highlight w:val="none"/>
        </w:rPr>
      </w:pPr>
      <w:r>
        <w:rPr>
          <w:rFonts w:hint="eastAsia" w:ascii="宋体" w:cs="宋体"/>
          <w:snapToGrid w:val="0"/>
          <w:color w:val="auto"/>
          <w:kern w:val="0"/>
          <w:szCs w:val="24"/>
          <w:highlight w:val="none"/>
        </w:rPr>
        <w:t>9.1 合同签订后，中选人按照项目实施进度完成电子银行类系统安全评估，出具评估报告并经比选人确认通过后，中</w:t>
      </w:r>
      <w:r>
        <w:rPr>
          <w:rFonts w:ascii="Times New Roman" w:hAnsi="Times New Roman" w:cs="Times New Roman"/>
          <w:color w:val="auto"/>
          <w:highlight w:val="none"/>
        </w:rPr>
        <w:t>选人向比选人提供合法足额的增值税专用发票，比选人支付合同总额的40%；</w:t>
      </w:r>
    </w:p>
    <w:p w14:paraId="50CB1FA1">
      <w:pPr>
        <w:rPr>
          <w:rFonts w:ascii="Times New Roman" w:hAnsi="Times New Roman"/>
          <w:color w:val="auto"/>
          <w:highlight w:val="none"/>
        </w:rPr>
      </w:pPr>
      <w:r>
        <w:rPr>
          <w:rFonts w:hint="eastAsia" w:ascii="宋体" w:cs="宋体"/>
          <w:snapToGrid w:val="0"/>
          <w:color w:val="auto"/>
          <w:kern w:val="0"/>
          <w:szCs w:val="24"/>
          <w:highlight w:val="none"/>
        </w:rPr>
        <w:t xml:space="preserve">9.2 </w:t>
      </w:r>
      <w:r>
        <w:rPr>
          <w:rFonts w:ascii="Times New Roman" w:hAnsi="Times New Roman" w:cs="Times New Roman"/>
          <w:color w:val="auto"/>
          <w:highlight w:val="none"/>
        </w:rPr>
        <w:t>完成全部服务内容，项目全面验收通过后，比选人对参选人服务质量作出评价，评价合格后30个工作日内，参选人向比选人提供合法足额的增值税专用发票，比选人支付合同总价的60%。</w:t>
      </w:r>
    </w:p>
    <w:p w14:paraId="372C72D1">
      <w:pPr>
        <w:pStyle w:val="3"/>
        <w:numPr>
          <w:ilvl w:val="0"/>
          <w:numId w:val="3"/>
        </w:numPr>
        <w:rPr>
          <w:rFonts w:ascii="Times New Roman" w:hAnsi="Times New Roman"/>
          <w:color w:val="auto"/>
          <w:highlight w:val="none"/>
        </w:rPr>
      </w:pPr>
      <w:bookmarkStart w:id="59" w:name="_Toc89675150"/>
      <w:bookmarkStart w:id="60" w:name="_Toc15059424"/>
      <w:r>
        <w:rPr>
          <w:rFonts w:hint="eastAsia" w:ascii="Times New Roman" w:hAnsi="Times New Roman"/>
          <w:color w:val="auto"/>
          <w:highlight w:val="none"/>
        </w:rPr>
        <w:t>保密条款</w:t>
      </w:r>
      <w:bookmarkEnd w:id="53"/>
      <w:bookmarkEnd w:id="54"/>
      <w:bookmarkEnd w:id="55"/>
      <w:bookmarkEnd w:id="56"/>
      <w:bookmarkEnd w:id="59"/>
      <w:bookmarkEnd w:id="60"/>
    </w:p>
    <w:p w14:paraId="25DC9074">
      <w:pPr>
        <w:pStyle w:val="4"/>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0</w:t>
      </w:r>
      <w:r>
        <w:rPr>
          <w:rFonts w:hint="eastAsia" w:ascii="Times New Roman" w:hAnsi="Times New Roman"/>
          <w:color w:val="auto"/>
          <w:highlight w:val="none"/>
        </w:rPr>
        <w:t>.1 保密范围</w:t>
      </w:r>
    </w:p>
    <w:p w14:paraId="68B2D1DB">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中选人在实施过程中接触到的比选人知识产权、资产信息、经营信息等。</w:t>
      </w:r>
    </w:p>
    <w:p w14:paraId="64EFABE6">
      <w:pPr>
        <w:pStyle w:val="4"/>
        <w:rPr>
          <w:rFonts w:ascii="Times New Roman" w:hAnsi="Times New Roman"/>
          <w:color w:val="auto"/>
          <w:highlight w:val="none"/>
        </w:rPr>
      </w:pPr>
      <w:r>
        <w:rPr>
          <w:rFonts w:ascii="Times New Roman" w:hAnsi="Times New Roman"/>
          <w:color w:val="auto"/>
          <w:highlight w:val="none"/>
        </w:rPr>
        <w:t>10</w:t>
      </w:r>
      <w:r>
        <w:rPr>
          <w:rFonts w:hint="eastAsia" w:ascii="Times New Roman" w:hAnsi="Times New Roman"/>
          <w:color w:val="auto"/>
          <w:highlight w:val="none"/>
        </w:rPr>
        <w:t>.2 保密责任</w:t>
      </w:r>
    </w:p>
    <w:p w14:paraId="4DF0320C">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418ABD4B">
      <w:pPr>
        <w:pStyle w:val="3"/>
        <w:numPr>
          <w:ilvl w:val="0"/>
          <w:numId w:val="3"/>
        </w:numPr>
        <w:rPr>
          <w:rFonts w:ascii="Times New Roman" w:hAnsi="Times New Roman"/>
          <w:color w:val="auto"/>
          <w:highlight w:val="none"/>
        </w:rPr>
      </w:pPr>
      <w:r>
        <w:rPr>
          <w:rFonts w:hint="eastAsia" w:ascii="Times New Roman" w:hAnsi="Times New Roman"/>
          <w:color w:val="auto"/>
          <w:highlight w:val="none"/>
        </w:rPr>
        <w:t>报价要求</w:t>
      </w:r>
    </w:p>
    <w:p w14:paraId="3E7D8BE4">
      <w:pPr>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参选人应严格按照《参选文件格式》的“报价一览表”的格式认真填写。</w:t>
      </w:r>
    </w:p>
    <w:p w14:paraId="0AAE0931">
      <w:pPr>
        <w:pStyle w:val="3"/>
        <w:numPr>
          <w:ilvl w:val="0"/>
          <w:numId w:val="3"/>
        </w:numPr>
        <w:rPr>
          <w:rFonts w:ascii="Times New Roman" w:hAnsi="Times New Roman"/>
          <w:color w:val="auto"/>
          <w:highlight w:val="none"/>
        </w:rPr>
      </w:pPr>
      <w:bookmarkStart w:id="61" w:name="_Toc15059426"/>
      <w:bookmarkStart w:id="62" w:name="_Toc89675152"/>
      <w:r>
        <w:rPr>
          <w:rFonts w:hint="eastAsia" w:ascii="Times New Roman" w:hAnsi="Times New Roman"/>
          <w:color w:val="auto"/>
          <w:highlight w:val="none"/>
        </w:rPr>
        <w:t>知识产权</w:t>
      </w:r>
      <w:bookmarkEnd w:id="61"/>
      <w:bookmarkEnd w:id="62"/>
    </w:p>
    <w:p w14:paraId="5C804D5C">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26B679F9">
      <w:pPr>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104E508C">
      <w:pPr>
        <w:pStyle w:val="3"/>
        <w:numPr>
          <w:ilvl w:val="0"/>
          <w:numId w:val="3"/>
        </w:numPr>
        <w:rPr>
          <w:rFonts w:ascii="Times New Roman" w:hAnsi="Times New Roman"/>
          <w:color w:val="auto"/>
          <w:highlight w:val="none"/>
        </w:rPr>
      </w:pPr>
      <w:bookmarkStart w:id="63" w:name="_Toc89675153"/>
      <w:bookmarkStart w:id="64" w:name="_Toc15059427"/>
      <w:r>
        <w:rPr>
          <w:rFonts w:hint="eastAsia" w:ascii="Times New Roman" w:hAnsi="Times New Roman"/>
          <w:color w:val="auto"/>
          <w:highlight w:val="none"/>
        </w:rPr>
        <w:t>其他</w:t>
      </w:r>
      <w:bookmarkEnd w:id="63"/>
      <w:bookmarkEnd w:id="64"/>
    </w:p>
    <w:p w14:paraId="5B2535A4">
      <w:pPr>
        <w:ind w:firstLine="480"/>
        <w:rPr>
          <w:rFonts w:hint="eastAsia"/>
          <w:color w:val="auto"/>
          <w:highlight w:val="none"/>
        </w:rPr>
      </w:pPr>
      <w:r>
        <w:rPr>
          <w:rFonts w:hint="eastAsia" w:ascii="Times New Roman" w:hAnsi="Times New Roman"/>
          <w:color w:val="auto"/>
          <w:highlight w:val="none"/>
          <w:lang w:val="en-US" w:eastAsia="zh-CN"/>
        </w:rPr>
        <w:t>12.1</w:t>
      </w:r>
      <w:r>
        <w:rPr>
          <w:rFonts w:hint="eastAsia"/>
          <w:color w:val="auto"/>
          <w:highlight w:val="none"/>
        </w:rPr>
        <w:t>参选人必须在响应承诺函中对本章内容做出整体性响应和承诺，承诺内容必须达到本章及比选文件其他条款的要求。</w:t>
      </w:r>
    </w:p>
    <w:p w14:paraId="2B7717C4">
      <w:pPr>
        <w:rPr>
          <w:rFonts w:ascii="Times New Roman" w:hAnsi="Times New Roman" w:cs="Times New Roman"/>
          <w:color w:val="auto"/>
          <w:highlight w:val="none"/>
        </w:rPr>
      </w:pPr>
      <w:r>
        <w:rPr>
          <w:rFonts w:hint="eastAsia" w:ascii="Times New Roman" w:hAnsi="Times New Roman"/>
          <w:color w:val="auto"/>
          <w:highlight w:val="none"/>
          <w:lang w:val="en-US" w:eastAsia="zh-CN"/>
        </w:rPr>
        <w:t>12.2</w:t>
      </w:r>
      <w:r>
        <w:rPr>
          <w:rFonts w:ascii="Times New Roman" w:hAnsi="Times New Roman" w:cs="Times New Roman"/>
          <w:color w:val="auto"/>
          <w:highlight w:val="none"/>
        </w:rPr>
        <w:t>参选人应根据本章内容和要求，提供对应材料</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无遗漏。</w:t>
      </w:r>
    </w:p>
    <w:p w14:paraId="3A29140B">
      <w:pPr>
        <w:rPr>
          <w:rFonts w:ascii="Times New Roman" w:hAnsi="Times New Roman"/>
          <w:color w:val="auto"/>
          <w:highlight w:val="none"/>
        </w:rPr>
      </w:pPr>
      <w:r>
        <w:rPr>
          <w:rFonts w:hint="eastAsia" w:ascii="Times New Roman" w:hAnsi="Times New Roman"/>
          <w:color w:val="auto"/>
          <w:highlight w:val="none"/>
          <w:lang w:val="en-US" w:eastAsia="zh-CN"/>
        </w:rPr>
        <w:t>12.3</w:t>
      </w:r>
      <w:r>
        <w:rPr>
          <w:rFonts w:hint="eastAsia" w:ascii="Times New Roman" w:hAnsi="Times New Roman"/>
          <w:color w:val="auto"/>
          <w:highlight w:val="none"/>
        </w:rPr>
        <w:t>其他未尽事宜由供需双方在合同中详细约定。</w:t>
      </w:r>
    </w:p>
    <w:p w14:paraId="5334311E">
      <w:pPr>
        <w:snapToGrid w:val="0"/>
        <w:spacing w:line="360" w:lineRule="auto"/>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143DFC38">
      <w:pPr>
        <w:pStyle w:val="2"/>
        <w:rPr>
          <w:rFonts w:ascii="Times New Roman" w:hAnsi="Times New Roman"/>
          <w:color w:val="auto"/>
          <w:highlight w:val="none"/>
        </w:rPr>
      </w:pPr>
      <w:bookmarkStart w:id="65" w:name="_Toc24542"/>
      <w:bookmarkStart w:id="66" w:name="_Toc29189"/>
      <w:bookmarkStart w:id="67" w:name="_Toc23910"/>
      <w:r>
        <w:rPr>
          <w:rFonts w:hint="eastAsia" w:ascii="Times New Roman" w:hAnsi="Times New Roman"/>
          <w:color w:val="auto"/>
          <w:highlight w:val="none"/>
        </w:rPr>
        <w:t>第四章 评审办法（综合评估法）</w:t>
      </w:r>
      <w:bookmarkEnd w:id="65"/>
      <w:bookmarkEnd w:id="66"/>
      <w:bookmarkEnd w:id="67"/>
    </w:p>
    <w:p w14:paraId="36FEABDF">
      <w:pPr>
        <w:rPr>
          <w:rFonts w:ascii="Times New Roman" w:hAnsi="Times New Roman"/>
          <w:b/>
          <w:bCs/>
          <w:color w:val="auto"/>
          <w:highlight w:val="none"/>
        </w:rPr>
      </w:pPr>
      <w:bookmarkStart w:id="68" w:name="_Toc11471"/>
      <w:bookmarkStart w:id="69" w:name="_Toc14810"/>
      <w:bookmarkStart w:id="70" w:name="_Toc2028"/>
      <w:bookmarkStart w:id="71" w:name="_Toc27076"/>
      <w:r>
        <w:rPr>
          <w:rFonts w:hint="eastAsia" w:ascii="Times New Roman" w:hAnsi="Times New Roman"/>
          <w:b/>
          <w:bCs/>
          <w:color w:val="auto"/>
          <w:highlight w:val="none"/>
        </w:rPr>
        <w:t>评审办法前附表</w:t>
      </w:r>
      <w:bookmarkEnd w:id="68"/>
      <w:bookmarkEnd w:id="69"/>
      <w:bookmarkEnd w:id="70"/>
      <w:bookmarkEnd w:id="71"/>
    </w:p>
    <w:p w14:paraId="61AC32F6">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655"/>
        <w:gridCol w:w="422"/>
        <w:gridCol w:w="622"/>
        <w:gridCol w:w="789"/>
        <w:gridCol w:w="505"/>
        <w:gridCol w:w="528"/>
        <w:gridCol w:w="5123"/>
      </w:tblGrid>
      <w:tr w14:paraId="20AA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4AF5087">
            <w:pPr>
              <w:spacing w:line="360" w:lineRule="auto"/>
              <w:ind w:firstLine="0" w:firstLineChars="0"/>
              <w:jc w:val="center"/>
              <w:rPr>
                <w:rFonts w:ascii="Times New Roman" w:hAnsi="Times New Roman" w:cs="宋体"/>
                <w:b/>
                <w:color w:val="auto"/>
                <w:kern w:val="0"/>
                <w:sz w:val="21"/>
                <w:szCs w:val="21"/>
                <w:highlight w:val="none"/>
              </w:rPr>
            </w:pPr>
            <w:bookmarkStart w:id="72" w:name="CQZH1_07"/>
            <w:r>
              <w:rPr>
                <w:rFonts w:hint="eastAsia" w:ascii="Times New Roman" w:hAnsi="Times New Roman" w:cs="宋体"/>
                <w:b/>
                <w:color w:val="auto"/>
                <w:kern w:val="0"/>
                <w:sz w:val="21"/>
                <w:szCs w:val="21"/>
                <w:highlight w:val="none"/>
              </w:rPr>
              <w:t>条款号</w:t>
            </w:r>
          </w:p>
        </w:tc>
        <w:tc>
          <w:tcPr>
            <w:tcW w:w="1077" w:type="dxa"/>
            <w:gridSpan w:val="2"/>
            <w:tcBorders>
              <w:top w:val="single" w:color="auto" w:sz="4" w:space="0"/>
              <w:left w:val="single" w:color="auto" w:sz="4" w:space="0"/>
              <w:bottom w:val="single" w:color="auto" w:sz="4" w:space="0"/>
              <w:right w:val="single" w:color="auto" w:sz="4" w:space="0"/>
            </w:tcBorders>
            <w:noWrap/>
            <w:vAlign w:val="center"/>
          </w:tcPr>
          <w:p w14:paraId="1249FD79">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567" w:type="dxa"/>
            <w:gridSpan w:val="5"/>
            <w:tcBorders>
              <w:top w:val="single" w:color="auto" w:sz="4" w:space="0"/>
              <w:left w:val="single" w:color="auto" w:sz="4" w:space="0"/>
              <w:bottom w:val="single" w:color="auto" w:sz="4" w:space="0"/>
              <w:right w:val="single" w:color="auto" w:sz="4" w:space="0"/>
            </w:tcBorders>
            <w:noWrap/>
            <w:vAlign w:val="center"/>
          </w:tcPr>
          <w:p w14:paraId="33FDF876">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0CF9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63CE77DA">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077" w:type="dxa"/>
            <w:gridSpan w:val="2"/>
            <w:tcBorders>
              <w:top w:val="single" w:color="auto" w:sz="4" w:space="0"/>
              <w:left w:val="single" w:color="auto" w:sz="4" w:space="0"/>
              <w:bottom w:val="single" w:color="auto" w:sz="4" w:space="0"/>
              <w:right w:val="single" w:color="auto" w:sz="4" w:space="0"/>
            </w:tcBorders>
            <w:noWrap/>
            <w:vAlign w:val="center"/>
          </w:tcPr>
          <w:p w14:paraId="7DA8C6D4">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Times New Roman"/>
                <w:color w:val="auto"/>
                <w:sz w:val="21"/>
                <w:szCs w:val="21"/>
                <w:highlight w:val="none"/>
              </w:rPr>
              <w:t>评审办法</w:t>
            </w:r>
          </w:p>
        </w:tc>
        <w:tc>
          <w:tcPr>
            <w:tcW w:w="7567" w:type="dxa"/>
            <w:gridSpan w:val="5"/>
            <w:tcBorders>
              <w:top w:val="single" w:color="auto" w:sz="4" w:space="0"/>
              <w:left w:val="single" w:color="auto" w:sz="4" w:space="0"/>
              <w:bottom w:val="single" w:color="auto" w:sz="4" w:space="0"/>
              <w:right w:val="single" w:color="auto" w:sz="4" w:space="0"/>
            </w:tcBorders>
            <w:noWrap/>
            <w:vAlign w:val="center"/>
          </w:tcPr>
          <w:p w14:paraId="788298BE">
            <w:pPr>
              <w:spacing w:line="360" w:lineRule="auto"/>
              <w:ind w:firstLine="0" w:firstLineChars="0"/>
              <w:jc w:val="left"/>
              <w:rPr>
                <w:rFonts w:ascii="Times New Roman" w:hAnsi="Times New Roman" w:cs="宋体"/>
                <w:b/>
                <w:color w:val="auto"/>
                <w:kern w:val="0"/>
                <w:sz w:val="21"/>
                <w:szCs w:val="21"/>
                <w:highlight w:val="none"/>
              </w:rPr>
            </w:pPr>
            <w:r>
              <w:rPr>
                <w:rFonts w:hint="eastAsia" w:ascii="Times New Roman" w:hAnsi="Times New Roman" w:cs="Times New Roman"/>
                <w:color w:val="auto"/>
                <w:kern w:val="0"/>
                <w:sz w:val="21"/>
                <w:szCs w:val="24"/>
                <w:highlight w:val="none"/>
              </w:rPr>
              <w:t>本次评审采用综合评估法。</w:t>
            </w:r>
            <w:r>
              <w:rPr>
                <w:rFonts w:hint="eastAsia" w:ascii="宋体" w:hAnsi="宋体" w:cs="Times New Roman"/>
                <w:color w:val="auto"/>
                <w:kern w:val="0"/>
                <w:sz w:val="21"/>
                <w:szCs w:val="24"/>
                <w:highlight w:val="none"/>
                <w:lang w:val="en-US" w:eastAsia="zh-CN"/>
              </w:rPr>
              <w:t>评审委员会按照评审办法前附表第2.1 条规定的标准进行初步评审，初步评审</w:t>
            </w:r>
            <w:r>
              <w:rPr>
                <w:rFonts w:hint="eastAsia" w:ascii="宋体" w:hAnsi="宋体" w:cs="Times New Roman"/>
                <w:color w:val="auto"/>
                <w:kern w:val="0"/>
                <w:sz w:val="21"/>
                <w:szCs w:val="24"/>
                <w:highlight w:val="none"/>
              </w:rPr>
              <w:t>合格的</w:t>
            </w:r>
            <w:r>
              <w:rPr>
                <w:rFonts w:hint="eastAsia" w:ascii="宋体" w:hAnsi="宋体" w:cs="Times New Roman"/>
                <w:color w:val="auto"/>
                <w:kern w:val="0"/>
                <w:sz w:val="21"/>
                <w:szCs w:val="24"/>
                <w:highlight w:val="none"/>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ascii="Times New Roman" w:hAnsi="Times New Roman" w:cs="Times New Roman"/>
                <w:color w:val="auto"/>
                <w:kern w:val="0"/>
                <w:sz w:val="21"/>
                <w:szCs w:val="24"/>
                <w:highlight w:val="none"/>
              </w:rPr>
              <w:t>由评审委员会按照</w:t>
            </w:r>
            <w:r>
              <w:rPr>
                <w:rFonts w:hint="eastAsia" w:ascii="Times New Roman" w:hAnsi="Times New Roman" w:cs="Times New Roman"/>
                <w:color w:val="auto"/>
                <w:kern w:val="0"/>
                <w:sz w:val="21"/>
                <w:szCs w:val="24"/>
                <w:highlight w:val="none"/>
                <w:lang w:val="en-US" w:eastAsia="zh-CN"/>
              </w:rPr>
              <w:t>技术部分</w:t>
            </w:r>
            <w:r>
              <w:rPr>
                <w:rFonts w:hint="eastAsia" w:ascii="Times New Roman" w:hAnsi="Times New Roman" w:cs="Times New Roman"/>
                <w:color w:val="auto"/>
                <w:kern w:val="0"/>
                <w:sz w:val="21"/>
                <w:szCs w:val="24"/>
                <w:highlight w:val="none"/>
              </w:rPr>
              <w:t>得分从高到低原则排序。</w:t>
            </w:r>
          </w:p>
        </w:tc>
      </w:tr>
      <w:tr w14:paraId="3204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44230788">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077" w:type="dxa"/>
            <w:gridSpan w:val="2"/>
            <w:tcBorders>
              <w:top w:val="single" w:color="auto" w:sz="4" w:space="0"/>
              <w:left w:val="single" w:color="auto" w:sz="4" w:space="0"/>
              <w:bottom w:val="single" w:color="auto" w:sz="4" w:space="0"/>
              <w:right w:val="single" w:color="auto" w:sz="4" w:space="0"/>
            </w:tcBorders>
            <w:noWrap/>
            <w:vAlign w:val="center"/>
          </w:tcPr>
          <w:p w14:paraId="7CF8AE98">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初步评审标准</w:t>
            </w:r>
          </w:p>
        </w:tc>
        <w:tc>
          <w:tcPr>
            <w:tcW w:w="7567" w:type="dxa"/>
            <w:gridSpan w:val="5"/>
            <w:tcBorders>
              <w:top w:val="single" w:color="auto" w:sz="4" w:space="0"/>
              <w:left w:val="single" w:color="auto" w:sz="4" w:space="0"/>
              <w:bottom w:val="single" w:color="auto" w:sz="4" w:space="0"/>
              <w:right w:val="single" w:color="auto" w:sz="4" w:space="0"/>
            </w:tcBorders>
            <w:noWrap/>
            <w:vAlign w:val="center"/>
          </w:tcPr>
          <w:p w14:paraId="2E3E5C2D">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所有参选单位</w:t>
            </w:r>
            <w:r>
              <w:rPr>
                <w:rFonts w:hint="eastAsia" w:ascii="Times New Roman" w:hAnsi="Times New Roman" w:cs="Times New Roman"/>
                <w:color w:val="auto"/>
                <w:spacing w:val="4"/>
                <w:kern w:val="0"/>
                <w:sz w:val="21"/>
                <w:szCs w:val="21"/>
                <w:highlight w:val="none"/>
              </w:rPr>
              <w:t>进行</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w:t>
            </w:r>
            <w:r>
              <w:rPr>
                <w:rFonts w:hint="eastAsia" w:ascii="Times New Roman" w:hAnsi="Times New Roman" w:cs="Times New Roman"/>
                <w:color w:val="auto"/>
                <w:kern w:val="0"/>
                <w:sz w:val="21"/>
                <w:szCs w:val="24"/>
                <w:highlight w:val="none"/>
              </w:rPr>
              <w:t>初步评审</w:t>
            </w:r>
            <w:r>
              <w:rPr>
                <w:rFonts w:hint="eastAsia" w:ascii="Times New Roman" w:hAnsi="Times New Roman" w:cs="Times New Roman"/>
                <w:color w:val="auto"/>
                <w:spacing w:val="4"/>
                <w:kern w:val="0"/>
                <w:sz w:val="21"/>
                <w:szCs w:val="21"/>
                <w:highlight w:val="none"/>
              </w:rPr>
              <w:t>内容：资格评审、形式评审、响应性评审。</w:t>
            </w:r>
          </w:p>
        </w:tc>
      </w:tr>
      <w:tr w14:paraId="5142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140B5429">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color w:val="auto"/>
                <w:kern w:val="0"/>
                <w:sz w:val="21"/>
                <w:szCs w:val="21"/>
                <w:highlight w:val="none"/>
              </w:rPr>
              <w:t>2.1.1</w:t>
            </w:r>
          </w:p>
        </w:tc>
        <w:tc>
          <w:tcPr>
            <w:tcW w:w="1077" w:type="dxa"/>
            <w:gridSpan w:val="2"/>
            <w:tcBorders>
              <w:top w:val="single" w:color="auto" w:sz="4" w:space="0"/>
              <w:left w:val="single" w:color="auto" w:sz="4" w:space="0"/>
              <w:bottom w:val="single" w:color="auto" w:sz="4" w:space="0"/>
              <w:right w:val="single" w:color="auto" w:sz="4" w:space="0"/>
            </w:tcBorders>
            <w:noWrap/>
            <w:vAlign w:val="center"/>
          </w:tcPr>
          <w:p w14:paraId="358E565C">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资格评审标准</w:t>
            </w: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736BB054">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资格条件要求</w:t>
            </w:r>
          </w:p>
        </w:tc>
        <w:tc>
          <w:tcPr>
            <w:tcW w:w="5123" w:type="dxa"/>
            <w:tcBorders>
              <w:top w:val="single" w:color="auto" w:sz="4" w:space="0"/>
              <w:left w:val="single" w:color="auto" w:sz="4" w:space="0"/>
              <w:bottom w:val="single" w:color="auto" w:sz="4" w:space="0"/>
              <w:right w:val="single" w:color="auto" w:sz="4" w:space="0"/>
            </w:tcBorders>
            <w:noWrap/>
            <w:vAlign w:val="center"/>
          </w:tcPr>
          <w:p w14:paraId="69A7416F">
            <w:pPr>
              <w:spacing w:line="360" w:lineRule="auto"/>
              <w:ind w:firstLine="0" w:firstLineChars="0"/>
              <w:jc w:val="left"/>
              <w:rPr>
                <w:rFonts w:ascii="Times New Roman" w:hAnsi="Times New Roman" w:cs="Times New Roman"/>
                <w:color w:val="auto"/>
                <w:kern w:val="0"/>
                <w:sz w:val="21"/>
                <w:szCs w:val="24"/>
                <w:highlight w:val="none"/>
              </w:rPr>
            </w:pPr>
            <w:r>
              <w:rPr>
                <w:rFonts w:hint="eastAsia" w:ascii="Times New Roman" w:hAnsi="Times New Roman" w:cs="宋体"/>
                <w:color w:val="auto"/>
                <w:kern w:val="0"/>
                <w:sz w:val="21"/>
                <w:szCs w:val="21"/>
                <w:highlight w:val="none"/>
              </w:rPr>
              <w:t>符合第一章“2. 参选人资格要求”规定</w:t>
            </w:r>
          </w:p>
        </w:tc>
      </w:tr>
      <w:tr w14:paraId="262F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1BC71DA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2.1.2</w:t>
            </w:r>
          </w:p>
        </w:tc>
        <w:tc>
          <w:tcPr>
            <w:tcW w:w="107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20F1B4C">
            <w:pPr>
              <w:spacing w:line="360" w:lineRule="auto"/>
              <w:ind w:firstLine="0" w:firstLineChars="0"/>
              <w:jc w:val="center"/>
              <w:rPr>
                <w:rFonts w:ascii="Times New Roman" w:hAnsi="Times New Roman" w:cs="Times New Roman"/>
                <w:color w:val="auto"/>
                <w:kern w:val="0"/>
                <w:sz w:val="21"/>
                <w:szCs w:val="24"/>
                <w:highlight w:val="none"/>
              </w:rPr>
            </w:pPr>
            <w:r>
              <w:rPr>
                <w:rFonts w:hint="eastAsia" w:ascii="Times New Roman" w:hAnsi="Times New Roman" w:cs="Times New Roman"/>
                <w:color w:val="auto"/>
                <w:kern w:val="0"/>
                <w:sz w:val="21"/>
                <w:szCs w:val="24"/>
                <w:highlight w:val="none"/>
              </w:rPr>
              <w:t>形式评审标准</w:t>
            </w: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47BE90D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123" w:type="dxa"/>
            <w:tcBorders>
              <w:top w:val="single" w:color="auto" w:sz="4" w:space="0"/>
              <w:left w:val="single" w:color="auto" w:sz="4" w:space="0"/>
              <w:bottom w:val="single" w:color="auto" w:sz="4" w:space="0"/>
              <w:right w:val="single" w:color="auto" w:sz="4" w:space="0"/>
            </w:tcBorders>
            <w:noWrap/>
            <w:vAlign w:val="center"/>
          </w:tcPr>
          <w:p w14:paraId="72EC8141">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27D8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49C09341">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A872B30">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7D8478F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123" w:type="dxa"/>
            <w:tcBorders>
              <w:top w:val="single" w:color="auto" w:sz="4" w:space="0"/>
              <w:left w:val="single" w:color="auto" w:sz="4" w:space="0"/>
              <w:bottom w:val="single" w:color="auto" w:sz="4" w:space="0"/>
              <w:right w:val="single" w:color="auto" w:sz="4" w:space="0"/>
            </w:tcBorders>
            <w:noWrap/>
            <w:vAlign w:val="center"/>
          </w:tcPr>
          <w:p w14:paraId="71515F80">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79ED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B620918">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9C21B2A">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6757658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123" w:type="dxa"/>
            <w:tcBorders>
              <w:top w:val="single" w:color="auto" w:sz="4" w:space="0"/>
              <w:left w:val="single" w:color="auto" w:sz="4" w:space="0"/>
              <w:bottom w:val="single" w:color="auto" w:sz="4" w:space="0"/>
              <w:right w:val="single" w:color="auto" w:sz="4" w:space="0"/>
            </w:tcBorders>
            <w:noWrap/>
            <w:vAlign w:val="center"/>
          </w:tcPr>
          <w:p w14:paraId="457A8AF9">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769D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462BBD47">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669F661C">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1A9CB3D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123" w:type="dxa"/>
            <w:tcBorders>
              <w:top w:val="single" w:color="auto" w:sz="4" w:space="0"/>
              <w:left w:val="single" w:color="auto" w:sz="4" w:space="0"/>
              <w:bottom w:val="single" w:color="auto" w:sz="4" w:space="0"/>
              <w:right w:val="single" w:color="auto" w:sz="4" w:space="0"/>
            </w:tcBorders>
            <w:noWrap/>
            <w:vAlign w:val="center"/>
          </w:tcPr>
          <w:p w14:paraId="0745FC6C">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6AB8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49320051">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4C00E29B">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5F72209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123" w:type="dxa"/>
            <w:tcBorders>
              <w:top w:val="single" w:color="auto" w:sz="4" w:space="0"/>
              <w:left w:val="single" w:color="auto" w:sz="4" w:space="0"/>
              <w:bottom w:val="single" w:color="auto" w:sz="4" w:space="0"/>
              <w:right w:val="single" w:color="auto" w:sz="4" w:space="0"/>
            </w:tcBorders>
            <w:noWrap/>
            <w:vAlign w:val="center"/>
          </w:tcPr>
          <w:p w14:paraId="649F9AE6">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2E0E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281399F9">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D250261">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3951FDA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123" w:type="dxa"/>
            <w:tcBorders>
              <w:top w:val="single" w:color="auto" w:sz="4" w:space="0"/>
              <w:left w:val="single" w:color="auto" w:sz="4" w:space="0"/>
              <w:bottom w:val="single" w:color="auto" w:sz="4" w:space="0"/>
              <w:right w:val="single" w:color="auto" w:sz="4" w:space="0"/>
            </w:tcBorders>
            <w:noWrap/>
            <w:vAlign w:val="center"/>
          </w:tcPr>
          <w:p w14:paraId="14E6B645">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4AF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585E39CE">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2.1.3</w:t>
            </w:r>
          </w:p>
        </w:tc>
        <w:tc>
          <w:tcPr>
            <w:tcW w:w="107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62EFC7E7">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1A31D21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123" w:type="dxa"/>
            <w:tcBorders>
              <w:top w:val="single" w:color="auto" w:sz="4" w:space="0"/>
              <w:left w:val="single" w:color="auto" w:sz="4" w:space="0"/>
              <w:bottom w:val="single" w:color="auto" w:sz="4" w:space="0"/>
              <w:right w:val="single" w:color="auto" w:sz="4" w:space="0"/>
            </w:tcBorders>
            <w:noWrap/>
            <w:vAlign w:val="center"/>
          </w:tcPr>
          <w:p w14:paraId="5C7242BE">
            <w:pPr>
              <w:spacing w:line="360" w:lineRule="auto"/>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033F9D7D">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 根据第一章“2. 参选人资格要求”和第三章“项目要求”的要求规定，</w:t>
            </w:r>
            <w:r>
              <w:rPr>
                <w:rFonts w:hint="eastAsia" w:ascii="Times New Roman" w:hAnsi="Times New Roman" w:cs="宋体"/>
                <w:color w:val="auto"/>
                <w:kern w:val="0"/>
                <w:sz w:val="21"/>
                <w:szCs w:val="21"/>
                <w:highlight w:val="none"/>
                <w:lang w:val="en-US" w:eastAsia="zh-CN"/>
              </w:rPr>
              <w:t>提供对应资料，内容齐全、无遗漏。</w:t>
            </w:r>
          </w:p>
        </w:tc>
      </w:tr>
      <w:tr w14:paraId="25FF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5DCFA0AC">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cPr>
          <w:p w14:paraId="389886A8">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2300EE1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123" w:type="dxa"/>
            <w:tcBorders>
              <w:top w:val="single" w:color="auto" w:sz="4" w:space="0"/>
              <w:left w:val="single" w:color="auto" w:sz="4" w:space="0"/>
              <w:bottom w:val="single" w:color="auto" w:sz="4" w:space="0"/>
              <w:right w:val="single" w:color="auto" w:sz="4" w:space="0"/>
            </w:tcBorders>
            <w:noWrap/>
            <w:vAlign w:val="center"/>
          </w:tcPr>
          <w:p w14:paraId="4953F425">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5E67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6D01AD11">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cPr>
          <w:p w14:paraId="215271D2">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773ADCB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123" w:type="dxa"/>
            <w:tcBorders>
              <w:top w:val="single" w:color="auto" w:sz="4" w:space="0"/>
              <w:left w:val="single" w:color="auto" w:sz="4" w:space="0"/>
              <w:bottom w:val="single" w:color="auto" w:sz="4" w:space="0"/>
              <w:right w:val="single" w:color="auto" w:sz="4" w:space="0"/>
            </w:tcBorders>
            <w:noWrap/>
            <w:vAlign w:val="center"/>
          </w:tcPr>
          <w:p w14:paraId="590AD438">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38E8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7D723267">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cPr>
          <w:p w14:paraId="523E1A5C">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65A5409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123" w:type="dxa"/>
            <w:tcBorders>
              <w:top w:val="single" w:color="auto" w:sz="4" w:space="0"/>
              <w:left w:val="single" w:color="auto" w:sz="4" w:space="0"/>
              <w:bottom w:val="single" w:color="auto" w:sz="4" w:space="0"/>
              <w:right w:val="single" w:color="auto" w:sz="4" w:space="0"/>
            </w:tcBorders>
            <w:noWrap/>
            <w:vAlign w:val="center"/>
          </w:tcPr>
          <w:p w14:paraId="3C070116">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53E3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4AB6EF85">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cPr>
          <w:p w14:paraId="41ACBB02">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34221107">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123" w:type="dxa"/>
            <w:tcBorders>
              <w:top w:val="single" w:color="auto" w:sz="4" w:space="0"/>
              <w:left w:val="single" w:color="auto" w:sz="4" w:space="0"/>
              <w:bottom w:val="single" w:color="auto" w:sz="4" w:space="0"/>
              <w:right w:val="single" w:color="auto" w:sz="4" w:space="0"/>
            </w:tcBorders>
            <w:noWrap/>
          </w:tcPr>
          <w:p w14:paraId="7A5337B5">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5D0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14:paraId="161E20A0">
            <w:pPr>
              <w:rPr>
                <w:color w:val="auto"/>
                <w:highlight w:val="none"/>
              </w:rPr>
            </w:pPr>
          </w:p>
        </w:tc>
        <w:tc>
          <w:tcPr>
            <w:tcW w:w="1077" w:type="dxa"/>
            <w:gridSpan w:val="2"/>
            <w:vMerge w:val="continue"/>
            <w:tcBorders>
              <w:top w:val="single" w:color="auto" w:sz="4" w:space="0"/>
              <w:left w:val="single" w:color="auto" w:sz="4" w:space="0"/>
              <w:bottom w:val="single" w:color="auto" w:sz="4" w:space="0"/>
              <w:right w:val="single" w:color="auto" w:sz="4" w:space="0"/>
            </w:tcBorders>
            <w:noWrap/>
          </w:tcPr>
          <w:p w14:paraId="5EF5B426">
            <w:pPr>
              <w:rPr>
                <w:color w:val="auto"/>
                <w:highlight w:val="none"/>
              </w:rPr>
            </w:pPr>
          </w:p>
        </w:tc>
        <w:tc>
          <w:tcPr>
            <w:tcW w:w="2444" w:type="dxa"/>
            <w:gridSpan w:val="4"/>
            <w:tcBorders>
              <w:top w:val="single" w:color="auto" w:sz="4" w:space="0"/>
              <w:left w:val="single" w:color="auto" w:sz="4" w:space="0"/>
              <w:bottom w:val="single" w:color="auto" w:sz="4" w:space="0"/>
              <w:right w:val="single" w:color="auto" w:sz="4" w:space="0"/>
            </w:tcBorders>
            <w:noWrap/>
            <w:vAlign w:val="center"/>
          </w:tcPr>
          <w:p w14:paraId="1796693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123" w:type="dxa"/>
            <w:tcBorders>
              <w:top w:val="single" w:color="auto" w:sz="4" w:space="0"/>
              <w:left w:val="single" w:color="auto" w:sz="4" w:space="0"/>
              <w:bottom w:val="single" w:color="auto" w:sz="4" w:space="0"/>
              <w:right w:val="single" w:color="auto" w:sz="4" w:space="0"/>
            </w:tcBorders>
            <w:noWrap/>
          </w:tcPr>
          <w:p w14:paraId="28B4B42F">
            <w:pPr>
              <w:spacing w:line="360" w:lineRule="auto"/>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11DB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14:paraId="3E9298FC">
            <w:pPr>
              <w:spacing w:line="360" w:lineRule="atLeast"/>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w:t>
            </w:r>
          </w:p>
        </w:tc>
        <w:tc>
          <w:tcPr>
            <w:tcW w:w="655" w:type="dxa"/>
            <w:vMerge w:val="restart"/>
            <w:tcBorders>
              <w:top w:val="single" w:color="auto" w:sz="4" w:space="0"/>
              <w:left w:val="single" w:color="auto" w:sz="4" w:space="0"/>
              <w:bottom w:val="single" w:color="auto" w:sz="4" w:space="0"/>
              <w:right w:val="single" w:color="auto" w:sz="4" w:space="0"/>
            </w:tcBorders>
            <w:noWrap/>
            <w:vAlign w:val="center"/>
          </w:tcPr>
          <w:p w14:paraId="6D2376DE">
            <w:pPr>
              <w:spacing w:line="360" w:lineRule="atLeas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详细评审</w:t>
            </w:r>
          </w:p>
        </w:tc>
        <w:tc>
          <w:tcPr>
            <w:tcW w:w="1044" w:type="dxa"/>
            <w:gridSpan w:val="2"/>
            <w:vMerge w:val="restart"/>
            <w:tcBorders>
              <w:top w:val="single" w:color="auto" w:sz="4" w:space="0"/>
              <w:left w:val="single" w:color="auto" w:sz="4" w:space="0"/>
              <w:bottom w:val="single" w:color="auto" w:sz="4" w:space="0"/>
              <w:right w:val="single" w:color="auto" w:sz="4" w:space="0"/>
            </w:tcBorders>
            <w:noWrap/>
            <w:vAlign w:val="center"/>
          </w:tcPr>
          <w:p w14:paraId="7898926C">
            <w:pPr>
              <w:tabs>
                <w:tab w:val="left" w:pos="1875"/>
              </w:tabs>
              <w:spacing w:line="360" w:lineRule="atLeas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分值构成与评分标准</w:t>
            </w:r>
          </w:p>
          <w:p w14:paraId="4990C9EE">
            <w:pPr>
              <w:tabs>
                <w:tab w:val="left" w:pos="1875"/>
              </w:tabs>
              <w:spacing w:line="360" w:lineRule="atLeas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(总分1</w:t>
            </w:r>
            <w:r>
              <w:rPr>
                <w:rFonts w:ascii="Times New Roman" w:hAnsi="Times New Roman" w:cs="宋体"/>
                <w:color w:val="auto"/>
                <w:kern w:val="0"/>
                <w:sz w:val="21"/>
                <w:szCs w:val="21"/>
                <w:highlight w:val="none"/>
              </w:rPr>
              <w:t>00</w:t>
            </w:r>
            <w:r>
              <w:rPr>
                <w:rFonts w:hint="eastAsia" w:ascii="Times New Roman" w:hAnsi="Times New Roman" w:cs="宋体"/>
                <w:color w:val="auto"/>
                <w:kern w:val="0"/>
                <w:sz w:val="21"/>
                <w:szCs w:val="21"/>
                <w:highlight w:val="none"/>
              </w:rPr>
              <w:t>分)</w:t>
            </w:r>
          </w:p>
        </w:tc>
        <w:tc>
          <w:tcPr>
            <w:tcW w:w="789" w:type="dxa"/>
            <w:vMerge w:val="restart"/>
            <w:tcBorders>
              <w:top w:val="single" w:color="auto" w:sz="4" w:space="0"/>
              <w:left w:val="single" w:color="auto" w:sz="4" w:space="0"/>
              <w:bottom w:val="single" w:color="auto" w:sz="4" w:space="0"/>
              <w:right w:val="single" w:color="auto" w:sz="4" w:space="0"/>
            </w:tcBorders>
            <w:noWrap/>
            <w:vAlign w:val="center"/>
          </w:tcPr>
          <w:p w14:paraId="7DDE4558">
            <w:pPr>
              <w:tabs>
                <w:tab w:val="left" w:pos="1875"/>
              </w:tabs>
              <w:spacing w:line="360" w:lineRule="exac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商务部分（8</w:t>
            </w:r>
            <w:r>
              <w:rPr>
                <w:rFonts w:ascii="Times New Roman" w:hAnsi="Times New Roman" w:cs="宋体"/>
                <w:color w:val="auto"/>
                <w:kern w:val="0"/>
                <w:sz w:val="21"/>
                <w:szCs w:val="21"/>
                <w:highlight w:val="none"/>
              </w:rPr>
              <w:t>7</w:t>
            </w:r>
            <w:r>
              <w:rPr>
                <w:rFonts w:hint="eastAsia" w:ascii="Times New Roman" w:hAnsi="Times New Roman" w:cs="宋体"/>
                <w:color w:val="auto"/>
                <w:kern w:val="0"/>
                <w:sz w:val="21"/>
                <w:szCs w:val="21"/>
                <w:highlight w:val="none"/>
              </w:rPr>
              <w:t>分）</w:t>
            </w:r>
          </w:p>
        </w:tc>
        <w:tc>
          <w:tcPr>
            <w:tcW w:w="1033" w:type="dxa"/>
            <w:gridSpan w:val="2"/>
            <w:tcBorders>
              <w:top w:val="single" w:color="auto" w:sz="4" w:space="0"/>
              <w:left w:val="single" w:color="auto" w:sz="4" w:space="0"/>
              <w:bottom w:val="single" w:color="auto" w:sz="4" w:space="0"/>
              <w:right w:val="single" w:color="auto" w:sz="4" w:space="0"/>
            </w:tcBorders>
            <w:noWrap/>
            <w:vAlign w:val="center"/>
          </w:tcPr>
          <w:p w14:paraId="6A177A23">
            <w:pPr>
              <w:tabs>
                <w:tab w:val="left" w:pos="1875"/>
              </w:tabs>
              <w:spacing w:line="360" w:lineRule="exac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参选报价（65分）</w:t>
            </w:r>
          </w:p>
        </w:tc>
        <w:tc>
          <w:tcPr>
            <w:tcW w:w="5123" w:type="dxa"/>
            <w:tcBorders>
              <w:top w:val="single" w:color="auto" w:sz="4" w:space="0"/>
              <w:left w:val="single" w:color="auto" w:sz="4" w:space="0"/>
              <w:bottom w:val="single" w:color="auto" w:sz="4" w:space="0"/>
              <w:right w:val="single" w:color="auto" w:sz="4" w:space="0"/>
            </w:tcBorders>
            <w:noWrap/>
            <w:vAlign w:val="center"/>
          </w:tcPr>
          <w:p w14:paraId="3AEB74F7">
            <w:pPr>
              <w:spacing w:line="360" w:lineRule="exact"/>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w:t>
            </w:r>
            <w:r>
              <w:rPr>
                <w:rFonts w:hint="eastAsia"/>
                <w:color w:val="auto"/>
                <w:highlight w:val="none"/>
              </w:rPr>
              <w:t xml:space="preserve"> </w:t>
            </w:r>
            <w:r>
              <w:rPr>
                <w:rFonts w:hint="eastAsia" w:ascii="Times New Roman" w:hAnsi="Times New Roman" w:cs="宋体"/>
                <w:color w:val="auto"/>
                <w:kern w:val="0"/>
                <w:sz w:val="21"/>
                <w:szCs w:val="21"/>
                <w:highlight w:val="none"/>
              </w:rPr>
              <w:t>以各有效报价（不含税报价）之和的平均价格作为评标基准价，基准分为65分；</w:t>
            </w:r>
          </w:p>
          <w:p w14:paraId="2B7D9184">
            <w:pPr>
              <w:spacing w:line="360" w:lineRule="exact"/>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2.计算各有效报价与评标基准价的偏离度。偏离度=（有效报价/评标基准价-1）*100%；</w:t>
            </w:r>
          </w:p>
          <w:p w14:paraId="5B827785">
            <w:pPr>
              <w:spacing w:line="360" w:lineRule="exact"/>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color w:val="auto"/>
                <w:highlight w:val="none"/>
              </w:rPr>
              <w:t xml:space="preserve"> </w:t>
            </w:r>
            <w:r>
              <w:rPr>
                <w:rFonts w:hint="eastAsia" w:ascii="Times New Roman" w:hAnsi="Times New Roman" w:cs="宋体"/>
                <w:color w:val="auto"/>
                <w:kern w:val="0"/>
                <w:sz w:val="21"/>
                <w:szCs w:val="21"/>
                <w:highlight w:val="none"/>
              </w:rPr>
              <w:t>报价向上每偏离基准价的1%扣1分；向下偏离基准价10%以内的，不扣分；向下偏离基准价超过10%的，在向下偏离基准价10%的基础上，向下偏离每多超过1%扣0.5分，扣完为止，不足1%的不予扣减。</w:t>
            </w:r>
          </w:p>
        </w:tc>
      </w:tr>
      <w:tr w14:paraId="73C8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63CED791">
            <w:pPr>
              <w:rPr>
                <w:color w:val="auto"/>
                <w:highlight w:val="none"/>
              </w:rPr>
            </w:pPr>
          </w:p>
        </w:tc>
        <w:tc>
          <w:tcPr>
            <w:tcW w:w="655" w:type="dxa"/>
            <w:vMerge w:val="continue"/>
            <w:tcBorders>
              <w:top w:val="single" w:color="auto" w:sz="4" w:space="0"/>
              <w:left w:val="single" w:color="auto" w:sz="4" w:space="0"/>
              <w:bottom w:val="single" w:color="auto" w:sz="4" w:space="0"/>
              <w:right w:val="single" w:color="auto" w:sz="4" w:space="0"/>
            </w:tcBorders>
            <w:noWrap/>
            <w:vAlign w:val="center"/>
          </w:tcPr>
          <w:p w14:paraId="7DCDA502">
            <w:pPr>
              <w:rPr>
                <w:color w:val="auto"/>
                <w:highlight w:val="none"/>
              </w:rPr>
            </w:pPr>
          </w:p>
        </w:tc>
        <w:tc>
          <w:tcPr>
            <w:tcW w:w="104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7D9A435">
            <w:pPr>
              <w:rPr>
                <w:color w:val="auto"/>
                <w:highlight w:val="none"/>
              </w:rPr>
            </w:pPr>
          </w:p>
        </w:tc>
        <w:tc>
          <w:tcPr>
            <w:tcW w:w="789" w:type="dxa"/>
            <w:vMerge w:val="continue"/>
            <w:tcBorders>
              <w:top w:val="single" w:color="auto" w:sz="4" w:space="0"/>
              <w:left w:val="single" w:color="auto" w:sz="4" w:space="0"/>
              <w:bottom w:val="single" w:color="auto" w:sz="4" w:space="0"/>
              <w:right w:val="single" w:color="auto" w:sz="4" w:space="0"/>
            </w:tcBorders>
            <w:noWrap/>
            <w:vAlign w:val="center"/>
          </w:tcPr>
          <w:p w14:paraId="5375DC77">
            <w:pPr>
              <w:rPr>
                <w:color w:val="auto"/>
                <w:highlight w:val="none"/>
              </w:rPr>
            </w:pPr>
          </w:p>
        </w:tc>
        <w:tc>
          <w:tcPr>
            <w:tcW w:w="1033" w:type="dxa"/>
            <w:gridSpan w:val="2"/>
            <w:tcBorders>
              <w:top w:val="single" w:color="auto" w:sz="4" w:space="0"/>
              <w:left w:val="single" w:color="auto" w:sz="4" w:space="0"/>
              <w:bottom w:val="single" w:color="auto" w:sz="4" w:space="0"/>
              <w:right w:val="single" w:color="auto" w:sz="4" w:space="0"/>
            </w:tcBorders>
            <w:noWrap/>
            <w:vAlign w:val="center"/>
          </w:tcPr>
          <w:p w14:paraId="3436B872">
            <w:pPr>
              <w:tabs>
                <w:tab w:val="left" w:pos="1875"/>
              </w:tabs>
              <w:spacing w:line="360" w:lineRule="exac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实施</w:t>
            </w:r>
          </w:p>
          <w:p w14:paraId="319A12C4">
            <w:pPr>
              <w:tabs>
                <w:tab w:val="left" w:pos="1875"/>
              </w:tabs>
              <w:spacing w:line="360" w:lineRule="exac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案例</w:t>
            </w:r>
          </w:p>
          <w:p w14:paraId="366A36B3">
            <w:pPr>
              <w:tabs>
                <w:tab w:val="left" w:pos="1875"/>
              </w:tabs>
              <w:spacing w:line="360" w:lineRule="exac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（12分）</w:t>
            </w:r>
          </w:p>
        </w:tc>
        <w:tc>
          <w:tcPr>
            <w:tcW w:w="5123" w:type="dxa"/>
            <w:tcBorders>
              <w:top w:val="single" w:color="auto" w:sz="4" w:space="0"/>
              <w:left w:val="single" w:color="auto" w:sz="4" w:space="0"/>
              <w:bottom w:val="single" w:color="auto" w:sz="4" w:space="0"/>
              <w:right w:val="single" w:color="auto" w:sz="4" w:space="0"/>
            </w:tcBorders>
            <w:noWrap/>
            <w:vAlign w:val="center"/>
          </w:tcPr>
          <w:p w14:paraId="3EDD8A5A">
            <w:pPr>
              <w:spacing w:line="360" w:lineRule="exact"/>
              <w:ind w:left="0"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1.2021年1月1日至比选截止日(以合同签订时间为准)，在</w:t>
            </w:r>
            <w:r>
              <w:rPr>
                <w:rFonts w:ascii="Times New Roman" w:hAnsi="Times New Roman" w:cs="宋体"/>
                <w:color w:val="auto"/>
                <w:kern w:val="0"/>
                <w:sz w:val="21"/>
                <w:szCs w:val="21"/>
                <w:highlight w:val="none"/>
              </w:rPr>
              <w:t>3</w:t>
            </w:r>
            <w:r>
              <w:rPr>
                <w:rFonts w:hint="eastAsia" w:ascii="Times New Roman" w:hAnsi="Times New Roman" w:cs="宋体"/>
                <w:color w:val="auto"/>
                <w:kern w:val="0"/>
                <w:sz w:val="21"/>
                <w:szCs w:val="21"/>
                <w:highlight w:val="none"/>
              </w:rPr>
              <w:t>个案例的基础上，每多1例与银行金融机构的电子银行类安全评估服务相关实施案例，得2分，最多6分，参选人资格要求所用案例不计入评分，同一单位案例不重复计分。</w:t>
            </w:r>
          </w:p>
          <w:p w14:paraId="3549B30F">
            <w:pPr>
              <w:wordWrap/>
              <w:autoSpaceDE w:val="0"/>
              <w:autoSpaceDN w:val="0"/>
              <w:spacing w:line="360" w:lineRule="exact"/>
              <w:ind w:left="0"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eastAsia="宋体" w:cs="宋体"/>
                <w:color w:val="auto"/>
                <w:kern w:val="0"/>
                <w:sz w:val="21"/>
                <w:szCs w:val="21"/>
                <w:highlight w:val="none"/>
              </w:rPr>
              <w:t>注:案例要求提供项目合同关键页复印件，且以下信息不可隐藏，包含:甲乙双方名称、双方印章、项目/产品的名称、合同签订时间、服务范围(需包含所证明内容的关键字，包括但不限于“风险评估”、“安全评估”、“渗透测试”)。以上证明文件需提供原件备查，参选文件中须附相关证明文件复印件并逐页加盖公章。</w:t>
            </w:r>
          </w:p>
          <w:p w14:paraId="3CA6F8A8">
            <w:pPr>
              <w:spacing w:line="360" w:lineRule="exact"/>
              <w:ind w:left="0" w:firstLine="0" w:firstLineChars="0"/>
              <w:jc w:val="left"/>
              <w:rPr>
                <w:rFonts w:hint="eastAsia" w:ascii="Times New Roman" w:hAnsi="Times New Roman" w:cs="宋体"/>
                <w:b w:val="0"/>
                <w:bCs w:val="0"/>
                <w:color w:val="auto"/>
                <w:kern w:val="0"/>
                <w:sz w:val="21"/>
                <w:szCs w:val="21"/>
                <w:highlight w:val="none"/>
                <w:lang w:val="en-US" w:eastAsia="zh-CN"/>
              </w:rPr>
            </w:pPr>
            <w:r>
              <w:rPr>
                <w:rFonts w:hint="eastAsia" w:ascii="Times New Roman" w:hAnsi="Times New Roman" w:cs="宋体"/>
                <w:color w:val="auto"/>
                <w:kern w:val="0"/>
                <w:sz w:val="21"/>
                <w:szCs w:val="21"/>
                <w:highlight w:val="none"/>
                <w:lang w:val="en-US" w:eastAsia="zh-CN"/>
              </w:rPr>
              <w:t>2.</w:t>
            </w:r>
            <w:r>
              <w:rPr>
                <w:rFonts w:hint="eastAsia" w:ascii="Times New Roman" w:hAnsi="Times New Roman" w:cs="宋体"/>
                <w:b w:val="0"/>
                <w:bCs w:val="0"/>
                <w:color w:val="auto"/>
                <w:kern w:val="0"/>
                <w:sz w:val="21"/>
                <w:szCs w:val="21"/>
                <w:highlight w:val="none"/>
                <w:lang w:val="en-US" w:eastAsia="zh-CN"/>
              </w:rPr>
              <w:t>2021年1月1日至比选截止日(以合同签订时间为准)，每多1例直接或间接支撑国家金融监督管理总局对银行金融机构进行渗透测试服务案例的，得3分，最多6分，参选人资格要求所用案例不计入评分。</w:t>
            </w:r>
          </w:p>
          <w:p w14:paraId="3F6FD5F2">
            <w:pPr>
              <w:spacing w:line="360" w:lineRule="exact"/>
              <w:ind w:left="0"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注:</w:t>
            </w:r>
            <w:r>
              <w:rPr>
                <w:rFonts w:hint="eastAsia" w:ascii="Times New Roman" w:hAnsi="Times New Roman" w:eastAsia="宋体" w:cs="宋体"/>
                <w:color w:val="auto"/>
                <w:kern w:val="0"/>
                <w:sz w:val="21"/>
                <w:szCs w:val="21"/>
                <w:highlight w:val="none"/>
              </w:rPr>
              <w:t>案例要求提供项目合同关键页复印件，且以下信息不可隐藏，包含:甲乙双方名称、双方印章、项目/产品的名称、合同签订时间、服务范围(需包含所证明内容的关键字，包括但不限于“安全测试”、“渗透测试”)。间接支撑须提供参选人与合同中乙方的授权关系。以上证明文件需提供原件备查，参选文件中须附相关证明文件复印件并逐页加盖公章。</w:t>
            </w:r>
          </w:p>
        </w:tc>
      </w:tr>
      <w:tr w14:paraId="4D40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0E39040B">
            <w:pPr>
              <w:rPr>
                <w:color w:val="auto"/>
                <w:highlight w:val="none"/>
              </w:rPr>
            </w:pPr>
          </w:p>
        </w:tc>
        <w:tc>
          <w:tcPr>
            <w:tcW w:w="655" w:type="dxa"/>
            <w:vMerge w:val="continue"/>
            <w:tcBorders>
              <w:top w:val="single" w:color="auto" w:sz="4" w:space="0"/>
              <w:left w:val="single" w:color="auto" w:sz="4" w:space="0"/>
              <w:bottom w:val="single" w:color="auto" w:sz="4" w:space="0"/>
              <w:right w:val="single" w:color="auto" w:sz="4" w:space="0"/>
            </w:tcBorders>
            <w:noWrap/>
            <w:vAlign w:val="center"/>
          </w:tcPr>
          <w:p w14:paraId="6CAEEF1C">
            <w:pPr>
              <w:rPr>
                <w:color w:val="auto"/>
                <w:highlight w:val="none"/>
              </w:rPr>
            </w:pPr>
          </w:p>
        </w:tc>
        <w:tc>
          <w:tcPr>
            <w:tcW w:w="104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C202B69">
            <w:pPr>
              <w:rPr>
                <w:color w:val="auto"/>
                <w:highlight w:val="none"/>
              </w:rPr>
            </w:pPr>
          </w:p>
        </w:tc>
        <w:tc>
          <w:tcPr>
            <w:tcW w:w="789" w:type="dxa"/>
            <w:vMerge w:val="continue"/>
            <w:tcBorders>
              <w:top w:val="single" w:color="auto" w:sz="4" w:space="0"/>
              <w:left w:val="single" w:color="auto" w:sz="4" w:space="0"/>
              <w:bottom w:val="single" w:color="auto" w:sz="4" w:space="0"/>
              <w:right w:val="single" w:color="auto" w:sz="4" w:space="0"/>
            </w:tcBorders>
            <w:noWrap/>
            <w:vAlign w:val="center"/>
          </w:tcPr>
          <w:p w14:paraId="1B561BC8">
            <w:pPr>
              <w:rPr>
                <w:color w:val="auto"/>
                <w:highlight w:val="none"/>
              </w:rPr>
            </w:pPr>
          </w:p>
        </w:tc>
        <w:tc>
          <w:tcPr>
            <w:tcW w:w="1033" w:type="dxa"/>
            <w:gridSpan w:val="2"/>
            <w:tcBorders>
              <w:top w:val="single" w:color="auto" w:sz="4" w:space="0"/>
              <w:left w:val="single" w:color="auto" w:sz="4" w:space="0"/>
              <w:bottom w:val="single" w:color="auto" w:sz="4" w:space="0"/>
              <w:right w:val="single" w:color="auto" w:sz="4" w:space="0"/>
            </w:tcBorders>
            <w:noWrap/>
            <w:vAlign w:val="center"/>
          </w:tcPr>
          <w:p w14:paraId="7357C333">
            <w:pPr>
              <w:tabs>
                <w:tab w:val="left" w:pos="1875"/>
              </w:tabs>
              <w:spacing w:line="360" w:lineRule="auto"/>
              <w:ind w:firstLine="0" w:firstLineChars="0"/>
              <w:jc w:val="center"/>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服务能力</w:t>
            </w:r>
          </w:p>
          <w:p w14:paraId="4BC39E96">
            <w:pPr>
              <w:tabs>
                <w:tab w:val="left" w:pos="1875"/>
              </w:tabs>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w:t>
            </w:r>
            <w:r>
              <w:rPr>
                <w:rFonts w:hint="eastAsia" w:ascii="Times New Roman" w:hAnsi="Times New Roman" w:cs="宋体"/>
                <w:color w:val="auto"/>
                <w:kern w:val="0"/>
                <w:sz w:val="21"/>
                <w:szCs w:val="21"/>
                <w:highlight w:val="none"/>
                <w:lang w:val="en-US" w:eastAsia="zh-CN"/>
              </w:rPr>
              <w:t>10</w:t>
            </w:r>
            <w:r>
              <w:rPr>
                <w:rFonts w:hint="eastAsia" w:ascii="Times New Roman" w:hAnsi="Times New Roman" w:cs="宋体"/>
                <w:color w:val="auto"/>
                <w:kern w:val="0"/>
                <w:sz w:val="21"/>
                <w:szCs w:val="21"/>
                <w:highlight w:val="none"/>
              </w:rPr>
              <w:t>分）</w:t>
            </w:r>
          </w:p>
        </w:tc>
        <w:tc>
          <w:tcPr>
            <w:tcW w:w="5123" w:type="dxa"/>
            <w:tcBorders>
              <w:top w:val="single" w:color="auto" w:sz="4" w:space="0"/>
              <w:left w:val="single" w:color="auto" w:sz="4" w:space="0"/>
              <w:bottom w:val="single" w:color="auto" w:sz="4" w:space="0"/>
              <w:right w:val="single" w:color="auto" w:sz="4" w:space="0"/>
            </w:tcBorders>
            <w:noWrap/>
            <w:vAlign w:val="center"/>
          </w:tcPr>
          <w:p w14:paraId="0E5AB876">
            <w:pPr>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1.参选人具备支撑中国人民银行开展网络安全威胁监测的能力，须提供2021年1月1日至比选截止日，直接或间接支撑中国人民银行开展风险监测工作的证明函，得2分，不满足不得分。</w:t>
            </w:r>
          </w:p>
          <w:p w14:paraId="5053627E">
            <w:pPr>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注:证明函要求提供服务范围(需包含所证明内容的关键字，包括但不限于“网络安全威胁监测”、“漏洞在线监测”、“渗透测试”)。间接支撑须提供参选人与证明函中提供服务方的授权关系。以上证明文件需提供原件备查，参选文件中须附相关证明文件复印件并逐页加盖公章。</w:t>
            </w:r>
          </w:p>
          <w:p w14:paraId="60C4FF32">
            <w:pPr>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2.参选人具备CNTD(CNTD网络安全威胁情报共享平台，官网:http://www.cntd.org.cn/)共建单位资格的，得5分，没有不得分。须提供CNTD网络安全威胁情报共享平台共建单位邀请函或官网截图并加盖供应商公章。</w:t>
            </w:r>
          </w:p>
          <w:p w14:paraId="46533440">
            <w:pPr>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3.参选人须具备与本项目相关的配套支撑产品用于技术支撑，须提供产品的软件著作权证书，证书中软件名称须包含以下关键字“脆弱性扫描”、“网络资产测绘”、“漏洞检测”之一</w:t>
            </w:r>
            <w:r>
              <w:rPr>
                <w:rFonts w:hint="eastAsia" w:ascii="Times New Roman" w:hAnsi="Times New Roman" w:cs="宋体"/>
                <w:color w:val="auto"/>
                <w:kern w:val="0"/>
                <w:sz w:val="21"/>
                <w:szCs w:val="21"/>
                <w:highlight w:val="none"/>
                <w:lang w:eastAsia="zh-CN"/>
              </w:rPr>
              <w:t>，</w:t>
            </w:r>
            <w:r>
              <w:rPr>
                <w:rFonts w:hint="eastAsia" w:ascii="Times New Roman" w:hAnsi="Times New Roman" w:cs="宋体"/>
                <w:color w:val="auto"/>
                <w:kern w:val="0"/>
                <w:sz w:val="21"/>
                <w:szCs w:val="21"/>
                <w:highlight w:val="none"/>
              </w:rPr>
              <w:t>一个</w:t>
            </w:r>
            <w:r>
              <w:rPr>
                <w:rFonts w:hint="eastAsia" w:ascii="Times New Roman" w:hAnsi="Times New Roman" w:cs="宋体"/>
                <w:color w:val="auto"/>
                <w:kern w:val="0"/>
                <w:sz w:val="21"/>
                <w:szCs w:val="21"/>
                <w:highlight w:val="none"/>
                <w:lang w:val="en-US" w:eastAsia="zh-CN"/>
              </w:rPr>
              <w:t>证书</w:t>
            </w:r>
            <w:r>
              <w:rPr>
                <w:rFonts w:hint="eastAsia" w:ascii="Times New Roman" w:hAnsi="Times New Roman" w:cs="宋体"/>
                <w:color w:val="auto"/>
                <w:kern w:val="0"/>
                <w:sz w:val="21"/>
                <w:szCs w:val="21"/>
                <w:highlight w:val="none"/>
              </w:rPr>
              <w:t>得1分，</w:t>
            </w:r>
            <w:r>
              <w:rPr>
                <w:rFonts w:hint="eastAsia" w:ascii="Times New Roman" w:hAnsi="Times New Roman" w:cs="宋体"/>
                <w:color w:val="auto"/>
                <w:kern w:val="0"/>
                <w:sz w:val="21"/>
                <w:szCs w:val="21"/>
                <w:highlight w:val="none"/>
                <w:lang w:val="en-US" w:eastAsia="zh-CN"/>
              </w:rPr>
              <w:t>不同证书</w:t>
            </w:r>
            <w:r>
              <w:rPr>
                <w:rFonts w:hint="eastAsia" w:ascii="Times New Roman" w:hAnsi="Times New Roman" w:cs="宋体"/>
                <w:color w:val="auto"/>
                <w:kern w:val="0"/>
                <w:sz w:val="21"/>
                <w:szCs w:val="21"/>
                <w:highlight w:val="none"/>
              </w:rPr>
              <w:t>同一关键字的不重复计分，最高3分，未提供不得分。</w:t>
            </w:r>
          </w:p>
          <w:p w14:paraId="782127C8">
            <w:pPr>
              <w:spacing w:line="360" w:lineRule="exact"/>
              <w:ind w:firstLine="0" w:firstLineChars="0"/>
              <w:jc w:val="left"/>
              <w:rPr>
                <w:rFonts w:hint="eastAsia"/>
                <w:color w:val="auto"/>
                <w:highlight w:val="none"/>
              </w:rPr>
            </w:pPr>
            <w:r>
              <w:rPr>
                <w:rFonts w:hint="eastAsia" w:ascii="Times New Roman" w:hAnsi="Times New Roman" w:cs="宋体"/>
                <w:color w:val="auto"/>
                <w:kern w:val="0"/>
                <w:sz w:val="21"/>
                <w:szCs w:val="21"/>
                <w:highlight w:val="none"/>
              </w:rPr>
              <w:t>证明材料：参选人需提供与本项目相关产品的软件著作权证书。</w:t>
            </w:r>
          </w:p>
        </w:tc>
      </w:tr>
      <w:tr w14:paraId="0E0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4E4AA2FC">
            <w:pPr>
              <w:rPr>
                <w:color w:val="auto"/>
                <w:highlight w:val="none"/>
              </w:rPr>
            </w:pPr>
          </w:p>
        </w:tc>
        <w:tc>
          <w:tcPr>
            <w:tcW w:w="655" w:type="dxa"/>
            <w:vMerge w:val="continue"/>
            <w:tcBorders>
              <w:top w:val="single" w:color="auto" w:sz="4" w:space="0"/>
              <w:left w:val="single" w:color="auto" w:sz="4" w:space="0"/>
              <w:bottom w:val="single" w:color="auto" w:sz="4" w:space="0"/>
              <w:right w:val="single" w:color="auto" w:sz="4" w:space="0"/>
            </w:tcBorders>
            <w:noWrap/>
            <w:vAlign w:val="center"/>
          </w:tcPr>
          <w:p w14:paraId="14117DFF">
            <w:pPr>
              <w:rPr>
                <w:color w:val="auto"/>
                <w:highlight w:val="none"/>
              </w:rPr>
            </w:pPr>
          </w:p>
        </w:tc>
        <w:tc>
          <w:tcPr>
            <w:tcW w:w="104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3A13F56">
            <w:pPr>
              <w:rPr>
                <w:color w:val="auto"/>
                <w:highlight w:val="none"/>
              </w:rPr>
            </w:pPr>
          </w:p>
        </w:tc>
        <w:tc>
          <w:tcPr>
            <w:tcW w:w="789" w:type="dxa"/>
            <w:vMerge w:val="restart"/>
            <w:tcBorders>
              <w:top w:val="single" w:color="auto" w:sz="4" w:space="0"/>
              <w:left w:val="single" w:color="auto" w:sz="4" w:space="0"/>
              <w:bottom w:val="single" w:color="auto" w:sz="4" w:space="0"/>
              <w:right w:val="single" w:color="auto" w:sz="4" w:space="0"/>
            </w:tcBorders>
            <w:noWrap/>
            <w:vAlign w:val="center"/>
          </w:tcPr>
          <w:p w14:paraId="0029ACC7">
            <w:pPr>
              <w:tabs>
                <w:tab w:val="left" w:pos="1875"/>
              </w:tabs>
              <w:spacing w:line="360" w:lineRule="exac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技术部分（1</w:t>
            </w:r>
            <w:r>
              <w:rPr>
                <w:rFonts w:hint="eastAsia" w:ascii="Times New Roman" w:hAnsi="Times New Roman" w:cs="宋体"/>
                <w:color w:val="auto"/>
                <w:kern w:val="0"/>
                <w:sz w:val="21"/>
                <w:szCs w:val="21"/>
                <w:highlight w:val="none"/>
                <w:lang w:val="en-US" w:eastAsia="zh-CN"/>
              </w:rPr>
              <w:t>3</w:t>
            </w:r>
            <w:r>
              <w:rPr>
                <w:rFonts w:hint="eastAsia" w:ascii="Times New Roman" w:hAnsi="Times New Roman" w:cs="宋体"/>
                <w:color w:val="auto"/>
                <w:kern w:val="0"/>
                <w:sz w:val="21"/>
                <w:szCs w:val="21"/>
                <w:highlight w:val="none"/>
              </w:rPr>
              <w:t>）</w:t>
            </w:r>
          </w:p>
        </w:tc>
        <w:tc>
          <w:tcPr>
            <w:tcW w:w="1033" w:type="dxa"/>
            <w:gridSpan w:val="2"/>
            <w:tcBorders>
              <w:top w:val="single" w:color="auto" w:sz="4" w:space="0"/>
              <w:left w:val="single" w:color="auto" w:sz="4" w:space="0"/>
              <w:bottom w:val="single" w:color="auto" w:sz="4" w:space="0"/>
              <w:right w:val="single" w:color="auto" w:sz="4" w:space="0"/>
            </w:tcBorders>
            <w:noWrap/>
            <w:vAlign w:val="center"/>
          </w:tcPr>
          <w:p w14:paraId="75E1CD4D">
            <w:pPr>
              <w:tabs>
                <w:tab w:val="left" w:pos="1875"/>
              </w:tabs>
              <w:spacing w:line="360" w:lineRule="exact"/>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人员配置（</w:t>
            </w:r>
            <w:r>
              <w:rPr>
                <w:rFonts w:hint="eastAsia" w:ascii="Times New Roman" w:hAnsi="Times New Roman" w:cs="宋体"/>
                <w:color w:val="auto"/>
                <w:kern w:val="0"/>
                <w:sz w:val="21"/>
                <w:szCs w:val="21"/>
                <w:highlight w:val="none"/>
                <w:lang w:val="en-US" w:eastAsia="zh-CN"/>
              </w:rPr>
              <w:t>10</w:t>
            </w:r>
            <w:r>
              <w:rPr>
                <w:rFonts w:hint="eastAsia" w:ascii="Times New Roman" w:hAnsi="Times New Roman" w:cs="宋体"/>
                <w:color w:val="auto"/>
                <w:kern w:val="0"/>
                <w:sz w:val="21"/>
                <w:szCs w:val="21"/>
                <w:highlight w:val="none"/>
              </w:rPr>
              <w:t>分）</w:t>
            </w:r>
          </w:p>
        </w:tc>
        <w:tc>
          <w:tcPr>
            <w:tcW w:w="5123" w:type="dxa"/>
            <w:tcBorders>
              <w:top w:val="single" w:color="auto" w:sz="4" w:space="0"/>
              <w:left w:val="single" w:color="auto" w:sz="4" w:space="0"/>
              <w:bottom w:val="single" w:color="auto" w:sz="4" w:space="0"/>
              <w:right w:val="single" w:color="auto" w:sz="4" w:space="0"/>
            </w:tcBorders>
            <w:noWrap/>
            <w:vAlign w:val="center"/>
          </w:tcPr>
          <w:p w14:paraId="5DF5ABEF">
            <w:pPr>
              <w:tabs>
                <w:tab w:val="left" w:pos="837"/>
              </w:tabs>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一、团队配置</w:t>
            </w:r>
          </w:p>
          <w:p w14:paraId="7E7CC0A1">
            <w:pPr>
              <w:tabs>
                <w:tab w:val="left" w:pos="837"/>
              </w:tabs>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1.参选人配备5人以上实施团队（含项目经理）的，在5个人的基础上，每多配1人得1分，本项最高3分。</w:t>
            </w:r>
          </w:p>
          <w:p w14:paraId="1065BF70">
            <w:pPr>
              <w:tabs>
                <w:tab w:val="left" w:pos="837"/>
              </w:tabs>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2.除固定实施团队外，参选人配备应急调配人员的，每配1人得0.5分。本项最高2分。</w:t>
            </w:r>
          </w:p>
          <w:p w14:paraId="121AAF88">
            <w:pPr>
              <w:tabs>
                <w:tab w:val="left" w:pos="837"/>
              </w:tabs>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二、人员资质</w:t>
            </w:r>
          </w:p>
          <w:p w14:paraId="2A0DEC46">
            <w:pPr>
              <w:tabs>
                <w:tab w:val="left" w:pos="837"/>
              </w:tabs>
              <w:spacing w:line="360" w:lineRule="exact"/>
              <w:ind w:firstLine="0" w:firstLineChars="0"/>
              <w:jc w:val="left"/>
              <w:rPr>
                <w:rFonts w:hint="eastAsia"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项目组固定实施成员（含项目经理）提供以下任意一个证书得1分，同一人员最多得1分，本项最高得5分。</w:t>
            </w:r>
          </w:p>
          <w:p w14:paraId="7FB6CECD">
            <w:pPr>
              <w:tabs>
                <w:tab w:val="left" w:pos="837"/>
              </w:tabs>
              <w:spacing w:line="360" w:lineRule="exact"/>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证书：注册信息安全专业人员渗透测试工程师（CISP-PTE）证书、注册信息安全工程师(CISP)证书、信息安全保障人员认证(CISAW)证书。</w:t>
            </w:r>
          </w:p>
        </w:tc>
      </w:tr>
      <w:tr w14:paraId="0E94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14:paraId="7DD952FD">
            <w:pPr>
              <w:rPr>
                <w:color w:val="auto"/>
                <w:highlight w:val="none"/>
              </w:rPr>
            </w:pPr>
          </w:p>
        </w:tc>
        <w:tc>
          <w:tcPr>
            <w:tcW w:w="655" w:type="dxa"/>
            <w:vMerge w:val="continue"/>
            <w:tcBorders>
              <w:top w:val="single" w:color="auto" w:sz="4" w:space="0"/>
              <w:left w:val="single" w:color="auto" w:sz="4" w:space="0"/>
              <w:bottom w:val="single" w:color="auto" w:sz="4" w:space="0"/>
              <w:right w:val="single" w:color="auto" w:sz="4" w:space="0"/>
            </w:tcBorders>
            <w:noWrap/>
            <w:vAlign w:val="center"/>
          </w:tcPr>
          <w:p w14:paraId="0CF96521">
            <w:pPr>
              <w:rPr>
                <w:color w:val="auto"/>
                <w:highlight w:val="none"/>
              </w:rPr>
            </w:pPr>
          </w:p>
        </w:tc>
        <w:tc>
          <w:tcPr>
            <w:tcW w:w="1044"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72EE29B8">
            <w:pPr>
              <w:rPr>
                <w:color w:val="auto"/>
                <w:highlight w:val="none"/>
              </w:rPr>
            </w:pPr>
          </w:p>
        </w:tc>
        <w:tc>
          <w:tcPr>
            <w:tcW w:w="789" w:type="dxa"/>
            <w:vMerge w:val="continue"/>
            <w:tcBorders>
              <w:top w:val="single" w:color="auto" w:sz="4" w:space="0"/>
              <w:left w:val="single" w:color="auto" w:sz="4" w:space="0"/>
              <w:bottom w:val="single" w:color="auto" w:sz="4" w:space="0"/>
              <w:right w:val="single" w:color="auto" w:sz="4" w:space="0"/>
            </w:tcBorders>
            <w:noWrap/>
            <w:vAlign w:val="center"/>
          </w:tcPr>
          <w:p w14:paraId="350548DB">
            <w:pPr>
              <w:rPr>
                <w:color w:val="auto"/>
                <w:highlight w:val="none"/>
              </w:rPr>
            </w:pPr>
          </w:p>
        </w:tc>
        <w:tc>
          <w:tcPr>
            <w:tcW w:w="1033" w:type="dxa"/>
            <w:gridSpan w:val="2"/>
            <w:tcBorders>
              <w:top w:val="single" w:color="auto" w:sz="4" w:space="0"/>
              <w:left w:val="single" w:color="auto" w:sz="4" w:space="0"/>
              <w:bottom w:val="single" w:color="auto" w:sz="4" w:space="0"/>
              <w:right w:val="single" w:color="auto" w:sz="4" w:space="0"/>
            </w:tcBorders>
            <w:noWrap/>
            <w:vAlign w:val="center"/>
          </w:tcPr>
          <w:p w14:paraId="12588E1B">
            <w:pPr>
              <w:tabs>
                <w:tab w:val="left" w:pos="1875"/>
              </w:tabs>
              <w:spacing w:line="360" w:lineRule="exact"/>
              <w:ind w:firstLine="0" w:firstLineChars="0"/>
              <w:jc w:val="both"/>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lang w:val="en-US" w:eastAsia="zh-CN"/>
              </w:rPr>
              <w:t>服务承诺</w:t>
            </w:r>
            <w:r>
              <w:rPr>
                <w:rFonts w:hint="eastAsia" w:ascii="Times New Roman" w:hAnsi="Times New Roman" w:cs="宋体"/>
                <w:color w:val="auto"/>
                <w:kern w:val="0"/>
                <w:sz w:val="21"/>
                <w:szCs w:val="21"/>
                <w:highlight w:val="none"/>
              </w:rPr>
              <w:t>（</w:t>
            </w:r>
            <w:r>
              <w:rPr>
                <w:rFonts w:hint="eastAsia" w:ascii="Times New Roman" w:hAnsi="Times New Roman" w:cs="宋体"/>
                <w:color w:val="auto"/>
                <w:kern w:val="0"/>
                <w:sz w:val="21"/>
                <w:szCs w:val="21"/>
                <w:highlight w:val="none"/>
                <w:lang w:val="en-US" w:eastAsia="zh-CN"/>
              </w:rPr>
              <w:t>3</w:t>
            </w:r>
            <w:r>
              <w:rPr>
                <w:rFonts w:hint="eastAsia" w:ascii="Times New Roman" w:hAnsi="Times New Roman" w:cs="宋体"/>
                <w:color w:val="auto"/>
                <w:kern w:val="0"/>
                <w:sz w:val="21"/>
                <w:szCs w:val="21"/>
                <w:highlight w:val="none"/>
              </w:rPr>
              <w:t>分）</w:t>
            </w:r>
          </w:p>
        </w:tc>
        <w:tc>
          <w:tcPr>
            <w:tcW w:w="5123" w:type="dxa"/>
            <w:tcBorders>
              <w:top w:val="single" w:color="auto" w:sz="4" w:space="0"/>
              <w:left w:val="single" w:color="auto" w:sz="4" w:space="0"/>
              <w:bottom w:val="single" w:color="auto" w:sz="4" w:space="0"/>
              <w:right w:val="single" w:color="auto" w:sz="4" w:space="0"/>
            </w:tcBorders>
            <w:noWrap/>
            <w:vAlign w:val="center"/>
          </w:tcPr>
          <w:p w14:paraId="35F29FE1">
            <w:pPr>
              <w:spacing w:line="360" w:lineRule="exact"/>
              <w:ind w:firstLine="0" w:firstLineChars="0"/>
              <w:jc w:val="left"/>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服务期内，可承诺根据比选人需求协助比选人开展网络资产测绘工作，以尽量发现安全隐患，降低安全风险。</w:t>
            </w:r>
          </w:p>
        </w:tc>
      </w:tr>
      <w:tr w14:paraId="0334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14:paraId="76B53775">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077" w:type="dxa"/>
            <w:gridSpan w:val="2"/>
            <w:tcBorders>
              <w:top w:val="single" w:color="auto" w:sz="4" w:space="0"/>
              <w:left w:val="single" w:color="auto" w:sz="4" w:space="0"/>
              <w:bottom w:val="single" w:color="auto" w:sz="4" w:space="0"/>
              <w:right w:val="single" w:color="auto" w:sz="4" w:space="0"/>
            </w:tcBorders>
            <w:noWrap/>
            <w:vAlign w:val="center"/>
          </w:tcPr>
          <w:p w14:paraId="0DE9294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567" w:type="dxa"/>
            <w:gridSpan w:val="5"/>
            <w:tcBorders>
              <w:top w:val="single" w:color="auto" w:sz="4" w:space="0"/>
              <w:left w:val="single" w:color="auto" w:sz="4" w:space="0"/>
              <w:bottom w:val="single" w:color="auto" w:sz="4" w:space="0"/>
              <w:right w:val="single" w:color="auto" w:sz="4" w:space="0"/>
            </w:tcBorders>
            <w:noWrap/>
          </w:tcPr>
          <w:p w14:paraId="4A9EFAEF">
            <w:pPr>
              <w:spacing w:line="40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1.评审委员会在初步评审前，按本章第3.1.3项的规定对参选报价有算术性错误的进行算术性错误修正。</w:t>
            </w:r>
          </w:p>
          <w:p w14:paraId="74B59F34">
            <w:pPr>
              <w:spacing w:line="40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2.评审委员会对参选文件进行初步评审。</w:t>
            </w:r>
          </w:p>
          <w:p w14:paraId="7346923C">
            <w:pPr>
              <w:spacing w:line="400" w:lineRule="exact"/>
              <w:ind w:firstLine="0" w:firstLineChars="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3.评审委员会对初步评审合格的参选文件进行详细评审，主观评审部分由各专家独立评审打分，最后取平均得分，保留2位小数。</w:t>
            </w:r>
          </w:p>
          <w:p w14:paraId="6E4E75C0">
            <w:pPr>
              <w:spacing w:line="360" w:lineRule="auto"/>
              <w:ind w:firstLine="0" w:firstLineChars="0"/>
              <w:jc w:val="left"/>
              <w:rPr>
                <w:rFonts w:ascii="Times New Roman" w:hAnsi="Times New Roman" w:cs="宋体"/>
                <w:color w:val="auto"/>
                <w:sz w:val="21"/>
                <w:szCs w:val="21"/>
                <w:highlight w:val="none"/>
              </w:rPr>
            </w:pPr>
            <w:r>
              <w:rPr>
                <w:rFonts w:hint="default" w:ascii="Times New Roman" w:hAnsi="Times New Roman" w:cs="Times New Roman"/>
                <w:color w:val="auto"/>
                <w:sz w:val="21"/>
                <w:szCs w:val="21"/>
                <w:highlight w:val="none"/>
              </w:rPr>
              <w:t>4.评审委员会汇总详细评审得分，根据详细评审得分由高至低进行排序，推荐1-3家合格的中选候选人。并依次为第一、二、三中选候选人。</w:t>
            </w:r>
          </w:p>
        </w:tc>
      </w:tr>
      <w:tr w14:paraId="7FB1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897" w:type="dxa"/>
            <w:gridSpan w:val="3"/>
            <w:tcBorders>
              <w:top w:val="single" w:color="auto" w:sz="4" w:space="0"/>
              <w:left w:val="single" w:color="auto" w:sz="4" w:space="0"/>
              <w:bottom w:val="single" w:color="auto" w:sz="4" w:space="0"/>
              <w:right w:val="single" w:color="auto" w:sz="4" w:space="0"/>
            </w:tcBorders>
            <w:noWrap/>
            <w:vAlign w:val="center"/>
          </w:tcPr>
          <w:p w14:paraId="4051324D">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3.2.3</w:t>
            </w:r>
          </w:p>
        </w:tc>
        <w:tc>
          <w:tcPr>
            <w:tcW w:w="1916" w:type="dxa"/>
            <w:gridSpan w:val="3"/>
            <w:tcBorders>
              <w:top w:val="single" w:color="auto" w:sz="4" w:space="0"/>
              <w:left w:val="single" w:color="auto" w:sz="4" w:space="0"/>
              <w:bottom w:val="single" w:color="auto" w:sz="4" w:space="0"/>
              <w:right w:val="single" w:color="auto" w:sz="4" w:space="0"/>
            </w:tcBorders>
            <w:noWrap/>
            <w:vAlign w:val="center"/>
          </w:tcPr>
          <w:p w14:paraId="5B59DF2A">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w:t>
            </w:r>
          </w:p>
        </w:tc>
        <w:tc>
          <w:tcPr>
            <w:tcW w:w="5651" w:type="dxa"/>
            <w:gridSpan w:val="2"/>
            <w:tcBorders>
              <w:top w:val="single" w:color="auto" w:sz="4" w:space="0"/>
              <w:left w:val="single" w:color="auto" w:sz="4" w:space="0"/>
              <w:bottom w:val="single" w:color="auto" w:sz="4" w:space="0"/>
              <w:right w:val="single" w:color="auto" w:sz="4" w:space="0"/>
            </w:tcBorders>
            <w:noWrap/>
            <w:vAlign w:val="center"/>
          </w:tcPr>
          <w:p w14:paraId="57B8787C">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参选人得分=商务部分得分+技术部分得分</w:t>
            </w:r>
          </w:p>
        </w:tc>
      </w:tr>
      <w:bookmarkEnd w:id="72"/>
    </w:tbl>
    <w:p w14:paraId="4D0CFC05">
      <w:pPr>
        <w:rPr>
          <w:rFonts w:ascii="Times New Roman" w:hAnsi="Times New Roman" w:cs="宋体"/>
          <w:snapToGrid w:val="0"/>
          <w:color w:val="auto"/>
          <w:sz w:val="21"/>
          <w:szCs w:val="21"/>
          <w:highlight w:val="none"/>
        </w:rPr>
      </w:pPr>
      <w:bookmarkStart w:id="73" w:name="_Toc636"/>
      <w:bookmarkStart w:id="74" w:name="_Toc21111"/>
      <w:r>
        <w:rPr>
          <w:rFonts w:hint="eastAsia" w:ascii="Times New Roman" w:hAnsi="Times New Roman" w:cs="宋体"/>
          <w:snapToGrid w:val="0"/>
          <w:color w:val="auto"/>
          <w:sz w:val="21"/>
          <w:szCs w:val="21"/>
          <w:highlight w:val="none"/>
        </w:rPr>
        <w:br w:type="page"/>
      </w:r>
    </w:p>
    <w:p w14:paraId="0796D60B">
      <w:pPr>
        <w:pStyle w:val="3"/>
        <w:rPr>
          <w:rFonts w:ascii="Times New Roman" w:hAnsi="Times New Roman"/>
          <w:color w:val="auto"/>
          <w:highlight w:val="none"/>
        </w:rPr>
      </w:pPr>
      <w:bookmarkStart w:id="75" w:name="_Toc18283"/>
      <w:bookmarkStart w:id="76" w:name="_Toc27234"/>
      <w:bookmarkStart w:id="77" w:name="_Toc28684"/>
      <w:r>
        <w:rPr>
          <w:rFonts w:hint="eastAsia" w:ascii="Times New Roman" w:hAnsi="Times New Roman"/>
          <w:color w:val="auto"/>
          <w:highlight w:val="none"/>
        </w:rPr>
        <w:t>1. 评审方法</w:t>
      </w:r>
      <w:bookmarkEnd w:id="73"/>
      <w:bookmarkEnd w:id="74"/>
      <w:bookmarkEnd w:id="75"/>
      <w:bookmarkEnd w:id="76"/>
      <w:bookmarkEnd w:id="77"/>
    </w:p>
    <w:p w14:paraId="10A3C3B5">
      <w:pPr>
        <w:rPr>
          <w:rFonts w:ascii="Times New Roman" w:hAnsi="Times New Roman"/>
          <w:color w:val="auto"/>
          <w:highlight w:val="none"/>
        </w:rPr>
      </w:pPr>
      <w:bookmarkStart w:id="78" w:name="_Toc200513199"/>
      <w:bookmarkStart w:id="79" w:name="_Toc376114120"/>
      <w:bookmarkStart w:id="80" w:name="_Toc287607813"/>
      <w:bookmarkStart w:id="81" w:name="_Toc224103385"/>
      <w:bookmarkStart w:id="82" w:name="_Toc377115419"/>
      <w:bookmarkStart w:id="83" w:name="_Toc440022827"/>
      <w:bookmarkStart w:id="84" w:name="_Toc377067339"/>
      <w:bookmarkStart w:id="85" w:name="_Toc277082619"/>
      <w:bookmarkStart w:id="86" w:name="_Toc407195379"/>
      <w:bookmarkStart w:id="87" w:name="_Toc330569206"/>
      <w:bookmarkStart w:id="88" w:name="_Toc287620752"/>
      <w:r>
        <w:rPr>
          <w:rFonts w:hint="eastAsia" w:ascii="Times New Roman" w:hAnsi="Times New Roman"/>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1058E237">
      <w:pPr>
        <w:pStyle w:val="3"/>
        <w:rPr>
          <w:rFonts w:ascii="Times New Roman" w:hAnsi="Times New Roman"/>
          <w:color w:val="auto"/>
          <w:highlight w:val="none"/>
        </w:rPr>
      </w:pPr>
      <w:bookmarkStart w:id="89" w:name="_Toc5950"/>
      <w:bookmarkStart w:id="90" w:name="_Toc2274"/>
      <w:bookmarkStart w:id="91" w:name="_Toc765"/>
      <w:bookmarkStart w:id="92" w:name="_Toc444155968"/>
      <w:bookmarkStart w:id="93" w:name="_Toc31615"/>
      <w:bookmarkStart w:id="94" w:name="_Toc16716"/>
      <w:bookmarkStart w:id="95" w:name="_Toc27931"/>
      <w:bookmarkStart w:id="96" w:name="_Toc27406"/>
      <w:bookmarkStart w:id="97" w:name="_Toc23969"/>
      <w:r>
        <w:rPr>
          <w:rFonts w:hint="eastAsia" w:ascii="Times New Roman" w:hAnsi="Times New Roman"/>
          <w:color w:val="auto"/>
          <w:highlight w:val="none"/>
        </w:rPr>
        <w:t>2. 评审标准</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7D42D389">
      <w:pPr>
        <w:pStyle w:val="4"/>
        <w:rPr>
          <w:rFonts w:ascii="Times New Roman" w:hAnsi="Times New Roman"/>
          <w:color w:val="auto"/>
          <w:highlight w:val="none"/>
        </w:rPr>
      </w:pPr>
      <w:bookmarkStart w:id="98" w:name="_Toc330569207"/>
      <w:bookmarkStart w:id="99" w:name="_Toc23425"/>
      <w:bookmarkStart w:id="100" w:name="_Toc1358"/>
      <w:bookmarkStart w:id="101" w:name="_Toc440022828"/>
      <w:bookmarkStart w:id="102" w:name="_Toc377067340"/>
      <w:bookmarkStart w:id="103" w:name="_Toc277082620"/>
      <w:bookmarkStart w:id="104" w:name="_Toc377115420"/>
      <w:bookmarkStart w:id="105" w:name="_Toc224103386"/>
      <w:bookmarkStart w:id="106" w:name="_Toc287620753"/>
      <w:bookmarkStart w:id="107" w:name="_Toc200513200"/>
      <w:bookmarkStart w:id="108" w:name="_Toc287607814"/>
      <w:bookmarkStart w:id="109" w:name="_Toc10533"/>
      <w:bookmarkStart w:id="110" w:name="_Toc376114121"/>
      <w:bookmarkStart w:id="111" w:name="_Toc16537"/>
      <w:bookmarkStart w:id="112" w:name="_Toc407195380"/>
      <w:bookmarkStart w:id="113" w:name="_Toc21593"/>
      <w:bookmarkStart w:id="114" w:name="_Toc7584"/>
      <w:bookmarkStart w:id="115" w:name="_Toc444155969"/>
      <w:bookmarkStart w:id="116" w:name="_Toc11839"/>
      <w:r>
        <w:rPr>
          <w:rFonts w:hint="eastAsia" w:ascii="Times New Roman" w:hAnsi="Times New Roman"/>
          <w:color w:val="auto"/>
          <w:highlight w:val="none"/>
        </w:rPr>
        <w:t>2.1 初步评审标准</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DF4EFC3">
      <w:pPr>
        <w:rPr>
          <w:rFonts w:ascii="Times New Roman" w:hAnsi="Times New Roman"/>
          <w:color w:val="auto"/>
          <w:highlight w:val="none"/>
        </w:rPr>
      </w:pPr>
      <w:r>
        <w:rPr>
          <w:rFonts w:hint="eastAsia" w:ascii="Times New Roman" w:hAnsi="Times New Roman"/>
          <w:color w:val="auto"/>
          <w:highlight w:val="none"/>
        </w:rPr>
        <w:t>2.1.1 资格评审标准：见评审办法前附表。</w:t>
      </w:r>
    </w:p>
    <w:p w14:paraId="0F08BE67">
      <w:pPr>
        <w:rPr>
          <w:rFonts w:ascii="Times New Roman" w:hAnsi="Times New Roman"/>
          <w:color w:val="auto"/>
          <w:highlight w:val="none"/>
        </w:rPr>
      </w:pPr>
      <w:r>
        <w:rPr>
          <w:rFonts w:hint="eastAsia" w:ascii="Times New Roman" w:hAnsi="Times New Roman"/>
          <w:color w:val="auto"/>
          <w:highlight w:val="none"/>
        </w:rPr>
        <w:t>2.1.2 形式评审标准：见评审办法前附表。</w:t>
      </w:r>
    </w:p>
    <w:p w14:paraId="6280C56E">
      <w:pPr>
        <w:rPr>
          <w:rFonts w:ascii="Times New Roman" w:hAnsi="Times New Roman"/>
          <w:color w:val="auto"/>
          <w:highlight w:val="none"/>
        </w:rPr>
      </w:pPr>
      <w:r>
        <w:rPr>
          <w:rFonts w:hint="eastAsia" w:ascii="Times New Roman" w:hAnsi="Times New Roman"/>
          <w:color w:val="auto"/>
          <w:highlight w:val="none"/>
        </w:rPr>
        <w:t>2.1.3 响应性评审标准：见评审办法前附表。</w:t>
      </w:r>
    </w:p>
    <w:p w14:paraId="30C80882">
      <w:pPr>
        <w:pStyle w:val="4"/>
        <w:rPr>
          <w:rFonts w:ascii="Times New Roman" w:hAnsi="Times New Roman"/>
          <w:color w:val="auto"/>
          <w:highlight w:val="none"/>
        </w:rPr>
      </w:pPr>
      <w:bookmarkStart w:id="117" w:name="_Toc287607815"/>
      <w:bookmarkStart w:id="118" w:name="_Toc2340"/>
      <w:bookmarkStart w:id="119" w:name="_Toc407195381"/>
      <w:bookmarkStart w:id="120" w:name="_Toc6503"/>
      <w:bookmarkStart w:id="121" w:name="_Toc20840"/>
      <w:bookmarkStart w:id="122" w:name="_Toc25129"/>
      <w:bookmarkStart w:id="123" w:name="_Toc224103387"/>
      <w:bookmarkStart w:id="124" w:name="_Toc377115421"/>
      <w:bookmarkStart w:id="125" w:name="_Toc9090"/>
      <w:bookmarkStart w:id="126" w:name="_Toc376114122"/>
      <w:bookmarkStart w:id="127" w:name="_Toc200513201"/>
      <w:bookmarkStart w:id="128" w:name="_Toc23296"/>
      <w:bookmarkStart w:id="129" w:name="_Toc330569208"/>
      <w:bookmarkStart w:id="130" w:name="_Toc287620754"/>
      <w:bookmarkStart w:id="131" w:name="_Toc277082621"/>
      <w:bookmarkStart w:id="132" w:name="_Toc444155970"/>
      <w:bookmarkStart w:id="133" w:name="_Toc1387"/>
      <w:bookmarkStart w:id="134" w:name="_Toc440022829"/>
      <w:bookmarkStart w:id="135" w:name="_Toc377067341"/>
      <w:r>
        <w:rPr>
          <w:rFonts w:hint="eastAsia" w:ascii="Times New Roman" w:hAnsi="Times New Roman"/>
          <w:color w:val="auto"/>
          <w:highlight w:val="none"/>
        </w:rPr>
        <w:t>2.2 分值构成与评分标准</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C1BC21E">
      <w:pPr>
        <w:rPr>
          <w:rFonts w:ascii="Times New Roman" w:hAnsi="Times New Roman"/>
          <w:color w:val="auto"/>
          <w:highlight w:val="none"/>
        </w:rPr>
      </w:pPr>
      <w:r>
        <w:rPr>
          <w:rFonts w:hint="eastAsia" w:ascii="Times New Roman" w:hAnsi="Times New Roman"/>
          <w:color w:val="auto"/>
          <w:highlight w:val="none"/>
        </w:rPr>
        <w:t xml:space="preserve">2.2.1 分值构成：见评审办法前附表。 </w:t>
      </w:r>
    </w:p>
    <w:p w14:paraId="3E519634">
      <w:pPr>
        <w:rPr>
          <w:rFonts w:ascii="Times New Roman" w:hAnsi="Times New Roman"/>
          <w:color w:val="auto"/>
          <w:highlight w:val="none"/>
        </w:rPr>
      </w:pPr>
      <w:r>
        <w:rPr>
          <w:rFonts w:hint="eastAsia" w:ascii="Times New Roman" w:hAnsi="Times New Roman"/>
          <w:color w:val="auto"/>
          <w:highlight w:val="none"/>
        </w:rPr>
        <w:t>2.2.2 评审基准价计算方法：见评审办法前附表。</w:t>
      </w:r>
    </w:p>
    <w:p w14:paraId="4891520A">
      <w:pPr>
        <w:rPr>
          <w:rFonts w:ascii="Times New Roman" w:hAnsi="Times New Roman"/>
          <w:color w:val="auto"/>
          <w:highlight w:val="none"/>
        </w:rPr>
      </w:pPr>
      <w:r>
        <w:rPr>
          <w:rFonts w:hint="eastAsia" w:ascii="Times New Roman" w:hAnsi="Times New Roman"/>
          <w:color w:val="auto"/>
          <w:highlight w:val="none"/>
        </w:rPr>
        <w:t>2.2.3 评分标准：</w:t>
      </w:r>
    </w:p>
    <w:p w14:paraId="553900A5">
      <w:pPr>
        <w:rPr>
          <w:rFonts w:ascii="Times New Roman" w:hAnsi="Times New Roman"/>
          <w:color w:val="auto"/>
          <w:highlight w:val="none"/>
        </w:rPr>
      </w:pPr>
      <w:r>
        <w:rPr>
          <w:rFonts w:hint="eastAsia" w:ascii="Times New Roman" w:hAnsi="Times New Roman"/>
          <w:color w:val="auto"/>
          <w:highlight w:val="none"/>
        </w:rPr>
        <w:t>（1）参选报价评分标准：见评审办法前附表；</w:t>
      </w:r>
    </w:p>
    <w:p w14:paraId="5575546A">
      <w:pPr>
        <w:rPr>
          <w:rFonts w:ascii="Times New Roman" w:hAnsi="Times New Roman"/>
          <w:color w:val="auto"/>
          <w:highlight w:val="none"/>
        </w:rPr>
      </w:pPr>
      <w:r>
        <w:rPr>
          <w:rFonts w:hint="eastAsia" w:ascii="Times New Roman" w:hAnsi="Times New Roman"/>
          <w:color w:val="auto"/>
          <w:highlight w:val="none"/>
        </w:rPr>
        <w:t>（2）商务部分</w:t>
      </w:r>
      <w:r>
        <w:rPr>
          <w:rFonts w:ascii="Times New Roman" w:hAnsi="Times New Roman"/>
          <w:color w:val="auto"/>
          <w:highlight w:val="none"/>
        </w:rPr>
        <w:t>和技术部分</w:t>
      </w:r>
      <w:r>
        <w:rPr>
          <w:rFonts w:hint="eastAsia" w:ascii="Times New Roman" w:hAnsi="Times New Roman"/>
          <w:color w:val="auto"/>
          <w:highlight w:val="none"/>
        </w:rPr>
        <w:t>评分标准：见评审办法前附表；</w:t>
      </w:r>
    </w:p>
    <w:p w14:paraId="6C65D4A2">
      <w:pPr>
        <w:pStyle w:val="3"/>
        <w:rPr>
          <w:rFonts w:ascii="Times New Roman" w:hAnsi="Times New Roman"/>
          <w:color w:val="auto"/>
          <w:highlight w:val="none"/>
        </w:rPr>
      </w:pPr>
      <w:bookmarkStart w:id="136" w:name="_Toc12538"/>
      <w:bookmarkStart w:id="137" w:name="_Toc330569209"/>
      <w:bookmarkStart w:id="138" w:name="_Toc8004"/>
      <w:bookmarkStart w:id="139" w:name="_Toc376114123"/>
      <w:bookmarkStart w:id="140" w:name="_Toc5546"/>
      <w:bookmarkStart w:id="141" w:name="_Toc407195382"/>
      <w:bookmarkStart w:id="142" w:name="_Toc23633"/>
      <w:bookmarkStart w:id="143" w:name="_Toc224103388"/>
      <w:bookmarkStart w:id="144" w:name="_Toc9488"/>
      <w:bookmarkStart w:id="145" w:name="_Toc14353"/>
      <w:bookmarkStart w:id="146" w:name="_Toc200513202"/>
      <w:bookmarkStart w:id="147" w:name="_Toc15132"/>
      <w:bookmarkStart w:id="148" w:name="_Toc287607816"/>
      <w:bookmarkStart w:id="149" w:name="_Toc377115422"/>
      <w:bookmarkStart w:id="150" w:name="_Toc444155971"/>
      <w:bookmarkStart w:id="151" w:name="_Toc277082622"/>
      <w:bookmarkStart w:id="152" w:name="_Toc377067342"/>
      <w:bookmarkStart w:id="153" w:name="_Toc440022830"/>
      <w:bookmarkStart w:id="154" w:name="_Toc287620755"/>
      <w:bookmarkStart w:id="155" w:name="_Toc2982"/>
      <w:r>
        <w:rPr>
          <w:rFonts w:hint="eastAsia" w:ascii="Times New Roman" w:hAnsi="Times New Roman"/>
          <w:color w:val="auto"/>
          <w:highlight w:val="none"/>
        </w:rPr>
        <w:t>3. 评审程序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5FA8E21">
      <w:pPr>
        <w:pStyle w:val="4"/>
        <w:rPr>
          <w:rFonts w:ascii="Times New Roman" w:hAnsi="Times New Roman"/>
          <w:color w:val="auto"/>
          <w:highlight w:val="none"/>
        </w:rPr>
      </w:pPr>
      <w:bookmarkStart w:id="156" w:name="_Toc19840"/>
      <w:bookmarkStart w:id="157" w:name="_Toc377067343"/>
      <w:bookmarkStart w:id="158" w:name="_Toc287620756"/>
      <w:bookmarkStart w:id="159" w:name="_Toc224103389"/>
      <w:bookmarkStart w:id="160" w:name="_Toc5462"/>
      <w:bookmarkStart w:id="161" w:name="_Toc13851"/>
      <w:bookmarkStart w:id="162" w:name="_Toc444155972"/>
      <w:bookmarkStart w:id="163" w:name="_Toc32002"/>
      <w:bookmarkStart w:id="164" w:name="_Toc377115423"/>
      <w:bookmarkStart w:id="165" w:name="_Toc407195383"/>
      <w:bookmarkStart w:id="166" w:name="_Toc277082623"/>
      <w:bookmarkStart w:id="167" w:name="_Toc376114124"/>
      <w:bookmarkStart w:id="168" w:name="_Toc287607817"/>
      <w:bookmarkStart w:id="169" w:name="_Toc200513203"/>
      <w:bookmarkStart w:id="170" w:name="_Toc6448"/>
      <w:bookmarkStart w:id="171" w:name="_Toc22279"/>
      <w:bookmarkStart w:id="172" w:name="_Toc9683"/>
      <w:bookmarkStart w:id="173" w:name="_Toc330569210"/>
      <w:bookmarkStart w:id="174" w:name="_Toc440022831"/>
      <w:r>
        <w:rPr>
          <w:rFonts w:hint="eastAsia" w:ascii="Times New Roman" w:hAnsi="Times New Roman"/>
          <w:color w:val="auto"/>
          <w:highlight w:val="none"/>
        </w:rPr>
        <w:t>3.1 初步评审</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41BC257">
      <w:pPr>
        <w:rPr>
          <w:rFonts w:ascii="Times New Roman" w:hAnsi="Times New Roman"/>
          <w:color w:val="auto"/>
          <w:highlight w:val="none"/>
        </w:rPr>
      </w:pPr>
      <w:bookmarkStart w:id="175" w:name="_Toc332028970"/>
      <w:bookmarkStart w:id="176" w:name="_Toc376114125"/>
      <w:bookmarkStart w:id="177" w:name="_Toc373172234"/>
      <w:bookmarkStart w:id="178" w:name="_Toc440022832"/>
      <w:bookmarkStart w:id="179" w:name="_Toc27164"/>
      <w:bookmarkStart w:id="180" w:name="_Toc332015984"/>
      <w:bookmarkStart w:id="181" w:name="_Toc407195384"/>
      <w:bookmarkStart w:id="182" w:name="_Toc354387014"/>
      <w:bookmarkStart w:id="183" w:name="_Toc356484119"/>
      <w:bookmarkStart w:id="184" w:name="_Toc331232649"/>
      <w:bookmarkStart w:id="185" w:name="_Toc331232467"/>
      <w:bookmarkStart w:id="186" w:name="_Toc330569211"/>
      <w:bookmarkStart w:id="187" w:name="_Toc444155973"/>
      <w:bookmarkStart w:id="188" w:name="_Toc377115424"/>
      <w:bookmarkStart w:id="189" w:name="_Toc356243677"/>
      <w:bookmarkStart w:id="190" w:name="_Toc373264792"/>
      <w:bookmarkStart w:id="191" w:name="_Toc377067344"/>
      <w:bookmarkStart w:id="192" w:name="_Toc334002333"/>
      <w:bookmarkStart w:id="193" w:name="_Toc332380970"/>
      <w:r>
        <w:rPr>
          <w:rFonts w:hint="eastAsia" w:ascii="Times New Roman" w:hAnsi="Times New Roman"/>
          <w:color w:val="auto"/>
          <w:highlight w:val="none"/>
        </w:rPr>
        <w:t>3.1.1 评审委员会依据本章第2.1 条规定的标准对参选文件进行初步评审。有一项不符合评审标准的，作否决参选处理。</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6F8E1EF">
      <w:pPr>
        <w:rPr>
          <w:rFonts w:ascii="Times New Roman" w:hAnsi="Times New Roman"/>
          <w:color w:val="auto"/>
          <w:highlight w:val="none"/>
        </w:rPr>
      </w:pPr>
      <w:r>
        <w:rPr>
          <w:rFonts w:hint="eastAsia" w:ascii="Times New Roman" w:hAnsi="Times New Roman"/>
          <w:color w:val="auto"/>
          <w:highlight w:val="none"/>
        </w:rPr>
        <w:t>3.1.2 参选人有以下情形之一的，其参选作否决参选处理：</w:t>
      </w:r>
    </w:p>
    <w:p w14:paraId="4F0995E6">
      <w:pPr>
        <w:rPr>
          <w:rFonts w:ascii="Times New Roman" w:hAnsi="Times New Roman"/>
          <w:color w:val="auto"/>
          <w:highlight w:val="none"/>
        </w:rPr>
      </w:pPr>
      <w:r>
        <w:rPr>
          <w:rFonts w:hint="eastAsia" w:ascii="Times New Roman" w:hAnsi="Times New Roman"/>
          <w:color w:val="auto"/>
          <w:highlight w:val="none"/>
        </w:rPr>
        <w:t>3.1.2.1 有第二章“参选人须知”第9.条以及第11. 条规定的任何一种情形的；</w:t>
      </w:r>
    </w:p>
    <w:p w14:paraId="536CF774">
      <w:pPr>
        <w:rPr>
          <w:rFonts w:ascii="Times New Roman" w:hAnsi="Times New Roman"/>
          <w:color w:val="auto"/>
          <w:highlight w:val="none"/>
        </w:rPr>
      </w:pPr>
      <w:r>
        <w:rPr>
          <w:rFonts w:hint="eastAsia" w:ascii="Times New Roman" w:hAnsi="Times New Roman"/>
          <w:color w:val="auto"/>
          <w:highlight w:val="none"/>
        </w:rPr>
        <w:t>3.1.2.2 有串通参选、弄虚作假等其他违反相关法律、法规行为的；</w:t>
      </w:r>
    </w:p>
    <w:p w14:paraId="7B07D9DF">
      <w:pPr>
        <w:rPr>
          <w:rFonts w:ascii="Times New Roman" w:hAnsi="Times New Roman"/>
          <w:color w:val="auto"/>
          <w:highlight w:val="none"/>
        </w:rPr>
      </w:pPr>
      <w:r>
        <w:rPr>
          <w:rFonts w:hint="eastAsia" w:ascii="Times New Roman" w:hAnsi="Times New Roman"/>
          <w:color w:val="auto"/>
          <w:highlight w:val="none"/>
        </w:rPr>
        <w:t>3.1.2.3 不按评审委员会要求澄清、说明或补正的。</w:t>
      </w:r>
    </w:p>
    <w:p w14:paraId="698C0C8F">
      <w:pPr>
        <w:rPr>
          <w:rFonts w:ascii="Times New Roman" w:hAnsi="Times New Roman"/>
          <w:color w:val="auto"/>
          <w:highlight w:val="none"/>
        </w:rPr>
      </w:pPr>
      <w:r>
        <w:rPr>
          <w:rFonts w:hint="eastAsia" w:ascii="Times New Roman" w:hAnsi="Times New Roman"/>
          <w:color w:val="auto"/>
          <w:highlight w:val="none"/>
        </w:rPr>
        <w:t>3.1.2.4 本参选文件约定的其它情形。</w:t>
      </w:r>
    </w:p>
    <w:p w14:paraId="0E9EAA53">
      <w:pPr>
        <w:rPr>
          <w:rFonts w:ascii="Times New Roman" w:hAnsi="Times New Roman"/>
          <w:color w:val="auto"/>
          <w:highlight w:val="none"/>
        </w:rPr>
      </w:pPr>
      <w:r>
        <w:rPr>
          <w:rFonts w:hint="eastAsia" w:ascii="Times New Roman" w:hAnsi="Times New Roman"/>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35D9B33B">
      <w:pPr>
        <w:pStyle w:val="4"/>
        <w:rPr>
          <w:rFonts w:ascii="Times New Roman" w:hAnsi="Times New Roman"/>
          <w:color w:val="auto"/>
          <w:highlight w:val="none"/>
        </w:rPr>
      </w:pPr>
      <w:bookmarkStart w:id="194" w:name="_Toc22246"/>
      <w:bookmarkStart w:id="195" w:name="_Toc10847"/>
      <w:bookmarkStart w:id="196" w:name="_Toc377115425"/>
      <w:bookmarkStart w:id="197" w:name="_Toc444155974"/>
      <w:bookmarkStart w:id="198" w:name="_Toc7832"/>
      <w:bookmarkStart w:id="199" w:name="_Toc407195385"/>
      <w:bookmarkStart w:id="200" w:name="_Toc22848"/>
      <w:bookmarkStart w:id="201" w:name="_Toc29925"/>
      <w:bookmarkStart w:id="202" w:name="_Toc11246"/>
      <w:bookmarkStart w:id="203" w:name="_Toc330569212"/>
      <w:bookmarkStart w:id="204" w:name="_Toc224103390"/>
      <w:bookmarkStart w:id="205" w:name="_Toc19604"/>
      <w:bookmarkStart w:id="206" w:name="_Toc287607818"/>
      <w:bookmarkStart w:id="207" w:name="_Toc277082624"/>
      <w:bookmarkStart w:id="208" w:name="_Toc440022833"/>
      <w:bookmarkStart w:id="209" w:name="_Toc377067345"/>
      <w:bookmarkStart w:id="210" w:name="_Toc200513204"/>
      <w:bookmarkStart w:id="211" w:name="_Toc376114126"/>
      <w:bookmarkStart w:id="212" w:name="_Toc287620757"/>
      <w:r>
        <w:rPr>
          <w:rFonts w:hint="eastAsia" w:ascii="Times New Roman" w:hAnsi="Times New Roman"/>
          <w:color w:val="auto"/>
          <w:highlight w:val="none"/>
        </w:rPr>
        <w:t>3.2 详细评审</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0F046DA5">
      <w:pPr>
        <w:rPr>
          <w:rFonts w:ascii="Times New Roman" w:hAnsi="Times New Roman"/>
          <w:color w:val="auto"/>
          <w:highlight w:val="none"/>
        </w:rPr>
      </w:pPr>
      <w:r>
        <w:rPr>
          <w:rFonts w:hint="eastAsia" w:ascii="Times New Roman" w:hAnsi="Times New Roman"/>
          <w:color w:val="auto"/>
          <w:highlight w:val="none"/>
        </w:rPr>
        <w:t>3.2.1 评审委员会按本章第2.2 条规定的量化因素和分值进行打分，并计算出综合评估得分。</w:t>
      </w:r>
    </w:p>
    <w:p w14:paraId="2F98E118">
      <w:pPr>
        <w:rPr>
          <w:rFonts w:ascii="Times New Roman" w:hAnsi="Times New Roman"/>
          <w:color w:val="auto"/>
          <w:highlight w:val="none"/>
        </w:rPr>
      </w:pPr>
      <w:r>
        <w:rPr>
          <w:rFonts w:hint="eastAsia" w:ascii="Times New Roman" w:hAnsi="Times New Roman"/>
          <w:color w:val="auto"/>
          <w:highlight w:val="none"/>
        </w:rPr>
        <w:t>3.2.1.1 按本章第2.2 条规定的评审因素和分值对参选报价计算出得分；</w:t>
      </w:r>
    </w:p>
    <w:p w14:paraId="135D93AB">
      <w:pPr>
        <w:rPr>
          <w:rFonts w:ascii="Times New Roman" w:hAnsi="Times New Roman"/>
          <w:color w:val="auto"/>
          <w:highlight w:val="none"/>
        </w:rPr>
      </w:pPr>
      <w:r>
        <w:rPr>
          <w:rFonts w:hint="eastAsia" w:ascii="Times New Roman" w:hAnsi="Times New Roman"/>
          <w:color w:val="auto"/>
          <w:highlight w:val="none"/>
        </w:rPr>
        <w:t>3.2.1.2 按本章第2.2 条规定的评审因素和分值对商务部分</w:t>
      </w:r>
      <w:r>
        <w:rPr>
          <w:rFonts w:ascii="Times New Roman" w:hAnsi="Times New Roman"/>
          <w:color w:val="auto"/>
          <w:highlight w:val="none"/>
        </w:rPr>
        <w:t>和技术部分</w:t>
      </w:r>
      <w:r>
        <w:rPr>
          <w:rFonts w:hint="eastAsia" w:ascii="Times New Roman" w:hAnsi="Times New Roman"/>
          <w:color w:val="auto"/>
          <w:highlight w:val="none"/>
        </w:rPr>
        <w:t>计算出得分（评审委员会统一打分）；</w:t>
      </w:r>
    </w:p>
    <w:p w14:paraId="74B6DE55">
      <w:pPr>
        <w:rPr>
          <w:rFonts w:ascii="Times New Roman" w:hAnsi="Times New Roman"/>
          <w:color w:val="auto"/>
          <w:highlight w:val="none"/>
        </w:rPr>
      </w:pPr>
      <w:r>
        <w:rPr>
          <w:rFonts w:hint="eastAsia" w:ascii="Times New Roman" w:hAnsi="Times New Roman"/>
          <w:color w:val="auto"/>
          <w:highlight w:val="none"/>
        </w:rPr>
        <w:t>3.2.2 评分分值计算保留小数点后两位，小数点后第三位“四舍五入”。</w:t>
      </w:r>
    </w:p>
    <w:p w14:paraId="7E315148">
      <w:pPr>
        <w:rPr>
          <w:rFonts w:ascii="Times New Roman" w:hAnsi="Times New Roman"/>
          <w:color w:val="auto"/>
          <w:highlight w:val="none"/>
        </w:rPr>
      </w:pPr>
      <w:r>
        <w:rPr>
          <w:rFonts w:hint="eastAsia" w:ascii="Times New Roman" w:hAnsi="Times New Roman"/>
          <w:color w:val="auto"/>
          <w:highlight w:val="none"/>
        </w:rPr>
        <w:t>3.2.3 参选人得分=商务部分</w:t>
      </w:r>
      <w:r>
        <w:rPr>
          <w:rFonts w:ascii="Times New Roman" w:hAnsi="Times New Roman"/>
          <w:color w:val="auto"/>
          <w:highlight w:val="none"/>
        </w:rPr>
        <w:t>得分+技术部分</w:t>
      </w:r>
      <w:r>
        <w:rPr>
          <w:rFonts w:hint="eastAsia" w:ascii="Times New Roman" w:hAnsi="Times New Roman"/>
          <w:color w:val="auto"/>
          <w:highlight w:val="none"/>
        </w:rPr>
        <w:t>得分。</w:t>
      </w:r>
    </w:p>
    <w:p w14:paraId="48E1936B">
      <w:pPr>
        <w:pStyle w:val="4"/>
        <w:rPr>
          <w:rFonts w:ascii="Times New Roman" w:hAnsi="Times New Roman"/>
          <w:color w:val="auto"/>
          <w:highlight w:val="none"/>
        </w:rPr>
      </w:pPr>
      <w:bookmarkStart w:id="213" w:name="_Toc200513205"/>
      <w:bookmarkStart w:id="214" w:name="_Toc377115426"/>
      <w:bookmarkStart w:id="215" w:name="_Toc407195386"/>
      <w:bookmarkStart w:id="216" w:name="_Toc287607819"/>
      <w:bookmarkStart w:id="217" w:name="_Toc277082625"/>
      <w:bookmarkStart w:id="218" w:name="_Toc29261"/>
      <w:bookmarkStart w:id="219" w:name="_Toc330569213"/>
      <w:bookmarkStart w:id="220" w:name="_Toc224103391"/>
      <w:bookmarkStart w:id="221" w:name="_Toc1080"/>
      <w:bookmarkStart w:id="222" w:name="_Toc376114127"/>
      <w:bookmarkStart w:id="223" w:name="_Toc20948"/>
      <w:bookmarkStart w:id="224" w:name="_Toc440022834"/>
      <w:bookmarkStart w:id="225" w:name="_Toc287620758"/>
      <w:bookmarkStart w:id="226" w:name="_Toc18708"/>
      <w:bookmarkStart w:id="227" w:name="_Toc444155975"/>
      <w:bookmarkStart w:id="228" w:name="_Toc32039"/>
      <w:bookmarkStart w:id="229" w:name="_Toc7176"/>
      <w:bookmarkStart w:id="230" w:name="_Toc377067346"/>
      <w:bookmarkStart w:id="231" w:name="_Toc2542"/>
      <w:r>
        <w:rPr>
          <w:rFonts w:hint="eastAsia" w:ascii="Times New Roman" w:hAnsi="Times New Roman"/>
          <w:color w:val="auto"/>
          <w:highlight w:val="none"/>
        </w:rPr>
        <w:t>3.3 参选文件的澄清和补正</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3DC3907">
      <w:pPr>
        <w:rPr>
          <w:rFonts w:ascii="Times New Roman" w:hAnsi="Times New Roman"/>
          <w:color w:val="auto"/>
          <w:highlight w:val="none"/>
        </w:rPr>
      </w:pPr>
      <w:r>
        <w:rPr>
          <w:rFonts w:hint="eastAsia" w:ascii="Times New Roman" w:hAnsi="Times New Roman"/>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520FFEA6">
      <w:pPr>
        <w:rPr>
          <w:rFonts w:ascii="Times New Roman" w:hAnsi="Times New Roman"/>
          <w:color w:val="auto"/>
          <w:highlight w:val="none"/>
        </w:rPr>
      </w:pPr>
      <w:r>
        <w:rPr>
          <w:rFonts w:hint="eastAsia" w:ascii="Times New Roman" w:hAnsi="Times New Roman"/>
          <w:color w:val="auto"/>
          <w:highlight w:val="none"/>
        </w:rPr>
        <w:t>3.3.2 澄清、说明和补正不得改变参选文件的实质性内容（算术性错误修正的除外）。参选人的书面澄清、说明和补正属于参选文件的组成部分。</w:t>
      </w:r>
    </w:p>
    <w:p w14:paraId="7AA21692">
      <w:pPr>
        <w:rPr>
          <w:rFonts w:ascii="Times New Roman" w:hAnsi="Times New Roman"/>
          <w:color w:val="auto"/>
          <w:highlight w:val="none"/>
        </w:rPr>
      </w:pPr>
      <w:r>
        <w:rPr>
          <w:rFonts w:hint="eastAsia" w:ascii="Times New Roman" w:hAnsi="Times New Roman"/>
          <w:color w:val="auto"/>
          <w:highlight w:val="none"/>
        </w:rPr>
        <w:t>3.3.3 评审委员会对参选人提交的澄清、说明或补正有疑问的，可以要求参选人进一步澄清、说明或补正，直至满足评审委员会的要求。</w:t>
      </w:r>
    </w:p>
    <w:p w14:paraId="231CE553">
      <w:pPr>
        <w:pStyle w:val="4"/>
        <w:rPr>
          <w:rFonts w:ascii="Times New Roman" w:hAnsi="Times New Roman"/>
          <w:color w:val="auto"/>
          <w:highlight w:val="none"/>
        </w:rPr>
      </w:pPr>
      <w:bookmarkStart w:id="232" w:name="_Toc377067347"/>
      <w:bookmarkStart w:id="233" w:name="_Toc4814"/>
      <w:bookmarkStart w:id="234" w:name="_Toc444155976"/>
      <w:bookmarkStart w:id="235" w:name="_Toc287607820"/>
      <w:bookmarkStart w:id="236" w:name="_Toc31270"/>
      <w:bookmarkStart w:id="237" w:name="_Toc224103392"/>
      <w:bookmarkStart w:id="238" w:name="_Toc200513206"/>
      <w:bookmarkStart w:id="239" w:name="_Toc14840"/>
      <w:bookmarkStart w:id="240" w:name="_Toc376114128"/>
      <w:bookmarkStart w:id="241" w:name="_Toc30672"/>
      <w:bookmarkStart w:id="242" w:name="_Toc440022835"/>
      <w:bookmarkStart w:id="243" w:name="_Toc21450"/>
      <w:bookmarkStart w:id="244" w:name="_Toc377115427"/>
      <w:bookmarkStart w:id="245" w:name="_Toc407195387"/>
      <w:bookmarkStart w:id="246" w:name="_Toc6310"/>
      <w:bookmarkStart w:id="247" w:name="_Toc330569214"/>
      <w:bookmarkStart w:id="248" w:name="_Toc19054"/>
      <w:bookmarkStart w:id="249" w:name="_Toc287620759"/>
      <w:bookmarkStart w:id="250" w:name="_Toc277082626"/>
      <w:r>
        <w:rPr>
          <w:rFonts w:hint="eastAsia" w:ascii="Times New Roman" w:hAnsi="Times New Roman"/>
          <w:color w:val="auto"/>
          <w:highlight w:val="none"/>
        </w:rPr>
        <w:t>3.4 评审结果</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1BCB3356">
      <w:pPr>
        <w:rPr>
          <w:rFonts w:ascii="Times New Roman" w:hAnsi="Times New Roman"/>
          <w:color w:val="auto"/>
          <w:highlight w:val="none"/>
        </w:rPr>
      </w:pPr>
      <w:r>
        <w:rPr>
          <w:rFonts w:hint="eastAsia" w:ascii="Times New Roman" w:hAnsi="Times New Roman"/>
          <w:color w:val="auto"/>
          <w:highlight w:val="none"/>
        </w:rPr>
        <w:t>3.4.1 评审委员会按照得分由高到低的顺序推荐中选候选人。</w:t>
      </w:r>
    </w:p>
    <w:p w14:paraId="21D97161">
      <w:pPr>
        <w:rPr>
          <w:rFonts w:ascii="Times New Roman" w:hAnsi="Times New Roman"/>
          <w:color w:val="auto"/>
          <w:highlight w:val="none"/>
        </w:rPr>
      </w:pPr>
      <w:r>
        <w:rPr>
          <w:rFonts w:hint="eastAsia" w:ascii="Times New Roman" w:hAnsi="Times New Roman"/>
          <w:color w:val="auto"/>
          <w:highlight w:val="none"/>
        </w:rPr>
        <w:t>3.4.2 评审委员会完成评审后，应当向比选人提交书面评审报告。</w:t>
      </w:r>
    </w:p>
    <w:p w14:paraId="2B12781F">
      <w:pPr>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1D56D769">
      <w:pPr>
        <w:pStyle w:val="4"/>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43DBB254">
      <w:pPr>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7546D1C3">
      <w:pPr>
        <w:pStyle w:val="4"/>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2A7DB63C">
      <w:pPr>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6CE80332">
      <w:pPr>
        <w:rPr>
          <w:rFonts w:ascii="Times New Roman" w:hAnsi="Times New Roman"/>
          <w:color w:val="auto"/>
          <w:highlight w:val="none"/>
        </w:rPr>
      </w:pPr>
    </w:p>
    <w:p w14:paraId="5ACF1A9F">
      <w:pPr>
        <w:rPr>
          <w:rFonts w:ascii="Times New Roman" w:hAnsi="Times New Roman"/>
          <w:color w:val="auto"/>
          <w:highlight w:val="none"/>
        </w:rPr>
      </w:pPr>
      <w:bookmarkStart w:id="251" w:name="_Toc150953074"/>
      <w:bookmarkStart w:id="252" w:name="_Toc89675170"/>
      <w:bookmarkStart w:id="253" w:name="_Toc303066034"/>
      <w:r>
        <w:rPr>
          <w:rFonts w:hint="eastAsia" w:ascii="Times New Roman" w:hAnsi="Times New Roman"/>
          <w:color w:val="auto"/>
          <w:highlight w:val="none"/>
        </w:rPr>
        <w:br w:type="page"/>
      </w:r>
    </w:p>
    <w:p w14:paraId="04499DED">
      <w:pPr>
        <w:pStyle w:val="2"/>
        <w:rPr>
          <w:rFonts w:ascii="Times New Roman" w:hAnsi="Times New Roman"/>
          <w:color w:val="auto"/>
          <w:highlight w:val="none"/>
        </w:rPr>
      </w:pPr>
      <w:bookmarkStart w:id="254" w:name="_Toc6341"/>
      <w:bookmarkStart w:id="255" w:name="_Toc10650"/>
      <w:r>
        <w:rPr>
          <w:rFonts w:hint="eastAsia" w:ascii="Times New Roman" w:hAnsi="Times New Roman"/>
          <w:color w:val="auto"/>
          <w:highlight w:val="none"/>
        </w:rPr>
        <w:t>第五章 合同</w:t>
      </w:r>
      <w:r>
        <w:rPr>
          <w:rFonts w:ascii="Times New Roman" w:hAnsi="Times New Roman"/>
          <w:color w:val="auto"/>
          <w:highlight w:val="none"/>
        </w:rPr>
        <w:t>模板</w:t>
      </w:r>
      <w:bookmarkEnd w:id="251"/>
      <w:bookmarkEnd w:id="254"/>
      <w:bookmarkEnd w:id="255"/>
    </w:p>
    <w:p w14:paraId="5FF5AEB0">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50298D52">
      <w:pPr>
        <w:pStyle w:val="36"/>
        <w:snapToGrid w:val="0"/>
        <w:spacing w:before="0" w:beforeLines="0" w:beforeAutospacing="0" w:after="0" w:afterAutospacing="0" w:line="520" w:lineRule="exact"/>
        <w:ind w:firstLine="4200" w:firstLineChars="1500"/>
        <w:jc w:val="both"/>
        <w:rPr>
          <w:rFonts w:hint="eastAsia"/>
          <w:color w:val="auto"/>
          <w:sz w:val="44"/>
          <w:highlight w:val="none"/>
        </w:rPr>
      </w:pPr>
      <w:r>
        <w:rPr>
          <w:rFonts w:hint="eastAsia"/>
          <w:color w:val="auto"/>
          <w:sz w:val="28"/>
          <w:highlight w:val="none"/>
        </w:rPr>
        <w:t>编号：SXYH2022</w:t>
      </w:r>
      <w:r>
        <w:rPr>
          <w:color w:val="auto"/>
          <w:sz w:val="28"/>
          <w:highlight w:val="none"/>
        </w:rPr>
        <w:t>0101018</w:t>
      </w:r>
      <w:r>
        <w:rPr>
          <w:rFonts w:hint="eastAsia"/>
          <w:color w:val="auto"/>
          <w:sz w:val="28"/>
          <w:highlight w:val="none"/>
        </w:rPr>
        <w:t>___</w:t>
      </w:r>
    </w:p>
    <w:p w14:paraId="10BFF779">
      <w:pPr>
        <w:pStyle w:val="36"/>
        <w:snapToGrid w:val="0"/>
        <w:spacing w:before="0" w:beforeLines="0" w:beforeAutospacing="0" w:after="0" w:afterAutospacing="0" w:line="520" w:lineRule="exact"/>
        <w:ind w:firstLine="0" w:firstLineChars="0"/>
        <w:jc w:val="center"/>
        <w:rPr>
          <w:rFonts w:hint="eastAsia"/>
          <w:b/>
          <w:color w:val="auto"/>
          <w:sz w:val="44"/>
          <w:highlight w:val="none"/>
        </w:rPr>
      </w:pPr>
    </w:p>
    <w:p w14:paraId="790D62B2">
      <w:pPr>
        <w:pStyle w:val="36"/>
        <w:snapToGrid w:val="0"/>
        <w:spacing w:before="0" w:beforeLines="0" w:beforeAutospacing="0" w:after="0" w:afterAutospacing="0" w:line="520" w:lineRule="exact"/>
        <w:ind w:firstLine="0" w:firstLineChars="0"/>
        <w:jc w:val="center"/>
        <w:rPr>
          <w:rFonts w:hint="eastAsia"/>
          <w:b/>
          <w:color w:val="auto"/>
          <w:sz w:val="44"/>
          <w:highlight w:val="none"/>
        </w:rPr>
      </w:pPr>
    </w:p>
    <w:p w14:paraId="73A9B752">
      <w:pPr>
        <w:pStyle w:val="36"/>
        <w:snapToGrid w:val="0"/>
        <w:spacing w:before="0" w:beforeLines="0" w:beforeAutospacing="0" w:after="0" w:afterAutospacing="0" w:line="520" w:lineRule="exact"/>
        <w:ind w:firstLine="0" w:firstLineChars="0"/>
        <w:jc w:val="center"/>
        <w:rPr>
          <w:rFonts w:hint="eastAsia"/>
          <w:b/>
          <w:color w:val="auto"/>
          <w:sz w:val="44"/>
          <w:highlight w:val="none"/>
        </w:rPr>
      </w:pPr>
    </w:p>
    <w:p w14:paraId="0BAD9D52">
      <w:pPr>
        <w:pStyle w:val="36"/>
        <w:snapToGrid w:val="0"/>
        <w:spacing w:before="0" w:beforeLines="0" w:beforeAutospacing="0" w:after="0" w:afterAutospacing="0" w:line="520" w:lineRule="exact"/>
        <w:ind w:firstLine="0" w:firstLineChars="0"/>
        <w:jc w:val="center"/>
        <w:rPr>
          <w:rFonts w:hint="eastAsia"/>
          <w:b/>
          <w:color w:val="auto"/>
          <w:sz w:val="44"/>
          <w:highlight w:val="none"/>
        </w:rPr>
      </w:pPr>
      <w:r>
        <w:rPr>
          <w:rFonts w:hint="eastAsia"/>
          <w:b/>
          <w:color w:val="auto"/>
          <w:sz w:val="44"/>
          <w:highlight w:val="none"/>
        </w:rPr>
        <w:t>重庆三峡银行</w:t>
      </w:r>
    </w:p>
    <w:p w14:paraId="27FBB620">
      <w:pPr>
        <w:pStyle w:val="36"/>
        <w:snapToGrid w:val="0"/>
        <w:spacing w:before="0" w:beforeLines="0" w:beforeAutospacing="0" w:after="0" w:afterAutospacing="0" w:line="520" w:lineRule="exact"/>
        <w:ind w:firstLine="0" w:firstLineChars="0"/>
        <w:jc w:val="center"/>
        <w:rPr>
          <w:rFonts w:hint="eastAsia"/>
          <w:b/>
          <w:color w:val="auto"/>
          <w:sz w:val="44"/>
          <w:highlight w:val="none"/>
        </w:rPr>
      </w:pPr>
      <w:bookmarkStart w:id="256" w:name="_Hlk363564034"/>
      <w:r>
        <w:rPr>
          <w:rFonts w:hint="eastAsia"/>
          <w:b/>
          <w:color w:val="auto"/>
          <w:sz w:val="44"/>
          <w:highlight w:val="none"/>
        </w:rPr>
        <w:t>2024年电子银行安全评估</w:t>
      </w:r>
    </w:p>
    <w:p w14:paraId="6CDE79C6">
      <w:pPr>
        <w:pStyle w:val="36"/>
        <w:snapToGrid w:val="0"/>
        <w:spacing w:before="0" w:beforeLines="0" w:beforeAutospacing="0" w:after="0" w:afterAutospacing="0" w:line="520" w:lineRule="exact"/>
        <w:ind w:firstLine="0" w:firstLineChars="0"/>
        <w:jc w:val="center"/>
        <w:rPr>
          <w:rFonts w:hint="eastAsia"/>
          <w:b/>
          <w:color w:val="auto"/>
          <w:sz w:val="44"/>
          <w:highlight w:val="none"/>
        </w:rPr>
      </w:pPr>
      <w:r>
        <w:rPr>
          <w:b/>
          <w:color w:val="auto"/>
          <w:sz w:val="44"/>
          <w:highlight w:val="none"/>
        </w:rPr>
        <w:t>服务</w:t>
      </w:r>
      <w:bookmarkEnd w:id="256"/>
      <w:r>
        <w:rPr>
          <w:rFonts w:hint="eastAsia"/>
          <w:b/>
          <w:color w:val="auto"/>
          <w:sz w:val="44"/>
          <w:highlight w:val="none"/>
        </w:rPr>
        <w:t>合同</w:t>
      </w:r>
    </w:p>
    <w:p w14:paraId="0CC3AC8A">
      <w:pPr>
        <w:snapToGrid w:val="0"/>
        <w:spacing w:line="520" w:lineRule="exact"/>
        <w:jc w:val="center"/>
        <w:rPr>
          <w:rFonts w:hint="eastAsia" w:ascii="宋体"/>
          <w:b/>
          <w:color w:val="auto"/>
          <w:sz w:val="44"/>
          <w:highlight w:val="none"/>
        </w:rPr>
      </w:pPr>
    </w:p>
    <w:p w14:paraId="1A99ABD0">
      <w:pPr>
        <w:snapToGrid w:val="0"/>
        <w:spacing w:line="520" w:lineRule="exact"/>
        <w:rPr>
          <w:rFonts w:hint="eastAsia" w:ascii="宋体"/>
          <w:b/>
          <w:color w:val="auto"/>
          <w:sz w:val="44"/>
          <w:highlight w:val="none"/>
        </w:rPr>
      </w:pPr>
    </w:p>
    <w:p w14:paraId="29460708">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0BF35F87">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2C4DA03A">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70CE801D">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641E752C">
      <w:pPr>
        <w:pStyle w:val="36"/>
        <w:snapToGrid w:val="0"/>
        <w:spacing w:before="0" w:beforeLines="0" w:beforeAutospacing="0" w:after="0" w:afterAutospacing="0" w:line="520" w:lineRule="exact"/>
        <w:ind w:firstLine="0" w:firstLineChars="0"/>
        <w:jc w:val="center"/>
        <w:rPr>
          <w:rFonts w:hint="eastAsia"/>
          <w:b/>
          <w:color w:val="auto"/>
          <w:sz w:val="32"/>
          <w:szCs w:val="32"/>
          <w:highlight w:val="none"/>
        </w:rPr>
      </w:pPr>
    </w:p>
    <w:p w14:paraId="198117C2">
      <w:pPr>
        <w:pStyle w:val="36"/>
        <w:snapToGrid w:val="0"/>
        <w:spacing w:before="0" w:beforeLines="0" w:beforeAutospacing="0" w:after="0" w:afterAutospacing="0" w:line="520" w:lineRule="exact"/>
        <w:ind w:left="1620" w:leftChars="675" w:firstLine="0" w:firstLineChars="0"/>
        <w:rPr>
          <w:rFonts w:hint="eastAsia"/>
          <w:b/>
          <w:color w:val="auto"/>
          <w:szCs w:val="24"/>
          <w:highlight w:val="none"/>
        </w:rPr>
      </w:pPr>
      <w:r>
        <w:rPr>
          <w:rFonts w:hint="eastAsia"/>
          <w:b/>
          <w:color w:val="auto"/>
          <w:szCs w:val="24"/>
          <w:highlight w:val="none"/>
        </w:rPr>
        <w:t>委托方：重庆三峡银行股份有限公司</w:t>
      </w:r>
    </w:p>
    <w:p w14:paraId="02EC40EF">
      <w:pPr>
        <w:pStyle w:val="36"/>
        <w:snapToGrid w:val="0"/>
        <w:spacing w:before="0" w:beforeLines="0" w:beforeAutospacing="0" w:after="0" w:afterAutospacing="0" w:line="520" w:lineRule="exact"/>
        <w:ind w:left="1620" w:leftChars="675" w:firstLine="0" w:firstLineChars="0"/>
        <w:rPr>
          <w:rFonts w:hint="eastAsia"/>
          <w:b/>
          <w:color w:val="auto"/>
          <w:szCs w:val="24"/>
          <w:highlight w:val="none"/>
        </w:rPr>
      </w:pPr>
      <w:r>
        <w:rPr>
          <w:rFonts w:hint="eastAsia"/>
          <w:b/>
          <w:color w:val="auto"/>
          <w:szCs w:val="24"/>
          <w:highlight w:val="none"/>
        </w:rPr>
        <w:t>受托方：X</w:t>
      </w:r>
      <w:r>
        <w:rPr>
          <w:b/>
          <w:color w:val="auto"/>
          <w:szCs w:val="24"/>
          <w:highlight w:val="none"/>
        </w:rPr>
        <w:t>XXXXXXXXXXXXXXXXXXXXXXX</w:t>
      </w:r>
    </w:p>
    <w:p w14:paraId="5E39826A">
      <w:pPr>
        <w:pStyle w:val="36"/>
        <w:snapToGrid w:val="0"/>
        <w:spacing w:before="0" w:beforeLines="0" w:beforeAutospacing="0" w:after="0" w:afterAutospacing="0" w:line="520" w:lineRule="exact"/>
        <w:ind w:left="1620" w:leftChars="675" w:firstLine="0" w:firstLineChars="0"/>
        <w:rPr>
          <w:rFonts w:hint="eastAsia"/>
          <w:color w:val="auto"/>
          <w:szCs w:val="24"/>
          <w:highlight w:val="none"/>
        </w:rPr>
      </w:pPr>
      <w:r>
        <w:rPr>
          <w:rFonts w:hint="eastAsia"/>
          <w:b/>
          <w:color w:val="auto"/>
          <w:szCs w:val="24"/>
          <w:highlight w:val="none"/>
        </w:rPr>
        <w:t>签订地点：</w:t>
      </w:r>
    </w:p>
    <w:p w14:paraId="108B1187">
      <w:pPr>
        <w:pStyle w:val="10"/>
        <w:tabs>
          <w:tab w:val="right" w:pos="0"/>
          <w:tab w:val="clear" w:pos="630"/>
          <w:tab w:val="clear" w:pos="8730"/>
        </w:tabs>
        <w:adjustRightInd w:val="0"/>
        <w:snapToGrid w:val="0"/>
        <w:spacing w:line="520" w:lineRule="exact"/>
        <w:ind w:right="16"/>
        <w:rPr>
          <w:rFonts w:hint="eastAsia" w:ascii="宋体" w:eastAsia="宋体"/>
          <w:color w:val="auto"/>
          <w:sz w:val="28"/>
          <w:highlight w:val="none"/>
          <w:lang w:eastAsia="zh-CN"/>
        </w:rPr>
      </w:pPr>
    </w:p>
    <w:p w14:paraId="5BA796EF">
      <w:pPr>
        <w:snapToGrid w:val="0"/>
        <w:spacing w:line="520" w:lineRule="exact"/>
        <w:rPr>
          <w:rFonts w:hint="eastAsia" w:ascii="宋体"/>
          <w:b/>
          <w:color w:val="auto"/>
          <w:highlight w:val="none"/>
          <w:u w:val="single"/>
        </w:rPr>
      </w:pPr>
      <w:r>
        <w:rPr>
          <w:rFonts w:hint="eastAsia" w:ascii="宋体"/>
          <w:b/>
          <w:color w:val="auto"/>
          <w:highlight w:val="none"/>
        </w:rPr>
        <w:br w:type="page"/>
      </w:r>
      <w:r>
        <w:rPr>
          <w:rFonts w:hint="eastAsia" w:ascii="宋体"/>
          <w:b/>
          <w:color w:val="auto"/>
          <w:highlight w:val="none"/>
        </w:rPr>
        <w:t>甲方: 重庆三峡银行股份有限公司（以下简称“甲方”）</w:t>
      </w:r>
    </w:p>
    <w:p w14:paraId="6116C37A">
      <w:pPr>
        <w:snapToGrid w:val="0"/>
        <w:spacing w:line="520" w:lineRule="exact"/>
        <w:rPr>
          <w:rFonts w:hint="eastAsia"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7AC8BAA6">
      <w:pPr>
        <w:snapToGrid w:val="0"/>
        <w:spacing w:line="520" w:lineRule="exact"/>
        <w:rPr>
          <w:rFonts w:hint="eastAsia" w:ascii="宋体"/>
          <w:color w:val="auto"/>
          <w:highlight w:val="none"/>
        </w:rPr>
      </w:pPr>
      <w:r>
        <w:rPr>
          <w:rFonts w:hint="eastAsia" w:ascii="宋体"/>
          <w:color w:val="auto"/>
          <w:highlight w:val="none"/>
        </w:rPr>
        <w:t>法定代表人：刘江桥</w:t>
      </w:r>
    </w:p>
    <w:p w14:paraId="25118099">
      <w:pPr>
        <w:snapToGrid w:val="0"/>
        <w:spacing w:line="520" w:lineRule="exact"/>
        <w:rPr>
          <w:rFonts w:hint="eastAsia" w:ascii="宋体"/>
          <w:color w:val="auto"/>
          <w:highlight w:val="none"/>
        </w:rPr>
      </w:pPr>
      <w:r>
        <w:rPr>
          <w:rFonts w:hint="eastAsia" w:ascii="宋体"/>
          <w:color w:val="auto"/>
          <w:highlight w:val="none"/>
        </w:rPr>
        <w:t>邮政编码：</w:t>
      </w:r>
    </w:p>
    <w:p w14:paraId="0748D4B9">
      <w:pPr>
        <w:snapToGrid w:val="0"/>
        <w:spacing w:line="520" w:lineRule="exact"/>
        <w:rPr>
          <w:rFonts w:hint="eastAsia" w:ascii="宋体"/>
          <w:color w:val="auto"/>
          <w:highlight w:val="none"/>
        </w:rPr>
      </w:pPr>
      <w:r>
        <w:rPr>
          <w:rFonts w:hint="eastAsia" w:ascii="宋体"/>
          <w:color w:val="auto"/>
          <w:highlight w:val="none"/>
        </w:rPr>
        <w:t xml:space="preserve">联系人： </w:t>
      </w:r>
    </w:p>
    <w:p w14:paraId="197D1BA2">
      <w:pPr>
        <w:snapToGrid w:val="0"/>
        <w:spacing w:line="520" w:lineRule="exact"/>
        <w:rPr>
          <w:rFonts w:hint="eastAsia" w:ascii="宋体"/>
          <w:color w:val="auto"/>
          <w:highlight w:val="none"/>
        </w:rPr>
      </w:pPr>
      <w:r>
        <w:rPr>
          <w:rFonts w:hint="eastAsia" w:ascii="宋体"/>
          <w:color w:val="auto"/>
          <w:highlight w:val="none"/>
        </w:rPr>
        <w:t>电话：</w:t>
      </w:r>
    </w:p>
    <w:p w14:paraId="2CB3A830">
      <w:pPr>
        <w:snapToGrid w:val="0"/>
        <w:spacing w:line="520" w:lineRule="exact"/>
        <w:rPr>
          <w:rFonts w:hint="eastAsia" w:ascii="宋体"/>
          <w:color w:val="auto"/>
          <w:highlight w:val="none"/>
        </w:rPr>
      </w:pPr>
      <w:r>
        <w:rPr>
          <w:rFonts w:hint="eastAsia" w:ascii="宋体"/>
          <w:color w:val="auto"/>
          <w:highlight w:val="none"/>
        </w:rPr>
        <w:t>传真：</w:t>
      </w:r>
    </w:p>
    <w:p w14:paraId="467E4F72">
      <w:pPr>
        <w:snapToGrid w:val="0"/>
        <w:spacing w:line="520" w:lineRule="exact"/>
        <w:rPr>
          <w:rFonts w:hint="eastAsia" w:ascii="宋体"/>
          <w:color w:val="auto"/>
          <w:highlight w:val="none"/>
        </w:rPr>
      </w:pPr>
      <w:r>
        <w:rPr>
          <w:rFonts w:hint="eastAsia" w:ascii="宋体"/>
          <w:color w:val="auto"/>
          <w:highlight w:val="none"/>
        </w:rPr>
        <w:t>电子邮箱：</w:t>
      </w:r>
    </w:p>
    <w:p w14:paraId="0A5A2B54">
      <w:pPr>
        <w:snapToGrid w:val="0"/>
        <w:spacing w:line="520" w:lineRule="exact"/>
        <w:rPr>
          <w:rFonts w:hint="eastAsia" w:ascii="宋体"/>
          <w:color w:val="auto"/>
          <w:highlight w:val="none"/>
        </w:rPr>
      </w:pPr>
    </w:p>
    <w:p w14:paraId="1F018193">
      <w:pPr>
        <w:snapToGrid w:val="0"/>
        <w:spacing w:line="520" w:lineRule="exact"/>
        <w:rPr>
          <w:rFonts w:hint="eastAsia" w:ascii="宋体"/>
          <w:color w:val="auto"/>
          <w:highlight w:val="none"/>
        </w:rPr>
      </w:pPr>
    </w:p>
    <w:p w14:paraId="09F95DE6">
      <w:pPr>
        <w:snapToGrid w:val="0"/>
        <w:spacing w:line="520" w:lineRule="exact"/>
        <w:rPr>
          <w:rFonts w:hint="eastAsia" w:ascii="宋体"/>
          <w:color w:val="auto"/>
          <w:highlight w:val="none"/>
        </w:rPr>
      </w:pPr>
    </w:p>
    <w:p w14:paraId="157EBDD9">
      <w:pPr>
        <w:snapToGrid w:val="0"/>
        <w:spacing w:line="520" w:lineRule="exact"/>
        <w:rPr>
          <w:rFonts w:hint="eastAsia" w:ascii="宋体"/>
          <w:color w:val="auto"/>
          <w:highlight w:val="none"/>
        </w:rPr>
      </w:pPr>
    </w:p>
    <w:p w14:paraId="2F265A45">
      <w:pPr>
        <w:snapToGrid w:val="0"/>
        <w:spacing w:line="520" w:lineRule="exact"/>
        <w:rPr>
          <w:rFonts w:hint="eastAsia" w:ascii="宋体"/>
          <w:color w:val="auto"/>
          <w:highlight w:val="none"/>
        </w:rPr>
      </w:pPr>
    </w:p>
    <w:p w14:paraId="6628A950">
      <w:pPr>
        <w:snapToGrid w:val="0"/>
        <w:spacing w:line="520" w:lineRule="exact"/>
        <w:rPr>
          <w:rFonts w:hint="eastAsia" w:ascii="宋体"/>
          <w:b/>
          <w:color w:val="auto"/>
          <w:highlight w:val="none"/>
        </w:rPr>
      </w:pPr>
      <w:r>
        <w:rPr>
          <w:rFonts w:hint="eastAsia" w:ascii="宋体"/>
          <w:b/>
          <w:color w:val="auto"/>
          <w:highlight w:val="none"/>
        </w:rPr>
        <w:t>乙方: XXXXXXXXXXXXXXXXXXXXX（以下简称“乙方”）</w:t>
      </w:r>
    </w:p>
    <w:p w14:paraId="02BD97DA">
      <w:pPr>
        <w:snapToGrid w:val="0"/>
        <w:spacing w:line="520" w:lineRule="exact"/>
        <w:rPr>
          <w:rFonts w:hint="eastAsia" w:ascii="宋体"/>
          <w:color w:val="auto"/>
          <w:highlight w:val="none"/>
        </w:rPr>
      </w:pPr>
      <w:r>
        <w:rPr>
          <w:rFonts w:hint="eastAsia" w:ascii="宋体"/>
          <w:color w:val="auto"/>
          <w:highlight w:val="none"/>
        </w:rPr>
        <w:t xml:space="preserve">法定代表人： </w:t>
      </w:r>
    </w:p>
    <w:p w14:paraId="6245EBA5">
      <w:pPr>
        <w:snapToGrid w:val="0"/>
        <w:spacing w:line="520" w:lineRule="exact"/>
        <w:rPr>
          <w:rFonts w:hint="eastAsia" w:ascii="宋体"/>
          <w:color w:val="auto"/>
          <w:highlight w:val="none"/>
        </w:rPr>
      </w:pPr>
      <w:r>
        <w:rPr>
          <w:rFonts w:hint="eastAsia" w:ascii="宋体"/>
          <w:color w:val="auto"/>
          <w:highlight w:val="none"/>
        </w:rPr>
        <w:t>地址：</w:t>
      </w:r>
    </w:p>
    <w:p w14:paraId="2E52D66E">
      <w:pPr>
        <w:snapToGrid w:val="0"/>
        <w:spacing w:line="520" w:lineRule="exact"/>
        <w:rPr>
          <w:rFonts w:hint="eastAsia" w:ascii="宋体"/>
          <w:color w:val="auto"/>
          <w:highlight w:val="none"/>
        </w:rPr>
      </w:pPr>
      <w:r>
        <w:rPr>
          <w:rFonts w:hint="eastAsia" w:ascii="宋体"/>
          <w:color w:val="auto"/>
          <w:highlight w:val="none"/>
        </w:rPr>
        <w:t>邮政编码：</w:t>
      </w:r>
    </w:p>
    <w:p w14:paraId="370D48F5">
      <w:pPr>
        <w:snapToGrid w:val="0"/>
        <w:spacing w:line="520" w:lineRule="exact"/>
        <w:rPr>
          <w:rFonts w:hint="eastAsia" w:ascii="宋体"/>
          <w:color w:val="auto"/>
          <w:highlight w:val="none"/>
        </w:rPr>
      </w:pPr>
      <w:r>
        <w:rPr>
          <w:rFonts w:hint="eastAsia" w:ascii="宋体"/>
          <w:color w:val="auto"/>
          <w:highlight w:val="none"/>
        </w:rPr>
        <w:t xml:space="preserve">开户银行： </w:t>
      </w:r>
    </w:p>
    <w:p w14:paraId="36924C0F">
      <w:pPr>
        <w:snapToGrid w:val="0"/>
        <w:spacing w:line="520" w:lineRule="exact"/>
        <w:rPr>
          <w:rFonts w:hint="eastAsia" w:ascii="宋体"/>
          <w:color w:val="auto"/>
          <w:highlight w:val="none"/>
        </w:rPr>
      </w:pPr>
      <w:r>
        <w:rPr>
          <w:rFonts w:hint="eastAsia" w:ascii="宋体"/>
          <w:color w:val="auto"/>
          <w:highlight w:val="none"/>
        </w:rPr>
        <w:t xml:space="preserve">账号：  </w:t>
      </w:r>
    </w:p>
    <w:p w14:paraId="405D5442">
      <w:pPr>
        <w:snapToGrid w:val="0"/>
        <w:spacing w:line="520" w:lineRule="exact"/>
        <w:rPr>
          <w:rFonts w:hint="eastAsia" w:ascii="宋体"/>
          <w:color w:val="auto"/>
          <w:highlight w:val="none"/>
        </w:rPr>
      </w:pPr>
      <w:r>
        <w:rPr>
          <w:rFonts w:hint="eastAsia" w:ascii="宋体"/>
          <w:color w:val="auto"/>
          <w:highlight w:val="none"/>
        </w:rPr>
        <w:t>税号：</w:t>
      </w:r>
    </w:p>
    <w:p w14:paraId="22C55FEB">
      <w:pPr>
        <w:snapToGrid w:val="0"/>
        <w:spacing w:line="520" w:lineRule="exact"/>
        <w:rPr>
          <w:rFonts w:hint="eastAsia" w:ascii="宋体"/>
          <w:color w:val="auto"/>
          <w:highlight w:val="none"/>
        </w:rPr>
      </w:pPr>
      <w:r>
        <w:rPr>
          <w:rFonts w:hint="eastAsia" w:ascii="宋体"/>
          <w:color w:val="auto"/>
          <w:highlight w:val="none"/>
        </w:rPr>
        <w:t xml:space="preserve">联系人： </w:t>
      </w:r>
    </w:p>
    <w:p w14:paraId="4FEF5B30">
      <w:pPr>
        <w:snapToGrid w:val="0"/>
        <w:spacing w:line="520" w:lineRule="exact"/>
        <w:rPr>
          <w:rFonts w:hint="eastAsia" w:ascii="宋体"/>
          <w:color w:val="auto"/>
          <w:highlight w:val="none"/>
        </w:rPr>
      </w:pPr>
      <w:r>
        <w:rPr>
          <w:rFonts w:hint="eastAsia" w:ascii="宋体"/>
          <w:color w:val="auto"/>
          <w:highlight w:val="none"/>
        </w:rPr>
        <w:t>电话：</w:t>
      </w:r>
    </w:p>
    <w:p w14:paraId="3A3DE685">
      <w:pPr>
        <w:snapToGrid w:val="0"/>
        <w:spacing w:line="520" w:lineRule="exact"/>
        <w:rPr>
          <w:rFonts w:hint="eastAsia" w:ascii="宋体"/>
          <w:color w:val="auto"/>
          <w:highlight w:val="none"/>
        </w:rPr>
      </w:pPr>
      <w:r>
        <w:rPr>
          <w:rFonts w:hint="eastAsia" w:ascii="宋体"/>
          <w:color w:val="auto"/>
          <w:highlight w:val="none"/>
        </w:rPr>
        <w:t>手机：</w:t>
      </w:r>
    </w:p>
    <w:p w14:paraId="249D06EE">
      <w:pPr>
        <w:snapToGrid w:val="0"/>
        <w:spacing w:line="520" w:lineRule="exact"/>
        <w:rPr>
          <w:rFonts w:hint="eastAsia" w:ascii="宋体"/>
          <w:color w:val="auto"/>
          <w:highlight w:val="none"/>
        </w:rPr>
      </w:pPr>
      <w:r>
        <w:rPr>
          <w:rFonts w:hint="eastAsia" w:ascii="宋体"/>
          <w:color w:val="auto"/>
          <w:highlight w:val="none"/>
        </w:rPr>
        <w:t>传真：</w:t>
      </w:r>
    </w:p>
    <w:p w14:paraId="0E5D970C">
      <w:pPr>
        <w:snapToGrid w:val="0"/>
        <w:spacing w:line="520" w:lineRule="exact"/>
        <w:rPr>
          <w:rFonts w:hint="eastAsia" w:ascii="宋体"/>
          <w:color w:val="auto"/>
          <w:highlight w:val="none"/>
          <w:lang w:val="en-GB"/>
        </w:rPr>
      </w:pPr>
      <w:r>
        <w:rPr>
          <w:rFonts w:hint="eastAsia" w:ascii="宋体"/>
          <w:color w:val="auto"/>
          <w:highlight w:val="none"/>
        </w:rPr>
        <w:t>电子邮箱：</w:t>
      </w:r>
    </w:p>
    <w:p w14:paraId="3EAB3C73">
      <w:pPr>
        <w:pStyle w:val="10"/>
        <w:tabs>
          <w:tab w:val="right" w:pos="0"/>
          <w:tab w:val="clear" w:pos="630"/>
          <w:tab w:val="clear" w:pos="8730"/>
        </w:tabs>
        <w:adjustRightInd w:val="0"/>
        <w:snapToGrid w:val="0"/>
        <w:spacing w:line="520" w:lineRule="exact"/>
        <w:ind w:right="17"/>
        <w:rPr>
          <w:rFonts w:hint="eastAsia" w:ascii="宋体" w:eastAsia="宋体"/>
          <w:color w:val="auto"/>
          <w:sz w:val="24"/>
          <w:highlight w:val="none"/>
          <w:lang w:eastAsia="zh-CN"/>
        </w:rPr>
      </w:pPr>
      <w:r>
        <w:rPr>
          <w:rFonts w:hint="eastAsia" w:ascii="宋体" w:eastAsia="宋体"/>
          <w:color w:val="auto"/>
          <w:sz w:val="32"/>
          <w:highlight w:val="none"/>
          <w:lang w:eastAsia="zh-CN"/>
        </w:rPr>
        <w:t xml:space="preserve">               </w:t>
      </w:r>
      <w:r>
        <w:rPr>
          <w:rFonts w:hint="eastAsia" w:ascii="宋体" w:eastAsia="宋体"/>
          <w:color w:val="auto"/>
          <w:sz w:val="24"/>
          <w:highlight w:val="none"/>
          <w:lang w:eastAsia="zh-CN"/>
        </w:rPr>
        <w:t xml:space="preserve">      </w:t>
      </w:r>
    </w:p>
    <w:p w14:paraId="4149BA07">
      <w:pPr>
        <w:pStyle w:val="12"/>
        <w:snapToGrid w:val="0"/>
        <w:spacing w:line="520" w:lineRule="exact"/>
        <w:rPr>
          <w:rFonts w:hint="eastAsia" w:ascii="宋体" w:eastAsia="宋体"/>
          <w:color w:val="auto"/>
          <w:highlight w:val="none"/>
        </w:rPr>
      </w:pPr>
      <w:r>
        <w:rPr>
          <w:rFonts w:hint="eastAsia" w:ascii="宋体" w:eastAsia="宋体"/>
          <w:color w:val="auto"/>
          <w:highlight w:val="none"/>
        </w:rPr>
        <w:br w:type="page"/>
      </w:r>
      <w:r>
        <w:rPr>
          <w:rFonts w:hint="eastAsia" w:ascii="宋体" w:eastAsia="宋体"/>
          <w:color w:val="auto"/>
          <w:highlight w:val="none"/>
        </w:rPr>
        <w:t>甲方与乙方本着自愿、平等、互利、诚实信用的原则，通过友好协商，</w:t>
      </w:r>
      <w:r>
        <w:rPr>
          <w:rStyle w:val="37"/>
          <w:rFonts w:hint="eastAsia" w:ascii="宋体" w:eastAsia="宋体"/>
          <w:color w:val="auto"/>
          <w:kern w:val="0"/>
          <w:highlight w:val="none"/>
        </w:rPr>
        <w:t>依据相关法律、法规的规定</w:t>
      </w:r>
      <w:r>
        <w:rPr>
          <w:rFonts w:hint="eastAsia" w:ascii="宋体" w:eastAsia="宋体"/>
          <w:color w:val="auto"/>
          <w:highlight w:val="none"/>
        </w:rPr>
        <w:t>，就“重庆三峡银行2024年电子银行安全评估服务项目”（下称“本项目”）服务内容达成一致，签订本协议：</w:t>
      </w:r>
    </w:p>
    <w:p w14:paraId="31F8D27C">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highlight w:val="none"/>
          <w:lang w:eastAsia="zh-CN"/>
        </w:rPr>
      </w:pPr>
      <w:r>
        <w:rPr>
          <w:rFonts w:hint="eastAsia" w:ascii="宋体" w:eastAsia="宋体"/>
          <w:b/>
          <w:color w:val="auto"/>
          <w:sz w:val="24"/>
          <w:highlight w:val="none"/>
          <w:lang w:eastAsia="zh-CN"/>
        </w:rPr>
        <w:t>第一条  服务范围</w:t>
      </w:r>
    </w:p>
    <w:p w14:paraId="177513A6">
      <w:pPr>
        <w:pStyle w:val="12"/>
        <w:snapToGrid w:val="0"/>
        <w:spacing w:line="520" w:lineRule="exact"/>
        <w:rPr>
          <w:rFonts w:hint="eastAsia" w:ascii="宋体" w:eastAsia="宋体"/>
          <w:color w:val="auto"/>
          <w:highlight w:val="none"/>
        </w:rPr>
      </w:pPr>
      <w:r>
        <w:rPr>
          <w:rFonts w:hint="eastAsia" w:ascii="宋体" w:eastAsia="宋体"/>
          <w:color w:val="auto"/>
          <w:highlight w:val="none"/>
        </w:rPr>
        <w:t>1.1 服务事项：</w:t>
      </w:r>
    </w:p>
    <w:p w14:paraId="24224BAE">
      <w:pPr>
        <w:snapToGrid w:val="0"/>
        <w:spacing w:line="520" w:lineRule="exact"/>
        <w:rPr>
          <w:rFonts w:hint="eastAsia" w:ascii="宋体"/>
          <w:color w:val="auto"/>
          <w:highlight w:val="none"/>
        </w:rPr>
      </w:pPr>
      <w:r>
        <w:rPr>
          <w:rFonts w:hint="eastAsia" w:ascii="宋体"/>
          <w:color w:val="auto"/>
          <w:highlight w:val="none"/>
        </w:rPr>
        <w:t>乙方向甲方提供电子银行安全评估服务，服务的具体内容详见本合同附件1。</w:t>
      </w:r>
    </w:p>
    <w:p w14:paraId="3153B638">
      <w:pPr>
        <w:pStyle w:val="12"/>
        <w:snapToGrid w:val="0"/>
        <w:spacing w:line="520" w:lineRule="exact"/>
        <w:rPr>
          <w:rFonts w:hint="eastAsia" w:ascii="宋体" w:eastAsia="宋体"/>
          <w:color w:val="auto"/>
          <w:highlight w:val="none"/>
        </w:rPr>
      </w:pPr>
      <w:r>
        <w:rPr>
          <w:rFonts w:hint="eastAsia" w:ascii="宋体" w:eastAsia="宋体"/>
          <w:color w:val="auto"/>
          <w:highlight w:val="none"/>
        </w:rPr>
        <w:t>1.2 服务履行方式：</w:t>
      </w:r>
    </w:p>
    <w:p w14:paraId="2445E293">
      <w:pPr>
        <w:pStyle w:val="12"/>
        <w:snapToGrid w:val="0"/>
        <w:spacing w:line="520" w:lineRule="exact"/>
        <w:rPr>
          <w:rFonts w:hint="eastAsia" w:ascii="宋体" w:eastAsia="宋体"/>
          <w:color w:val="auto"/>
          <w:highlight w:val="none"/>
        </w:rPr>
      </w:pPr>
      <w:r>
        <w:rPr>
          <w:rFonts w:hint="eastAsia" w:ascii="宋体" w:eastAsia="宋体"/>
          <w:color w:val="auto"/>
          <w:highlight w:val="none"/>
        </w:rPr>
        <w:t xml:space="preserve">服务的履行方式详见本合同附件1。   </w:t>
      </w:r>
    </w:p>
    <w:p w14:paraId="7188714D">
      <w:pPr>
        <w:pStyle w:val="12"/>
        <w:snapToGrid w:val="0"/>
        <w:spacing w:line="520" w:lineRule="exact"/>
        <w:rPr>
          <w:rFonts w:hint="eastAsia" w:ascii="宋体" w:eastAsia="宋体"/>
          <w:color w:val="auto"/>
          <w:highlight w:val="none"/>
        </w:rPr>
      </w:pPr>
      <w:r>
        <w:rPr>
          <w:rFonts w:hint="eastAsia" w:ascii="宋体" w:eastAsia="宋体"/>
          <w:color w:val="auto"/>
          <w:highlight w:val="none"/>
        </w:rPr>
        <w:t>1.3服务期限：</w:t>
      </w:r>
    </w:p>
    <w:p w14:paraId="0D75FCA2">
      <w:pPr>
        <w:pStyle w:val="12"/>
        <w:snapToGrid w:val="0"/>
        <w:spacing w:line="520" w:lineRule="exact"/>
        <w:rPr>
          <w:rFonts w:hint="eastAsia" w:ascii="宋体" w:eastAsia="宋体" w:cs="Cambria Math"/>
          <w:snapToGrid/>
          <w:color w:val="auto"/>
          <w:highlight w:val="none"/>
        </w:rPr>
      </w:pPr>
      <w:r>
        <w:rPr>
          <w:rFonts w:hint="eastAsia" w:ascii="宋体" w:eastAsia="宋体" w:cs="Cambria Math"/>
          <w:snapToGrid/>
          <w:color w:val="auto"/>
          <w:highlight w:val="none"/>
        </w:rPr>
        <w:t>自合同签订之日起，服务期一年，服务期限结束时如项目未实施完，则服务期自动顺延至实施完毕。</w:t>
      </w:r>
    </w:p>
    <w:p w14:paraId="15C84C14">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第二条  项目实施人员</w:t>
      </w:r>
    </w:p>
    <w:p w14:paraId="4B361E38">
      <w:pPr>
        <w:pStyle w:val="9"/>
        <w:snapToGrid w:val="0"/>
        <w:spacing w:line="520" w:lineRule="exact"/>
        <w:rPr>
          <w:rFonts w:hint="eastAsia" w:ascii="宋体"/>
          <w:color w:val="auto"/>
          <w:highlight w:val="none"/>
        </w:rPr>
      </w:pPr>
      <w:r>
        <w:rPr>
          <w:rFonts w:hint="eastAsia" w:ascii="宋体"/>
          <w:color w:val="auto"/>
          <w:szCs w:val="24"/>
          <w:highlight w:val="none"/>
        </w:rPr>
        <w:t xml:space="preserve">2.1 </w:t>
      </w:r>
      <w:r>
        <w:rPr>
          <w:rFonts w:hint="eastAsia" w:ascii="宋体"/>
          <w:color w:val="auto"/>
          <w:highlight w:val="none"/>
        </w:rPr>
        <w:t>为了按时和按专业水准完成本项目工作，乙方应配备足够数量和级别的专业人员，并提供实施方案所示项目团队成员名单（见附件1），各成员按照实施方案规定的工作安排参与项目实施。</w:t>
      </w:r>
    </w:p>
    <w:p w14:paraId="3B0A4A51">
      <w:pPr>
        <w:pStyle w:val="9"/>
        <w:snapToGrid w:val="0"/>
        <w:spacing w:line="520" w:lineRule="exact"/>
        <w:rPr>
          <w:rFonts w:hint="eastAsia" w:ascii="宋体"/>
          <w:color w:val="auto"/>
          <w:highlight w:val="none"/>
        </w:rPr>
      </w:pPr>
      <w:r>
        <w:rPr>
          <w:rFonts w:hint="eastAsia" w:ascii="宋体"/>
          <w:color w:val="auto"/>
          <w:highlight w:val="none"/>
        </w:rPr>
        <w:t>2.2 在项目实施过程中，乙方原则上不得更换项目经理和关键实施人员，确需更换的，乙方应提前通知甲方并经甲方同意，并配备同等级别的人员替补，且乙方保证有关人员更换不影响项目的质量和实施进程。替换人员需通过甲方考察，否则甲方有权要求更换。</w:t>
      </w:r>
    </w:p>
    <w:p w14:paraId="141940CE">
      <w:pPr>
        <w:pStyle w:val="9"/>
        <w:snapToGrid w:val="0"/>
        <w:spacing w:line="520" w:lineRule="exact"/>
        <w:rPr>
          <w:rFonts w:hint="eastAsia" w:ascii="宋体"/>
          <w:color w:val="auto"/>
          <w:highlight w:val="none"/>
        </w:rPr>
      </w:pPr>
      <w:r>
        <w:rPr>
          <w:rFonts w:hint="eastAsia" w:ascii="宋体"/>
          <w:color w:val="auto"/>
          <w:highlight w:val="none"/>
        </w:rP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692CDC28">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第三条  甲方的权利和义务</w:t>
      </w:r>
    </w:p>
    <w:p w14:paraId="410963AF">
      <w:pPr>
        <w:adjustRightInd w:val="0"/>
        <w:snapToGrid w:val="0"/>
        <w:spacing w:line="520" w:lineRule="exact"/>
        <w:rPr>
          <w:rFonts w:hint="eastAsia" w:ascii="宋体"/>
          <w:color w:val="auto"/>
          <w:highlight w:val="none"/>
        </w:rPr>
      </w:pPr>
      <w:r>
        <w:rPr>
          <w:rFonts w:hint="eastAsia" w:ascii="宋体"/>
          <w:color w:val="auto"/>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27519A65">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sz w:val="24"/>
          <w:highlight w:val="none"/>
          <w:lang w:eastAsia="zh-CN"/>
        </w:rPr>
        <w:t>3.2</w:t>
      </w:r>
      <w:r>
        <w:rPr>
          <w:rFonts w:hint="eastAsia" w:ascii="宋体" w:eastAsia="宋体"/>
          <w:color w:val="auto"/>
          <w:kern w:val="2"/>
          <w:sz w:val="24"/>
          <w:highlight w:val="none"/>
          <w:lang w:val="en-US" w:eastAsia="zh-CN"/>
        </w:rPr>
        <w:t xml:space="preserve"> 应在法律规定的范围内且根据本合同条款的规定正确使用乙方出具的交付物。</w:t>
      </w:r>
    </w:p>
    <w:p w14:paraId="53E87211">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3.3应当充分配合乙方的服务工作，包括：</w:t>
      </w:r>
    </w:p>
    <w:p w14:paraId="354427AF">
      <w:pPr>
        <w:adjustRightInd w:val="0"/>
        <w:snapToGrid w:val="0"/>
        <w:spacing w:line="520" w:lineRule="exact"/>
        <w:rPr>
          <w:rFonts w:hint="eastAsia" w:ascii="宋体"/>
          <w:color w:val="auto"/>
          <w:highlight w:val="none"/>
        </w:rPr>
      </w:pPr>
      <w:r>
        <w:rPr>
          <w:rFonts w:hint="eastAsia" w:ascii="宋体"/>
          <w:color w:val="auto"/>
          <w:highlight w:val="none"/>
        </w:rPr>
        <w:t>（1）自本合同签订后，甲方应及时或按乙方的要求向乙方提交乙方服务所需的甲方相关基础资料；</w:t>
      </w:r>
    </w:p>
    <w:p w14:paraId="2FC9FEA8">
      <w:pPr>
        <w:adjustRightInd w:val="0"/>
        <w:snapToGrid w:val="0"/>
        <w:spacing w:line="520" w:lineRule="exact"/>
        <w:rPr>
          <w:rFonts w:hint="eastAsia" w:ascii="宋体"/>
          <w:color w:val="auto"/>
          <w:highlight w:val="none"/>
        </w:rPr>
      </w:pPr>
      <w:r>
        <w:rPr>
          <w:rFonts w:hint="eastAsia" w:ascii="宋体"/>
          <w:color w:val="auto"/>
          <w:highlight w:val="none"/>
        </w:rPr>
        <w:t>（2）在提供服务过程中，就乙方提出的合理的工作计划和人员要求及时做出相关安排，及时向乙方提供所需资料与信息并安排业务访谈，并迅速做出决策；</w:t>
      </w:r>
    </w:p>
    <w:p w14:paraId="62FB61BC">
      <w:pPr>
        <w:adjustRightInd w:val="0"/>
        <w:snapToGrid w:val="0"/>
        <w:spacing w:line="520" w:lineRule="exact"/>
        <w:rPr>
          <w:rFonts w:hint="eastAsia" w:ascii="宋体"/>
          <w:color w:val="auto"/>
          <w:highlight w:val="none"/>
        </w:rPr>
      </w:pPr>
      <w:r>
        <w:rPr>
          <w:rFonts w:hint="eastAsia" w:ascii="宋体"/>
          <w:color w:val="auto"/>
          <w:highlight w:val="none"/>
        </w:rPr>
        <w:t>（3）甲方所提供的资料如有变更，应及时提供变更后的资料；</w:t>
      </w:r>
    </w:p>
    <w:p w14:paraId="187D9847">
      <w:pPr>
        <w:adjustRightInd w:val="0"/>
        <w:snapToGrid w:val="0"/>
        <w:spacing w:line="520" w:lineRule="exact"/>
        <w:rPr>
          <w:rFonts w:hint="eastAsia" w:ascii="宋体"/>
          <w:color w:val="auto"/>
          <w:highlight w:val="none"/>
        </w:rPr>
      </w:pPr>
      <w:r>
        <w:rPr>
          <w:rFonts w:hint="eastAsia" w:ascii="宋体"/>
          <w:color w:val="auto"/>
          <w:highlight w:val="none"/>
        </w:rPr>
        <w:t>（4）向乙方项目实施人员提供必要的办公场所等工作支持。</w:t>
      </w:r>
    </w:p>
    <w:p w14:paraId="66EE0EE4">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3.4 按照本合同约定向乙方支付服务费用。</w:t>
      </w:r>
    </w:p>
    <w:p w14:paraId="599B0D5F">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3.5 如甲方提供信息及其他资料存在问题，导致乙方需要对服务作较大调整，双方应进行协商，就服务范围以及服务费用调整提出解决方案。</w:t>
      </w:r>
    </w:p>
    <w:p w14:paraId="43AF9E7C">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第四条  乙方的权利和义务</w:t>
      </w:r>
    </w:p>
    <w:p w14:paraId="161F4503">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4.1 遵守法律法规及银行业金融机构内部管理制度及规定，贯彻执行相关监管政策。</w:t>
      </w:r>
    </w:p>
    <w:p w14:paraId="55714583">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4.2乙方需为甲方提供持续的项目风险识别和控制措施，并按甲方要求提供公司财务分析报告、项目进度报告以及重大事项报告等。</w:t>
      </w:r>
    </w:p>
    <w:p w14:paraId="0175D0E2">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4.3乙方应该适时开展风险管理评估和第三方审计工作，应该接受甲方的审核、评估以及外包检查，并配合接受来自监管机构的各项检查，配合对监管意见做出相应的管理、服务等的整改。</w:t>
      </w:r>
    </w:p>
    <w:p w14:paraId="1F7512C6">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kern w:val="2"/>
          <w:sz w:val="24"/>
          <w:highlight w:val="none"/>
          <w:lang w:eastAsia="zh-CN"/>
        </w:rPr>
        <w:t>4.</w:t>
      </w:r>
      <w:r>
        <w:rPr>
          <w:rFonts w:ascii="宋体" w:eastAsia="宋体"/>
          <w:color w:val="auto"/>
          <w:kern w:val="2"/>
          <w:sz w:val="24"/>
          <w:highlight w:val="none"/>
          <w:lang w:eastAsia="zh-CN"/>
        </w:rPr>
        <w:t>4</w:t>
      </w:r>
      <w:r>
        <w:rPr>
          <w:rFonts w:ascii="宋体" w:eastAsia="宋体"/>
          <w:color w:val="auto"/>
          <w:kern w:val="2"/>
          <w:sz w:val="24"/>
          <w:highlight w:val="none"/>
          <w:lang w:val="en-US" w:eastAsia="zh-CN"/>
        </w:rPr>
        <w:t>乙方应针对服务内容为甲方制定业务连续性计划和应急计划并维护好相关资源</w:t>
      </w:r>
      <w:r>
        <w:rPr>
          <w:rFonts w:hint="eastAsia" w:ascii="宋体" w:eastAsia="宋体"/>
          <w:color w:val="auto"/>
          <w:kern w:val="2"/>
          <w:sz w:val="24"/>
          <w:highlight w:val="none"/>
          <w:lang w:val="en-US" w:eastAsia="zh-CN"/>
        </w:rPr>
        <w:t>，</w:t>
      </w:r>
      <w:r>
        <w:rPr>
          <w:rFonts w:ascii="宋体" w:eastAsia="宋体"/>
          <w:color w:val="auto"/>
          <w:kern w:val="2"/>
          <w:sz w:val="24"/>
          <w:highlight w:val="none"/>
          <w:lang w:val="en-US" w:eastAsia="zh-CN"/>
        </w:rPr>
        <w:t>在服务质量不能满足合同要求时</w:t>
      </w:r>
      <w:r>
        <w:rPr>
          <w:rFonts w:hint="eastAsia" w:ascii="宋体" w:eastAsia="宋体"/>
          <w:color w:val="auto"/>
          <w:kern w:val="2"/>
          <w:sz w:val="24"/>
          <w:highlight w:val="none"/>
          <w:lang w:val="en-US" w:eastAsia="zh-CN"/>
        </w:rPr>
        <w:t>，甲方具有</w:t>
      </w:r>
      <w:r>
        <w:rPr>
          <w:rFonts w:ascii="宋体" w:eastAsia="宋体"/>
          <w:color w:val="auto"/>
          <w:kern w:val="2"/>
          <w:sz w:val="24"/>
          <w:highlight w:val="none"/>
          <w:lang w:val="en-US" w:eastAsia="zh-CN"/>
        </w:rPr>
        <w:t>优先获取服务资源的权利</w:t>
      </w:r>
      <w:r>
        <w:rPr>
          <w:rFonts w:hint="eastAsia" w:ascii="宋体" w:eastAsia="宋体"/>
          <w:color w:val="auto"/>
          <w:kern w:val="2"/>
          <w:sz w:val="24"/>
          <w:highlight w:val="none"/>
          <w:lang w:val="en-US" w:eastAsia="zh-CN"/>
        </w:rPr>
        <w:t>。</w:t>
      </w:r>
    </w:p>
    <w:p w14:paraId="57118821">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5</w:t>
      </w:r>
      <w:r>
        <w:rPr>
          <w:rFonts w:hint="eastAsia" w:ascii="宋体" w:eastAsia="宋体"/>
          <w:color w:val="auto"/>
          <w:sz w:val="24"/>
          <w:highlight w:val="none"/>
          <w:lang w:eastAsia="zh-CN"/>
        </w:rPr>
        <w:t xml:space="preserve"> 应当按项目计划完成工作内容说明书规定的服务，并提交项目成果。</w:t>
      </w:r>
    </w:p>
    <w:p w14:paraId="02969DFD">
      <w:pPr>
        <w:pStyle w:val="10"/>
        <w:tabs>
          <w:tab w:val="right" w:pos="0"/>
          <w:tab w:val="clear" w:pos="630"/>
          <w:tab w:val="clear" w:pos="8730"/>
        </w:tabs>
        <w:adjustRightInd w:val="0"/>
        <w:snapToGrid w:val="0"/>
        <w:spacing w:line="520" w:lineRule="exact"/>
        <w:ind w:right="16"/>
        <w:rPr>
          <w:rFonts w:hint="eastAsia"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6</w:t>
      </w:r>
      <w:r>
        <w:rPr>
          <w:rFonts w:hint="eastAsia" w:ascii="宋体" w:eastAsia="宋体"/>
          <w:color w:val="auto"/>
          <w:sz w:val="24"/>
          <w:highlight w:val="none"/>
          <w:lang w:eastAsia="zh-CN"/>
        </w:rPr>
        <w:t>有义务对甲方提出的口头或书面咨询进行及时解答或提交书面咨询意见。</w:t>
      </w:r>
    </w:p>
    <w:p w14:paraId="07A3D47C">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sz w:val="24"/>
          <w:highlight w:val="none"/>
          <w:lang w:eastAsia="zh-CN"/>
        </w:rPr>
        <w:t>4.</w:t>
      </w:r>
      <w:r>
        <w:rPr>
          <w:rFonts w:hint="eastAsia" w:ascii="宋体" w:eastAsia="宋体"/>
          <w:color w:val="auto"/>
          <w:sz w:val="24"/>
          <w:highlight w:val="none"/>
          <w:lang w:val="en-US" w:eastAsia="zh-CN"/>
        </w:rPr>
        <w:t>7</w:t>
      </w:r>
      <w:r>
        <w:rPr>
          <w:rFonts w:hint="eastAsia" w:ascii="宋体" w:eastAsia="宋体"/>
          <w:color w:val="auto"/>
          <w:sz w:val="24"/>
          <w:highlight w:val="none"/>
          <w:lang w:eastAsia="zh-CN"/>
        </w:rPr>
        <w:t>应当按照甲方的合理要求，及时报告有</w:t>
      </w:r>
      <w:r>
        <w:rPr>
          <w:rFonts w:hint="eastAsia" w:ascii="宋体" w:eastAsia="宋体"/>
          <w:color w:val="auto"/>
          <w:kern w:val="2"/>
          <w:sz w:val="24"/>
          <w:highlight w:val="none"/>
          <w:lang w:val="en-US" w:eastAsia="zh-CN"/>
        </w:rPr>
        <w:t>关服务事宜的进展情况。</w:t>
      </w:r>
    </w:p>
    <w:p w14:paraId="6C7F87C2">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 xml:space="preserve">4.8保证其项目实施人员具有充分的完成其相应工作任务的专业知识和经验。 </w:t>
      </w:r>
    </w:p>
    <w:p w14:paraId="1A07ACDC">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4.9乙方保证遵守甲方《重庆三峡银行回避管理办法》中招录回避、任职回避、公务回避的相关要求。若发现乙方人员与甲方内部人员存在亲属关系，乙方应主动报告，并采取相应回避措施。</w:t>
      </w:r>
    </w:p>
    <w:p w14:paraId="01C785B3">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4.10乙方保证其人员无不良记录，乙方与其建立合法的雇佣关系，依法履行用工管理职责。</w:t>
      </w:r>
    </w:p>
    <w:p w14:paraId="438FB70A">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4.11 乙方定期通报外包事项，及时通报外包突发性事件及解决情况。</w:t>
      </w:r>
    </w:p>
    <w:p w14:paraId="4A1781C8">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第五条  项目成果的验收</w:t>
      </w:r>
    </w:p>
    <w:p w14:paraId="1A31F017">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5.1乙方保证以良好的态度和专业能力提供服务，并按照附件的规定</w:t>
      </w:r>
      <w:r>
        <w:rPr>
          <w:rFonts w:hint="eastAsia" w:ascii="宋体" w:eastAsia="宋体"/>
          <w:color w:val="auto"/>
          <w:sz w:val="24"/>
          <w:highlight w:val="none"/>
          <w:lang w:eastAsia="zh-CN"/>
        </w:rPr>
        <w:t>向甲方交付工作成果，并向甲方就交付成果进行讲解、交流、汇报</w:t>
      </w:r>
      <w:r>
        <w:rPr>
          <w:rFonts w:hint="eastAsia" w:ascii="宋体" w:eastAsia="宋体"/>
          <w:color w:val="auto"/>
          <w:sz w:val="24"/>
          <w:highlight w:val="none"/>
          <w:lang w:eastAsia="zh-CN"/>
        </w:rPr>
        <w:fldChar w:fldCharType="begin"/>
      </w:r>
      <w:r>
        <w:rPr>
          <w:color w:val="auto"/>
          <w:highlight w:val="none"/>
        </w:rPr>
        <w:instrText xml:space="preserve">HYPERLINK "http://www.51paper.net" \o "论文资料网"</w:instrText>
      </w:r>
      <w:r>
        <w:rPr>
          <w:rFonts w:hint="eastAsia" w:ascii="宋体" w:eastAsia="宋体"/>
          <w:color w:val="auto"/>
          <w:sz w:val="24"/>
          <w:highlight w:val="none"/>
          <w:lang w:eastAsia="zh-CN"/>
        </w:rPr>
        <w:fldChar w:fldCharType="separate"/>
      </w:r>
      <w:r>
        <w:rPr>
          <w:rFonts w:hint="eastAsia" w:ascii="宋体" w:eastAsia="宋体"/>
          <w:color w:val="auto"/>
          <w:sz w:val="24"/>
          <w:highlight w:val="none"/>
          <w:lang w:eastAsia="zh-CN"/>
        </w:rPr>
        <w:t>。</w:t>
      </w:r>
      <w:r>
        <w:rPr>
          <w:rFonts w:hint="eastAsia" w:ascii="宋体" w:eastAsia="宋体"/>
          <w:color w:val="auto"/>
          <w:sz w:val="24"/>
          <w:highlight w:val="none"/>
          <w:lang w:eastAsia="zh-CN"/>
        </w:rPr>
        <w:fldChar w:fldCharType="end"/>
      </w:r>
      <w:r>
        <w:rPr>
          <w:rFonts w:hint="eastAsia" w:ascii="宋体" w:eastAsia="宋体"/>
          <w:color w:val="auto"/>
          <w:sz w:val="24"/>
          <w:highlight w:val="none"/>
          <w:lang w:eastAsia="zh-CN"/>
        </w:rPr>
        <w:t>乙方在项目过程中提交的交付物应与工作内容说明书的要求相符合。甲方收到交付物并充分交流后，应在30</w:t>
      </w:r>
      <w:r>
        <w:rPr>
          <w:rFonts w:hint="eastAsia" w:ascii="宋体" w:eastAsia="宋体"/>
          <w:color w:val="auto"/>
          <w:kern w:val="2"/>
          <w:sz w:val="24"/>
          <w:szCs w:val="24"/>
          <w:highlight w:val="none"/>
          <w:lang w:val="en-US" w:eastAsia="zh-CN"/>
        </w:rPr>
        <w:t>个工作日内组织验收，并通知乙方验收结果。如甲方因故不能验收的，应通知乙方。双方另行约定时间进行验收。</w:t>
      </w:r>
    </w:p>
    <w:p w14:paraId="6CB3DC2F">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5.2乙方按照本合同约定完成各项服务并提交全部交付物，全部验收合格视为本项目整体验收合格。</w:t>
      </w:r>
    </w:p>
    <w:p w14:paraId="371A51ED">
      <w:pPr>
        <w:pStyle w:val="10"/>
        <w:snapToGrid w:val="0"/>
        <w:spacing w:line="520" w:lineRule="exact"/>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3C7C0318">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第六条  知识产权</w:t>
      </w:r>
    </w:p>
    <w:p w14:paraId="1EBAF2E5">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6.1本合同签署前，双方各自所有的知识产权归各自所有，不因本合同的履行而被对方取得。</w:t>
      </w:r>
    </w:p>
    <w:p w14:paraId="05A17E41">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6.2 本合同签署后，乙方按照本合同规定向甲方提交的交付物的知识产权属于甲方。</w:t>
      </w:r>
    </w:p>
    <w:p w14:paraId="37FE9E34">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6.3 在遵守保密约定的前提下，乙方有权使用其在履行本合同过程中使用或开发的咨询业务常识、技能、经验、构思、概念和方法，有权为自身或他人制作与本合同项下类似的材料。</w:t>
      </w:r>
    </w:p>
    <w:p w14:paraId="66211C11">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eastAsia="zh-CN"/>
        </w:rPr>
      </w:pPr>
      <w:r>
        <w:rPr>
          <w:rFonts w:hint="eastAsia" w:ascii="宋体" w:eastAsia="宋体"/>
          <w:color w:val="auto"/>
          <w:kern w:val="2"/>
          <w:sz w:val="24"/>
          <w:szCs w:val="24"/>
          <w:highlight w:val="none"/>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1900B2CF">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6.5</w:t>
      </w:r>
      <w:r>
        <w:rPr>
          <w:rFonts w:ascii="宋体" w:eastAsia="宋体"/>
          <w:color w:val="auto"/>
          <w:kern w:val="2"/>
          <w:sz w:val="24"/>
          <w:szCs w:val="24"/>
          <w:highlight w:val="none"/>
          <w:lang w:val="en-US" w:eastAsia="zh-CN"/>
        </w:rPr>
        <w:t>一经发现</w:t>
      </w:r>
      <w:r>
        <w:rPr>
          <w:rFonts w:hint="eastAsia" w:ascii="宋体" w:eastAsia="宋体"/>
          <w:color w:val="auto"/>
          <w:kern w:val="2"/>
          <w:sz w:val="24"/>
          <w:szCs w:val="24"/>
          <w:highlight w:val="none"/>
          <w:lang w:val="en-US" w:eastAsia="zh-CN"/>
        </w:rPr>
        <w:t>乙方</w:t>
      </w:r>
      <w:r>
        <w:rPr>
          <w:rFonts w:ascii="宋体" w:eastAsia="宋体"/>
          <w:color w:val="auto"/>
          <w:kern w:val="2"/>
          <w:sz w:val="24"/>
          <w:szCs w:val="24"/>
          <w:highlight w:val="none"/>
          <w:lang w:val="en-US" w:eastAsia="zh-CN"/>
        </w:rPr>
        <w:t>将</w:t>
      </w:r>
      <w:r>
        <w:rPr>
          <w:rFonts w:hint="eastAsia" w:ascii="宋体" w:eastAsia="宋体"/>
          <w:color w:val="auto"/>
          <w:kern w:val="2"/>
          <w:sz w:val="24"/>
          <w:szCs w:val="24"/>
          <w:highlight w:val="none"/>
          <w:lang w:val="en-US" w:eastAsia="zh-CN"/>
        </w:rPr>
        <w:t>甲方</w:t>
      </w:r>
      <w:r>
        <w:rPr>
          <w:rFonts w:ascii="宋体" w:eastAsia="宋体"/>
          <w:color w:val="auto"/>
          <w:kern w:val="2"/>
          <w:sz w:val="24"/>
          <w:szCs w:val="24"/>
          <w:highlight w:val="none"/>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eastAsia="宋体"/>
          <w:color w:val="auto"/>
          <w:kern w:val="2"/>
          <w:sz w:val="24"/>
          <w:szCs w:val="24"/>
          <w:highlight w:val="none"/>
          <w:lang w:val="en-US" w:eastAsia="zh-CN"/>
        </w:rPr>
        <w:t>乙</w:t>
      </w:r>
      <w:r>
        <w:rPr>
          <w:rFonts w:ascii="宋体" w:eastAsia="宋体"/>
          <w:color w:val="auto"/>
          <w:kern w:val="2"/>
          <w:sz w:val="24"/>
          <w:szCs w:val="24"/>
          <w:highlight w:val="none"/>
          <w:lang w:val="en-US" w:eastAsia="zh-CN"/>
        </w:rPr>
        <w:t>方相应处罚（处罚金额不低于合同金额的10%）</w:t>
      </w:r>
    </w:p>
    <w:p w14:paraId="1DBE6A71">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6.6 本合同终止后，本知识产权条款持续有效。</w:t>
      </w:r>
    </w:p>
    <w:p w14:paraId="29FB5DC6">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第七条  服务费用及其支付</w:t>
      </w:r>
    </w:p>
    <w:p w14:paraId="795617EC">
      <w:pPr>
        <w:snapToGrid w:val="0"/>
        <w:spacing w:line="520" w:lineRule="exact"/>
        <w:rPr>
          <w:rFonts w:hint="eastAsia" w:ascii="宋体"/>
          <w:color w:val="auto"/>
          <w:highlight w:val="none"/>
        </w:rPr>
      </w:pPr>
      <w:r>
        <w:rPr>
          <w:rFonts w:hint="eastAsia" w:ascii="宋体"/>
          <w:color w:val="auto"/>
          <w:highlight w:val="none"/>
        </w:rPr>
        <w:t>7.1 服务费用：</w:t>
      </w:r>
    </w:p>
    <w:p w14:paraId="0C227A05">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sz w:val="24"/>
          <w:highlight w:val="none"/>
          <w:lang w:val="en-US" w:eastAsia="zh-CN"/>
        </w:rPr>
        <w:t>对</w:t>
      </w:r>
      <w:r>
        <w:rPr>
          <w:rFonts w:hint="eastAsia" w:ascii="宋体" w:eastAsia="宋体"/>
          <w:color w:val="auto"/>
          <w:sz w:val="24"/>
          <w:highlight w:val="none"/>
          <w:lang w:eastAsia="zh-CN"/>
        </w:rPr>
        <w:t>于工作内容说明书约定的各项服务，甲方同意向乙方支付服务费用（下称“服务费用” ）。服务费用总额为：</w:t>
      </w:r>
      <w:r>
        <w:rPr>
          <w:rFonts w:hint="eastAsia" w:ascii="宋体" w:eastAsia="宋体"/>
          <w:color w:val="auto"/>
          <w:sz w:val="24"/>
          <w:highlight w:val="none"/>
          <w:u w:val="single"/>
          <w:lang w:eastAsia="zh-CN"/>
        </w:rPr>
        <w:t xml:space="preserve">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（大写：___________元整）,</w:t>
      </w:r>
      <w:r>
        <w:rPr>
          <w:rFonts w:hint="eastAsia" w:ascii="宋体" w:eastAsia="宋体"/>
          <w:color w:val="auto"/>
          <w:sz w:val="24"/>
          <w:highlight w:val="none"/>
          <w:u w:val="single"/>
          <w:lang w:eastAsia="zh-CN"/>
        </w:rPr>
        <w:t xml:space="preserve">其中不含税价为：_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，税额为</w:t>
      </w:r>
      <w:r>
        <w:rPr>
          <w:rFonts w:hint="eastAsia" w:ascii="宋体" w:eastAsia="宋体"/>
          <w:color w:val="auto"/>
          <w:sz w:val="24"/>
          <w:highlight w:val="none"/>
          <w:u w:val="single"/>
          <w:lang w:eastAsia="zh-CN"/>
        </w:rPr>
        <w:t xml:space="preserve">：_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；不含税价格不因国家税率变化而变化，若在合同履行期间，如遇国家的税率调整，则价税</w:t>
      </w:r>
      <w:r>
        <w:rPr>
          <w:rFonts w:hint="eastAsia" w:ascii="宋体" w:eastAsia="宋体"/>
          <w:color w:val="auto"/>
          <w:sz w:val="24"/>
          <w:szCs w:val="24"/>
          <w:highlight w:val="none"/>
          <w:lang w:eastAsia="zh-CN"/>
        </w:rPr>
        <w:t>合计应相应调整，以开具发票的时间为准。乙方须严格按照合同内容开具税率为</w:t>
      </w:r>
      <w:r>
        <w:rPr>
          <w:rFonts w:hint="eastAsia" w:ascii="宋体" w:eastAsia="宋体"/>
          <w:b/>
          <w:color w:val="auto"/>
          <w:sz w:val="24"/>
          <w:szCs w:val="24"/>
          <w:highlight w:val="none"/>
          <w:lang w:eastAsia="zh-CN"/>
        </w:rPr>
        <w:t>6%</w:t>
      </w:r>
      <w:r>
        <w:rPr>
          <w:rFonts w:hint="eastAsia" w:ascii="宋体" w:eastAsia="宋体"/>
          <w:color w:val="auto"/>
          <w:sz w:val="24"/>
          <w:szCs w:val="24"/>
          <w:highlight w:val="none"/>
          <w:lang w:eastAsia="zh-CN"/>
        </w:rPr>
        <w:t>的增值税专用发票</w:t>
      </w:r>
      <w:r>
        <w:rPr>
          <w:rFonts w:hint="eastAsia" w:ascii="宋体" w:eastAsia="宋体"/>
          <w:color w:val="auto"/>
          <w:kern w:val="2"/>
          <w:sz w:val="24"/>
          <w:szCs w:val="24"/>
          <w:highlight w:val="none"/>
          <w:lang w:val="en-US" w:eastAsia="zh-CN"/>
        </w:rPr>
        <w:t>。</w:t>
      </w:r>
    </w:p>
    <w:p w14:paraId="6E7D4EB9">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 支付方式：</w:t>
      </w:r>
    </w:p>
    <w:p w14:paraId="163B027B">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甲方应按下列规定时间向乙方支付服务费用。</w:t>
      </w:r>
    </w:p>
    <w:p w14:paraId="567D7F2F">
      <w:pPr>
        <w:pStyle w:val="10"/>
        <w:tabs>
          <w:tab w:val="right" w:pos="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本合同实施款项采用分期付款：</w:t>
      </w:r>
    </w:p>
    <w:p w14:paraId="73444AC8">
      <w:pPr>
        <w:pStyle w:val="10"/>
        <w:tabs>
          <w:tab w:val="right" w:pos="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 xml:space="preserve">7.2.1乙方完成电子银行类系统安全评估工作，出具评估报告并经甲方审核通过后，乙方向甲方提供合法足额的增值税专用发票的30个工作日内，甲方支付合同总额的40%，即 </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（大写：          元整  ）</w:t>
      </w:r>
    </w:p>
    <w:p w14:paraId="224DC2A7">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7.2.2完成全部服务内容，项目全面验收通过后，甲方依据附件3《服务水平协议》对乙方服务质量作出评价，评价合格后，乙方向甲方提供合法足额的增值税专用发票后的30个工作日内，甲方支付合同总价的60％，即</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（大写：</w:t>
      </w:r>
      <w:r>
        <w:rPr>
          <w:rFonts w:hint="eastAsia" w:ascii="宋体" w:eastAsia="宋体"/>
          <w:color w:val="auto"/>
          <w:kern w:val="2"/>
          <w:sz w:val="24"/>
          <w:highlight w:val="none"/>
          <w:u w:val="single"/>
          <w:lang w:val="en-US" w:eastAsia="zh-CN"/>
        </w:rPr>
        <w:t xml:space="preserve">          </w:t>
      </w:r>
      <w:r>
        <w:rPr>
          <w:rFonts w:hint="eastAsia" w:ascii="宋体" w:eastAsia="宋体"/>
          <w:color w:val="auto"/>
          <w:kern w:val="2"/>
          <w:sz w:val="24"/>
          <w:highlight w:val="none"/>
          <w:lang w:val="en-US" w:eastAsia="zh-CN"/>
        </w:rPr>
        <w:t>元整 ），否则按《服务水平协议》进行相应金额扣除。</w:t>
      </w:r>
    </w:p>
    <w:p w14:paraId="3F5851C6">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第八条  保密条款</w:t>
      </w:r>
    </w:p>
    <w:p w14:paraId="12FA4903">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8.1 本合同项下的所有条款。乙方外包人员入场前须与甲方签订相应诚信安全承诺书。</w:t>
      </w:r>
    </w:p>
    <w:p w14:paraId="2A42EEDA">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2</w:t>
      </w:r>
      <w:r>
        <w:rPr>
          <w:rFonts w:hint="eastAsia" w:ascii="宋体" w:eastAsia="宋体"/>
          <w:color w:val="auto"/>
          <w:kern w:val="2"/>
          <w:sz w:val="24"/>
          <w:highlight w:val="none"/>
          <w:lang w:val="en-US" w:eastAsia="zh-CN"/>
        </w:rPr>
        <w:t xml:space="preserve"> 乙方应对本合同所述的客户信息、技术资料、业务流程、数据等</w:t>
      </w:r>
      <w:r>
        <w:rPr>
          <w:rFonts w:ascii="宋体" w:eastAsia="宋体"/>
          <w:color w:val="auto"/>
          <w:kern w:val="2"/>
          <w:sz w:val="24"/>
          <w:highlight w:val="none"/>
          <w:lang w:val="en-US" w:eastAsia="zh-CN"/>
        </w:rPr>
        <w:t>重要</w:t>
      </w:r>
      <w:r>
        <w:rPr>
          <w:rFonts w:hint="eastAsia" w:ascii="宋体" w:eastAsia="宋体"/>
          <w:color w:val="auto"/>
          <w:kern w:val="2"/>
          <w:sz w:val="24"/>
          <w:highlight w:val="none"/>
          <w:lang w:val="en-US" w:eastAsia="zh-CN"/>
        </w:rPr>
        <w:t>信息采取保密措施，未经甲方的书面同意，乙方不得在合同允许范围外使用、披露、向无关人员或第三方透露，也不能就有关合同内容的任何部分进行新闻的发布、公开的宣称、否认或承认。</w:t>
      </w:r>
    </w:p>
    <w:p w14:paraId="363DE7EA">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3</w:t>
      </w:r>
      <w:r>
        <w:rPr>
          <w:rFonts w:hint="eastAsia" w:ascii="宋体" w:eastAsia="宋体"/>
          <w:color w:val="auto"/>
          <w:kern w:val="2"/>
          <w:sz w:val="24"/>
          <w:highlight w:val="none"/>
          <w:lang w:val="en-US" w:eastAsia="zh-CN"/>
        </w:rPr>
        <w:t xml:space="preserve"> 乙方不得以甲方名义开展活动，不得将甲方数据、信息以任何形式转移、挪用或谋取合同约定以外的利益。</w:t>
      </w:r>
    </w:p>
    <w:p w14:paraId="455267F4">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8.4 乙方知道违反本条规定将给甲方客户权利以及甲方造成难以弥补的损失，为此同意承担由此产生的经济上和法律上的责任。</w:t>
      </w:r>
    </w:p>
    <w:p w14:paraId="0A5FC764">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8.5 乙方承认本合同中的技术资料和技术秘密为甲方所专有，将其对乙方进行披露并不意味着任何所有权、专利权的转让。</w:t>
      </w:r>
    </w:p>
    <w:p w14:paraId="76D6ABB4">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8.6 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74DDEBB0">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8.7 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718F1707">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8.8 除非甲方特别声明，乙方对于保密信息的保密义务为无限期保密，直至甲方宣布解密或者保密信息实际上已经公开。</w:t>
      </w:r>
    </w:p>
    <w:p w14:paraId="2DC77D32">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8.9 任何一方违反本章约定均被视为违约，违约方应承担违约责任。</w:t>
      </w:r>
    </w:p>
    <w:p w14:paraId="0A1F3E50">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第九条  合同的解除和终止</w:t>
      </w:r>
    </w:p>
    <w:p w14:paraId="073D65D4">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9.1 如果满足以下条件，任一方在通知对方后，都可以解除本合同：</w:t>
      </w:r>
    </w:p>
    <w:p w14:paraId="0163A7B4">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5B54500">
      <w:pPr>
        <w:pStyle w:val="10"/>
        <w:tabs>
          <w:tab w:val="right" w:pos="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67B29D97">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9.2 当本合同以任何原因终止时，乙方应将本合同项下的过程文档、资料等全部交付给甲方，配合甲方完成知识转移，保证甲方能够继续开展工作；并应立即停止使用并</w:t>
      </w:r>
      <w:r>
        <w:rPr>
          <w:rFonts w:ascii="宋体" w:eastAsia="宋体"/>
          <w:color w:val="auto"/>
          <w:kern w:val="2"/>
          <w:sz w:val="24"/>
          <w:highlight w:val="none"/>
          <w:lang w:val="en-US" w:eastAsia="zh-CN"/>
        </w:rPr>
        <w:t>删除或</w:t>
      </w:r>
      <w:r>
        <w:rPr>
          <w:rFonts w:hint="eastAsia" w:ascii="宋体" w:eastAsia="宋体"/>
          <w:color w:val="auto"/>
          <w:kern w:val="2"/>
          <w:sz w:val="24"/>
          <w:highlight w:val="none"/>
          <w:lang w:val="en-US" w:eastAsia="zh-CN"/>
        </w:rPr>
        <w:t>销毁包含甲方机密信息的所有物件，并证明该销毁情况；或者将这些物件归还对方。</w:t>
      </w:r>
    </w:p>
    <w:p w14:paraId="0D41BDDD">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第十条 违约责任</w:t>
      </w:r>
    </w:p>
    <w:p w14:paraId="6A2DEEAB">
      <w:pPr>
        <w:adjustRightInd w:val="0"/>
        <w:snapToGrid w:val="0"/>
        <w:spacing w:line="520" w:lineRule="exact"/>
        <w:jc w:val="left"/>
        <w:rPr>
          <w:rFonts w:hint="eastAsia" w:ascii="宋体"/>
          <w:color w:val="auto"/>
          <w:kern w:val="0"/>
          <w:highlight w:val="none"/>
        </w:rPr>
      </w:pPr>
      <w:r>
        <w:rPr>
          <w:rFonts w:hint="eastAsia" w:ascii="宋体"/>
          <w:color w:val="auto"/>
          <w:kern w:val="0"/>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26A3CE40">
      <w:pPr>
        <w:adjustRightInd w:val="0"/>
        <w:snapToGrid w:val="0"/>
        <w:spacing w:line="520" w:lineRule="exact"/>
        <w:jc w:val="left"/>
        <w:rPr>
          <w:rFonts w:hint="eastAsia" w:ascii="宋体"/>
          <w:b/>
          <w:color w:val="auto"/>
          <w:kern w:val="0"/>
          <w:highlight w:val="none"/>
        </w:rPr>
      </w:pPr>
      <w:r>
        <w:rPr>
          <w:rFonts w:hint="eastAsia" w:ascii="宋体"/>
          <w:color w:val="auto"/>
          <w:kern w:val="0"/>
          <w:highlight w:val="none"/>
        </w:rPr>
        <w:t>10.2 违约金的计算方法如下：</w:t>
      </w:r>
    </w:p>
    <w:p w14:paraId="5814CCB0">
      <w:pPr>
        <w:adjustRightInd w:val="0"/>
        <w:snapToGrid w:val="0"/>
        <w:spacing w:line="520" w:lineRule="exact"/>
        <w:jc w:val="left"/>
        <w:rPr>
          <w:rFonts w:hint="eastAsia" w:ascii="宋体"/>
          <w:color w:val="auto"/>
          <w:kern w:val="0"/>
          <w:highlight w:val="none"/>
        </w:rPr>
      </w:pPr>
      <w:r>
        <w:rPr>
          <w:rFonts w:hint="eastAsia" w:ascii="宋体"/>
          <w:color w:val="auto"/>
          <w:kern w:val="0"/>
          <w:highlight w:val="none"/>
        </w:rPr>
        <w:t>（1）因甲方原因未按本合同的规定向乙方付款的，逾期超过一个月后，每逾期一日，应向乙方偿付欠款金额万分之五的违约金；</w:t>
      </w:r>
    </w:p>
    <w:p w14:paraId="10935CB5">
      <w:pPr>
        <w:adjustRightInd w:val="0"/>
        <w:snapToGrid w:val="0"/>
        <w:spacing w:line="520" w:lineRule="exact"/>
        <w:jc w:val="left"/>
        <w:rPr>
          <w:rFonts w:hint="eastAsia" w:ascii="宋体"/>
          <w:color w:val="auto"/>
          <w:kern w:val="0"/>
          <w:highlight w:val="none"/>
        </w:rPr>
      </w:pPr>
      <w:r>
        <w:rPr>
          <w:rFonts w:hint="eastAsia" w:ascii="宋体"/>
          <w:color w:val="auto"/>
          <w:kern w:val="0"/>
          <w:highlight w:val="none"/>
        </w:rPr>
        <w:t>（2）如果因为乙方原因没有在按期完成项目服务工作，每逾期一天，乙方应按照相应服务费的万分之五向甲方支付违约金。</w:t>
      </w:r>
    </w:p>
    <w:p w14:paraId="1122CFB9">
      <w:pPr>
        <w:adjustRightInd w:val="0"/>
        <w:snapToGrid w:val="0"/>
        <w:spacing w:line="520" w:lineRule="exact"/>
        <w:jc w:val="left"/>
        <w:rPr>
          <w:rFonts w:hint="eastAsia" w:ascii="宋体"/>
          <w:color w:val="auto"/>
          <w:kern w:val="0"/>
          <w:highlight w:val="none"/>
        </w:rPr>
      </w:pPr>
      <w:r>
        <w:rPr>
          <w:rFonts w:hint="eastAsia" w:ascii="宋体"/>
          <w:color w:val="auto"/>
          <w:kern w:val="0"/>
          <w:highlight w:val="none"/>
        </w:rPr>
        <w:t>10.3 如果甲方未履行本合同规定的付款以外的义务，致使乙方无法履行相应的义务的，除项目服务期限相应顺延外，由此产生的后果由甲方承担，乙方对此免责。</w:t>
      </w:r>
    </w:p>
    <w:p w14:paraId="232E096E">
      <w:pPr>
        <w:snapToGrid w:val="0"/>
        <w:spacing w:line="520" w:lineRule="exact"/>
        <w:rPr>
          <w:rFonts w:hint="eastAsia" w:ascii="宋体"/>
          <w:color w:val="auto"/>
          <w:kern w:val="0"/>
          <w:highlight w:val="none"/>
        </w:rPr>
      </w:pPr>
      <w:r>
        <w:rPr>
          <w:rFonts w:hint="eastAsia" w:ascii="宋体"/>
          <w:color w:val="auto"/>
          <w:kern w:val="0"/>
          <w:highlight w:val="none"/>
        </w:rPr>
        <w:t>10.4 若乙方未能完成甲方委托的咨询任务，则承担本合同总额20%的违约金，并返还甲方已支付的费用。</w:t>
      </w:r>
    </w:p>
    <w:p w14:paraId="7314CBF6">
      <w:pPr>
        <w:snapToGrid w:val="0"/>
        <w:spacing w:line="520" w:lineRule="exact"/>
        <w:rPr>
          <w:rFonts w:hint="eastAsia" w:ascii="宋体"/>
          <w:color w:val="auto"/>
          <w:kern w:val="0"/>
          <w:highlight w:val="none"/>
        </w:rPr>
      </w:pPr>
      <w:r>
        <w:rPr>
          <w:rFonts w:hint="eastAsia" w:ascii="宋体"/>
          <w:color w:val="auto"/>
          <w:kern w:val="0"/>
          <w:highlight w:val="none"/>
        </w:rPr>
        <w:t>10.5 乙方将甲方支付的咨询费用用于履行合同以外的目的，甲方有权制止并要求其纠正。如因此造成本合同项目停滞、延误或失败的，乙方应当承担给甲方造成的损失赔偿责任。</w:t>
      </w:r>
    </w:p>
    <w:p w14:paraId="6611CDE7">
      <w:pPr>
        <w:snapToGrid w:val="0"/>
        <w:spacing w:line="520" w:lineRule="exact"/>
        <w:rPr>
          <w:rFonts w:hint="eastAsia" w:ascii="宋体"/>
          <w:color w:val="auto"/>
          <w:kern w:val="0"/>
          <w:highlight w:val="none"/>
        </w:rPr>
      </w:pPr>
      <w:r>
        <w:rPr>
          <w:rFonts w:hint="eastAsia" w:ascii="宋体"/>
          <w:color w:val="auto"/>
          <w:kern w:val="0"/>
          <w:highlight w:val="none"/>
        </w:rPr>
        <w:t>1</w:t>
      </w:r>
      <w:r>
        <w:rPr>
          <w:rFonts w:ascii="宋体"/>
          <w:color w:val="auto"/>
          <w:kern w:val="0"/>
          <w:highlight w:val="none"/>
        </w:rPr>
        <w:t>0</w:t>
      </w:r>
      <w:r>
        <w:rPr>
          <w:rFonts w:hint="eastAsia" w:ascii="宋体"/>
          <w:color w:val="auto"/>
          <w:kern w:val="0"/>
          <w:highlight w:val="none"/>
        </w:rPr>
        <w:t>.</w:t>
      </w:r>
      <w:r>
        <w:rPr>
          <w:rFonts w:ascii="宋体"/>
          <w:color w:val="auto"/>
          <w:kern w:val="0"/>
          <w:highlight w:val="none"/>
        </w:rPr>
        <w:t>6</w:t>
      </w:r>
      <w:r>
        <w:rPr>
          <w:rFonts w:hint="eastAsia" w:ascii="宋体"/>
          <w:color w:val="auto"/>
          <w:kern w:val="0"/>
          <w:highlight w:val="none"/>
        </w:rPr>
        <w:t xml:space="preserve"> 除本条及附件3《服务水平协议（SLA）》另有约定外，乙方违反本合同任一条款的，应向甲方支付合同总额5%的违约金并赔偿甲方产生的损失。</w:t>
      </w:r>
    </w:p>
    <w:p w14:paraId="025D8A9D">
      <w:pPr>
        <w:snapToGrid w:val="0"/>
        <w:spacing w:line="520" w:lineRule="exact"/>
        <w:rPr>
          <w:rFonts w:hint="eastAsia" w:ascii="宋体"/>
          <w:color w:val="auto"/>
          <w:kern w:val="0"/>
          <w:highlight w:val="none"/>
        </w:rPr>
      </w:pPr>
      <w:r>
        <w:rPr>
          <w:rFonts w:hint="eastAsia" w:ascii="宋体"/>
          <w:color w:val="auto"/>
          <w:kern w:val="0"/>
          <w:highlight w:val="none"/>
        </w:rPr>
        <w:t>1</w:t>
      </w:r>
      <w:r>
        <w:rPr>
          <w:rFonts w:ascii="宋体"/>
          <w:color w:val="auto"/>
          <w:kern w:val="0"/>
          <w:highlight w:val="none"/>
        </w:rPr>
        <w:t>0</w:t>
      </w:r>
      <w:r>
        <w:rPr>
          <w:rFonts w:hint="eastAsia" w:ascii="宋体"/>
          <w:color w:val="auto"/>
          <w:kern w:val="0"/>
          <w:highlight w:val="none"/>
        </w:rPr>
        <w:t>.</w:t>
      </w:r>
      <w:r>
        <w:rPr>
          <w:rFonts w:ascii="宋体"/>
          <w:color w:val="auto"/>
          <w:kern w:val="0"/>
          <w:highlight w:val="none"/>
        </w:rPr>
        <w:t>7</w:t>
      </w:r>
      <w:r>
        <w:rPr>
          <w:rFonts w:hint="eastAsia" w:ascii="宋体"/>
          <w:color w:val="auto"/>
          <w:kern w:val="0"/>
          <w:highlight w:val="none"/>
        </w:rPr>
        <w:t xml:space="preserve"> 本合同项下乙方应支付的违约金、赔偿金等，甲方均有权从应支付给乙方的款项中优先扣除，若有不足，乙方应另行筹措资金补足。</w:t>
      </w:r>
    </w:p>
    <w:p w14:paraId="061E0A33">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第十一条  不可抗力</w:t>
      </w:r>
    </w:p>
    <w:p w14:paraId="46CDE482">
      <w:pPr>
        <w:snapToGrid w:val="0"/>
        <w:spacing w:line="520" w:lineRule="exact"/>
        <w:rPr>
          <w:rFonts w:hint="eastAsia" w:ascii="宋体"/>
          <w:color w:val="auto"/>
          <w:kern w:val="0"/>
          <w:highlight w:val="none"/>
        </w:rPr>
      </w:pPr>
      <w:r>
        <w:rPr>
          <w:rFonts w:hint="eastAsia" w:ascii="宋体"/>
          <w:color w:val="auto"/>
          <w:kern w:val="0"/>
          <w:highlight w:val="none"/>
        </w:rPr>
        <w:t>11.1 不可抗力是指本合同生效后，发生不能预见并且对其发生和后果不能防止或避免的事件，如地震、台风、水灾、火灾、战争、传染病等，致使直接影响本合同的履行或不能按约定的条件履行。</w:t>
      </w:r>
    </w:p>
    <w:p w14:paraId="2380C97A">
      <w:pPr>
        <w:snapToGrid w:val="0"/>
        <w:spacing w:line="520" w:lineRule="exact"/>
        <w:rPr>
          <w:rFonts w:hint="eastAsia" w:ascii="宋体"/>
          <w:color w:val="auto"/>
          <w:kern w:val="0"/>
          <w:highlight w:val="none"/>
        </w:rPr>
      </w:pPr>
      <w:r>
        <w:rPr>
          <w:rFonts w:hint="eastAsia" w:ascii="宋体"/>
          <w:color w:val="auto"/>
          <w:kern w:val="0"/>
          <w:highlight w:val="none"/>
        </w:rPr>
        <w:t>11.2 发生不可抗力的一方应立即通知对方，并在十五天内提供不可抗力的详情及将有关证明文件送交对方。</w:t>
      </w:r>
    </w:p>
    <w:p w14:paraId="087A9EB2">
      <w:pPr>
        <w:snapToGrid w:val="0"/>
        <w:spacing w:line="520" w:lineRule="exact"/>
        <w:rPr>
          <w:rFonts w:hint="eastAsia" w:ascii="宋体"/>
          <w:color w:val="auto"/>
          <w:kern w:val="0"/>
          <w:highlight w:val="none"/>
        </w:rPr>
      </w:pPr>
      <w:r>
        <w:rPr>
          <w:rFonts w:hint="eastAsia" w:ascii="宋体"/>
          <w:color w:val="auto"/>
          <w:kern w:val="0"/>
          <w:highlight w:val="none"/>
        </w:rPr>
        <w:t>11.3 发生不可抗力事件时，甲乙双方应协商以寻找一个合理的解决方法，并尽一切努力减轻不可抗力产生的后果。</w:t>
      </w:r>
    </w:p>
    <w:p w14:paraId="7719E1C4">
      <w:pPr>
        <w:snapToGrid w:val="0"/>
        <w:spacing w:line="520" w:lineRule="exact"/>
        <w:rPr>
          <w:rFonts w:hint="eastAsia" w:ascii="宋体"/>
          <w:color w:val="auto"/>
          <w:kern w:val="0"/>
          <w:highlight w:val="none"/>
        </w:rPr>
      </w:pPr>
      <w:r>
        <w:rPr>
          <w:rFonts w:hint="eastAsia" w:ascii="宋体"/>
          <w:color w:val="auto"/>
          <w:kern w:val="0"/>
          <w:highlight w:val="none"/>
        </w:rPr>
        <w:t>11.4 如不可抗力事件持续三十天时，甲乙双方应友好协商解决本合同是否继续履行或终止的问题。</w:t>
      </w:r>
    </w:p>
    <w:p w14:paraId="2BEDF175">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第十二条  争议解决</w:t>
      </w:r>
    </w:p>
    <w:p w14:paraId="12B79C7C">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color w:val="auto"/>
          <w:kern w:val="2"/>
          <w:sz w:val="24"/>
          <w:highlight w:val="none"/>
          <w:lang w:eastAsia="zh-CN"/>
        </w:rPr>
        <w:t>本合同首部载明的甲方地址所在地有管辖权的人民法院起诉</w:t>
      </w:r>
      <w:r>
        <w:rPr>
          <w:rFonts w:hint="eastAsia" w:ascii="宋体" w:eastAsia="宋体"/>
          <w:color w:val="auto"/>
          <w:kern w:val="2"/>
          <w:sz w:val="24"/>
          <w:highlight w:val="none"/>
          <w:lang w:val="en-US" w:eastAsia="zh-CN"/>
        </w:rPr>
        <w:t>。</w:t>
      </w:r>
    </w:p>
    <w:p w14:paraId="74B8C116">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第十三条 通知与送达</w:t>
      </w:r>
    </w:p>
    <w:p w14:paraId="65EE2E3F">
      <w:pPr>
        <w:pStyle w:val="10"/>
        <w:tabs>
          <w:tab w:val="right" w:pos="0"/>
        </w:tabs>
        <w:snapToGrid w:val="0"/>
        <w:spacing w:line="520" w:lineRule="exact"/>
        <w:ind w:right="16"/>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E329EB2">
      <w:pPr>
        <w:pStyle w:val="10"/>
        <w:tabs>
          <w:tab w:val="right" w:pos="0"/>
        </w:tabs>
        <w:snapToGrid w:val="0"/>
        <w:spacing w:line="520" w:lineRule="exact"/>
        <w:ind w:right="16"/>
        <w:rPr>
          <w:rFonts w:hint="eastAsia"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63C1719F">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第十四条  合同的补充和变更</w:t>
      </w:r>
    </w:p>
    <w:p w14:paraId="2BFCB84B">
      <w:pPr>
        <w:adjustRightInd w:val="0"/>
        <w:snapToGrid w:val="0"/>
        <w:spacing w:line="520" w:lineRule="exact"/>
        <w:rPr>
          <w:rFonts w:hint="eastAsia" w:ascii="宋体"/>
          <w:color w:val="auto"/>
          <w:highlight w:val="none"/>
        </w:rPr>
      </w:pPr>
      <w:r>
        <w:rPr>
          <w:rFonts w:hint="eastAsia" w:ascii="宋体"/>
          <w:color w:val="auto"/>
          <w:highlight w:val="none"/>
        </w:rPr>
        <w:t>14.1 本合同的未尽事宜，由甲乙双方友好协商，以签署补充协议约定。</w:t>
      </w:r>
    </w:p>
    <w:p w14:paraId="5F11CD5A">
      <w:pPr>
        <w:adjustRightInd w:val="0"/>
        <w:snapToGrid w:val="0"/>
        <w:spacing w:line="520" w:lineRule="exact"/>
        <w:rPr>
          <w:rFonts w:hint="eastAsia" w:ascii="宋体"/>
          <w:color w:val="auto"/>
          <w:highlight w:val="none"/>
        </w:rPr>
      </w:pPr>
      <w:r>
        <w:rPr>
          <w:rFonts w:hint="eastAsia" w:ascii="宋体"/>
          <w:color w:val="auto"/>
          <w:highlight w:val="none"/>
        </w:rPr>
        <w:t>14.2 双方协商一致可以对本合同进行变更。双方就变更以书面形式确认后，变更即可生效。变更后的条款替代本合同原有条款，构成本合同不可分割的一部分。</w:t>
      </w:r>
    </w:p>
    <w:p w14:paraId="202EA736">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第十五条  合同的生效</w:t>
      </w:r>
    </w:p>
    <w:p w14:paraId="7CADDF03">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甲乙双方对本合同及其全部附件内容达成一致并加盖公章后生效。</w:t>
      </w:r>
    </w:p>
    <w:p w14:paraId="3D3EFA42">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第十六条  合同附件</w:t>
      </w:r>
    </w:p>
    <w:p w14:paraId="12AA89D7">
      <w:pPr>
        <w:snapToGrid w:val="0"/>
        <w:spacing w:line="520" w:lineRule="exact"/>
        <w:ind w:firstLine="559" w:firstLineChars="233"/>
        <w:rPr>
          <w:rFonts w:hint="eastAsia"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1C66EE43">
      <w:pPr>
        <w:snapToGrid w:val="0"/>
        <w:spacing w:line="520" w:lineRule="exact"/>
        <w:rPr>
          <w:rFonts w:hint="eastAsia" w:ascii="宋体"/>
          <w:color w:val="auto"/>
          <w:highlight w:val="none"/>
        </w:rPr>
      </w:pPr>
      <w:r>
        <w:rPr>
          <w:rFonts w:hint="eastAsia" w:ascii="宋体"/>
          <w:color w:val="auto"/>
          <w:highlight w:val="none"/>
        </w:rPr>
        <w:t>附件1：工作说明书</w:t>
      </w:r>
    </w:p>
    <w:p w14:paraId="543DC79A">
      <w:pPr>
        <w:snapToGrid w:val="0"/>
        <w:spacing w:line="520" w:lineRule="exact"/>
        <w:rPr>
          <w:rFonts w:hint="eastAsia" w:ascii="宋体"/>
          <w:color w:val="auto"/>
          <w:highlight w:val="none"/>
        </w:rPr>
      </w:pPr>
      <w:r>
        <w:rPr>
          <w:rFonts w:hint="eastAsia" w:ascii="宋体"/>
          <w:color w:val="auto"/>
          <w:highlight w:val="none"/>
        </w:rPr>
        <w:t>附件2：项目最终验收表</w:t>
      </w:r>
    </w:p>
    <w:p w14:paraId="157E00CE">
      <w:pPr>
        <w:snapToGrid w:val="0"/>
        <w:spacing w:line="520" w:lineRule="exact"/>
        <w:rPr>
          <w:rFonts w:hint="eastAsia" w:ascii="宋体"/>
          <w:color w:val="auto"/>
          <w:highlight w:val="none"/>
        </w:rPr>
      </w:pPr>
      <w:r>
        <w:rPr>
          <w:rFonts w:hint="eastAsia" w:ascii="宋体"/>
          <w:color w:val="auto"/>
          <w:highlight w:val="none"/>
        </w:rPr>
        <w:t>附件3：服务水平协议</w:t>
      </w:r>
    </w:p>
    <w:p w14:paraId="537A03EF">
      <w:pPr>
        <w:snapToGrid w:val="0"/>
        <w:spacing w:line="520" w:lineRule="exact"/>
        <w:rPr>
          <w:rFonts w:hint="eastAsia" w:ascii="宋体"/>
          <w:color w:val="auto"/>
          <w:highlight w:val="none"/>
        </w:rPr>
      </w:pPr>
      <w:r>
        <w:rPr>
          <w:rFonts w:hint="eastAsia" w:ascii="宋体"/>
          <w:color w:val="auto"/>
          <w:highlight w:val="none"/>
        </w:rPr>
        <w:t>附件4：</w:t>
      </w:r>
      <w:r>
        <w:rPr>
          <w:rFonts w:hint="eastAsia"/>
          <w:color w:val="auto"/>
          <w:highlight w:val="none"/>
        </w:rPr>
        <w:t>服务连续性预案</w:t>
      </w:r>
    </w:p>
    <w:p w14:paraId="68F388F6">
      <w:pPr>
        <w:pStyle w:val="10"/>
        <w:tabs>
          <w:tab w:val="right" w:pos="0"/>
          <w:tab w:val="clear" w:pos="630"/>
          <w:tab w:val="clear" w:pos="8730"/>
        </w:tabs>
        <w:adjustRightInd w:val="0"/>
        <w:snapToGrid w:val="0"/>
        <w:spacing w:line="520" w:lineRule="exact"/>
        <w:ind w:right="17"/>
        <w:outlineLvl w:val="1"/>
        <w:rPr>
          <w:rFonts w:hint="eastAsia" w:ascii="宋体" w:eastAsia="宋体"/>
          <w:b/>
          <w:color w:val="auto"/>
          <w:sz w:val="24"/>
          <w:highlight w:val="none"/>
          <w:lang w:eastAsia="zh-CN"/>
        </w:rPr>
      </w:pPr>
      <w:r>
        <w:rPr>
          <w:rFonts w:hint="eastAsia" w:ascii="宋体" w:eastAsia="宋体"/>
          <w:b/>
          <w:color w:val="auto"/>
          <w:sz w:val="24"/>
          <w:highlight w:val="none"/>
          <w:lang w:eastAsia="zh-CN"/>
        </w:rPr>
        <w:t>第十七条  其它</w:t>
      </w:r>
    </w:p>
    <w:p w14:paraId="32200713">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17.1 未经另一方的事先书面同意，任何一方不得将在本合同项下的部分或全部义务进行转让、分许可、分包。</w:t>
      </w:r>
    </w:p>
    <w:p w14:paraId="60F1A57F">
      <w:pPr>
        <w:pStyle w:val="10"/>
        <w:tabs>
          <w:tab w:val="right" w:pos="0"/>
          <w:tab w:val="clear" w:pos="630"/>
          <w:tab w:val="clear" w:pos="8730"/>
        </w:tabs>
        <w:adjustRightInd w:val="0"/>
        <w:snapToGrid w:val="0"/>
        <w:spacing w:line="520" w:lineRule="exact"/>
        <w:ind w:right="17"/>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66D542A3">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17.3 本合同一式肆份，双方各持贰份，具有同等法律效力。</w:t>
      </w:r>
    </w:p>
    <w:p w14:paraId="73EF75AC">
      <w:pPr>
        <w:pStyle w:val="10"/>
        <w:tabs>
          <w:tab w:val="right" w:pos="0"/>
          <w:tab w:val="clear" w:pos="630"/>
          <w:tab w:val="clear" w:pos="8730"/>
        </w:tabs>
        <w:adjustRightInd w:val="0"/>
        <w:snapToGrid w:val="0"/>
        <w:spacing w:line="520" w:lineRule="exact"/>
        <w:ind w:right="16"/>
        <w:rPr>
          <w:rFonts w:hint="eastAsia"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（以下无正文）</w:t>
      </w:r>
    </w:p>
    <w:p w14:paraId="4F881C24">
      <w:pPr>
        <w:snapToGrid w:val="0"/>
        <w:spacing w:line="520" w:lineRule="exact"/>
        <w:ind w:right="-288"/>
        <w:rPr>
          <w:rFonts w:hint="eastAsia" w:ascii="宋体"/>
          <w:b/>
          <w:snapToGrid w:val="0"/>
          <w:color w:val="auto"/>
          <w:highlight w:val="none"/>
        </w:rPr>
      </w:pPr>
      <w:r>
        <w:rPr>
          <w:rFonts w:hint="eastAsia" w:ascii="宋体"/>
          <w:b/>
          <w:color w:val="auto"/>
          <w:highlight w:val="none"/>
        </w:rPr>
        <w:br w:type="page"/>
      </w:r>
      <w:r>
        <w:rPr>
          <w:rFonts w:hint="eastAsia" w:ascii="宋体"/>
          <w:b/>
          <w:color w:val="auto"/>
          <w:highlight w:val="none"/>
        </w:rPr>
        <w:t>（本页无正文，为编号XXXXXXXX《XXX合同》的签署页）</w:t>
      </w:r>
    </w:p>
    <w:p w14:paraId="736AA91D">
      <w:pPr>
        <w:snapToGrid w:val="0"/>
        <w:spacing w:line="520" w:lineRule="exact"/>
        <w:ind w:right="-288"/>
        <w:rPr>
          <w:rFonts w:hint="eastAsia" w:ascii="宋体"/>
          <w:b/>
          <w:snapToGrid w:val="0"/>
          <w:color w:val="auto"/>
          <w:highlight w:val="none"/>
        </w:rPr>
      </w:pPr>
      <w:r>
        <w:rPr>
          <w:rFonts w:hint="eastAsia" w:ascii="宋体"/>
          <w:b/>
          <w:snapToGrid w:val="0"/>
          <w:color w:val="auto"/>
          <w:highlight w:val="none"/>
        </w:rPr>
        <w:t>甲方：重庆三峡银行股份有限公司         乙方：XXXXXXXXX</w:t>
      </w:r>
    </w:p>
    <w:p w14:paraId="560EBA2E">
      <w:pPr>
        <w:snapToGrid w:val="0"/>
        <w:spacing w:line="520" w:lineRule="exact"/>
        <w:ind w:right="-288"/>
        <w:rPr>
          <w:rFonts w:hint="eastAsia" w:ascii="宋体"/>
          <w:b/>
          <w:snapToGrid w:val="0"/>
          <w:color w:val="auto"/>
          <w:highlight w:val="none"/>
        </w:rPr>
      </w:pPr>
    </w:p>
    <w:p w14:paraId="71EB277D">
      <w:pPr>
        <w:snapToGrid w:val="0"/>
        <w:spacing w:line="520" w:lineRule="exact"/>
        <w:ind w:right="-429"/>
        <w:rPr>
          <w:rFonts w:hint="eastAsia" w:ascii="宋体"/>
          <w:snapToGrid w:val="0"/>
          <w:color w:val="auto"/>
          <w:highlight w:val="none"/>
          <w:u w:val="single"/>
        </w:rPr>
      </w:pPr>
      <w:r>
        <w:rPr>
          <w:rFonts w:hint="eastAsia" w:ascii="宋体"/>
          <w:snapToGrid w:val="0"/>
          <w:color w:val="auto"/>
          <w:highlight w:val="none"/>
        </w:rPr>
        <w:t xml:space="preserve"> (盖章)：_____________                （盖章）：</w:t>
      </w:r>
      <w:r>
        <w:rPr>
          <w:rFonts w:hint="eastAsia" w:ascii="宋体"/>
          <w:snapToGrid w:val="0"/>
          <w:color w:val="auto"/>
          <w:highlight w:val="none"/>
          <w:u w:val="single"/>
        </w:rPr>
        <w:t xml:space="preserve">            </w:t>
      </w:r>
    </w:p>
    <w:p w14:paraId="78C6F51E">
      <w:pPr>
        <w:snapToGrid w:val="0"/>
        <w:spacing w:line="520" w:lineRule="exact"/>
        <w:ind w:right="-429"/>
        <w:rPr>
          <w:rFonts w:hint="eastAsia" w:ascii="宋体"/>
          <w:snapToGrid w:val="0"/>
          <w:color w:val="auto"/>
          <w:highlight w:val="none"/>
          <w:u w:val="single"/>
        </w:rPr>
      </w:pPr>
    </w:p>
    <w:p w14:paraId="53D754FB">
      <w:pPr>
        <w:snapToGrid w:val="0"/>
        <w:spacing w:line="520" w:lineRule="exact"/>
        <w:ind w:right="-429" w:firstLine="840" w:firstLineChars="350"/>
        <w:rPr>
          <w:rFonts w:hint="eastAsia" w:ascii="宋体"/>
          <w:snapToGrid w:val="0"/>
          <w:color w:val="auto"/>
          <w:highlight w:val="none"/>
        </w:rPr>
      </w:pPr>
      <w:r>
        <w:rPr>
          <w:rFonts w:hint="eastAsia" w:ascii="宋体"/>
          <w:snapToGrid w:val="0"/>
          <w:color w:val="auto"/>
          <w:highlight w:val="none"/>
        </w:rPr>
        <w:t xml:space="preserve">                                日期：</w:t>
      </w:r>
    </w:p>
    <w:p w14:paraId="2AE258A2">
      <w:pPr>
        <w:pStyle w:val="18"/>
        <w:snapToGrid w:val="0"/>
        <w:spacing w:before="0" w:after="0" w:line="520" w:lineRule="exact"/>
        <w:jc w:val="left"/>
        <w:outlineLvl w:val="2"/>
        <w:rPr>
          <w:snapToGrid w:val="0"/>
          <w:color w:val="auto"/>
          <w:highlight w:val="none"/>
        </w:rPr>
      </w:pPr>
      <w:r>
        <w:rPr>
          <w:snapToGrid w:val="0"/>
          <w:color w:val="auto"/>
          <w:highlight w:val="none"/>
        </w:rPr>
        <w:br w:type="page"/>
      </w:r>
      <w:r>
        <w:rPr>
          <w:rFonts w:hint="eastAsia" w:ascii="宋体"/>
          <w:snapToGrid w:val="0"/>
          <w:color w:val="auto"/>
          <w:sz w:val="24"/>
          <w:highlight w:val="none"/>
        </w:rPr>
        <w:t>附件1</w:t>
      </w:r>
    </w:p>
    <w:p w14:paraId="00429A2A">
      <w:pPr>
        <w:pStyle w:val="18"/>
        <w:snapToGrid w:val="0"/>
        <w:spacing w:before="0" w:after="0" w:line="520" w:lineRule="exact"/>
        <w:outlineLvl w:val="2"/>
        <w:rPr>
          <w:rFonts w:ascii="方正小标宋_GBK" w:eastAsia="方正小标宋_GBK"/>
          <w:b w:val="0"/>
          <w:snapToGrid w:val="0"/>
          <w:color w:val="auto"/>
          <w:sz w:val="40"/>
          <w:highlight w:val="none"/>
        </w:rPr>
      </w:pPr>
      <w:r>
        <w:rPr>
          <w:rFonts w:hint="eastAsia" w:ascii="方正小标宋_GBK" w:eastAsia="方正小标宋_GBK"/>
          <w:b w:val="0"/>
          <w:snapToGrid w:val="0"/>
          <w:color w:val="auto"/>
          <w:sz w:val="40"/>
          <w:highlight w:val="none"/>
        </w:rPr>
        <w:t>工作说明书</w:t>
      </w:r>
    </w:p>
    <w:p w14:paraId="6A618A5C">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bookmarkStart w:id="257" w:name="_Toc422127535"/>
      <w:r>
        <w:rPr>
          <w:rFonts w:hint="eastAsia" w:ascii="方正黑体_GBK" w:eastAsia="方正黑体_GBK"/>
          <w:bCs/>
          <w:color w:val="auto"/>
          <w:sz w:val="32"/>
          <w:szCs w:val="32"/>
          <w:highlight w:val="none"/>
        </w:rPr>
        <w:t>第一条  项目目标</w:t>
      </w:r>
    </w:p>
    <w:p w14:paraId="4F64E6C6">
      <w:pPr>
        <w:spacing w:line="360" w:lineRule="auto"/>
        <w:rPr>
          <w:rFonts w:hint="eastAsia" w:ascii="方正黑体_GBK" w:eastAsia="方正黑体_GBK"/>
          <w:bCs/>
          <w:color w:val="auto"/>
          <w:sz w:val="32"/>
          <w:szCs w:val="32"/>
          <w:highlight w:val="none"/>
        </w:rPr>
      </w:pPr>
      <w:r>
        <w:rPr>
          <w:rFonts w:hint="eastAsia" w:ascii="宋体" w:cs="Arial"/>
          <w:color w:val="auto"/>
          <w:highlight w:val="none"/>
        </w:rPr>
        <w:t>通过安全评估和安全渗透测试的实施，识别并评估现有风险控制措施的有效性，尽量挖掘和暴露电子银行及互联网相关系统的漏洞和脆弱性，并提出相应的改进建议，以便有针对性地进行修复，提升系统安全防护能力、保障业务功能上线后安全稳定运行。</w:t>
      </w:r>
    </w:p>
    <w:bookmarkEnd w:id="257"/>
    <w:p w14:paraId="6B979E63">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bookmarkStart w:id="258" w:name="_Toc422127542"/>
      <w:r>
        <w:rPr>
          <w:rFonts w:hint="eastAsia" w:ascii="方正黑体_GBK" w:eastAsia="方正黑体_GBK"/>
          <w:bCs/>
          <w:color w:val="auto"/>
          <w:sz w:val="32"/>
          <w:szCs w:val="32"/>
          <w:highlight w:val="none"/>
        </w:rPr>
        <w:t>第二条 项目范围</w:t>
      </w:r>
    </w:p>
    <w:p w14:paraId="5EAF4C26">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2.1 本项目中乙方主要工作范围</w:t>
      </w:r>
    </w:p>
    <w:p w14:paraId="61694382">
      <w:pPr>
        <w:spacing w:line="360" w:lineRule="auto"/>
        <w:rPr>
          <w:rFonts w:hint="eastAsia" w:ascii="宋体" w:cs="Arial"/>
          <w:color w:val="auto"/>
          <w:highlight w:val="none"/>
        </w:rPr>
      </w:pPr>
      <w:r>
        <w:rPr>
          <w:rFonts w:hint="eastAsia" w:ascii="宋体" w:cs="Arial"/>
          <w:color w:val="auto"/>
          <w:highlight w:val="none"/>
        </w:rPr>
        <w:t>电子银行安全评估、现有互联网及电子银行类信息系统安全渗透测试、新业务功能上线前安全渗透测试。</w:t>
      </w:r>
    </w:p>
    <w:p w14:paraId="260A8DFA">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2.2 项目实施地点</w:t>
      </w:r>
    </w:p>
    <w:p w14:paraId="4008310F">
      <w:pPr>
        <w:tabs>
          <w:tab w:val="left" w:pos="360"/>
          <w:tab w:val="left" w:pos="862"/>
        </w:tabs>
        <w:adjustRightInd w:val="0"/>
        <w:snapToGrid w:val="0"/>
        <w:spacing w:line="360" w:lineRule="auto"/>
        <w:ind w:firstLine="720" w:firstLineChars="300"/>
        <w:rPr>
          <w:rFonts w:hint="eastAsia" w:ascii="宋体" w:cs="宋体"/>
          <w:color w:val="auto"/>
          <w:highlight w:val="none"/>
        </w:rPr>
      </w:pPr>
      <w:r>
        <w:rPr>
          <w:rFonts w:hint="eastAsia" w:ascii="宋体" w:cs="宋体"/>
          <w:color w:val="auto"/>
          <w:highlight w:val="none"/>
        </w:rPr>
        <w:t>重庆市</w:t>
      </w:r>
    </w:p>
    <w:p w14:paraId="18FDD0B4">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第四条  主要工作任务</w:t>
      </w:r>
      <w:bookmarkEnd w:id="258"/>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334"/>
        <w:gridCol w:w="5027"/>
        <w:gridCol w:w="1469"/>
      </w:tblGrid>
      <w:tr w14:paraId="05BB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92" w:type="dxa"/>
            <w:tcBorders>
              <w:top w:val="single" w:color="auto" w:sz="4" w:space="0"/>
              <w:left w:val="single" w:color="auto" w:sz="4" w:space="0"/>
              <w:bottom w:val="single" w:color="auto" w:sz="4" w:space="0"/>
              <w:right w:val="single" w:color="auto" w:sz="4" w:space="0"/>
            </w:tcBorders>
            <w:noWrap/>
            <w:vAlign w:val="center"/>
          </w:tcPr>
          <w:p w14:paraId="0BB4D63E">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序号</w:t>
            </w:r>
          </w:p>
        </w:tc>
        <w:tc>
          <w:tcPr>
            <w:tcW w:w="1334" w:type="dxa"/>
            <w:tcBorders>
              <w:top w:val="single" w:color="auto" w:sz="4" w:space="0"/>
              <w:left w:val="single" w:color="auto" w:sz="4" w:space="0"/>
              <w:bottom w:val="single" w:color="auto" w:sz="4" w:space="0"/>
              <w:right w:val="single" w:color="auto" w:sz="4" w:space="0"/>
            </w:tcBorders>
            <w:noWrap/>
            <w:vAlign w:val="center"/>
          </w:tcPr>
          <w:p w14:paraId="38CD6F5C">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服务项</w:t>
            </w:r>
          </w:p>
        </w:tc>
        <w:tc>
          <w:tcPr>
            <w:tcW w:w="5027" w:type="dxa"/>
            <w:tcBorders>
              <w:top w:val="single" w:color="auto" w:sz="4" w:space="0"/>
              <w:left w:val="single" w:color="auto" w:sz="4" w:space="0"/>
              <w:bottom w:val="single" w:color="auto" w:sz="4" w:space="0"/>
              <w:right w:val="single" w:color="auto" w:sz="4" w:space="0"/>
            </w:tcBorders>
            <w:noWrap/>
            <w:vAlign w:val="center"/>
          </w:tcPr>
          <w:p w14:paraId="3D56D696">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服务描述</w:t>
            </w:r>
          </w:p>
        </w:tc>
        <w:tc>
          <w:tcPr>
            <w:tcW w:w="1469" w:type="dxa"/>
            <w:tcBorders>
              <w:top w:val="single" w:color="auto" w:sz="4" w:space="0"/>
              <w:left w:val="single" w:color="auto" w:sz="4" w:space="0"/>
              <w:bottom w:val="single" w:color="auto" w:sz="4" w:space="0"/>
              <w:right w:val="single" w:color="auto" w:sz="4" w:space="0"/>
            </w:tcBorders>
            <w:noWrap/>
            <w:vAlign w:val="center"/>
          </w:tcPr>
          <w:p w14:paraId="7FDA37F9">
            <w:pPr>
              <w:spacing w:line="340" w:lineRule="exact"/>
              <w:ind w:firstLine="0" w:firstLineChars="0"/>
              <w:jc w:val="center"/>
              <w:rPr>
                <w:rFonts w:ascii="Times New Roman" w:hAnsi="Times New Roman" w:cs="Times New Roman"/>
                <w:b/>
                <w:bCs/>
                <w:color w:val="auto"/>
                <w:sz w:val="21"/>
                <w:szCs w:val="21"/>
                <w:highlight w:val="none"/>
              </w:rPr>
            </w:pPr>
            <w:r>
              <w:rPr>
                <w:rFonts w:ascii="Times New Roman" w:hAnsi="Times New Roman" w:cs="Times New Roman"/>
                <w:b/>
                <w:bCs/>
                <w:color w:val="auto"/>
                <w:sz w:val="21"/>
                <w:szCs w:val="21"/>
                <w:highlight w:val="none"/>
              </w:rPr>
              <w:t>交付物</w:t>
            </w:r>
          </w:p>
        </w:tc>
      </w:tr>
      <w:tr w14:paraId="164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cBorders>
            <w:noWrap/>
            <w:vAlign w:val="center"/>
          </w:tcPr>
          <w:p w14:paraId="1AA5D722">
            <w:pPr>
              <w:spacing w:line="340" w:lineRule="exact"/>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1</w:t>
            </w:r>
          </w:p>
        </w:tc>
        <w:tc>
          <w:tcPr>
            <w:tcW w:w="1334" w:type="dxa"/>
            <w:tcBorders>
              <w:top w:val="single" w:color="auto" w:sz="4" w:space="0"/>
              <w:left w:val="single" w:color="auto" w:sz="4" w:space="0"/>
              <w:bottom w:val="single" w:color="auto" w:sz="4" w:space="0"/>
              <w:right w:val="single" w:color="auto" w:sz="4" w:space="0"/>
            </w:tcBorders>
            <w:noWrap/>
            <w:vAlign w:val="center"/>
          </w:tcPr>
          <w:p w14:paraId="1FBDB443">
            <w:pPr>
              <w:spacing w:line="340" w:lineRule="exact"/>
              <w:ind w:firstLine="0" w:firstLineChars="0"/>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电子银行安全评估</w:t>
            </w:r>
          </w:p>
        </w:tc>
        <w:tc>
          <w:tcPr>
            <w:tcW w:w="5027" w:type="dxa"/>
            <w:tcBorders>
              <w:top w:val="single" w:color="auto" w:sz="4" w:space="0"/>
              <w:left w:val="single" w:color="auto" w:sz="4" w:space="0"/>
              <w:bottom w:val="single" w:color="auto" w:sz="4" w:space="0"/>
              <w:right w:val="single" w:color="auto" w:sz="4" w:space="0"/>
            </w:tcBorders>
            <w:noWrap/>
            <w:vAlign w:val="center"/>
          </w:tcPr>
          <w:p w14:paraId="28708515">
            <w:pPr>
              <w:spacing w:line="340" w:lineRule="exact"/>
              <w:ind w:firstLine="0" w:firstLineChars="0"/>
              <w:rPr>
                <w:rFonts w:hint="eastAsia"/>
                <w:color w:val="auto"/>
                <w:highlight w:val="none"/>
              </w:rPr>
            </w:pPr>
            <w:r>
              <w:rPr>
                <w:rFonts w:hint="eastAsia" w:ascii="宋体" w:cs="宋体"/>
                <w:color w:val="auto"/>
                <w:kern w:val="0"/>
                <w:sz w:val="20"/>
                <w:highlight w:val="none"/>
              </w:rPr>
              <w:t>根据《电子银行安全评估指引》（银监发﹝2006﹞9号）要求，对甲方电子银行类系统进行安全评估，发现问题并提出科学合理的整改建议，出具电子银行安全评估报告。</w:t>
            </w:r>
          </w:p>
        </w:tc>
        <w:tc>
          <w:tcPr>
            <w:tcW w:w="1469" w:type="dxa"/>
            <w:tcBorders>
              <w:top w:val="single" w:color="auto" w:sz="4" w:space="0"/>
              <w:left w:val="single" w:color="auto" w:sz="4" w:space="0"/>
              <w:bottom w:val="single" w:color="auto" w:sz="4" w:space="0"/>
              <w:right w:val="single" w:color="auto" w:sz="4" w:space="0"/>
            </w:tcBorders>
            <w:noWrap/>
            <w:vAlign w:val="center"/>
          </w:tcPr>
          <w:p w14:paraId="479ABB2B">
            <w:pPr>
              <w:spacing w:line="340" w:lineRule="exact"/>
              <w:ind w:firstLine="0" w:firstLineChars="0"/>
              <w:rPr>
                <w:rFonts w:ascii="Times New Roman" w:hAnsi="Times New Roman" w:cs="Times New Roman"/>
                <w:color w:val="auto"/>
                <w:sz w:val="21"/>
                <w:szCs w:val="21"/>
                <w:highlight w:val="none"/>
              </w:rPr>
            </w:pPr>
            <w:r>
              <w:rPr>
                <w:rFonts w:hint="eastAsia" w:ascii="宋体" w:cs="宋体"/>
                <w:color w:val="auto"/>
                <w:kern w:val="0"/>
                <w:sz w:val="20"/>
                <w:highlight w:val="none"/>
              </w:rPr>
              <w:t>《电子银行安全评估报告》</w:t>
            </w:r>
          </w:p>
        </w:tc>
      </w:tr>
      <w:tr w14:paraId="5ED0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C73A4">
            <w:pPr>
              <w:spacing w:line="340" w:lineRule="exact"/>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F5D3C">
            <w:pPr>
              <w:keepNext/>
              <w:keepLines/>
              <w:widowControl w:val="0"/>
              <w:spacing w:before="260" w:after="260" w:line="340" w:lineRule="exact"/>
              <w:ind w:firstLine="0" w:firstLineChars="0"/>
              <w:jc w:val="left"/>
              <w:outlineLvl w:val="2"/>
              <w:rPr>
                <w:rFonts w:ascii="Times New Roman" w:hAnsi="Times New Roman" w:cs="Times New Roman"/>
                <w:bCs/>
                <w:color w:val="auto"/>
                <w:sz w:val="21"/>
                <w:szCs w:val="21"/>
                <w:highlight w:val="none"/>
              </w:rPr>
            </w:pPr>
            <w:r>
              <w:rPr>
                <w:rFonts w:hint="eastAsia" w:ascii="Times New Roman" w:hAnsi="Times New Roman" w:cs="Times New Roman"/>
                <w:color w:val="auto"/>
                <w:sz w:val="21"/>
                <w:szCs w:val="21"/>
                <w:highlight w:val="none"/>
              </w:rPr>
              <w:t>互联网及电子银行类信息系统安全渗透测试</w:t>
            </w:r>
          </w:p>
        </w:tc>
        <w:tc>
          <w:tcPr>
            <w:tcW w:w="5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5D2FB">
            <w:pPr>
              <w:keepNext/>
              <w:keepLines/>
              <w:widowControl w:val="0"/>
              <w:spacing w:line="340" w:lineRule="exact"/>
              <w:ind w:firstLine="0" w:firstLineChars="0"/>
              <w:jc w:val="left"/>
              <w:outlineLvl w:val="2"/>
              <w:rPr>
                <w:rFonts w:ascii="宋体" w:cs="宋体"/>
                <w:color w:val="auto"/>
                <w:kern w:val="0"/>
                <w:sz w:val="20"/>
                <w:highlight w:val="none"/>
              </w:rPr>
            </w:pPr>
            <w:r>
              <w:rPr>
                <w:rFonts w:hint="eastAsia" w:ascii="宋体" w:cs="宋体"/>
                <w:color w:val="auto"/>
                <w:kern w:val="0"/>
                <w:sz w:val="20"/>
                <w:highlight w:val="none"/>
              </w:rPr>
              <w:t>模拟黑客常用攻击方式，对甲方现有互联网及电子银行类信息系统进行模拟入侵，尽量挖掘和暴露安全漏洞，以便有针对性地进行修复，提升系统安全防护能力，每季度开展一次。</w:t>
            </w:r>
          </w:p>
          <w:p w14:paraId="16DEB880">
            <w:pPr>
              <w:keepNext/>
              <w:keepLines/>
              <w:widowControl w:val="0"/>
              <w:spacing w:line="340" w:lineRule="exact"/>
              <w:ind w:firstLine="0" w:firstLineChars="0"/>
              <w:jc w:val="left"/>
              <w:outlineLvl w:val="2"/>
              <w:rPr>
                <w:rFonts w:hint="eastAsia"/>
                <w:color w:val="auto"/>
                <w:highlight w:val="none"/>
              </w:rPr>
            </w:pPr>
            <w:r>
              <w:rPr>
                <w:rFonts w:hint="eastAsia" w:ascii="宋体" w:cs="宋体"/>
                <w:color w:val="auto"/>
                <w:kern w:val="0"/>
                <w:sz w:val="20"/>
                <w:highlight w:val="none"/>
              </w:rPr>
              <w:t>测试对象：</w:t>
            </w:r>
            <w:r>
              <w:rPr>
                <w:rFonts w:hint="eastAsia" w:ascii="宋体" w:cs="宋体"/>
                <w:color w:val="auto"/>
                <w:kern w:val="0"/>
                <w:sz w:val="20"/>
                <w:highlight w:val="none"/>
                <w:lang w:val="en-US" w:eastAsia="zh-CN"/>
              </w:rPr>
              <w:t>甲方</w:t>
            </w:r>
            <w:r>
              <w:rPr>
                <w:rFonts w:hint="eastAsia" w:ascii="宋体" w:cs="宋体"/>
                <w:color w:val="auto"/>
                <w:kern w:val="0"/>
                <w:sz w:val="20"/>
                <w:highlight w:val="none"/>
              </w:rPr>
              <w:t>互联网及电子银行类信息系统，包括网上银行（含企业网银和个人网银）、三峡付、手机银行、外网门户、智能客服、人力资源系统等相关互联网及电子银行类信息系统，具体由甲方指定，测试范围包含系统的相关前端、后端、APP 客户端、开放 SDK 及 API、微信公众号等。</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39649">
            <w:pPr>
              <w:keepNext/>
              <w:keepLines/>
              <w:widowControl w:val="0"/>
              <w:spacing w:before="260" w:after="260" w:line="340" w:lineRule="exact"/>
              <w:ind w:firstLine="0" w:firstLineChars="0"/>
              <w:jc w:val="left"/>
              <w:outlineLvl w:val="2"/>
              <w:rPr>
                <w:rFonts w:ascii="Times New Roman" w:hAnsi="Times New Roman" w:eastAsia="方正黑体_GBK" w:cs="Times New Roman"/>
                <w:bCs/>
                <w:color w:val="auto"/>
                <w:sz w:val="21"/>
                <w:szCs w:val="21"/>
                <w:highlight w:val="none"/>
              </w:rPr>
            </w:pPr>
            <w:r>
              <w:rPr>
                <w:rFonts w:hint="eastAsia" w:ascii="宋体" w:cs="宋体"/>
                <w:color w:val="auto"/>
                <w:kern w:val="0"/>
                <w:sz w:val="20"/>
                <w:highlight w:val="none"/>
              </w:rPr>
              <w:t>《XXX系统安全渗透测试报告》及问题整改清单</w:t>
            </w:r>
          </w:p>
        </w:tc>
      </w:tr>
      <w:tr w14:paraId="1E9A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660B8">
            <w:pPr>
              <w:spacing w:line="340" w:lineRule="exact"/>
              <w:ind w:firstLine="0" w:firstLineChars="0"/>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0EB45">
            <w:pPr>
              <w:keepNext/>
              <w:keepLines/>
              <w:widowControl w:val="0"/>
              <w:spacing w:before="260" w:after="260" w:line="340" w:lineRule="exact"/>
              <w:ind w:firstLine="0" w:firstLineChars="0"/>
              <w:jc w:val="left"/>
              <w:outlineLvl w:val="2"/>
              <w:rPr>
                <w:rFonts w:ascii="Times New Roman" w:hAnsi="Times New Roman" w:cs="Times New Roman"/>
                <w:bCs/>
                <w:color w:val="auto"/>
                <w:sz w:val="21"/>
                <w:szCs w:val="21"/>
                <w:highlight w:val="none"/>
              </w:rPr>
            </w:pPr>
            <w:r>
              <w:rPr>
                <w:rFonts w:hint="eastAsia" w:ascii="Times New Roman" w:hAnsi="Times New Roman" w:cs="Times New Roman"/>
                <w:bCs/>
                <w:color w:val="auto"/>
                <w:sz w:val="21"/>
                <w:szCs w:val="21"/>
                <w:highlight w:val="none"/>
              </w:rPr>
              <w:t>新业务功能上线前安全渗透测试</w:t>
            </w:r>
          </w:p>
        </w:tc>
        <w:tc>
          <w:tcPr>
            <w:tcW w:w="5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4D859">
            <w:pPr>
              <w:spacing w:line="340" w:lineRule="exact"/>
              <w:ind w:firstLine="0" w:firstLineChars="0"/>
              <w:rPr>
                <w:rFonts w:ascii="Times New Roman" w:hAnsi="Times New Roman" w:cs="Times New Roman"/>
                <w:color w:val="auto"/>
                <w:sz w:val="21"/>
                <w:szCs w:val="21"/>
                <w:highlight w:val="none"/>
              </w:rPr>
            </w:pPr>
            <w:r>
              <w:rPr>
                <w:rFonts w:hint="eastAsia" w:ascii="宋体" w:cs="宋体"/>
                <w:color w:val="auto"/>
                <w:kern w:val="0"/>
                <w:sz w:val="20"/>
                <w:highlight w:val="none"/>
              </w:rPr>
              <w:t>根据比选人互联网系统新业务功能投产上线需求，开展新业务功能上线前安全渗透测试工作，10次（具体由比选人指定），并指导比选人完成整改，保障业务功能上线后安全稳定运行。</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66257">
            <w:pPr>
              <w:keepNext/>
              <w:keepLines/>
              <w:widowControl w:val="0"/>
              <w:spacing w:before="260" w:after="260" w:line="340" w:lineRule="exact"/>
              <w:ind w:firstLine="0" w:firstLineChars="0"/>
              <w:jc w:val="left"/>
              <w:outlineLvl w:val="2"/>
              <w:rPr>
                <w:rFonts w:ascii="Times New Roman" w:hAnsi="Times New Roman" w:eastAsia="方正黑体_GBK" w:cs="Times New Roman"/>
                <w:bCs/>
                <w:color w:val="auto"/>
                <w:sz w:val="21"/>
                <w:szCs w:val="21"/>
                <w:highlight w:val="none"/>
              </w:rPr>
            </w:pPr>
            <w:r>
              <w:rPr>
                <w:rFonts w:hint="eastAsia" w:ascii="宋体" w:cs="宋体"/>
                <w:color w:val="auto"/>
                <w:kern w:val="0"/>
                <w:sz w:val="20"/>
                <w:highlight w:val="none"/>
              </w:rPr>
              <w:t>《XXX系统安全渗透测试报告》</w:t>
            </w:r>
          </w:p>
        </w:tc>
      </w:tr>
    </w:tbl>
    <w:p w14:paraId="3FB47D5C">
      <w:pPr>
        <w:keepNext/>
        <w:keepLines/>
        <w:widowControl w:val="0"/>
        <w:spacing w:before="20" w:after="20" w:line="415" w:lineRule="auto"/>
        <w:jc w:val="left"/>
        <w:outlineLvl w:val="9"/>
        <w:rPr>
          <w:rFonts w:hint="eastAsia" w:ascii="方正黑体_GBK" w:eastAsia="方正黑体_GBK"/>
          <w:bCs/>
          <w:color w:val="auto"/>
          <w:sz w:val="32"/>
          <w:szCs w:val="32"/>
          <w:highlight w:val="none"/>
        </w:rPr>
      </w:pPr>
      <w:bookmarkStart w:id="259" w:name="_Toc422127550"/>
      <w:r>
        <w:rPr>
          <w:rFonts w:hint="eastAsia" w:ascii="方正黑体_GBK" w:eastAsia="方正黑体_GBK"/>
          <w:bCs/>
          <w:color w:val="auto"/>
          <w:sz w:val="32"/>
          <w:szCs w:val="32"/>
          <w:highlight w:val="none"/>
        </w:rPr>
        <w:t>第五条  项目组织结构</w:t>
      </w:r>
      <w:bookmarkEnd w:id="259"/>
    </w:p>
    <w:tbl>
      <w:tblPr>
        <w:tblStyle w:val="21"/>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51"/>
        <w:gridCol w:w="4521"/>
        <w:gridCol w:w="1428"/>
      </w:tblGrid>
      <w:tr w14:paraId="6F17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78C90D53">
            <w:pPr>
              <w:spacing w:line="360" w:lineRule="auto"/>
              <w:ind w:firstLine="0" w:firstLineChars="0"/>
              <w:jc w:val="center"/>
              <w:rPr>
                <w:rFonts w:hint="eastAsia" w:ascii="宋体"/>
                <w:b/>
                <w:color w:val="auto"/>
                <w:sz w:val="20"/>
                <w:highlight w:val="none"/>
              </w:rPr>
            </w:pPr>
            <w:r>
              <w:rPr>
                <w:rFonts w:hint="eastAsia" w:ascii="宋体"/>
                <w:b/>
                <w:color w:val="auto"/>
                <w:sz w:val="20"/>
                <w:highlight w:val="none"/>
              </w:rPr>
              <w:t>序号</w:t>
            </w:r>
          </w:p>
        </w:tc>
        <w:tc>
          <w:tcPr>
            <w:tcW w:w="1951" w:type="dxa"/>
            <w:tcBorders>
              <w:top w:val="single" w:color="auto" w:sz="4" w:space="0"/>
              <w:left w:val="single" w:color="auto" w:sz="4" w:space="0"/>
              <w:bottom w:val="single" w:color="auto" w:sz="4" w:space="0"/>
              <w:right w:val="single" w:color="auto" w:sz="4" w:space="0"/>
            </w:tcBorders>
            <w:noWrap/>
            <w:vAlign w:val="center"/>
          </w:tcPr>
          <w:p w14:paraId="28F85772">
            <w:pPr>
              <w:spacing w:line="360" w:lineRule="auto"/>
              <w:ind w:firstLine="0" w:firstLineChars="0"/>
              <w:jc w:val="center"/>
              <w:rPr>
                <w:rFonts w:hint="eastAsia" w:ascii="宋体" w:cs="宋体"/>
                <w:b/>
                <w:color w:val="auto"/>
                <w:sz w:val="20"/>
                <w:highlight w:val="none"/>
              </w:rPr>
            </w:pPr>
            <w:r>
              <w:rPr>
                <w:rFonts w:hint="eastAsia" w:ascii="宋体" w:cs="宋体"/>
                <w:b/>
                <w:color w:val="auto"/>
                <w:sz w:val="20"/>
                <w:highlight w:val="none"/>
              </w:rPr>
              <w:t>项目角色</w:t>
            </w:r>
          </w:p>
        </w:tc>
        <w:tc>
          <w:tcPr>
            <w:tcW w:w="4521" w:type="dxa"/>
            <w:tcBorders>
              <w:top w:val="single" w:color="auto" w:sz="4" w:space="0"/>
              <w:left w:val="single" w:color="auto" w:sz="4" w:space="0"/>
              <w:bottom w:val="single" w:color="auto" w:sz="4" w:space="0"/>
              <w:right w:val="single" w:color="auto" w:sz="4" w:space="0"/>
            </w:tcBorders>
            <w:noWrap/>
            <w:vAlign w:val="center"/>
          </w:tcPr>
          <w:p w14:paraId="047873BC">
            <w:pPr>
              <w:spacing w:line="360" w:lineRule="auto"/>
              <w:ind w:firstLine="0" w:firstLineChars="0"/>
              <w:jc w:val="center"/>
              <w:rPr>
                <w:rFonts w:hint="eastAsia" w:ascii="宋体"/>
                <w:b/>
                <w:color w:val="auto"/>
                <w:sz w:val="20"/>
                <w:highlight w:val="none"/>
              </w:rPr>
            </w:pPr>
            <w:r>
              <w:rPr>
                <w:rFonts w:hint="eastAsia" w:ascii="宋体" w:cs="宋体"/>
                <w:b/>
                <w:color w:val="auto"/>
                <w:sz w:val="20"/>
                <w:highlight w:val="none"/>
              </w:rPr>
              <w:t>职务说明</w:t>
            </w:r>
          </w:p>
        </w:tc>
        <w:tc>
          <w:tcPr>
            <w:tcW w:w="1428" w:type="dxa"/>
            <w:tcBorders>
              <w:top w:val="single" w:color="auto" w:sz="4" w:space="0"/>
              <w:left w:val="single" w:color="auto" w:sz="4" w:space="0"/>
              <w:bottom w:val="single" w:color="auto" w:sz="4" w:space="0"/>
              <w:right w:val="single" w:color="auto" w:sz="4" w:space="0"/>
            </w:tcBorders>
            <w:noWrap/>
            <w:vAlign w:val="center"/>
          </w:tcPr>
          <w:p w14:paraId="3810819E">
            <w:pPr>
              <w:spacing w:line="360" w:lineRule="auto"/>
              <w:ind w:firstLine="0" w:firstLineChars="0"/>
              <w:jc w:val="center"/>
              <w:rPr>
                <w:rFonts w:hint="eastAsia" w:ascii="宋体" w:cs="宋体"/>
                <w:b/>
                <w:color w:val="auto"/>
                <w:sz w:val="20"/>
                <w:highlight w:val="none"/>
              </w:rPr>
            </w:pPr>
            <w:r>
              <w:rPr>
                <w:rFonts w:hint="eastAsia" w:ascii="宋体"/>
                <w:b/>
                <w:color w:val="auto"/>
                <w:sz w:val="20"/>
                <w:highlight w:val="none"/>
              </w:rPr>
              <w:t>姓名</w:t>
            </w:r>
          </w:p>
        </w:tc>
      </w:tr>
      <w:tr w14:paraId="578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075FD312">
            <w:pPr>
              <w:numPr>
                <w:ilvl w:val="0"/>
                <w:numId w:val="4"/>
              </w:numPr>
              <w:spacing w:line="360" w:lineRule="auto"/>
              <w:ind w:left="420" w:firstLine="480" w:firstLineChars="0"/>
              <w:rPr>
                <w:rFonts w:hint="eastAsia" w:ascii="宋体"/>
                <w:color w:val="auto"/>
                <w:sz w:val="20"/>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0952D5C6">
            <w:pPr>
              <w:spacing w:line="360" w:lineRule="auto"/>
              <w:ind w:firstLine="0" w:firstLineChars="0"/>
              <w:jc w:val="center"/>
              <w:rPr>
                <w:rFonts w:hint="eastAsia" w:ascii="宋体"/>
                <w:color w:val="auto"/>
                <w:sz w:val="20"/>
                <w:highlight w:val="none"/>
              </w:rPr>
            </w:pPr>
            <w:r>
              <w:rPr>
                <w:rFonts w:hint="eastAsia" w:ascii="宋体"/>
                <w:color w:val="auto"/>
                <w:sz w:val="20"/>
                <w:highlight w:val="none"/>
              </w:rPr>
              <w:t>项目经理</w:t>
            </w:r>
          </w:p>
        </w:tc>
        <w:tc>
          <w:tcPr>
            <w:tcW w:w="4521" w:type="dxa"/>
            <w:tcBorders>
              <w:top w:val="single" w:color="auto" w:sz="4" w:space="0"/>
              <w:left w:val="single" w:color="auto" w:sz="4" w:space="0"/>
              <w:bottom w:val="single" w:color="auto" w:sz="4" w:space="0"/>
              <w:right w:val="single" w:color="auto" w:sz="4" w:space="0"/>
            </w:tcBorders>
            <w:noWrap/>
            <w:vAlign w:val="center"/>
          </w:tcPr>
          <w:p w14:paraId="1265EEE4">
            <w:pPr>
              <w:spacing w:line="360" w:lineRule="auto"/>
              <w:ind w:firstLine="0" w:firstLineChars="0"/>
              <w:rPr>
                <w:rFonts w:hint="eastAsia" w:ascii="宋体"/>
                <w:color w:val="auto"/>
                <w:sz w:val="20"/>
                <w:highlight w:val="none"/>
              </w:rPr>
            </w:pPr>
            <w:r>
              <w:rPr>
                <w:rFonts w:hint="eastAsia" w:ascii="宋体"/>
                <w:color w:val="auto"/>
                <w:sz w:val="20"/>
                <w:highlight w:val="none"/>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cBorders>
            <w:noWrap/>
            <w:vAlign w:val="center"/>
          </w:tcPr>
          <w:p w14:paraId="01C2FA44">
            <w:pPr>
              <w:spacing w:line="360" w:lineRule="auto"/>
              <w:rPr>
                <w:rFonts w:hint="eastAsia" w:ascii="宋体"/>
                <w:color w:val="auto"/>
                <w:sz w:val="20"/>
                <w:highlight w:val="none"/>
              </w:rPr>
            </w:pPr>
          </w:p>
        </w:tc>
      </w:tr>
      <w:tr w14:paraId="0F19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A6F0D9C">
            <w:pPr>
              <w:numPr>
                <w:ilvl w:val="0"/>
                <w:numId w:val="4"/>
              </w:numPr>
              <w:spacing w:line="360" w:lineRule="auto"/>
              <w:ind w:left="420" w:firstLine="480" w:firstLineChars="0"/>
              <w:rPr>
                <w:rFonts w:hint="eastAsia" w:ascii="宋体"/>
                <w:color w:val="auto"/>
                <w:sz w:val="20"/>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761D9152">
            <w:pPr>
              <w:spacing w:line="360" w:lineRule="auto"/>
              <w:ind w:firstLine="0" w:firstLineChars="0"/>
              <w:jc w:val="center"/>
              <w:rPr>
                <w:rFonts w:hint="eastAsia" w:ascii="宋体" w:cs="宋体"/>
                <w:color w:val="auto"/>
                <w:sz w:val="20"/>
                <w:highlight w:val="none"/>
              </w:rPr>
            </w:pPr>
            <w:r>
              <w:rPr>
                <w:rFonts w:hint="eastAsia" w:ascii="宋体"/>
                <w:color w:val="auto"/>
                <w:sz w:val="20"/>
                <w:highlight w:val="none"/>
              </w:rPr>
              <w:t>关键实施人员</w:t>
            </w:r>
          </w:p>
        </w:tc>
        <w:tc>
          <w:tcPr>
            <w:tcW w:w="4521" w:type="dxa"/>
            <w:tcBorders>
              <w:top w:val="single" w:color="auto" w:sz="4" w:space="0"/>
              <w:left w:val="single" w:color="auto" w:sz="4" w:space="0"/>
              <w:bottom w:val="single" w:color="auto" w:sz="4" w:space="0"/>
              <w:right w:val="single" w:color="auto" w:sz="4" w:space="0"/>
            </w:tcBorders>
            <w:noWrap/>
            <w:vAlign w:val="center"/>
          </w:tcPr>
          <w:p w14:paraId="789B9184">
            <w:pPr>
              <w:spacing w:line="360" w:lineRule="auto"/>
              <w:ind w:firstLine="0" w:firstLineChars="0"/>
              <w:rPr>
                <w:rFonts w:hint="eastAsia" w:ascii="宋体"/>
                <w:color w:val="auto"/>
                <w:sz w:val="20"/>
                <w:highlight w:val="none"/>
              </w:rPr>
            </w:pPr>
            <w:r>
              <w:rPr>
                <w:rFonts w:hint="eastAsia" w:ascii="宋体"/>
                <w:color w:val="auto"/>
                <w:sz w:val="20"/>
                <w:highlight w:val="none"/>
              </w:rPr>
              <w:t>XXX</w:t>
            </w:r>
          </w:p>
        </w:tc>
        <w:tc>
          <w:tcPr>
            <w:tcW w:w="1428" w:type="dxa"/>
            <w:tcBorders>
              <w:top w:val="single" w:color="auto" w:sz="4" w:space="0"/>
              <w:left w:val="single" w:color="auto" w:sz="4" w:space="0"/>
              <w:bottom w:val="single" w:color="auto" w:sz="4" w:space="0"/>
              <w:right w:val="single" w:color="auto" w:sz="4" w:space="0"/>
            </w:tcBorders>
            <w:noWrap/>
            <w:vAlign w:val="center"/>
          </w:tcPr>
          <w:p w14:paraId="37851758">
            <w:pPr>
              <w:spacing w:line="360" w:lineRule="auto"/>
              <w:rPr>
                <w:rFonts w:hint="eastAsia" w:ascii="宋体"/>
                <w:color w:val="auto"/>
                <w:sz w:val="20"/>
                <w:highlight w:val="none"/>
              </w:rPr>
            </w:pPr>
          </w:p>
        </w:tc>
      </w:tr>
      <w:tr w14:paraId="67FA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45419968">
            <w:pPr>
              <w:numPr>
                <w:ilvl w:val="0"/>
                <w:numId w:val="4"/>
              </w:numPr>
              <w:spacing w:line="360" w:lineRule="auto"/>
              <w:ind w:left="420" w:firstLine="480" w:firstLineChars="0"/>
              <w:rPr>
                <w:rFonts w:hint="eastAsia" w:ascii="宋体"/>
                <w:color w:val="auto"/>
                <w:sz w:val="20"/>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6570A2DC">
            <w:pPr>
              <w:spacing w:line="360" w:lineRule="auto"/>
              <w:ind w:firstLine="0" w:firstLineChars="0"/>
              <w:jc w:val="center"/>
              <w:rPr>
                <w:rFonts w:hint="eastAsia" w:ascii="宋体" w:cs="宋体"/>
                <w:color w:val="auto"/>
                <w:sz w:val="20"/>
                <w:highlight w:val="none"/>
              </w:rPr>
            </w:pPr>
            <w:r>
              <w:rPr>
                <w:rFonts w:hint="eastAsia" w:ascii="宋体"/>
                <w:color w:val="auto"/>
                <w:sz w:val="20"/>
                <w:highlight w:val="none"/>
              </w:rPr>
              <w:t>关键实施人员</w:t>
            </w:r>
          </w:p>
        </w:tc>
        <w:tc>
          <w:tcPr>
            <w:tcW w:w="4521" w:type="dxa"/>
            <w:tcBorders>
              <w:top w:val="single" w:color="auto" w:sz="4" w:space="0"/>
              <w:left w:val="single" w:color="auto" w:sz="4" w:space="0"/>
              <w:bottom w:val="single" w:color="auto" w:sz="4" w:space="0"/>
              <w:right w:val="single" w:color="auto" w:sz="4" w:space="0"/>
            </w:tcBorders>
            <w:noWrap/>
            <w:vAlign w:val="center"/>
          </w:tcPr>
          <w:p w14:paraId="18E349B9">
            <w:pPr>
              <w:spacing w:line="360" w:lineRule="auto"/>
              <w:ind w:firstLine="0" w:firstLineChars="0"/>
              <w:rPr>
                <w:rFonts w:hint="eastAsia" w:ascii="宋体"/>
                <w:color w:val="auto"/>
                <w:sz w:val="20"/>
                <w:highlight w:val="none"/>
              </w:rPr>
            </w:pPr>
            <w:r>
              <w:rPr>
                <w:rFonts w:hint="eastAsia" w:ascii="宋体"/>
                <w:color w:val="auto"/>
                <w:sz w:val="20"/>
                <w:highlight w:val="none"/>
              </w:rPr>
              <w:t>XXX</w:t>
            </w:r>
          </w:p>
        </w:tc>
        <w:tc>
          <w:tcPr>
            <w:tcW w:w="1428" w:type="dxa"/>
            <w:tcBorders>
              <w:top w:val="single" w:color="auto" w:sz="4" w:space="0"/>
              <w:left w:val="single" w:color="auto" w:sz="4" w:space="0"/>
              <w:bottom w:val="single" w:color="auto" w:sz="4" w:space="0"/>
              <w:right w:val="single" w:color="auto" w:sz="4" w:space="0"/>
            </w:tcBorders>
            <w:noWrap/>
            <w:vAlign w:val="center"/>
          </w:tcPr>
          <w:p w14:paraId="50AF1EBE">
            <w:pPr>
              <w:spacing w:line="360" w:lineRule="auto"/>
              <w:rPr>
                <w:rFonts w:hint="eastAsia" w:ascii="宋体" w:cs="宋体"/>
                <w:color w:val="auto"/>
                <w:sz w:val="20"/>
                <w:highlight w:val="none"/>
              </w:rPr>
            </w:pPr>
          </w:p>
        </w:tc>
      </w:tr>
      <w:tr w14:paraId="1F7F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4634FEC9">
            <w:pPr>
              <w:numPr>
                <w:ilvl w:val="0"/>
                <w:numId w:val="4"/>
              </w:numPr>
              <w:spacing w:line="360" w:lineRule="auto"/>
              <w:ind w:left="420" w:firstLine="480" w:firstLineChars="0"/>
              <w:rPr>
                <w:rFonts w:hint="eastAsia" w:ascii="宋体"/>
                <w:color w:val="auto"/>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5F9DD948">
            <w:pPr>
              <w:spacing w:line="360" w:lineRule="auto"/>
              <w:rPr>
                <w:rFonts w:hint="eastAsia" w:ascii="宋体" w:cs="宋体"/>
                <w:color w:val="auto"/>
                <w:szCs w:val="21"/>
                <w:highlight w:val="none"/>
              </w:rPr>
            </w:pPr>
            <w:r>
              <w:rPr>
                <w:rFonts w:hint="eastAsia" w:ascii="宋体" w:cs="宋体"/>
                <w:color w:val="auto"/>
                <w:szCs w:val="21"/>
                <w:highlight w:val="none"/>
              </w:rPr>
              <w:t>......</w:t>
            </w:r>
          </w:p>
        </w:tc>
        <w:tc>
          <w:tcPr>
            <w:tcW w:w="4521" w:type="dxa"/>
            <w:tcBorders>
              <w:top w:val="single" w:color="auto" w:sz="4" w:space="0"/>
              <w:left w:val="single" w:color="auto" w:sz="4" w:space="0"/>
              <w:bottom w:val="single" w:color="auto" w:sz="4" w:space="0"/>
              <w:right w:val="single" w:color="auto" w:sz="4" w:space="0"/>
            </w:tcBorders>
            <w:noWrap/>
            <w:vAlign w:val="center"/>
          </w:tcPr>
          <w:p w14:paraId="757EC54D">
            <w:pPr>
              <w:spacing w:line="360" w:lineRule="auto"/>
              <w:rPr>
                <w:rFonts w:hint="eastAsia" w:ascii="宋体"/>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76F57897">
            <w:pPr>
              <w:spacing w:line="360" w:lineRule="auto"/>
              <w:rPr>
                <w:rFonts w:hint="eastAsia" w:ascii="宋体"/>
                <w:color w:val="auto"/>
                <w:szCs w:val="21"/>
                <w:highlight w:val="none"/>
              </w:rPr>
            </w:pPr>
          </w:p>
        </w:tc>
      </w:tr>
      <w:tr w14:paraId="3EEC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4CC63623">
            <w:pPr>
              <w:numPr>
                <w:ilvl w:val="0"/>
                <w:numId w:val="4"/>
              </w:numPr>
              <w:spacing w:line="360" w:lineRule="auto"/>
              <w:ind w:left="420" w:firstLine="480" w:firstLineChars="0"/>
              <w:rPr>
                <w:rFonts w:hint="eastAsia" w:ascii="宋体"/>
                <w:color w:val="auto"/>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5CDD22E9">
            <w:pPr>
              <w:spacing w:line="360" w:lineRule="auto"/>
              <w:rPr>
                <w:rFonts w:hint="eastAsia" w:ascii="宋体"/>
                <w:color w:val="auto"/>
                <w:szCs w:val="21"/>
                <w:highlight w:val="none"/>
              </w:rPr>
            </w:pPr>
            <w:r>
              <w:rPr>
                <w:rFonts w:hint="eastAsia" w:ascii="宋体"/>
                <w:color w:val="auto"/>
                <w:szCs w:val="21"/>
                <w:highlight w:val="none"/>
              </w:rPr>
              <w:t>......</w:t>
            </w:r>
          </w:p>
        </w:tc>
        <w:tc>
          <w:tcPr>
            <w:tcW w:w="4521" w:type="dxa"/>
            <w:tcBorders>
              <w:top w:val="single" w:color="auto" w:sz="4" w:space="0"/>
              <w:left w:val="single" w:color="auto" w:sz="4" w:space="0"/>
              <w:bottom w:val="single" w:color="auto" w:sz="4" w:space="0"/>
              <w:right w:val="single" w:color="auto" w:sz="4" w:space="0"/>
            </w:tcBorders>
            <w:noWrap/>
            <w:vAlign w:val="center"/>
          </w:tcPr>
          <w:p w14:paraId="75A6139E">
            <w:pPr>
              <w:spacing w:line="360" w:lineRule="auto"/>
              <w:rPr>
                <w:rFonts w:hint="eastAsia" w:ascii="宋体"/>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49EEFE56">
            <w:pPr>
              <w:spacing w:line="360" w:lineRule="auto"/>
              <w:rPr>
                <w:rFonts w:hint="eastAsia" w:ascii="宋体"/>
                <w:color w:val="auto"/>
                <w:szCs w:val="21"/>
                <w:highlight w:val="none"/>
              </w:rPr>
            </w:pPr>
          </w:p>
        </w:tc>
      </w:tr>
      <w:tr w14:paraId="166A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4CB487FB">
            <w:pPr>
              <w:numPr>
                <w:ilvl w:val="0"/>
                <w:numId w:val="4"/>
              </w:numPr>
              <w:spacing w:line="360" w:lineRule="auto"/>
              <w:ind w:left="420" w:firstLine="480" w:firstLineChars="0"/>
              <w:rPr>
                <w:rFonts w:hint="eastAsia" w:ascii="宋体"/>
                <w:color w:val="auto"/>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228279A8">
            <w:pPr>
              <w:spacing w:line="360" w:lineRule="auto"/>
              <w:rPr>
                <w:rFonts w:hint="eastAsia" w:ascii="宋体"/>
                <w:color w:val="auto"/>
                <w:szCs w:val="21"/>
                <w:highlight w:val="none"/>
              </w:rPr>
            </w:pPr>
          </w:p>
        </w:tc>
        <w:tc>
          <w:tcPr>
            <w:tcW w:w="4521" w:type="dxa"/>
            <w:tcBorders>
              <w:top w:val="single" w:color="auto" w:sz="4" w:space="0"/>
              <w:left w:val="single" w:color="auto" w:sz="4" w:space="0"/>
              <w:bottom w:val="single" w:color="auto" w:sz="4" w:space="0"/>
              <w:right w:val="single" w:color="auto" w:sz="4" w:space="0"/>
            </w:tcBorders>
            <w:noWrap/>
            <w:vAlign w:val="center"/>
          </w:tcPr>
          <w:p w14:paraId="5378AFAA">
            <w:pPr>
              <w:spacing w:line="360" w:lineRule="auto"/>
              <w:rPr>
                <w:rFonts w:hint="eastAsia" w:ascii="宋体"/>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797EF85D">
            <w:pPr>
              <w:spacing w:line="360" w:lineRule="auto"/>
              <w:rPr>
                <w:rFonts w:hint="eastAsia" w:ascii="宋体"/>
                <w:color w:val="auto"/>
                <w:szCs w:val="21"/>
                <w:highlight w:val="none"/>
              </w:rPr>
            </w:pPr>
          </w:p>
        </w:tc>
      </w:tr>
      <w:tr w14:paraId="3907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07AC1836">
            <w:pPr>
              <w:numPr>
                <w:ilvl w:val="0"/>
                <w:numId w:val="4"/>
              </w:numPr>
              <w:spacing w:line="360" w:lineRule="auto"/>
              <w:ind w:left="420" w:firstLine="480" w:firstLineChars="0"/>
              <w:rPr>
                <w:rFonts w:hint="eastAsia" w:ascii="宋体"/>
                <w:color w:val="auto"/>
                <w:szCs w:val="21"/>
                <w:highlight w:val="none"/>
              </w:rPr>
            </w:pPr>
          </w:p>
        </w:tc>
        <w:tc>
          <w:tcPr>
            <w:tcW w:w="1951" w:type="dxa"/>
            <w:tcBorders>
              <w:top w:val="single" w:color="auto" w:sz="4" w:space="0"/>
              <w:left w:val="single" w:color="auto" w:sz="4" w:space="0"/>
              <w:bottom w:val="single" w:color="auto" w:sz="4" w:space="0"/>
              <w:right w:val="single" w:color="auto" w:sz="4" w:space="0"/>
            </w:tcBorders>
            <w:noWrap/>
            <w:vAlign w:val="center"/>
          </w:tcPr>
          <w:p w14:paraId="123242EA">
            <w:pPr>
              <w:spacing w:line="360" w:lineRule="auto"/>
              <w:rPr>
                <w:rFonts w:hint="eastAsia" w:ascii="宋体"/>
                <w:color w:val="auto"/>
                <w:szCs w:val="21"/>
                <w:highlight w:val="none"/>
              </w:rPr>
            </w:pPr>
          </w:p>
        </w:tc>
        <w:tc>
          <w:tcPr>
            <w:tcW w:w="4521" w:type="dxa"/>
            <w:tcBorders>
              <w:top w:val="single" w:color="auto" w:sz="4" w:space="0"/>
              <w:left w:val="single" w:color="auto" w:sz="4" w:space="0"/>
              <w:bottom w:val="single" w:color="auto" w:sz="4" w:space="0"/>
              <w:right w:val="single" w:color="auto" w:sz="4" w:space="0"/>
            </w:tcBorders>
            <w:noWrap/>
            <w:vAlign w:val="center"/>
          </w:tcPr>
          <w:p w14:paraId="584E2546">
            <w:pPr>
              <w:spacing w:line="360" w:lineRule="auto"/>
              <w:rPr>
                <w:rFonts w:hint="eastAsia" w:ascii="宋体"/>
                <w:color w:val="auto"/>
                <w:szCs w:val="21"/>
                <w:highlight w:val="none"/>
              </w:rPr>
            </w:pPr>
          </w:p>
        </w:tc>
        <w:tc>
          <w:tcPr>
            <w:tcW w:w="1428" w:type="dxa"/>
            <w:tcBorders>
              <w:top w:val="single" w:color="auto" w:sz="4" w:space="0"/>
              <w:left w:val="single" w:color="auto" w:sz="4" w:space="0"/>
              <w:bottom w:val="single" w:color="auto" w:sz="4" w:space="0"/>
              <w:right w:val="single" w:color="auto" w:sz="4" w:space="0"/>
            </w:tcBorders>
            <w:noWrap/>
            <w:vAlign w:val="center"/>
          </w:tcPr>
          <w:p w14:paraId="26D1A9CC">
            <w:pPr>
              <w:spacing w:line="360" w:lineRule="auto"/>
              <w:rPr>
                <w:rFonts w:hint="eastAsia" w:ascii="宋体"/>
                <w:color w:val="auto"/>
                <w:szCs w:val="21"/>
                <w:highlight w:val="none"/>
              </w:rPr>
            </w:pPr>
          </w:p>
        </w:tc>
      </w:tr>
    </w:tbl>
    <w:p w14:paraId="34CDB075">
      <w:pPr>
        <w:rPr>
          <w:rFonts w:hint="eastAsia" w:ascii="仿宋" w:eastAsia="仿宋"/>
          <w:color w:val="auto"/>
          <w:sz w:val="28"/>
          <w:szCs w:val="28"/>
          <w:highlight w:val="none"/>
        </w:rPr>
      </w:pPr>
    </w:p>
    <w:p w14:paraId="3C9E7FD9">
      <w:pPr>
        <w:rPr>
          <w:rFonts w:hint="eastAsia"/>
          <w:color w:val="auto"/>
          <w:highlight w:val="none"/>
        </w:rPr>
      </w:pPr>
    </w:p>
    <w:p w14:paraId="60BCC706">
      <w:pPr>
        <w:pStyle w:val="18"/>
        <w:snapToGrid w:val="0"/>
        <w:spacing w:before="0" w:after="0" w:line="520" w:lineRule="exact"/>
        <w:jc w:val="left"/>
        <w:outlineLvl w:val="2"/>
        <w:rPr>
          <w:color w:val="auto"/>
          <w:highlight w:val="none"/>
        </w:rPr>
      </w:pPr>
      <w:r>
        <w:rPr>
          <w:snapToGrid w:val="0"/>
          <w:color w:val="auto"/>
          <w:sz w:val="24"/>
          <w:highlight w:val="none"/>
        </w:rPr>
        <w:br w:type="page"/>
      </w:r>
      <w:r>
        <w:rPr>
          <w:rFonts w:hint="eastAsia"/>
          <w:snapToGrid w:val="0"/>
          <w:color w:val="auto"/>
          <w:sz w:val="24"/>
          <w:highlight w:val="none"/>
        </w:rPr>
        <w:t>附件</w:t>
      </w:r>
      <w:r>
        <w:rPr>
          <w:snapToGrid w:val="0"/>
          <w:color w:val="auto"/>
          <w:sz w:val="24"/>
          <w:highlight w:val="none"/>
        </w:rPr>
        <w:t>2</w:t>
      </w:r>
    </w:p>
    <w:tbl>
      <w:tblPr>
        <w:tblStyle w:val="21"/>
        <w:tblW w:w="9498"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849"/>
        <w:gridCol w:w="2696"/>
        <w:gridCol w:w="643"/>
        <w:gridCol w:w="1906"/>
        <w:gridCol w:w="2267"/>
        <w:gridCol w:w="570"/>
      </w:tblGrid>
      <w:tr w14:paraId="6389A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noWrap/>
            <w:vAlign w:val="center"/>
          </w:tcPr>
          <w:p w14:paraId="06AD3ABB">
            <w:pPr>
              <w:widowControl/>
              <w:jc w:val="center"/>
              <w:outlineLvl w:val="2"/>
              <w:rPr>
                <w:rFonts w:hint="eastAsia" w:ascii="方正小标宋_GBK" w:eastAsia="方正小标宋_GBK" w:cs="宋体"/>
                <w:color w:val="auto"/>
                <w:kern w:val="0"/>
                <w:sz w:val="44"/>
                <w:szCs w:val="44"/>
                <w:highlight w:val="none"/>
              </w:rPr>
            </w:pPr>
            <w:r>
              <w:rPr>
                <w:rFonts w:hint="eastAsia" w:ascii="Calibri Light" w:hAnsi="Calibri Light"/>
                <w:b/>
                <w:bCs/>
                <w:snapToGrid w:val="0"/>
                <w:color w:val="auto"/>
                <w:sz w:val="32"/>
                <w:szCs w:val="32"/>
                <w:highlight w:val="none"/>
              </w:rPr>
              <w:t>项目最终验收表</w:t>
            </w:r>
          </w:p>
        </w:tc>
      </w:tr>
      <w:tr w14:paraId="3A8C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06420A64">
            <w:pPr>
              <w:spacing w:line="360" w:lineRule="auto"/>
              <w:ind w:left="0" w:firstLine="0" w:firstLineChars="0"/>
              <w:rPr>
                <w:rFonts w:hint="eastAsia" w:ascii="宋体"/>
                <w:color w:val="auto"/>
                <w:highlight w:val="none"/>
              </w:rPr>
            </w:pPr>
            <w:r>
              <w:rPr>
                <w:rFonts w:hint="eastAsia" w:ascii="宋体"/>
                <w:color w:val="auto"/>
                <w:highlight w:val="none"/>
              </w:rPr>
              <w:t>项目名称</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5B283A71">
            <w:pPr>
              <w:spacing w:line="360" w:lineRule="auto"/>
              <w:rPr>
                <w:rFonts w:hint="eastAsia" w:ascii="宋体"/>
                <w:color w:val="auto"/>
                <w:highlight w:val="none"/>
              </w:rPr>
            </w:pPr>
          </w:p>
        </w:tc>
      </w:tr>
      <w:tr w14:paraId="5B1D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12223BCA">
            <w:pPr>
              <w:spacing w:line="360" w:lineRule="auto"/>
              <w:ind w:left="0" w:firstLine="0" w:firstLineChars="0"/>
              <w:rPr>
                <w:rFonts w:hint="eastAsia" w:ascii="宋体"/>
                <w:color w:val="auto"/>
                <w:highlight w:val="none"/>
              </w:rPr>
            </w:pPr>
            <w:r>
              <w:rPr>
                <w:rFonts w:hint="eastAsia" w:ascii="宋体"/>
                <w:color w:val="auto"/>
                <w:highlight w:val="none"/>
              </w:rPr>
              <w:t>服务提供商</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6A8747E5">
            <w:pPr>
              <w:spacing w:line="360" w:lineRule="auto"/>
              <w:rPr>
                <w:rFonts w:hint="eastAsia" w:ascii="宋体"/>
                <w:color w:val="auto"/>
                <w:highlight w:val="none"/>
              </w:rPr>
            </w:pPr>
          </w:p>
        </w:tc>
      </w:tr>
      <w:tr w14:paraId="1C08F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2E69EB3B">
            <w:pPr>
              <w:spacing w:line="360" w:lineRule="auto"/>
              <w:ind w:left="0" w:firstLine="0" w:firstLineChars="0"/>
              <w:rPr>
                <w:rFonts w:hint="eastAsia" w:ascii="宋体"/>
                <w:color w:val="auto"/>
                <w:highlight w:val="none"/>
              </w:rPr>
            </w:pPr>
            <w:r>
              <w:rPr>
                <w:rFonts w:hint="eastAsia" w:ascii="宋体"/>
                <w:color w:val="auto"/>
                <w:highlight w:val="none"/>
              </w:rPr>
              <w:t>验收时间</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00FD84F5">
            <w:pPr>
              <w:spacing w:line="360" w:lineRule="auto"/>
              <w:rPr>
                <w:rFonts w:hint="eastAsia" w:ascii="宋体"/>
                <w:color w:val="auto"/>
                <w:highlight w:val="none"/>
              </w:rPr>
            </w:pPr>
          </w:p>
        </w:tc>
      </w:tr>
      <w:tr w14:paraId="786C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3F7CEBD6">
            <w:pPr>
              <w:spacing w:line="360" w:lineRule="auto"/>
              <w:ind w:left="0" w:firstLine="0" w:firstLineChars="0"/>
              <w:rPr>
                <w:rFonts w:hint="eastAsia" w:ascii="宋体"/>
                <w:color w:val="auto"/>
                <w:highlight w:val="none"/>
              </w:rPr>
            </w:pPr>
            <w:r>
              <w:rPr>
                <w:rFonts w:hint="eastAsia" w:ascii="宋体"/>
                <w:color w:val="auto"/>
                <w:highlight w:val="none"/>
              </w:rPr>
              <w:t>验收地点</w:t>
            </w:r>
          </w:p>
        </w:tc>
        <w:tc>
          <w:tcPr>
            <w:tcW w:w="2696" w:type="dxa"/>
            <w:tcBorders>
              <w:top w:val="single" w:color="auto" w:sz="4" w:space="0"/>
              <w:left w:val="single" w:color="auto" w:sz="4" w:space="0"/>
              <w:bottom w:val="single" w:color="auto" w:sz="4" w:space="0"/>
              <w:right w:val="single" w:color="auto" w:sz="4" w:space="0"/>
            </w:tcBorders>
            <w:noWrap/>
            <w:vAlign w:val="center"/>
          </w:tcPr>
          <w:p w14:paraId="20433CF0">
            <w:pPr>
              <w:spacing w:line="360" w:lineRule="auto"/>
              <w:rPr>
                <w:rFonts w:hint="eastAsia" w:ascii="宋体"/>
                <w:color w:val="auto"/>
                <w:highlight w:val="none"/>
              </w:rPr>
            </w:pP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06D0F638">
            <w:pPr>
              <w:spacing w:line="360" w:lineRule="auto"/>
              <w:rPr>
                <w:rFonts w:hint="eastAsia" w:ascii="宋体"/>
                <w:color w:val="auto"/>
                <w:highlight w:val="none"/>
              </w:rPr>
            </w:pPr>
            <w:r>
              <w:rPr>
                <w:rFonts w:hint="eastAsia" w:ascii="宋体"/>
                <w:color w:val="auto"/>
                <w:highlight w:val="none"/>
              </w:rPr>
              <w:t>项目经理</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43CA7A5D">
            <w:pPr>
              <w:spacing w:line="360" w:lineRule="auto"/>
              <w:rPr>
                <w:rFonts w:hint="eastAsia" w:ascii="宋体"/>
                <w:color w:val="auto"/>
                <w:highlight w:val="none"/>
              </w:rPr>
            </w:pPr>
          </w:p>
        </w:tc>
      </w:tr>
      <w:tr w14:paraId="6C40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77F5262B">
            <w:pPr>
              <w:spacing w:line="360" w:lineRule="auto"/>
              <w:ind w:left="0" w:firstLine="0" w:firstLineChars="0"/>
              <w:rPr>
                <w:rFonts w:hint="eastAsia" w:ascii="宋体"/>
                <w:color w:val="auto"/>
                <w:highlight w:val="none"/>
              </w:rPr>
            </w:pPr>
            <w:r>
              <w:rPr>
                <w:rFonts w:hint="eastAsia" w:ascii="宋体"/>
                <w:color w:val="auto"/>
                <w:highlight w:val="none"/>
              </w:rPr>
              <w:t>是否实现项目目标</w:t>
            </w:r>
          </w:p>
        </w:tc>
        <w:tc>
          <w:tcPr>
            <w:tcW w:w="2696" w:type="dxa"/>
            <w:tcBorders>
              <w:top w:val="single" w:color="auto" w:sz="4" w:space="0"/>
              <w:left w:val="single" w:color="auto" w:sz="4" w:space="0"/>
              <w:bottom w:val="single" w:color="auto" w:sz="4" w:space="0"/>
              <w:right w:val="single" w:color="auto" w:sz="4" w:space="0"/>
            </w:tcBorders>
            <w:noWrap/>
            <w:vAlign w:val="center"/>
          </w:tcPr>
          <w:p w14:paraId="327DB9A1">
            <w:pPr>
              <w:spacing w:line="360" w:lineRule="auto"/>
              <w:rPr>
                <w:rFonts w:hint="eastAsia" w:ascii="宋体"/>
                <w:color w:val="auto"/>
                <w:highlight w:val="none"/>
              </w:rPr>
            </w:pPr>
            <w:r>
              <w:rPr>
                <w:rFonts w:hint="eastAsia" w:ascii="宋体"/>
                <w:color w:val="auto"/>
                <w:highlight w:val="none"/>
              </w:rPr>
              <w:t>□是     □否</w:t>
            </w: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52AA8E5C">
            <w:pPr>
              <w:spacing w:line="360" w:lineRule="auto"/>
              <w:rPr>
                <w:rFonts w:hint="eastAsia" w:ascii="宋体"/>
                <w:color w:val="auto"/>
                <w:highlight w:val="none"/>
              </w:rPr>
            </w:pPr>
            <w:r>
              <w:rPr>
                <w:rFonts w:hint="eastAsia" w:ascii="宋体"/>
                <w:color w:val="auto"/>
                <w:highlight w:val="none"/>
              </w:rPr>
              <w:t>交付物是否齐全</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02AC3CF3">
            <w:pPr>
              <w:spacing w:line="360" w:lineRule="auto"/>
              <w:rPr>
                <w:rFonts w:hint="eastAsia" w:ascii="宋体"/>
                <w:color w:val="auto"/>
                <w:highlight w:val="none"/>
              </w:rPr>
            </w:pPr>
            <w:r>
              <w:rPr>
                <w:rFonts w:hint="eastAsia" w:ascii="宋体"/>
                <w:color w:val="auto"/>
                <w:highlight w:val="none"/>
              </w:rPr>
              <w:t>□是     □否</w:t>
            </w:r>
          </w:p>
        </w:tc>
      </w:tr>
      <w:tr w14:paraId="439C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29AA64B8">
            <w:pPr>
              <w:spacing w:line="360" w:lineRule="auto"/>
              <w:ind w:left="0" w:firstLine="0" w:firstLineChars="0"/>
              <w:rPr>
                <w:rFonts w:hint="eastAsia" w:ascii="宋体"/>
                <w:color w:val="auto"/>
                <w:highlight w:val="none"/>
              </w:rPr>
            </w:pPr>
            <w:r>
              <w:rPr>
                <w:rFonts w:hint="eastAsia" w:ascii="宋体"/>
                <w:color w:val="auto"/>
                <w:highlight w:val="none"/>
              </w:rPr>
              <w:t>有无遗留问题</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3FABF6DD">
            <w:pPr>
              <w:spacing w:line="360" w:lineRule="auto"/>
              <w:rPr>
                <w:rFonts w:hint="eastAsia" w:ascii="宋体"/>
                <w:color w:val="auto"/>
                <w:highlight w:val="none"/>
              </w:rPr>
            </w:pPr>
          </w:p>
        </w:tc>
      </w:tr>
      <w:tr w14:paraId="0F9F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567C7F32">
            <w:pPr>
              <w:spacing w:line="360" w:lineRule="auto"/>
              <w:ind w:left="0" w:firstLine="0" w:firstLineChars="0"/>
              <w:rPr>
                <w:rFonts w:hint="eastAsia" w:ascii="宋体"/>
                <w:color w:val="auto"/>
                <w:highlight w:val="none"/>
              </w:rPr>
            </w:pPr>
            <w:r>
              <w:rPr>
                <w:rFonts w:hint="eastAsia" w:ascii="宋体"/>
                <w:color w:val="auto"/>
                <w:highlight w:val="none"/>
              </w:rPr>
              <w:t>最终验收评审结论</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138C3AB2">
            <w:pPr>
              <w:spacing w:line="360" w:lineRule="auto"/>
              <w:rPr>
                <w:rFonts w:hint="eastAsia" w:ascii="宋体"/>
                <w:color w:val="auto"/>
                <w:highlight w:val="none"/>
              </w:rPr>
            </w:pPr>
          </w:p>
        </w:tc>
      </w:tr>
      <w:tr w14:paraId="080D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7" w:hRule="atLeast"/>
        </w:trPr>
        <w:tc>
          <w:tcPr>
            <w:tcW w:w="4755" w:type="dxa"/>
            <w:gridSpan w:val="4"/>
            <w:tcBorders>
              <w:top w:val="single" w:color="auto" w:sz="4" w:space="0"/>
              <w:left w:val="single" w:color="auto" w:sz="4" w:space="0"/>
              <w:bottom w:val="single" w:color="auto" w:sz="4" w:space="0"/>
              <w:right w:val="single" w:color="auto" w:sz="4" w:space="0"/>
            </w:tcBorders>
            <w:noWrap/>
          </w:tcPr>
          <w:p w14:paraId="3413BFDC">
            <w:pPr>
              <w:spacing w:line="400" w:lineRule="exact"/>
              <w:ind w:left="0" w:firstLine="0" w:firstLineChars="0"/>
              <w:rPr>
                <w:rFonts w:hint="eastAsia" w:ascii="宋体"/>
                <w:color w:val="auto"/>
                <w:highlight w:val="none"/>
              </w:rPr>
            </w:pPr>
            <w:r>
              <w:rPr>
                <w:rFonts w:hint="eastAsia" w:ascii="宋体"/>
                <w:color w:val="auto"/>
                <w:highlight w:val="none"/>
              </w:rPr>
              <w:t>参验人员：</w:t>
            </w:r>
          </w:p>
          <w:p w14:paraId="2EA94918">
            <w:pPr>
              <w:spacing w:line="400" w:lineRule="exact"/>
              <w:rPr>
                <w:rFonts w:hint="eastAsia" w:ascii="宋体"/>
                <w:color w:val="auto"/>
                <w:highlight w:val="none"/>
              </w:rPr>
            </w:pPr>
          </w:p>
          <w:p w14:paraId="70CD4059">
            <w:pPr>
              <w:spacing w:line="400" w:lineRule="exact"/>
              <w:rPr>
                <w:rFonts w:ascii="宋体"/>
                <w:color w:val="auto"/>
                <w:highlight w:val="none"/>
              </w:rPr>
            </w:pPr>
          </w:p>
          <w:p w14:paraId="552DBF1A">
            <w:pPr>
              <w:pStyle w:val="4"/>
              <w:rPr>
                <w:rFonts w:hint="eastAsia"/>
                <w:color w:val="auto"/>
                <w:highlight w:val="none"/>
              </w:rPr>
            </w:pPr>
          </w:p>
          <w:p w14:paraId="1105C63D">
            <w:pPr>
              <w:spacing w:line="400" w:lineRule="exact"/>
              <w:ind w:right="600"/>
              <w:rPr>
                <w:rFonts w:hint="eastAsia" w:ascii="宋体"/>
                <w:color w:val="auto"/>
                <w:highlight w:val="none"/>
              </w:rPr>
            </w:pPr>
            <w:r>
              <w:rPr>
                <w:rFonts w:hint="eastAsia" w:ascii="宋体"/>
                <w:color w:val="auto"/>
                <w:highlight w:val="none"/>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noWrap/>
          </w:tcPr>
          <w:p w14:paraId="510EADF6">
            <w:pPr>
              <w:widowControl/>
              <w:ind w:left="0" w:firstLine="0" w:firstLineChars="0"/>
              <w:jc w:val="left"/>
              <w:rPr>
                <w:rFonts w:hint="eastAsia" w:ascii="宋体"/>
                <w:color w:val="auto"/>
                <w:highlight w:val="none"/>
              </w:rPr>
            </w:pPr>
            <w:r>
              <w:rPr>
                <w:rFonts w:hint="eastAsia" w:ascii="宋体"/>
                <w:color w:val="auto"/>
                <w:highlight w:val="none"/>
              </w:rPr>
              <w:t>部门负责人：</w:t>
            </w:r>
          </w:p>
          <w:p w14:paraId="722E9086">
            <w:pPr>
              <w:widowControl/>
              <w:jc w:val="left"/>
              <w:rPr>
                <w:rFonts w:hint="eastAsia" w:ascii="宋体"/>
                <w:color w:val="auto"/>
                <w:highlight w:val="none"/>
              </w:rPr>
            </w:pPr>
          </w:p>
          <w:p w14:paraId="6601A4F7">
            <w:pPr>
              <w:widowControl/>
              <w:ind w:left="0" w:firstLine="0" w:firstLineChars="0"/>
              <w:jc w:val="left"/>
              <w:rPr>
                <w:rFonts w:hint="eastAsia" w:ascii="宋体"/>
                <w:color w:val="auto"/>
                <w:highlight w:val="none"/>
              </w:rPr>
            </w:pPr>
          </w:p>
          <w:p w14:paraId="6A116525">
            <w:pPr>
              <w:spacing w:line="400" w:lineRule="exact"/>
              <w:ind w:left="1965" w:right="600" w:firstLine="600" w:firstLineChars="250"/>
              <w:rPr>
                <w:rFonts w:hint="eastAsia" w:ascii="宋体"/>
                <w:color w:val="auto"/>
                <w:highlight w:val="none"/>
              </w:rPr>
            </w:pPr>
            <w:r>
              <w:rPr>
                <w:rFonts w:hint="eastAsia" w:ascii="宋体"/>
                <w:color w:val="auto"/>
                <w:highlight w:val="none"/>
              </w:rPr>
              <w:t>年  月  日</w:t>
            </w:r>
          </w:p>
        </w:tc>
      </w:tr>
    </w:tbl>
    <w:p w14:paraId="5580011C">
      <w:pPr>
        <w:rPr>
          <w:snapToGrid w:val="0"/>
          <w:color w:val="auto"/>
          <w:highlight w:val="none"/>
        </w:rPr>
      </w:pPr>
      <w:r>
        <w:rPr>
          <w:rFonts w:hint="eastAsia" w:ascii="宋体"/>
          <w:b/>
          <w:color w:val="auto"/>
          <w:highlight w:val="none"/>
        </w:rPr>
        <w:t xml:space="preserve"> </w:t>
      </w:r>
      <w:r>
        <w:rPr>
          <w:snapToGrid w:val="0"/>
          <w:color w:val="auto"/>
          <w:highlight w:val="none"/>
        </w:rPr>
        <w:br w:type="page"/>
      </w:r>
      <w:r>
        <w:rPr>
          <w:rFonts w:hint="eastAsia"/>
          <w:snapToGrid w:val="0"/>
          <w:color w:val="auto"/>
          <w:sz w:val="24"/>
          <w:highlight w:val="none"/>
        </w:rPr>
        <w:t>附件</w:t>
      </w:r>
      <w:r>
        <w:rPr>
          <w:rFonts w:hint="eastAsia" w:ascii="宋体"/>
          <w:snapToGrid w:val="0"/>
          <w:color w:val="auto"/>
          <w:sz w:val="24"/>
          <w:highlight w:val="none"/>
        </w:rPr>
        <w:t>3</w:t>
      </w:r>
    </w:p>
    <w:p w14:paraId="3C6583DB">
      <w:pPr>
        <w:pStyle w:val="18"/>
        <w:snapToGrid w:val="0"/>
        <w:spacing w:before="0" w:after="0" w:line="520" w:lineRule="exact"/>
        <w:outlineLvl w:val="2"/>
        <w:rPr>
          <w:snapToGrid w:val="0"/>
          <w:color w:val="auto"/>
          <w:highlight w:val="none"/>
        </w:rPr>
      </w:pPr>
      <w:r>
        <w:rPr>
          <w:rFonts w:hint="eastAsia"/>
          <w:snapToGrid w:val="0"/>
          <w:color w:val="auto"/>
          <w:highlight w:val="none"/>
        </w:rPr>
        <w:t>服务水平协议</w:t>
      </w:r>
    </w:p>
    <w:p w14:paraId="2A1CF730">
      <w:pPr>
        <w:snapToGrid w:val="0"/>
        <w:spacing w:line="520" w:lineRule="exact"/>
        <w:rPr>
          <w:rFonts w:hint="eastAsia" w:ascii="宋体"/>
          <w:b/>
          <w:bCs/>
          <w:color w:val="auto"/>
          <w:kern w:val="32"/>
          <w:highlight w:val="none"/>
        </w:rPr>
      </w:pPr>
      <w:r>
        <w:rPr>
          <w:rFonts w:hint="eastAsia" w:ascii="宋体"/>
          <w:b/>
          <w:bCs/>
          <w:color w:val="auto"/>
          <w:kern w:val="32"/>
          <w:highlight w:val="none"/>
        </w:rPr>
        <w:t>1.目标</w:t>
      </w:r>
    </w:p>
    <w:p w14:paraId="56564463">
      <w:pPr>
        <w:snapToGrid w:val="0"/>
        <w:spacing w:line="520" w:lineRule="exact"/>
        <w:rPr>
          <w:rFonts w:hint="eastAsia" w:ascii="宋体"/>
          <w:color w:val="auto"/>
          <w:highlight w:val="none"/>
        </w:rPr>
      </w:pPr>
      <w:r>
        <w:rPr>
          <w:rFonts w:hint="eastAsia" w:ascii="宋体"/>
          <w:color w:val="auto"/>
          <w:highlight w:val="none"/>
        </w:rPr>
        <w:t>本服务水平协议（SLA）的目标是为了清晰地定义由xxxxxx公司（乙方）在本项目中为重庆三峡银行（甲方）提供的服务水平，本SLA主要：</w:t>
      </w:r>
    </w:p>
    <w:p w14:paraId="713F9127">
      <w:pPr>
        <w:widowControl/>
        <w:numPr>
          <w:ilvl w:val="0"/>
          <w:numId w:val="5"/>
        </w:numPr>
        <w:snapToGrid w:val="0"/>
        <w:spacing w:line="520" w:lineRule="exact"/>
        <w:ind w:left="900" w:firstLine="480" w:firstLineChars="0"/>
        <w:jc w:val="left"/>
        <w:rPr>
          <w:rFonts w:hint="eastAsia" w:ascii="宋体"/>
          <w:color w:val="auto"/>
          <w:highlight w:val="none"/>
        </w:rPr>
      </w:pPr>
      <w:r>
        <w:rPr>
          <w:rFonts w:hint="eastAsia" w:ascii="宋体"/>
          <w:color w:val="auto"/>
          <w:highlight w:val="none"/>
        </w:rPr>
        <w:t>明确甲方对外包乙方所提供服务水平的期望</w:t>
      </w:r>
    </w:p>
    <w:p w14:paraId="3A1E05C3">
      <w:pPr>
        <w:widowControl/>
        <w:numPr>
          <w:ilvl w:val="0"/>
          <w:numId w:val="5"/>
        </w:numPr>
        <w:snapToGrid w:val="0"/>
        <w:spacing w:line="520" w:lineRule="exact"/>
        <w:ind w:left="900" w:firstLine="480" w:firstLineChars="0"/>
        <w:jc w:val="left"/>
        <w:rPr>
          <w:rFonts w:hint="eastAsia" w:ascii="宋体"/>
          <w:color w:val="auto"/>
          <w:highlight w:val="none"/>
        </w:rPr>
      </w:pPr>
      <w:r>
        <w:rPr>
          <w:rFonts w:hint="eastAsia" w:ascii="宋体"/>
          <w:color w:val="auto"/>
          <w:highlight w:val="none"/>
        </w:rPr>
        <w:t>规范和加强甲方对乙方所提供服务水平的控制</w:t>
      </w:r>
    </w:p>
    <w:p w14:paraId="4E5145C5">
      <w:pPr>
        <w:snapToGrid w:val="0"/>
        <w:spacing w:line="520" w:lineRule="exact"/>
        <w:rPr>
          <w:rFonts w:hint="eastAsia" w:ascii="宋体"/>
          <w:color w:val="auto"/>
          <w:highlight w:val="none"/>
        </w:rPr>
      </w:pPr>
      <w:r>
        <w:rPr>
          <w:rFonts w:hint="eastAsia" w:ascii="宋体"/>
          <w:color w:val="auto"/>
          <w:highlight w:val="none"/>
        </w:rPr>
        <w:t>双方将针对本项目制定明确的职责分工表用来确定计划和管理服务水平协议的角色和职责。</w:t>
      </w:r>
    </w:p>
    <w:p w14:paraId="66DFD04D">
      <w:pPr>
        <w:snapToGrid w:val="0"/>
        <w:spacing w:line="520" w:lineRule="exact"/>
        <w:rPr>
          <w:rFonts w:hint="eastAsia" w:ascii="宋体"/>
          <w:b/>
          <w:bCs/>
          <w:color w:val="auto"/>
          <w:kern w:val="32"/>
          <w:highlight w:val="none"/>
        </w:rPr>
      </w:pPr>
      <w:bookmarkStart w:id="260" w:name="_Toc254884641"/>
      <w:r>
        <w:rPr>
          <w:rFonts w:hint="eastAsia" w:ascii="宋体"/>
          <w:b/>
          <w:bCs/>
          <w:color w:val="auto"/>
          <w:kern w:val="32"/>
          <w:highlight w:val="none"/>
        </w:rPr>
        <w:t>2. 双方职责</w:t>
      </w:r>
      <w:bookmarkEnd w:id="260"/>
    </w:p>
    <w:p w14:paraId="3F529487">
      <w:pPr>
        <w:snapToGrid w:val="0"/>
        <w:spacing w:line="520" w:lineRule="exact"/>
        <w:rPr>
          <w:rFonts w:hint="eastAsia" w:ascii="宋体"/>
          <w:b/>
          <w:bCs/>
          <w:color w:val="auto"/>
          <w:kern w:val="32"/>
          <w:highlight w:val="none"/>
        </w:rPr>
      </w:pPr>
      <w:bookmarkStart w:id="261" w:name="_Toc254884642"/>
      <w:r>
        <w:rPr>
          <w:rFonts w:hint="eastAsia" w:ascii="宋体"/>
          <w:b/>
          <w:bCs/>
          <w:color w:val="auto"/>
          <w:kern w:val="32"/>
          <w:highlight w:val="none"/>
        </w:rPr>
        <w:t>2.1乙方</w:t>
      </w:r>
      <w:bookmarkEnd w:id="261"/>
    </w:p>
    <w:p w14:paraId="740D2347">
      <w:pPr>
        <w:snapToGrid w:val="0"/>
        <w:spacing w:line="520" w:lineRule="exact"/>
        <w:rPr>
          <w:rFonts w:hint="eastAsia" w:ascii="宋体"/>
          <w:color w:val="auto"/>
          <w:highlight w:val="none"/>
        </w:rPr>
      </w:pPr>
      <w:r>
        <w:rPr>
          <w:rFonts w:hint="eastAsia" w:ascii="宋体"/>
          <w:color w:val="auto"/>
          <w:highlight w:val="none"/>
        </w:rPr>
        <w:t>除本协议第4章节描述的服务水平衡量和目标外，乙方还应：</w:t>
      </w:r>
    </w:p>
    <w:p w14:paraId="62B379DF">
      <w:pPr>
        <w:widowControl/>
        <w:numPr>
          <w:ilvl w:val="0"/>
          <w:numId w:val="5"/>
        </w:numPr>
        <w:spacing w:line="360" w:lineRule="auto"/>
        <w:ind w:left="900" w:firstLine="480" w:firstLineChars="0"/>
        <w:jc w:val="left"/>
        <w:rPr>
          <w:rFonts w:hint="eastAsia" w:ascii="宋体"/>
          <w:color w:val="auto"/>
          <w:highlight w:val="none"/>
        </w:rPr>
      </w:pPr>
      <w:r>
        <w:rPr>
          <w:rFonts w:hint="eastAsia" w:ascii="宋体"/>
          <w:color w:val="auto"/>
          <w:highlight w:val="none"/>
        </w:rPr>
        <w:t>尽快向甲方管理层汇报发现的问题；</w:t>
      </w:r>
    </w:p>
    <w:p w14:paraId="361FA1BE">
      <w:pPr>
        <w:widowControl/>
        <w:numPr>
          <w:ilvl w:val="0"/>
          <w:numId w:val="5"/>
        </w:numPr>
        <w:spacing w:line="360" w:lineRule="auto"/>
        <w:ind w:left="900" w:firstLine="480" w:firstLineChars="0"/>
        <w:jc w:val="left"/>
        <w:rPr>
          <w:rFonts w:hint="eastAsia" w:ascii="宋体"/>
          <w:color w:val="auto"/>
          <w:highlight w:val="none"/>
        </w:rPr>
      </w:pPr>
      <w:r>
        <w:rPr>
          <w:rFonts w:hint="eastAsia" w:ascii="宋体"/>
          <w:color w:val="auto"/>
          <w:highlight w:val="none"/>
        </w:rPr>
        <w:t>任何可能影响SLA中规定服务的服务能力的事件，乙方应尽早向甲方提供预警信息，以及可能的影响和处置措施。事件包括：</w:t>
      </w:r>
    </w:p>
    <w:p w14:paraId="5B1FB313">
      <w:pPr>
        <w:widowControl/>
        <w:numPr>
          <w:ilvl w:val="0"/>
          <w:numId w:val="6"/>
        </w:numPr>
        <w:spacing w:line="360" w:lineRule="auto"/>
        <w:ind w:left="1129" w:firstLine="480" w:firstLineChars="0"/>
        <w:jc w:val="left"/>
        <w:rPr>
          <w:rFonts w:hint="eastAsia" w:ascii="宋体"/>
          <w:color w:val="auto"/>
          <w:highlight w:val="none"/>
        </w:rPr>
      </w:pPr>
      <w:r>
        <w:rPr>
          <w:rFonts w:hint="eastAsia" w:ascii="宋体"/>
          <w:color w:val="auto"/>
          <w:highlight w:val="none"/>
        </w:rPr>
        <w:t>组织架构变更</w:t>
      </w:r>
    </w:p>
    <w:p w14:paraId="093638B3">
      <w:pPr>
        <w:widowControl/>
        <w:numPr>
          <w:ilvl w:val="0"/>
          <w:numId w:val="6"/>
        </w:numPr>
        <w:spacing w:line="360" w:lineRule="auto"/>
        <w:ind w:left="1129" w:firstLine="480" w:firstLineChars="0"/>
        <w:jc w:val="left"/>
        <w:rPr>
          <w:rFonts w:hint="eastAsia" w:ascii="宋体"/>
          <w:color w:val="auto"/>
          <w:highlight w:val="none"/>
        </w:rPr>
      </w:pPr>
      <w:r>
        <w:rPr>
          <w:rFonts w:hint="eastAsia" w:ascii="宋体"/>
          <w:color w:val="auto"/>
          <w:highlight w:val="none"/>
        </w:rPr>
        <w:t>技术变更</w:t>
      </w:r>
    </w:p>
    <w:p w14:paraId="4E4546F2">
      <w:pPr>
        <w:widowControl/>
        <w:numPr>
          <w:ilvl w:val="0"/>
          <w:numId w:val="6"/>
        </w:numPr>
        <w:spacing w:line="360" w:lineRule="auto"/>
        <w:ind w:left="1129" w:firstLine="480" w:firstLineChars="0"/>
        <w:jc w:val="left"/>
        <w:rPr>
          <w:rFonts w:hint="eastAsia" w:ascii="宋体"/>
          <w:color w:val="auto"/>
          <w:highlight w:val="none"/>
        </w:rPr>
      </w:pPr>
      <w:r>
        <w:rPr>
          <w:rFonts w:hint="eastAsia" w:ascii="宋体"/>
          <w:color w:val="auto"/>
          <w:highlight w:val="none"/>
        </w:rPr>
        <w:t>职能变更</w:t>
      </w:r>
    </w:p>
    <w:p w14:paraId="67D53D5C">
      <w:pPr>
        <w:widowControl/>
        <w:numPr>
          <w:ilvl w:val="0"/>
          <w:numId w:val="6"/>
        </w:numPr>
        <w:spacing w:line="360" w:lineRule="auto"/>
        <w:ind w:left="1129" w:firstLine="480" w:firstLineChars="0"/>
        <w:jc w:val="left"/>
        <w:rPr>
          <w:rFonts w:hint="eastAsia" w:ascii="宋体"/>
          <w:color w:val="auto"/>
          <w:highlight w:val="none"/>
        </w:rPr>
      </w:pPr>
      <w:r>
        <w:rPr>
          <w:rFonts w:ascii="宋体"/>
          <w:color w:val="auto"/>
          <w:highlight w:val="none"/>
        </w:rPr>
        <w:t>其他可能影响对甲方服务的突发事件</w:t>
      </w:r>
    </w:p>
    <w:p w14:paraId="1862E1A4">
      <w:pPr>
        <w:widowControl/>
        <w:numPr>
          <w:ilvl w:val="0"/>
          <w:numId w:val="5"/>
        </w:numPr>
        <w:spacing w:line="360" w:lineRule="auto"/>
        <w:ind w:left="709" w:firstLine="480" w:firstLineChars="0"/>
        <w:jc w:val="left"/>
        <w:rPr>
          <w:rFonts w:hint="eastAsia" w:ascii="宋体"/>
          <w:color w:val="auto"/>
          <w:highlight w:val="none"/>
        </w:rPr>
      </w:pPr>
      <w:r>
        <w:rPr>
          <w:rFonts w:hint="eastAsia" w:ascii="宋体"/>
          <w:color w:val="auto"/>
          <w:highlight w:val="none"/>
        </w:rPr>
        <w:t xml:space="preserve"> 协助甲方及时解决生产事件。当问题产生时，应尽快采取适当的措施识别并修复问题。</w:t>
      </w:r>
    </w:p>
    <w:p w14:paraId="2B02EA1F">
      <w:pPr>
        <w:snapToGrid w:val="0"/>
        <w:spacing w:line="520" w:lineRule="exact"/>
        <w:rPr>
          <w:rFonts w:hint="eastAsia" w:ascii="宋体"/>
          <w:b/>
          <w:bCs/>
          <w:color w:val="auto"/>
          <w:kern w:val="32"/>
          <w:highlight w:val="none"/>
        </w:rPr>
      </w:pPr>
      <w:r>
        <w:rPr>
          <w:rFonts w:hint="eastAsia" w:ascii="宋体"/>
          <w:b/>
          <w:bCs/>
          <w:color w:val="auto"/>
          <w:kern w:val="32"/>
          <w:highlight w:val="none"/>
        </w:rPr>
        <w:t>2.2甲方</w:t>
      </w:r>
    </w:p>
    <w:p w14:paraId="2F82F4A3">
      <w:pPr>
        <w:widowControl/>
        <w:numPr>
          <w:ilvl w:val="0"/>
          <w:numId w:val="5"/>
        </w:numPr>
        <w:snapToGrid w:val="0"/>
        <w:spacing w:line="520" w:lineRule="exact"/>
        <w:ind w:left="709" w:firstLine="480" w:firstLineChars="0"/>
        <w:jc w:val="left"/>
        <w:rPr>
          <w:rFonts w:hint="eastAsia" w:ascii="宋体"/>
          <w:color w:val="auto"/>
          <w:highlight w:val="none"/>
        </w:rPr>
      </w:pPr>
      <w:r>
        <w:rPr>
          <w:rFonts w:hint="eastAsia" w:ascii="宋体"/>
          <w:color w:val="auto"/>
          <w:highlight w:val="none"/>
        </w:rPr>
        <w:t>甲方将尽快将问题汇报给乙方管理层；</w:t>
      </w:r>
    </w:p>
    <w:p w14:paraId="63CBBF75">
      <w:pPr>
        <w:widowControl/>
        <w:numPr>
          <w:ilvl w:val="0"/>
          <w:numId w:val="5"/>
        </w:numPr>
        <w:snapToGrid w:val="0"/>
        <w:spacing w:line="520" w:lineRule="exact"/>
        <w:ind w:left="709" w:firstLine="480" w:firstLineChars="0"/>
        <w:jc w:val="left"/>
        <w:rPr>
          <w:rFonts w:hint="eastAsia" w:ascii="宋体"/>
          <w:color w:val="auto"/>
          <w:highlight w:val="none"/>
        </w:rPr>
      </w:pPr>
      <w:r>
        <w:rPr>
          <w:rFonts w:hint="eastAsia" w:ascii="宋体"/>
          <w:color w:val="auto"/>
          <w:highlight w:val="none"/>
        </w:rPr>
        <w:t>提供任何可能影响乙方向甲方提供SLA中规定服务的服务能力的事件信息，包括：</w:t>
      </w:r>
    </w:p>
    <w:p w14:paraId="35B1B650">
      <w:pPr>
        <w:widowControl/>
        <w:numPr>
          <w:ilvl w:val="0"/>
          <w:numId w:val="6"/>
        </w:numPr>
        <w:snapToGrid w:val="0"/>
        <w:spacing w:line="520" w:lineRule="exact"/>
        <w:ind w:left="1129" w:firstLine="480" w:firstLineChars="0"/>
        <w:jc w:val="left"/>
        <w:rPr>
          <w:rFonts w:hint="eastAsia" w:ascii="宋体"/>
          <w:color w:val="auto"/>
          <w:highlight w:val="none"/>
        </w:rPr>
      </w:pPr>
      <w:r>
        <w:rPr>
          <w:rFonts w:hint="eastAsia" w:ascii="宋体"/>
          <w:color w:val="auto"/>
          <w:highlight w:val="none"/>
        </w:rPr>
        <w:t>组织架构变更</w:t>
      </w:r>
    </w:p>
    <w:p w14:paraId="5C624A73">
      <w:pPr>
        <w:widowControl/>
        <w:numPr>
          <w:ilvl w:val="0"/>
          <w:numId w:val="6"/>
        </w:numPr>
        <w:snapToGrid w:val="0"/>
        <w:spacing w:line="520" w:lineRule="exact"/>
        <w:ind w:left="1129" w:firstLine="480" w:firstLineChars="0"/>
        <w:jc w:val="left"/>
        <w:rPr>
          <w:rFonts w:hint="eastAsia" w:ascii="宋体"/>
          <w:color w:val="auto"/>
          <w:highlight w:val="none"/>
        </w:rPr>
      </w:pPr>
      <w:r>
        <w:rPr>
          <w:rFonts w:hint="eastAsia" w:ascii="宋体"/>
          <w:color w:val="auto"/>
          <w:highlight w:val="none"/>
        </w:rPr>
        <w:t>技术变更</w:t>
      </w:r>
    </w:p>
    <w:p w14:paraId="73ED1332">
      <w:pPr>
        <w:widowControl/>
        <w:numPr>
          <w:ilvl w:val="0"/>
          <w:numId w:val="6"/>
        </w:numPr>
        <w:snapToGrid w:val="0"/>
        <w:spacing w:line="520" w:lineRule="exact"/>
        <w:ind w:left="1129" w:firstLine="480" w:firstLineChars="0"/>
        <w:jc w:val="left"/>
        <w:rPr>
          <w:rFonts w:hint="eastAsia" w:ascii="宋体"/>
          <w:color w:val="auto"/>
          <w:highlight w:val="none"/>
        </w:rPr>
      </w:pPr>
      <w:r>
        <w:rPr>
          <w:rFonts w:hint="eastAsia" w:ascii="宋体"/>
          <w:color w:val="auto"/>
          <w:highlight w:val="none"/>
        </w:rPr>
        <w:t>职能变更</w:t>
      </w:r>
    </w:p>
    <w:p w14:paraId="4667038E">
      <w:pPr>
        <w:snapToGrid w:val="0"/>
        <w:spacing w:line="520" w:lineRule="exact"/>
        <w:rPr>
          <w:rFonts w:hint="eastAsia" w:ascii="宋体"/>
          <w:b/>
          <w:bCs/>
          <w:color w:val="auto"/>
          <w:kern w:val="32"/>
          <w:highlight w:val="none"/>
        </w:rPr>
      </w:pPr>
      <w:bookmarkStart w:id="262" w:name="_Toc254884648"/>
      <w:r>
        <w:rPr>
          <w:rFonts w:hint="eastAsia" w:ascii="宋体"/>
          <w:b/>
          <w:bCs/>
          <w:color w:val="auto"/>
          <w:kern w:val="32"/>
          <w:highlight w:val="none"/>
        </w:rPr>
        <w:t>3.联络表</w:t>
      </w:r>
      <w:bookmarkEnd w:id="262"/>
    </w:p>
    <w:tbl>
      <w:tblPr>
        <w:tblStyle w:val="21"/>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057C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A2DF78C">
            <w:pPr>
              <w:snapToGrid w:val="0"/>
              <w:spacing w:line="520" w:lineRule="exact"/>
              <w:jc w:val="center"/>
              <w:rPr>
                <w:rFonts w:hint="eastAsia" w:ascii="宋体"/>
                <w:color w:val="auto"/>
                <w:sz w:val="21"/>
                <w:szCs w:val="21"/>
                <w:highlight w:val="none"/>
              </w:rPr>
            </w:pPr>
            <w:r>
              <w:rPr>
                <w:rFonts w:hint="eastAsia" w:ascii="宋体"/>
                <w:b/>
                <w:color w:val="auto"/>
                <w:sz w:val="21"/>
                <w:szCs w:val="21"/>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14:paraId="07EB502F">
            <w:pPr>
              <w:snapToGrid w:val="0"/>
              <w:spacing w:line="520" w:lineRule="exact"/>
              <w:jc w:val="center"/>
              <w:rPr>
                <w:rFonts w:hint="eastAsia" w:ascii="宋体"/>
                <w:b/>
                <w:color w:val="auto"/>
                <w:sz w:val="21"/>
                <w:szCs w:val="21"/>
                <w:highlight w:val="none"/>
              </w:rPr>
            </w:pPr>
            <w:r>
              <w:rPr>
                <w:rFonts w:hint="eastAsia" w:ascii="宋体"/>
                <w:b/>
                <w:color w:val="auto"/>
                <w:sz w:val="21"/>
                <w:szCs w:val="21"/>
                <w:highlight w:val="none"/>
              </w:rPr>
              <w:t>职务</w:t>
            </w:r>
          </w:p>
        </w:tc>
        <w:tc>
          <w:tcPr>
            <w:tcW w:w="3195" w:type="dxa"/>
            <w:tcBorders>
              <w:top w:val="single" w:color="auto" w:sz="4" w:space="0"/>
              <w:left w:val="single" w:color="auto" w:sz="4" w:space="0"/>
              <w:bottom w:val="single" w:color="auto" w:sz="4" w:space="0"/>
              <w:right w:val="single" w:color="auto" w:sz="4" w:space="0"/>
            </w:tcBorders>
            <w:noWrap/>
          </w:tcPr>
          <w:p w14:paraId="2328F4F0">
            <w:pPr>
              <w:snapToGrid w:val="0"/>
              <w:spacing w:line="520" w:lineRule="exact"/>
              <w:jc w:val="center"/>
              <w:rPr>
                <w:rFonts w:hint="eastAsia" w:ascii="宋体"/>
                <w:b/>
                <w:color w:val="auto"/>
                <w:sz w:val="21"/>
                <w:szCs w:val="21"/>
                <w:highlight w:val="none"/>
              </w:rPr>
            </w:pPr>
            <w:r>
              <w:rPr>
                <w:rFonts w:hint="eastAsia" w:ascii="宋体"/>
                <w:b/>
                <w:color w:val="auto"/>
                <w:sz w:val="21"/>
                <w:szCs w:val="21"/>
                <w:highlight w:val="none"/>
              </w:rPr>
              <w:t>电话</w:t>
            </w:r>
          </w:p>
        </w:tc>
      </w:tr>
      <w:tr w14:paraId="08B3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9E59B82">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3674D698">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tcPr>
          <w:p w14:paraId="2AA9694E">
            <w:pPr>
              <w:snapToGrid w:val="0"/>
              <w:spacing w:line="520" w:lineRule="exact"/>
              <w:jc w:val="center"/>
              <w:rPr>
                <w:rFonts w:hint="eastAsia" w:ascii="宋体"/>
                <w:color w:val="auto"/>
                <w:sz w:val="21"/>
                <w:szCs w:val="21"/>
                <w:highlight w:val="none"/>
              </w:rPr>
            </w:pPr>
          </w:p>
        </w:tc>
      </w:tr>
      <w:tr w14:paraId="3847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66258B76">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30098480">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tcPr>
          <w:p w14:paraId="7C33A407">
            <w:pPr>
              <w:snapToGrid w:val="0"/>
              <w:spacing w:line="520" w:lineRule="exact"/>
              <w:jc w:val="center"/>
              <w:rPr>
                <w:rFonts w:hint="eastAsia" w:ascii="宋体"/>
                <w:color w:val="auto"/>
                <w:sz w:val="21"/>
                <w:szCs w:val="21"/>
                <w:highlight w:val="none"/>
              </w:rPr>
            </w:pPr>
          </w:p>
        </w:tc>
      </w:tr>
      <w:tr w14:paraId="61E1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4D392E16">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740E6E11">
            <w:pPr>
              <w:snapToGrid w:val="0"/>
              <w:spacing w:line="520" w:lineRule="exact"/>
              <w:jc w:val="center"/>
              <w:rPr>
                <w:rFonts w:hint="eastAsia" w:ascii="宋体"/>
                <w:color w:val="auto"/>
                <w:sz w:val="21"/>
                <w:szCs w:val="21"/>
                <w:highlight w:val="none"/>
              </w:rPr>
            </w:pPr>
            <w:r>
              <w:rPr>
                <w:rFonts w:hint="eastAsia" w:ascii="宋体"/>
                <w:color w:val="auto"/>
                <w:sz w:val="21"/>
                <w:szCs w:val="21"/>
                <w:highlight w:val="none"/>
              </w:rPr>
              <w:t>项目总监</w:t>
            </w:r>
          </w:p>
        </w:tc>
        <w:tc>
          <w:tcPr>
            <w:tcW w:w="3195" w:type="dxa"/>
            <w:tcBorders>
              <w:top w:val="single" w:color="auto" w:sz="4" w:space="0"/>
              <w:left w:val="single" w:color="auto" w:sz="4" w:space="0"/>
              <w:bottom w:val="single" w:color="auto" w:sz="4" w:space="0"/>
              <w:right w:val="single" w:color="auto" w:sz="4" w:space="0"/>
            </w:tcBorders>
            <w:noWrap/>
          </w:tcPr>
          <w:p w14:paraId="678AC083">
            <w:pPr>
              <w:snapToGrid w:val="0"/>
              <w:spacing w:line="520" w:lineRule="exact"/>
              <w:jc w:val="center"/>
              <w:rPr>
                <w:rFonts w:hint="eastAsia" w:ascii="宋体"/>
                <w:color w:val="auto"/>
                <w:sz w:val="21"/>
                <w:szCs w:val="21"/>
                <w:highlight w:val="none"/>
              </w:rPr>
            </w:pPr>
          </w:p>
        </w:tc>
      </w:tr>
    </w:tbl>
    <w:p w14:paraId="04CC3132">
      <w:pPr>
        <w:snapToGrid w:val="0"/>
        <w:spacing w:line="520" w:lineRule="exact"/>
        <w:rPr>
          <w:rFonts w:hint="eastAsia"/>
          <w:color w:val="auto"/>
          <w:highlight w:val="none"/>
        </w:rPr>
      </w:pPr>
    </w:p>
    <w:p w14:paraId="0C866213">
      <w:pPr>
        <w:snapToGrid w:val="0"/>
        <w:spacing w:line="520" w:lineRule="exact"/>
        <w:rPr>
          <w:rFonts w:hint="eastAsia" w:ascii="宋体"/>
          <w:b/>
          <w:bCs/>
          <w:color w:val="auto"/>
          <w:kern w:val="32"/>
          <w:highlight w:val="none"/>
        </w:rPr>
      </w:pPr>
      <w:r>
        <w:rPr>
          <w:rFonts w:hint="eastAsia" w:ascii="宋体"/>
          <w:b/>
          <w:bCs/>
          <w:color w:val="auto"/>
          <w:kern w:val="32"/>
          <w:highlight w:val="none"/>
        </w:rPr>
        <w:t>4.服务水平和指标</w:t>
      </w:r>
    </w:p>
    <w:p w14:paraId="18980BB7">
      <w:pPr>
        <w:widowControl/>
        <w:numPr>
          <w:ilvl w:val="0"/>
          <w:numId w:val="7"/>
        </w:numPr>
        <w:snapToGrid w:val="0"/>
        <w:spacing w:line="520" w:lineRule="exact"/>
        <w:ind w:left="418" w:firstLine="480" w:firstLineChars="0"/>
        <w:rPr>
          <w:rFonts w:hint="eastAsia" w:ascii="宋体"/>
          <w:color w:val="auto"/>
          <w:highlight w:val="none"/>
        </w:rPr>
      </w:pPr>
      <w:r>
        <w:rPr>
          <w:rFonts w:hint="eastAsia" w:ascii="宋体"/>
          <w:color w:val="auto"/>
          <w:highlight w:val="none"/>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21"/>
        <w:tblW w:w="1034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gridCol w:w="709"/>
      </w:tblGrid>
      <w:tr w14:paraId="15EF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0DEF3">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17EDB">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BE1BE">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851493">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服务标准</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EBF3B">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指标计算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44CD4">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服务水平要求</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599B5">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违约金标准</w:t>
            </w:r>
          </w:p>
        </w:tc>
        <w:tc>
          <w:tcPr>
            <w:tcW w:w="709" w:type="dxa"/>
            <w:tcBorders>
              <w:top w:val="single" w:color="auto" w:sz="4" w:space="0"/>
              <w:left w:val="single" w:color="auto" w:sz="4" w:space="0"/>
              <w:bottom w:val="single" w:color="auto" w:sz="4" w:space="0"/>
              <w:right w:val="single" w:color="auto" w:sz="4" w:space="0"/>
            </w:tcBorders>
            <w:noWrap/>
          </w:tcPr>
          <w:p w14:paraId="5537B267">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是否满意</w:t>
            </w:r>
          </w:p>
        </w:tc>
      </w:tr>
      <w:tr w14:paraId="2B3D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E55EE">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71E6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45FB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D4B4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乙方在收到甲方任务后2个工作日内，向甲方反馈确认任务的实施方案、计划和工作量等</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36B3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6F02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乙方不得违反承诺响应时间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FDBA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如违反承诺的响应时间要求，每次扣除1000元违约金</w:t>
            </w:r>
          </w:p>
        </w:tc>
        <w:tc>
          <w:tcPr>
            <w:tcW w:w="709" w:type="dxa"/>
            <w:tcBorders>
              <w:top w:val="single" w:color="auto" w:sz="4" w:space="0"/>
              <w:left w:val="single" w:color="auto" w:sz="4" w:space="0"/>
              <w:bottom w:val="single" w:color="auto" w:sz="4" w:space="0"/>
              <w:right w:val="single" w:color="auto" w:sz="4" w:space="0"/>
            </w:tcBorders>
            <w:noWrap/>
          </w:tcPr>
          <w:p w14:paraId="42DFE439">
            <w:pPr>
              <w:widowControl/>
              <w:snapToGrid w:val="0"/>
              <w:spacing w:line="360" w:lineRule="exact"/>
              <w:jc w:val="left"/>
              <w:rPr>
                <w:rFonts w:hint="eastAsia" w:ascii="宋体"/>
                <w:color w:val="auto"/>
                <w:sz w:val="21"/>
                <w:szCs w:val="21"/>
                <w:highlight w:val="none"/>
              </w:rPr>
            </w:pPr>
          </w:p>
        </w:tc>
      </w:tr>
      <w:tr w14:paraId="6989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22F49">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2DC3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7BEE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74B8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乙方应当在双方确认的时间内完成任务</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0731C">
            <w:pPr>
              <w:widowControl/>
              <w:snapToGrid w:val="0"/>
              <w:spacing w:line="360" w:lineRule="exact"/>
              <w:ind w:firstLine="0" w:firstLineChars="0"/>
              <w:jc w:val="left"/>
              <w:rPr>
                <w:rFonts w:hint="eastAsia" w:ascii="宋体"/>
                <w:color w:val="auto"/>
                <w:sz w:val="21"/>
                <w:szCs w:val="21"/>
                <w:highlight w:val="none"/>
                <w:shd w:val="solid" w:color="FFFF00" w:fill="FFFFFF"/>
              </w:rPr>
            </w:pPr>
            <w:r>
              <w:rPr>
                <w:rFonts w:hint="eastAsia" w:ascii="宋体"/>
                <w:color w:val="auto"/>
                <w:sz w:val="21"/>
                <w:szCs w:val="21"/>
                <w:highlight w:val="none"/>
              </w:rPr>
              <w:t>任务完成及时率＝（规定时间内完成任务的次数/总任务数）×100%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C043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任务完成及时率≥90%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951E7">
            <w:pPr>
              <w:widowControl/>
              <w:snapToGrid w:val="0"/>
              <w:spacing w:line="360" w:lineRule="exact"/>
              <w:jc w:val="left"/>
              <w:rPr>
                <w:rFonts w:hint="eastAsia" w:ascii="宋体"/>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tcPr>
          <w:p w14:paraId="6B0E3852">
            <w:pPr>
              <w:widowControl/>
              <w:snapToGrid w:val="0"/>
              <w:spacing w:line="360" w:lineRule="exact"/>
              <w:jc w:val="left"/>
              <w:rPr>
                <w:rFonts w:hint="eastAsia" w:ascii="宋体"/>
                <w:color w:val="auto"/>
                <w:sz w:val="21"/>
                <w:szCs w:val="21"/>
                <w:highlight w:val="none"/>
              </w:rPr>
            </w:pPr>
          </w:p>
        </w:tc>
      </w:tr>
      <w:tr w14:paraId="10E3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6CC76">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3044C">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0FDA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464AA9">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乙方原因导致的项目进度偏差</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6715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按项目计划为基准计算进度偏差天数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E404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进度偏差率=进度偏差天数/项目计划中进度天数（进度偏差率≤20%）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2B5F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20%＜进度偏差率≤30%，每偏差一天按合同金额的0.1%罚款，进度偏差率＞30%并且延期3个月以上，罚款合同金额的10%</w:t>
            </w:r>
          </w:p>
        </w:tc>
        <w:tc>
          <w:tcPr>
            <w:tcW w:w="709" w:type="dxa"/>
            <w:tcBorders>
              <w:top w:val="single" w:color="auto" w:sz="4" w:space="0"/>
              <w:left w:val="single" w:color="auto" w:sz="4" w:space="0"/>
              <w:bottom w:val="single" w:color="auto" w:sz="4" w:space="0"/>
              <w:right w:val="single" w:color="auto" w:sz="4" w:space="0"/>
            </w:tcBorders>
            <w:noWrap/>
          </w:tcPr>
          <w:p w14:paraId="12FD88D7">
            <w:pPr>
              <w:widowControl/>
              <w:snapToGrid w:val="0"/>
              <w:spacing w:line="360" w:lineRule="exact"/>
              <w:jc w:val="left"/>
              <w:rPr>
                <w:rFonts w:hint="eastAsia" w:ascii="宋体"/>
                <w:color w:val="auto"/>
                <w:sz w:val="21"/>
                <w:szCs w:val="21"/>
                <w:highlight w:val="none"/>
              </w:rPr>
            </w:pPr>
          </w:p>
        </w:tc>
      </w:tr>
      <w:tr w14:paraId="748F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4D7D1">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1DFB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C184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F9DF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交付文档数量及质量满足甲方要求</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B621C">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9A52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文档实际交付数量不少于甲方要求数量（文档实际交付数量是指文档交付甲方后甲方确认文档质量并实际接收的文档数量）</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F3C7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文档每缺少一个扣除合同金额2000元；每有一个文档质量不合格扣除合同金额2000元</w:t>
            </w:r>
          </w:p>
        </w:tc>
        <w:tc>
          <w:tcPr>
            <w:tcW w:w="709" w:type="dxa"/>
            <w:tcBorders>
              <w:top w:val="single" w:color="auto" w:sz="4" w:space="0"/>
              <w:left w:val="single" w:color="auto" w:sz="4" w:space="0"/>
              <w:bottom w:val="single" w:color="auto" w:sz="4" w:space="0"/>
              <w:right w:val="single" w:color="auto" w:sz="4" w:space="0"/>
            </w:tcBorders>
            <w:noWrap/>
          </w:tcPr>
          <w:p w14:paraId="73F3042A">
            <w:pPr>
              <w:widowControl/>
              <w:snapToGrid w:val="0"/>
              <w:spacing w:line="360" w:lineRule="exact"/>
              <w:jc w:val="left"/>
              <w:rPr>
                <w:rFonts w:hint="eastAsia" w:ascii="宋体"/>
                <w:color w:val="auto"/>
                <w:sz w:val="21"/>
                <w:szCs w:val="21"/>
                <w:highlight w:val="none"/>
              </w:rPr>
            </w:pPr>
          </w:p>
        </w:tc>
      </w:tr>
      <w:tr w14:paraId="2685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6AD11">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D6140">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5B61F">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46D9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投入人员情况符合投标文件或合同要求，乙方项目组人员变动比例不得高于30%</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29C3B0">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甲方按合同要求判定乙方人员投入及变动情况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525B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人员数量差异=承诺人数-实际人数</w:t>
            </w:r>
          </w:p>
          <w:p w14:paraId="53B3E0B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人员变动率=人员变动人数/原项目组人员总人数（人员数量差异≤2；</w:t>
            </w:r>
            <w:r>
              <w:rPr>
                <w:rFonts w:ascii="Times New Roman" w:hAnsi="Times New Roman" w:cs="Times New Roman"/>
                <w:color w:val="auto"/>
                <w:sz w:val="21"/>
                <w:szCs w:val="21"/>
                <w:highlight w:val="none"/>
              </w:rPr>
              <w:t>项目经理和关键实施人员不得变动；人员变动率≤30%）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070F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项目经理及</w:t>
            </w:r>
            <w:r>
              <w:rPr>
                <w:rFonts w:ascii="Times New Roman" w:hAnsi="Times New Roman" w:cs="Times New Roman"/>
                <w:color w:val="auto"/>
                <w:sz w:val="21"/>
                <w:szCs w:val="21"/>
                <w:highlight w:val="none"/>
              </w:rPr>
              <w:t>关键实施人员</w:t>
            </w:r>
            <w:r>
              <w:rPr>
                <w:rFonts w:hint="eastAsia" w:ascii="Times New Roman" w:hAnsi="Times New Roman" w:cs="Times New Roman"/>
                <w:color w:val="auto"/>
                <w:sz w:val="21"/>
                <w:szCs w:val="21"/>
                <w:highlight w:val="none"/>
              </w:rPr>
              <w:t>异常</w:t>
            </w:r>
            <w:r>
              <w:rPr>
                <w:rFonts w:ascii="Times New Roman" w:hAnsi="Times New Roman" w:cs="Times New Roman"/>
                <w:color w:val="auto"/>
                <w:sz w:val="21"/>
                <w:szCs w:val="21"/>
                <w:highlight w:val="none"/>
              </w:rPr>
              <w:t>变动扣除2万元，服务人员变动高于30%，扣除合同金额10%的违约金</w:t>
            </w:r>
          </w:p>
        </w:tc>
        <w:tc>
          <w:tcPr>
            <w:tcW w:w="709" w:type="dxa"/>
            <w:tcBorders>
              <w:top w:val="single" w:color="auto" w:sz="4" w:space="0"/>
              <w:left w:val="single" w:color="auto" w:sz="4" w:space="0"/>
              <w:bottom w:val="single" w:color="auto" w:sz="4" w:space="0"/>
              <w:right w:val="single" w:color="auto" w:sz="4" w:space="0"/>
            </w:tcBorders>
            <w:noWrap/>
          </w:tcPr>
          <w:p w14:paraId="4CB13D07">
            <w:pPr>
              <w:widowControl/>
              <w:snapToGrid w:val="0"/>
              <w:spacing w:line="360" w:lineRule="exact"/>
              <w:jc w:val="left"/>
              <w:rPr>
                <w:rFonts w:hint="eastAsia" w:ascii="宋体"/>
                <w:color w:val="auto"/>
                <w:sz w:val="21"/>
                <w:szCs w:val="21"/>
                <w:highlight w:val="none"/>
              </w:rPr>
            </w:pPr>
          </w:p>
        </w:tc>
      </w:tr>
      <w:tr w14:paraId="207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5407B">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FF5E4">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6D79F">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6448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未经甲方同意，乙方人员辞职和离职或无计划的调离项目组</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AE48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甲方根据乙方人员退出的具体时间和原因测算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E633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人员异常退出次数=0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2FECE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每次人员异常退出扣除乙方金额人民币10000元</w:t>
            </w:r>
          </w:p>
        </w:tc>
        <w:tc>
          <w:tcPr>
            <w:tcW w:w="709" w:type="dxa"/>
            <w:tcBorders>
              <w:top w:val="single" w:color="auto" w:sz="4" w:space="0"/>
              <w:left w:val="single" w:color="auto" w:sz="4" w:space="0"/>
              <w:bottom w:val="single" w:color="auto" w:sz="4" w:space="0"/>
              <w:right w:val="single" w:color="auto" w:sz="4" w:space="0"/>
            </w:tcBorders>
            <w:noWrap/>
          </w:tcPr>
          <w:p w14:paraId="35B661AC">
            <w:pPr>
              <w:widowControl/>
              <w:snapToGrid w:val="0"/>
              <w:spacing w:line="360" w:lineRule="exact"/>
              <w:jc w:val="left"/>
              <w:rPr>
                <w:rFonts w:hint="eastAsia" w:ascii="宋体"/>
                <w:color w:val="auto"/>
                <w:sz w:val="21"/>
                <w:szCs w:val="21"/>
                <w:highlight w:val="none"/>
              </w:rPr>
            </w:pPr>
          </w:p>
        </w:tc>
      </w:tr>
      <w:tr w14:paraId="190A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38520">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F677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76E5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05E5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乙方人员不得违反甲方的各项规章制度和操作规范</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31097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甲方根据自身检查及其他管理部门的检查结果为依据统计乙方人员违规次数。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DC7D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员违规次数=0次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2597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乙方人员违规每次扣除乙方金额人民币500元</w:t>
            </w:r>
          </w:p>
        </w:tc>
        <w:tc>
          <w:tcPr>
            <w:tcW w:w="709" w:type="dxa"/>
            <w:tcBorders>
              <w:top w:val="single" w:color="auto" w:sz="4" w:space="0"/>
              <w:left w:val="single" w:color="auto" w:sz="4" w:space="0"/>
              <w:bottom w:val="single" w:color="auto" w:sz="4" w:space="0"/>
              <w:right w:val="single" w:color="auto" w:sz="4" w:space="0"/>
            </w:tcBorders>
            <w:noWrap/>
          </w:tcPr>
          <w:p w14:paraId="4D6D54A5">
            <w:pPr>
              <w:widowControl/>
              <w:snapToGrid w:val="0"/>
              <w:spacing w:line="360" w:lineRule="exact"/>
              <w:jc w:val="left"/>
              <w:rPr>
                <w:rFonts w:hint="eastAsia" w:ascii="宋体"/>
                <w:color w:val="auto"/>
                <w:sz w:val="21"/>
                <w:szCs w:val="21"/>
                <w:highlight w:val="none"/>
              </w:rPr>
            </w:pPr>
          </w:p>
        </w:tc>
      </w:tr>
      <w:tr w14:paraId="03D0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A35CC">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B550C">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FC671">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85391E">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不得因乙方原因（含乙方合作的第三方）导致甲方发生网络安全事件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77D21">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甲方根据监管及本行要求及事件危害程度判定。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BF1AA">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网络安全事件=0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CF9E7">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每发生一次网络安全事件扣除乙方合同金额不低于3%,并要求乙方赔偿实际损失。</w:t>
            </w:r>
          </w:p>
        </w:tc>
        <w:tc>
          <w:tcPr>
            <w:tcW w:w="709" w:type="dxa"/>
            <w:tcBorders>
              <w:top w:val="single" w:color="auto" w:sz="4" w:space="0"/>
              <w:left w:val="single" w:color="auto" w:sz="4" w:space="0"/>
              <w:bottom w:val="single" w:color="auto" w:sz="4" w:space="0"/>
              <w:right w:val="single" w:color="auto" w:sz="4" w:space="0"/>
            </w:tcBorders>
            <w:noWrap/>
            <w:vAlign w:val="center"/>
          </w:tcPr>
          <w:p w14:paraId="62D0308F">
            <w:pPr>
              <w:widowControl/>
              <w:spacing w:line="360" w:lineRule="exact"/>
              <w:jc w:val="left"/>
              <w:rPr>
                <w:rFonts w:hint="eastAsia" w:ascii="宋体"/>
                <w:color w:val="auto"/>
                <w:sz w:val="21"/>
                <w:szCs w:val="21"/>
                <w:highlight w:val="none"/>
              </w:rPr>
            </w:pPr>
          </w:p>
        </w:tc>
      </w:tr>
      <w:tr w14:paraId="7CDD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E3C83">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39A4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C140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3722F">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乙方不得出现危害甲方生产运行安全、数据安全等外包安全事件。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4591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甲方根据监管要求及时间的危害程度判定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3CEE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B64B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每次事件扣除乙方金额不低于人民币1000元，并要求乙方赔偿实际损失。</w:t>
            </w:r>
          </w:p>
        </w:tc>
        <w:tc>
          <w:tcPr>
            <w:tcW w:w="709" w:type="dxa"/>
            <w:tcBorders>
              <w:top w:val="single" w:color="auto" w:sz="4" w:space="0"/>
              <w:left w:val="single" w:color="auto" w:sz="4" w:space="0"/>
              <w:bottom w:val="single" w:color="auto" w:sz="4" w:space="0"/>
              <w:right w:val="single" w:color="auto" w:sz="4" w:space="0"/>
            </w:tcBorders>
            <w:noWrap/>
          </w:tcPr>
          <w:p w14:paraId="35B4438E">
            <w:pPr>
              <w:widowControl/>
              <w:snapToGrid w:val="0"/>
              <w:spacing w:line="360" w:lineRule="exact"/>
              <w:jc w:val="left"/>
              <w:rPr>
                <w:rFonts w:hint="eastAsia" w:ascii="宋体"/>
                <w:color w:val="auto"/>
                <w:sz w:val="21"/>
                <w:szCs w:val="21"/>
                <w:highlight w:val="none"/>
              </w:rPr>
            </w:pPr>
          </w:p>
        </w:tc>
      </w:tr>
      <w:tr w14:paraId="3E1D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375922">
            <w:pPr>
              <w:widowControl/>
              <w:snapToGrid w:val="0"/>
              <w:spacing w:line="360" w:lineRule="exact"/>
              <w:ind w:firstLine="0" w:firstLineChars="0"/>
              <w:jc w:val="center"/>
              <w:rPr>
                <w:rFonts w:hint="eastAsia" w:ascii="宋体"/>
                <w:color w:val="auto"/>
                <w:sz w:val="21"/>
                <w:szCs w:val="21"/>
                <w:highlight w:val="none"/>
              </w:rPr>
            </w:pPr>
            <w:r>
              <w:rPr>
                <w:rFonts w:hint="eastAsia" w:ascii="Times New Roman" w:hAnsi="Times New Roman" w:cs="Times New Roman"/>
                <w:color w:val="auto"/>
                <w:sz w:val="21"/>
                <w:szCs w:val="21"/>
                <w:highlight w:val="none"/>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1FEF4D">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服务质量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DFDE5">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衡量乙方安全评估和安全渗透测试服务质量和服务能力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212CA">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16"/>
                <w:highlight w:val="none"/>
              </w:rPr>
              <w:t>乙方不得出现因其安全评估及测试方法不当或安全评估及测试质量不合格等问题造成漏洞未及时被发现并导致甲方被监管机构通报、批评或提醒谈话。</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A8B5A">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出现因乙方</w:t>
            </w:r>
            <w:r>
              <w:rPr>
                <w:rFonts w:hint="eastAsia" w:ascii="Times New Roman" w:hAnsi="Times New Roman" w:cs="Times New Roman"/>
                <w:color w:val="auto"/>
                <w:sz w:val="21"/>
                <w:szCs w:val="16"/>
                <w:highlight w:val="none"/>
              </w:rPr>
              <w:t>安全评估方法不当或安全测试质量不合格等问题导致甲方被监管机构通报、批评或提醒谈话的次数。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F87D7">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16"/>
                <w:highlight w:val="none"/>
              </w:rPr>
              <w:t>通报、批评或提醒谈话次数=0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0C2E7">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出现一起因乙方</w:t>
            </w:r>
            <w:r>
              <w:rPr>
                <w:rFonts w:hint="eastAsia" w:ascii="Times New Roman" w:hAnsi="Times New Roman" w:cs="Times New Roman"/>
                <w:color w:val="auto"/>
                <w:sz w:val="21"/>
                <w:szCs w:val="16"/>
                <w:highlight w:val="none"/>
              </w:rPr>
              <w:t>安全评估方法不当或安全测试质量不合格等问题造成漏洞未及时被发现并导致甲方被监管机构通报、批评或提醒谈话的，甲方有权扣除合同金额5%，</w:t>
            </w:r>
            <w:r>
              <w:rPr>
                <w:rFonts w:hint="eastAsia"/>
                <w:color w:val="auto"/>
                <w:sz w:val="21"/>
                <w:szCs w:val="21"/>
                <w:highlight w:val="none"/>
              </w:rPr>
              <w:t>并要求乙方赔偿相关损失</w:t>
            </w:r>
            <w:r>
              <w:rPr>
                <w:color w:val="auto"/>
                <w:sz w:val="21"/>
                <w:szCs w:val="21"/>
                <w:highlight w:val="none"/>
              </w:rPr>
              <w:t>。</w:t>
            </w:r>
          </w:p>
        </w:tc>
        <w:tc>
          <w:tcPr>
            <w:tcW w:w="709" w:type="dxa"/>
            <w:tcBorders>
              <w:top w:val="single" w:color="auto" w:sz="4" w:space="0"/>
              <w:left w:val="single" w:color="auto" w:sz="4" w:space="0"/>
              <w:bottom w:val="single" w:color="auto" w:sz="4" w:space="0"/>
              <w:right w:val="single" w:color="auto" w:sz="4" w:space="0"/>
            </w:tcBorders>
            <w:noWrap/>
          </w:tcPr>
          <w:p w14:paraId="7ED4B761">
            <w:pPr>
              <w:widowControl/>
              <w:snapToGrid w:val="0"/>
              <w:spacing w:line="360" w:lineRule="exact"/>
              <w:jc w:val="left"/>
              <w:rPr>
                <w:rFonts w:hint="eastAsia" w:ascii="宋体"/>
                <w:color w:val="auto"/>
                <w:sz w:val="21"/>
                <w:szCs w:val="21"/>
                <w:highlight w:val="none"/>
              </w:rPr>
            </w:pPr>
          </w:p>
        </w:tc>
      </w:tr>
      <w:tr w14:paraId="2D04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56672">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1437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F332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9E25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衡量乙方达到要求的SLA占全部SLA的百分比。</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70B7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A7107">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SLA满足率＝（满足SLA的个数/总体SLA的个数）×100%（SLA满足率≥70%）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55A9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SLA满足率每低于标准5%，扣除合同金额的1%</w:t>
            </w:r>
          </w:p>
        </w:tc>
        <w:tc>
          <w:tcPr>
            <w:tcW w:w="709" w:type="dxa"/>
            <w:tcBorders>
              <w:top w:val="single" w:color="auto" w:sz="4" w:space="0"/>
              <w:left w:val="single" w:color="auto" w:sz="4" w:space="0"/>
              <w:bottom w:val="single" w:color="auto" w:sz="4" w:space="0"/>
              <w:right w:val="single" w:color="auto" w:sz="4" w:space="0"/>
            </w:tcBorders>
            <w:noWrap/>
          </w:tcPr>
          <w:p w14:paraId="1ED0A4A2">
            <w:pPr>
              <w:widowControl/>
              <w:snapToGrid w:val="0"/>
              <w:spacing w:line="360" w:lineRule="exact"/>
              <w:jc w:val="left"/>
              <w:rPr>
                <w:rFonts w:hint="eastAsia" w:ascii="宋体"/>
                <w:color w:val="auto"/>
                <w:sz w:val="21"/>
                <w:szCs w:val="21"/>
                <w:highlight w:val="none"/>
              </w:rPr>
            </w:pPr>
          </w:p>
        </w:tc>
      </w:tr>
      <w:tr w14:paraId="4184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0349"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78496CEC">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综合评价：</w:t>
            </w:r>
          </w:p>
          <w:p w14:paraId="5A28E819">
            <w:pPr>
              <w:widowControl/>
              <w:snapToGrid w:val="0"/>
              <w:spacing w:line="360" w:lineRule="exact"/>
              <w:rPr>
                <w:rFonts w:hint="eastAsia" w:ascii="宋体"/>
                <w:color w:val="auto"/>
                <w:sz w:val="21"/>
                <w:szCs w:val="21"/>
                <w:highlight w:val="none"/>
              </w:rPr>
            </w:pPr>
          </w:p>
          <w:p w14:paraId="7F961B80">
            <w:pPr>
              <w:widowControl/>
              <w:snapToGrid w:val="0"/>
              <w:spacing w:line="360" w:lineRule="exact"/>
              <w:rPr>
                <w:rFonts w:hint="eastAsia" w:ascii="宋体"/>
                <w:color w:val="auto"/>
                <w:sz w:val="21"/>
                <w:szCs w:val="21"/>
                <w:highlight w:val="none"/>
              </w:rPr>
            </w:pPr>
          </w:p>
          <w:p w14:paraId="00A19E3E">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评价人：</w:t>
            </w:r>
            <w:r>
              <w:rPr>
                <w:rFonts w:ascii="宋体"/>
                <w:color w:val="auto"/>
                <w:sz w:val="21"/>
                <w:szCs w:val="21"/>
                <w:highlight w:val="none"/>
              </w:rPr>
              <w:t xml:space="preserve"> </w:t>
            </w:r>
          </w:p>
        </w:tc>
      </w:tr>
    </w:tbl>
    <w:p w14:paraId="33D93897">
      <w:pPr>
        <w:pStyle w:val="18"/>
        <w:snapToGrid w:val="0"/>
        <w:spacing w:before="0" w:after="0" w:line="360" w:lineRule="exact"/>
        <w:jc w:val="left"/>
        <w:outlineLvl w:val="9"/>
        <w:rPr>
          <w:snapToGrid w:val="0"/>
          <w:color w:val="auto"/>
          <w:highlight w:val="none"/>
        </w:rPr>
      </w:pPr>
    </w:p>
    <w:p w14:paraId="445C16F2">
      <w:pPr>
        <w:rPr>
          <w:rFonts w:hint="eastAsia"/>
          <w:color w:val="auto"/>
          <w:highlight w:val="none"/>
        </w:rPr>
      </w:pPr>
      <w:r>
        <w:rPr>
          <w:rFonts w:hint="eastAsia"/>
          <w:color w:val="auto"/>
          <w:highlight w:val="none"/>
        </w:rPr>
        <w:br w:type="page"/>
      </w:r>
    </w:p>
    <w:p w14:paraId="53D54B0C">
      <w:pPr>
        <w:pStyle w:val="18"/>
        <w:snapToGrid w:val="0"/>
        <w:spacing w:before="0" w:after="0" w:line="520" w:lineRule="exact"/>
        <w:jc w:val="left"/>
        <w:outlineLvl w:val="2"/>
        <w:rPr>
          <w:snapToGrid w:val="0"/>
          <w:color w:val="auto"/>
          <w:highlight w:val="none"/>
        </w:rPr>
      </w:pPr>
      <w:r>
        <w:rPr>
          <w:rFonts w:hint="eastAsia"/>
          <w:snapToGrid w:val="0"/>
          <w:color w:val="auto"/>
          <w:sz w:val="24"/>
          <w:highlight w:val="none"/>
        </w:rPr>
        <w:t>附件</w:t>
      </w:r>
      <w:r>
        <w:rPr>
          <w:rFonts w:hint="eastAsia" w:ascii="宋体"/>
          <w:snapToGrid w:val="0"/>
          <w:color w:val="auto"/>
          <w:sz w:val="24"/>
          <w:highlight w:val="none"/>
        </w:rPr>
        <w:t>4</w:t>
      </w:r>
    </w:p>
    <w:p w14:paraId="30D347A2">
      <w:pPr>
        <w:pStyle w:val="18"/>
        <w:snapToGrid w:val="0"/>
        <w:spacing w:before="0" w:after="0" w:line="520" w:lineRule="exact"/>
        <w:outlineLvl w:val="2"/>
        <w:rPr>
          <w:snapToGrid w:val="0"/>
          <w:color w:val="auto"/>
          <w:highlight w:val="none"/>
        </w:rPr>
      </w:pPr>
      <w:r>
        <w:rPr>
          <w:rStyle w:val="37"/>
          <w:rFonts w:hint="eastAsia" w:ascii="宋体"/>
          <w:color w:val="auto"/>
          <w:kern w:val="0"/>
          <w:sz w:val="30"/>
          <w:highlight w:val="none"/>
        </w:rPr>
        <w:t>服务连续性预案</w:t>
      </w:r>
    </w:p>
    <w:p w14:paraId="1FD191A3">
      <w:pPr>
        <w:jc w:val="center"/>
        <w:rPr>
          <w:rFonts w:hint="eastAsia" w:ascii="方正小标宋_GBK" w:eastAsia="方正小标宋_GBK"/>
          <w:color w:val="auto"/>
          <w:highlight w:val="none"/>
        </w:rPr>
      </w:pPr>
      <w:r>
        <w:rPr>
          <w:rFonts w:hint="eastAsia" w:ascii="方正小标宋_GBK" w:eastAsia="方正小标宋_GBK"/>
          <w:color w:val="auto"/>
          <w:highlight w:val="none"/>
        </w:rPr>
        <w:t>（应考虑供应链风险产生的影响）</w:t>
      </w:r>
    </w:p>
    <w:p w14:paraId="65958DA6">
      <w:pPr>
        <w:rPr>
          <w:rFonts w:hint="eastAsia"/>
          <w:color w:val="auto"/>
          <w:highlight w:val="none"/>
        </w:rPr>
      </w:pPr>
    </w:p>
    <w:p w14:paraId="7380557F">
      <w:pPr>
        <w:rPr>
          <w:rFonts w:ascii="Times New Roman" w:hAnsi="Times New Roman"/>
          <w:color w:val="auto"/>
          <w:highlight w:val="none"/>
        </w:rPr>
      </w:pPr>
      <w:r>
        <w:rPr>
          <w:rFonts w:ascii="Times New Roman" w:hAnsi="Times New Roman"/>
          <w:color w:val="auto"/>
          <w:highlight w:val="none"/>
        </w:rPr>
        <w:br w:type="page"/>
      </w:r>
    </w:p>
    <w:p w14:paraId="7DB10DC3">
      <w:pPr>
        <w:tabs>
          <w:tab w:val="left" w:pos="6300"/>
        </w:tabs>
        <w:snapToGrid w:val="0"/>
        <w:spacing w:line="360" w:lineRule="auto"/>
        <w:ind w:firstLine="0" w:firstLineChars="0"/>
        <w:jc w:val="center"/>
        <w:outlineLvl w:val="0"/>
        <w:rPr>
          <w:rFonts w:ascii="Times New Roman" w:hAnsi="Times New Roman"/>
          <w:b/>
          <w:snapToGrid w:val="0"/>
          <w:color w:val="auto"/>
          <w:kern w:val="0"/>
          <w:sz w:val="36"/>
          <w:szCs w:val="28"/>
          <w:highlight w:val="none"/>
        </w:rPr>
      </w:pPr>
      <w:bookmarkStart w:id="263" w:name="_Toc28190"/>
      <w:bookmarkStart w:id="264" w:name="_Toc21224"/>
      <w:bookmarkStart w:id="265" w:name="_Toc7021"/>
      <w:r>
        <w:rPr>
          <w:rFonts w:hint="eastAsia" w:ascii="Times New Roman" w:hAnsi="Times New Roman"/>
          <w:b/>
          <w:snapToGrid w:val="0"/>
          <w:color w:val="auto"/>
          <w:kern w:val="0"/>
          <w:sz w:val="36"/>
          <w:szCs w:val="28"/>
          <w:highlight w:val="none"/>
        </w:rPr>
        <w:t>目  录</w:t>
      </w:r>
      <w:bookmarkEnd w:id="263"/>
      <w:bookmarkEnd w:id="264"/>
    </w:p>
    <w:p w14:paraId="44D94243">
      <w:pPr>
        <w:rPr>
          <w:rFonts w:ascii="Times New Roman" w:hAnsi="Times New Roman"/>
          <w:color w:val="auto"/>
          <w:highlight w:val="none"/>
        </w:rPr>
      </w:pPr>
      <w:r>
        <w:rPr>
          <w:rFonts w:hint="eastAsia" w:ascii="Times New Roman" w:hAnsi="Times New Roman"/>
          <w:color w:val="auto"/>
          <w:highlight w:val="none"/>
        </w:rPr>
        <w:t>一、参选函</w:t>
      </w:r>
    </w:p>
    <w:p w14:paraId="45E14547">
      <w:pPr>
        <w:rPr>
          <w:rFonts w:ascii="Times New Roman" w:hAnsi="Times New Roman"/>
          <w:color w:val="auto"/>
          <w:highlight w:val="none"/>
        </w:rPr>
      </w:pPr>
      <w:r>
        <w:rPr>
          <w:rFonts w:hint="eastAsia" w:ascii="Times New Roman" w:hAnsi="Times New Roman"/>
          <w:color w:val="auto"/>
          <w:highlight w:val="none"/>
          <w:lang w:val="en-US" w:eastAsia="zh-CN"/>
        </w:rPr>
        <w:t>二</w:t>
      </w:r>
      <w:r>
        <w:rPr>
          <w:rFonts w:hint="eastAsia" w:ascii="Times New Roman" w:hAnsi="Times New Roman"/>
          <w:color w:val="auto"/>
          <w:highlight w:val="none"/>
        </w:rPr>
        <w:t>、资格性文件</w:t>
      </w:r>
    </w:p>
    <w:p w14:paraId="639EF4B5">
      <w:pPr>
        <w:rPr>
          <w:rFonts w:ascii="Times New Roman" w:hAnsi="Times New Roman"/>
          <w:color w:val="auto"/>
          <w:highlight w:val="none"/>
        </w:rPr>
      </w:pPr>
      <w:r>
        <w:rPr>
          <w:rFonts w:ascii="Times New Roman" w:hAnsi="Times New Roman"/>
          <w:color w:val="auto"/>
          <w:highlight w:val="none"/>
        </w:rPr>
        <w:t>（一）参选人基本情况介绍，资质证明等</w:t>
      </w:r>
    </w:p>
    <w:p w14:paraId="05177534">
      <w:pPr>
        <w:rPr>
          <w:rFonts w:ascii="Times New Roman" w:hAnsi="Times New Roman"/>
          <w:color w:val="auto"/>
          <w:highlight w:val="none"/>
        </w:rPr>
      </w:pPr>
      <w:r>
        <w:rPr>
          <w:rFonts w:ascii="Times New Roman" w:hAnsi="Times New Roman"/>
          <w:color w:val="auto"/>
          <w:highlight w:val="none"/>
        </w:rPr>
        <w:t>（二）法定代表人身份证明及授权委托书</w:t>
      </w:r>
    </w:p>
    <w:p w14:paraId="3CAFCFE6">
      <w:pPr>
        <w:rPr>
          <w:rFonts w:ascii="Times New Roman" w:hAnsi="Times New Roman"/>
          <w:color w:val="auto"/>
          <w:highlight w:val="none"/>
        </w:rPr>
      </w:pPr>
      <w:r>
        <w:rPr>
          <w:rFonts w:hint="eastAsia" w:ascii="Times New Roman" w:hAnsi="Times New Roman"/>
          <w:color w:val="auto"/>
          <w:highlight w:val="none"/>
        </w:rPr>
        <w:t>（三）书面声明</w:t>
      </w:r>
    </w:p>
    <w:p w14:paraId="5C12CE84">
      <w:pP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195F4B0">
      <w:pP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w:t>
      </w:r>
      <w:r>
        <w:rPr>
          <w:rFonts w:hint="eastAsia" w:ascii="Times New Roman" w:hAnsi="Times New Roman"/>
          <w:color w:val="auto"/>
          <w:highlight w:val="none"/>
        </w:rPr>
        <w:t>实施</w:t>
      </w:r>
      <w:r>
        <w:rPr>
          <w:rFonts w:hint="eastAsia" w:ascii="Times New Roman" w:hAnsi="Times New Roman"/>
          <w:color w:val="auto"/>
          <w:highlight w:val="none"/>
          <w:lang w:val="zh-CN"/>
        </w:rPr>
        <w:t>案例</w:t>
      </w:r>
      <w:r>
        <w:rPr>
          <w:rFonts w:hint="eastAsia" w:ascii="Times New Roman" w:hAnsi="Times New Roman"/>
          <w:color w:val="auto"/>
          <w:highlight w:val="none"/>
          <w:lang w:val="en-US" w:eastAsia="zh-CN"/>
        </w:rPr>
        <w:t>证明文件</w:t>
      </w:r>
    </w:p>
    <w:p w14:paraId="3B4F0216">
      <w:pPr>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zh-CN"/>
        </w:rPr>
        <w:t>（</w:t>
      </w:r>
      <w:r>
        <w:rPr>
          <w:rFonts w:hint="eastAsia" w:ascii="Times New Roman" w:hAnsi="Times New Roman"/>
          <w:color w:val="auto"/>
          <w:highlight w:val="none"/>
        </w:rPr>
        <w:t>六</w:t>
      </w:r>
      <w:r>
        <w:rPr>
          <w:rFonts w:hint="eastAsia" w:ascii="Times New Roman" w:hAnsi="Times New Roman"/>
          <w:color w:val="auto"/>
          <w:highlight w:val="none"/>
          <w:lang w:val="zh-CN"/>
        </w:rPr>
        <w:t>）</w:t>
      </w:r>
      <w:r>
        <w:rPr>
          <w:rFonts w:hint="eastAsia" w:ascii="Times New Roman" w:hAnsi="Times New Roman"/>
          <w:color w:val="auto"/>
          <w:highlight w:val="none"/>
        </w:rPr>
        <w:t>《信息安全风险评估服务资质（一级）》资质证书</w:t>
      </w:r>
      <w:r>
        <w:rPr>
          <w:rFonts w:hint="eastAsia" w:ascii="Times New Roman" w:hAnsi="Times New Roman"/>
          <w:color w:val="auto"/>
          <w:highlight w:val="none"/>
          <w:lang w:val="en-US" w:eastAsia="zh-CN"/>
        </w:rPr>
        <w:t>复印件</w:t>
      </w:r>
    </w:p>
    <w:p w14:paraId="463FCC79">
      <w:pPr>
        <w:rPr>
          <w:rFonts w:hint="eastAsia"/>
          <w:color w:val="auto"/>
          <w:highlight w:val="none"/>
        </w:rPr>
      </w:pPr>
      <w:r>
        <w:rPr>
          <w:rFonts w:hint="eastAsia"/>
          <w:color w:val="auto"/>
          <w:highlight w:val="none"/>
        </w:rPr>
        <w:t>（</w:t>
      </w:r>
      <w:r>
        <w:rPr>
          <w:color w:val="auto"/>
          <w:highlight w:val="none"/>
        </w:rPr>
        <w:t>七</w:t>
      </w:r>
      <w:r>
        <w:rPr>
          <w:rFonts w:hint="eastAsia"/>
          <w:color w:val="auto"/>
          <w:highlight w:val="none"/>
        </w:rPr>
        <w:t>）</w:t>
      </w:r>
      <w:r>
        <w:rPr>
          <w:color w:val="auto"/>
          <w:highlight w:val="none"/>
        </w:rPr>
        <w:t>其他（如有）</w:t>
      </w:r>
    </w:p>
    <w:p w14:paraId="7F7D1CE0">
      <w:pPr>
        <w:rPr>
          <w:rFonts w:ascii="Times New Roman" w:hAnsi="Times New Roman"/>
          <w:color w:val="auto"/>
          <w:highlight w:val="none"/>
        </w:rPr>
      </w:pPr>
      <w:r>
        <w:rPr>
          <w:rFonts w:hint="eastAsia" w:ascii="Times New Roman" w:hAnsi="Times New Roman"/>
          <w:color w:val="auto"/>
          <w:highlight w:val="none"/>
          <w:lang w:val="en-US" w:eastAsia="zh-CN"/>
        </w:rPr>
        <w:t>三</w:t>
      </w:r>
      <w:r>
        <w:rPr>
          <w:rFonts w:hint="eastAsia" w:ascii="Times New Roman" w:hAnsi="Times New Roman"/>
          <w:color w:val="auto"/>
          <w:highlight w:val="none"/>
        </w:rPr>
        <w:t>、响应</w:t>
      </w:r>
      <w:r>
        <w:rPr>
          <w:rFonts w:hint="eastAsia" w:ascii="Times New Roman" w:hAnsi="Times New Roman"/>
          <w:color w:val="auto"/>
          <w:highlight w:val="none"/>
          <w:lang w:val="en-US" w:eastAsia="zh-CN"/>
        </w:rPr>
        <w:t>性</w:t>
      </w:r>
      <w:r>
        <w:rPr>
          <w:rFonts w:hint="eastAsia" w:ascii="Times New Roman" w:hAnsi="Times New Roman"/>
          <w:color w:val="auto"/>
          <w:highlight w:val="none"/>
        </w:rPr>
        <w:t>文件</w:t>
      </w:r>
    </w:p>
    <w:p w14:paraId="0F0ADF3D">
      <w:pPr>
        <w:rPr>
          <w:rFonts w:hint="eastAsia" w:ascii="Times New Roman" w:hAnsi="Times New Roman"/>
          <w:color w:val="auto"/>
          <w:highlight w:val="none"/>
          <w:lang w:val="zh-CN"/>
        </w:rPr>
      </w:pPr>
      <w:r>
        <w:rPr>
          <w:rFonts w:hint="eastAsia" w:ascii="Times New Roman" w:hAnsi="Times New Roman"/>
          <w:color w:val="auto"/>
          <w:highlight w:val="none"/>
          <w:lang w:val="zh-CN"/>
        </w:rPr>
        <w:t>（一）响应承诺函</w:t>
      </w:r>
    </w:p>
    <w:p w14:paraId="0ED00D92">
      <w:pPr>
        <w:rPr>
          <w:rFonts w:hint="eastAsia" w:ascii="Times New Roman" w:hAnsi="Times New Roman"/>
          <w:color w:val="auto"/>
          <w:highlight w:val="none"/>
          <w:lang w:val="zh-CN"/>
        </w:rPr>
      </w:pPr>
      <w:r>
        <w:rPr>
          <w:rFonts w:hint="eastAsia" w:ascii="Times New Roman" w:hAnsi="Times New Roman"/>
          <w:color w:val="auto"/>
          <w:highlight w:val="none"/>
          <w:lang w:val="zh-CN"/>
        </w:rPr>
        <w:t>（二）</w:t>
      </w:r>
      <w:r>
        <w:rPr>
          <w:rFonts w:hint="eastAsia" w:ascii="Times New Roman" w:hAnsi="Times New Roman"/>
          <w:color w:val="auto"/>
          <w:highlight w:val="none"/>
          <w:lang w:val="en-US" w:eastAsia="zh-CN"/>
        </w:rPr>
        <w:t>最</w:t>
      </w:r>
      <w:r>
        <w:rPr>
          <w:rFonts w:hint="eastAsia" w:ascii="Times New Roman" w:hAnsi="Times New Roman"/>
          <w:color w:val="auto"/>
          <w:sz w:val="24"/>
          <w:highlight w:val="none"/>
          <w:lang w:val="zh-CN"/>
        </w:rPr>
        <w:t>近1个月社保缴纳记录证明材料</w:t>
      </w:r>
    </w:p>
    <w:p w14:paraId="57B009B8">
      <w:pPr>
        <w:rPr>
          <w:rFonts w:hint="eastAsia" w:ascii="Times New Roman" w:hAnsi="Times New Roman"/>
          <w:color w:val="auto"/>
          <w:highlight w:val="none"/>
          <w:lang w:val="zh-CN"/>
        </w:rPr>
      </w:pPr>
      <w:r>
        <w:rPr>
          <w:rFonts w:hint="eastAsia" w:ascii="Times New Roman" w:hAnsi="Times New Roman"/>
          <w:color w:val="auto"/>
          <w:highlight w:val="none"/>
          <w:lang w:val="zh-CN" w:eastAsia="zh-CN"/>
        </w:rPr>
        <w:t>（三）</w:t>
      </w:r>
      <w:r>
        <w:rPr>
          <w:rFonts w:hint="eastAsia"/>
          <w:color w:val="auto"/>
          <w:highlight w:val="none"/>
          <w:lang w:val="en-US" w:eastAsia="zh-CN"/>
        </w:rPr>
        <w:t>项目经理及项目成员</w:t>
      </w:r>
      <w:r>
        <w:rPr>
          <w:rFonts w:hint="eastAsia" w:ascii="Times New Roman" w:hAnsi="Times New Roman"/>
          <w:color w:val="auto"/>
          <w:highlight w:val="none"/>
          <w:lang w:val="zh-CN"/>
        </w:rPr>
        <w:t>个人简历</w:t>
      </w:r>
    </w:p>
    <w:p w14:paraId="608D710B">
      <w:pPr>
        <w:rPr>
          <w:rFonts w:hint="eastAsia" w:ascii="Times New Roman" w:hAnsi="Times New Roman"/>
          <w:color w:val="auto"/>
          <w:highlight w:val="none"/>
        </w:rPr>
      </w:pPr>
      <w:r>
        <w:rPr>
          <w:rFonts w:hint="eastAsia" w:ascii="Times New Roman" w:hAnsi="Times New Roman"/>
          <w:color w:val="auto"/>
          <w:highlight w:val="none"/>
          <w:lang w:val="zh-CN" w:eastAsia="zh-CN"/>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lang w:val="zh-CN" w:eastAsia="zh-CN"/>
        </w:rPr>
        <w:t>）</w:t>
      </w:r>
      <w:r>
        <w:rPr>
          <w:rFonts w:hint="eastAsia" w:ascii="Times New Roman" w:hAnsi="Times New Roman"/>
          <w:color w:val="auto"/>
          <w:highlight w:val="none"/>
        </w:rPr>
        <w:t>提供服务连续性预案</w:t>
      </w:r>
    </w:p>
    <w:p w14:paraId="18DA75AE">
      <w:pPr>
        <w:rPr>
          <w:rFonts w:hint="eastAsia" w:ascii="Times New Roman" w:hAnsi="Times New Roman"/>
          <w:color w:val="auto"/>
          <w:highlight w:val="none"/>
          <w:lang w:val="en-US" w:eastAsia="zh-CN"/>
        </w:rPr>
      </w:pPr>
      <w:r>
        <w:rPr>
          <w:rFonts w:hint="eastAsia" w:ascii="Times New Roman" w:hAnsi="Times New Roman"/>
          <w:color w:val="auto"/>
          <w:highlight w:val="none"/>
          <w:lang w:val="zh-CN" w:eastAsia="zh-CN"/>
        </w:rPr>
        <w:t>（</w:t>
      </w:r>
      <w:r>
        <w:rPr>
          <w:rFonts w:hint="eastAsia" w:ascii="Times New Roman" w:hAnsi="Times New Roman"/>
          <w:color w:val="auto"/>
          <w:highlight w:val="none"/>
          <w:lang w:val="en-US" w:eastAsia="zh-CN"/>
        </w:rPr>
        <w:t>五</w:t>
      </w:r>
      <w:r>
        <w:rPr>
          <w:rFonts w:hint="eastAsia" w:ascii="Times New Roman" w:hAnsi="Times New Roman"/>
          <w:color w:val="auto"/>
          <w:highlight w:val="none"/>
          <w:lang w:val="zh-CN" w:eastAsia="zh-CN"/>
        </w:rPr>
        <w:t>）</w:t>
      </w:r>
      <w:r>
        <w:rPr>
          <w:rFonts w:hint="eastAsia" w:ascii="Times New Roman" w:hAnsi="Times New Roman"/>
          <w:color w:val="auto"/>
          <w:highlight w:val="none"/>
        </w:rPr>
        <w:t>项目实施方案</w:t>
      </w:r>
    </w:p>
    <w:p w14:paraId="174AB523">
      <w:pPr>
        <w:rPr>
          <w:rFonts w:ascii="Times New Roman" w:hAnsi="Times New Roman"/>
          <w:color w:val="auto"/>
          <w:highlight w:val="none"/>
        </w:rPr>
      </w:pPr>
      <w:r>
        <w:rPr>
          <w:rFonts w:hint="eastAsia" w:ascii="Times New Roman" w:hAnsi="Times New Roman"/>
          <w:color w:val="auto"/>
          <w:highlight w:val="none"/>
          <w:lang w:val="en-US" w:eastAsia="zh-CN"/>
        </w:rPr>
        <w:t>四</w:t>
      </w:r>
      <w:r>
        <w:rPr>
          <w:rFonts w:hint="eastAsia" w:ascii="Times New Roman" w:hAnsi="Times New Roman"/>
          <w:color w:val="auto"/>
          <w:highlight w:val="none"/>
        </w:rPr>
        <w:t>、参选保证金</w:t>
      </w:r>
    </w:p>
    <w:p w14:paraId="0AE63756">
      <w:pPr>
        <w:rPr>
          <w:rFonts w:ascii="Times New Roman" w:hAnsi="Times New Roman"/>
          <w:color w:val="auto"/>
          <w:highlight w:val="none"/>
        </w:rPr>
      </w:pPr>
      <w:r>
        <w:rPr>
          <w:rFonts w:hint="eastAsia" w:ascii="Times New Roman" w:hAnsi="Times New Roman"/>
          <w:color w:val="auto"/>
          <w:highlight w:val="none"/>
          <w:lang w:val="en-US" w:eastAsia="zh-CN"/>
        </w:rPr>
        <w:t>五</w:t>
      </w:r>
      <w:r>
        <w:rPr>
          <w:rFonts w:hint="eastAsia" w:ascii="Times New Roman" w:hAnsi="Times New Roman"/>
          <w:color w:val="auto"/>
          <w:highlight w:val="none"/>
        </w:rPr>
        <w:t>、</w:t>
      </w:r>
      <w:r>
        <w:rPr>
          <w:rFonts w:hint="eastAsia" w:ascii="Times New Roman" w:hAnsi="Times New Roman"/>
          <w:color w:val="auto"/>
          <w:highlight w:val="none"/>
          <w:lang w:val="zh-CN"/>
        </w:rPr>
        <w:t>项目</w:t>
      </w:r>
      <w:r>
        <w:rPr>
          <w:rFonts w:hint="eastAsia" w:ascii="Times New Roman" w:hAnsi="Times New Roman"/>
          <w:color w:val="auto"/>
          <w:highlight w:val="none"/>
        </w:rPr>
        <w:t>实施</w:t>
      </w:r>
      <w:r>
        <w:rPr>
          <w:rFonts w:hint="eastAsia" w:ascii="Times New Roman" w:hAnsi="Times New Roman"/>
          <w:color w:val="auto"/>
          <w:highlight w:val="none"/>
          <w:lang w:val="zh-CN"/>
        </w:rPr>
        <w:t>案例</w:t>
      </w:r>
      <w:r>
        <w:rPr>
          <w:rFonts w:hint="eastAsia" w:ascii="Times New Roman" w:hAnsi="Times New Roman"/>
          <w:color w:val="auto"/>
          <w:highlight w:val="none"/>
        </w:rPr>
        <w:t>、服务能力和人员配置证明文件复印件（如有）</w:t>
      </w:r>
    </w:p>
    <w:p w14:paraId="598034A4">
      <w:pPr>
        <w:rPr>
          <w:rFonts w:ascii="Times New Roman" w:hAnsi="Times New Roman"/>
          <w:color w:val="auto"/>
          <w:highlight w:val="none"/>
        </w:rPr>
      </w:pPr>
      <w:r>
        <w:rPr>
          <w:rFonts w:hint="eastAsia" w:ascii="Times New Roman" w:hAnsi="Times New Roman"/>
          <w:color w:val="auto"/>
          <w:highlight w:val="none"/>
          <w:lang w:val="en-US" w:eastAsia="zh-CN"/>
        </w:rPr>
        <w:t>六</w:t>
      </w:r>
      <w:r>
        <w:rPr>
          <w:rFonts w:hint="eastAsia" w:ascii="Times New Roman" w:hAnsi="Times New Roman"/>
          <w:color w:val="auto"/>
          <w:highlight w:val="none"/>
        </w:rPr>
        <w:t>、服务承诺（如有）</w:t>
      </w:r>
    </w:p>
    <w:p w14:paraId="27A613D5">
      <w:pPr>
        <w:rPr>
          <w:rFonts w:hint="eastAsia"/>
          <w:color w:val="auto"/>
          <w:highlight w:val="none"/>
        </w:rPr>
      </w:pPr>
      <w:r>
        <w:rPr>
          <w:rFonts w:hint="eastAsia" w:ascii="Times New Roman" w:hAnsi="Times New Roman"/>
          <w:color w:val="auto"/>
          <w:highlight w:val="none"/>
          <w:lang w:val="en-US" w:eastAsia="zh-CN"/>
        </w:rPr>
        <w:t>七</w:t>
      </w:r>
      <w:r>
        <w:rPr>
          <w:rFonts w:hint="eastAsia" w:ascii="Times New Roman" w:hAnsi="Times New Roman"/>
          <w:color w:val="auto"/>
          <w:highlight w:val="none"/>
        </w:rPr>
        <w:t>、服务水平协议（SLA）</w:t>
      </w:r>
    </w:p>
    <w:p w14:paraId="0E38F53A">
      <w:pPr>
        <w:rPr>
          <w:rFonts w:ascii="Times New Roman" w:hAnsi="Times New Roman"/>
          <w:color w:val="auto"/>
          <w:highlight w:val="none"/>
        </w:rPr>
      </w:pPr>
      <w:r>
        <w:rPr>
          <w:rFonts w:hint="eastAsia" w:ascii="Times New Roman" w:hAnsi="Times New Roman"/>
          <w:color w:val="auto"/>
          <w:highlight w:val="none"/>
          <w:lang w:val="en-US" w:eastAsia="zh-CN"/>
        </w:rPr>
        <w:t>八</w:t>
      </w:r>
      <w:r>
        <w:rPr>
          <w:rFonts w:hint="eastAsia" w:ascii="Times New Roman" w:hAnsi="Times New Roman"/>
          <w:color w:val="auto"/>
          <w:highlight w:val="none"/>
        </w:rPr>
        <w:t>、其他（如有）</w:t>
      </w:r>
    </w:p>
    <w:p w14:paraId="45F15A40">
      <w:pPr>
        <w:spacing w:line="360" w:lineRule="auto"/>
        <w:rPr>
          <w:rFonts w:ascii="Times New Roman" w:hAnsi="Times New Roman" w:cs="宋体"/>
          <w:color w:val="auto"/>
          <w:highlight w:val="none"/>
        </w:rPr>
      </w:pPr>
    </w:p>
    <w:p w14:paraId="7C94C9A3">
      <w:pPr>
        <w:spacing w:line="360" w:lineRule="auto"/>
        <w:rPr>
          <w:rFonts w:ascii="Times New Roman" w:hAnsi="Times New Roman" w:cs="宋体"/>
          <w:color w:val="auto"/>
          <w:highlight w:val="none"/>
        </w:rPr>
      </w:pPr>
    </w:p>
    <w:p w14:paraId="1BC68EE6">
      <w:pPr>
        <w:pStyle w:val="2"/>
        <w:rPr>
          <w:rFonts w:ascii="Times New Roman" w:hAnsi="Times New Roman"/>
          <w:color w:val="auto"/>
          <w:highlight w:val="none"/>
        </w:rPr>
      </w:pPr>
      <w:r>
        <w:rPr>
          <w:rFonts w:hint="eastAsia" w:ascii="Times New Roman" w:hAnsi="Times New Roman" w:cs="宋体"/>
          <w:color w:val="auto"/>
          <w:highlight w:val="none"/>
        </w:rPr>
        <w:br w:type="page"/>
      </w:r>
      <w:bookmarkStart w:id="266" w:name="_Toc32556"/>
      <w:r>
        <w:rPr>
          <w:rFonts w:hint="eastAsia" w:ascii="Times New Roman" w:hAnsi="Times New Roman"/>
          <w:color w:val="auto"/>
          <w:highlight w:val="none"/>
        </w:rPr>
        <w:t>第六章 参选文件</w:t>
      </w:r>
      <w:bookmarkEnd w:id="252"/>
      <w:bookmarkEnd w:id="253"/>
      <w:bookmarkStart w:id="267" w:name="_Toc303066035"/>
      <w:r>
        <w:rPr>
          <w:rFonts w:hint="eastAsia" w:ascii="Times New Roman" w:hAnsi="Times New Roman"/>
          <w:color w:val="auto"/>
          <w:highlight w:val="none"/>
        </w:rPr>
        <w:t>格式</w:t>
      </w:r>
      <w:bookmarkEnd w:id="265"/>
      <w:bookmarkEnd w:id="266"/>
    </w:p>
    <w:bookmarkEnd w:id="267"/>
    <w:p w14:paraId="58A16D6F">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745A6A02">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7B8900A4">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u w:val="single"/>
        </w:rPr>
      </w:pPr>
      <w:r>
        <w:rPr>
          <w:rFonts w:hint="eastAsia" w:ascii="Times New Roman" w:hAnsi="Times New Roman" w:cs="Times New Roman"/>
          <w:b/>
          <w:snapToGrid w:val="0"/>
          <w:color w:val="auto"/>
          <w:kern w:val="0"/>
          <w:sz w:val="48"/>
          <w:szCs w:val="84"/>
          <w:highlight w:val="none"/>
          <w:u w:val="single"/>
        </w:rPr>
        <w:t>2024年电子银行安全评估服务项目</w:t>
      </w:r>
    </w:p>
    <w:p w14:paraId="79611B55">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65573131">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7EB38051">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035F46D5">
      <w:pPr>
        <w:adjustRightInd w:val="0"/>
        <w:snapToGrid w:val="0"/>
        <w:spacing w:line="360" w:lineRule="auto"/>
        <w:ind w:firstLine="0" w:firstLineChars="0"/>
        <w:jc w:val="center"/>
        <w:rPr>
          <w:rFonts w:ascii="Times New Roman" w:hAnsi="Times New Roman"/>
          <w:color w:val="auto"/>
          <w:kern w:val="0"/>
          <w:sz w:val="16"/>
          <w:highlight w:val="none"/>
        </w:rPr>
      </w:pPr>
    </w:p>
    <w:p w14:paraId="1571F718">
      <w:pPr>
        <w:adjustRightInd w:val="0"/>
        <w:snapToGrid w:val="0"/>
        <w:spacing w:line="360" w:lineRule="auto"/>
        <w:ind w:firstLine="0" w:firstLineChars="0"/>
        <w:jc w:val="center"/>
        <w:rPr>
          <w:rFonts w:ascii="Times New Roman" w:hAnsi="Times New Roman"/>
          <w:b/>
          <w:color w:val="auto"/>
          <w:kern w:val="0"/>
          <w:sz w:val="20"/>
          <w:highlight w:val="none"/>
        </w:rPr>
      </w:pPr>
    </w:p>
    <w:p w14:paraId="4D4F830D">
      <w:pPr>
        <w:adjustRightInd w:val="0"/>
        <w:snapToGrid w:val="0"/>
        <w:spacing w:line="360" w:lineRule="auto"/>
        <w:ind w:firstLine="0" w:firstLineChars="0"/>
        <w:jc w:val="center"/>
        <w:rPr>
          <w:rFonts w:ascii="Times New Roman" w:hAnsi="Times New Roman"/>
          <w:b/>
          <w:color w:val="auto"/>
          <w:kern w:val="0"/>
          <w:sz w:val="20"/>
          <w:highlight w:val="none"/>
        </w:rPr>
      </w:pPr>
    </w:p>
    <w:p w14:paraId="079E8201">
      <w:pPr>
        <w:adjustRightInd w:val="0"/>
        <w:snapToGrid w:val="0"/>
        <w:spacing w:line="360" w:lineRule="auto"/>
        <w:ind w:firstLine="0" w:firstLineChars="0"/>
        <w:jc w:val="center"/>
        <w:rPr>
          <w:rFonts w:ascii="Times New Roman" w:hAnsi="Times New Roman"/>
          <w:b/>
          <w:color w:val="auto"/>
          <w:kern w:val="0"/>
          <w:sz w:val="20"/>
          <w:highlight w:val="none"/>
        </w:rPr>
      </w:pPr>
    </w:p>
    <w:p w14:paraId="4B886352">
      <w:pPr>
        <w:adjustRightInd w:val="0"/>
        <w:snapToGrid w:val="0"/>
        <w:spacing w:line="360" w:lineRule="auto"/>
        <w:ind w:firstLine="0" w:firstLineChars="0"/>
        <w:jc w:val="center"/>
        <w:rPr>
          <w:rFonts w:ascii="Times New Roman" w:hAnsi="Times New Roman"/>
          <w:b/>
          <w:color w:val="auto"/>
          <w:kern w:val="0"/>
          <w:sz w:val="20"/>
          <w:highlight w:val="none"/>
        </w:rPr>
      </w:pPr>
    </w:p>
    <w:p w14:paraId="1B24B39C">
      <w:pPr>
        <w:adjustRightInd w:val="0"/>
        <w:snapToGrid w:val="0"/>
        <w:spacing w:line="360" w:lineRule="auto"/>
        <w:ind w:firstLine="0" w:firstLineChars="0"/>
        <w:jc w:val="center"/>
        <w:rPr>
          <w:rFonts w:ascii="Times New Roman" w:hAnsi="Times New Roman"/>
          <w:b/>
          <w:color w:val="auto"/>
          <w:kern w:val="0"/>
          <w:sz w:val="20"/>
          <w:highlight w:val="none"/>
        </w:rPr>
      </w:pPr>
    </w:p>
    <w:p w14:paraId="3E8F822E">
      <w:pPr>
        <w:adjustRightInd w:val="0"/>
        <w:snapToGrid w:val="0"/>
        <w:spacing w:line="360" w:lineRule="auto"/>
        <w:ind w:firstLine="0" w:firstLineChars="0"/>
        <w:jc w:val="center"/>
        <w:rPr>
          <w:rFonts w:ascii="Times New Roman" w:hAnsi="Times New Roman"/>
          <w:b/>
          <w:color w:val="auto"/>
          <w:kern w:val="0"/>
          <w:sz w:val="20"/>
          <w:highlight w:val="none"/>
        </w:rPr>
      </w:pPr>
    </w:p>
    <w:p w14:paraId="5D906C7A">
      <w:pPr>
        <w:adjustRightInd w:val="0"/>
        <w:snapToGrid w:val="0"/>
        <w:spacing w:line="360" w:lineRule="auto"/>
        <w:ind w:firstLine="0" w:firstLineChars="0"/>
        <w:jc w:val="center"/>
        <w:rPr>
          <w:rFonts w:ascii="Times New Roman" w:hAnsi="Times New Roman"/>
          <w:b/>
          <w:color w:val="auto"/>
          <w:kern w:val="0"/>
          <w:sz w:val="20"/>
          <w:highlight w:val="none"/>
        </w:rPr>
      </w:pPr>
    </w:p>
    <w:p w14:paraId="41CC34FA">
      <w:pPr>
        <w:adjustRightInd w:val="0"/>
        <w:snapToGrid w:val="0"/>
        <w:spacing w:line="360" w:lineRule="auto"/>
        <w:ind w:firstLine="0" w:firstLineChars="0"/>
        <w:jc w:val="center"/>
        <w:rPr>
          <w:rFonts w:ascii="Times New Roman" w:hAnsi="Times New Roman"/>
          <w:b/>
          <w:color w:val="auto"/>
          <w:kern w:val="0"/>
          <w:sz w:val="20"/>
          <w:highlight w:val="none"/>
        </w:rPr>
      </w:pPr>
    </w:p>
    <w:p w14:paraId="7C4142F5">
      <w:pPr>
        <w:adjustRightInd w:val="0"/>
        <w:snapToGrid w:val="0"/>
        <w:spacing w:line="360" w:lineRule="auto"/>
        <w:ind w:firstLine="0" w:firstLineChars="0"/>
        <w:jc w:val="center"/>
        <w:rPr>
          <w:rFonts w:ascii="Times New Roman" w:hAnsi="Times New Roman"/>
          <w:b/>
          <w:color w:val="auto"/>
          <w:kern w:val="0"/>
          <w:sz w:val="20"/>
          <w:highlight w:val="none"/>
        </w:rPr>
      </w:pPr>
    </w:p>
    <w:p w14:paraId="0345D48A">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561719E4">
      <w:pPr>
        <w:spacing w:line="360" w:lineRule="auto"/>
        <w:ind w:firstLine="0" w:firstLineChars="0"/>
        <w:jc w:val="center"/>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rPr>
        <w:t>/委托代理人：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r>
        <w:rPr>
          <w:rFonts w:hint="eastAsia" w:ascii="Times New Roman" w:hAnsi="Times New Roman"/>
          <w:color w:val="auto"/>
          <w:highlight w:val="none"/>
          <w:lang w:val="en-US" w:eastAsia="zh-CN"/>
        </w:rPr>
        <w:t>或盖章</w:t>
      </w:r>
      <w:r>
        <w:rPr>
          <w:rFonts w:hint="eastAsia" w:ascii="Times New Roman" w:hAnsi="Times New Roman"/>
          <w:color w:val="auto"/>
          <w:highlight w:val="none"/>
        </w:rPr>
        <w:t>）</w:t>
      </w:r>
    </w:p>
    <w:p w14:paraId="2CBB78F7">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70D0FAF0">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6748712F">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3770C1F7">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31E5699C">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footerReference r:id="rId6" w:type="default"/>
          <w:pgSz w:w="11906" w:h="16838"/>
          <w:pgMar w:top="1440" w:right="1800" w:bottom="1440" w:left="1800" w:header="851" w:footer="992" w:gutter="0"/>
          <w:pgNumType w:fmt="decimal"/>
          <w:cols w:space="720" w:num="1"/>
          <w:docGrid w:type="lines" w:linePitch="312" w:charSpace="0"/>
        </w:sectPr>
      </w:pPr>
    </w:p>
    <w:p w14:paraId="3F03B8A9">
      <w:pPr>
        <w:spacing w:line="360" w:lineRule="auto"/>
        <w:ind w:firstLine="0" w:firstLineChars="0"/>
        <w:jc w:val="center"/>
        <w:outlineLvl w:val="1"/>
        <w:rPr>
          <w:rStyle w:val="26"/>
          <w:rFonts w:ascii="Times New Roman" w:hAnsi="Times New Roman"/>
          <w:color w:val="auto"/>
          <w:highlight w:val="none"/>
        </w:rPr>
      </w:pPr>
      <w:r>
        <w:rPr>
          <w:rStyle w:val="26"/>
          <w:rFonts w:hint="eastAsia" w:ascii="Times New Roman" w:hAnsi="Times New Roman"/>
          <w:color w:val="auto"/>
          <w:highlight w:val="none"/>
        </w:rPr>
        <w:t>一、参选函</w:t>
      </w:r>
    </w:p>
    <w:p w14:paraId="4C9059C3">
      <w:pPr>
        <w:tabs>
          <w:tab w:val="left" w:pos="6300"/>
        </w:tabs>
        <w:snapToGrid w:val="0"/>
        <w:spacing w:line="360" w:lineRule="auto"/>
        <w:ind w:right="-34" w:rightChars="-14"/>
        <w:rPr>
          <w:rFonts w:ascii="Times New Roman" w:hAnsi="Times New Roman"/>
          <w:snapToGrid w:val="0"/>
          <w:color w:val="auto"/>
          <w:kern w:val="0"/>
          <w:szCs w:val="24"/>
          <w:highlight w:val="none"/>
          <w:u w:val="single"/>
        </w:rPr>
      </w:pPr>
    </w:p>
    <w:p w14:paraId="2EAFB224">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68299C39">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7DBCBC3C">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p>
    <w:p w14:paraId="141E3579">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1E9AEA42">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27E5FD0F">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2AF93275">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451F00F6">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4A608562">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w:t>
      </w:r>
      <w:r>
        <w:rPr>
          <w:rFonts w:hint="eastAsia" w:ascii="Times New Roman" w:hAnsi="Times New Roman"/>
          <w:snapToGrid w:val="0"/>
          <w:color w:val="auto"/>
          <w:kern w:val="0"/>
          <w:szCs w:val="24"/>
          <w:highlight w:val="none"/>
          <w:u w:val="single"/>
          <w:lang w:val="en-US" w:eastAsia="zh-CN"/>
        </w:rPr>
        <w:t>6</w:t>
      </w:r>
      <w:r>
        <w:rPr>
          <w:rFonts w:hint="eastAsia" w:ascii="Times New Roman" w:hAnsi="Times New Roman"/>
          <w:snapToGrid w:val="0"/>
          <w:color w:val="auto"/>
          <w:kern w:val="0"/>
          <w:szCs w:val="24"/>
          <w:highlight w:val="none"/>
        </w:rPr>
        <w:t>_%的增值税专用发票。</w:t>
      </w:r>
    </w:p>
    <w:p w14:paraId="3C5F734D">
      <w:pPr>
        <w:tabs>
          <w:tab w:val="left" w:pos="6300"/>
        </w:tabs>
        <w:snapToGrid w:val="0"/>
        <w:spacing w:line="360" w:lineRule="auto"/>
        <w:ind w:right="-34" w:rightChars="-14"/>
        <w:rPr>
          <w:rFonts w:ascii="Times New Roman" w:hAnsi="Times New Roman"/>
          <w:snapToGrid w:val="0"/>
          <w:color w:val="auto"/>
          <w:kern w:val="0"/>
          <w:szCs w:val="24"/>
          <w:highlight w:val="none"/>
        </w:rPr>
      </w:pPr>
    </w:p>
    <w:p w14:paraId="5C590830">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404C686D">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7C986995">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4353C391">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005C5AFE">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55F4DE9A">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162D7FAC">
      <w:pPr>
        <w:widowControl/>
        <w:spacing w:line="360" w:lineRule="auto"/>
        <w:jc w:val="left"/>
        <w:rPr>
          <w:rFonts w:ascii="Times New Roman" w:hAnsi="Times New Roman"/>
          <w:snapToGrid w:val="0"/>
          <w:color w:val="auto"/>
          <w:kern w:val="0"/>
          <w:szCs w:val="24"/>
          <w:highlight w:val="none"/>
        </w:rPr>
      </w:pPr>
    </w:p>
    <w:p w14:paraId="4D581C88">
      <w:pPr>
        <w:tabs>
          <w:tab w:val="left" w:pos="6300"/>
        </w:tabs>
        <w:snapToGrid w:val="0"/>
        <w:spacing w:line="360" w:lineRule="auto"/>
        <w:rPr>
          <w:rFonts w:ascii="Times New Roman" w:hAnsi="Times New Roman"/>
          <w:snapToGrid w:val="0"/>
          <w:color w:val="auto"/>
          <w:kern w:val="0"/>
          <w:szCs w:val="24"/>
          <w:highlight w:val="none"/>
        </w:rPr>
      </w:pPr>
    </w:p>
    <w:p w14:paraId="2FB90F62">
      <w:pPr>
        <w:widowControl/>
        <w:spacing w:line="360" w:lineRule="auto"/>
        <w:jc w:val="left"/>
        <w:rPr>
          <w:rFonts w:ascii="Times New Roman" w:hAnsi="Times New Roman"/>
          <w:snapToGrid w:val="0"/>
          <w:color w:val="auto"/>
          <w:kern w:val="0"/>
          <w:szCs w:val="24"/>
          <w:highlight w:val="none"/>
        </w:rPr>
      </w:pPr>
    </w:p>
    <w:p w14:paraId="5510C6C6">
      <w:pPr>
        <w:widowControl/>
        <w:spacing w:line="360" w:lineRule="auto"/>
        <w:jc w:val="left"/>
        <w:rPr>
          <w:rFonts w:ascii="Times New Roman" w:hAnsi="Times New Roman"/>
          <w:snapToGrid w:val="0"/>
          <w:color w:val="auto"/>
          <w:kern w:val="0"/>
          <w:szCs w:val="24"/>
          <w:highlight w:val="none"/>
        </w:rPr>
      </w:pPr>
    </w:p>
    <w:p w14:paraId="1ADCE864">
      <w:pPr>
        <w:widowControl/>
        <w:spacing w:line="360" w:lineRule="auto"/>
        <w:jc w:val="left"/>
        <w:rPr>
          <w:rFonts w:ascii="Times New Roman" w:hAnsi="Times New Roman"/>
          <w:snapToGrid w:val="0"/>
          <w:color w:val="auto"/>
          <w:kern w:val="0"/>
          <w:szCs w:val="24"/>
          <w:highlight w:val="none"/>
        </w:rPr>
      </w:pPr>
    </w:p>
    <w:p w14:paraId="4495C2A7">
      <w:pPr>
        <w:widowControl/>
        <w:spacing w:line="360" w:lineRule="auto"/>
        <w:jc w:val="left"/>
        <w:rPr>
          <w:rFonts w:ascii="Times New Roman" w:hAnsi="Times New Roman"/>
          <w:snapToGrid w:val="0"/>
          <w:color w:val="auto"/>
          <w:kern w:val="0"/>
          <w:szCs w:val="24"/>
          <w:highlight w:val="none"/>
        </w:rPr>
      </w:pPr>
    </w:p>
    <w:p w14:paraId="6AA57653">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33EFAEA9">
      <w:pPr>
        <w:pStyle w:val="27"/>
        <w:rPr>
          <w:rFonts w:ascii="Times New Roman" w:hAnsi="Times New Roman"/>
          <w:color w:val="auto"/>
          <w:highlight w:val="none"/>
        </w:rPr>
      </w:pPr>
      <w:r>
        <w:rPr>
          <w:rFonts w:hint="eastAsia" w:ascii="Times New Roman" w:hAnsi="Times New Roman"/>
          <w:color w:val="auto"/>
          <w:highlight w:val="none"/>
          <w:lang w:val="en-US" w:eastAsia="zh-CN"/>
        </w:rPr>
        <w:t>二</w:t>
      </w:r>
      <w:r>
        <w:rPr>
          <w:rFonts w:ascii="Times New Roman" w:hAnsi="Times New Roman"/>
          <w:color w:val="auto"/>
          <w:highlight w:val="none"/>
        </w:rPr>
        <w:t>、资格性文件</w:t>
      </w:r>
    </w:p>
    <w:p w14:paraId="5F2B582C">
      <w:pPr>
        <w:pStyle w:val="29"/>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ABE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4B1346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763D51B7">
            <w:pPr>
              <w:spacing w:line="360" w:lineRule="auto"/>
              <w:ind w:firstLine="0" w:firstLineChars="0"/>
              <w:jc w:val="center"/>
              <w:rPr>
                <w:rFonts w:ascii="Times New Roman" w:hAnsi="Times New Roman"/>
                <w:color w:val="auto"/>
                <w:sz w:val="22"/>
                <w:szCs w:val="24"/>
                <w:highlight w:val="none"/>
              </w:rPr>
            </w:pPr>
          </w:p>
        </w:tc>
      </w:tr>
      <w:tr w14:paraId="160A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E4A7AB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4F85EFA3">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1B4F78E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221DCF91">
            <w:pPr>
              <w:spacing w:line="360" w:lineRule="auto"/>
              <w:ind w:firstLine="0" w:firstLineChars="0"/>
              <w:jc w:val="center"/>
              <w:rPr>
                <w:rFonts w:ascii="Times New Roman" w:hAnsi="Times New Roman"/>
                <w:color w:val="auto"/>
                <w:sz w:val="22"/>
                <w:szCs w:val="24"/>
                <w:highlight w:val="none"/>
              </w:rPr>
            </w:pPr>
          </w:p>
        </w:tc>
      </w:tr>
      <w:tr w14:paraId="4E60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0F97C30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6490570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4BB829C9">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3413DE0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213371F5">
            <w:pPr>
              <w:spacing w:line="360" w:lineRule="auto"/>
              <w:ind w:firstLine="0" w:firstLineChars="0"/>
              <w:jc w:val="center"/>
              <w:rPr>
                <w:rFonts w:ascii="Times New Roman" w:hAnsi="Times New Roman"/>
                <w:color w:val="auto"/>
                <w:sz w:val="22"/>
                <w:szCs w:val="24"/>
                <w:highlight w:val="none"/>
              </w:rPr>
            </w:pPr>
          </w:p>
        </w:tc>
      </w:tr>
      <w:tr w14:paraId="4C52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03B45265">
            <w:pPr>
              <w:rPr>
                <w:color w:val="auto"/>
                <w:highlight w:val="none"/>
              </w:rPr>
            </w:pPr>
          </w:p>
        </w:tc>
        <w:tc>
          <w:tcPr>
            <w:tcW w:w="1077" w:type="dxa"/>
            <w:tcBorders>
              <w:top w:val="single" w:color="auto" w:sz="4" w:space="0"/>
              <w:left w:val="single" w:color="auto" w:sz="4" w:space="0"/>
              <w:bottom w:val="single" w:color="auto" w:sz="4" w:space="0"/>
              <w:right w:val="single" w:color="auto" w:sz="4" w:space="0"/>
            </w:tcBorders>
            <w:noWrap/>
            <w:vAlign w:val="center"/>
          </w:tcPr>
          <w:p w14:paraId="237DC5C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4E73F8F0">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bottom w:val="single" w:color="auto" w:sz="4" w:space="0"/>
              <w:right w:val="single" w:color="auto" w:sz="4" w:space="0"/>
            </w:tcBorders>
            <w:noWrap/>
            <w:vAlign w:val="center"/>
          </w:tcPr>
          <w:p w14:paraId="5676CF1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17D04EB4">
            <w:pPr>
              <w:spacing w:line="360" w:lineRule="auto"/>
              <w:ind w:firstLine="0" w:firstLineChars="0"/>
              <w:jc w:val="center"/>
              <w:rPr>
                <w:rFonts w:ascii="Times New Roman" w:hAnsi="Times New Roman"/>
                <w:color w:val="auto"/>
                <w:sz w:val="22"/>
                <w:szCs w:val="24"/>
                <w:highlight w:val="none"/>
              </w:rPr>
            </w:pPr>
          </w:p>
        </w:tc>
      </w:tr>
      <w:tr w14:paraId="6A5B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CEB5EB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35D28213">
            <w:pPr>
              <w:spacing w:line="360" w:lineRule="auto"/>
              <w:ind w:firstLine="0" w:firstLineChars="0"/>
              <w:jc w:val="center"/>
              <w:rPr>
                <w:rFonts w:ascii="Times New Roman" w:hAnsi="Times New Roman"/>
                <w:color w:val="auto"/>
                <w:sz w:val="22"/>
                <w:szCs w:val="24"/>
                <w:highlight w:val="none"/>
              </w:rPr>
            </w:pPr>
          </w:p>
        </w:tc>
      </w:tr>
      <w:tr w14:paraId="6AD9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76014C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704DF81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14:paraId="0C333CC3">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403BA2B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091A4C00">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679E6C9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14:paraId="6E84D3F9">
            <w:pPr>
              <w:spacing w:line="360" w:lineRule="auto"/>
              <w:ind w:firstLine="0" w:firstLineChars="0"/>
              <w:jc w:val="center"/>
              <w:rPr>
                <w:rFonts w:ascii="Times New Roman" w:hAnsi="Times New Roman"/>
                <w:color w:val="auto"/>
                <w:sz w:val="22"/>
                <w:szCs w:val="24"/>
                <w:highlight w:val="none"/>
              </w:rPr>
            </w:pPr>
          </w:p>
        </w:tc>
      </w:tr>
      <w:tr w14:paraId="5B05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891985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521F35B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bottom w:val="single" w:color="auto" w:sz="4" w:space="0"/>
              <w:right w:val="single" w:color="auto" w:sz="4" w:space="0"/>
            </w:tcBorders>
            <w:noWrap/>
          </w:tcPr>
          <w:p w14:paraId="2F23FB7D">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29C5D69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11215246">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bottom w:val="single" w:color="auto" w:sz="4" w:space="0"/>
              <w:right w:val="single" w:color="auto" w:sz="4" w:space="0"/>
            </w:tcBorders>
            <w:noWrap/>
            <w:vAlign w:val="center"/>
          </w:tcPr>
          <w:p w14:paraId="242039C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top w:val="single" w:color="auto" w:sz="4" w:space="0"/>
              <w:left w:val="single" w:color="auto" w:sz="4" w:space="0"/>
              <w:bottom w:val="single" w:color="auto" w:sz="4" w:space="0"/>
              <w:right w:val="single" w:color="auto" w:sz="4" w:space="0"/>
            </w:tcBorders>
            <w:noWrap/>
          </w:tcPr>
          <w:p w14:paraId="56168543">
            <w:pPr>
              <w:spacing w:line="360" w:lineRule="auto"/>
              <w:ind w:firstLine="0" w:firstLineChars="0"/>
              <w:jc w:val="center"/>
              <w:rPr>
                <w:rFonts w:ascii="Times New Roman" w:hAnsi="Times New Roman"/>
                <w:color w:val="auto"/>
                <w:sz w:val="22"/>
                <w:szCs w:val="24"/>
                <w:highlight w:val="none"/>
              </w:rPr>
            </w:pPr>
          </w:p>
        </w:tc>
      </w:tr>
      <w:tr w14:paraId="71AA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7AD678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3A7F90D2">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top w:val="single" w:color="auto" w:sz="4" w:space="0"/>
              <w:left w:val="single" w:color="auto" w:sz="4" w:space="0"/>
              <w:bottom w:val="single" w:color="auto" w:sz="4" w:space="0"/>
              <w:right w:val="single" w:color="auto" w:sz="4" w:space="0"/>
            </w:tcBorders>
            <w:noWrap/>
          </w:tcPr>
          <w:p w14:paraId="124FE25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0A51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697289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094481FA">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298550A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AEB672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32BF3F77">
            <w:pPr>
              <w:spacing w:line="360" w:lineRule="auto"/>
              <w:ind w:firstLine="0" w:firstLineChars="0"/>
              <w:jc w:val="center"/>
              <w:rPr>
                <w:rFonts w:ascii="Times New Roman" w:hAnsi="Times New Roman"/>
                <w:color w:val="auto"/>
                <w:sz w:val="22"/>
                <w:szCs w:val="24"/>
                <w:highlight w:val="none"/>
              </w:rPr>
            </w:pPr>
          </w:p>
        </w:tc>
      </w:tr>
      <w:tr w14:paraId="6BC1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91039C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3B811F87">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0D078E42">
            <w:pPr>
              <w:rPr>
                <w:color w:val="auto"/>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49E61C7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07DC1B47">
            <w:pPr>
              <w:spacing w:line="360" w:lineRule="auto"/>
              <w:ind w:firstLine="0" w:firstLineChars="0"/>
              <w:jc w:val="center"/>
              <w:rPr>
                <w:rFonts w:ascii="Times New Roman" w:hAnsi="Times New Roman"/>
                <w:color w:val="auto"/>
                <w:sz w:val="22"/>
                <w:szCs w:val="24"/>
                <w:highlight w:val="none"/>
              </w:rPr>
            </w:pPr>
          </w:p>
        </w:tc>
      </w:tr>
      <w:tr w14:paraId="52B3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F673A8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5829AB61">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6182C999">
            <w:pPr>
              <w:rPr>
                <w:color w:val="auto"/>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0857A21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68AC383B">
            <w:pPr>
              <w:spacing w:line="360" w:lineRule="auto"/>
              <w:ind w:firstLine="0" w:firstLineChars="0"/>
              <w:jc w:val="center"/>
              <w:rPr>
                <w:rFonts w:ascii="Times New Roman" w:hAnsi="Times New Roman"/>
                <w:color w:val="auto"/>
                <w:sz w:val="22"/>
                <w:szCs w:val="24"/>
                <w:highlight w:val="none"/>
              </w:rPr>
            </w:pPr>
          </w:p>
        </w:tc>
      </w:tr>
      <w:tr w14:paraId="0C1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1ADF14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6C950500">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7CDEB1AD">
            <w:pPr>
              <w:rPr>
                <w:color w:val="auto"/>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2B9E1A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0157A305">
            <w:pPr>
              <w:spacing w:line="360" w:lineRule="auto"/>
              <w:ind w:firstLine="0" w:firstLineChars="0"/>
              <w:jc w:val="center"/>
              <w:rPr>
                <w:rFonts w:ascii="Times New Roman" w:hAnsi="Times New Roman"/>
                <w:color w:val="auto"/>
                <w:sz w:val="22"/>
                <w:szCs w:val="24"/>
                <w:highlight w:val="none"/>
              </w:rPr>
            </w:pPr>
          </w:p>
        </w:tc>
      </w:tr>
      <w:tr w14:paraId="3BA0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3EBF70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39E2A0D1">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bottom w:val="single" w:color="auto" w:sz="4" w:space="0"/>
              <w:right w:val="single" w:color="auto" w:sz="4" w:space="0"/>
            </w:tcBorders>
            <w:noWrap/>
          </w:tcPr>
          <w:p w14:paraId="34DFD334">
            <w:pPr>
              <w:rPr>
                <w:color w:val="auto"/>
                <w:highlight w:val="none"/>
              </w:rPr>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1DCBEB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59758C79">
            <w:pPr>
              <w:spacing w:line="360" w:lineRule="auto"/>
              <w:ind w:firstLine="0" w:firstLineChars="0"/>
              <w:jc w:val="center"/>
              <w:rPr>
                <w:rFonts w:ascii="Times New Roman" w:hAnsi="Times New Roman"/>
                <w:color w:val="auto"/>
                <w:sz w:val="22"/>
                <w:szCs w:val="24"/>
                <w:highlight w:val="none"/>
              </w:rPr>
            </w:pPr>
          </w:p>
        </w:tc>
      </w:tr>
      <w:tr w14:paraId="32B9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D0C989F">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107EE0FF">
            <w:pPr>
              <w:spacing w:line="360" w:lineRule="auto"/>
              <w:ind w:firstLine="0" w:firstLineChars="0"/>
              <w:jc w:val="center"/>
              <w:rPr>
                <w:rFonts w:ascii="Times New Roman" w:hAnsi="Times New Roman"/>
                <w:color w:val="auto"/>
                <w:sz w:val="22"/>
                <w:szCs w:val="24"/>
                <w:highlight w:val="none"/>
              </w:rPr>
            </w:pPr>
          </w:p>
        </w:tc>
      </w:tr>
      <w:tr w14:paraId="4E68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B3CBEC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59A83F98">
            <w:pPr>
              <w:spacing w:line="360" w:lineRule="auto"/>
              <w:ind w:firstLine="0" w:firstLineChars="0"/>
              <w:jc w:val="center"/>
              <w:rPr>
                <w:rFonts w:ascii="Times New Roman" w:hAnsi="Times New Roman"/>
                <w:color w:val="auto"/>
                <w:sz w:val="22"/>
                <w:szCs w:val="24"/>
                <w:highlight w:val="none"/>
              </w:rPr>
            </w:pPr>
          </w:p>
        </w:tc>
      </w:tr>
    </w:tbl>
    <w:p w14:paraId="6B5DF0C4">
      <w:pPr>
        <w:widowControl/>
        <w:spacing w:line="360" w:lineRule="auto"/>
        <w:jc w:val="left"/>
        <w:rPr>
          <w:rFonts w:ascii="Times New Roman" w:hAnsi="Times New Roman"/>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color w:val="auto"/>
          <w:sz w:val="20"/>
          <w:szCs w:val="21"/>
          <w:highlight w:val="none"/>
        </w:rPr>
        <w:t>注：附营业执照（副本）、总公司授权委托书、资质证明复印件等。</w:t>
      </w:r>
    </w:p>
    <w:p w14:paraId="04F2D47D">
      <w:pPr>
        <w:pStyle w:val="29"/>
        <w:rPr>
          <w:rFonts w:ascii="Times New Roman" w:hAnsi="Times New Roman"/>
          <w:color w:val="auto"/>
          <w:highlight w:val="none"/>
        </w:rPr>
      </w:pPr>
      <w:bookmarkStart w:id="268" w:name="_Toc472780356"/>
      <w:bookmarkStart w:id="269" w:name="_Toc378234584"/>
      <w:bookmarkStart w:id="270" w:name="_Toc478053903"/>
      <w:bookmarkStart w:id="271" w:name="_Toc378234770"/>
      <w:bookmarkStart w:id="272" w:name="_Toc478054435"/>
      <w:r>
        <w:rPr>
          <w:rFonts w:ascii="Times New Roman" w:hAnsi="Times New Roman"/>
          <w:color w:val="auto"/>
          <w:highlight w:val="none"/>
        </w:rPr>
        <w:t>（二）法定代表人身份证明及授权委托书</w:t>
      </w:r>
      <w:bookmarkEnd w:id="268"/>
      <w:bookmarkEnd w:id="269"/>
      <w:bookmarkEnd w:id="270"/>
      <w:bookmarkEnd w:id="271"/>
      <w:bookmarkEnd w:id="272"/>
    </w:p>
    <w:p w14:paraId="371BB644">
      <w:pPr>
        <w:pStyle w:val="30"/>
        <w:rPr>
          <w:rFonts w:ascii="Times New Roman" w:hAnsi="Times New Roman"/>
          <w:color w:val="auto"/>
          <w:highlight w:val="none"/>
        </w:rPr>
      </w:pPr>
      <w:r>
        <w:rPr>
          <w:rFonts w:ascii="Times New Roman" w:hAnsi="Times New Roman"/>
          <w:color w:val="auto"/>
          <w:highlight w:val="none"/>
        </w:rPr>
        <w:t>法定代表人身份证明书</w:t>
      </w:r>
    </w:p>
    <w:p w14:paraId="29EE20F9">
      <w:pPr>
        <w:tabs>
          <w:tab w:val="left" w:pos="6300"/>
        </w:tabs>
        <w:snapToGrid w:val="0"/>
        <w:spacing w:line="360" w:lineRule="auto"/>
        <w:rPr>
          <w:rFonts w:ascii="Times New Roman" w:hAnsi="Times New Roman"/>
          <w:snapToGrid w:val="0"/>
          <w:color w:val="auto"/>
          <w:kern w:val="0"/>
          <w:highlight w:val="none"/>
        </w:rPr>
      </w:pPr>
    </w:p>
    <w:p w14:paraId="5C678DE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1296552D">
      <w:pPr>
        <w:tabs>
          <w:tab w:val="left" w:pos="6300"/>
        </w:tabs>
        <w:snapToGrid w:val="0"/>
        <w:spacing w:line="360" w:lineRule="auto"/>
        <w:rPr>
          <w:rFonts w:ascii="Times New Roman" w:hAnsi="Times New Roman"/>
          <w:snapToGrid w:val="0"/>
          <w:color w:val="auto"/>
          <w:kern w:val="0"/>
          <w:highlight w:val="none"/>
        </w:rPr>
      </w:pPr>
    </w:p>
    <w:p w14:paraId="2B3D580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51327C1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人法定代表人姓名）在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2561EDD0">
      <w:pPr>
        <w:tabs>
          <w:tab w:val="left" w:pos="6300"/>
        </w:tabs>
        <w:snapToGrid w:val="0"/>
        <w:spacing w:line="360" w:lineRule="auto"/>
        <w:rPr>
          <w:rFonts w:ascii="Times New Roman" w:hAnsi="Times New Roman"/>
          <w:snapToGrid w:val="0"/>
          <w:color w:val="auto"/>
          <w:kern w:val="0"/>
          <w:highlight w:val="none"/>
        </w:rPr>
      </w:pPr>
    </w:p>
    <w:p w14:paraId="62240AA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63B6894D">
      <w:pPr>
        <w:tabs>
          <w:tab w:val="left" w:pos="6300"/>
        </w:tabs>
        <w:snapToGrid w:val="0"/>
        <w:spacing w:line="360" w:lineRule="auto"/>
        <w:rPr>
          <w:rFonts w:ascii="Times New Roman" w:hAnsi="Times New Roman"/>
          <w:snapToGrid w:val="0"/>
          <w:color w:val="auto"/>
          <w:kern w:val="0"/>
          <w:highlight w:val="none"/>
        </w:rPr>
      </w:pPr>
    </w:p>
    <w:p w14:paraId="31EFC9CB">
      <w:pPr>
        <w:tabs>
          <w:tab w:val="left" w:pos="6300"/>
        </w:tabs>
        <w:snapToGrid w:val="0"/>
        <w:spacing w:line="360" w:lineRule="auto"/>
        <w:rPr>
          <w:rFonts w:ascii="Times New Roman" w:hAnsi="Times New Roman"/>
          <w:snapToGrid w:val="0"/>
          <w:color w:val="auto"/>
          <w:kern w:val="0"/>
          <w:highlight w:val="none"/>
        </w:rPr>
      </w:pPr>
    </w:p>
    <w:p w14:paraId="63B095F2">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6DB397E8">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0C1978A0">
      <w:pPr>
        <w:tabs>
          <w:tab w:val="left" w:pos="6300"/>
        </w:tabs>
        <w:snapToGrid w:val="0"/>
        <w:spacing w:line="360" w:lineRule="auto"/>
        <w:rPr>
          <w:rFonts w:ascii="Times New Roman" w:hAnsi="Times New Roman"/>
          <w:snapToGrid w:val="0"/>
          <w:color w:val="auto"/>
          <w:kern w:val="0"/>
          <w:highlight w:val="none"/>
        </w:rPr>
      </w:pPr>
    </w:p>
    <w:p w14:paraId="45FF513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3C57EB50">
      <w:pPr>
        <w:tabs>
          <w:tab w:val="left" w:pos="6300"/>
        </w:tabs>
        <w:snapToGrid w:val="0"/>
        <w:spacing w:line="360" w:lineRule="auto"/>
        <w:rPr>
          <w:rFonts w:ascii="Times New Roman" w:hAnsi="Times New Roman"/>
          <w:snapToGrid w:val="0"/>
          <w:color w:val="auto"/>
          <w:kern w:val="0"/>
          <w:highlight w:val="none"/>
        </w:rPr>
      </w:pPr>
    </w:p>
    <w:p w14:paraId="6580359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2A5D536C">
      <w:pPr>
        <w:tabs>
          <w:tab w:val="left" w:pos="6300"/>
        </w:tabs>
        <w:snapToGrid w:val="0"/>
        <w:spacing w:line="360" w:lineRule="auto"/>
        <w:rPr>
          <w:rFonts w:ascii="Times New Roman" w:hAnsi="Times New Roman"/>
          <w:snapToGrid w:val="0"/>
          <w:color w:val="auto"/>
          <w:kern w:val="0"/>
          <w:highlight w:val="none"/>
        </w:rPr>
      </w:pPr>
    </w:p>
    <w:p w14:paraId="404F5299">
      <w:pPr>
        <w:tabs>
          <w:tab w:val="left" w:pos="6300"/>
        </w:tabs>
        <w:snapToGrid w:val="0"/>
        <w:spacing w:line="360" w:lineRule="auto"/>
        <w:rPr>
          <w:rFonts w:ascii="Times New Roman" w:hAnsi="Times New Roman"/>
          <w:snapToGrid w:val="0"/>
          <w:color w:val="auto"/>
          <w:kern w:val="0"/>
          <w:highlight w:val="none"/>
        </w:rPr>
      </w:pPr>
    </w:p>
    <w:p w14:paraId="4053EEBC">
      <w:pPr>
        <w:tabs>
          <w:tab w:val="left" w:pos="6300"/>
        </w:tabs>
        <w:snapToGrid w:val="0"/>
        <w:spacing w:line="360" w:lineRule="auto"/>
        <w:rPr>
          <w:rFonts w:ascii="Times New Roman" w:hAnsi="Times New Roman"/>
          <w:snapToGrid w:val="0"/>
          <w:color w:val="auto"/>
          <w:kern w:val="0"/>
          <w:highlight w:val="none"/>
        </w:rPr>
      </w:pPr>
    </w:p>
    <w:p w14:paraId="4A666077">
      <w:pPr>
        <w:jc w:val="center"/>
        <w:rPr>
          <w:rStyle w:val="31"/>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1"/>
          <w:rFonts w:ascii="Times New Roman" w:hAnsi="Times New Roman"/>
          <w:color w:val="auto"/>
          <w:highlight w:val="none"/>
        </w:rPr>
        <w:t>法定代表人授权委托书</w:t>
      </w:r>
    </w:p>
    <w:p w14:paraId="2A31BF57">
      <w:pPr>
        <w:spacing w:line="240" w:lineRule="auto"/>
        <w:ind w:firstLine="0" w:firstLineChars="0"/>
        <w:jc w:val="center"/>
        <w:rPr>
          <w:rFonts w:hint="eastAsia"/>
          <w:color w:val="auto"/>
          <w:highlight w:val="none"/>
        </w:rPr>
      </w:pPr>
      <w:r>
        <w:rPr>
          <w:rFonts w:hint="eastAsia"/>
          <w:color w:val="auto"/>
          <w:highlight w:val="none"/>
        </w:rPr>
        <w:t>(适用于有委托代理人的情况时采用)</w:t>
      </w:r>
    </w:p>
    <w:p w14:paraId="34B8C37E">
      <w:pPr>
        <w:jc w:val="center"/>
        <w:rPr>
          <w:rStyle w:val="31"/>
          <w:rFonts w:ascii="Times New Roman" w:hAnsi="Times New Roman"/>
          <w:color w:val="auto"/>
          <w:highlight w:val="none"/>
        </w:rPr>
      </w:pPr>
    </w:p>
    <w:p w14:paraId="07D0921A">
      <w:pPr>
        <w:tabs>
          <w:tab w:val="left" w:pos="6300"/>
        </w:tabs>
        <w:snapToGrid w:val="0"/>
        <w:spacing w:line="360" w:lineRule="auto"/>
        <w:rPr>
          <w:rFonts w:ascii="Times New Roman" w:hAnsi="Times New Roman"/>
          <w:snapToGrid w:val="0"/>
          <w:color w:val="auto"/>
          <w:kern w:val="0"/>
          <w:highlight w:val="none"/>
        </w:rPr>
      </w:pPr>
    </w:p>
    <w:p w14:paraId="1FB531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43876209">
      <w:pPr>
        <w:tabs>
          <w:tab w:val="left" w:pos="6300"/>
        </w:tabs>
        <w:snapToGrid w:val="0"/>
        <w:spacing w:line="360" w:lineRule="auto"/>
        <w:rPr>
          <w:rFonts w:ascii="Times New Roman" w:hAnsi="Times New Roman"/>
          <w:snapToGrid w:val="0"/>
          <w:color w:val="auto"/>
          <w:kern w:val="0"/>
          <w:highlight w:val="none"/>
        </w:rPr>
      </w:pPr>
    </w:p>
    <w:p w14:paraId="73DA12F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1254BEF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0094CB3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0C4E7E6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在撤消授权的书面通知以前，本授权书一直有效。委托代理人在授权书有效期内签署的所有文件不因授权的撤消而失效。</w:t>
      </w:r>
    </w:p>
    <w:p w14:paraId="6053CD8E">
      <w:pPr>
        <w:tabs>
          <w:tab w:val="left" w:pos="6300"/>
        </w:tabs>
        <w:snapToGrid w:val="0"/>
        <w:spacing w:line="360" w:lineRule="auto"/>
        <w:rPr>
          <w:rFonts w:ascii="Times New Roman" w:hAnsi="Times New Roman"/>
          <w:snapToGrid w:val="0"/>
          <w:color w:val="auto"/>
          <w:kern w:val="0"/>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DDB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2E67848E">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noWrap/>
          </w:tcPr>
          <w:p w14:paraId="0C66EFA6">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531F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3AC037D5">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noWrap/>
          </w:tcPr>
          <w:p w14:paraId="2B93B9C3">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3A4C4BA1">
      <w:pPr>
        <w:tabs>
          <w:tab w:val="left" w:pos="6300"/>
        </w:tabs>
        <w:snapToGrid w:val="0"/>
        <w:spacing w:line="360" w:lineRule="auto"/>
        <w:rPr>
          <w:rFonts w:ascii="Times New Roman" w:hAnsi="Times New Roman"/>
          <w:snapToGrid w:val="0"/>
          <w:color w:val="auto"/>
          <w:kern w:val="0"/>
          <w:highlight w:val="none"/>
        </w:rPr>
      </w:pPr>
    </w:p>
    <w:p w14:paraId="1A28B47B">
      <w:pPr>
        <w:tabs>
          <w:tab w:val="left" w:pos="6300"/>
        </w:tabs>
        <w:snapToGrid w:val="0"/>
        <w:spacing w:line="360" w:lineRule="auto"/>
        <w:rPr>
          <w:rFonts w:ascii="Times New Roman" w:hAnsi="Times New Roman"/>
          <w:snapToGrid w:val="0"/>
          <w:color w:val="auto"/>
          <w:kern w:val="0"/>
          <w:szCs w:val="28"/>
          <w:highlight w:val="none"/>
        </w:rPr>
      </w:pPr>
    </w:p>
    <w:p w14:paraId="379C33FB">
      <w:pPr>
        <w:tabs>
          <w:tab w:val="left" w:pos="6300"/>
        </w:tabs>
        <w:snapToGrid w:val="0"/>
        <w:spacing w:line="360" w:lineRule="auto"/>
        <w:rPr>
          <w:rFonts w:ascii="Times New Roman" w:hAnsi="Times New Roman"/>
          <w:snapToGrid w:val="0"/>
          <w:color w:val="auto"/>
          <w:kern w:val="0"/>
          <w:highlight w:val="none"/>
        </w:rPr>
      </w:pPr>
    </w:p>
    <w:p w14:paraId="5E8492B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6E9F3A8B">
      <w:pPr>
        <w:tabs>
          <w:tab w:val="left" w:pos="6300"/>
        </w:tabs>
        <w:snapToGrid w:val="0"/>
        <w:spacing w:line="360" w:lineRule="auto"/>
        <w:rPr>
          <w:rFonts w:ascii="Times New Roman" w:hAnsi="Times New Roman"/>
          <w:snapToGrid w:val="0"/>
          <w:color w:val="auto"/>
          <w:kern w:val="0"/>
          <w:highlight w:val="none"/>
        </w:rPr>
      </w:pPr>
    </w:p>
    <w:p w14:paraId="5C3E96B1">
      <w:pPr>
        <w:tabs>
          <w:tab w:val="left" w:pos="6300"/>
        </w:tabs>
        <w:snapToGrid w:val="0"/>
        <w:spacing w:line="360" w:lineRule="auto"/>
        <w:rPr>
          <w:rFonts w:ascii="Times New Roman" w:hAnsi="Times New Roman"/>
          <w:snapToGrid w:val="0"/>
          <w:color w:val="auto"/>
          <w:kern w:val="0"/>
          <w:highlight w:val="none"/>
        </w:rPr>
      </w:pPr>
    </w:p>
    <w:p w14:paraId="6FAD3F66">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25BFD94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00A021D8">
      <w:pPr>
        <w:tabs>
          <w:tab w:val="left" w:pos="6300"/>
        </w:tabs>
        <w:snapToGrid w:val="0"/>
        <w:spacing w:line="360" w:lineRule="auto"/>
        <w:rPr>
          <w:rFonts w:ascii="Times New Roman" w:hAnsi="Times New Roman"/>
          <w:snapToGrid w:val="0"/>
          <w:color w:val="auto"/>
          <w:kern w:val="0"/>
          <w:highlight w:val="none"/>
        </w:rPr>
      </w:pPr>
    </w:p>
    <w:p w14:paraId="3F52769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注：1.若为法定代表人办理并签署参选文件的，不提供此文件。</w:t>
      </w:r>
    </w:p>
    <w:p w14:paraId="52CDF5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2.若为联合体参选的，法定代表人授权委托书由联合体主办方（主体）出具。</w:t>
      </w:r>
    </w:p>
    <w:p w14:paraId="2FCF6E14">
      <w:pPr>
        <w:rPr>
          <w:rFonts w:ascii="Times New Roman" w:hAnsi="Times New Roman"/>
          <w:color w:val="auto"/>
          <w:highlight w:val="none"/>
        </w:rPr>
      </w:pPr>
    </w:p>
    <w:p w14:paraId="46DF3E92">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5C2A7A89">
      <w:pPr>
        <w:pStyle w:val="29"/>
        <w:rPr>
          <w:rFonts w:ascii="Times New Roman" w:hAnsi="Times New Roman"/>
          <w:color w:val="auto"/>
          <w:highlight w:val="none"/>
        </w:rPr>
      </w:pPr>
      <w:r>
        <w:rPr>
          <w:rFonts w:hint="eastAsia" w:ascii="Times New Roman" w:hAnsi="Times New Roman"/>
          <w:color w:val="auto"/>
          <w:highlight w:val="none"/>
        </w:rPr>
        <w:t>（三）书面声明</w:t>
      </w:r>
    </w:p>
    <w:p w14:paraId="5F33883B">
      <w:pPr>
        <w:tabs>
          <w:tab w:val="left" w:pos="6300"/>
        </w:tabs>
        <w:snapToGrid w:val="0"/>
        <w:spacing w:line="360" w:lineRule="auto"/>
        <w:rPr>
          <w:rFonts w:ascii="Times New Roman" w:hAnsi="Times New Roman"/>
          <w:color w:val="auto"/>
          <w:highlight w:val="none"/>
        </w:rPr>
      </w:pPr>
    </w:p>
    <w:p w14:paraId="23910262">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388363FF">
      <w:pPr>
        <w:tabs>
          <w:tab w:val="left" w:pos="6300"/>
        </w:tabs>
        <w:snapToGrid w:val="0"/>
        <w:spacing w:line="360" w:lineRule="auto"/>
        <w:rPr>
          <w:rFonts w:ascii="Times New Roman" w:hAnsi="Times New Roman"/>
          <w:color w:val="auto"/>
          <w:highlight w:val="none"/>
        </w:rPr>
      </w:pPr>
    </w:p>
    <w:p w14:paraId="476FE0E2">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3D87E69E">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6FEF9F12">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0E4DDAE3">
      <w:pPr>
        <w:tabs>
          <w:tab w:val="left" w:pos="6300"/>
        </w:tabs>
        <w:snapToGrid w:val="0"/>
        <w:spacing w:line="360" w:lineRule="auto"/>
        <w:rPr>
          <w:rFonts w:ascii="Times New Roman" w:hAnsi="Times New Roman"/>
          <w:color w:val="auto"/>
          <w:highlight w:val="none"/>
        </w:rPr>
      </w:pPr>
    </w:p>
    <w:p w14:paraId="1D66A75C">
      <w:pPr>
        <w:tabs>
          <w:tab w:val="left" w:pos="6300"/>
        </w:tabs>
        <w:snapToGrid w:val="0"/>
        <w:spacing w:line="360" w:lineRule="auto"/>
        <w:rPr>
          <w:rFonts w:ascii="Times New Roman" w:hAnsi="Times New Roman"/>
          <w:color w:val="auto"/>
          <w:highlight w:val="none"/>
        </w:rPr>
      </w:pPr>
    </w:p>
    <w:p w14:paraId="3498C00E">
      <w:pPr>
        <w:tabs>
          <w:tab w:val="left" w:pos="6300"/>
        </w:tabs>
        <w:snapToGrid w:val="0"/>
        <w:spacing w:line="360" w:lineRule="auto"/>
        <w:rPr>
          <w:rFonts w:ascii="Times New Roman" w:hAnsi="Times New Roman"/>
          <w:color w:val="auto"/>
          <w:highlight w:val="none"/>
        </w:rPr>
      </w:pPr>
    </w:p>
    <w:p w14:paraId="442CC2BD">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1785164F">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111AFE28">
      <w:pPr>
        <w:spacing w:line="360" w:lineRule="auto"/>
        <w:jc w:val="left"/>
        <w:rPr>
          <w:rFonts w:ascii="Times New Roman" w:hAnsi="Times New Roman" w:cs="等线 Light"/>
          <w:snapToGrid w:val="0"/>
          <w:color w:val="auto"/>
          <w:kern w:val="0"/>
          <w:szCs w:val="24"/>
          <w:highlight w:val="none"/>
        </w:rPr>
      </w:pPr>
    </w:p>
    <w:p w14:paraId="07928DF8">
      <w:pPr>
        <w:spacing w:line="360" w:lineRule="auto"/>
        <w:jc w:val="left"/>
        <w:rPr>
          <w:rFonts w:ascii="Times New Roman" w:hAnsi="Times New Roman" w:cs="等线 Light"/>
          <w:snapToGrid w:val="0"/>
          <w:color w:val="auto"/>
          <w:kern w:val="0"/>
          <w:szCs w:val="24"/>
          <w:highlight w:val="none"/>
        </w:rPr>
      </w:pPr>
    </w:p>
    <w:p w14:paraId="0F93031A">
      <w:pPr>
        <w:spacing w:line="360" w:lineRule="auto"/>
        <w:jc w:val="left"/>
        <w:rPr>
          <w:rFonts w:ascii="Times New Roman" w:hAnsi="Times New Roman" w:cs="等线 Light"/>
          <w:snapToGrid w:val="0"/>
          <w:color w:val="auto"/>
          <w:kern w:val="0"/>
          <w:szCs w:val="24"/>
          <w:highlight w:val="none"/>
        </w:rPr>
      </w:pPr>
    </w:p>
    <w:p w14:paraId="6D52910B">
      <w:pPr>
        <w:spacing w:line="360" w:lineRule="auto"/>
        <w:jc w:val="left"/>
        <w:rPr>
          <w:rFonts w:ascii="Times New Roman" w:hAnsi="Times New Roman" w:cs="等线 Light"/>
          <w:snapToGrid w:val="0"/>
          <w:color w:val="auto"/>
          <w:kern w:val="0"/>
          <w:szCs w:val="24"/>
          <w:highlight w:val="none"/>
        </w:rPr>
      </w:pPr>
    </w:p>
    <w:p w14:paraId="269F7134">
      <w:pPr>
        <w:spacing w:line="360" w:lineRule="auto"/>
        <w:jc w:val="left"/>
        <w:rPr>
          <w:rFonts w:ascii="Times New Roman" w:hAnsi="Times New Roman" w:cs="等线 Light"/>
          <w:snapToGrid w:val="0"/>
          <w:color w:val="auto"/>
          <w:kern w:val="0"/>
          <w:szCs w:val="24"/>
          <w:highlight w:val="none"/>
        </w:rPr>
      </w:pPr>
    </w:p>
    <w:p w14:paraId="36AA8D1A">
      <w:pPr>
        <w:spacing w:line="360" w:lineRule="auto"/>
        <w:jc w:val="left"/>
        <w:rPr>
          <w:rFonts w:ascii="Times New Roman" w:hAnsi="Times New Roman" w:cs="等线 Light"/>
          <w:snapToGrid w:val="0"/>
          <w:color w:val="auto"/>
          <w:kern w:val="0"/>
          <w:szCs w:val="24"/>
          <w:highlight w:val="none"/>
        </w:rPr>
      </w:pPr>
    </w:p>
    <w:p w14:paraId="2A46841A">
      <w:pPr>
        <w:spacing w:line="360" w:lineRule="auto"/>
        <w:jc w:val="left"/>
        <w:rPr>
          <w:rFonts w:ascii="Times New Roman" w:hAnsi="Times New Roman" w:cs="等线 Light"/>
          <w:snapToGrid w:val="0"/>
          <w:color w:val="auto"/>
          <w:kern w:val="0"/>
          <w:szCs w:val="24"/>
          <w:highlight w:val="none"/>
        </w:rPr>
      </w:pPr>
    </w:p>
    <w:p w14:paraId="07C0956D">
      <w:pPr>
        <w:rPr>
          <w:rFonts w:ascii="Times New Roman" w:hAnsi="Times New Roman"/>
          <w:b/>
          <w:bCs/>
          <w:color w:val="auto"/>
          <w:highlight w:val="none"/>
        </w:rPr>
      </w:pPr>
      <w:r>
        <w:rPr>
          <w:rFonts w:hint="eastAsia" w:ascii="Times New Roman" w:hAnsi="Times New Roman"/>
          <w:color w:val="auto"/>
          <w:kern w:val="0"/>
          <w:highlight w:val="none"/>
        </w:rPr>
        <w:br w:type="page"/>
      </w:r>
    </w:p>
    <w:p w14:paraId="287BD320">
      <w:pPr>
        <w:pStyle w:val="29"/>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47455968">
      <w:pPr>
        <w:rPr>
          <w:rFonts w:ascii="Times New Roman" w:hAnsi="Times New Roman"/>
          <w:color w:val="auto"/>
          <w:highlight w:val="none"/>
        </w:rPr>
      </w:pPr>
    </w:p>
    <w:p w14:paraId="52CAAC5B">
      <w:pPr>
        <w:rPr>
          <w:rFonts w:ascii="Times New Roman" w:hAnsi="Times New Roman"/>
          <w:color w:val="auto"/>
          <w:highlight w:val="none"/>
        </w:rPr>
      </w:pPr>
      <w:r>
        <w:rPr>
          <w:rFonts w:hint="eastAsia" w:ascii="Times New Roman" w:hAnsi="Times New Roman"/>
          <w:color w:val="auto"/>
          <w:highlight w:val="none"/>
        </w:rPr>
        <w:t>1.法人中国执行信息公开网截图</w:t>
      </w:r>
    </w:p>
    <w:p w14:paraId="1E2BF365">
      <w:pPr>
        <w:pStyle w:val="9"/>
        <w:rPr>
          <w:rFonts w:hint="eastAsia"/>
          <w:color w:val="auto"/>
          <w:highlight w:val="none"/>
        </w:rPr>
      </w:pPr>
      <w:r>
        <w:rPr>
          <w:rFonts w:hint="eastAsia" w:ascii="Times New Roman" w:hAnsi="Times New Roman"/>
          <w:color w:val="auto"/>
          <w:highlight w:val="none"/>
        </w:rPr>
        <w:t>2.法定代表人中国执行信息公开网截图</w:t>
      </w:r>
    </w:p>
    <w:p w14:paraId="598D8098">
      <w:pPr>
        <w:rPr>
          <w:rFonts w:ascii="Times New Roman" w:hAnsi="Times New Roman"/>
          <w:color w:val="auto"/>
          <w:highlight w:val="none"/>
        </w:rPr>
      </w:pPr>
    </w:p>
    <w:p w14:paraId="5B4C07F1">
      <w:pPr>
        <w:rPr>
          <w:rFonts w:ascii="Times New Roman" w:hAnsi="Times New Roman"/>
          <w:color w:val="auto"/>
          <w:highlight w:val="none"/>
        </w:rPr>
      </w:pPr>
    </w:p>
    <w:p w14:paraId="68AD0DF2">
      <w:pPr>
        <w:rPr>
          <w:rFonts w:ascii="Times New Roman" w:hAnsi="Times New Roman"/>
          <w:color w:val="auto"/>
          <w:highlight w:val="none"/>
        </w:rPr>
      </w:pPr>
    </w:p>
    <w:p w14:paraId="59845B63">
      <w:pPr>
        <w:rPr>
          <w:rFonts w:ascii="Times New Roman" w:hAnsi="Times New Roman"/>
          <w:color w:val="auto"/>
          <w:highlight w:val="none"/>
        </w:rPr>
      </w:pPr>
    </w:p>
    <w:p w14:paraId="73FE1F85">
      <w:pPr>
        <w:rPr>
          <w:rFonts w:ascii="Times New Roman" w:hAnsi="Times New Roman"/>
          <w:color w:val="auto"/>
          <w:highlight w:val="none"/>
        </w:rPr>
      </w:pPr>
      <w:r>
        <w:rPr>
          <w:rFonts w:hint="eastAsia" w:ascii="Times New Roman" w:hAnsi="Times New Roman"/>
          <w:color w:val="auto"/>
          <w:highlight w:val="none"/>
        </w:rPr>
        <w:br w:type="page"/>
      </w:r>
    </w:p>
    <w:p w14:paraId="0A0BDA8C">
      <w:pPr>
        <w:pStyle w:val="29"/>
        <w:rPr>
          <w:rFonts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）项目</w:t>
      </w:r>
      <w:r>
        <w:rPr>
          <w:rFonts w:hint="eastAsia" w:ascii="Times New Roman" w:hAnsi="Times New Roman"/>
          <w:color w:val="auto"/>
          <w:highlight w:val="none"/>
        </w:rPr>
        <w:t>实施</w:t>
      </w:r>
      <w:r>
        <w:rPr>
          <w:rFonts w:hint="eastAsia" w:ascii="Times New Roman" w:hAnsi="Times New Roman"/>
          <w:color w:val="auto"/>
          <w:highlight w:val="none"/>
          <w:lang w:val="zh-CN"/>
        </w:rPr>
        <w:t>案例</w:t>
      </w:r>
      <w:r>
        <w:rPr>
          <w:rFonts w:hint="eastAsia" w:ascii="Times New Roman" w:hAnsi="Times New Roman"/>
          <w:color w:val="auto"/>
          <w:highlight w:val="none"/>
          <w:lang w:val="en-US" w:eastAsia="zh-CN"/>
        </w:rPr>
        <w:t>证明文件</w:t>
      </w:r>
    </w:p>
    <w:p w14:paraId="74CDD939">
      <w:pPr>
        <w:rPr>
          <w:rFonts w:ascii="Times New Roman" w:hAnsi="Times New Roman"/>
          <w:color w:val="auto"/>
          <w:highlight w:val="none"/>
          <w:lang w:val="zh-CN"/>
        </w:rPr>
      </w:pPr>
      <w:r>
        <w:rPr>
          <w:rFonts w:hint="eastAsia" w:ascii="Times New Roman" w:hAnsi="Times New Roman" w:cs="Times New Roman"/>
          <w:color w:val="auto"/>
          <w:highlight w:val="none"/>
        </w:rPr>
        <w:t>（</w:t>
      </w:r>
      <w:r>
        <w:rPr>
          <w:rFonts w:hint="eastAsia"/>
          <w:color w:val="auto"/>
          <w:highlight w:val="none"/>
        </w:rPr>
        <w:t>提供合同关键页。</w:t>
      </w:r>
      <w:r>
        <w:rPr>
          <w:rFonts w:ascii="Times New Roman" w:hAnsi="Times New Roman" w:cs="Times New Roman"/>
          <w:color w:val="auto"/>
          <w:highlight w:val="none"/>
        </w:rPr>
        <w:t>此处为第一章第2条参选人资格条件所用案例</w:t>
      </w:r>
      <w:r>
        <w:rPr>
          <w:rFonts w:hint="eastAsia" w:ascii="Times New Roman" w:hAnsi="Times New Roman" w:cs="Times New Roman"/>
          <w:color w:val="auto"/>
          <w:highlight w:val="none"/>
        </w:rPr>
        <w:t>）</w:t>
      </w:r>
    </w:p>
    <w:p w14:paraId="2272C461">
      <w:pPr>
        <w:rPr>
          <w:rFonts w:ascii="Times New Roman" w:hAnsi="Times New Roman"/>
          <w:color w:val="auto"/>
          <w:highlight w:val="none"/>
          <w:lang w:val="zh-CN"/>
        </w:rPr>
      </w:pPr>
    </w:p>
    <w:p w14:paraId="07800B67">
      <w:pPr>
        <w:rPr>
          <w:rFonts w:ascii="Times New Roman" w:hAnsi="Times New Roman"/>
          <w:color w:val="auto"/>
          <w:highlight w:val="none"/>
          <w:lang w:val="zh-CN"/>
        </w:rPr>
      </w:pPr>
    </w:p>
    <w:p w14:paraId="7F716DD7">
      <w:pP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5DE3A168">
      <w:pPr>
        <w:pStyle w:val="29"/>
        <w:rPr>
          <w:rFonts w:ascii="Times New Roman" w:hAnsi="Times New Roman"/>
          <w:color w:val="auto"/>
          <w:highlight w:val="none"/>
          <w:lang w:val="zh-CN"/>
        </w:rPr>
      </w:pPr>
      <w:r>
        <w:rPr>
          <w:rFonts w:hint="eastAsia" w:ascii="Times New Roman" w:hAnsi="Times New Roman"/>
          <w:color w:val="auto"/>
          <w:highlight w:val="none"/>
        </w:rPr>
        <w:t>（六）《信息安全风险评估服务资质（一级）》资质证书</w:t>
      </w:r>
      <w:r>
        <w:rPr>
          <w:rFonts w:hint="eastAsia" w:ascii="Times New Roman" w:hAnsi="Times New Roman"/>
          <w:color w:val="auto"/>
          <w:highlight w:val="none"/>
          <w:lang w:val="en-US" w:eastAsia="zh-CN"/>
        </w:rPr>
        <w:t>复印件</w:t>
      </w:r>
    </w:p>
    <w:p w14:paraId="7C51E8D8">
      <w:pPr>
        <w:ind w:firstLine="0" w:firstLineChars="0"/>
        <w:rPr>
          <w:rFonts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color w:val="auto"/>
          <w:highlight w:val="none"/>
        </w:rPr>
        <w:t>提供资格资质。</w:t>
      </w:r>
      <w:r>
        <w:rPr>
          <w:rFonts w:ascii="Times New Roman" w:hAnsi="Times New Roman" w:cs="Times New Roman"/>
          <w:color w:val="auto"/>
          <w:highlight w:val="none"/>
        </w:rPr>
        <w:t>此处为第一章第2条参选人资格条件所用</w:t>
      </w:r>
      <w:r>
        <w:rPr>
          <w:rFonts w:hint="eastAsia" w:ascii="Times New Roman" w:hAnsi="Times New Roman" w:cs="Times New Roman"/>
          <w:color w:val="auto"/>
          <w:highlight w:val="none"/>
        </w:rPr>
        <w:t>资质文件）</w:t>
      </w:r>
    </w:p>
    <w:p w14:paraId="5153E27B">
      <w:pPr>
        <w:rPr>
          <w:rFonts w:ascii="Times New Roman" w:hAnsi="Times New Roman"/>
          <w:color w:val="auto"/>
          <w:highlight w:val="none"/>
          <w:lang w:val="zh-CN"/>
        </w:rPr>
      </w:pPr>
    </w:p>
    <w:p w14:paraId="31C40136">
      <w:pPr>
        <w:rPr>
          <w:rFonts w:ascii="Times New Roman" w:hAnsi="Times New Roman"/>
          <w:color w:val="auto"/>
          <w:highlight w:val="none"/>
          <w:lang w:val="zh-CN"/>
        </w:rPr>
      </w:pPr>
    </w:p>
    <w:p w14:paraId="1EF9BC63">
      <w:pPr>
        <w:rPr>
          <w:rFonts w:ascii="Times New Roman" w:hAnsi="Times New Roman"/>
          <w:color w:val="auto"/>
          <w:highlight w:val="none"/>
          <w:lang w:val="zh-CN"/>
        </w:rPr>
      </w:pPr>
    </w:p>
    <w:p w14:paraId="76ACE976">
      <w:pP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22B8A919">
      <w:pPr>
        <w:pStyle w:val="29"/>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ascii="Times New Roman" w:hAnsi="Times New Roman"/>
          <w:color w:val="auto"/>
          <w:highlight w:val="none"/>
        </w:rPr>
        <w:t>七</w:t>
      </w:r>
      <w:r>
        <w:rPr>
          <w:rFonts w:hint="eastAsia" w:ascii="Times New Roman" w:hAnsi="Times New Roman"/>
          <w:color w:val="auto"/>
          <w:highlight w:val="none"/>
          <w:lang w:val="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22F84CCF">
      <w:pPr>
        <w:rPr>
          <w:rFonts w:ascii="Times New Roman" w:hAnsi="Times New Roman"/>
          <w:color w:val="auto"/>
          <w:highlight w:val="none"/>
          <w:lang w:val="zh-CN"/>
        </w:rPr>
      </w:pPr>
    </w:p>
    <w:p w14:paraId="5D9DF710">
      <w:pPr>
        <w:rPr>
          <w:rFonts w:ascii="Times New Roman" w:hAnsi="Times New Roman"/>
          <w:color w:val="auto"/>
          <w:highlight w:val="none"/>
          <w:lang w:val="zh-CN"/>
        </w:rPr>
      </w:pPr>
    </w:p>
    <w:p w14:paraId="5B958BB5">
      <w:pPr>
        <w:rPr>
          <w:rFonts w:ascii="Times New Roman" w:hAnsi="Times New Roman"/>
          <w:color w:val="auto"/>
          <w:highlight w:val="none"/>
          <w:lang w:val="zh-CN"/>
        </w:rPr>
      </w:pPr>
    </w:p>
    <w:p w14:paraId="3456CFDC">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3CEA55ED">
      <w:pPr>
        <w:pStyle w:val="27"/>
        <w:rPr>
          <w:rFonts w:ascii="Times New Roman" w:hAnsi="Times New Roman"/>
          <w:color w:val="auto"/>
          <w:highlight w:val="none"/>
        </w:rPr>
      </w:pPr>
      <w:r>
        <w:rPr>
          <w:rFonts w:hint="eastAsia" w:ascii="Times New Roman" w:hAnsi="Times New Roman"/>
          <w:color w:val="auto"/>
          <w:highlight w:val="none"/>
          <w:lang w:val="en-US" w:eastAsia="zh-CN"/>
        </w:rPr>
        <w:t>三</w:t>
      </w:r>
      <w:r>
        <w:rPr>
          <w:rFonts w:ascii="Times New Roman" w:hAnsi="Times New Roman"/>
          <w:color w:val="auto"/>
          <w:highlight w:val="none"/>
        </w:rPr>
        <w:t>、响应</w:t>
      </w:r>
      <w:r>
        <w:rPr>
          <w:rFonts w:hint="eastAsia" w:ascii="Times New Roman" w:hAnsi="Times New Roman"/>
          <w:color w:val="auto"/>
          <w:highlight w:val="none"/>
          <w:lang w:val="en-US" w:eastAsia="zh-CN"/>
        </w:rPr>
        <w:t>性</w:t>
      </w:r>
      <w:r>
        <w:rPr>
          <w:rFonts w:ascii="Times New Roman" w:hAnsi="Times New Roman"/>
          <w:color w:val="auto"/>
          <w:highlight w:val="none"/>
        </w:rPr>
        <w:t>文件</w:t>
      </w:r>
    </w:p>
    <w:p w14:paraId="571A826A">
      <w:pPr>
        <w:pStyle w:val="29"/>
        <w:rPr>
          <w:rFonts w:ascii="Times New Roman" w:hAnsi="Times New Roman"/>
          <w:color w:val="auto"/>
          <w:highlight w:val="none"/>
        </w:rPr>
      </w:pPr>
      <w:r>
        <w:rPr>
          <w:rFonts w:hint="eastAsia" w:ascii="Times New Roman" w:hAnsi="Times New Roman"/>
          <w:color w:val="auto"/>
          <w:highlight w:val="none"/>
        </w:rPr>
        <w:t>（一）响应承诺函</w:t>
      </w:r>
    </w:p>
    <w:p w14:paraId="6C71E95F">
      <w:pPr>
        <w:rPr>
          <w:rFonts w:ascii="Times New Roman" w:hAnsi="Times New Roman" w:cs="Times New Roman"/>
          <w:color w:val="auto"/>
          <w:highlight w:val="none"/>
        </w:rPr>
      </w:pPr>
      <w:r>
        <w:rPr>
          <w:rFonts w:ascii="Times New Roman" w:hAnsi="Times New Roman" w:cs="Times New Roman"/>
          <w:color w:val="auto"/>
          <w:szCs w:val="28"/>
          <w:highlight w:val="none"/>
        </w:rPr>
        <w:t>项目名称</w:t>
      </w:r>
      <w:r>
        <w:rPr>
          <w:rFonts w:ascii="Times New Roman" w:hAnsi="Times New Roman" w:cs="Times New Roman"/>
          <w:color w:val="auto"/>
          <w:highlight w:val="none"/>
        </w:rPr>
        <w:t>：</w:t>
      </w:r>
    </w:p>
    <w:p w14:paraId="5082B31E">
      <w:pPr>
        <w:rPr>
          <w:rFonts w:ascii="Times New Roman" w:hAnsi="Times New Roman" w:cs="Times New Roman"/>
          <w:color w:val="auto"/>
          <w:highlight w:val="none"/>
        </w:rPr>
      </w:pPr>
    </w:p>
    <w:p w14:paraId="4F6B1E6C">
      <w:pPr>
        <w:spacing w:line="480" w:lineRule="exact"/>
        <w:ind w:firstLine="0" w:firstLineChars="0"/>
        <w:rPr>
          <w:rFonts w:ascii="Times New Roman" w:hAnsi="Times New Roman" w:cs="Times New Roman"/>
          <w:color w:val="auto"/>
          <w:highlight w:val="none"/>
        </w:rPr>
      </w:pPr>
      <w:r>
        <w:rPr>
          <w:rFonts w:ascii="Times New Roman" w:hAnsi="Times New Roman" w:cs="Times New Roman"/>
          <w:color w:val="auto"/>
          <w:highlight w:val="none"/>
        </w:rPr>
        <w:t>致：重庆三峡银行股份有限公司：</w:t>
      </w:r>
    </w:p>
    <w:p w14:paraId="61D9A65B">
      <w:pPr>
        <w:rPr>
          <w:rFonts w:ascii="Times New Roman" w:hAnsi="Times New Roman" w:cs="Times New Roman"/>
          <w:color w:val="auto"/>
          <w:highlight w:val="none"/>
        </w:rPr>
      </w:pPr>
    </w:p>
    <w:p w14:paraId="3FC425FA">
      <w:pPr>
        <w:rPr>
          <w:rFonts w:ascii="Times New Roman" w:hAnsi="Times New Roman" w:cs="Times New Roman"/>
          <w:color w:val="auto"/>
          <w:highlight w:val="none"/>
        </w:rPr>
      </w:pPr>
      <w:r>
        <w:rPr>
          <w:rFonts w:ascii="Times New Roman" w:hAnsi="Times New Roman" w:cs="Times New Roman"/>
          <w:color w:val="auto"/>
          <w:highlight w:val="none"/>
        </w:rPr>
        <w:t>我公司郑重承诺，我司完全理解并满足第三章</w:t>
      </w:r>
      <w:r>
        <w:rPr>
          <w:rFonts w:hint="eastAsia" w:ascii="Times New Roman" w:hAnsi="Times New Roman" w:cs="Times New Roman"/>
          <w:color w:val="auto"/>
          <w:highlight w:val="none"/>
        </w:rPr>
        <w:t>“</w:t>
      </w:r>
      <w:r>
        <w:rPr>
          <w:rFonts w:ascii="Times New Roman" w:hAnsi="Times New Roman" w:cs="Times New Roman"/>
          <w:color w:val="auto"/>
          <w:highlight w:val="none"/>
        </w:rPr>
        <w:t>项目要求</w:t>
      </w:r>
      <w:r>
        <w:rPr>
          <w:rFonts w:hint="eastAsia" w:ascii="Times New Roman" w:hAnsi="Times New Roman" w:cs="Times New Roman"/>
          <w:color w:val="auto"/>
          <w:highlight w:val="none"/>
        </w:rPr>
        <w:t>”</w:t>
      </w:r>
      <w:r>
        <w:rPr>
          <w:rFonts w:ascii="Times New Roman" w:hAnsi="Times New Roman" w:cs="Times New Roman"/>
          <w:color w:val="auto"/>
          <w:highlight w:val="none"/>
        </w:rPr>
        <w:t>所有条款内容</w:t>
      </w:r>
      <w:r>
        <w:rPr>
          <w:rFonts w:hint="eastAsia" w:ascii="Times New Roman" w:hAnsi="Times New Roman" w:cs="Times New Roman"/>
          <w:color w:val="auto"/>
          <w:highlight w:val="none"/>
        </w:rPr>
        <w:t>。</w:t>
      </w:r>
    </w:p>
    <w:p w14:paraId="4CC51F0A">
      <w:pPr>
        <w:rPr>
          <w:rFonts w:ascii="Times New Roman" w:hAnsi="Times New Roman" w:cs="Times New Roman"/>
          <w:color w:val="auto"/>
          <w:highlight w:val="none"/>
        </w:rPr>
      </w:pPr>
    </w:p>
    <w:p w14:paraId="3C2E5D60">
      <w:pPr>
        <w:spacing w:line="480" w:lineRule="exact"/>
        <w:rPr>
          <w:rFonts w:ascii="Times New Roman" w:hAnsi="Times New Roman" w:cs="Times New Roman"/>
          <w:color w:val="auto"/>
          <w:highlight w:val="none"/>
        </w:rPr>
      </w:pPr>
      <w:r>
        <w:rPr>
          <w:rFonts w:ascii="Times New Roman" w:hAnsi="Times New Roman" w:cs="Times New Roman"/>
          <w:color w:val="auto"/>
          <w:highlight w:val="none"/>
        </w:rPr>
        <w:t>特此承诺。</w:t>
      </w:r>
    </w:p>
    <w:p w14:paraId="7DB72374">
      <w:pPr>
        <w:tabs>
          <w:tab w:val="left" w:pos="6300"/>
        </w:tabs>
        <w:snapToGrid w:val="0"/>
        <w:spacing w:line="480" w:lineRule="exact"/>
        <w:rPr>
          <w:rFonts w:ascii="Times New Roman" w:hAnsi="Times New Roman" w:cs="Times New Roman"/>
          <w:color w:val="auto"/>
          <w:highlight w:val="none"/>
        </w:rPr>
      </w:pPr>
    </w:p>
    <w:p w14:paraId="13BA5388">
      <w:pPr>
        <w:tabs>
          <w:tab w:val="left" w:pos="6300"/>
        </w:tabs>
        <w:snapToGrid w:val="0"/>
        <w:spacing w:line="480" w:lineRule="exact"/>
        <w:rPr>
          <w:rFonts w:ascii="Times New Roman" w:hAnsi="Times New Roman" w:cs="Times New Roman"/>
          <w:color w:val="auto"/>
          <w:highlight w:val="none"/>
        </w:rPr>
      </w:pPr>
    </w:p>
    <w:p w14:paraId="1206AC6C">
      <w:pPr>
        <w:tabs>
          <w:tab w:val="left" w:pos="6300"/>
        </w:tabs>
        <w:snapToGrid w:val="0"/>
        <w:spacing w:line="480" w:lineRule="exact"/>
        <w:ind w:right="424"/>
        <w:jc w:val="right"/>
        <w:rPr>
          <w:rFonts w:ascii="Times New Roman" w:hAnsi="Times New Roman" w:cs="Times New Roman"/>
          <w:color w:val="auto"/>
          <w:highlight w:val="none"/>
        </w:rPr>
      </w:pPr>
      <w:r>
        <w:rPr>
          <w:rFonts w:ascii="Times New Roman" w:hAnsi="Times New Roman" w:cs="Times New Roman"/>
          <w:color w:val="auto"/>
          <w:highlight w:val="none"/>
        </w:rPr>
        <w:t>（</w:t>
      </w:r>
      <w:r>
        <w:rPr>
          <w:rFonts w:ascii="Times New Roman" w:hAnsi="Times New Roman" w:cs="Times New Roman"/>
          <w:snapToGrid w:val="0"/>
          <w:color w:val="auto"/>
          <w:kern w:val="0"/>
          <w:szCs w:val="24"/>
          <w:highlight w:val="none"/>
        </w:rPr>
        <w:t>参选</w:t>
      </w:r>
      <w:r>
        <w:rPr>
          <w:rFonts w:ascii="Times New Roman" w:hAnsi="Times New Roman" w:cs="Times New Roman"/>
          <w:color w:val="auto"/>
          <w:highlight w:val="none"/>
        </w:rPr>
        <w:t>人公章）</w:t>
      </w:r>
    </w:p>
    <w:p w14:paraId="215FBE5B">
      <w:pPr>
        <w:tabs>
          <w:tab w:val="left" w:pos="6300"/>
        </w:tabs>
        <w:snapToGrid w:val="0"/>
        <w:spacing w:line="480" w:lineRule="exact"/>
        <w:ind w:right="480"/>
        <w:jc w:val="right"/>
        <w:rPr>
          <w:rFonts w:ascii="Times New Roman" w:hAnsi="Times New Roman" w:cs="Times New Roman"/>
          <w:color w:val="auto"/>
          <w:highlight w:val="none"/>
        </w:rPr>
      </w:pPr>
      <w:r>
        <w:rPr>
          <w:rFonts w:ascii="Times New Roman" w:hAnsi="Times New Roman" w:cs="Times New Roman"/>
          <w:color w:val="auto"/>
          <w:highlight w:val="none"/>
        </w:rPr>
        <w:t>年   月   日</w:t>
      </w:r>
    </w:p>
    <w:p w14:paraId="0A6A7E5B">
      <w:pPr>
        <w:rPr>
          <w:rFonts w:ascii="Times New Roman" w:hAnsi="Times New Roman"/>
          <w:color w:val="auto"/>
          <w:highlight w:val="none"/>
        </w:rPr>
      </w:pPr>
    </w:p>
    <w:p w14:paraId="334B870F">
      <w:pPr>
        <w:rPr>
          <w:rFonts w:ascii="Times New Roman" w:hAnsi="Times New Roman"/>
          <w:color w:val="auto"/>
          <w:highlight w:val="none"/>
        </w:rPr>
      </w:pPr>
    </w:p>
    <w:p w14:paraId="3993B2B8">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3D487650">
      <w:pPr>
        <w:jc w:val="center"/>
        <w:outlineLvl w:val="2"/>
        <w:rPr>
          <w:rFonts w:hint="eastAsia" w:ascii="Times New Roman" w:hAnsi="Times New Roman"/>
          <w:color w:val="auto"/>
          <w:highlight w:val="none"/>
          <w:lang w:val="zh-CN"/>
        </w:rPr>
      </w:pPr>
      <w:r>
        <w:rPr>
          <w:rFonts w:hint="eastAsia" w:ascii="Times New Roman" w:hAnsi="Times New Roman"/>
          <w:color w:val="auto"/>
          <w:highlight w:val="none"/>
        </w:rPr>
        <w:t>（二）</w:t>
      </w:r>
      <w:r>
        <w:rPr>
          <w:rFonts w:hint="eastAsia" w:ascii="Times New Roman" w:hAnsi="Times New Roman"/>
          <w:color w:val="auto"/>
          <w:highlight w:val="none"/>
          <w:lang w:val="en-US" w:eastAsia="zh-CN"/>
        </w:rPr>
        <w:t>最</w:t>
      </w:r>
      <w:r>
        <w:rPr>
          <w:rFonts w:hint="eastAsia" w:ascii="Times New Roman" w:hAnsi="Times New Roman"/>
          <w:color w:val="auto"/>
          <w:sz w:val="24"/>
          <w:highlight w:val="none"/>
          <w:lang w:val="zh-CN"/>
        </w:rPr>
        <w:t>近1个月社保缴纳记录证明材料</w:t>
      </w:r>
    </w:p>
    <w:p w14:paraId="50C97E17">
      <w:pPr>
        <w:rPr>
          <w:rFonts w:ascii="Times New Roman" w:hAnsi="Times New Roman" w:cs="Times New Roman"/>
          <w:color w:val="auto"/>
          <w:highlight w:val="none"/>
        </w:rPr>
      </w:pPr>
    </w:p>
    <w:p w14:paraId="78D61DD5">
      <w:pPr>
        <w:spacing w:line="240" w:lineRule="auto"/>
        <w:rPr>
          <w:rFonts w:ascii="Times New Roman" w:hAnsi="Times New Roman" w:cs="等线 Light"/>
          <w:color w:val="auto"/>
          <w:sz w:val="21"/>
          <w:szCs w:val="21"/>
          <w:highlight w:val="none"/>
        </w:rPr>
      </w:pPr>
      <w:r>
        <w:rPr>
          <w:rFonts w:ascii="Times New Roman" w:hAnsi="Times New Roman" w:cs="等线 Light"/>
          <w:color w:val="auto"/>
          <w:sz w:val="21"/>
          <w:szCs w:val="21"/>
          <w:highlight w:val="none"/>
        </w:rPr>
        <w:br w:type="page"/>
      </w:r>
    </w:p>
    <w:p w14:paraId="09902128">
      <w:pPr>
        <w:pStyle w:val="9"/>
        <w:rPr>
          <w:color w:val="auto"/>
          <w:highlight w:val="none"/>
        </w:rPr>
        <w:sectPr>
          <w:pgSz w:w="11906" w:h="16838"/>
          <w:pgMar w:top="1440" w:right="1800" w:bottom="1440" w:left="1800" w:header="851" w:footer="992" w:gutter="0"/>
          <w:pgNumType w:fmt="decimal"/>
          <w:cols w:space="720" w:num="1"/>
          <w:docGrid w:type="lines" w:linePitch="312" w:charSpace="0"/>
        </w:sectPr>
      </w:pPr>
    </w:p>
    <w:p w14:paraId="64759254">
      <w:pPr>
        <w:jc w:val="center"/>
        <w:outlineLvl w:val="2"/>
        <w:rPr>
          <w:rFonts w:hint="eastAsia" w:ascii="Times New Roman" w:hAnsi="Times New Roman"/>
          <w:color w:val="auto"/>
          <w:highlight w:val="none"/>
          <w:lang w:val="zh-CN"/>
        </w:rPr>
      </w:pPr>
      <w:r>
        <w:rPr>
          <w:rFonts w:hint="eastAsia" w:ascii="Times New Roman" w:hAnsi="Times New Roman"/>
          <w:color w:val="auto"/>
          <w:highlight w:val="none"/>
          <w:lang w:val="zh-CN" w:eastAsia="zh-CN"/>
        </w:rPr>
        <w:t>（</w:t>
      </w:r>
      <w:r>
        <w:rPr>
          <w:rFonts w:hint="eastAsia" w:ascii="Times New Roman" w:hAnsi="Times New Roman"/>
          <w:color w:val="auto"/>
          <w:highlight w:val="none"/>
          <w:lang w:val="en-US" w:eastAsia="zh-CN"/>
        </w:rPr>
        <w:t>三</w:t>
      </w:r>
      <w:r>
        <w:rPr>
          <w:rFonts w:hint="eastAsia" w:ascii="Times New Roman" w:hAnsi="Times New Roman"/>
          <w:color w:val="auto"/>
          <w:highlight w:val="none"/>
          <w:lang w:val="zh-CN" w:eastAsia="zh-CN"/>
        </w:rPr>
        <w:t>）</w:t>
      </w:r>
      <w:r>
        <w:rPr>
          <w:rFonts w:hint="eastAsia"/>
          <w:color w:val="auto"/>
          <w:highlight w:val="none"/>
          <w:lang w:val="en-US" w:eastAsia="zh-CN"/>
        </w:rPr>
        <w:t>项目经理及项目成员</w:t>
      </w:r>
      <w:r>
        <w:rPr>
          <w:rFonts w:hint="eastAsia" w:ascii="Times New Roman" w:hAnsi="Times New Roman"/>
          <w:color w:val="auto"/>
          <w:highlight w:val="none"/>
          <w:lang w:val="zh-CN"/>
        </w:rPr>
        <w:t>个人简历</w:t>
      </w:r>
    </w:p>
    <w:p w14:paraId="5196D0A2">
      <w:pPr>
        <w:rPr>
          <w:color w:val="auto"/>
          <w:highlight w:val="none"/>
        </w:rPr>
      </w:pPr>
    </w:p>
    <w:p w14:paraId="1C55080A">
      <w:pPr>
        <w:pStyle w:val="9"/>
        <w:rPr>
          <w:rFonts w:hint="eastAsia"/>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lang w:val="en-US" w:eastAsia="zh-CN"/>
        </w:rPr>
        <w:t>（格式自拟）</w:t>
      </w:r>
    </w:p>
    <w:p w14:paraId="2A9C71D2">
      <w:pPr>
        <w:jc w:val="center"/>
        <w:outlineLvl w:val="2"/>
        <w:rPr>
          <w:rFonts w:hint="default"/>
          <w:color w:val="auto"/>
          <w:highlight w:val="none"/>
          <w:lang w:val="en-US" w:eastAsia="zh-CN"/>
        </w:rPr>
      </w:pPr>
      <w:r>
        <w:rPr>
          <w:rFonts w:hint="eastAsia" w:ascii="Times New Roman" w:hAnsi="Times New Roman"/>
          <w:color w:val="auto"/>
          <w:highlight w:val="none"/>
          <w:lang w:val="zh-CN" w:eastAsia="zh-CN"/>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lang w:val="zh-CN" w:eastAsia="zh-CN"/>
        </w:rPr>
        <w:t>）</w:t>
      </w:r>
      <w:r>
        <w:rPr>
          <w:rFonts w:hint="eastAsia" w:ascii="Times New Roman" w:hAnsi="Times New Roman"/>
          <w:color w:val="auto"/>
          <w:highlight w:val="none"/>
        </w:rPr>
        <w:t>提供服务连续性预案</w:t>
      </w:r>
    </w:p>
    <w:p w14:paraId="448EFE3B">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1A8C4CD3">
      <w:pPr>
        <w:outlineLvl w:val="2"/>
        <w:rPr>
          <w:rFonts w:hint="default"/>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701FFE6C">
      <w:pPr>
        <w:pStyle w:val="9"/>
        <w:numPr>
          <w:ilvl w:val="0"/>
          <w:numId w:val="8"/>
        </w:numPr>
        <w:jc w:val="center"/>
        <w:outlineLvl w:val="2"/>
        <w:rPr>
          <w:rFonts w:hint="eastAsia" w:ascii="Times New Roman" w:hAnsi="Times New Roman"/>
          <w:color w:val="auto"/>
          <w:highlight w:val="none"/>
        </w:rPr>
      </w:pPr>
      <w:r>
        <w:rPr>
          <w:rFonts w:hint="eastAsia" w:ascii="Times New Roman" w:hAnsi="Times New Roman"/>
          <w:color w:val="auto"/>
          <w:highlight w:val="none"/>
        </w:rPr>
        <w:t>项目实施方案</w:t>
      </w:r>
    </w:p>
    <w:p w14:paraId="1C2DD1C4">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（实施方案包括</w:t>
      </w:r>
      <w:r>
        <w:rPr>
          <w:rFonts w:hint="eastAsia" w:ascii="Times New Roman" w:hAnsi="Times New Roman"/>
          <w:color w:val="auto"/>
          <w:highlight w:val="none"/>
        </w:rPr>
        <w:t>服务计划及措施、实施方法、人员组织安排</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风险控制</w:t>
      </w:r>
      <w:r>
        <w:rPr>
          <w:rFonts w:hint="eastAsia" w:ascii="Times New Roman" w:hAnsi="Times New Roman"/>
          <w:snapToGrid w:val="0"/>
          <w:color w:val="auto"/>
          <w:kern w:val="0"/>
          <w:szCs w:val="24"/>
          <w:highlight w:val="none"/>
        </w:rPr>
        <w:t>等）</w:t>
      </w:r>
    </w:p>
    <w:p w14:paraId="6607D2EB">
      <w:pPr>
        <w:numPr>
          <w:ilvl w:val="0"/>
          <w:numId w:val="8"/>
        </w:numPr>
        <w:rPr>
          <w:rFonts w:hint="default"/>
          <w:color w:val="auto"/>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17826167">
      <w:pPr>
        <w:pStyle w:val="27"/>
        <w:rPr>
          <w:rFonts w:ascii="Times New Roman" w:hAnsi="Times New Roman"/>
          <w:color w:val="auto"/>
          <w:highlight w:val="none"/>
        </w:rPr>
      </w:pPr>
      <w:r>
        <w:rPr>
          <w:rFonts w:hint="eastAsia" w:ascii="Times New Roman" w:hAnsi="Times New Roman"/>
          <w:color w:val="auto"/>
          <w:highlight w:val="none"/>
          <w:lang w:val="en-US" w:eastAsia="zh-CN"/>
        </w:rPr>
        <w:t>四</w:t>
      </w:r>
      <w:r>
        <w:rPr>
          <w:rFonts w:ascii="Times New Roman" w:hAnsi="Times New Roman"/>
          <w:color w:val="auto"/>
          <w:highlight w:val="none"/>
        </w:rPr>
        <w:t>、参选保证金</w:t>
      </w:r>
    </w:p>
    <w:p w14:paraId="645C3F4F">
      <w:pPr>
        <w:spacing w:line="360" w:lineRule="auto"/>
        <w:rPr>
          <w:rFonts w:ascii="Times New Roman" w:hAnsi="Times New Roman" w:cs="等线 Light"/>
          <w:color w:val="auto"/>
          <w:highlight w:val="none"/>
        </w:rPr>
      </w:pPr>
    </w:p>
    <w:p w14:paraId="6D44D2D2">
      <w:pPr>
        <w:spacing w:line="360" w:lineRule="auto"/>
        <w:rPr>
          <w:rFonts w:ascii="Times New Roman" w:hAnsi="Times New Roman" w:cs="等线 Light"/>
          <w:color w:val="auto"/>
          <w:highlight w:val="none"/>
        </w:rPr>
      </w:pPr>
    </w:p>
    <w:p w14:paraId="1AABBD8F">
      <w:pPr>
        <w:spacing w:line="360" w:lineRule="auto"/>
        <w:rPr>
          <w:rFonts w:ascii="Times New Roman" w:hAnsi="Times New Roman" w:cs="等线 Light"/>
          <w:color w:val="auto"/>
          <w:highlight w:val="none"/>
        </w:rPr>
      </w:pPr>
    </w:p>
    <w:p w14:paraId="579844F9">
      <w:pPr>
        <w:spacing w:line="360" w:lineRule="auto"/>
        <w:rPr>
          <w:rFonts w:ascii="Times New Roman" w:hAnsi="Times New Roman" w:cs="等线 Light"/>
          <w:color w:val="auto"/>
          <w:highlight w:val="none"/>
        </w:rPr>
      </w:pPr>
    </w:p>
    <w:p w14:paraId="0359EE0B">
      <w:pPr>
        <w:spacing w:line="360" w:lineRule="auto"/>
        <w:rPr>
          <w:rFonts w:ascii="Times New Roman" w:hAnsi="Times New Roman" w:cs="等线 Light"/>
          <w:color w:val="auto"/>
          <w:highlight w:val="none"/>
        </w:rPr>
      </w:pPr>
    </w:p>
    <w:p w14:paraId="47456554">
      <w:pPr>
        <w:spacing w:line="360" w:lineRule="auto"/>
        <w:rPr>
          <w:rFonts w:ascii="Times New Roman" w:hAnsi="Times New Roman" w:cs="等线 Light"/>
          <w:color w:val="auto"/>
          <w:highlight w:val="none"/>
        </w:rPr>
      </w:pPr>
    </w:p>
    <w:p w14:paraId="28CD60BF">
      <w:pPr>
        <w:spacing w:line="360" w:lineRule="auto"/>
        <w:rPr>
          <w:rFonts w:ascii="Times New Roman" w:hAnsi="Times New Roman" w:cs="等线 Light"/>
          <w:color w:val="auto"/>
          <w:highlight w:val="none"/>
        </w:rPr>
      </w:pPr>
    </w:p>
    <w:p w14:paraId="2EBA9ABE">
      <w:pPr>
        <w:spacing w:line="360" w:lineRule="auto"/>
        <w:rPr>
          <w:rFonts w:ascii="Times New Roman" w:hAnsi="Times New Roman" w:cs="等线 Light"/>
          <w:color w:val="auto"/>
          <w:highlight w:val="none"/>
        </w:rPr>
      </w:pPr>
    </w:p>
    <w:p w14:paraId="475D5980">
      <w:pPr>
        <w:spacing w:line="360" w:lineRule="auto"/>
        <w:rPr>
          <w:rFonts w:ascii="Times New Roman" w:hAnsi="Times New Roman" w:cs="等线 Light"/>
          <w:color w:val="auto"/>
          <w:highlight w:val="none"/>
        </w:rPr>
      </w:pPr>
    </w:p>
    <w:p w14:paraId="582AD66C">
      <w:pPr>
        <w:spacing w:line="360" w:lineRule="auto"/>
        <w:rPr>
          <w:rFonts w:ascii="Times New Roman" w:hAnsi="Times New Roman" w:cs="等线 Light"/>
          <w:color w:val="auto"/>
          <w:highlight w:val="none"/>
        </w:rPr>
      </w:pPr>
    </w:p>
    <w:p w14:paraId="15AEDA4A">
      <w:pPr>
        <w:spacing w:line="360" w:lineRule="auto"/>
        <w:rPr>
          <w:rFonts w:ascii="Times New Roman" w:hAnsi="Times New Roman" w:cs="等线 Light"/>
          <w:color w:val="auto"/>
          <w:highlight w:val="none"/>
        </w:rPr>
      </w:pPr>
    </w:p>
    <w:p w14:paraId="785C3179">
      <w:pPr>
        <w:spacing w:line="360" w:lineRule="auto"/>
        <w:rPr>
          <w:rFonts w:ascii="Times New Roman" w:hAnsi="Times New Roman" w:cs="等线 Light"/>
          <w:color w:val="auto"/>
          <w:highlight w:val="none"/>
        </w:rPr>
      </w:pPr>
    </w:p>
    <w:p w14:paraId="375699FA">
      <w:pPr>
        <w:spacing w:line="360" w:lineRule="auto"/>
        <w:rPr>
          <w:rFonts w:ascii="Times New Roman" w:hAnsi="Times New Roman" w:cs="等线 Light"/>
          <w:color w:val="auto"/>
          <w:highlight w:val="none"/>
        </w:rPr>
      </w:pPr>
    </w:p>
    <w:p w14:paraId="415F16D8">
      <w:pPr>
        <w:spacing w:line="360" w:lineRule="auto"/>
        <w:rPr>
          <w:rFonts w:ascii="Times New Roman" w:hAnsi="Times New Roman" w:cs="等线 Light"/>
          <w:color w:val="auto"/>
          <w:highlight w:val="none"/>
        </w:rPr>
      </w:pPr>
    </w:p>
    <w:p w14:paraId="61319816">
      <w:pPr>
        <w:spacing w:line="360" w:lineRule="auto"/>
        <w:rPr>
          <w:rFonts w:ascii="Times New Roman" w:hAnsi="Times New Roman" w:cs="等线 Light"/>
          <w:color w:val="auto"/>
          <w:highlight w:val="none"/>
        </w:rPr>
      </w:pPr>
    </w:p>
    <w:p w14:paraId="15F1F1E3">
      <w:pPr>
        <w:spacing w:line="360" w:lineRule="auto"/>
        <w:rPr>
          <w:rFonts w:ascii="Times New Roman" w:hAnsi="Times New Roman" w:cs="等线 Light"/>
          <w:color w:val="auto"/>
          <w:highlight w:val="none"/>
        </w:rPr>
      </w:pPr>
    </w:p>
    <w:p w14:paraId="71471E91">
      <w:pPr>
        <w:spacing w:line="360" w:lineRule="auto"/>
        <w:rPr>
          <w:rFonts w:ascii="Times New Roman" w:hAnsi="Times New Roman" w:cs="等线 Light"/>
          <w:color w:val="auto"/>
          <w:highlight w:val="none"/>
        </w:rPr>
      </w:pPr>
    </w:p>
    <w:p w14:paraId="7CF3AEA7">
      <w:pPr>
        <w:spacing w:line="360" w:lineRule="auto"/>
        <w:rPr>
          <w:rFonts w:ascii="Times New Roman" w:hAnsi="Times New Roman" w:cs="等线 Light"/>
          <w:color w:val="auto"/>
          <w:highlight w:val="none"/>
        </w:rPr>
      </w:pPr>
    </w:p>
    <w:p w14:paraId="7F1E636B">
      <w:pPr>
        <w:adjustRightInd w:val="0"/>
        <w:snapToGrid w:val="0"/>
        <w:spacing w:line="360" w:lineRule="auto"/>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952"/>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NDvGdUA&#10;AAAIAQAADwAAAAAAAAABACAAAAAiAAAAZHJzL2Rvd25yZXYueG1sUEsBAhQAFAAAAAgAh07iQCVW&#10;dbUiAgAAKAQAAA4AAAAAAAAAAQAgAAAAJAEAAGRycy9lMm9Eb2MueG1sUEsFBgAAAAAGAAYAWQEA&#10;ALgFAAAAAA==&#10;">
                <v:fill on="f" focussize="0,0"/>
                <v:stroke weight="0.25pt" color="#000000" joinstyle="miter"/>
                <v:imagedata o:title=""/>
                <o:lock v:ext="edit" aspectratio="f"/>
              </v:line>
            </w:pict>
          </mc:Fallback>
        </mc:AlternateContent>
      </w:r>
    </w:p>
    <w:p w14:paraId="6B916C1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29BC0DAD">
      <w:pPr>
        <w:spacing w:line="360" w:lineRule="auto"/>
        <w:rPr>
          <w:rFonts w:ascii="Times New Roman" w:hAnsi="Times New Roman" w:cs="等线 Light"/>
          <w:color w:val="auto"/>
          <w:sz w:val="21"/>
          <w:szCs w:val="21"/>
          <w:highlight w:val="none"/>
        </w:rPr>
      </w:pPr>
    </w:p>
    <w:p w14:paraId="7B3C5D07">
      <w:pPr>
        <w:spacing w:line="360" w:lineRule="auto"/>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23482F13">
      <w:pPr>
        <w:pStyle w:val="27"/>
        <w:rPr>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w:t>
      </w:r>
      <w:r>
        <w:rPr>
          <w:color w:val="auto"/>
          <w:highlight w:val="none"/>
          <w:lang w:val="zh-CN"/>
        </w:rPr>
        <w:t>项目</w:t>
      </w:r>
      <w:r>
        <w:rPr>
          <w:color w:val="auto"/>
          <w:highlight w:val="none"/>
        </w:rPr>
        <w:t>实施</w:t>
      </w:r>
      <w:r>
        <w:rPr>
          <w:color w:val="auto"/>
          <w:highlight w:val="none"/>
          <w:lang w:val="zh-CN"/>
        </w:rPr>
        <w:t>案例</w:t>
      </w:r>
      <w:r>
        <w:rPr>
          <w:color w:val="auto"/>
          <w:highlight w:val="none"/>
        </w:rPr>
        <w:t>、服务能力和人员配置证明文件复印件（如有）</w:t>
      </w:r>
    </w:p>
    <w:p w14:paraId="5B5212B3">
      <w:pPr>
        <w:rPr>
          <w:rFonts w:hint="eastAsia"/>
          <w:color w:val="auto"/>
          <w:highlight w:val="none"/>
        </w:rPr>
      </w:pPr>
      <w:r>
        <w:rPr>
          <w:rFonts w:hint="eastAsia"/>
          <w:color w:val="auto"/>
          <w:highlight w:val="none"/>
          <w:lang w:val="en-US" w:eastAsia="zh-CN"/>
        </w:rPr>
        <w:t>注：</w:t>
      </w:r>
      <w:r>
        <w:rPr>
          <w:color w:val="auto"/>
          <w:highlight w:val="none"/>
        </w:rPr>
        <w:t>此处案例为第四章评审办法所用案例</w:t>
      </w:r>
      <w:r>
        <w:rPr>
          <w:rFonts w:hint="eastAsia"/>
          <w:color w:val="auto"/>
          <w:highlight w:val="none"/>
        </w:rPr>
        <w:t>，参选人可将除资格业绩的其他业绩、案例放于此处（如有）。</w:t>
      </w:r>
    </w:p>
    <w:p w14:paraId="192535BB">
      <w:pPr>
        <w:ind w:firstLine="0" w:firstLineChars="0"/>
        <w:rPr>
          <w:rFonts w:ascii="Times New Roman" w:hAnsi="Times New Roman"/>
          <w:color w:val="auto"/>
          <w:highlight w:val="none"/>
        </w:rPr>
      </w:pPr>
      <w:r>
        <w:rPr>
          <w:rFonts w:ascii="Times New Roman" w:hAnsi="Times New Roman"/>
          <w:color w:val="auto"/>
          <w:highlight w:val="none"/>
        </w:rPr>
        <w:br w:type="page"/>
      </w:r>
    </w:p>
    <w:p w14:paraId="526A1DEE">
      <w:pPr>
        <w:rPr>
          <w:rFonts w:hint="eastAsia"/>
          <w:color w:val="auto"/>
          <w:highlight w:val="none"/>
        </w:rPr>
      </w:pPr>
    </w:p>
    <w:p w14:paraId="2B78F259">
      <w:pPr>
        <w:pStyle w:val="27"/>
        <w:numPr>
          <w:ilvl w:val="0"/>
          <w:numId w:val="9"/>
        </w:numPr>
        <w:rPr>
          <w:rFonts w:ascii="Times New Roman" w:hAnsi="Times New Roman"/>
          <w:color w:val="auto"/>
          <w:highlight w:val="none"/>
          <w:lang w:val="en-US" w:eastAsia="zh-CN"/>
        </w:rPr>
      </w:pPr>
      <w:r>
        <w:rPr>
          <w:rFonts w:hint="eastAsia" w:ascii="Times New Roman" w:hAnsi="Times New Roman"/>
          <w:color w:val="auto"/>
          <w:highlight w:val="none"/>
          <w:lang w:val="en-US" w:eastAsia="zh-CN"/>
        </w:rPr>
        <w:t>服务承诺</w:t>
      </w:r>
      <w:r>
        <w:rPr>
          <w:rFonts w:ascii="Times New Roman" w:hAnsi="Times New Roman"/>
          <w:color w:val="auto"/>
          <w:highlight w:val="none"/>
          <w:lang w:val="en-US" w:eastAsia="zh-CN"/>
        </w:rPr>
        <w:t>（如有）</w:t>
      </w:r>
    </w:p>
    <w:p w14:paraId="25BE2F3D">
      <w:pPr>
        <w:numPr>
          <w:ilvl w:val="-1"/>
          <w:numId w:val="0"/>
        </w:numPr>
        <w:ind w:firstLine="0" w:firstLineChars="0"/>
        <w:jc w:val="center"/>
        <w:rPr>
          <w:color w:val="auto"/>
          <w:highlight w:val="none"/>
        </w:rPr>
      </w:pPr>
      <w:r>
        <w:rPr>
          <w:rFonts w:hint="eastAsia" w:ascii="Times New Roman" w:hAnsi="Times New Roman"/>
          <w:color w:val="auto"/>
          <w:highlight w:val="none"/>
          <w:lang w:val="en-US" w:eastAsia="zh-CN"/>
        </w:rPr>
        <w:t>（格式自拟）</w:t>
      </w:r>
    </w:p>
    <w:p w14:paraId="3F54EC96">
      <w:pPr>
        <w:rPr>
          <w:rFonts w:ascii="Times New Roman" w:hAnsi="Times New Roman"/>
          <w:color w:val="auto"/>
          <w:highlight w:val="none"/>
        </w:rPr>
      </w:pPr>
      <w:r>
        <w:rPr>
          <w:rFonts w:hint="eastAsia" w:ascii="Times New Roman" w:hAnsi="Times New Roman"/>
          <w:color w:val="auto"/>
          <w:kern w:val="0"/>
          <w:highlight w:val="none"/>
        </w:rPr>
        <w:br w:type="page"/>
      </w:r>
    </w:p>
    <w:p w14:paraId="4402A08E">
      <w:pPr>
        <w:pStyle w:val="27"/>
        <w:rPr>
          <w:rFonts w:ascii="Times New Roman" w:hAnsi="Times New Roman"/>
          <w:color w:val="auto"/>
          <w:highlight w:val="none"/>
        </w:rPr>
      </w:pPr>
      <w:r>
        <w:rPr>
          <w:rFonts w:hint="eastAsia" w:ascii="Times New Roman" w:hAnsi="Times New Roman"/>
          <w:color w:val="auto"/>
          <w:highlight w:val="none"/>
          <w:lang w:val="en-US" w:eastAsia="zh-CN"/>
        </w:rPr>
        <w:t>七</w:t>
      </w:r>
      <w:r>
        <w:rPr>
          <w:rFonts w:ascii="Times New Roman" w:hAnsi="Times New Roman"/>
          <w:color w:val="auto"/>
          <w:highlight w:val="none"/>
        </w:rPr>
        <w:t>、服务水平协议（SLA）</w:t>
      </w:r>
    </w:p>
    <w:tbl>
      <w:tblPr>
        <w:tblStyle w:val="21"/>
        <w:tblW w:w="964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10"/>
        <w:gridCol w:w="1134"/>
        <w:gridCol w:w="1701"/>
        <w:gridCol w:w="1842"/>
        <w:gridCol w:w="1843"/>
        <w:gridCol w:w="1843"/>
      </w:tblGrid>
      <w:tr w14:paraId="22DD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8AD8B">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序号</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B1FA74">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服务内容</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93DE0">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服务定义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5FD83">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服务标准</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37DFC">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指标计算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0EB56">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服务水平要求</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E18F6">
            <w:pPr>
              <w:widowControl/>
              <w:snapToGrid w:val="0"/>
              <w:spacing w:line="360" w:lineRule="exact"/>
              <w:ind w:firstLine="0" w:firstLineChars="0"/>
              <w:rPr>
                <w:rFonts w:hint="eastAsia" w:ascii="宋体"/>
                <w:b/>
                <w:color w:val="auto"/>
                <w:sz w:val="21"/>
                <w:szCs w:val="21"/>
                <w:highlight w:val="none"/>
              </w:rPr>
            </w:pPr>
            <w:r>
              <w:rPr>
                <w:rFonts w:hint="eastAsia" w:ascii="宋体"/>
                <w:b/>
                <w:color w:val="auto"/>
                <w:sz w:val="21"/>
                <w:szCs w:val="21"/>
                <w:highlight w:val="none"/>
              </w:rPr>
              <w:t>违约金标准</w:t>
            </w:r>
          </w:p>
        </w:tc>
      </w:tr>
      <w:tr w14:paraId="066D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77DAA">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1</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D3A5F">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任务响应</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93CA0">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衡量乙方在需求与问题响应方面的能力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7DA2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乙方在收到甲方任务后2个工作日内，向甲方反馈确认任务的实施方案、计划和工作量等</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C75BE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甲方应当明确任务提出时间，乙方应当向甲方发出一个确认任务响应信息</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880C4">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乙方不得违反承诺响应时间</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2389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如违反承诺的响应时间要求，每次扣除1000元违约金</w:t>
            </w:r>
          </w:p>
        </w:tc>
      </w:tr>
      <w:tr w14:paraId="6093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A6461">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2</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23949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任务完成情况</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F63F4">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衡量乙方按计划完成任务的能力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50F63">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乙方应当在双方确认的时间内完成任务</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A807C">
            <w:pPr>
              <w:widowControl/>
              <w:snapToGrid w:val="0"/>
              <w:spacing w:line="360" w:lineRule="exact"/>
              <w:ind w:firstLine="0" w:firstLineChars="0"/>
              <w:jc w:val="left"/>
              <w:rPr>
                <w:rFonts w:hint="eastAsia" w:ascii="宋体"/>
                <w:color w:val="auto"/>
                <w:sz w:val="21"/>
                <w:szCs w:val="21"/>
                <w:highlight w:val="none"/>
                <w:shd w:val="solid" w:color="FFFF00" w:fill="FFFFFF"/>
              </w:rPr>
            </w:pPr>
            <w:r>
              <w:rPr>
                <w:rFonts w:hint="eastAsia" w:ascii="宋体"/>
                <w:color w:val="auto"/>
                <w:sz w:val="21"/>
                <w:szCs w:val="21"/>
                <w:highlight w:val="none"/>
              </w:rPr>
              <w:t>任务完成及时率＝（规定时间内完成任务的次数/总任务数）×100%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2CF2D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任务完成及时率≥90%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4D2A9">
            <w:pPr>
              <w:widowControl/>
              <w:snapToGrid w:val="0"/>
              <w:spacing w:line="360" w:lineRule="exact"/>
              <w:jc w:val="left"/>
              <w:rPr>
                <w:rFonts w:hint="eastAsia" w:ascii="宋体"/>
                <w:color w:val="auto"/>
                <w:sz w:val="21"/>
                <w:szCs w:val="21"/>
                <w:highlight w:val="none"/>
              </w:rPr>
            </w:pPr>
          </w:p>
        </w:tc>
      </w:tr>
      <w:tr w14:paraId="4A14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6CB49">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3</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C3A56">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项目延期</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81A6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衡量乙方对项目整体实施进度的控制能力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90C5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乙方原因导致的项目进度偏差</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AFB3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按项目计划为基准计算进度偏差天数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642A9">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进度偏差率=进度偏差天数/项目计划中进度天数（进度偏差率≤20%）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592C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20%＜进度偏差率≤30%，每偏差一天按合同金额的0.1%罚款，进度偏差率＞30%并且延期3个月以上，罚款合同金额的10%</w:t>
            </w:r>
          </w:p>
        </w:tc>
      </w:tr>
      <w:tr w14:paraId="7E16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2719C">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4</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F9A4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交付文档数量及质量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01B3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衡量甲方内部人员对乙方所提供文档的满意情况</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02D8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交付文档数量及质量满足甲方要求</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1362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甲方根据乙方实际交付的文档数量及文档质量计算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40B174">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文档实际交付数量不少于甲方要求数量（文档实际交付数量是指文档交付甲方后甲方确认文档质量并实际接收的文档数量）</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C174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文档每缺少一个扣除合同金额2000元；每有一个文档质量不合格扣除合同金额2000元</w:t>
            </w:r>
          </w:p>
        </w:tc>
      </w:tr>
      <w:tr w14:paraId="47EB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AADBC">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5</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4514E">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人力资源投入及人员稳定性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D73E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衡量乙方人员服务的符合度及人员稳定性</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A31E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投入人员情况符合投标文件或合同要求，乙方项目组人员变动比例不得高于30%</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E50B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甲方按合同要求判定乙方人员投入及变动情况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3B8B0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人员数量差异=承诺人数-实际人数</w:t>
            </w:r>
          </w:p>
          <w:p w14:paraId="1979DB4B">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人员变动率=人员变动人数/原项目组人员总人数（人员数量差异≤2；</w:t>
            </w:r>
            <w:r>
              <w:rPr>
                <w:rFonts w:ascii="Times New Roman" w:hAnsi="Times New Roman" w:cs="Times New Roman"/>
                <w:color w:val="auto"/>
                <w:sz w:val="21"/>
                <w:szCs w:val="21"/>
                <w:highlight w:val="none"/>
              </w:rPr>
              <w:t>项目经理和关键实施人员不得变动；人员变动率≤30%）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05DA9">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项目经理及</w:t>
            </w:r>
            <w:r>
              <w:rPr>
                <w:rFonts w:ascii="Times New Roman" w:hAnsi="Times New Roman" w:cs="Times New Roman"/>
                <w:color w:val="auto"/>
                <w:sz w:val="21"/>
                <w:szCs w:val="21"/>
                <w:highlight w:val="none"/>
              </w:rPr>
              <w:t>关键实施人员</w:t>
            </w:r>
            <w:r>
              <w:rPr>
                <w:rFonts w:hint="eastAsia" w:ascii="Times New Roman" w:hAnsi="Times New Roman" w:cs="Times New Roman"/>
                <w:color w:val="auto"/>
                <w:sz w:val="21"/>
                <w:szCs w:val="21"/>
                <w:highlight w:val="none"/>
              </w:rPr>
              <w:t>异常</w:t>
            </w:r>
            <w:r>
              <w:rPr>
                <w:rFonts w:ascii="Times New Roman" w:hAnsi="Times New Roman" w:cs="Times New Roman"/>
                <w:color w:val="auto"/>
                <w:sz w:val="21"/>
                <w:szCs w:val="21"/>
                <w:highlight w:val="none"/>
              </w:rPr>
              <w:t>变动扣除2万元，服务人员变动高于30%，扣除合同金额10%的违约金</w:t>
            </w:r>
          </w:p>
        </w:tc>
      </w:tr>
      <w:tr w14:paraId="68F0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B4D7E">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6</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DC8E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人员异常退出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22D99">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衡量乙方人员是否提供持续服务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CE816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未经甲方同意，乙方人员辞职和离职或无计划的调离项目组</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434D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甲方根据乙方人员退出的具体时间和原因测算</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71B1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人员异常退出次数=0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1486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每次人员异常退出扣除乙方金额人民币10000元</w:t>
            </w:r>
          </w:p>
        </w:tc>
      </w:tr>
      <w:tr w14:paraId="0267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5F5FD">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7</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A49F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人员纪律性</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2003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衡量乙方人员是否遵守甲方的日常规章和操作规范</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A61F2">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乙方人员不得违反甲方的各项规章制度和操作规范</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C797A">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甲方根据自身检查及其他管理部门的检查结果为依据统计乙方人员违规次数。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96289">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员违规次数=0次</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B300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乙方人员违规每次扣除乙方金额人民币500元</w:t>
            </w:r>
          </w:p>
        </w:tc>
      </w:tr>
      <w:tr w14:paraId="3747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71B6B">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8</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295D8">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网络安全事件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D69F6">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控制网络安全风险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03DB84">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不得因乙方原因（含乙方合作的第三方）导致甲方发生网络安全事件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3325AC">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甲方根据监管及本行要求及事件危害程度判定。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AFFA1">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网络安全事件=0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28A36">
            <w:pPr>
              <w:widowControl/>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每发生一次网络安全事件扣除乙方合同金额不低于3%,并要求乙方赔偿实际损失。</w:t>
            </w:r>
          </w:p>
        </w:tc>
      </w:tr>
      <w:tr w14:paraId="4604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05BA4">
            <w:pPr>
              <w:widowControl/>
              <w:snapToGrid w:val="0"/>
              <w:spacing w:line="360" w:lineRule="exact"/>
              <w:ind w:firstLine="0" w:firstLineChars="0"/>
              <w:jc w:val="center"/>
              <w:rPr>
                <w:rFonts w:hint="eastAsia" w:ascii="宋体"/>
                <w:color w:val="auto"/>
                <w:sz w:val="21"/>
                <w:szCs w:val="21"/>
                <w:highlight w:val="none"/>
              </w:rPr>
            </w:pPr>
            <w:r>
              <w:rPr>
                <w:rFonts w:hint="eastAsia" w:ascii="宋体"/>
                <w:color w:val="auto"/>
                <w:sz w:val="21"/>
                <w:szCs w:val="21"/>
                <w:highlight w:val="none"/>
              </w:rPr>
              <w:t>9</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710F4C">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外包安全事件</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220E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控制外包操作风险</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9368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乙方不得出现危害甲方生产运行安全、数据安全等外包安全事件。</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934AD">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甲方根据监管要求及时间的危害程度判定</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D232C">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E256A6">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每次事件扣除乙方金额不低于人民币1000元，并要求乙方赔偿实际损失。</w:t>
            </w:r>
          </w:p>
        </w:tc>
      </w:tr>
      <w:tr w14:paraId="77E1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4EDD0">
            <w:pPr>
              <w:widowControl/>
              <w:snapToGrid w:val="0"/>
              <w:spacing w:line="360" w:lineRule="exact"/>
              <w:ind w:firstLine="0" w:firstLineChars="0"/>
              <w:jc w:val="center"/>
              <w:rPr>
                <w:rFonts w:hint="eastAsia" w:ascii="宋体"/>
                <w:color w:val="auto"/>
                <w:sz w:val="21"/>
                <w:szCs w:val="21"/>
                <w:highlight w:val="none"/>
              </w:rPr>
            </w:pPr>
            <w:r>
              <w:rPr>
                <w:rFonts w:hint="eastAsia" w:ascii="Times New Roman" w:hAnsi="Times New Roman" w:cs="Times New Roman"/>
                <w:color w:val="auto"/>
                <w:sz w:val="21"/>
                <w:szCs w:val="21"/>
                <w:highlight w:val="none"/>
              </w:rPr>
              <w:t>10</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18A54">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服务质量</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23093">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衡量乙方安全评估和安全渗透测试服务质量和服务能力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9F14A">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16"/>
                <w:highlight w:val="none"/>
              </w:rPr>
              <w:t>乙方不得出现因其安全评估及测试方法不当或安全评估及测试质量不合格等问题造成漏洞未及时被发现并导致甲方被监管机构通报、批评或提醒谈话。</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6DC75">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出现因乙方</w:t>
            </w:r>
            <w:r>
              <w:rPr>
                <w:rFonts w:hint="eastAsia" w:ascii="Times New Roman" w:hAnsi="Times New Roman" w:cs="Times New Roman"/>
                <w:color w:val="auto"/>
                <w:sz w:val="21"/>
                <w:szCs w:val="16"/>
                <w:highlight w:val="none"/>
              </w:rPr>
              <w:t>安全评估方法不当或安全测试质量不合格等问题导致甲方被监管机构通报、批评或提醒谈话的次数。</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77F21">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16"/>
                <w:highlight w:val="none"/>
              </w:rPr>
              <w:t>通报、批评或提醒谈话次数=0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7570E">
            <w:pPr>
              <w:widowControl/>
              <w:snapToGrid w:val="0"/>
              <w:spacing w:line="360" w:lineRule="exact"/>
              <w:ind w:firstLine="0" w:firstLineChars="0"/>
              <w:jc w:val="left"/>
              <w:rPr>
                <w:rFonts w:hint="eastAsia" w:ascii="宋体"/>
                <w:color w:val="auto"/>
                <w:sz w:val="21"/>
                <w:szCs w:val="21"/>
                <w:highlight w:val="none"/>
              </w:rPr>
            </w:pPr>
            <w:r>
              <w:rPr>
                <w:rFonts w:hint="eastAsia" w:ascii="Times New Roman" w:hAnsi="Times New Roman" w:cs="Times New Roman"/>
                <w:color w:val="auto"/>
                <w:sz w:val="21"/>
                <w:szCs w:val="21"/>
                <w:highlight w:val="none"/>
              </w:rPr>
              <w:t>出现一起因乙方</w:t>
            </w:r>
            <w:r>
              <w:rPr>
                <w:rFonts w:hint="eastAsia" w:ascii="Times New Roman" w:hAnsi="Times New Roman" w:cs="Times New Roman"/>
                <w:color w:val="auto"/>
                <w:sz w:val="21"/>
                <w:szCs w:val="16"/>
                <w:highlight w:val="none"/>
              </w:rPr>
              <w:t>安全评估方法不当或安全测试质量不合格等问题造成漏洞未及时被发现并导致甲方被监管机构通报、批评或提醒谈话的，甲方有权扣除合同金额5%，</w:t>
            </w:r>
            <w:r>
              <w:rPr>
                <w:rFonts w:hint="eastAsia"/>
                <w:color w:val="auto"/>
                <w:sz w:val="21"/>
                <w:szCs w:val="21"/>
                <w:highlight w:val="none"/>
              </w:rPr>
              <w:t>并要求乙方赔偿相关损失</w:t>
            </w:r>
            <w:r>
              <w:rPr>
                <w:color w:val="auto"/>
                <w:sz w:val="21"/>
                <w:szCs w:val="21"/>
                <w:highlight w:val="none"/>
              </w:rPr>
              <w:t>。</w:t>
            </w:r>
          </w:p>
        </w:tc>
      </w:tr>
      <w:tr w14:paraId="08A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07E76">
            <w:pPr>
              <w:widowControl/>
              <w:snapToGrid w:val="0"/>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合计</w:t>
            </w:r>
          </w:p>
        </w:tc>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86205">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37990">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此数据是衡量满足要求的SLA个数与整体SLA个数的百分之整体的比率</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FD76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衡量乙方达到要求的SLA占全部SLA的百分比。</w:t>
            </w: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E744C">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为了这个度量报告，需要持续汇报SOW中所有SLA情况。</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EFF18">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SLA满足率＝（满足SLA的个数/总体SLA的个数）×100%（SLA满足率≥70%）</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1261">
            <w:pPr>
              <w:widowControl/>
              <w:snapToGrid w:val="0"/>
              <w:spacing w:line="360" w:lineRule="exact"/>
              <w:ind w:firstLine="0" w:firstLineChars="0"/>
              <w:jc w:val="left"/>
              <w:rPr>
                <w:rFonts w:hint="eastAsia" w:ascii="宋体"/>
                <w:color w:val="auto"/>
                <w:sz w:val="21"/>
                <w:szCs w:val="21"/>
                <w:highlight w:val="none"/>
              </w:rPr>
            </w:pPr>
            <w:r>
              <w:rPr>
                <w:rFonts w:hint="eastAsia" w:ascii="宋体"/>
                <w:color w:val="auto"/>
                <w:sz w:val="21"/>
                <w:szCs w:val="21"/>
                <w:highlight w:val="none"/>
              </w:rPr>
              <w:t>SLA满足率每低于标准5%，扣除合同金额的1%</w:t>
            </w:r>
          </w:p>
        </w:tc>
      </w:tr>
    </w:tbl>
    <w:p w14:paraId="71472F39">
      <w:pPr>
        <w:rPr>
          <w:rFonts w:hint="eastAsia"/>
          <w:color w:val="auto"/>
          <w:highlight w:val="none"/>
        </w:rPr>
      </w:pPr>
      <w:r>
        <w:rPr>
          <w:color w:val="auto"/>
          <w:highlight w:val="none"/>
        </w:rPr>
        <w:br w:type="page"/>
      </w:r>
    </w:p>
    <w:p w14:paraId="6EF602C8">
      <w:pPr>
        <w:pStyle w:val="27"/>
        <w:rPr>
          <w:rFonts w:ascii="Times New Roman" w:hAnsi="Times New Roman"/>
          <w:color w:val="auto"/>
          <w:highlight w:val="none"/>
        </w:rPr>
      </w:pPr>
      <w:r>
        <w:rPr>
          <w:rFonts w:hint="eastAsia" w:ascii="Times New Roman" w:hAnsi="Times New Roman"/>
          <w:color w:val="auto"/>
          <w:highlight w:val="none"/>
          <w:lang w:val="en-US" w:eastAsia="zh-CN"/>
        </w:rPr>
        <w:t>八</w:t>
      </w:r>
      <w:r>
        <w:rPr>
          <w:rFonts w:ascii="Times New Roman" w:hAnsi="Times New Roman"/>
          <w:color w:val="auto"/>
          <w:highlight w:val="none"/>
        </w:rPr>
        <w:t>、其他（如有）</w:t>
      </w:r>
    </w:p>
    <w:p w14:paraId="1C894A80">
      <w:pPr>
        <w:widowControl/>
        <w:autoSpaceDE/>
        <w:autoSpaceDN/>
        <w:spacing w:line="240" w:lineRule="auto"/>
        <w:ind w:firstLine="0" w:firstLineChars="0"/>
        <w:rPr>
          <w:rFonts w:hint="eastAsia"/>
          <w:color w:val="auto"/>
          <w:highlight w:val="none"/>
        </w:rPr>
      </w:pPr>
      <w:r>
        <w:rPr>
          <w:rFonts w:hint="eastAsia"/>
          <w:color w:val="auto"/>
          <w:highlight w:val="none"/>
          <w:lang w:val="en-US" w:eastAsia="zh-CN"/>
        </w:rPr>
        <w:t>注：</w:t>
      </w:r>
      <w:r>
        <w:rPr>
          <w:rFonts w:hint="eastAsia"/>
          <w:color w:val="auto"/>
          <w:highlight w:val="none"/>
        </w:rPr>
        <w:t>参选人可自行补充对参选有利的其他资料（如有）。</w:t>
      </w:r>
    </w:p>
    <w:p w14:paraId="59AC88A8">
      <w:pPr>
        <w:rPr>
          <w:rFonts w:ascii="Times New Roman" w:hAnsi="Times New Roman" w:cs="Times New Roman"/>
          <w:color w:val="auto"/>
          <w:highlight w:val="none"/>
        </w:rPr>
      </w:pPr>
    </w:p>
    <w:p w14:paraId="59A9FF57">
      <w:pPr>
        <w:rPr>
          <w:rFonts w:ascii="Times New Roman" w:hAnsi="Times New Roman"/>
          <w:color w:val="auto"/>
          <w:highlight w:val="none"/>
        </w:rPr>
      </w:pPr>
    </w:p>
    <w:p w14:paraId="1F6DC53E">
      <w:pPr>
        <w:rPr>
          <w:rFonts w:ascii="Times New Roman" w:hAnsi="Times New Roman"/>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彩虹黑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C5A7">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21C98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321C98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9E196">
    <w:pPr>
      <w:pStyle w:val="14"/>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92100"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291922" cy="380999"/>
                      </a:xfrm>
                      <a:prstGeom prst="rect">
                        <a:avLst/>
                      </a:prstGeom>
                      <a:noFill/>
                      <a:ln w="6350" cap="flat" cmpd="sng">
                        <a:noFill/>
                        <a:prstDash val="solid"/>
                        <a:round/>
                      </a:ln>
                    </wps:spPr>
                    <wps:txbx>
                      <w:txbxContent>
                        <w:p w14:paraId="56EDC27C">
                          <w:pPr>
                            <w:pStyle w:val="14"/>
                            <w:rPr>
                              <w:rFonts w:hint="eastAsia"/>
                            </w:rPr>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3pt;mso-position-horizontal:center;mso-position-horizontal-relative:margin;mso-wrap-style:none;z-index:251659264;mso-width-relative:page;mso-height-relative:page;" filled="f" stroked="f" coordsize="21600,21600" o:gfxdata="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JeYrdUAAAADAQAADwAAAAAAAAABACAAAAAiAAAAZHJzL2Rv&#10;d25yZXYueG1sUEsBAhQAFAAAAAgAh07iQMu5cyMEAgAA9AMAAA4AAAAAAAAAAQAgAAAAJAEAAGRy&#10;cy9lMm9Eb2MueG1sUEsFBgAAAAAGAAYAWQEAAJoFAAAAAA==&#10;">
              <v:fill on="f" focussize="0,0"/>
              <v:stroke on="f" weight="0.5pt" joinstyle="round"/>
              <v:imagedata o:title=""/>
              <o:lock v:ext="edit" aspectratio="f"/>
              <v:textbox inset="0mm,0mm,0mm,0mm" style="mso-fit-shape-to-text:t;">
                <w:txbxContent>
                  <w:p w14:paraId="56EDC27C">
                    <w:pPr>
                      <w:pStyle w:val="14"/>
                      <w:rPr>
                        <w:rFonts w:hint="eastAsia"/>
                      </w:rPr>
                    </w:pPr>
                    <w:r>
                      <w:fldChar w:fldCharType="begin"/>
                    </w:r>
                    <w:r>
                      <w:instrText xml:space="preserve"> PAGE  \* MERGEFORMAT </w:instrText>
                    </w:r>
                    <w:r>
                      <w:fldChar w:fldCharType="separate"/>
                    </w:r>
                    <w:r>
                      <w:t>12</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C2A13"/>
    <w:multiLevelType w:val="singleLevel"/>
    <w:tmpl w:val="A59C2A13"/>
    <w:lvl w:ilvl="0" w:tentative="0">
      <w:start w:val="3"/>
      <w:numFmt w:val="decimal"/>
      <w:suff w:val="space"/>
      <w:lvlText w:val="%1."/>
      <w:lvlJc w:val="left"/>
    </w:lvl>
  </w:abstractNum>
  <w:abstractNum w:abstractNumId="1">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B5D7647"/>
    <w:multiLevelType w:val="singleLevel"/>
    <w:tmpl w:val="2B5D7647"/>
    <w:lvl w:ilvl="0" w:tentative="0">
      <w:start w:val="5"/>
      <w:numFmt w:val="chineseCounting"/>
      <w:suff w:val="nothing"/>
      <w:lvlText w:val="（%1）"/>
      <w:lvlJc w:val="left"/>
      <w:rPr>
        <w:rFonts w:hint="eastAsia"/>
      </w:rPr>
    </w:lvl>
  </w:abstractNum>
  <w:abstractNum w:abstractNumId="5">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6">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abstractNum w:abstractNumId="7">
    <w:nsid w:val="642B7DCB"/>
    <w:multiLevelType w:val="singleLevel"/>
    <w:tmpl w:val="642B7DCB"/>
    <w:lvl w:ilvl="0" w:tentative="0">
      <w:start w:val="6"/>
      <w:numFmt w:val="chineseCounting"/>
      <w:suff w:val="nothing"/>
      <w:lvlText w:val="%1、"/>
      <w:lvlJc w:val="left"/>
      <w:rPr>
        <w:rFonts w:hint="eastAsia"/>
      </w:rPr>
    </w:lvl>
  </w:abstractNum>
  <w:abstractNum w:abstractNumId="8">
    <w:nsid w:val="6FCDC65B"/>
    <w:multiLevelType w:val="singleLevel"/>
    <w:tmpl w:val="6FCDC65B"/>
    <w:lvl w:ilvl="0" w:tentative="0">
      <w:start w:val="7"/>
      <w:numFmt w:val="decimal"/>
      <w:suff w:val="space"/>
      <w:lvlText w:val="%1."/>
      <w:lvlJc w:val="left"/>
    </w:lvl>
  </w:abstractNum>
  <w:num w:numId="1">
    <w:abstractNumId w:val="0"/>
  </w:num>
  <w:num w:numId="2">
    <w:abstractNumId w:val="8"/>
  </w:num>
  <w:num w:numId="3">
    <w:abstractNumId w:val="3"/>
  </w:num>
  <w:num w:numId="4">
    <w:abstractNumId w:val="1"/>
  </w:num>
  <w:num w:numId="5">
    <w:abstractNumId w:val="2"/>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5"/>
  </w:compat>
  <w:docVars>
    <w:docVar w:name="commondata" w:val="eyJoZGlkIjoiYThmYmM2ZGU3Mjk4MzA4ZDkyYTRlNDQ1NGZiYzU0MzIifQ=="/>
  </w:docVars>
  <w:rsids>
    <w:rsidRoot w:val="00000000"/>
    <w:rsid w:val="03EE6FB5"/>
    <w:rsid w:val="03F31506"/>
    <w:rsid w:val="04763EE5"/>
    <w:rsid w:val="08B32BE9"/>
    <w:rsid w:val="0C11582B"/>
    <w:rsid w:val="0CAB5674"/>
    <w:rsid w:val="0D4E21C4"/>
    <w:rsid w:val="0E8F0FAE"/>
    <w:rsid w:val="0F9067A2"/>
    <w:rsid w:val="148B12E6"/>
    <w:rsid w:val="15EA028F"/>
    <w:rsid w:val="17C56E0D"/>
    <w:rsid w:val="1B3E70B3"/>
    <w:rsid w:val="1E280224"/>
    <w:rsid w:val="1ED146E2"/>
    <w:rsid w:val="1F0B19A2"/>
    <w:rsid w:val="20880DD0"/>
    <w:rsid w:val="251E1D03"/>
    <w:rsid w:val="264A0F00"/>
    <w:rsid w:val="28A54C15"/>
    <w:rsid w:val="2B2362C5"/>
    <w:rsid w:val="2C0C4FAB"/>
    <w:rsid w:val="2F176141"/>
    <w:rsid w:val="3150593A"/>
    <w:rsid w:val="31D71BB7"/>
    <w:rsid w:val="342235BE"/>
    <w:rsid w:val="35AD335B"/>
    <w:rsid w:val="37DC7F27"/>
    <w:rsid w:val="388C36FB"/>
    <w:rsid w:val="39BA7DF4"/>
    <w:rsid w:val="39D72754"/>
    <w:rsid w:val="3B8E778B"/>
    <w:rsid w:val="407C22A8"/>
    <w:rsid w:val="40E535E6"/>
    <w:rsid w:val="42EE1549"/>
    <w:rsid w:val="43B753A5"/>
    <w:rsid w:val="45A73923"/>
    <w:rsid w:val="45D82CC1"/>
    <w:rsid w:val="47307202"/>
    <w:rsid w:val="494B43E0"/>
    <w:rsid w:val="49804BB7"/>
    <w:rsid w:val="4B2D52E4"/>
    <w:rsid w:val="4C086F0F"/>
    <w:rsid w:val="521245AD"/>
    <w:rsid w:val="521F6F37"/>
    <w:rsid w:val="532E49AF"/>
    <w:rsid w:val="53650979"/>
    <w:rsid w:val="599C1250"/>
    <w:rsid w:val="5C7560D1"/>
    <w:rsid w:val="5E4400B9"/>
    <w:rsid w:val="5F321ED8"/>
    <w:rsid w:val="60CA62C0"/>
    <w:rsid w:val="62485D03"/>
    <w:rsid w:val="653463FD"/>
    <w:rsid w:val="65541D3C"/>
    <w:rsid w:val="65586590"/>
    <w:rsid w:val="69AC2A06"/>
    <w:rsid w:val="6C7849DD"/>
    <w:rsid w:val="6D1159A2"/>
    <w:rsid w:val="6D8F68C7"/>
    <w:rsid w:val="7085370D"/>
    <w:rsid w:val="74143FCA"/>
    <w:rsid w:val="74FE287D"/>
    <w:rsid w:val="757E5B9F"/>
    <w:rsid w:val="76B13D52"/>
    <w:rsid w:val="77FD0B9C"/>
    <w:rsid w:val="7A187C44"/>
    <w:rsid w:val="7F343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cs="等线 Light"/>
      <w:b/>
      <w:snapToGrid w:val="0"/>
      <w:kern w:val="0"/>
      <w:sz w:val="44"/>
      <w:szCs w:val="44"/>
    </w:rPr>
  </w:style>
  <w:style w:type="paragraph" w:styleId="3">
    <w:name w:val="heading 2"/>
    <w:basedOn w:val="1"/>
    <w:next w:val="1"/>
    <w:autoRedefine/>
    <w:qFormat/>
    <w:uiPriority w:val="0"/>
    <w:pPr>
      <w:ind w:firstLine="0" w:firstLineChars="0"/>
      <w:outlineLvl w:val="1"/>
    </w:pPr>
    <w:rPr>
      <w:rFonts w:asci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ascii="Calibri Light" w:hAnsi="Calibri Light" w:cs="Times New Roman"/>
      <w:bCs/>
      <w:szCs w:val="28"/>
    </w:rPr>
  </w:style>
  <w:style w:type="paragraph" w:styleId="6">
    <w:name w:val="heading 5"/>
    <w:basedOn w:val="1"/>
    <w:next w:val="1"/>
    <w:link w:val="26"/>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0"/>
    <w:pPr>
      <w:widowControl/>
      <w:tabs>
        <w:tab w:val="left" w:pos="630"/>
        <w:tab w:val="right" w:pos="8730"/>
      </w:tabs>
      <w:ind w:right="-178"/>
    </w:pPr>
    <w:rPr>
      <w:rFonts w:ascii="华文楷体" w:eastAsia="华文楷体"/>
      <w:kern w:val="0"/>
      <w:sz w:val="26"/>
      <w:lang w:val="en-GB" w:eastAsia="en-GB"/>
    </w:rPr>
  </w:style>
  <w:style w:type="paragraph" w:styleId="11">
    <w:name w:val="toc 3"/>
    <w:basedOn w:val="1"/>
    <w:next w:val="1"/>
    <w:qFormat/>
    <w:uiPriority w:val="0"/>
    <w:pPr>
      <w:ind w:left="840"/>
    </w:pPr>
  </w:style>
  <w:style w:type="paragraph" w:styleId="12">
    <w:name w:val="Body Text Indent 2"/>
    <w:basedOn w:val="1"/>
    <w:qFormat/>
    <w:uiPriority w:val="0"/>
    <w:pPr>
      <w:spacing w:line="480" w:lineRule="exact"/>
    </w:pPr>
    <w:rPr>
      <w:rFonts w:ascii="彩虹黑体" w:eastAsia="彩虹黑体"/>
    </w:rPr>
  </w:style>
  <w:style w:type="paragraph" w:styleId="13">
    <w:name w:val="Balloon Text"/>
    <w:basedOn w:val="1"/>
    <w:next w:val="11"/>
    <w:qFormat/>
    <w:uiPriority w:val="0"/>
    <w:pPr>
      <w:spacing w:line="240" w:lineRule="auto"/>
    </w:pPr>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pPr>
    <w:rPr>
      <w:sz w:val="18"/>
    </w:rPr>
  </w:style>
  <w:style w:type="paragraph" w:styleId="16">
    <w:name w:val="toc 1"/>
    <w:basedOn w:val="1"/>
    <w:next w:val="1"/>
    <w:autoRedefine/>
    <w:qFormat/>
    <w:uiPriority w:val="0"/>
  </w:style>
  <w:style w:type="paragraph" w:styleId="17">
    <w:name w:val="Subtitle"/>
    <w:basedOn w:val="1"/>
    <w:autoRedefine/>
    <w:qFormat/>
    <w:uiPriority w:val="0"/>
    <w:pPr>
      <w:spacing w:before="240" w:after="60" w:line="312" w:lineRule="auto"/>
      <w:jc w:val="center"/>
      <w:outlineLvl w:val="1"/>
    </w:pPr>
    <w:rPr>
      <w:rFonts w:ascii="Arial" w:hAnsi="Arial"/>
      <w:b/>
      <w:kern w:val="28"/>
      <w:sz w:val="32"/>
    </w:rPr>
  </w:style>
  <w:style w:type="paragraph" w:styleId="18">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19">
    <w:name w:val="annotation subject"/>
    <w:basedOn w:val="8"/>
    <w:next w:val="8"/>
    <w:qFormat/>
    <w:uiPriority w:val="0"/>
    <w:rPr>
      <w:b/>
      <w:bCs/>
    </w:rPr>
  </w:style>
  <w:style w:type="paragraph" w:styleId="20">
    <w:name w:val="Body Text First Indent"/>
    <w:basedOn w:val="9"/>
    <w:next w:val="13"/>
    <w:qFormat/>
    <w:uiPriority w:val="0"/>
    <w:pPr>
      <w:ind w:firstLine="100" w:firstLineChars="100"/>
    </w:pPr>
    <w:rPr>
      <w:rFonts w:ascii="仿宋_GB2312" w:hAnsi="仿宋_GB2312"/>
      <w:sz w:val="21"/>
    </w:rPr>
  </w:style>
  <w:style w:type="character" w:styleId="23">
    <w:name w:val="Strong"/>
    <w:basedOn w:val="22"/>
    <w:autoRedefine/>
    <w:qFormat/>
    <w:uiPriority w:val="0"/>
    <w:rPr>
      <w:b/>
      <w:bCs/>
    </w:rPr>
  </w:style>
  <w:style w:type="character" w:styleId="24">
    <w:name w:val="page number"/>
    <w:basedOn w:val="22"/>
    <w:qFormat/>
    <w:uiPriority w:val="0"/>
  </w:style>
  <w:style w:type="character" w:styleId="25">
    <w:name w:val="annotation reference"/>
    <w:basedOn w:val="22"/>
    <w:qFormat/>
    <w:uiPriority w:val="0"/>
    <w:rPr>
      <w:sz w:val="21"/>
      <w:szCs w:val="21"/>
    </w:rPr>
  </w:style>
  <w:style w:type="character" w:customStyle="1" w:styleId="26">
    <w:name w:val="heading 5 Char"/>
    <w:basedOn w:val="22"/>
    <w:link w:val="6"/>
    <w:autoRedefine/>
    <w:qFormat/>
    <w:uiPriority w:val="0"/>
    <w:rPr>
      <w:rFonts w:ascii="Cambria Math" w:hAnsi="Cambria Math" w:eastAsia="宋体" w:cs="Cambria Math"/>
      <w:b/>
      <w:kern w:val="2"/>
      <w:sz w:val="28"/>
      <w:szCs w:val="20"/>
      <w:lang w:val="en-US" w:eastAsia="zh-CN" w:bidi="ar-SA"/>
    </w:rPr>
  </w:style>
  <w:style w:type="paragraph" w:customStyle="1" w:styleId="27">
    <w:name w:val="参选文件格式1"/>
    <w:basedOn w:val="1"/>
    <w:next w:val="1"/>
    <w:link w:val="28"/>
    <w:autoRedefine/>
    <w:qFormat/>
    <w:uiPriority w:val="0"/>
    <w:pPr>
      <w:spacing w:line="360" w:lineRule="auto"/>
      <w:ind w:firstLine="0" w:firstLineChars="0"/>
      <w:jc w:val="center"/>
      <w:outlineLvl w:val="1"/>
    </w:pPr>
    <w:rPr>
      <w:b/>
      <w:sz w:val="28"/>
    </w:rPr>
  </w:style>
  <w:style w:type="character" w:customStyle="1" w:styleId="28">
    <w:name w:val="参选文件格式1 Char"/>
    <w:basedOn w:val="22"/>
    <w:link w:val="27"/>
    <w:autoRedefine/>
    <w:qFormat/>
    <w:uiPriority w:val="0"/>
    <w:rPr>
      <w:rFonts w:ascii="Cambria Math" w:hAnsi="Cambria Math" w:eastAsia="宋体" w:cs="Cambria Math"/>
      <w:b/>
      <w:kern w:val="2"/>
      <w:sz w:val="28"/>
      <w:szCs w:val="20"/>
      <w:lang w:val="en-US" w:eastAsia="zh-CN" w:bidi="ar-SA"/>
    </w:rPr>
  </w:style>
  <w:style w:type="paragraph" w:customStyle="1" w:styleId="29">
    <w:name w:val="参选文件格式2"/>
    <w:basedOn w:val="1"/>
    <w:next w:val="1"/>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ind w:firstLine="0" w:firstLineChars="0"/>
      <w:jc w:val="center"/>
    </w:pPr>
    <w:rPr>
      <w:rFonts w:ascii="宋体"/>
      <w:b/>
      <w:snapToGrid w:val="0"/>
      <w:kern w:val="0"/>
    </w:rPr>
  </w:style>
  <w:style w:type="character" w:customStyle="1" w:styleId="31">
    <w:name w:val="参选文件格式3 Char"/>
    <w:basedOn w:val="22"/>
    <w:link w:val="30"/>
    <w:autoRedefine/>
    <w:qFormat/>
    <w:uiPriority w:val="0"/>
    <w:rPr>
      <w:rFonts w:ascii="宋体" w:eastAsia="宋体" w:cs="Cambria Math"/>
      <w:b/>
      <w:snapToGrid w:val="0"/>
      <w:kern w:val="0"/>
      <w:sz w:val="24"/>
      <w:szCs w:val="20"/>
      <w:lang w:val="en-US" w:eastAsia="zh-CN" w:bidi="ar-SA"/>
    </w:rPr>
  </w:style>
  <w:style w:type="character" w:customStyle="1" w:styleId="32">
    <w:name w:val="font11"/>
    <w:basedOn w:val="22"/>
    <w:autoRedefine/>
    <w:qFormat/>
    <w:uiPriority w:val="0"/>
    <w:rPr>
      <w:rFonts w:ascii="宋体" w:eastAsia="宋体" w:cs="宋体"/>
      <w:b/>
      <w:bCs/>
      <w:color w:val="000000"/>
      <w:sz w:val="21"/>
      <w:szCs w:val="21"/>
      <w:u w:val="none"/>
    </w:rPr>
  </w:style>
  <w:style w:type="character" w:customStyle="1" w:styleId="33">
    <w:name w:val="font21"/>
    <w:basedOn w:val="22"/>
    <w:autoRedefine/>
    <w:qFormat/>
    <w:uiPriority w:val="0"/>
    <w:rPr>
      <w:rFonts w:ascii="宋体" w:eastAsia="宋体" w:cs="宋体"/>
      <w:color w:val="000000"/>
      <w:sz w:val="21"/>
      <w:szCs w:val="21"/>
      <w:u w:val="none"/>
    </w:rPr>
  </w:style>
  <w:style w:type="character" w:customStyle="1" w:styleId="34">
    <w:name w:val="font31"/>
    <w:basedOn w:val="22"/>
    <w:autoRedefine/>
    <w:qFormat/>
    <w:uiPriority w:val="0"/>
    <w:rPr>
      <w:rFonts w:ascii="宋体" w:eastAsia="宋体" w:cs="宋体"/>
      <w:color w:val="FF0000"/>
      <w:sz w:val="21"/>
      <w:szCs w:val="21"/>
      <w:u w:val="none"/>
    </w:rPr>
  </w:style>
  <w:style w:type="paragraph" w:styleId="35">
    <w:name w:val="List Paragraph"/>
    <w:basedOn w:val="1"/>
    <w:qFormat/>
    <w:uiPriority w:val="0"/>
  </w:style>
  <w:style w:type="paragraph" w:customStyle="1" w:styleId="36">
    <w:name w:val="a14"/>
    <w:basedOn w:val="1"/>
    <w:qFormat/>
    <w:uiPriority w:val="0"/>
    <w:pPr>
      <w:widowControl/>
      <w:spacing w:before="50" w:beforeLines="50" w:beforeAutospacing="1" w:after="100" w:afterAutospacing="1" w:line="300" w:lineRule="atLeast"/>
      <w:jc w:val="left"/>
    </w:pPr>
    <w:rPr>
      <w:rFonts w:ascii="宋体"/>
      <w:kern w:val="0"/>
      <w:szCs w:val="21"/>
    </w:rPr>
  </w:style>
  <w:style w:type="character" w:customStyle="1" w:styleId="37">
    <w:name w:val="font_text_1"/>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71</Pages>
  <Words>24272</Words>
  <Characters>25886</Characters>
  <Lines>2129</Lines>
  <Paragraphs>1012</Paragraphs>
  <TotalTime>0</TotalTime>
  <ScaleCrop>false</ScaleCrop>
  <LinksUpToDate>false</LinksUpToDate>
  <CharactersWithSpaces>26775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2024-08-19T07:07:00Z</dcterms:created>
  <dc:creator>admin</dc:creator>
  <cp:lastModifiedBy>张婷</cp:lastModifiedBy>
  <cp:lastPrinted>2024-01-19T09:29:00Z</cp:lastPrinted>
  <dcterms:modified xsi:type="dcterms:W3CDTF">2024-10-10T06:50:40Z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018B6593400945049D6A5B87A47A335F_13</vt:lpwstr>
  </property>
</Properties>
</file>