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1F2E9">
      <w:pPr>
        <w:keepNext w:val="0"/>
        <w:keepLines w:val="0"/>
        <w:pageBreakBefore w:val="0"/>
        <w:widowControl w:val="0"/>
        <w:tabs>
          <w:tab w:val="center" w:pos="4201"/>
          <w:tab w:val="right" w:leader="dot" w:pos="9298"/>
        </w:tabs>
        <w:kinsoku/>
        <w:wordWrap/>
        <w:overflowPunct/>
        <w:topLinePunct w:val="0"/>
        <w:autoSpaceDE w:val="0"/>
        <w:autoSpaceDN w:val="0"/>
        <w:bidi w:val="0"/>
        <w:adjustRightInd/>
        <w:spacing w:after="0" w:line="360" w:lineRule="auto"/>
        <w:ind w:firstLine="0" w:firstLineChars="0"/>
        <w:textAlignment w:val="auto"/>
        <w:rPr>
          <w:color w:val="auto"/>
          <w:highlight w:val="none"/>
        </w:rPr>
      </w:pPr>
    </w:p>
    <w:p w14:paraId="6CC6B80C">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宋体" w:hAnsi="宋体" w:cs="Cambria"/>
          <w:b/>
          <w:snapToGrid w:val="0"/>
          <w:color w:val="auto"/>
          <w:kern w:val="0"/>
          <w:sz w:val="52"/>
          <w:szCs w:val="84"/>
          <w:highlight w:val="none"/>
        </w:rPr>
      </w:pPr>
    </w:p>
    <w:p w14:paraId="63BE91F0">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eastAsia="宋体" w:cs="Times New Roman"/>
          <w:b/>
          <w:snapToGrid w:val="0"/>
          <w:color w:val="auto"/>
          <w:kern w:val="0"/>
          <w:sz w:val="48"/>
          <w:szCs w:val="84"/>
          <w:highlight w:val="none"/>
        </w:rPr>
      </w:pPr>
      <w:r>
        <w:rPr>
          <w:rFonts w:hint="eastAsia" w:ascii="Times New Roman" w:hAnsi="Times New Roman" w:eastAsia="宋体" w:cs="Times New Roman"/>
          <w:b/>
          <w:snapToGrid w:val="0"/>
          <w:color w:val="auto"/>
          <w:kern w:val="0"/>
          <w:sz w:val="48"/>
          <w:szCs w:val="84"/>
          <w:highlight w:val="none"/>
        </w:rPr>
        <w:t>重庆三峡银行</w:t>
      </w:r>
    </w:p>
    <w:p w14:paraId="2D1CDF76">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eastAsia="宋体" w:cs="Times New Roman"/>
          <w:b/>
          <w:snapToGrid w:val="0"/>
          <w:color w:val="auto"/>
          <w:kern w:val="0"/>
          <w:sz w:val="48"/>
          <w:szCs w:val="84"/>
          <w:highlight w:val="none"/>
        </w:rPr>
      </w:pPr>
      <w:r>
        <w:rPr>
          <w:rFonts w:hint="eastAsia" w:ascii="Times New Roman" w:hAnsi="Times New Roman" w:eastAsia="宋体" w:cs="Times New Roman"/>
          <w:b/>
          <w:snapToGrid w:val="0"/>
          <w:color w:val="auto"/>
          <w:kern w:val="0"/>
          <w:sz w:val="48"/>
          <w:szCs w:val="84"/>
          <w:highlight w:val="none"/>
        </w:rPr>
        <w:t>智能设备维保采购项目</w:t>
      </w:r>
    </w:p>
    <w:p w14:paraId="4F95D443">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18"/>
          <w:highlight w:val="none"/>
        </w:rPr>
      </w:pPr>
    </w:p>
    <w:p w14:paraId="12F3BB52">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5B203B1F">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7B5CCEFB">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7DF4A26F">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6EEBD6C0">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6F541F5A">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0F137143">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比选</w:t>
      </w:r>
      <w:r>
        <w:rPr>
          <w:rFonts w:ascii="Times New Roman" w:hAnsi="Times New Roman" w:cs="Times New Roman"/>
          <w:b/>
          <w:snapToGrid w:val="0"/>
          <w:color w:val="auto"/>
          <w:kern w:val="0"/>
          <w:sz w:val="96"/>
          <w:szCs w:val="96"/>
          <w:highlight w:val="none"/>
        </w:rPr>
        <w:t>文件</w:t>
      </w:r>
    </w:p>
    <w:p w14:paraId="75884EE2">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14:paraId="6FF0BC13">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14:paraId="01162595">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14:paraId="6E7D8F2E">
      <w:pPr>
        <w:ind w:left="0" w:firstLine="0" w:firstLineChars="0"/>
        <w:rPr>
          <w:color w:val="auto"/>
          <w:highlight w:val="none"/>
        </w:rPr>
      </w:pPr>
    </w:p>
    <w:p w14:paraId="45BEE246">
      <w:pPr>
        <w:pStyle w:val="10"/>
        <w:rPr>
          <w:color w:val="auto"/>
          <w:highlight w:val="none"/>
        </w:rPr>
      </w:pPr>
    </w:p>
    <w:p w14:paraId="5EBDEC61">
      <w:pPr>
        <w:rPr>
          <w:color w:val="auto"/>
          <w:highlight w:val="none"/>
        </w:rPr>
      </w:pPr>
    </w:p>
    <w:p w14:paraId="2A929355">
      <w:pPr>
        <w:rPr>
          <w:color w:val="auto"/>
          <w:highlight w:val="none"/>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4CB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C202652">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比选人</w:t>
            </w:r>
          </w:p>
        </w:tc>
        <w:tc>
          <w:tcPr>
            <w:tcW w:w="4744" w:type="dxa"/>
            <w:tcBorders>
              <w:tl2br w:val="nil"/>
              <w:tr2bl w:val="nil"/>
            </w:tcBorders>
            <w:vAlign w:val="center"/>
          </w:tcPr>
          <w:p w14:paraId="7A9AF00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5DCC39A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ascii="Times New Roman" w:hAnsi="Times New Roman" w:cs="Times New Roman"/>
                <w:b w:val="0"/>
                <w:bCs/>
                <w:snapToGrid w:val="0"/>
                <w:color w:val="auto"/>
                <w:kern w:val="0"/>
                <w:sz w:val="24"/>
                <w:szCs w:val="24"/>
                <w:highlight w:val="none"/>
                <w:lang w:val="en-US" w:eastAsia="zh-CN"/>
              </w:rPr>
              <w:t>盖单位公章</w:t>
            </w:r>
            <w:r>
              <w:rPr>
                <w:rFonts w:hint="eastAsia" w:ascii="Times New Roman" w:hAnsi="Times New Roman" w:cs="Times New Roman"/>
                <w:b w:val="0"/>
                <w:bCs/>
                <w:snapToGrid w:val="0"/>
                <w:color w:val="auto"/>
                <w:kern w:val="0"/>
                <w:sz w:val="24"/>
                <w:szCs w:val="24"/>
                <w:highlight w:val="none"/>
                <w:lang w:eastAsia="zh-CN"/>
              </w:rPr>
              <w:t>）</w:t>
            </w:r>
          </w:p>
        </w:tc>
      </w:tr>
      <w:tr w14:paraId="3BCB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46E9E55">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rPr>
                <w:rFonts w:hint="default"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30B2238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10</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19AA773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rPr>
            </w:pPr>
          </w:p>
        </w:tc>
      </w:tr>
    </w:tbl>
    <w:p w14:paraId="02DD1150">
      <w:pPr>
        <w:bidi w:val="0"/>
        <w:rPr>
          <w:color w:val="auto"/>
          <w:highlight w:val="none"/>
        </w:rPr>
      </w:pPr>
    </w:p>
    <w:p w14:paraId="0EDE0A66">
      <w:pPr>
        <w:bidi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EC47211">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rPr>
          <w:rFonts w:ascii="宋体" w:hAnsi="宋体"/>
          <w:b/>
          <w:snapToGrid w:val="0"/>
          <w:color w:val="auto"/>
          <w:kern w:val="0"/>
          <w:sz w:val="44"/>
          <w:szCs w:val="44"/>
          <w:highlight w:val="none"/>
        </w:rPr>
      </w:pPr>
      <w:r>
        <w:rPr>
          <w:rFonts w:hint="eastAsia" w:ascii="宋体" w:hAnsi="宋体"/>
          <w:b/>
          <w:snapToGrid w:val="0"/>
          <w:color w:val="auto"/>
          <w:kern w:val="0"/>
          <w:sz w:val="44"/>
          <w:szCs w:val="44"/>
          <w:highlight w:val="none"/>
        </w:rPr>
        <w:t>目录</w:t>
      </w:r>
    </w:p>
    <w:p w14:paraId="5E305BBB">
      <w:pPr>
        <w:pStyle w:val="13"/>
        <w:tabs>
          <w:tab w:val="right" w:leader="dot" w:pos="8306"/>
        </w:tabs>
      </w:pPr>
      <w:r>
        <w:rPr>
          <w:rFonts w:hint="eastAsia"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instrText xml:space="preserve"> </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_Toc11671 </w:instrText>
      </w:r>
      <w:r>
        <w:rPr>
          <w:rFonts w:ascii="宋体" w:hAnsi="宋体"/>
          <w:snapToGrid w:val="0"/>
          <w:kern w:val="0"/>
          <w:szCs w:val="24"/>
          <w:highlight w:val="none"/>
        </w:rPr>
        <w:fldChar w:fldCharType="separate"/>
      </w:r>
      <w:r>
        <w:rPr>
          <w:rFonts w:hint="eastAsia"/>
          <w:highlight w:val="none"/>
        </w:rPr>
        <w:t>第一章 比选公告</w:t>
      </w:r>
      <w:r>
        <w:tab/>
      </w:r>
      <w:r>
        <w:fldChar w:fldCharType="begin"/>
      </w:r>
      <w:r>
        <w:instrText xml:space="preserve"> PAGEREF _Toc11671 \h </w:instrText>
      </w:r>
      <w:r>
        <w:fldChar w:fldCharType="separate"/>
      </w:r>
      <w:r>
        <w:t>1</w:t>
      </w:r>
      <w:r>
        <w:fldChar w:fldCharType="end"/>
      </w:r>
      <w:r>
        <w:rPr>
          <w:rFonts w:ascii="宋体" w:hAnsi="宋体"/>
          <w:snapToGrid w:val="0"/>
          <w:color w:val="auto"/>
          <w:kern w:val="0"/>
          <w:szCs w:val="24"/>
          <w:highlight w:val="none"/>
        </w:rPr>
        <w:fldChar w:fldCharType="end"/>
      </w:r>
    </w:p>
    <w:p w14:paraId="0EEC373B">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_Toc18519 </w:instrText>
      </w:r>
      <w:r>
        <w:rPr>
          <w:rFonts w:ascii="宋体" w:hAnsi="宋体"/>
          <w:snapToGrid w:val="0"/>
          <w:kern w:val="0"/>
          <w:szCs w:val="24"/>
          <w:highlight w:val="none"/>
        </w:rPr>
        <w:fldChar w:fldCharType="separate"/>
      </w:r>
      <w:r>
        <w:rPr>
          <w:rFonts w:hint="eastAsia"/>
          <w:highlight w:val="none"/>
        </w:rPr>
        <w:t>第二章 参选人须知</w:t>
      </w:r>
      <w:r>
        <w:tab/>
      </w:r>
      <w:r>
        <w:fldChar w:fldCharType="begin"/>
      </w:r>
      <w:r>
        <w:instrText xml:space="preserve"> PAGEREF _Toc18519 \h </w:instrText>
      </w:r>
      <w:r>
        <w:fldChar w:fldCharType="separate"/>
      </w:r>
      <w:r>
        <w:t>4</w:t>
      </w:r>
      <w:r>
        <w:fldChar w:fldCharType="end"/>
      </w:r>
      <w:r>
        <w:rPr>
          <w:rFonts w:ascii="宋体" w:hAnsi="宋体"/>
          <w:snapToGrid w:val="0"/>
          <w:color w:val="auto"/>
          <w:kern w:val="0"/>
          <w:szCs w:val="24"/>
          <w:highlight w:val="none"/>
        </w:rPr>
        <w:fldChar w:fldCharType="end"/>
      </w:r>
    </w:p>
    <w:p w14:paraId="3119F33F">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_Toc17672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三</w:t>
      </w:r>
      <w:r>
        <w:rPr>
          <w:rFonts w:hint="eastAsia"/>
          <w:highlight w:val="none"/>
        </w:rPr>
        <w:t xml:space="preserve">章 </w:t>
      </w:r>
      <w:r>
        <w:rPr>
          <w:rFonts w:hint="eastAsia"/>
          <w:highlight w:val="none"/>
          <w:lang w:val="en-US" w:eastAsia="zh-CN"/>
        </w:rPr>
        <w:t>项目要求</w:t>
      </w:r>
      <w:r>
        <w:tab/>
      </w:r>
      <w:r>
        <w:fldChar w:fldCharType="begin"/>
      </w:r>
      <w:r>
        <w:instrText xml:space="preserve"> PAGEREF _Toc17672 \h </w:instrText>
      </w:r>
      <w:r>
        <w:fldChar w:fldCharType="separate"/>
      </w:r>
      <w:r>
        <w:t>11</w:t>
      </w:r>
      <w:r>
        <w:fldChar w:fldCharType="end"/>
      </w:r>
      <w:r>
        <w:rPr>
          <w:rFonts w:ascii="宋体" w:hAnsi="宋体"/>
          <w:snapToGrid w:val="0"/>
          <w:color w:val="auto"/>
          <w:kern w:val="0"/>
          <w:szCs w:val="24"/>
          <w:highlight w:val="none"/>
        </w:rPr>
        <w:fldChar w:fldCharType="end"/>
      </w:r>
    </w:p>
    <w:p w14:paraId="16706392">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_Toc2260 </w:instrText>
      </w:r>
      <w:r>
        <w:rPr>
          <w:rFonts w:ascii="宋体" w:hAnsi="宋体"/>
          <w:snapToGrid w:val="0"/>
          <w:kern w:val="0"/>
          <w:szCs w:val="24"/>
          <w:highlight w:val="none"/>
        </w:rPr>
        <w:fldChar w:fldCharType="separate"/>
      </w:r>
      <w:r>
        <w:rPr>
          <w:rFonts w:hint="eastAsia"/>
          <w:highlight w:val="none"/>
          <w:lang w:val="en-US" w:eastAsia="zh-CN"/>
        </w:rPr>
        <w:t>第四章 评审办法（综合评估法）</w:t>
      </w:r>
      <w:r>
        <w:tab/>
      </w:r>
      <w:r>
        <w:fldChar w:fldCharType="begin"/>
      </w:r>
      <w:r>
        <w:instrText xml:space="preserve"> PAGEREF _Toc2260 \h </w:instrText>
      </w:r>
      <w:r>
        <w:fldChar w:fldCharType="separate"/>
      </w:r>
      <w:r>
        <w:t>13</w:t>
      </w:r>
      <w:r>
        <w:fldChar w:fldCharType="end"/>
      </w:r>
      <w:r>
        <w:rPr>
          <w:rFonts w:ascii="宋体" w:hAnsi="宋体"/>
          <w:snapToGrid w:val="0"/>
          <w:color w:val="auto"/>
          <w:kern w:val="0"/>
          <w:szCs w:val="24"/>
          <w:highlight w:val="none"/>
        </w:rPr>
        <w:fldChar w:fldCharType="end"/>
      </w:r>
    </w:p>
    <w:p w14:paraId="12F8A2A1">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_Toc28101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五</w:t>
      </w:r>
      <w:r>
        <w:rPr>
          <w:rFonts w:hint="eastAsia"/>
          <w:highlight w:val="none"/>
        </w:rPr>
        <w:t>章 合同</w:t>
      </w:r>
      <w:r>
        <w:rPr>
          <w:highlight w:val="none"/>
        </w:rPr>
        <w:t>模板</w:t>
      </w:r>
      <w:r>
        <w:tab/>
      </w:r>
      <w:r>
        <w:fldChar w:fldCharType="begin"/>
      </w:r>
      <w:r>
        <w:instrText xml:space="preserve"> PAGEREF _Toc28101 \h </w:instrText>
      </w:r>
      <w:r>
        <w:fldChar w:fldCharType="separate"/>
      </w:r>
      <w:r>
        <w:t>18</w:t>
      </w:r>
      <w:r>
        <w:fldChar w:fldCharType="end"/>
      </w:r>
      <w:r>
        <w:rPr>
          <w:rFonts w:ascii="宋体" w:hAnsi="宋体"/>
          <w:snapToGrid w:val="0"/>
          <w:color w:val="auto"/>
          <w:kern w:val="0"/>
          <w:szCs w:val="24"/>
          <w:highlight w:val="none"/>
        </w:rPr>
        <w:fldChar w:fldCharType="end"/>
      </w:r>
    </w:p>
    <w:p w14:paraId="1C8341DC">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_Toc21542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六</w:t>
      </w:r>
      <w:r>
        <w:rPr>
          <w:rFonts w:hint="eastAsia"/>
          <w:highlight w:val="none"/>
        </w:rPr>
        <w:t>章 参选文件格式</w:t>
      </w:r>
      <w:r>
        <w:tab/>
      </w:r>
      <w:r>
        <w:fldChar w:fldCharType="begin"/>
      </w:r>
      <w:r>
        <w:instrText xml:space="preserve"> PAGEREF _Toc21542 \h </w:instrText>
      </w:r>
      <w:r>
        <w:fldChar w:fldCharType="separate"/>
      </w:r>
      <w:r>
        <w:t>23</w:t>
      </w:r>
      <w:r>
        <w:fldChar w:fldCharType="end"/>
      </w:r>
      <w:r>
        <w:rPr>
          <w:rFonts w:ascii="宋体" w:hAnsi="宋体"/>
          <w:snapToGrid w:val="0"/>
          <w:color w:val="auto"/>
          <w:kern w:val="0"/>
          <w:szCs w:val="24"/>
          <w:highlight w:val="none"/>
        </w:rPr>
        <w:fldChar w:fldCharType="end"/>
      </w:r>
    </w:p>
    <w:p w14:paraId="0E3C203C">
      <w:pPr>
        <w:widowControl/>
        <w:jc w:val="left"/>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14:paraId="77068FFA">
      <w:pPr>
        <w:widowControl/>
        <w:jc w:val="left"/>
        <w:rPr>
          <w:rFonts w:ascii="宋体" w:hAnsi="宋体"/>
          <w:snapToGrid w:val="0"/>
          <w:color w:val="auto"/>
          <w:kern w:val="0"/>
          <w:sz w:val="24"/>
          <w:szCs w:val="24"/>
          <w:highlight w:val="none"/>
        </w:rPr>
        <w:sectPr>
          <w:pgSz w:w="11906" w:h="16838"/>
          <w:pgMar w:top="1440" w:right="1800" w:bottom="1440" w:left="1800" w:header="851" w:footer="992" w:gutter="0"/>
          <w:pgNumType w:start="1"/>
          <w:cols w:space="720" w:num="1"/>
          <w:docGrid w:type="lines" w:linePitch="312" w:charSpace="6144"/>
        </w:sectPr>
      </w:pPr>
    </w:p>
    <w:p w14:paraId="36662425">
      <w:pPr>
        <w:pStyle w:val="2"/>
        <w:bidi w:val="0"/>
        <w:rPr>
          <w:rFonts w:hint="eastAsia"/>
          <w:color w:val="auto"/>
          <w:highlight w:val="none"/>
          <w:lang w:val="en-US" w:eastAsia="zh-CN"/>
        </w:rPr>
      </w:pPr>
      <w:bookmarkStart w:id="0" w:name="_Toc440628903"/>
      <w:bookmarkStart w:id="1" w:name="_Toc11671"/>
      <w:bookmarkStart w:id="2" w:name="_Toc6745"/>
      <w:bookmarkStart w:id="3" w:name="_Toc469574661"/>
      <w:bookmarkStart w:id="4" w:name="_Toc29755"/>
      <w:r>
        <w:rPr>
          <w:rFonts w:hint="eastAsia"/>
          <w:color w:val="auto"/>
          <w:highlight w:val="none"/>
        </w:rPr>
        <w:t>第一章</w:t>
      </w:r>
      <w:bookmarkEnd w:id="0"/>
      <w:r>
        <w:rPr>
          <w:rFonts w:hint="eastAsia"/>
          <w:color w:val="auto"/>
          <w:highlight w:val="none"/>
        </w:rPr>
        <w:t xml:space="preserve"> 比选公告</w:t>
      </w:r>
      <w:bookmarkEnd w:id="1"/>
      <w:bookmarkEnd w:id="2"/>
      <w:bookmarkEnd w:id="3"/>
      <w:bookmarkEnd w:id="4"/>
    </w:p>
    <w:p w14:paraId="26D667FA">
      <w:pPr>
        <w:bidi w:val="0"/>
        <w:rPr>
          <w:rFonts w:hint="eastAsia"/>
          <w:color w:val="auto"/>
          <w:highlight w:val="none"/>
        </w:rPr>
      </w:pPr>
      <w:bookmarkStart w:id="5" w:name="_Toc89675127"/>
      <w:bookmarkStart w:id="6" w:name="_Toc55379218"/>
      <w:r>
        <w:rPr>
          <w:rFonts w:hint="eastAsia"/>
          <w:color w:val="auto"/>
          <w:highlight w:val="none"/>
        </w:rPr>
        <w:t>本次比选以满足本行业务</w:t>
      </w:r>
      <w:r>
        <w:rPr>
          <w:color w:val="auto"/>
          <w:highlight w:val="none"/>
        </w:rPr>
        <w:t>平稳运行和</w:t>
      </w:r>
      <w:r>
        <w:rPr>
          <w:rFonts w:hint="eastAsia"/>
          <w:color w:val="auto"/>
          <w:highlight w:val="none"/>
        </w:rPr>
        <w:t>维护本行利益为目的，</w:t>
      </w:r>
      <w:r>
        <w:rPr>
          <w:rFonts w:hint="eastAsia"/>
          <w:color w:val="auto"/>
          <w:highlight w:val="none"/>
          <w:lang w:eastAsia="zh-CN"/>
        </w:rPr>
        <w:t>对</w:t>
      </w:r>
      <w:r>
        <w:rPr>
          <w:color w:val="auto"/>
          <w:highlight w:val="none"/>
        </w:rPr>
        <w:t>智能</w:t>
      </w:r>
      <w:r>
        <w:rPr>
          <w:color w:val="auto"/>
          <w:highlight w:val="none"/>
          <w:lang w:eastAsia="zh-CN"/>
        </w:rPr>
        <w:t>设备维保商</w:t>
      </w:r>
      <w:r>
        <w:rPr>
          <w:rFonts w:hint="eastAsia"/>
          <w:color w:val="auto"/>
          <w:highlight w:val="none"/>
          <w:lang w:eastAsia="zh-CN"/>
        </w:rPr>
        <w:t>进行</w:t>
      </w:r>
      <w:r>
        <w:rPr>
          <w:rFonts w:hint="eastAsia"/>
          <w:color w:val="auto"/>
          <w:highlight w:val="none"/>
        </w:rPr>
        <w:t>公开比选，确定未来一定时期内本行智能设备维保厂商。现对重庆三峡银行智能设备维保采购项目进行公开比选，特邀请有</w:t>
      </w:r>
      <w:bookmarkStart w:id="7" w:name="_Hlk59455120"/>
      <w:r>
        <w:rPr>
          <w:rFonts w:hint="eastAsia"/>
          <w:color w:val="auto"/>
          <w:highlight w:val="none"/>
        </w:rPr>
        <w:t>意向</w:t>
      </w:r>
      <w:bookmarkEnd w:id="7"/>
      <w:r>
        <w:rPr>
          <w:rFonts w:hint="eastAsia"/>
          <w:color w:val="auto"/>
          <w:highlight w:val="none"/>
        </w:rPr>
        <w:t>的潜在</w:t>
      </w:r>
      <w:r>
        <w:rPr>
          <w:rFonts w:hint="eastAsia"/>
          <w:color w:val="auto"/>
          <w:highlight w:val="none"/>
          <w:lang w:eastAsia="zh-CN"/>
        </w:rPr>
        <w:t>参选</w:t>
      </w:r>
      <w:r>
        <w:rPr>
          <w:rFonts w:hint="eastAsia"/>
          <w:color w:val="auto"/>
          <w:highlight w:val="none"/>
        </w:rPr>
        <w:t>人进行</w:t>
      </w:r>
      <w:r>
        <w:rPr>
          <w:rFonts w:hint="eastAsia"/>
          <w:color w:val="auto"/>
          <w:highlight w:val="none"/>
          <w:lang w:eastAsia="zh-CN"/>
        </w:rPr>
        <w:t>参选</w:t>
      </w:r>
      <w:r>
        <w:rPr>
          <w:rFonts w:hint="eastAsia"/>
          <w:color w:val="auto"/>
          <w:highlight w:val="none"/>
        </w:rPr>
        <w:t>。</w:t>
      </w:r>
    </w:p>
    <w:p w14:paraId="2DBCD62B">
      <w:pPr>
        <w:pStyle w:val="3"/>
        <w:bidi w:val="0"/>
        <w:rPr>
          <w:color w:val="auto"/>
          <w:highlight w:val="none"/>
        </w:rPr>
      </w:pPr>
      <w:r>
        <w:rPr>
          <w:color w:val="auto"/>
          <w:highlight w:val="none"/>
          <w:lang w:val="en-US" w:eastAsia="zh-CN"/>
        </w:rPr>
        <w:t>1.</w:t>
      </w:r>
      <w:r>
        <w:rPr>
          <w:rFonts w:hint="eastAsia"/>
          <w:color w:val="auto"/>
          <w:highlight w:val="none"/>
          <w:lang w:val="en-US" w:eastAsia="zh-CN"/>
        </w:rPr>
        <w:t xml:space="preserve"> </w:t>
      </w:r>
      <w:r>
        <w:rPr>
          <w:rFonts w:hint="eastAsia"/>
          <w:color w:val="auto"/>
          <w:highlight w:val="none"/>
        </w:rPr>
        <w:t>比选项目内容</w:t>
      </w:r>
      <w:bookmarkEnd w:id="5"/>
      <w:bookmarkEnd w:id="6"/>
    </w:p>
    <w:p w14:paraId="0EE5E871">
      <w:pPr>
        <w:rPr>
          <w:color w:val="auto"/>
          <w:highlight w:val="none"/>
        </w:rPr>
      </w:pPr>
    </w:p>
    <w:tbl>
      <w:tblPr>
        <w:tblStyle w:val="1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49"/>
        <w:gridCol w:w="1500"/>
        <w:gridCol w:w="3049"/>
        <w:gridCol w:w="1332"/>
        <w:gridCol w:w="1039"/>
      </w:tblGrid>
      <w:tr w14:paraId="57DC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4E1BEC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序号</w:t>
            </w:r>
          </w:p>
        </w:tc>
        <w:tc>
          <w:tcPr>
            <w:tcW w:w="1649" w:type="dxa"/>
            <w:vAlign w:val="center"/>
          </w:tcPr>
          <w:p w14:paraId="2226B6E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项目名称</w:t>
            </w:r>
          </w:p>
        </w:tc>
        <w:tc>
          <w:tcPr>
            <w:tcW w:w="1500" w:type="dxa"/>
            <w:vAlign w:val="center"/>
          </w:tcPr>
          <w:p w14:paraId="1B5BCA3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hAnsi="宋体" w:cs="Cambria"/>
                <w:b/>
                <w:snapToGrid w:val="0"/>
                <w:color w:val="auto"/>
                <w:kern w:val="0"/>
                <w:sz w:val="21"/>
                <w:szCs w:val="21"/>
                <w:highlight w:val="none"/>
              </w:rPr>
            </w:pPr>
            <w:r>
              <w:rPr>
                <w:rFonts w:ascii="宋体" w:hAnsi="宋体" w:cs="Cambria"/>
                <w:b/>
                <w:snapToGrid w:val="0"/>
                <w:color w:val="auto"/>
                <w:kern w:val="0"/>
                <w:sz w:val="21"/>
                <w:szCs w:val="21"/>
                <w:highlight w:val="none"/>
              </w:rPr>
              <w:t>智能设备种类</w:t>
            </w:r>
          </w:p>
        </w:tc>
        <w:tc>
          <w:tcPr>
            <w:tcW w:w="3049" w:type="dxa"/>
            <w:vAlign w:val="center"/>
          </w:tcPr>
          <w:p w14:paraId="244B16AF">
            <w:pPr>
              <w:keepNext w:val="0"/>
              <w:keepLines w:val="0"/>
              <w:pageBreakBefore w:val="0"/>
              <w:widowControl w:val="0"/>
              <w:suppressLineNumbers w:val="0"/>
              <w:kinsoku/>
              <w:wordWrap/>
              <w:overflowPunct/>
              <w:topLinePunct w:val="0"/>
              <w:autoSpaceDE w:val="0"/>
              <w:autoSpaceDN w:val="0"/>
              <w:adjustRightInd/>
              <w:snapToGrid/>
              <w:spacing w:line="360" w:lineRule="auto"/>
              <w:ind w:firstLine="0" w:firstLineChars="0"/>
              <w:jc w:val="center"/>
              <w:rPr>
                <w:rFonts w:ascii="宋体" w:hAnsi="宋体" w:cs="Cambria"/>
                <w:b/>
                <w:snapToGrid w:val="0"/>
                <w:color w:val="auto"/>
                <w:kern w:val="0"/>
                <w:sz w:val="21"/>
                <w:szCs w:val="21"/>
                <w:highlight w:val="none"/>
                <w:lang w:eastAsia="zh-CN"/>
              </w:rPr>
            </w:pPr>
            <w:r>
              <w:rPr>
                <w:rFonts w:ascii="宋体" w:hAnsi="宋体" w:cs="Cambria"/>
                <w:b/>
                <w:snapToGrid w:val="0"/>
                <w:color w:val="auto"/>
                <w:kern w:val="0"/>
                <w:sz w:val="21"/>
                <w:szCs w:val="21"/>
                <w:highlight w:val="none"/>
                <w:lang w:eastAsia="zh-CN"/>
              </w:rPr>
              <w:t>最高限价</w:t>
            </w:r>
          </w:p>
        </w:tc>
        <w:tc>
          <w:tcPr>
            <w:tcW w:w="1332" w:type="dxa"/>
            <w:vAlign w:val="center"/>
          </w:tcPr>
          <w:p w14:paraId="5A8FE13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lang w:eastAsia="zh-CN"/>
              </w:rPr>
              <w:t>中选</w:t>
            </w:r>
            <w:r>
              <w:rPr>
                <w:rFonts w:hint="eastAsia" w:ascii="宋体" w:hAnsi="宋体" w:cs="Cambria"/>
                <w:b/>
                <w:snapToGrid w:val="0"/>
                <w:color w:val="auto"/>
                <w:kern w:val="0"/>
                <w:sz w:val="21"/>
                <w:szCs w:val="21"/>
                <w:highlight w:val="none"/>
              </w:rPr>
              <w:t>人数量</w:t>
            </w:r>
          </w:p>
        </w:tc>
        <w:tc>
          <w:tcPr>
            <w:tcW w:w="1039" w:type="dxa"/>
            <w:vAlign w:val="center"/>
          </w:tcPr>
          <w:p w14:paraId="51732CC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hint="eastAsia" w:ascii="宋体" w:eastAsia="宋体" w:cs="Cambria"/>
                <w:b/>
                <w:snapToGrid w:val="0"/>
                <w:color w:val="auto"/>
                <w:kern w:val="0"/>
                <w:sz w:val="21"/>
                <w:szCs w:val="21"/>
                <w:highlight w:val="none"/>
                <w:lang w:eastAsia="zh-CN"/>
              </w:rPr>
            </w:pPr>
            <w:r>
              <w:rPr>
                <w:rFonts w:hint="eastAsia" w:ascii="宋体" w:hAnsi="宋体" w:cs="Cambria"/>
                <w:b/>
                <w:snapToGrid w:val="0"/>
                <w:color w:val="auto"/>
                <w:kern w:val="0"/>
                <w:sz w:val="21"/>
                <w:szCs w:val="21"/>
                <w:highlight w:val="none"/>
                <w:lang w:val="en-US" w:eastAsia="zh-CN"/>
              </w:rPr>
              <w:t>备注</w:t>
            </w:r>
          </w:p>
        </w:tc>
      </w:tr>
      <w:tr w14:paraId="4901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20" w:type="dxa"/>
            <w:vAlign w:val="center"/>
          </w:tcPr>
          <w:p w14:paraId="2C4CDA25">
            <w:pPr>
              <w:pStyle w:val="31"/>
              <w:bidi w:val="0"/>
              <w:ind w:left="0" w:leftChars="0" w:right="0" w:rightChars="0" w:firstLine="0" w:firstLineChars="0"/>
              <w:jc w:val="center"/>
              <w:rPr>
                <w:color w:val="auto"/>
                <w:highlight w:val="none"/>
              </w:rPr>
            </w:pPr>
            <w:r>
              <w:rPr>
                <w:rFonts w:hint="eastAsia"/>
                <w:color w:val="auto"/>
                <w:highlight w:val="none"/>
              </w:rPr>
              <w:t>1</w:t>
            </w:r>
          </w:p>
        </w:tc>
        <w:tc>
          <w:tcPr>
            <w:tcW w:w="1649" w:type="dxa"/>
            <w:tcBorders>
              <w:top w:val="single" w:color="auto" w:sz="4" w:space="0"/>
              <w:left w:val="single" w:color="auto" w:sz="4" w:space="0"/>
              <w:right w:val="single" w:color="auto" w:sz="4" w:space="0"/>
            </w:tcBorders>
            <w:vAlign w:val="center"/>
          </w:tcPr>
          <w:p w14:paraId="798726EE">
            <w:pPr>
              <w:pStyle w:val="31"/>
              <w:bidi w:val="0"/>
              <w:ind w:left="0" w:leftChars="0" w:right="0" w:rightChars="0" w:firstLine="0" w:firstLineChars="0"/>
              <w:jc w:val="center"/>
              <w:rPr>
                <w:rFonts w:hint="eastAsia"/>
                <w:color w:val="auto"/>
                <w:highlight w:val="none"/>
                <w:lang w:val="en-US" w:eastAsia="zh-CN"/>
              </w:rPr>
            </w:pPr>
            <w:r>
              <w:rPr>
                <w:rFonts w:hint="eastAsia"/>
                <w:color w:val="auto"/>
                <w:highlight w:val="none"/>
                <w:lang w:val="en-US" w:eastAsia="zh-CN"/>
              </w:rPr>
              <w:t>重庆三峡银行</w:t>
            </w:r>
            <w:r>
              <w:rPr>
                <w:color w:val="auto"/>
                <w:highlight w:val="none"/>
              </w:rPr>
              <w:t>智能设备维保</w:t>
            </w:r>
            <w:r>
              <w:rPr>
                <w:rFonts w:hint="eastAsia"/>
                <w:color w:val="auto"/>
                <w:highlight w:val="none"/>
              </w:rPr>
              <w:t>采购</w:t>
            </w:r>
            <w:r>
              <w:rPr>
                <w:rFonts w:hint="eastAsia"/>
                <w:color w:val="auto"/>
                <w:highlight w:val="none"/>
                <w:lang w:val="en-US" w:eastAsia="zh-CN"/>
              </w:rPr>
              <w:t>项目</w:t>
            </w:r>
          </w:p>
        </w:tc>
        <w:tc>
          <w:tcPr>
            <w:tcW w:w="1500" w:type="dxa"/>
            <w:tcBorders>
              <w:top w:val="single" w:color="auto" w:sz="4" w:space="0"/>
              <w:left w:val="single" w:color="auto" w:sz="4" w:space="0"/>
              <w:right w:val="single" w:color="auto" w:sz="4" w:space="0"/>
            </w:tcBorders>
            <w:vAlign w:val="center"/>
          </w:tcPr>
          <w:p w14:paraId="06EAAE3C">
            <w:pPr>
              <w:pStyle w:val="31"/>
              <w:bidi w:val="0"/>
              <w:ind w:left="0" w:leftChars="0" w:right="0" w:rightChars="0" w:firstLine="0" w:firstLineChars="0"/>
              <w:jc w:val="left"/>
              <w:rPr>
                <w:color w:val="auto"/>
                <w:highlight w:val="none"/>
                <w:lang w:val="en-US" w:eastAsia="zh-CN"/>
              </w:rPr>
            </w:pPr>
            <w:r>
              <w:rPr>
                <w:color w:val="auto"/>
                <w:highlight w:val="none"/>
                <w:lang w:val="en-US" w:eastAsia="zh-CN"/>
              </w:rPr>
              <w:t>存取款一体机、取款机、叫号机、智能柜员机、回单机</w:t>
            </w:r>
          </w:p>
        </w:tc>
        <w:tc>
          <w:tcPr>
            <w:tcW w:w="3049" w:type="dxa"/>
            <w:tcBorders>
              <w:top w:val="single" w:color="auto" w:sz="4" w:space="0"/>
              <w:left w:val="single" w:color="auto" w:sz="4" w:space="0"/>
              <w:right w:val="single" w:color="auto" w:sz="4" w:space="0"/>
            </w:tcBorders>
            <w:vAlign w:val="center"/>
          </w:tcPr>
          <w:p w14:paraId="3542800E">
            <w:pPr>
              <w:pStyle w:val="31"/>
              <w:bidi w:val="0"/>
              <w:ind w:left="0" w:leftChars="0" w:right="0" w:rightChars="0" w:firstLine="0" w:firstLineChars="0"/>
              <w:jc w:val="left"/>
              <w:rPr>
                <w:rFonts w:hint="eastAsia"/>
                <w:color w:val="auto"/>
                <w:highlight w:val="none"/>
              </w:rPr>
            </w:pPr>
            <w:r>
              <w:rPr>
                <w:rFonts w:hint="eastAsia"/>
                <w:color w:val="auto"/>
                <w:highlight w:val="none"/>
              </w:rPr>
              <w:t>存取款一体机：4500元/台/年</w:t>
            </w:r>
          </w:p>
          <w:p w14:paraId="3B1D2E59">
            <w:pPr>
              <w:pStyle w:val="31"/>
              <w:bidi w:val="0"/>
              <w:ind w:left="0" w:leftChars="0" w:right="0" w:rightChars="0" w:firstLine="0" w:firstLineChars="0"/>
              <w:jc w:val="left"/>
              <w:rPr>
                <w:rFonts w:hint="eastAsia"/>
                <w:color w:val="auto"/>
                <w:highlight w:val="none"/>
              </w:rPr>
            </w:pPr>
            <w:r>
              <w:rPr>
                <w:rFonts w:hint="eastAsia"/>
                <w:color w:val="auto"/>
                <w:highlight w:val="none"/>
              </w:rPr>
              <w:t>取款机：2200元/台/年</w:t>
            </w:r>
          </w:p>
          <w:p w14:paraId="7A8C4A1A">
            <w:pPr>
              <w:pStyle w:val="31"/>
              <w:bidi w:val="0"/>
              <w:ind w:left="0" w:leftChars="0" w:right="0" w:rightChars="0" w:firstLine="0" w:firstLineChars="0"/>
              <w:jc w:val="left"/>
              <w:rPr>
                <w:rFonts w:hint="eastAsia"/>
                <w:color w:val="auto"/>
                <w:highlight w:val="none"/>
              </w:rPr>
            </w:pPr>
            <w:r>
              <w:rPr>
                <w:rFonts w:hint="eastAsia"/>
                <w:color w:val="auto"/>
                <w:highlight w:val="none"/>
              </w:rPr>
              <w:t>智能柜员机（非现金版）：1500元/台/年</w:t>
            </w:r>
          </w:p>
          <w:p w14:paraId="0566230A">
            <w:pPr>
              <w:pStyle w:val="31"/>
              <w:bidi w:val="0"/>
              <w:ind w:left="0" w:leftChars="0" w:right="0" w:rightChars="0" w:firstLine="0" w:firstLineChars="0"/>
              <w:jc w:val="left"/>
              <w:rPr>
                <w:rFonts w:hint="eastAsia"/>
                <w:color w:val="auto"/>
                <w:highlight w:val="none"/>
              </w:rPr>
            </w:pPr>
            <w:r>
              <w:rPr>
                <w:rFonts w:hint="eastAsia"/>
                <w:color w:val="auto"/>
                <w:highlight w:val="none"/>
              </w:rPr>
              <w:t>叫号机：800元/台/年</w:t>
            </w:r>
          </w:p>
          <w:p w14:paraId="72448550">
            <w:pPr>
              <w:pStyle w:val="31"/>
              <w:bidi w:val="0"/>
              <w:ind w:left="0" w:leftChars="0" w:right="0" w:rightChars="0" w:firstLine="0" w:firstLineChars="0"/>
              <w:jc w:val="left"/>
              <w:rPr>
                <w:color w:val="auto"/>
                <w:highlight w:val="none"/>
              </w:rPr>
            </w:pPr>
            <w:r>
              <w:rPr>
                <w:rFonts w:hint="eastAsia"/>
                <w:color w:val="auto"/>
                <w:highlight w:val="none"/>
              </w:rPr>
              <w:t>回单机：800元/台/年</w:t>
            </w:r>
          </w:p>
        </w:tc>
        <w:tc>
          <w:tcPr>
            <w:tcW w:w="1332" w:type="dxa"/>
            <w:tcBorders>
              <w:top w:val="single" w:color="auto" w:sz="4" w:space="0"/>
              <w:left w:val="single" w:color="auto" w:sz="4" w:space="0"/>
              <w:right w:val="single" w:color="auto" w:sz="4" w:space="0"/>
            </w:tcBorders>
            <w:vAlign w:val="center"/>
          </w:tcPr>
          <w:p w14:paraId="30751FEE">
            <w:pPr>
              <w:pStyle w:val="31"/>
              <w:bidi w:val="0"/>
              <w:ind w:left="0" w:leftChars="0" w:right="0" w:rightChars="0" w:firstLine="0" w:firstLineChars="0"/>
              <w:jc w:val="center"/>
              <w:rPr>
                <w:rFonts w:hint="eastAsia"/>
                <w:color w:val="auto"/>
                <w:highlight w:val="none"/>
                <w:lang w:val="en-US" w:eastAsia="zh-CN"/>
              </w:rPr>
            </w:pPr>
            <w:r>
              <w:rPr>
                <w:rFonts w:hint="eastAsia"/>
                <w:color w:val="auto"/>
                <w:highlight w:val="none"/>
                <w:lang w:val="en-US" w:eastAsia="zh-CN"/>
              </w:rPr>
              <w:t>1</w:t>
            </w:r>
          </w:p>
        </w:tc>
        <w:tc>
          <w:tcPr>
            <w:tcW w:w="1039" w:type="dxa"/>
            <w:vAlign w:val="center"/>
          </w:tcPr>
          <w:p w14:paraId="0A9890CA">
            <w:pPr>
              <w:pStyle w:val="31"/>
              <w:bidi w:val="0"/>
              <w:ind w:left="0" w:leftChars="0" w:right="0" w:rightChars="0" w:firstLine="0" w:firstLineChars="0"/>
              <w:jc w:val="center"/>
              <w:rPr>
                <w:rFonts w:hint="eastAsia"/>
                <w:color w:val="auto"/>
                <w:highlight w:val="none"/>
              </w:rPr>
            </w:pPr>
          </w:p>
        </w:tc>
      </w:tr>
    </w:tbl>
    <w:p w14:paraId="3D724BBD">
      <w:pPr>
        <w:pStyle w:val="3"/>
        <w:bidi w:val="0"/>
        <w:rPr>
          <w:color w:val="auto"/>
          <w:highlight w:val="none"/>
        </w:rPr>
      </w:pPr>
      <w:bookmarkStart w:id="8" w:name="_Toc55379219"/>
      <w:bookmarkStart w:id="9" w:name="_Toc89675128"/>
      <w:bookmarkStart w:id="10" w:name="_Toc288224935"/>
      <w:bookmarkStart w:id="11" w:name="_Toc469574664"/>
      <w:bookmarkStart w:id="12" w:name="_Toc297817088"/>
      <w:r>
        <w:rPr>
          <w:rFonts w:hint="eastAsia"/>
          <w:color w:val="auto"/>
          <w:highlight w:val="none"/>
          <w:lang w:val="en-US" w:eastAsia="zh-CN"/>
        </w:rPr>
        <w:t xml:space="preserve">2. </w:t>
      </w:r>
      <w:r>
        <w:rPr>
          <w:rFonts w:hint="eastAsia"/>
          <w:color w:val="auto"/>
          <w:highlight w:val="none"/>
        </w:rPr>
        <w:t>参选人资格要求</w:t>
      </w:r>
      <w:bookmarkEnd w:id="8"/>
      <w:bookmarkEnd w:id="9"/>
      <w:bookmarkEnd w:id="10"/>
      <w:bookmarkEnd w:id="11"/>
      <w:bookmarkEnd w:id="12"/>
    </w:p>
    <w:p w14:paraId="032F176F">
      <w:pPr>
        <w:bidi w:val="0"/>
        <w:rPr>
          <w:rFonts w:hint="eastAsia"/>
          <w:color w:val="auto"/>
          <w:highlight w:val="none"/>
          <w:lang w:val="en-US" w:eastAsia="zh-CN"/>
        </w:rPr>
      </w:pPr>
      <w:bookmarkStart w:id="13" w:name="_Hlk55488870"/>
      <w:r>
        <w:rPr>
          <w:rFonts w:hint="eastAsia"/>
          <w:color w:val="auto"/>
          <w:highlight w:val="none"/>
          <w:lang w:val="en-US" w:eastAsia="zh-CN"/>
        </w:rPr>
        <w:t>2.1 参选人应当具备承担比选项目的能力</w:t>
      </w:r>
    </w:p>
    <w:p w14:paraId="1BEBBC75">
      <w:pPr>
        <w:bidi w:val="0"/>
        <w:rPr>
          <w:rFonts w:hint="eastAsia"/>
          <w:color w:val="auto"/>
          <w:highlight w:val="none"/>
          <w:lang w:val="en-US" w:eastAsia="zh-CN"/>
        </w:rPr>
      </w:pPr>
      <w:r>
        <w:rPr>
          <w:rFonts w:hint="eastAsia"/>
          <w:color w:val="auto"/>
          <w:highlight w:val="none"/>
          <w:lang w:val="en-US" w:eastAsia="zh-CN"/>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14:paraId="2BEF9485">
      <w:pPr>
        <w:bidi w:val="0"/>
        <w:rPr>
          <w:rFonts w:hint="default"/>
          <w:color w:val="auto"/>
          <w:highlight w:val="none"/>
          <w:lang w:val="en-US" w:eastAsia="zh-CN"/>
        </w:rPr>
      </w:pPr>
      <w:r>
        <w:rPr>
          <w:rFonts w:hint="eastAsia"/>
          <w:color w:val="auto"/>
          <w:highlight w:val="none"/>
          <w:lang w:val="en-US" w:eastAsia="zh-CN"/>
        </w:rPr>
        <w:t>注：若为法定代表人（分支机构负责人）办理并签署参选文件的，不提供授权委托书。</w:t>
      </w:r>
    </w:p>
    <w:p w14:paraId="12477A58">
      <w:pPr>
        <w:bidi w:val="0"/>
        <w:rPr>
          <w:rFonts w:hint="eastAsia"/>
          <w:color w:val="auto"/>
          <w:highlight w:val="none"/>
          <w:lang w:val="en-US" w:eastAsia="zh-CN"/>
        </w:rPr>
      </w:pPr>
      <w:r>
        <w:rPr>
          <w:rFonts w:hint="eastAsia"/>
          <w:color w:val="auto"/>
          <w:highlight w:val="none"/>
          <w:lang w:val="en-US" w:eastAsia="zh-CN"/>
        </w:rPr>
        <w:t>2.2 具有良好的商业信誉和健全的财务会计制度【提供书面声明】；</w:t>
      </w:r>
    </w:p>
    <w:p w14:paraId="15E8DB70">
      <w:pPr>
        <w:bidi w:val="0"/>
        <w:rPr>
          <w:rFonts w:hint="eastAsia"/>
          <w:color w:val="auto"/>
          <w:highlight w:val="none"/>
          <w:lang w:val="en-US" w:eastAsia="zh-CN"/>
        </w:rPr>
      </w:pPr>
      <w:r>
        <w:rPr>
          <w:rFonts w:hint="eastAsia"/>
          <w:color w:val="auto"/>
          <w:highlight w:val="none"/>
          <w:lang w:val="en-US" w:eastAsia="zh-CN"/>
        </w:rPr>
        <w:t>2.3 具有履行合同所必需的设备和专业技术能力【提供书面声明】；</w:t>
      </w:r>
    </w:p>
    <w:p w14:paraId="54E1B833">
      <w:pPr>
        <w:bidi w:val="0"/>
        <w:rPr>
          <w:rFonts w:hint="eastAsia"/>
          <w:color w:val="auto"/>
          <w:highlight w:val="none"/>
          <w:lang w:val="en-US" w:eastAsia="zh-CN"/>
        </w:rPr>
      </w:pPr>
      <w:r>
        <w:rPr>
          <w:rFonts w:hint="eastAsia"/>
          <w:color w:val="auto"/>
          <w:highlight w:val="none"/>
          <w:lang w:val="en-US" w:eastAsia="zh-CN"/>
        </w:rPr>
        <w:t>2.4 有依法缴纳税收和社会保障金的良好记录【提供书面声明】；</w:t>
      </w:r>
    </w:p>
    <w:p w14:paraId="406CF30B">
      <w:pPr>
        <w:bidi w:val="0"/>
        <w:rPr>
          <w:rFonts w:hint="eastAsia"/>
          <w:color w:val="auto"/>
          <w:highlight w:val="none"/>
          <w:lang w:val="en-US" w:eastAsia="zh-CN"/>
        </w:rPr>
      </w:pPr>
      <w:r>
        <w:rPr>
          <w:rFonts w:hint="eastAsia"/>
          <w:color w:val="auto"/>
          <w:highlight w:val="none"/>
          <w:lang w:val="en-US" w:eastAsia="zh-CN"/>
        </w:rPr>
        <w:t>2.5 三年内在经营活动中没有重大违法记录【提供书面声明】；</w:t>
      </w:r>
    </w:p>
    <w:p w14:paraId="6C342F15">
      <w:pPr>
        <w:bidi w:val="0"/>
        <w:rPr>
          <w:rFonts w:hint="eastAsia"/>
          <w:color w:val="auto"/>
          <w:highlight w:val="none"/>
          <w:lang w:val="en-US" w:eastAsia="zh-CN"/>
        </w:rPr>
      </w:pPr>
      <w:r>
        <w:rPr>
          <w:rFonts w:hint="eastAsia"/>
          <w:color w:val="auto"/>
          <w:highlight w:val="none"/>
          <w:lang w:val="en-US" w:eastAsia="zh-CN"/>
        </w:rPr>
        <w:t>2.6 法人及法定代表人没有被人民法院列为失信被执行人名单（分支机构提供总公司法人及法定代表人在中国执行信息公开网截图）【提供中国执行信息公开网截图</w:t>
      </w:r>
      <w:r>
        <w:rPr>
          <w:rFonts w:hint="eastAsia" w:eastAsia="宋体"/>
          <w:color w:val="auto"/>
          <w:highlight w:val="none"/>
          <w:lang w:val="en-US" w:eastAsia="zh-CN"/>
        </w:rPr>
        <w:t>并加盖单位鲜章</w:t>
      </w:r>
      <w:r>
        <w:rPr>
          <w:rFonts w:hint="eastAsia"/>
          <w:color w:val="auto"/>
          <w:highlight w:val="none"/>
          <w:lang w:val="en-US" w:eastAsia="zh-CN"/>
        </w:rPr>
        <w:t>】；</w:t>
      </w:r>
    </w:p>
    <w:p w14:paraId="285DF1B4">
      <w:pPr>
        <w:bidi w:val="0"/>
        <w:rPr>
          <w:rFonts w:hint="eastAsia"/>
          <w:color w:val="auto"/>
          <w:highlight w:val="none"/>
          <w:lang w:val="en-US" w:eastAsia="zh-CN"/>
        </w:rPr>
      </w:pPr>
      <w:r>
        <w:rPr>
          <w:rFonts w:hint="eastAsia"/>
          <w:color w:val="auto"/>
          <w:highlight w:val="none"/>
          <w:lang w:val="en-US" w:eastAsia="zh-CN"/>
        </w:rPr>
        <w:t>2.7 本项目不允许任何形式的转包【提供书面声明】；</w:t>
      </w:r>
    </w:p>
    <w:p w14:paraId="0A4F3B59">
      <w:pPr>
        <w:bidi w:val="0"/>
        <w:rPr>
          <w:rFonts w:hint="eastAsia"/>
          <w:color w:val="auto"/>
          <w:highlight w:val="none"/>
          <w:lang w:val="en-US" w:eastAsia="zh-CN"/>
        </w:rPr>
      </w:pPr>
      <w:r>
        <w:rPr>
          <w:rFonts w:hint="eastAsia"/>
          <w:color w:val="auto"/>
          <w:highlight w:val="none"/>
          <w:lang w:val="en-US" w:eastAsia="zh-CN"/>
        </w:rPr>
        <w:t>2.8 本次比选不接受联合体参选；</w:t>
      </w:r>
    </w:p>
    <w:p w14:paraId="13532DE5">
      <w:pPr>
        <w:bidi w:val="0"/>
        <w:rPr>
          <w:rFonts w:hint="eastAsia"/>
          <w:color w:val="auto"/>
          <w:highlight w:val="none"/>
          <w:lang w:val="en-US" w:eastAsia="zh-CN"/>
        </w:rPr>
      </w:pPr>
      <w:r>
        <w:rPr>
          <w:rFonts w:hint="eastAsia"/>
          <w:color w:val="auto"/>
          <w:highlight w:val="none"/>
          <w:lang w:val="en-US" w:eastAsia="zh-CN"/>
        </w:rPr>
        <w:t xml:space="preserve">2.9 </w:t>
      </w:r>
      <w:r>
        <w:rPr>
          <w:rFonts w:hint="eastAsia" w:ascii="宋体" w:eastAsia="宋体" w:cs="宋体"/>
          <w:color w:val="auto"/>
          <w:highlight w:val="none"/>
          <w:lang w:bidi="ar-SA"/>
        </w:rPr>
        <w:t>本地具备维护人员和配件库</w:t>
      </w:r>
      <w:r>
        <w:rPr>
          <w:rFonts w:hint="eastAsia" w:ascii="宋体" w:hAnsi="宋体" w:cs="宋体"/>
          <w:color w:val="auto"/>
          <w:highlight w:val="none"/>
          <w:lang w:eastAsia="zh-CN" w:bidi="ar-SA"/>
        </w:rPr>
        <w:t>【提供重庆市内内房屋租赁合同</w:t>
      </w:r>
      <w:r>
        <w:rPr>
          <w:rFonts w:hint="eastAsia" w:ascii="宋体" w:hAnsi="宋体" w:cs="宋体"/>
          <w:color w:val="auto"/>
          <w:highlight w:val="none"/>
          <w:lang w:val="en-US" w:eastAsia="zh-CN" w:bidi="ar-SA"/>
        </w:rPr>
        <w:t>或</w:t>
      </w:r>
      <w:r>
        <w:rPr>
          <w:rFonts w:hint="eastAsia" w:ascii="宋体" w:hAnsi="宋体" w:cs="宋体"/>
          <w:color w:val="auto"/>
          <w:highlight w:val="none"/>
          <w:lang w:eastAsia="zh-CN" w:bidi="ar-SA"/>
        </w:rPr>
        <w:t>产权证明】</w:t>
      </w:r>
      <w:r>
        <w:rPr>
          <w:rFonts w:hint="eastAsia"/>
          <w:color w:val="auto"/>
          <w:highlight w:val="none"/>
        </w:rPr>
        <w:t>；</w:t>
      </w:r>
    </w:p>
    <w:p w14:paraId="48FDD3CA">
      <w:pPr>
        <w:bidi w:val="0"/>
        <w:rPr>
          <w:color w:val="auto"/>
          <w:highlight w:val="none"/>
        </w:rPr>
      </w:pPr>
      <w:r>
        <w:rPr>
          <w:rFonts w:hint="eastAsia"/>
          <w:color w:val="auto"/>
          <w:highlight w:val="none"/>
        </w:rPr>
        <w:t>注:以上证明文件若比选人存疑，参选人需提供原件备查，参选文件中须附相关证明文件复印件并逐页加盖公章。</w:t>
      </w:r>
    </w:p>
    <w:p w14:paraId="6EEF94F4">
      <w:pPr>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bookmarkEnd w:id="13"/>
      <w:bookmarkStart w:id="14" w:name="_Toc55379220"/>
      <w:bookmarkStart w:id="15" w:name="_Toc469574667"/>
      <w:bookmarkStart w:id="16" w:name="_Toc297817090"/>
      <w:bookmarkStart w:id="17" w:name="_Toc89675130"/>
    </w:p>
    <w:p w14:paraId="69762995">
      <w:pPr>
        <w:pStyle w:val="3"/>
        <w:bidi w:val="0"/>
        <w:rPr>
          <w:color w:val="auto"/>
          <w:highlight w:val="none"/>
        </w:rPr>
      </w:pPr>
      <w:r>
        <w:rPr>
          <w:rFonts w:hint="eastAsia"/>
          <w:color w:val="auto"/>
          <w:highlight w:val="none"/>
          <w:lang w:val="en-US" w:eastAsia="zh-CN"/>
        </w:rPr>
        <w:t xml:space="preserve">3. </w:t>
      </w:r>
      <w:r>
        <w:rPr>
          <w:rFonts w:hint="eastAsia"/>
          <w:color w:val="auto"/>
          <w:highlight w:val="none"/>
        </w:rPr>
        <w:t>比选文件的获取</w:t>
      </w:r>
      <w:bookmarkEnd w:id="14"/>
    </w:p>
    <w:p w14:paraId="7069A922">
      <w:pPr>
        <w:bidi w:val="0"/>
        <w:rPr>
          <w:rFonts w:hint="default"/>
          <w:color w:val="auto"/>
          <w:highlight w:val="none"/>
          <w:lang w:val="en-US" w:eastAsia="zh-CN"/>
        </w:rPr>
      </w:pPr>
      <w:r>
        <w:rPr>
          <w:rFonts w:hint="eastAsia"/>
          <w:color w:val="auto"/>
          <w:highlight w:val="none"/>
          <w:lang w:val="en-US" w:eastAsia="zh-CN"/>
        </w:rPr>
        <w:t>3.1 参选截止时间：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11</w:t>
      </w:r>
      <w:r>
        <w:rPr>
          <w:rFonts w:hint="eastAsia"/>
          <w:color w:val="auto"/>
          <w:highlight w:val="none"/>
        </w:rPr>
        <w:t>月</w:t>
      </w:r>
      <w:r>
        <w:rPr>
          <w:rFonts w:hint="eastAsia"/>
          <w:color w:val="auto"/>
          <w:highlight w:val="none"/>
          <w:u w:val="single"/>
          <w:lang w:val="en-US" w:eastAsia="zh-CN"/>
        </w:rPr>
        <w:t>1</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3F8E5318">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14</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3F97ACB9">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17</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2320EEC5">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3E4531FB">
      <w:pPr>
        <w:pStyle w:val="3"/>
        <w:bidi w:val="0"/>
        <w:rPr>
          <w:color w:val="auto"/>
          <w:highlight w:val="none"/>
        </w:rPr>
      </w:pPr>
      <w:bookmarkStart w:id="18" w:name="_Toc55379221"/>
      <w:r>
        <w:rPr>
          <w:rFonts w:hint="eastAsia"/>
          <w:color w:val="auto"/>
          <w:highlight w:val="none"/>
          <w:lang w:val="en-US" w:eastAsia="zh-CN"/>
        </w:rPr>
        <w:t>4. 参选</w:t>
      </w:r>
      <w:r>
        <w:rPr>
          <w:rFonts w:hint="eastAsia"/>
          <w:color w:val="auto"/>
          <w:highlight w:val="none"/>
        </w:rPr>
        <w:t>保证金的递交</w:t>
      </w:r>
      <w:bookmarkEnd w:id="15"/>
      <w:bookmarkEnd w:id="16"/>
      <w:bookmarkEnd w:id="17"/>
      <w:bookmarkEnd w:id="18"/>
    </w:p>
    <w:p w14:paraId="6E8E5722">
      <w:pPr>
        <w:bidi w:val="0"/>
        <w:rPr>
          <w:color w:val="auto"/>
          <w:highlight w:val="none"/>
        </w:rPr>
      </w:pPr>
      <w:bookmarkStart w:id="19" w:name="_Toc297817091"/>
      <w:bookmarkStart w:id="20" w:name="_Toc89675131"/>
      <w:bookmarkStart w:id="21" w:name="_Toc469574668"/>
      <w:bookmarkStart w:id="22" w:name="_Toc55379222"/>
      <w:r>
        <w:rPr>
          <w:rFonts w:hint="eastAsia"/>
          <w:color w:val="auto"/>
          <w:highlight w:val="none"/>
          <w:lang w:val="en-US" w:eastAsia="zh-CN"/>
        </w:rPr>
        <w:t>4.</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参选保证金的金额：</w:t>
      </w:r>
      <w:r>
        <w:rPr>
          <w:rFonts w:hint="eastAsia"/>
          <w:b/>
          <w:bCs/>
          <w:color w:val="auto"/>
          <w:highlight w:val="none"/>
          <w:u w:val="single"/>
          <w:lang w:val="en-US" w:eastAsia="zh-CN"/>
        </w:rPr>
        <w:t xml:space="preserve"> 10000 </w:t>
      </w:r>
      <w:r>
        <w:rPr>
          <w:rFonts w:hint="eastAsia"/>
          <w:b/>
          <w:bCs/>
          <w:color w:val="auto"/>
          <w:highlight w:val="none"/>
        </w:rPr>
        <w:t>元整（大写：</w:t>
      </w:r>
      <w:r>
        <w:rPr>
          <w:rFonts w:hint="eastAsia"/>
          <w:b/>
          <w:bCs/>
          <w:color w:val="auto"/>
          <w:highlight w:val="none"/>
          <w:u w:val="single"/>
          <w:lang w:val="en-US" w:eastAsia="zh-CN"/>
        </w:rPr>
        <w:t xml:space="preserve"> 壹万元整 </w:t>
      </w:r>
      <w:r>
        <w:rPr>
          <w:rFonts w:hint="eastAsia"/>
          <w:b/>
          <w:bCs/>
          <w:color w:val="auto"/>
          <w:highlight w:val="none"/>
        </w:rPr>
        <w:t>）</w:t>
      </w:r>
      <w:r>
        <w:rPr>
          <w:rFonts w:hint="eastAsia"/>
          <w:color w:val="auto"/>
          <w:highlight w:val="none"/>
        </w:rPr>
        <w:t>。</w:t>
      </w:r>
    </w:p>
    <w:p w14:paraId="725C943A">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参选保证金缴纳方式：参选人从参选人的银行账户，通过转账或电汇方式直接划付至下面指定的账户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14:paraId="04B482F1">
      <w:pPr>
        <w:bidi w:val="0"/>
        <w:rPr>
          <w:rFonts w:hint="eastAsia"/>
          <w:color w:val="auto"/>
          <w:highlight w:val="none"/>
        </w:rPr>
      </w:pPr>
      <w:r>
        <w:rPr>
          <w:rFonts w:hint="eastAsia"/>
          <w:b/>
          <w:bCs/>
          <w:color w:val="auto"/>
          <w:highlight w:val="none"/>
        </w:rPr>
        <w:t>参选人必须在付款凭证备注栏中注明</w:t>
      </w:r>
      <w:r>
        <w:rPr>
          <w:rFonts w:hint="eastAsia"/>
          <w:b/>
          <w:bCs/>
          <w:color w:val="auto"/>
          <w:highlight w:val="none"/>
          <w:lang w:val="en-US" w:eastAsia="zh-CN"/>
        </w:rPr>
        <w:t>项目简称</w:t>
      </w:r>
      <w:r>
        <w:rPr>
          <w:rFonts w:hint="eastAsia"/>
          <w:b/>
          <w:bCs/>
          <w:color w:val="auto"/>
          <w:highlight w:val="none"/>
        </w:rPr>
        <w:t>。可简写成：</w:t>
      </w:r>
      <w:r>
        <w:rPr>
          <w:b/>
          <w:bCs/>
          <w:color w:val="auto"/>
          <w:highlight w:val="none"/>
          <w:u w:val="single"/>
          <w:lang w:val="en-US" w:eastAsia="zh-CN"/>
        </w:rPr>
        <w:t>智能设备维保</w:t>
      </w:r>
      <w:r>
        <w:rPr>
          <w:rFonts w:hint="eastAsia"/>
          <w:b/>
          <w:bCs/>
          <w:color w:val="auto"/>
          <w:highlight w:val="none"/>
          <w:lang w:eastAsia="zh-CN"/>
        </w:rPr>
        <w:t>项目</w:t>
      </w:r>
      <w:r>
        <w:rPr>
          <w:rFonts w:hint="eastAsia"/>
          <w:b/>
          <w:bCs/>
          <w:color w:val="auto"/>
          <w:highlight w:val="none"/>
        </w:rPr>
        <w:t>。</w:t>
      </w:r>
    </w:p>
    <w:p w14:paraId="6BC3D3ED">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11</w:t>
      </w:r>
      <w:r>
        <w:rPr>
          <w:rFonts w:hint="eastAsia"/>
          <w:color w:val="auto"/>
          <w:highlight w:val="none"/>
        </w:rPr>
        <w:t>月</w:t>
      </w:r>
      <w:r>
        <w:rPr>
          <w:rFonts w:hint="eastAsia"/>
          <w:color w:val="auto"/>
          <w:highlight w:val="none"/>
          <w:u w:val="single"/>
          <w:lang w:val="en-US" w:eastAsia="zh-CN"/>
        </w:rPr>
        <w:t>1</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0351ED4B">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6593E6CC">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2B4B1511">
      <w:pPr>
        <w:bidi w:val="0"/>
        <w:rPr>
          <w:color w:val="auto"/>
          <w:highlight w:val="none"/>
        </w:rPr>
      </w:pPr>
      <w:r>
        <w:rPr>
          <w:rFonts w:hint="eastAsia"/>
          <w:color w:val="auto"/>
          <w:highlight w:val="none"/>
        </w:rPr>
        <w:t>参选保证金以重庆市公共资源交易中心比选现场展示的保证金交纳情况为准。</w:t>
      </w:r>
    </w:p>
    <w:bookmarkEnd w:id="19"/>
    <w:bookmarkEnd w:id="20"/>
    <w:bookmarkEnd w:id="21"/>
    <w:bookmarkEnd w:id="22"/>
    <w:p w14:paraId="66FACF0A">
      <w:pPr>
        <w:pStyle w:val="3"/>
        <w:bidi w:val="0"/>
        <w:rPr>
          <w:color w:val="auto"/>
          <w:highlight w:val="none"/>
        </w:rPr>
      </w:pPr>
      <w:r>
        <w:rPr>
          <w:rFonts w:hint="eastAsia"/>
          <w:color w:val="auto"/>
          <w:highlight w:val="none"/>
          <w:lang w:val="en-US" w:eastAsia="zh-CN"/>
        </w:rPr>
        <w:t xml:space="preserve">5. </w:t>
      </w:r>
      <w:r>
        <w:rPr>
          <w:rFonts w:hint="eastAsia"/>
          <w:color w:val="auto"/>
          <w:highlight w:val="none"/>
        </w:rPr>
        <w:t>参选文件的递交</w:t>
      </w:r>
    </w:p>
    <w:p w14:paraId="7543F7FD">
      <w:pPr>
        <w:bidi w:val="0"/>
        <w:rPr>
          <w:color w:val="auto"/>
          <w:highlight w:val="none"/>
        </w:rPr>
      </w:pPr>
      <w:bookmarkStart w:id="23" w:name="_Toc469574669"/>
      <w:bookmarkStart w:id="24" w:name="_Toc89675132"/>
      <w:bookmarkStart w:id="25" w:name="_Toc55379223"/>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11</w:t>
      </w:r>
      <w:r>
        <w:rPr>
          <w:rFonts w:hint="eastAsia"/>
          <w:color w:val="auto"/>
          <w:highlight w:val="none"/>
        </w:rPr>
        <w:t>月</w:t>
      </w:r>
      <w:r>
        <w:rPr>
          <w:rFonts w:hint="eastAsia"/>
          <w:color w:val="auto"/>
          <w:highlight w:val="none"/>
          <w:u w:val="single"/>
          <w:lang w:val="en-US" w:eastAsia="zh-CN"/>
        </w:rPr>
        <w:t>1</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193397BB">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color w:val="auto"/>
          <w:highlight w:val="none"/>
          <w:lang w:eastAsia="zh-CN"/>
        </w:rPr>
        <w:t>登录</w:t>
      </w:r>
      <w:r>
        <w:rPr>
          <w:rFonts w:hint="eastAsia"/>
          <w:color w:val="auto"/>
          <w:highlight w:val="none"/>
        </w:rPr>
        <w:t>重庆市公共资源交易网（www.cqggzy.com）查询或递交文件当日见交易中心大厅电子显示屏）。</w:t>
      </w:r>
    </w:p>
    <w:p w14:paraId="42EB3FE6">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78A7401E">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发布公告的媒介</w:t>
      </w:r>
      <w:bookmarkEnd w:id="23"/>
      <w:bookmarkEnd w:id="24"/>
      <w:bookmarkEnd w:id="25"/>
    </w:p>
    <w:p w14:paraId="3516BE25">
      <w:pPr>
        <w:bidi w:val="0"/>
        <w:rPr>
          <w:color w:val="auto"/>
          <w:highlight w:val="none"/>
        </w:rPr>
      </w:pPr>
      <w:bookmarkStart w:id="26" w:name="_Toc469574670"/>
      <w:bookmarkStart w:id="27" w:name="_Toc250565211"/>
      <w:bookmarkStart w:id="28" w:name="_Toc55379224"/>
      <w:bookmarkStart w:id="29" w:name="_Toc89675133"/>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5A19E469">
      <w:pPr>
        <w:pStyle w:val="3"/>
        <w:bidi w:val="0"/>
        <w:rPr>
          <w:rFonts w:hint="eastAsia"/>
          <w:color w:val="auto"/>
          <w:highlight w:val="none"/>
        </w:rPr>
      </w:pPr>
      <w:r>
        <w:rPr>
          <w:rFonts w:hint="eastAsia"/>
          <w:color w:val="auto"/>
          <w:highlight w:val="none"/>
          <w:lang w:val="en-US" w:eastAsia="zh-CN"/>
        </w:rPr>
        <w:t xml:space="preserve">7. </w:t>
      </w:r>
      <w:r>
        <w:rPr>
          <w:rFonts w:hint="eastAsia"/>
          <w:color w:val="auto"/>
          <w:highlight w:val="none"/>
        </w:rPr>
        <w:t>联系方式</w:t>
      </w:r>
      <w:bookmarkEnd w:id="26"/>
      <w:bookmarkEnd w:id="27"/>
      <w:bookmarkEnd w:id="28"/>
      <w:bookmarkEnd w:id="29"/>
    </w:p>
    <w:tbl>
      <w:tblPr>
        <w:tblStyle w:val="15"/>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0"/>
        <w:gridCol w:w="5333"/>
      </w:tblGrid>
      <w:tr w14:paraId="7488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single" w:color="auto" w:sz="4" w:space="0"/>
              <w:left w:val="single" w:color="auto" w:sz="4" w:space="0"/>
              <w:bottom w:val="nil"/>
              <w:right w:val="single" w:color="auto" w:sz="4" w:space="0"/>
            </w:tcBorders>
          </w:tcPr>
          <w:p w14:paraId="0D83294C">
            <w:pPr>
              <w:pStyle w:val="31"/>
              <w:bidi w:val="0"/>
              <w:rPr>
                <w:rFonts w:hint="eastAsia"/>
                <w:color w:val="auto"/>
                <w:highlight w:val="none"/>
              </w:rPr>
            </w:pPr>
            <w:r>
              <w:rPr>
                <w:rFonts w:hint="eastAsia"/>
                <w:color w:val="auto"/>
                <w:highlight w:val="none"/>
              </w:rPr>
              <w:t>7.1 项目需求咨询</w:t>
            </w:r>
          </w:p>
        </w:tc>
      </w:tr>
      <w:tr w14:paraId="03AF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tcPr>
          <w:p w14:paraId="344B7188">
            <w:pPr>
              <w:pStyle w:val="31"/>
              <w:bidi w:val="0"/>
              <w:rPr>
                <w:rFonts w:hint="eastAsia"/>
                <w:color w:val="auto"/>
                <w:highlight w:val="none"/>
              </w:rPr>
            </w:pPr>
            <w:r>
              <w:rPr>
                <w:rFonts w:hint="eastAsia"/>
                <w:color w:val="auto"/>
                <w:highlight w:val="none"/>
              </w:rPr>
              <w:t>项目联系人：</w:t>
            </w:r>
            <w:r>
              <w:rPr>
                <w:color w:val="auto"/>
                <w:highlight w:val="none"/>
              </w:rPr>
              <w:t>曾涛</w:t>
            </w:r>
          </w:p>
        </w:tc>
        <w:tc>
          <w:tcPr>
            <w:tcW w:w="5333" w:type="dxa"/>
            <w:tcBorders>
              <w:top w:val="nil"/>
              <w:left w:val="nil"/>
              <w:bottom w:val="nil"/>
              <w:right w:val="single" w:color="auto" w:sz="4" w:space="0"/>
            </w:tcBorders>
          </w:tcPr>
          <w:p w14:paraId="4F21F6DC">
            <w:pPr>
              <w:pStyle w:val="31"/>
              <w:bidi w:val="0"/>
              <w:rPr>
                <w:rFonts w:hint="eastAsia"/>
                <w:color w:val="auto"/>
                <w:highlight w:val="none"/>
              </w:rPr>
            </w:pPr>
            <w:r>
              <w:rPr>
                <w:rFonts w:hint="eastAsia"/>
                <w:color w:val="auto"/>
                <w:highlight w:val="none"/>
              </w:rPr>
              <w:t>联系方式：023-888900</w:t>
            </w:r>
            <w:r>
              <w:rPr>
                <w:color w:val="auto"/>
                <w:highlight w:val="none"/>
              </w:rPr>
              <w:t>79</w:t>
            </w:r>
          </w:p>
        </w:tc>
      </w:tr>
      <w:tr w14:paraId="063B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3844E65B">
            <w:pPr>
              <w:pStyle w:val="31"/>
              <w:bidi w:val="0"/>
              <w:rPr>
                <w:rFonts w:hint="eastAsia"/>
                <w:color w:val="auto"/>
                <w:highlight w:val="none"/>
              </w:rPr>
            </w:pPr>
          </w:p>
        </w:tc>
      </w:tr>
      <w:tr w14:paraId="51AF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58FF8FC1">
            <w:pPr>
              <w:pStyle w:val="31"/>
              <w:bidi w:val="0"/>
              <w:rPr>
                <w:rFonts w:hint="eastAsia"/>
                <w:color w:val="auto"/>
                <w:highlight w:val="none"/>
              </w:rPr>
            </w:pPr>
            <w:r>
              <w:rPr>
                <w:rFonts w:hint="eastAsia"/>
                <w:color w:val="auto"/>
                <w:highlight w:val="none"/>
              </w:rPr>
              <w:t>7.2 项目流程咨询</w:t>
            </w:r>
          </w:p>
        </w:tc>
      </w:tr>
      <w:tr w14:paraId="0F4F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519616D1">
            <w:pPr>
              <w:pStyle w:val="31"/>
              <w:bidi w:val="0"/>
              <w:rPr>
                <w:rFonts w:hint="eastAsia"/>
                <w:color w:val="auto"/>
                <w:highlight w:val="none"/>
              </w:rPr>
            </w:pPr>
            <w:r>
              <w:rPr>
                <w:rFonts w:hint="eastAsia"/>
                <w:color w:val="auto"/>
                <w:highlight w:val="none"/>
              </w:rPr>
              <w:t>平台服务机构：重庆联合产权交易所集团股份有限公司</w:t>
            </w:r>
          </w:p>
        </w:tc>
      </w:tr>
      <w:tr w14:paraId="704C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tcPr>
          <w:p w14:paraId="6652BD2F">
            <w:pPr>
              <w:pStyle w:val="31"/>
              <w:bidi w:val="0"/>
              <w:rPr>
                <w:rFonts w:hint="eastAsia"/>
                <w:color w:val="auto"/>
                <w:highlight w:val="none"/>
              </w:rPr>
            </w:pPr>
            <w:r>
              <w:rPr>
                <w:rFonts w:hint="eastAsia"/>
                <w:color w:val="auto"/>
                <w:highlight w:val="none"/>
              </w:rPr>
              <w:t>平台联系人：罗老师</w:t>
            </w:r>
          </w:p>
        </w:tc>
        <w:tc>
          <w:tcPr>
            <w:tcW w:w="5333" w:type="dxa"/>
            <w:tcBorders>
              <w:top w:val="nil"/>
              <w:left w:val="nil"/>
              <w:bottom w:val="nil"/>
              <w:right w:val="single" w:color="auto" w:sz="4" w:space="0"/>
            </w:tcBorders>
          </w:tcPr>
          <w:p w14:paraId="0D4B227F">
            <w:pPr>
              <w:pStyle w:val="31"/>
              <w:bidi w:val="0"/>
              <w:rPr>
                <w:rFonts w:hint="eastAsia"/>
                <w:color w:val="auto"/>
                <w:highlight w:val="none"/>
              </w:rPr>
            </w:pPr>
            <w:r>
              <w:rPr>
                <w:rFonts w:hint="eastAsia"/>
                <w:color w:val="auto"/>
                <w:highlight w:val="none"/>
              </w:rPr>
              <w:t>联系方式：023-63621694</w:t>
            </w:r>
          </w:p>
        </w:tc>
      </w:tr>
      <w:tr w14:paraId="19C4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6D544CFB">
            <w:pPr>
              <w:pStyle w:val="31"/>
              <w:bidi w:val="0"/>
              <w:rPr>
                <w:rFonts w:hint="eastAsia"/>
                <w:color w:val="auto"/>
                <w:highlight w:val="none"/>
              </w:rPr>
            </w:pPr>
          </w:p>
        </w:tc>
      </w:tr>
      <w:tr w14:paraId="6B9B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7EA6F2CC">
            <w:pPr>
              <w:pStyle w:val="31"/>
              <w:bidi w:val="0"/>
              <w:rPr>
                <w:rFonts w:hint="eastAsia"/>
                <w:color w:val="auto"/>
                <w:highlight w:val="none"/>
              </w:rPr>
            </w:pPr>
            <w:r>
              <w:rPr>
                <w:rFonts w:hint="eastAsia"/>
                <w:color w:val="auto"/>
                <w:highlight w:val="none"/>
              </w:rPr>
              <w:t>7.3 比选人联系方式</w:t>
            </w:r>
          </w:p>
        </w:tc>
      </w:tr>
      <w:tr w14:paraId="3F690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tcPr>
          <w:p w14:paraId="5BB35B65">
            <w:pPr>
              <w:pStyle w:val="31"/>
              <w:bidi w:val="0"/>
              <w:rPr>
                <w:rFonts w:hint="eastAsia"/>
                <w:color w:val="auto"/>
                <w:highlight w:val="none"/>
              </w:rPr>
            </w:pPr>
            <w:r>
              <w:rPr>
                <w:rFonts w:hint="eastAsia"/>
                <w:color w:val="auto"/>
                <w:highlight w:val="none"/>
              </w:rPr>
              <w:t>联系人：敬希</w:t>
            </w:r>
          </w:p>
        </w:tc>
        <w:tc>
          <w:tcPr>
            <w:tcW w:w="5333" w:type="dxa"/>
            <w:tcBorders>
              <w:top w:val="nil"/>
              <w:left w:val="nil"/>
              <w:bottom w:val="nil"/>
              <w:right w:val="single" w:color="auto" w:sz="4" w:space="0"/>
            </w:tcBorders>
          </w:tcPr>
          <w:p w14:paraId="4108A91E">
            <w:pPr>
              <w:pStyle w:val="31"/>
              <w:bidi w:val="0"/>
              <w:rPr>
                <w:rFonts w:hint="eastAsia"/>
                <w:color w:val="auto"/>
                <w:highlight w:val="none"/>
              </w:rPr>
            </w:pPr>
            <w:r>
              <w:rPr>
                <w:rFonts w:hint="eastAsia"/>
                <w:color w:val="auto"/>
                <w:highlight w:val="none"/>
              </w:rPr>
              <w:t>联系方式：023-88890395</w:t>
            </w:r>
          </w:p>
        </w:tc>
      </w:tr>
      <w:tr w14:paraId="64211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single" w:color="auto" w:sz="4" w:space="0"/>
              <w:right w:val="single" w:color="auto" w:sz="4" w:space="0"/>
            </w:tcBorders>
          </w:tcPr>
          <w:p w14:paraId="4C3641BD">
            <w:pPr>
              <w:pStyle w:val="31"/>
              <w:bidi w:val="0"/>
              <w:rPr>
                <w:rFonts w:hint="eastAsia"/>
                <w:color w:val="auto"/>
                <w:highlight w:val="none"/>
              </w:rPr>
            </w:pPr>
            <w:r>
              <w:rPr>
                <w:rFonts w:hint="eastAsia"/>
                <w:color w:val="auto"/>
                <w:highlight w:val="none"/>
              </w:rPr>
              <w:t>比选人地址：重庆市渝北区嘉州路88号中渝国际都会4号写字楼21层</w:t>
            </w:r>
          </w:p>
        </w:tc>
      </w:tr>
    </w:tbl>
    <w:p w14:paraId="77A60EEB">
      <w:pPr>
        <w:rPr>
          <w:color w:val="auto"/>
          <w:highlight w:val="none"/>
        </w:rPr>
      </w:pPr>
    </w:p>
    <w:p w14:paraId="7CF647F1">
      <w:pPr>
        <w:bidi w:val="0"/>
        <w:rPr>
          <w:color w:val="auto"/>
          <w:highlight w:val="none"/>
        </w:rPr>
      </w:pPr>
    </w:p>
    <w:p w14:paraId="7FF9503C">
      <w:pPr>
        <w:spacing w:line="240" w:lineRule="auto"/>
        <w:ind w:firstLine="0" w:firstLineChars="0"/>
        <w:jc w:val="right"/>
        <w:rPr>
          <w:rFonts w:hint="eastAsia"/>
          <w:color w:val="auto"/>
          <w:highlight w:val="none"/>
        </w:rPr>
      </w:pPr>
      <w:bookmarkStart w:id="250" w:name="_GoBack"/>
      <w:bookmarkEnd w:id="250"/>
    </w:p>
    <w:p w14:paraId="0AF5FE70">
      <w:pPr>
        <w:spacing w:line="240" w:lineRule="auto"/>
        <w:ind w:firstLine="0" w:firstLineChars="0"/>
        <w:jc w:val="right"/>
        <w:rPr>
          <w:color w:val="auto"/>
          <w:highlight w:val="none"/>
        </w:rPr>
      </w:pPr>
      <w:r>
        <w:rPr>
          <w:rFonts w:hint="eastAsia"/>
          <w:color w:val="auto"/>
          <w:highlight w:val="none"/>
        </w:rPr>
        <w:t>重庆三峡银行股份有限公司</w:t>
      </w:r>
    </w:p>
    <w:p w14:paraId="14DD1B5A">
      <w:pPr>
        <w:bidi w:val="0"/>
        <w:jc w:val="right"/>
        <w:rPr>
          <w:color w:val="auto"/>
          <w:highlight w:val="none"/>
        </w:rPr>
      </w:pPr>
      <w:r>
        <w:rPr>
          <w:rFonts w:hint="eastAsia"/>
          <w:color w:val="auto"/>
          <w:highlight w:val="none"/>
        </w:rPr>
        <w:t>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14</w:t>
      </w:r>
      <w:r>
        <w:rPr>
          <w:rFonts w:hint="eastAsia"/>
          <w:color w:val="auto"/>
          <w:highlight w:val="none"/>
        </w:rPr>
        <w:t>日</w:t>
      </w:r>
    </w:p>
    <w:p w14:paraId="0DE75F8F">
      <w:pPr>
        <w:bidi w:val="0"/>
        <w:rPr>
          <w:color w:val="auto"/>
          <w:highlight w:val="none"/>
        </w:rPr>
      </w:pPr>
      <w:r>
        <w:rPr>
          <w:color w:val="auto"/>
          <w:highlight w:val="none"/>
        </w:rPr>
        <w:br w:type="page"/>
      </w:r>
    </w:p>
    <w:p w14:paraId="4D924125">
      <w:pPr>
        <w:pStyle w:val="2"/>
        <w:bidi w:val="0"/>
        <w:rPr>
          <w:color w:val="auto"/>
          <w:highlight w:val="none"/>
        </w:rPr>
      </w:pPr>
      <w:bookmarkStart w:id="30" w:name="_Toc13360"/>
      <w:bookmarkStart w:id="31" w:name="_Toc89675159"/>
      <w:bookmarkStart w:id="32" w:name="_Toc303066033"/>
      <w:bookmarkStart w:id="33" w:name="_Toc18519"/>
      <w:r>
        <w:rPr>
          <w:rFonts w:hint="eastAsia"/>
          <w:color w:val="auto"/>
          <w:highlight w:val="none"/>
        </w:rPr>
        <w:t>第二章 参选人须知</w:t>
      </w:r>
      <w:bookmarkEnd w:id="30"/>
      <w:bookmarkEnd w:id="31"/>
      <w:bookmarkEnd w:id="32"/>
      <w:bookmarkEnd w:id="33"/>
    </w:p>
    <w:p w14:paraId="69F1D4E1">
      <w:pPr>
        <w:pStyle w:val="3"/>
        <w:bidi w:val="0"/>
        <w:rPr>
          <w:color w:val="auto"/>
          <w:highlight w:val="none"/>
          <w:lang w:val="en-US" w:eastAsia="zh-CN"/>
        </w:rPr>
      </w:pPr>
      <w:bookmarkStart w:id="34" w:name="_Toc89675160"/>
      <w:r>
        <w:rPr>
          <w:rFonts w:hint="eastAsia"/>
          <w:color w:val="auto"/>
          <w:highlight w:val="none"/>
          <w:lang w:val="en-US" w:eastAsia="zh-CN"/>
        </w:rPr>
        <w:t>1. 项目信息</w:t>
      </w:r>
    </w:p>
    <w:p w14:paraId="4488D422">
      <w:pPr>
        <w:pStyle w:val="4"/>
        <w:bidi w:val="0"/>
        <w:rPr>
          <w:color w:val="auto"/>
          <w:highlight w:val="none"/>
          <w:lang w:val="en-US" w:eastAsia="zh-CN"/>
        </w:rPr>
      </w:pPr>
      <w:r>
        <w:rPr>
          <w:rFonts w:hint="eastAsia"/>
          <w:color w:val="auto"/>
          <w:highlight w:val="none"/>
          <w:lang w:val="en-US" w:eastAsia="zh-CN"/>
        </w:rPr>
        <w:t>1.1 比选人</w:t>
      </w:r>
    </w:p>
    <w:p w14:paraId="74A51406">
      <w:pPr>
        <w:bidi w:val="0"/>
        <w:rPr>
          <w:rFonts w:hint="eastAsia" w:eastAsia="宋体"/>
          <w:color w:val="auto"/>
          <w:highlight w:val="none"/>
          <w:lang w:eastAsia="zh-CN"/>
        </w:rPr>
      </w:pPr>
      <w:r>
        <w:rPr>
          <w:color w:val="auto"/>
          <w:highlight w:val="none"/>
        </w:rPr>
        <w:t>重庆三峡银行股份有限公司</w:t>
      </w:r>
      <w:r>
        <w:rPr>
          <w:rFonts w:hint="eastAsia"/>
          <w:color w:val="auto"/>
          <w:highlight w:val="none"/>
          <w:lang w:eastAsia="zh-CN"/>
        </w:rPr>
        <w:t>。</w:t>
      </w:r>
    </w:p>
    <w:p w14:paraId="2AC39393">
      <w:pPr>
        <w:pStyle w:val="4"/>
        <w:bidi w:val="0"/>
        <w:rPr>
          <w:color w:val="auto"/>
          <w:highlight w:val="none"/>
          <w:lang w:val="en-US" w:eastAsia="zh-CN"/>
        </w:rPr>
      </w:pPr>
      <w:r>
        <w:rPr>
          <w:rFonts w:hint="eastAsia"/>
          <w:color w:val="auto"/>
          <w:highlight w:val="none"/>
          <w:lang w:val="en-US" w:eastAsia="zh-CN"/>
        </w:rPr>
        <w:t>1.2 最高限价</w:t>
      </w:r>
    </w:p>
    <w:p w14:paraId="6C9381EB">
      <w:pPr>
        <w:bidi w:val="0"/>
        <w:rPr>
          <w:color w:val="auto"/>
          <w:highlight w:val="none"/>
          <w:lang w:eastAsia="zh-CN"/>
        </w:rPr>
      </w:pPr>
      <w:r>
        <w:rPr>
          <w:rFonts w:hint="eastAsia"/>
          <w:color w:val="auto"/>
          <w:highlight w:val="none"/>
        </w:rPr>
        <w:t>本项目最高限价为</w:t>
      </w:r>
      <w:r>
        <w:rPr>
          <w:rFonts w:hint="eastAsia"/>
          <w:color w:val="auto"/>
          <w:highlight w:val="none"/>
          <w:lang w:eastAsia="zh-CN"/>
        </w:rPr>
        <w:t>：</w:t>
      </w:r>
    </w:p>
    <w:p w14:paraId="373315DB">
      <w:pPr>
        <w:bidi w:val="0"/>
        <w:ind w:left="0" w:firstLine="420" w:firstLineChars="200"/>
        <w:rPr>
          <w:rFonts w:hint="eastAsia"/>
          <w:color w:val="auto"/>
          <w:highlight w:val="none"/>
          <w:lang w:val="en-US"/>
        </w:rPr>
      </w:pPr>
      <w:r>
        <w:rPr>
          <w:rFonts w:hint="eastAsia"/>
          <w:color w:val="auto"/>
          <w:highlight w:val="none"/>
        </w:rPr>
        <w:t>存取款一体机：4500.00</w:t>
      </w:r>
      <w:r>
        <w:rPr>
          <w:rFonts w:hint="eastAsia"/>
          <w:color w:val="auto"/>
          <w:highlight w:val="none"/>
          <w:lang w:val="en-US"/>
        </w:rPr>
        <w:t>元/台/年</w:t>
      </w:r>
      <w:r>
        <w:rPr>
          <w:rFonts w:hint="eastAsia"/>
          <w:color w:val="auto"/>
          <w:highlight w:val="none"/>
        </w:rPr>
        <w:t>（人民币大写：肆仟伍佰元整</w:t>
      </w:r>
      <w:r>
        <w:rPr>
          <w:rFonts w:hint="eastAsia"/>
          <w:color w:val="auto"/>
          <w:highlight w:val="none"/>
          <w:lang w:val="en-US"/>
        </w:rPr>
        <w:t>每台</w:t>
      </w:r>
      <w:r>
        <w:rPr>
          <w:rFonts w:hint="eastAsia"/>
          <w:color w:val="auto"/>
          <w:highlight w:val="none"/>
        </w:rPr>
        <w:t xml:space="preserve"> ）</w:t>
      </w:r>
      <w:r>
        <w:rPr>
          <w:rFonts w:hint="eastAsia"/>
          <w:color w:val="auto"/>
          <w:highlight w:val="none"/>
          <w:lang w:val="en-US"/>
        </w:rPr>
        <w:t>；</w:t>
      </w:r>
    </w:p>
    <w:p w14:paraId="44633382">
      <w:pPr>
        <w:bidi w:val="0"/>
        <w:rPr>
          <w:rFonts w:hint="eastAsia"/>
          <w:color w:val="auto"/>
          <w:highlight w:val="none"/>
        </w:rPr>
      </w:pPr>
      <w:r>
        <w:rPr>
          <w:rFonts w:hint="eastAsia"/>
          <w:color w:val="auto"/>
          <w:highlight w:val="none"/>
        </w:rPr>
        <w:t>取款机：2200.00元/台/年（人民币大写：贰仟贰佰元整</w:t>
      </w:r>
      <w:r>
        <w:rPr>
          <w:rFonts w:hint="eastAsia"/>
          <w:color w:val="auto"/>
          <w:highlight w:val="none"/>
          <w:lang w:val="en-US"/>
        </w:rPr>
        <w:t>每台</w:t>
      </w:r>
      <w:r>
        <w:rPr>
          <w:rFonts w:hint="eastAsia"/>
          <w:color w:val="auto"/>
          <w:highlight w:val="none"/>
        </w:rPr>
        <w:t>）；</w:t>
      </w:r>
    </w:p>
    <w:p w14:paraId="549E5DE0">
      <w:pPr>
        <w:bidi w:val="0"/>
        <w:ind w:left="0" w:firstLine="412" w:firstLineChars="0"/>
        <w:rPr>
          <w:rFonts w:hint="eastAsia"/>
          <w:color w:val="auto"/>
          <w:highlight w:val="none"/>
        </w:rPr>
      </w:pPr>
      <w:r>
        <w:rPr>
          <w:rFonts w:hint="eastAsia"/>
          <w:color w:val="auto"/>
          <w:highlight w:val="none"/>
        </w:rPr>
        <w:t>智能柜员机（非现金版）：1500.00元/台/年（人民币大写：壹仟伍佰元整</w:t>
      </w:r>
      <w:r>
        <w:rPr>
          <w:rFonts w:hint="eastAsia"/>
          <w:color w:val="auto"/>
          <w:highlight w:val="none"/>
          <w:lang w:val="en-US"/>
        </w:rPr>
        <w:t>每台</w:t>
      </w:r>
      <w:r>
        <w:rPr>
          <w:rFonts w:hint="eastAsia"/>
          <w:color w:val="auto"/>
          <w:highlight w:val="none"/>
        </w:rPr>
        <w:t>）；</w:t>
      </w:r>
    </w:p>
    <w:p w14:paraId="015C9984">
      <w:pPr>
        <w:bidi w:val="0"/>
        <w:rPr>
          <w:rFonts w:hint="eastAsia"/>
          <w:color w:val="auto"/>
          <w:highlight w:val="none"/>
        </w:rPr>
      </w:pPr>
      <w:r>
        <w:rPr>
          <w:rFonts w:hint="eastAsia"/>
          <w:color w:val="auto"/>
          <w:highlight w:val="none"/>
        </w:rPr>
        <w:t>回单机：800.00元/台/年（人民币大写：捌佰元整</w:t>
      </w:r>
      <w:r>
        <w:rPr>
          <w:rFonts w:hint="eastAsia"/>
          <w:color w:val="auto"/>
          <w:highlight w:val="none"/>
          <w:lang w:val="en-US"/>
        </w:rPr>
        <w:t>每台</w:t>
      </w:r>
      <w:r>
        <w:rPr>
          <w:rFonts w:hint="eastAsia"/>
          <w:color w:val="auto"/>
          <w:highlight w:val="none"/>
        </w:rPr>
        <w:t>）；</w:t>
      </w:r>
    </w:p>
    <w:p w14:paraId="3BE5CC1D">
      <w:pPr>
        <w:bidi w:val="0"/>
        <w:ind w:firstLine="420" w:firstLineChars="200"/>
        <w:rPr>
          <w:rFonts w:hint="eastAsia"/>
          <w:color w:val="auto"/>
          <w:highlight w:val="none"/>
        </w:rPr>
      </w:pPr>
      <w:r>
        <w:rPr>
          <w:rFonts w:hint="eastAsia"/>
          <w:color w:val="auto"/>
          <w:highlight w:val="none"/>
        </w:rPr>
        <w:t>叫号机：800.00元/台/年（人民币大写：捌佰元整</w:t>
      </w:r>
      <w:r>
        <w:rPr>
          <w:rFonts w:hint="eastAsia"/>
          <w:color w:val="auto"/>
          <w:highlight w:val="none"/>
          <w:lang w:val="en-US"/>
        </w:rPr>
        <w:t>每台</w:t>
      </w:r>
      <w:r>
        <w:rPr>
          <w:rFonts w:hint="eastAsia"/>
          <w:color w:val="auto"/>
          <w:highlight w:val="none"/>
        </w:rPr>
        <w:t>）</w:t>
      </w:r>
    </w:p>
    <w:p w14:paraId="6B6320F3">
      <w:pPr>
        <w:pStyle w:val="4"/>
        <w:bidi w:val="0"/>
        <w:rPr>
          <w:color w:val="auto"/>
          <w:highlight w:val="none"/>
          <w:lang w:val="en-US" w:eastAsia="zh-CN"/>
        </w:rPr>
      </w:pPr>
      <w:r>
        <w:rPr>
          <w:rFonts w:hint="eastAsia"/>
          <w:color w:val="auto"/>
          <w:highlight w:val="none"/>
          <w:lang w:val="en-US" w:eastAsia="zh-CN"/>
        </w:rPr>
        <w:t>1.3 项目概况</w:t>
      </w:r>
    </w:p>
    <w:bookmarkEnd w:id="34"/>
    <w:p w14:paraId="47E33767">
      <w:pPr>
        <w:rPr>
          <w:rFonts w:hint="eastAsia"/>
          <w:color w:val="auto"/>
          <w:highlight w:val="none"/>
          <w:lang w:val="en-US" w:eastAsia="zh-CN"/>
        </w:rPr>
      </w:pPr>
      <w:bookmarkStart w:id="35" w:name="_Toc89675161"/>
      <w:r>
        <w:rPr>
          <w:color w:val="auto"/>
          <w:highlight w:val="none"/>
          <w:lang w:val="en-US" w:eastAsia="zh-CN"/>
        </w:rPr>
        <w:t>为保障比选人智能设备的平稳正常运行，故障能得到及时有效的排除</w:t>
      </w:r>
      <w:r>
        <w:rPr>
          <w:rFonts w:hint="eastAsia"/>
          <w:color w:val="auto"/>
          <w:highlight w:val="none"/>
          <w:lang w:val="en-US" w:eastAsia="zh-CN"/>
        </w:rPr>
        <w:t>。因此，比选人决定本着公平、公正、公开原则开展</w:t>
      </w:r>
      <w:r>
        <w:rPr>
          <w:rFonts w:ascii="Times New Roman" w:hAnsi="Times New Roman" w:cs="Times New Roman"/>
          <w:color w:val="auto"/>
          <w:highlight w:val="none"/>
          <w:lang w:val="en-US" w:eastAsia="zh-CN"/>
        </w:rPr>
        <w:t>智能设备维保商</w:t>
      </w:r>
      <w:r>
        <w:rPr>
          <w:rFonts w:hint="eastAsia"/>
          <w:color w:val="auto"/>
          <w:highlight w:val="none"/>
          <w:lang w:val="en-US" w:eastAsia="zh-CN"/>
        </w:rPr>
        <w:t>公开比选工作，择优选取</w:t>
      </w:r>
      <w:r>
        <w:rPr>
          <w:color w:val="auto"/>
          <w:highlight w:val="none"/>
          <w:lang w:val="en-US" w:eastAsia="zh-CN"/>
        </w:rPr>
        <w:t>，</w:t>
      </w:r>
      <w:r>
        <w:rPr>
          <w:rFonts w:hint="eastAsia"/>
          <w:color w:val="auto"/>
          <w:highlight w:val="none"/>
          <w:lang w:val="en-US" w:eastAsia="zh-CN"/>
        </w:rPr>
        <w:t>维护本行利益，提升</w:t>
      </w:r>
      <w:r>
        <w:rPr>
          <w:color w:val="auto"/>
          <w:highlight w:val="none"/>
          <w:lang w:val="en-US" w:eastAsia="zh-CN"/>
        </w:rPr>
        <w:t>智能设备开机率</w:t>
      </w:r>
      <w:r>
        <w:rPr>
          <w:rFonts w:hint="eastAsia"/>
          <w:color w:val="auto"/>
          <w:highlight w:val="none"/>
          <w:lang w:val="en-US" w:eastAsia="zh-CN"/>
        </w:rPr>
        <w:t>。</w:t>
      </w:r>
    </w:p>
    <w:p w14:paraId="5E58730C">
      <w:pPr>
        <w:pStyle w:val="4"/>
        <w:bidi w:val="0"/>
        <w:rPr>
          <w:rFonts w:hint="eastAsia"/>
          <w:color w:val="auto"/>
          <w:highlight w:val="none"/>
          <w:lang w:val="en-US" w:eastAsia="zh-CN"/>
        </w:rPr>
      </w:pPr>
      <w:r>
        <w:rPr>
          <w:rFonts w:hint="eastAsia"/>
          <w:color w:val="auto"/>
          <w:highlight w:val="none"/>
          <w:lang w:val="en-US" w:eastAsia="zh-CN"/>
        </w:rPr>
        <w:t>1.4 项目目标</w:t>
      </w:r>
    </w:p>
    <w:p w14:paraId="622BAF17">
      <w:pPr>
        <w:bidi w:val="0"/>
        <w:rPr>
          <w:color w:val="auto"/>
          <w:highlight w:val="none"/>
          <w:lang w:val="en-US" w:eastAsia="zh-CN"/>
        </w:rPr>
      </w:pPr>
      <w:r>
        <w:rPr>
          <w:color w:val="auto"/>
          <w:highlight w:val="none"/>
          <w:lang w:val="en-US" w:eastAsia="zh-CN"/>
        </w:rPr>
        <w:t>以满足比选人业务发展及智能设备维护需要、维护本行利益为目的，通过设备维保商公开比选，确定未来一定时期内本行智能设备维保服务供应商。</w:t>
      </w:r>
    </w:p>
    <w:p w14:paraId="78D27E40">
      <w:pPr>
        <w:pStyle w:val="3"/>
        <w:bidi w:val="0"/>
        <w:rPr>
          <w:color w:val="auto"/>
          <w:highlight w:val="none"/>
        </w:rPr>
      </w:pPr>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1CD7314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5E5A64DD">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EFB78C9">
      <w:pPr>
        <w:pStyle w:val="3"/>
        <w:bidi w:val="0"/>
        <w:rPr>
          <w:color w:val="auto"/>
          <w:highlight w:val="none"/>
        </w:rPr>
      </w:pPr>
      <w:r>
        <w:rPr>
          <w:rFonts w:hint="eastAsia"/>
          <w:color w:val="auto"/>
          <w:highlight w:val="none"/>
          <w:lang w:val="en-US" w:eastAsia="zh-CN"/>
        </w:rPr>
        <w:t xml:space="preserve">3. </w:t>
      </w:r>
      <w:r>
        <w:rPr>
          <w:rFonts w:hint="eastAsia"/>
          <w:color w:val="auto"/>
          <w:highlight w:val="none"/>
        </w:rPr>
        <w:t>比选文件</w:t>
      </w:r>
    </w:p>
    <w:p w14:paraId="7C746612">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64382875">
      <w:pPr>
        <w:bidi w:val="0"/>
        <w:rPr>
          <w:color w:val="auto"/>
          <w:highlight w:val="none"/>
        </w:rPr>
      </w:pPr>
      <w:r>
        <w:rPr>
          <w:rFonts w:hint="eastAsia"/>
          <w:color w:val="auto"/>
          <w:highlight w:val="none"/>
        </w:rPr>
        <w:t>本行对比选文件所作的一切有效的书面通知、修改及补充，都是比选文件不可分割的部分。</w:t>
      </w:r>
    </w:p>
    <w:p w14:paraId="742DA57C">
      <w:pPr>
        <w:pStyle w:val="3"/>
        <w:bidi w:val="0"/>
        <w:rPr>
          <w:color w:val="auto"/>
          <w:highlight w:val="none"/>
        </w:rPr>
      </w:pPr>
      <w:r>
        <w:rPr>
          <w:rFonts w:hint="eastAsia"/>
          <w:color w:val="auto"/>
          <w:highlight w:val="none"/>
          <w:lang w:val="en-US" w:eastAsia="zh-CN"/>
        </w:rPr>
        <w:t xml:space="preserve">4. </w:t>
      </w:r>
      <w:r>
        <w:rPr>
          <w:color w:val="auto"/>
          <w:highlight w:val="none"/>
        </w:rPr>
        <w:t>参选</w:t>
      </w:r>
    </w:p>
    <w:p w14:paraId="430229E6">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1CD8A8D6">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44FA4E7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419D89C3">
      <w:pPr>
        <w:pStyle w:val="4"/>
        <w:bidi w:val="0"/>
        <w:rPr>
          <w:rFonts w:hint="eastAsia"/>
          <w:color w:val="auto"/>
          <w:highlight w:val="none"/>
          <w:lang w:val="en-US" w:eastAsia="zh-CN"/>
        </w:rPr>
      </w:pPr>
      <w:r>
        <w:rPr>
          <w:rFonts w:hint="eastAsia"/>
          <w:color w:val="auto"/>
          <w:highlight w:val="none"/>
          <w:lang w:val="en-US" w:eastAsia="zh-CN"/>
        </w:rPr>
        <w:t>4.2 联合参选</w:t>
      </w:r>
    </w:p>
    <w:p w14:paraId="54DCE8FF">
      <w:pPr>
        <w:bidi w:val="0"/>
        <w:rPr>
          <w:rFonts w:hint="eastAsia"/>
          <w:color w:val="auto"/>
          <w:highlight w:val="none"/>
        </w:rPr>
      </w:pPr>
      <w:r>
        <w:rPr>
          <w:rFonts w:hint="eastAsia"/>
          <w:color w:val="auto"/>
          <w:highlight w:val="none"/>
        </w:rPr>
        <w:t>本比选项目不接受联合参选</w:t>
      </w:r>
    </w:p>
    <w:p w14:paraId="5142BABD">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1BAEC545">
      <w:pPr>
        <w:bidi w:val="0"/>
        <w:rPr>
          <w:color w:val="auto"/>
          <w:highlight w:val="none"/>
        </w:rPr>
      </w:pPr>
      <w:r>
        <w:rPr>
          <w:rFonts w:hint="eastAsia"/>
          <w:color w:val="auto"/>
          <w:highlight w:val="none"/>
        </w:rPr>
        <w:t>参选有效期为参选截止日期后90天内。</w:t>
      </w:r>
    </w:p>
    <w:p w14:paraId="3F014722">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249C65E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20700F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8B82355">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56273E6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FB53711">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B0E1127">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02556B1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138F9E20">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3C5D0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1C80C22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3AF56F01">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44B4000E">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152531BB">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E909A30">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1BD4078C">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5E2DCD2">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94BA18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7DAF72">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C84B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7C44605">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56E51F5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5FED30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218D3B42">
      <w:pPr>
        <w:bidi w:val="0"/>
        <w:rPr>
          <w:rFonts w:hint="eastAsia"/>
          <w:color w:val="auto"/>
          <w:highlight w:val="none"/>
        </w:rPr>
      </w:pPr>
      <w:r>
        <w:rPr>
          <w:rFonts w:hint="eastAsia"/>
          <w:color w:val="auto"/>
          <w:highlight w:val="none"/>
        </w:rPr>
        <w:t>4.7.4 参选报价不得高于最高限价。</w:t>
      </w:r>
    </w:p>
    <w:p w14:paraId="6F18CC66">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660CDAEF">
      <w:pPr>
        <w:bidi w:val="0"/>
        <w:rPr>
          <w:color w:val="auto"/>
          <w:highlight w:val="none"/>
        </w:rPr>
      </w:pPr>
      <w:r>
        <w:rPr>
          <w:rFonts w:hint="eastAsia"/>
          <w:color w:val="auto"/>
          <w:highlight w:val="none"/>
        </w:rPr>
        <w:t>若参选文件出现计算或表达上的错误，修正错误的原则如下：</w:t>
      </w:r>
    </w:p>
    <w:p w14:paraId="57D15A6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CA16A07">
      <w:pPr>
        <w:pStyle w:val="3"/>
        <w:bidi w:val="0"/>
        <w:rPr>
          <w:color w:val="auto"/>
          <w:highlight w:val="none"/>
        </w:rPr>
      </w:pPr>
      <w:r>
        <w:rPr>
          <w:rFonts w:hint="eastAsia"/>
          <w:color w:val="auto"/>
          <w:highlight w:val="none"/>
          <w:lang w:val="en-US" w:eastAsia="zh-CN"/>
        </w:rPr>
        <w:t xml:space="preserve">5. </w:t>
      </w:r>
      <w:r>
        <w:rPr>
          <w:rFonts w:hint="eastAsia"/>
          <w:color w:val="auto"/>
          <w:highlight w:val="none"/>
        </w:rPr>
        <w:t>比选程序</w:t>
      </w:r>
    </w:p>
    <w:p w14:paraId="5818556F">
      <w:pPr>
        <w:bidi w:val="0"/>
        <w:rPr>
          <w:color w:val="auto"/>
          <w:highlight w:val="none"/>
        </w:rPr>
      </w:pPr>
      <w:r>
        <w:rPr>
          <w:rFonts w:hint="eastAsia"/>
          <w:color w:val="auto"/>
          <w:highlight w:val="none"/>
        </w:rPr>
        <w:t>主持人按下列程序进行比选：</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6AA7A5">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6461D2D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bidi w:val="0"/>
        <w:rPr>
          <w:color w:val="auto"/>
          <w:highlight w:val="none"/>
        </w:rPr>
      </w:pPr>
      <w:r>
        <w:rPr>
          <w:rFonts w:hint="eastAsia"/>
          <w:color w:val="auto"/>
          <w:highlight w:val="none"/>
          <w:lang w:val="en-US" w:eastAsia="zh-CN"/>
        </w:rPr>
        <w:t xml:space="preserve">8. </w:t>
      </w:r>
      <w:r>
        <w:rPr>
          <w:rFonts w:hint="eastAsia"/>
          <w:color w:val="auto"/>
          <w:highlight w:val="none"/>
        </w:rPr>
        <w:t>签订合同</w:t>
      </w:r>
    </w:p>
    <w:p w14:paraId="50673AD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6CCE66A6">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73DD3EE7">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签订合同前后，若中选人无法按要求履约，比选人可以废除中选人资格，并可选择按照中选候选人顺位与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67A578AD">
      <w:pPr>
        <w:bidi w:val="0"/>
        <w:rPr>
          <w:rFonts w:hint="default"/>
          <w:color w:val="auto"/>
          <w:highlight w:val="none"/>
          <w:lang w:val="en-US" w:eastAsia="zh-CN"/>
        </w:rPr>
      </w:pPr>
      <w:r>
        <w:rPr>
          <w:rFonts w:hint="eastAsia"/>
          <w:color w:val="auto"/>
          <w:highlight w:val="none"/>
          <w:lang w:val="en-US" w:eastAsia="zh-CN"/>
        </w:rPr>
        <w:t>8.5 该项目不允许任何形式的转包。</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3"/>
        <w:bidi w:val="0"/>
        <w:rPr>
          <w:color w:val="auto"/>
          <w:highlight w:val="none"/>
        </w:rPr>
      </w:pPr>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669C6CC">
      <w:pPr>
        <w:bidi w:val="0"/>
        <w:rPr>
          <w:color w:val="auto"/>
          <w:highlight w:val="none"/>
        </w:rPr>
      </w:pPr>
      <w:r>
        <w:rPr>
          <w:rFonts w:hint="eastAsia"/>
          <w:color w:val="auto"/>
          <w:highlight w:val="none"/>
        </w:rPr>
        <w:t>采购质疑邮箱：</w:t>
      </w:r>
      <w:r>
        <w:rPr>
          <w:color w:val="auto"/>
          <w:highlight w:val="none"/>
        </w:rPr>
        <w:t>sx.jcb@ccqtgb.com</w:t>
      </w:r>
    </w:p>
    <w:p w14:paraId="182846CA">
      <w:pPr>
        <w:bidi w:val="0"/>
        <w:rPr>
          <w:rFonts w:hint="eastAsia"/>
          <w:color w:val="auto"/>
          <w:highlight w:val="none"/>
        </w:rPr>
      </w:pPr>
      <w:r>
        <w:rPr>
          <w:rFonts w:hint="eastAsia"/>
          <w:color w:val="auto"/>
          <w:highlight w:val="none"/>
        </w:rPr>
        <w:t>采购投诉邮箱：</w:t>
      </w:r>
      <w:r>
        <w:rPr>
          <w:rFonts w:hint="eastAsia" w:ascii="宋体"/>
          <w:snapToGrid w:val="0"/>
          <w:color w:val="auto"/>
          <w:kern w:val="0"/>
          <w:szCs w:val="24"/>
          <w:highlight w:val="none"/>
          <w:u w:val="none"/>
        </w:rPr>
        <w:t>sxyhjjz@</w:t>
      </w:r>
      <w:r>
        <w:rPr>
          <w:rFonts w:ascii="宋体"/>
          <w:snapToGrid w:val="0"/>
          <w:color w:val="auto"/>
          <w:kern w:val="0"/>
          <w:szCs w:val="24"/>
          <w:highlight w:val="none"/>
          <w:u w:val="none"/>
        </w:rPr>
        <w:t>ccqtgb</w:t>
      </w:r>
      <w:r>
        <w:rPr>
          <w:rFonts w:hint="eastAsia" w:ascii="宋体"/>
          <w:snapToGrid w:val="0"/>
          <w:color w:val="auto"/>
          <w:kern w:val="0"/>
          <w:szCs w:val="24"/>
          <w:highlight w:val="none"/>
          <w:u w:val="none"/>
        </w:rPr>
        <w:t>.com</w:t>
      </w:r>
    </w:p>
    <w:p w14:paraId="69334E8C">
      <w:pPr>
        <w:pStyle w:val="3"/>
        <w:bidi w:val="0"/>
        <w:rPr>
          <w:rFonts w:hint="eastAsia"/>
          <w:color w:val="auto"/>
          <w:highlight w:val="none"/>
        </w:rPr>
      </w:pPr>
      <w:r>
        <w:rPr>
          <w:rFonts w:hint="eastAsia"/>
          <w:color w:val="auto"/>
          <w:highlight w:val="none"/>
          <w:lang w:val="en-US" w:eastAsia="zh-CN"/>
        </w:rPr>
        <w:t xml:space="preserve">11. </w:t>
      </w:r>
      <w:r>
        <w:rPr>
          <w:rFonts w:hint="eastAsia"/>
          <w:color w:val="auto"/>
          <w:highlight w:val="none"/>
        </w:rPr>
        <w:t>无效参选条款</w:t>
      </w:r>
    </w:p>
    <w:p w14:paraId="76036DE2">
      <w:pPr>
        <w:bidi w:val="0"/>
        <w:rPr>
          <w:color w:val="auto"/>
          <w:highlight w:val="none"/>
        </w:rPr>
      </w:pPr>
      <w:r>
        <w:rPr>
          <w:rFonts w:hint="eastAsia"/>
          <w:color w:val="auto"/>
          <w:highlight w:val="none"/>
        </w:rPr>
        <w:t>参选人或其参选文件出现下列情况之一者，应为无效参选：</w:t>
      </w:r>
    </w:p>
    <w:p w14:paraId="53F492C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CDC40ED">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54A3F31E">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890D3B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7CCADDF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4AC2FE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1FDB6B9">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2B3C0CB8">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641E687">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77BEA31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94E92C">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B184D1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21331E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0E150E1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1D4F129E">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02A4BE77">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37F83092">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57E20214">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51E1CBA9">
      <w:pPr>
        <w:bidi w:val="0"/>
        <w:rPr>
          <w:color w:val="auto"/>
          <w:highlight w:val="none"/>
        </w:rPr>
      </w:pPr>
      <w:r>
        <w:rPr>
          <w:rFonts w:hint="eastAsia"/>
          <w:color w:val="auto"/>
          <w:highlight w:val="none"/>
        </w:rPr>
        <w:t>参选人参与本比选项目时，一切与参选有关的费用均由参选人自理。</w:t>
      </w:r>
    </w:p>
    <w:p w14:paraId="0F2EF463">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 xml:space="preserve"> 15000 </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p>
    <w:p w14:paraId="5AEB41FA">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bookmarkEnd w:id="35"/>
    <w:p w14:paraId="6BC35A50">
      <w:pPr>
        <w:pStyle w:val="2"/>
        <w:bidi w:val="0"/>
        <w:rPr>
          <w:color w:val="auto"/>
          <w:highlight w:val="none"/>
          <w:lang w:val="en-US"/>
        </w:rPr>
      </w:pPr>
      <w:bookmarkStart w:id="36" w:name="_Toc17672"/>
      <w:bookmarkStart w:id="37" w:name="_Toc32389"/>
      <w:r>
        <w:rPr>
          <w:rFonts w:hint="eastAsia"/>
          <w:color w:val="auto"/>
          <w:highlight w:val="none"/>
        </w:rPr>
        <w:t>第</w:t>
      </w:r>
      <w:r>
        <w:rPr>
          <w:rFonts w:hint="eastAsia"/>
          <w:color w:val="auto"/>
          <w:highlight w:val="none"/>
          <w:lang w:val="en-US" w:eastAsia="zh-CN"/>
        </w:rPr>
        <w:t>三</w:t>
      </w:r>
      <w:r>
        <w:rPr>
          <w:rFonts w:hint="eastAsia"/>
          <w:color w:val="auto"/>
          <w:highlight w:val="none"/>
        </w:rPr>
        <w:t xml:space="preserve">章 </w:t>
      </w:r>
      <w:r>
        <w:rPr>
          <w:rFonts w:hint="eastAsia"/>
          <w:color w:val="auto"/>
          <w:highlight w:val="none"/>
          <w:lang w:val="en-US" w:eastAsia="zh-CN"/>
        </w:rPr>
        <w:t>项目要求</w:t>
      </w:r>
      <w:bookmarkEnd w:id="36"/>
      <w:bookmarkEnd w:id="37"/>
    </w:p>
    <w:p w14:paraId="5548C2C2">
      <w:pPr>
        <w:pStyle w:val="3"/>
        <w:bidi w:val="0"/>
        <w:rPr>
          <w:rFonts w:hint="eastAsia"/>
          <w:color w:val="auto"/>
          <w:highlight w:val="none"/>
        </w:rPr>
      </w:pPr>
      <w:r>
        <w:rPr>
          <w:rFonts w:hint="eastAsia"/>
          <w:color w:val="auto"/>
          <w:highlight w:val="none"/>
          <w:lang w:val="en-US" w:eastAsia="zh-CN"/>
        </w:rPr>
        <w:t xml:space="preserve">1. </w:t>
      </w:r>
      <w:r>
        <w:rPr>
          <w:rFonts w:hint="eastAsia"/>
          <w:color w:val="auto"/>
          <w:highlight w:val="none"/>
        </w:rPr>
        <w:t>总体要求</w:t>
      </w:r>
    </w:p>
    <w:p w14:paraId="54FAC071">
      <w:pPr>
        <w:rPr>
          <w:rFonts w:hint="eastAsia"/>
          <w:color w:val="auto"/>
          <w:highlight w:val="none"/>
        </w:rPr>
      </w:pPr>
      <w:r>
        <w:rPr>
          <w:rFonts w:hint="eastAsia"/>
          <w:color w:val="auto"/>
          <w:highlight w:val="none"/>
        </w:rPr>
        <w:t>1.1</w:t>
      </w:r>
      <w:r>
        <w:rPr>
          <w:rFonts w:hint="eastAsia"/>
          <w:color w:val="auto"/>
          <w:highlight w:val="none"/>
          <w:lang w:val="en-US" w:eastAsia="zh-CN"/>
        </w:rPr>
        <w:t xml:space="preserve"> </w:t>
      </w:r>
      <w:r>
        <w:rPr>
          <w:rFonts w:hint="eastAsia"/>
          <w:color w:val="auto"/>
          <w:highlight w:val="none"/>
        </w:rPr>
        <w:t>参与公开比选的</w:t>
      </w:r>
      <w:r>
        <w:rPr>
          <w:color w:val="auto"/>
          <w:highlight w:val="none"/>
        </w:rPr>
        <w:t>设备维保商</w:t>
      </w:r>
      <w:r>
        <w:rPr>
          <w:rFonts w:hint="eastAsia"/>
          <w:color w:val="auto"/>
          <w:highlight w:val="none"/>
        </w:rPr>
        <w:t>，具备较高的市场占有率及较好的市场口碑。</w:t>
      </w:r>
    </w:p>
    <w:p w14:paraId="245171F9">
      <w:pPr>
        <w:rPr>
          <w:rFonts w:hint="eastAsia"/>
          <w:color w:val="auto"/>
          <w:highlight w:val="none"/>
        </w:rPr>
      </w:pPr>
      <w:r>
        <w:rPr>
          <w:rFonts w:hint="eastAsia"/>
          <w:color w:val="auto"/>
          <w:highlight w:val="none"/>
        </w:rPr>
        <w:t>1.</w:t>
      </w:r>
      <w:r>
        <w:rPr>
          <w:color w:val="auto"/>
          <w:highlight w:val="none"/>
        </w:rPr>
        <w:t>2</w:t>
      </w:r>
      <w:r>
        <w:rPr>
          <w:rFonts w:hint="eastAsia"/>
          <w:color w:val="auto"/>
          <w:highlight w:val="none"/>
          <w:lang w:val="en-US" w:eastAsia="zh-CN"/>
        </w:rPr>
        <w:t xml:space="preserve"> </w:t>
      </w:r>
      <w:r>
        <w:rPr>
          <w:rFonts w:hint="eastAsia"/>
          <w:color w:val="auto"/>
          <w:highlight w:val="none"/>
        </w:rPr>
        <w:t>提供的任何产品（包括硬件、软件具有合法使用权）不存在侵犯任何其他方知识产权的情形。</w:t>
      </w:r>
    </w:p>
    <w:p w14:paraId="69FABDAB">
      <w:pPr>
        <w:rPr>
          <w:rFonts w:hint="eastAsia"/>
          <w:color w:val="auto"/>
          <w:highlight w:val="none"/>
        </w:rPr>
      </w:pPr>
      <w:r>
        <w:rPr>
          <w:rFonts w:hint="eastAsia"/>
          <w:color w:val="auto"/>
          <w:highlight w:val="none"/>
        </w:rPr>
        <w:t>1.</w:t>
      </w:r>
      <w:r>
        <w:rPr>
          <w:color w:val="auto"/>
          <w:highlight w:val="none"/>
        </w:rPr>
        <w:t xml:space="preserve">3 </w:t>
      </w:r>
      <w:r>
        <w:rPr>
          <w:rFonts w:hint="eastAsia"/>
          <w:color w:val="auto"/>
          <w:highlight w:val="none"/>
        </w:rPr>
        <w:t>参选方对报送的比选资料真实性负责。我行将对所有报送资料进行核实，一旦发现报送资料与事实不符，将取消该</w:t>
      </w:r>
      <w:r>
        <w:rPr>
          <w:color w:val="auto"/>
          <w:highlight w:val="none"/>
        </w:rPr>
        <w:t>设备维保商</w:t>
      </w:r>
      <w:r>
        <w:rPr>
          <w:rFonts w:hint="eastAsia"/>
          <w:color w:val="auto"/>
          <w:highlight w:val="none"/>
        </w:rPr>
        <w:t>的比选资格。同时，该</w:t>
      </w:r>
      <w:r>
        <w:rPr>
          <w:color w:val="auto"/>
          <w:highlight w:val="none"/>
        </w:rPr>
        <w:t>设备维保商</w:t>
      </w:r>
      <w:r>
        <w:rPr>
          <w:rFonts w:hint="eastAsia"/>
          <w:color w:val="auto"/>
          <w:highlight w:val="none"/>
        </w:rPr>
        <w:t>将列入我行黑名单，今后不再与其进行任何合作。</w:t>
      </w:r>
    </w:p>
    <w:p w14:paraId="55DC3BC3">
      <w:pPr>
        <w:pStyle w:val="3"/>
        <w:bidi w:val="0"/>
        <w:rPr>
          <w:rFonts w:hint="eastAsia"/>
          <w:color w:val="auto"/>
          <w:highlight w:val="none"/>
        </w:rPr>
      </w:pPr>
      <w:r>
        <w:rPr>
          <w:color w:val="auto"/>
          <w:highlight w:val="none"/>
          <w:lang w:val="en-US" w:eastAsia="zh-CN"/>
        </w:rPr>
        <w:t>2</w:t>
      </w:r>
      <w:r>
        <w:rPr>
          <w:rFonts w:hint="eastAsia"/>
          <w:color w:val="auto"/>
          <w:highlight w:val="none"/>
          <w:lang w:val="en-US" w:eastAsia="zh-CN"/>
        </w:rPr>
        <w:t xml:space="preserve">. </w:t>
      </w:r>
      <w:r>
        <w:rPr>
          <w:color w:val="auto"/>
          <w:highlight w:val="none"/>
        </w:rPr>
        <w:t>服务要求</w:t>
      </w:r>
    </w:p>
    <w:p w14:paraId="69D11287">
      <w:pPr>
        <w:rPr>
          <w:rFonts w:ascii="宋体" w:eastAsia="宋体" w:cs="Lucida Sans"/>
          <w:color w:val="auto"/>
          <w:highlight w:val="none"/>
          <w:lang w:bidi="ar-SA"/>
        </w:rPr>
      </w:pPr>
      <w:bookmarkStart w:id="38" w:name="_Toc89675144"/>
      <w:bookmarkStart w:id="39" w:name="_Toc15059418"/>
      <w:r>
        <w:rPr>
          <w:rFonts w:eastAsia="宋体"/>
          <w:color w:val="auto"/>
          <w:highlight w:val="none"/>
          <w:lang w:bidi="ar-SA"/>
        </w:rPr>
        <w:t xml:space="preserve">2.1 </w:t>
      </w:r>
      <w:r>
        <w:rPr>
          <w:rFonts w:ascii="宋体" w:eastAsia="宋体" w:cs="Lucida Sans"/>
          <w:color w:val="auto"/>
          <w:highlight w:val="none"/>
          <w:lang w:bidi="ar-SA"/>
        </w:rPr>
        <w:t>设备维修</w:t>
      </w:r>
    </w:p>
    <w:p w14:paraId="69ECF400">
      <w:pPr>
        <w:rPr>
          <w:rFonts w:ascii="宋体" w:eastAsia="宋体"/>
          <w:color w:val="auto"/>
          <w:highlight w:val="none"/>
        </w:rPr>
      </w:pPr>
      <w:r>
        <w:rPr>
          <w:b w:val="0"/>
          <w:bCs w:val="0"/>
          <w:color w:val="auto"/>
          <w:sz w:val="21"/>
          <w:szCs w:val="21"/>
          <w:highlight w:val="none"/>
        </w:rPr>
        <w:t>设备维修是指设备出现运行故障后，中选人进行及时有效的技术处置，使设备</w:t>
      </w:r>
      <w:r>
        <w:rPr>
          <w:rFonts w:ascii="宋体" w:eastAsia="宋体"/>
          <w:color w:val="auto"/>
          <w:highlight w:val="none"/>
        </w:rPr>
        <w:t>恢复故障前所有的服务功能，且运行稳定、性能良好、处理无差错。</w:t>
      </w:r>
    </w:p>
    <w:p w14:paraId="250A8D2D">
      <w:pPr>
        <w:rPr>
          <w:color w:val="auto"/>
          <w:highlight w:val="none"/>
        </w:rPr>
      </w:pPr>
      <w:r>
        <w:rPr>
          <w:color w:val="auto"/>
          <w:highlight w:val="none"/>
        </w:rPr>
        <w:t>2.2 维护与保养</w:t>
      </w:r>
    </w:p>
    <w:p w14:paraId="23CE2FF1">
      <w:pPr>
        <w:pStyle w:val="33"/>
        <w:bidi w:val="0"/>
        <w:rPr>
          <w:color w:val="auto"/>
          <w:highlight w:val="none"/>
        </w:rPr>
      </w:pPr>
      <w:r>
        <w:rPr>
          <w:color w:val="auto"/>
          <w:highlight w:val="none"/>
        </w:rPr>
        <w:t>中选人每年不少于两次对设备进行例行巡检与技术处置。</w:t>
      </w:r>
    </w:p>
    <w:p w14:paraId="01C1D2F6">
      <w:pPr>
        <w:pStyle w:val="3"/>
        <w:bidi w:val="0"/>
        <w:rPr>
          <w:color w:val="auto"/>
          <w:szCs w:val="21"/>
          <w:highlight w:val="none"/>
        </w:rPr>
      </w:pPr>
      <w:r>
        <w:rPr>
          <w:color w:val="auto"/>
          <w:szCs w:val="21"/>
          <w:highlight w:val="none"/>
          <w:lang w:val="en-US" w:eastAsia="zh-CN"/>
        </w:rPr>
        <w:t>3</w:t>
      </w:r>
      <w:r>
        <w:rPr>
          <w:rFonts w:hint="eastAsia"/>
          <w:color w:val="auto"/>
          <w:szCs w:val="21"/>
          <w:highlight w:val="none"/>
          <w:lang w:val="en-US" w:eastAsia="zh-CN"/>
        </w:rPr>
        <w:t xml:space="preserve">. </w:t>
      </w:r>
      <w:bookmarkEnd w:id="38"/>
      <w:bookmarkEnd w:id="39"/>
      <w:r>
        <w:rPr>
          <w:color w:val="auto"/>
          <w:szCs w:val="21"/>
          <w:highlight w:val="none"/>
        </w:rPr>
        <w:t>维保服务地点</w:t>
      </w:r>
    </w:p>
    <w:p w14:paraId="4CB096C5">
      <w:pPr>
        <w:bidi w:val="0"/>
        <w:rPr>
          <w:color w:val="auto"/>
          <w:highlight w:val="none"/>
        </w:rPr>
      </w:pPr>
      <w:r>
        <w:rPr>
          <w:color w:val="auto"/>
          <w:highlight w:val="none"/>
        </w:rPr>
        <w:t>重庆市。</w:t>
      </w:r>
    </w:p>
    <w:p w14:paraId="55CE44F2">
      <w:pPr>
        <w:pStyle w:val="3"/>
        <w:bidi w:val="0"/>
        <w:rPr>
          <w:rFonts w:hint="eastAsia"/>
          <w:color w:val="auto"/>
          <w:szCs w:val="21"/>
          <w:highlight w:val="none"/>
        </w:rPr>
      </w:pPr>
      <w:bookmarkStart w:id="40" w:name="_Toc15059422"/>
      <w:bookmarkStart w:id="41" w:name="_Toc89675148"/>
      <w:bookmarkStart w:id="42" w:name="_Toc440628915"/>
      <w:bookmarkStart w:id="43" w:name="_Toc432254881"/>
      <w:bookmarkStart w:id="44" w:name="_Toc1125"/>
      <w:bookmarkStart w:id="45" w:name="_Toc387826347"/>
      <w:r>
        <w:rPr>
          <w:color w:val="auto"/>
          <w:szCs w:val="21"/>
          <w:highlight w:val="none"/>
          <w:lang w:val="en-US" w:eastAsia="zh-CN"/>
        </w:rPr>
        <w:t>4</w:t>
      </w:r>
      <w:r>
        <w:rPr>
          <w:rFonts w:hint="eastAsia"/>
          <w:color w:val="auto"/>
          <w:szCs w:val="21"/>
          <w:highlight w:val="none"/>
          <w:lang w:val="en-US" w:eastAsia="zh-CN"/>
        </w:rPr>
        <w:t xml:space="preserve">. </w:t>
      </w:r>
      <w:r>
        <w:rPr>
          <w:rFonts w:hint="eastAsia"/>
          <w:color w:val="auto"/>
          <w:szCs w:val="21"/>
          <w:highlight w:val="none"/>
        </w:rPr>
        <w:t>付款方式</w:t>
      </w:r>
      <w:bookmarkEnd w:id="40"/>
      <w:bookmarkEnd w:id="41"/>
    </w:p>
    <w:p w14:paraId="6CBCE4AA">
      <w:pPr>
        <w:rPr>
          <w:color w:val="auto"/>
          <w:highlight w:val="none"/>
        </w:rPr>
      </w:pPr>
      <w:r>
        <w:rPr>
          <w:color w:val="auto"/>
          <w:highlight w:val="none"/>
        </w:rPr>
        <w:t>设备维护保养计费期自合同签订之日开始计算。设备维保不足一年，按实际服务天数进行折算，一年为365天。维保费采用一年一结的方式，次年支付上一年维保服务费用。行方付款前</w:t>
      </w:r>
      <w:r>
        <w:rPr>
          <w:rFonts w:hint="eastAsia"/>
          <w:color w:val="auto"/>
          <w:highlight w:val="none"/>
        </w:rPr>
        <w:t>，由</w:t>
      </w:r>
      <w:r>
        <w:rPr>
          <w:color w:val="auto"/>
          <w:highlight w:val="none"/>
        </w:rPr>
        <w:t>设备维保商</w:t>
      </w:r>
      <w:r>
        <w:rPr>
          <w:rFonts w:hint="eastAsia"/>
          <w:color w:val="auto"/>
          <w:highlight w:val="none"/>
        </w:rPr>
        <w:t>向行方提交对账单，双方核对</w:t>
      </w:r>
      <w:r>
        <w:rPr>
          <w:color w:val="auto"/>
          <w:highlight w:val="none"/>
        </w:rPr>
        <w:t>维保费用明细</w:t>
      </w:r>
      <w:r>
        <w:rPr>
          <w:rFonts w:hint="eastAsia"/>
          <w:color w:val="auto"/>
          <w:highlight w:val="none"/>
        </w:rPr>
        <w:t>无误后，</w:t>
      </w:r>
      <w:r>
        <w:rPr>
          <w:color w:val="auto"/>
          <w:highlight w:val="none"/>
        </w:rPr>
        <w:t>设备维保商</w:t>
      </w:r>
      <w:r>
        <w:rPr>
          <w:rFonts w:hint="eastAsia"/>
          <w:color w:val="auto"/>
          <w:highlight w:val="none"/>
        </w:rPr>
        <w:t>向行方出具设备</w:t>
      </w:r>
      <w:r>
        <w:rPr>
          <w:color w:val="auto"/>
          <w:highlight w:val="none"/>
        </w:rPr>
        <w:t>维保费</w:t>
      </w:r>
      <w:r>
        <w:rPr>
          <w:rFonts w:hint="eastAsia"/>
          <w:color w:val="auto"/>
          <w:highlight w:val="none"/>
        </w:rPr>
        <w:t>发票（</w:t>
      </w:r>
      <w:r>
        <w:rPr>
          <w:color w:val="auto"/>
          <w:highlight w:val="none"/>
        </w:rPr>
        <w:t>6</w:t>
      </w:r>
      <w:r>
        <w:rPr>
          <w:rFonts w:hint="eastAsia"/>
          <w:color w:val="auto"/>
          <w:highlight w:val="none"/>
        </w:rPr>
        <w:t>%的增值税专用发票），行方收到</w:t>
      </w:r>
      <w:r>
        <w:rPr>
          <w:color w:val="auto"/>
          <w:highlight w:val="none"/>
        </w:rPr>
        <w:t>设备维保商</w:t>
      </w:r>
      <w:r>
        <w:rPr>
          <w:rFonts w:hint="eastAsia"/>
          <w:color w:val="auto"/>
          <w:highlight w:val="none"/>
        </w:rPr>
        <w:t>发票后30日内将设备</w:t>
      </w:r>
      <w:r>
        <w:rPr>
          <w:color w:val="auto"/>
          <w:highlight w:val="none"/>
        </w:rPr>
        <w:t>维保费</w:t>
      </w:r>
      <w:r>
        <w:rPr>
          <w:rFonts w:hint="eastAsia"/>
          <w:color w:val="auto"/>
          <w:highlight w:val="none"/>
        </w:rPr>
        <w:t>款项通过转账形式划到</w:t>
      </w:r>
      <w:r>
        <w:rPr>
          <w:color w:val="auto"/>
          <w:highlight w:val="none"/>
        </w:rPr>
        <w:t>设备维保商</w:t>
      </w:r>
      <w:r>
        <w:rPr>
          <w:rFonts w:hint="eastAsia"/>
          <w:color w:val="auto"/>
          <w:highlight w:val="none"/>
        </w:rPr>
        <w:t>指定的银行账户。</w:t>
      </w:r>
    </w:p>
    <w:p w14:paraId="44D1DFC8">
      <w:pPr>
        <w:pStyle w:val="3"/>
        <w:bidi w:val="0"/>
        <w:rPr>
          <w:color w:val="auto"/>
          <w:highlight w:val="none"/>
        </w:rPr>
      </w:pPr>
      <w:bookmarkStart w:id="46" w:name="_Toc89675150"/>
      <w:bookmarkStart w:id="47" w:name="_Toc15059424"/>
      <w:r>
        <w:rPr>
          <w:color w:val="auto"/>
          <w:highlight w:val="none"/>
          <w:lang w:val="en-US" w:eastAsia="zh-CN"/>
        </w:rPr>
        <w:t>5</w:t>
      </w:r>
      <w:r>
        <w:rPr>
          <w:rFonts w:hint="eastAsia"/>
          <w:color w:val="auto"/>
          <w:highlight w:val="none"/>
          <w:lang w:val="en-US" w:eastAsia="zh-CN"/>
        </w:rPr>
        <w:t xml:space="preserve">. </w:t>
      </w:r>
      <w:r>
        <w:rPr>
          <w:rFonts w:hint="eastAsia"/>
          <w:color w:val="auto"/>
          <w:highlight w:val="none"/>
        </w:rPr>
        <w:t>保密条款</w:t>
      </w:r>
      <w:bookmarkEnd w:id="42"/>
      <w:bookmarkEnd w:id="43"/>
      <w:bookmarkEnd w:id="44"/>
      <w:bookmarkEnd w:id="45"/>
      <w:bookmarkEnd w:id="46"/>
      <w:bookmarkEnd w:id="47"/>
    </w:p>
    <w:p w14:paraId="21F83139">
      <w:pPr>
        <w:pStyle w:val="4"/>
        <w:bidi w:val="0"/>
        <w:rPr>
          <w:rFonts w:hint="eastAsia"/>
          <w:color w:val="auto"/>
          <w:highlight w:val="none"/>
        </w:rPr>
      </w:pPr>
      <w:r>
        <w:rPr>
          <w:color w:val="auto"/>
          <w:highlight w:val="none"/>
          <w:lang w:val="en-US" w:eastAsia="zh-CN"/>
        </w:rPr>
        <w:t>5</w:t>
      </w:r>
      <w:r>
        <w:rPr>
          <w:rFonts w:hint="eastAsia"/>
          <w:color w:val="auto"/>
          <w:highlight w:val="none"/>
          <w:lang w:val="en-US" w:eastAsia="zh-CN"/>
        </w:rPr>
        <w:t xml:space="preserve">.1 </w:t>
      </w:r>
      <w:r>
        <w:rPr>
          <w:rFonts w:hint="eastAsia"/>
          <w:color w:val="auto"/>
          <w:highlight w:val="none"/>
        </w:rPr>
        <w:t>保密范围</w:t>
      </w:r>
    </w:p>
    <w:p w14:paraId="27717E80">
      <w:pPr>
        <w:bidi w:val="0"/>
        <w:rPr>
          <w:rFonts w:hint="eastAsia"/>
          <w:color w:val="auto"/>
          <w:highlight w:val="none"/>
        </w:rPr>
      </w:pPr>
      <w:r>
        <w:rPr>
          <w:rFonts w:hint="eastAsia"/>
          <w:color w:val="auto"/>
          <w:highlight w:val="none"/>
        </w:rPr>
        <w:t>中选人在实施过程中接触到的比选人知识产权、经营信息等。</w:t>
      </w:r>
    </w:p>
    <w:p w14:paraId="0D56F3D5">
      <w:pPr>
        <w:pStyle w:val="4"/>
        <w:bidi w:val="0"/>
        <w:rPr>
          <w:rFonts w:hint="eastAsia"/>
          <w:color w:val="auto"/>
          <w:highlight w:val="none"/>
        </w:rPr>
      </w:pPr>
      <w:r>
        <w:rPr>
          <w:color w:val="auto"/>
          <w:highlight w:val="none"/>
          <w:lang w:val="en-US" w:eastAsia="zh-CN"/>
        </w:rPr>
        <w:t>5</w:t>
      </w:r>
      <w:r>
        <w:rPr>
          <w:rFonts w:hint="eastAsia"/>
          <w:color w:val="auto"/>
          <w:highlight w:val="none"/>
          <w:lang w:val="en-US" w:eastAsia="zh-CN"/>
        </w:rPr>
        <w:t xml:space="preserve">.2 </w:t>
      </w:r>
      <w:r>
        <w:rPr>
          <w:rFonts w:hint="eastAsia"/>
          <w:color w:val="auto"/>
          <w:highlight w:val="none"/>
        </w:rPr>
        <w:t>保密责任</w:t>
      </w:r>
    </w:p>
    <w:p w14:paraId="469A3446">
      <w:pPr>
        <w:bidi w:val="0"/>
        <w:rPr>
          <w:rFonts w:hint="eastAsia"/>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14:paraId="04D110DA">
      <w:pPr>
        <w:pStyle w:val="3"/>
        <w:bidi w:val="0"/>
        <w:rPr>
          <w:color w:val="auto"/>
          <w:highlight w:val="none"/>
        </w:rPr>
      </w:pPr>
      <w:r>
        <w:rPr>
          <w:color w:val="auto"/>
          <w:highlight w:val="none"/>
          <w:lang w:val="en-US" w:eastAsia="zh-CN"/>
        </w:rPr>
        <w:t>6</w:t>
      </w:r>
      <w:r>
        <w:rPr>
          <w:rFonts w:hint="eastAsia"/>
          <w:color w:val="auto"/>
          <w:highlight w:val="none"/>
          <w:lang w:val="en-US" w:eastAsia="zh-CN"/>
        </w:rPr>
        <w:t xml:space="preserve">. </w:t>
      </w:r>
      <w:r>
        <w:rPr>
          <w:rFonts w:hint="eastAsia"/>
          <w:color w:val="auto"/>
          <w:highlight w:val="none"/>
        </w:rPr>
        <w:t>报价要求</w:t>
      </w:r>
    </w:p>
    <w:p w14:paraId="3023B8BE">
      <w:pPr>
        <w:bidi w:val="0"/>
        <w:rPr>
          <w:rFonts w:hint="eastAsia"/>
          <w:color w:val="auto"/>
          <w:highlight w:val="none"/>
        </w:rPr>
      </w:pPr>
      <w:r>
        <w:rPr>
          <w:rFonts w:hint="eastAsia"/>
          <w:color w:val="auto"/>
          <w:highlight w:val="none"/>
        </w:rPr>
        <w:t>参选人应严格按照《参选文件格式》的“报价一览表”格式认真填写。</w:t>
      </w:r>
    </w:p>
    <w:p w14:paraId="2D914AE3">
      <w:pPr>
        <w:pStyle w:val="3"/>
        <w:bidi w:val="0"/>
        <w:rPr>
          <w:color w:val="auto"/>
          <w:highlight w:val="none"/>
        </w:rPr>
      </w:pPr>
      <w:bookmarkStart w:id="48" w:name="_Toc15059426"/>
      <w:bookmarkStart w:id="49" w:name="_Toc89675152"/>
      <w:r>
        <w:rPr>
          <w:color w:val="auto"/>
          <w:highlight w:val="none"/>
          <w:lang w:val="en-US" w:eastAsia="zh-CN"/>
        </w:rPr>
        <w:t>7</w:t>
      </w:r>
      <w:r>
        <w:rPr>
          <w:rFonts w:hint="eastAsia"/>
          <w:color w:val="auto"/>
          <w:highlight w:val="none"/>
          <w:lang w:val="en-US" w:eastAsia="zh-CN"/>
        </w:rPr>
        <w:t xml:space="preserve">. </w:t>
      </w:r>
      <w:r>
        <w:rPr>
          <w:rFonts w:hint="eastAsia"/>
          <w:color w:val="auto"/>
          <w:highlight w:val="none"/>
        </w:rPr>
        <w:t>知识产权</w:t>
      </w:r>
      <w:bookmarkEnd w:id="48"/>
      <w:bookmarkEnd w:id="49"/>
    </w:p>
    <w:p w14:paraId="3FB6A382">
      <w:pPr>
        <w:rPr>
          <w:rFonts w:hint="eastAsia"/>
          <w:color w:val="auto"/>
          <w:highlight w:val="none"/>
          <w:lang w:val="en-US" w:eastAsia="zh-CN"/>
        </w:rPr>
      </w:pPr>
      <w:bookmarkStart w:id="50" w:name="_Toc15059427"/>
      <w:bookmarkStart w:id="51" w:name="_Toc89675153"/>
      <w:r>
        <w:rPr>
          <w:rFonts w:hint="eastAsia"/>
          <w:color w:val="auto"/>
          <w:highlight w:val="none"/>
          <w:lang w:val="en-US" w:eastAsia="zh-CN"/>
        </w:rPr>
        <w:t>中选人向行方提供的服务不存在侵犯任何其他方知识产权或专利权的情形；如行方因此遭受任何第三方的起诉或索赔，中选人承诺主动与起诉方或索赔方进行交涉，为行方的应诉或处理索赔事宜支付费用，支付行方因败诉或被索赔应偿付的赔偿款，并对行方由此造成的全部损失进行赔偿。【提供知识产权承诺函】</w:t>
      </w:r>
    </w:p>
    <w:p w14:paraId="40D866D5">
      <w:pPr>
        <w:pStyle w:val="3"/>
        <w:bidi w:val="0"/>
        <w:rPr>
          <w:color w:val="auto"/>
          <w:highlight w:val="none"/>
        </w:rPr>
      </w:pPr>
      <w:r>
        <w:rPr>
          <w:color w:val="auto"/>
          <w:highlight w:val="none"/>
          <w:lang w:val="en-US" w:eastAsia="zh-CN"/>
        </w:rPr>
        <w:t>8</w:t>
      </w:r>
      <w:r>
        <w:rPr>
          <w:rFonts w:hint="eastAsia"/>
          <w:color w:val="auto"/>
          <w:highlight w:val="none"/>
          <w:lang w:val="en-US" w:eastAsia="zh-CN"/>
        </w:rPr>
        <w:t xml:space="preserve">. </w:t>
      </w:r>
      <w:r>
        <w:rPr>
          <w:rFonts w:hint="eastAsia"/>
          <w:color w:val="auto"/>
          <w:highlight w:val="none"/>
        </w:rPr>
        <w:t>其他</w:t>
      </w:r>
      <w:bookmarkEnd w:id="50"/>
      <w:bookmarkEnd w:id="51"/>
    </w:p>
    <w:p w14:paraId="547E9141">
      <w:pPr>
        <w:rPr>
          <w:rFonts w:hint="eastAsia"/>
          <w:color w:val="auto"/>
          <w:highlight w:val="none"/>
        </w:rPr>
      </w:pPr>
      <w:r>
        <w:rPr>
          <w:rFonts w:hint="eastAsia"/>
          <w:color w:val="auto"/>
          <w:highlight w:val="none"/>
          <w:lang w:val="en-US" w:eastAsia="zh-CN"/>
        </w:rPr>
        <w:t>8</w:t>
      </w:r>
      <w:r>
        <w:rPr>
          <w:rFonts w:hint="eastAsia"/>
          <w:color w:val="auto"/>
          <w:highlight w:val="none"/>
        </w:rPr>
        <w:t>.1 参选人必须在响应承诺函中对本章内容做出整体性响应和承诺，承诺内容必须达到本章及比选文件其他条款的要求。</w:t>
      </w:r>
    </w:p>
    <w:p w14:paraId="0D94ACC6">
      <w:pPr>
        <w:rPr>
          <w:rFonts w:eastAsia="宋体"/>
          <w:color w:val="auto"/>
          <w:highlight w:val="none"/>
          <w:lang w:val="en-US" w:eastAsia="zh-CN"/>
        </w:rPr>
      </w:pPr>
      <w:r>
        <w:rPr>
          <w:rFonts w:hint="eastAsia"/>
          <w:color w:val="auto"/>
          <w:highlight w:val="none"/>
          <w:lang w:val="en-US" w:eastAsia="zh-CN"/>
        </w:rPr>
        <w:t>8.2 参选人必须在技术条款偏离表中对本章第3条“技术要求”表格中内容逐条响应，内容齐全、无遗漏。</w:t>
      </w:r>
    </w:p>
    <w:p w14:paraId="26C914E0">
      <w:pPr>
        <w:rPr>
          <w:rFonts w:hint="eastAsia"/>
          <w:color w:val="auto"/>
          <w:highlight w:val="none"/>
        </w:rPr>
      </w:pPr>
      <w:r>
        <w:rPr>
          <w:rFonts w:hint="eastAsia"/>
          <w:color w:val="auto"/>
          <w:highlight w:val="none"/>
          <w:lang w:val="en-US" w:eastAsia="zh-CN"/>
        </w:rPr>
        <w:t>8</w:t>
      </w: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 参选人应根据本章内容和要求，提供对应</w:t>
      </w:r>
      <w:r>
        <w:rPr>
          <w:rFonts w:hint="eastAsia"/>
          <w:color w:val="auto"/>
          <w:highlight w:val="none"/>
          <w:lang w:val="en-US" w:eastAsia="zh-CN"/>
        </w:rPr>
        <w:t>资料</w:t>
      </w:r>
      <w:r>
        <w:rPr>
          <w:rFonts w:hint="eastAsia"/>
          <w:color w:val="auto"/>
          <w:highlight w:val="none"/>
        </w:rPr>
        <w:t>，无遗漏。</w:t>
      </w:r>
    </w:p>
    <w:p w14:paraId="5F6E6B77">
      <w:pPr>
        <w:rPr>
          <w:rFonts w:hint="eastAsia"/>
          <w:color w:val="auto"/>
          <w:highlight w:val="none"/>
        </w:rPr>
      </w:pPr>
      <w:r>
        <w:rPr>
          <w:rFonts w:hint="eastAsia"/>
          <w:color w:val="auto"/>
          <w:highlight w:val="none"/>
          <w:lang w:val="en-US" w:eastAsia="zh-CN"/>
        </w:rPr>
        <w:t>8</w:t>
      </w:r>
      <w:r>
        <w:rPr>
          <w:rFonts w:hint="eastAsia"/>
          <w:color w:val="auto"/>
          <w:highlight w:val="none"/>
        </w:rPr>
        <w:t>.</w:t>
      </w:r>
      <w:r>
        <w:rPr>
          <w:rFonts w:hint="eastAsia"/>
          <w:color w:val="auto"/>
          <w:highlight w:val="none"/>
          <w:lang w:val="en-US" w:eastAsia="zh-CN"/>
        </w:rPr>
        <w:t>4</w:t>
      </w:r>
      <w:r>
        <w:rPr>
          <w:rFonts w:hint="eastAsia"/>
          <w:color w:val="auto"/>
          <w:highlight w:val="none"/>
        </w:rPr>
        <w:t xml:space="preserve"> 其他未尽事宜由供需双方在合同中详细约定。</w:t>
      </w:r>
    </w:p>
    <w:p w14:paraId="34BA86EC">
      <w:pPr>
        <w:snapToGrid w:val="0"/>
        <w:spacing w:line="360" w:lineRule="auto"/>
        <w:ind w:firstLine="480" w:firstLineChars="200"/>
        <w:rPr>
          <w:rFonts w:hint="eastAsia" w:ascii="宋体" w:hAnsi="宋体" w:cs="宋体"/>
          <w:snapToGrid w:val="0"/>
          <w:color w:val="auto"/>
          <w:kern w:val="0"/>
          <w:sz w:val="24"/>
          <w:szCs w:val="24"/>
          <w:highlight w:val="none"/>
          <w:lang w:val="en-US" w:eastAsia="zh-CN"/>
        </w:rPr>
      </w:pPr>
    </w:p>
    <w:p w14:paraId="318CBE9C">
      <w:pPr>
        <w:snapToGrid w:val="0"/>
        <w:spacing w:line="360" w:lineRule="auto"/>
        <w:ind w:firstLine="480" w:firstLineChars="200"/>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br w:type="page"/>
      </w:r>
    </w:p>
    <w:p w14:paraId="67C2DD40">
      <w:pPr>
        <w:pStyle w:val="2"/>
        <w:spacing w:before="0"/>
        <w:ind w:right="0"/>
        <w:rPr>
          <w:rFonts w:hint="eastAsia"/>
          <w:color w:val="auto"/>
          <w:highlight w:val="none"/>
          <w:lang w:val="en-US" w:eastAsia="zh-CN"/>
        </w:rPr>
      </w:pPr>
      <w:bookmarkStart w:id="52" w:name="_Toc29189"/>
      <w:bookmarkStart w:id="53" w:name="_Toc2260"/>
      <w:bookmarkStart w:id="54" w:name="_Toc28759"/>
      <w:r>
        <w:rPr>
          <w:rFonts w:hint="eastAsia"/>
          <w:color w:val="auto"/>
          <w:highlight w:val="none"/>
          <w:lang w:val="en-US" w:eastAsia="zh-CN"/>
        </w:rPr>
        <w:t>第四章 评审办法（综合评估法）</w:t>
      </w:r>
      <w:bookmarkEnd w:id="52"/>
      <w:bookmarkEnd w:id="53"/>
      <w:bookmarkEnd w:id="54"/>
    </w:p>
    <w:p w14:paraId="684C40E1">
      <w:pPr>
        <w:bidi w:val="0"/>
        <w:rPr>
          <w:rFonts w:hint="eastAsia"/>
          <w:b/>
          <w:bCs/>
          <w:color w:val="auto"/>
          <w:highlight w:val="none"/>
        </w:rPr>
      </w:pPr>
      <w:bookmarkStart w:id="55" w:name="_Toc2028"/>
      <w:bookmarkStart w:id="56" w:name="_Toc27076"/>
      <w:bookmarkStart w:id="57" w:name="_Toc14810"/>
      <w:bookmarkStart w:id="58" w:name="_Toc11471"/>
      <w:r>
        <w:rPr>
          <w:rFonts w:hint="eastAsia"/>
          <w:b/>
          <w:bCs/>
          <w:color w:val="auto"/>
          <w:highlight w:val="none"/>
        </w:rPr>
        <w:t>评审办法前附表</w:t>
      </w:r>
      <w:bookmarkEnd w:id="55"/>
      <w:bookmarkEnd w:id="56"/>
      <w:bookmarkEnd w:id="57"/>
      <w:bookmarkEnd w:id="58"/>
    </w:p>
    <w:p w14:paraId="7FD0F55D">
      <w:pPr>
        <w:spacing w:line="360" w:lineRule="auto"/>
        <w:ind w:firstLine="420" w:firstLineChars="200"/>
        <w:rPr>
          <w:color w:val="auto"/>
          <w:highlight w:val="none"/>
        </w:rPr>
      </w:pPr>
      <w:r>
        <w:rPr>
          <w:rFonts w:ascii="宋体" w:hAnsi="宋体"/>
          <w:color w:val="auto"/>
          <w:szCs w:val="21"/>
          <w:highlight w:val="none"/>
        </w:rPr>
        <w:t>若</w:t>
      </w:r>
      <w:r>
        <w:rPr>
          <w:rFonts w:hint="eastAsia" w:ascii="宋体" w:hAnsi="宋体"/>
          <w:color w:val="auto"/>
          <w:szCs w:val="21"/>
          <w:highlight w:val="none"/>
        </w:rPr>
        <w:t>评审办法前附表</w:t>
      </w:r>
      <w:r>
        <w:rPr>
          <w:rFonts w:ascii="宋体" w:hAnsi="宋体"/>
          <w:color w:val="auto"/>
          <w:szCs w:val="21"/>
          <w:highlight w:val="none"/>
        </w:rPr>
        <w:t>与正文不一致的地方，以</w:t>
      </w:r>
      <w:r>
        <w:rPr>
          <w:rFonts w:hint="eastAsia" w:ascii="宋体" w:hAnsi="宋体"/>
          <w:color w:val="auto"/>
          <w:szCs w:val="21"/>
          <w:highlight w:val="none"/>
        </w:rPr>
        <w:t>评审办法前附表</w:t>
      </w:r>
      <w:r>
        <w:rPr>
          <w:rFonts w:ascii="宋体" w:hAnsi="宋体"/>
          <w:color w:val="auto"/>
          <w:szCs w:val="21"/>
          <w:highlight w:val="none"/>
        </w:rPr>
        <w:t>为准。</w:t>
      </w:r>
    </w:p>
    <w:tbl>
      <w:tblPr>
        <w:tblStyle w:val="1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49"/>
        <w:gridCol w:w="1530"/>
        <w:gridCol w:w="714"/>
        <w:gridCol w:w="486"/>
        <w:gridCol w:w="5165"/>
      </w:tblGrid>
      <w:tr w14:paraId="6817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53072CE">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b/>
                <w:color w:val="auto"/>
                <w:kern w:val="0"/>
                <w:sz w:val="21"/>
                <w:szCs w:val="21"/>
                <w:highlight w:val="none"/>
              </w:rPr>
            </w:pPr>
            <w:bookmarkStart w:id="59" w:name="CQZH1_07"/>
            <w:r>
              <w:rPr>
                <w:rFonts w:hint="eastAsia" w:ascii="宋体" w:hAnsi="宋体" w:cs="宋体"/>
                <w:b/>
                <w:color w:val="auto"/>
                <w:kern w:val="0"/>
                <w:sz w:val="21"/>
                <w:szCs w:val="21"/>
                <w:highlight w:val="none"/>
              </w:rPr>
              <w:t>条款号</w:t>
            </w:r>
          </w:p>
        </w:tc>
        <w:tc>
          <w:tcPr>
            <w:tcW w:w="749" w:type="dxa"/>
            <w:vAlign w:val="center"/>
          </w:tcPr>
          <w:p w14:paraId="1753F68A">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7895" w:type="dxa"/>
            <w:gridSpan w:val="4"/>
            <w:vAlign w:val="center"/>
          </w:tcPr>
          <w:p w14:paraId="7F01677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3968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E288F9C">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b w:val="0"/>
                <w:bCs/>
                <w:color w:val="auto"/>
                <w:kern w:val="0"/>
                <w:sz w:val="21"/>
                <w:szCs w:val="21"/>
                <w:highlight w:val="none"/>
                <w:lang w:val="en-US" w:eastAsia="zh-CN" w:bidi="ar-SA"/>
              </w:rPr>
            </w:pPr>
            <w:r>
              <w:rPr>
                <w:rFonts w:hint="eastAsia" w:ascii="宋体" w:hAnsi="宋体" w:cs="宋体"/>
                <w:b w:val="0"/>
                <w:bCs/>
                <w:color w:val="auto"/>
                <w:kern w:val="0"/>
                <w:sz w:val="21"/>
                <w:szCs w:val="21"/>
                <w:highlight w:val="none"/>
                <w:lang w:val="en-US" w:eastAsia="zh-CN"/>
              </w:rPr>
              <w:t>1</w:t>
            </w:r>
          </w:p>
        </w:tc>
        <w:tc>
          <w:tcPr>
            <w:tcW w:w="749" w:type="dxa"/>
            <w:tcBorders>
              <w:top w:val="single" w:color="auto" w:sz="4" w:space="0"/>
              <w:left w:val="single" w:color="auto" w:sz="4" w:space="0"/>
              <w:right w:val="single" w:color="auto" w:sz="4" w:space="0"/>
            </w:tcBorders>
            <w:vAlign w:val="center"/>
          </w:tcPr>
          <w:p w14:paraId="1BA8C305">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b/>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评</w:t>
            </w:r>
            <w:r>
              <w:rPr>
                <w:rFonts w:hint="eastAsia" w:ascii="Times New Roman" w:hAnsi="Times New Roman" w:cs="Times New Roman"/>
                <w:color w:val="auto"/>
                <w:sz w:val="21"/>
                <w:szCs w:val="21"/>
                <w:highlight w:val="none"/>
                <w:lang w:val="en-US" w:eastAsia="zh-CN"/>
              </w:rPr>
              <w:t>审</w:t>
            </w:r>
            <w:r>
              <w:rPr>
                <w:rFonts w:hint="eastAsia" w:ascii="Times New Roman" w:hAnsi="Times New Roman" w:cs="Times New Roman"/>
                <w:color w:val="auto"/>
                <w:sz w:val="21"/>
                <w:szCs w:val="21"/>
                <w:highlight w:val="none"/>
              </w:rPr>
              <w:t>办法</w:t>
            </w:r>
          </w:p>
        </w:tc>
        <w:tc>
          <w:tcPr>
            <w:tcW w:w="7895" w:type="dxa"/>
            <w:gridSpan w:val="4"/>
            <w:vAlign w:val="center"/>
          </w:tcPr>
          <w:p w14:paraId="71FD0813">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b/>
                <w:color w:val="auto"/>
                <w:kern w:val="0"/>
                <w:sz w:val="21"/>
                <w:szCs w:val="21"/>
                <w:highlight w:val="none"/>
                <w:lang w:val="en-US" w:eastAsia="zh-CN" w:bidi="ar-SA"/>
              </w:rPr>
            </w:pPr>
            <w:r>
              <w:rPr>
                <w:rFonts w:hint="eastAsia" w:ascii="宋体" w:hAnsi="宋体" w:cs="Times New Roman"/>
                <w:color w:val="auto"/>
                <w:kern w:val="0"/>
                <w:sz w:val="21"/>
                <w:szCs w:val="24"/>
                <w:highlight w:val="none"/>
                <w:lang w:val="en-US" w:eastAsia="zh-CN"/>
              </w:rPr>
              <w:t>本次评审采用综合评估法。评审委员会按照评审办法前附表第2.1 条规定的标准进行初步评审，初步评审</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参选人评审委员会按照评审办法前附表第2.2 条规定的评分标准进行打分，按得分由高到低顺序推荐1-3名中选候选人，但参选报价低于其成本的除外。综合评分相等时，以参选报价低的优先；参选报价也相等的，由评审委员会按照本地</w:t>
            </w:r>
            <w:r>
              <w:rPr>
                <w:rFonts w:ascii="宋体" w:hAnsi="宋体" w:cs="Times New Roman"/>
                <w:color w:val="auto"/>
                <w:kern w:val="0"/>
                <w:sz w:val="21"/>
                <w:szCs w:val="24"/>
                <w:highlight w:val="none"/>
                <w:lang w:val="en-US" w:eastAsia="zh-CN"/>
              </w:rPr>
              <w:t>服务站点得分由高到低</w:t>
            </w:r>
            <w:r>
              <w:rPr>
                <w:rFonts w:hint="eastAsia" w:ascii="宋体" w:hAnsi="宋体" w:cs="Times New Roman"/>
                <w:color w:val="auto"/>
                <w:kern w:val="0"/>
                <w:sz w:val="21"/>
                <w:szCs w:val="24"/>
                <w:highlight w:val="none"/>
                <w:lang w:val="en-US" w:eastAsia="zh-CN"/>
              </w:rPr>
              <w:t>的优先原则排序。</w:t>
            </w:r>
          </w:p>
        </w:tc>
      </w:tr>
      <w:tr w14:paraId="0905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D1AB48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b w:val="0"/>
                <w:bCs/>
                <w:color w:val="auto"/>
                <w:kern w:val="0"/>
                <w:sz w:val="21"/>
                <w:szCs w:val="21"/>
                <w:highlight w:val="none"/>
                <w:lang w:val="en-US" w:eastAsia="zh-CN" w:bidi="ar-SA"/>
              </w:rPr>
            </w:pPr>
            <w:r>
              <w:rPr>
                <w:rFonts w:hint="eastAsia" w:ascii="宋体" w:hAnsi="宋体" w:cs="宋体"/>
                <w:b w:val="0"/>
                <w:bCs/>
                <w:color w:val="auto"/>
                <w:kern w:val="0"/>
                <w:sz w:val="21"/>
                <w:szCs w:val="21"/>
                <w:highlight w:val="none"/>
                <w:lang w:val="en-US" w:eastAsia="zh-CN"/>
              </w:rPr>
              <w:t>2.1</w:t>
            </w:r>
          </w:p>
        </w:tc>
        <w:tc>
          <w:tcPr>
            <w:tcW w:w="749" w:type="dxa"/>
            <w:tcBorders>
              <w:top w:val="single" w:color="auto" w:sz="4" w:space="0"/>
              <w:left w:val="single" w:color="auto" w:sz="4" w:space="0"/>
              <w:right w:val="single" w:color="auto" w:sz="4" w:space="0"/>
            </w:tcBorders>
            <w:vAlign w:val="center"/>
          </w:tcPr>
          <w:p w14:paraId="56A55E9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eastAsia="宋体" w:cs="Times New Roman"/>
                <w:color w:val="auto"/>
                <w:kern w:val="0"/>
                <w:sz w:val="21"/>
                <w:szCs w:val="24"/>
                <w:highlight w:val="none"/>
                <w:lang w:val="en-US" w:eastAsia="zh-CN" w:bidi="ar-SA"/>
              </w:rPr>
            </w:pPr>
            <w:r>
              <w:rPr>
                <w:rFonts w:hint="eastAsia" w:ascii="宋体" w:eastAsia="宋体" w:cs="Times New Roman"/>
                <w:color w:val="auto"/>
                <w:kern w:val="0"/>
                <w:sz w:val="21"/>
                <w:szCs w:val="24"/>
                <w:highlight w:val="none"/>
                <w:lang w:val="en-US" w:eastAsia="zh-CN" w:bidi="ar-SA"/>
              </w:rPr>
              <w:t>初步评审</w:t>
            </w:r>
            <w:r>
              <w:rPr>
                <w:rFonts w:hint="eastAsia" w:ascii="宋体" w:hAnsi="宋体" w:cs="Times New Roman"/>
                <w:color w:val="auto"/>
                <w:kern w:val="0"/>
                <w:sz w:val="21"/>
                <w:szCs w:val="24"/>
                <w:highlight w:val="none"/>
                <w:lang w:val="en-US" w:eastAsia="zh-CN" w:bidi="ar-SA"/>
              </w:rPr>
              <w:t>标准</w:t>
            </w:r>
          </w:p>
        </w:tc>
        <w:tc>
          <w:tcPr>
            <w:tcW w:w="7895" w:type="dxa"/>
            <w:gridSpan w:val="4"/>
            <w:vAlign w:val="center"/>
          </w:tcPr>
          <w:p w14:paraId="66A49A79">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Times New Roman"/>
                <w:color w:val="auto"/>
                <w:kern w:val="0"/>
                <w:sz w:val="21"/>
                <w:szCs w:val="24"/>
                <w:highlight w:val="none"/>
                <w:lang w:val="en-US" w:eastAsia="zh-CN" w:bidi="ar-SA"/>
              </w:rPr>
            </w:pPr>
            <w:r>
              <w:rPr>
                <w:rFonts w:hint="eastAsia" w:ascii="宋体" w:hAnsi="宋体" w:cs="Times New Roman"/>
                <w:color w:val="auto"/>
                <w:kern w:val="0"/>
                <w:sz w:val="21"/>
                <w:szCs w:val="24"/>
                <w:highlight w:val="none"/>
                <w:lang w:val="en-US" w:eastAsia="zh-CN"/>
              </w:rPr>
              <w:t>所有参选单位</w:t>
            </w:r>
            <w:r>
              <w:rPr>
                <w:rFonts w:hint="eastAsia" w:ascii="宋体" w:hAnsi="宋体" w:cs="Times New Roman"/>
                <w:color w:val="auto"/>
                <w:spacing w:val="4"/>
                <w:kern w:val="0"/>
                <w:sz w:val="21"/>
                <w:szCs w:val="21"/>
                <w:highlight w:val="none"/>
              </w:rPr>
              <w:t>进行</w:t>
            </w:r>
            <w:r>
              <w:rPr>
                <w:rFonts w:hint="eastAsia" w:ascii="宋体" w:eastAsia="宋体" w:cs="Times New Roman"/>
                <w:color w:val="auto"/>
                <w:kern w:val="0"/>
                <w:sz w:val="21"/>
                <w:szCs w:val="24"/>
                <w:highlight w:val="none"/>
                <w:lang w:val="en-US" w:eastAsia="zh-CN" w:bidi="ar-SA"/>
              </w:rPr>
              <w:t>初步评审</w:t>
            </w:r>
            <w:r>
              <w:rPr>
                <w:rFonts w:hint="eastAsia" w:ascii="宋体" w:hAnsi="宋体" w:cs="Times New Roman"/>
                <w:color w:val="auto"/>
                <w:spacing w:val="4"/>
                <w:kern w:val="0"/>
                <w:sz w:val="21"/>
                <w:szCs w:val="21"/>
                <w:highlight w:val="none"/>
              </w:rPr>
              <w:t>。</w:t>
            </w:r>
            <w:r>
              <w:rPr>
                <w:rFonts w:hint="eastAsia" w:ascii="宋体" w:eastAsia="宋体" w:cs="Times New Roman"/>
                <w:color w:val="auto"/>
                <w:kern w:val="0"/>
                <w:sz w:val="21"/>
                <w:szCs w:val="24"/>
                <w:highlight w:val="none"/>
                <w:lang w:val="en-US" w:eastAsia="zh-CN" w:bidi="ar-SA"/>
              </w:rPr>
              <w:t>初步评审</w:t>
            </w:r>
            <w:r>
              <w:rPr>
                <w:rFonts w:hint="eastAsia" w:ascii="宋体" w:hAnsi="宋体" w:cs="Times New Roman"/>
                <w:color w:val="auto"/>
                <w:spacing w:val="4"/>
                <w:kern w:val="0"/>
                <w:sz w:val="21"/>
                <w:szCs w:val="21"/>
                <w:highlight w:val="none"/>
              </w:rPr>
              <w:t>内容：资格评审、形式评审、响应性评审。</w:t>
            </w:r>
          </w:p>
        </w:tc>
      </w:tr>
      <w:tr w14:paraId="7B4E6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FA3F553">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b w:val="0"/>
                <w:bCs/>
                <w:color w:val="auto"/>
                <w:kern w:val="0"/>
                <w:sz w:val="21"/>
                <w:szCs w:val="21"/>
                <w:highlight w:val="none"/>
                <w:lang w:val="en-US" w:eastAsia="zh-CN" w:bidi="ar-SA"/>
              </w:rPr>
            </w:pPr>
            <w:r>
              <w:rPr>
                <w:rFonts w:hint="eastAsia" w:ascii="宋体" w:hAnsi="宋体" w:cs="宋体"/>
                <w:color w:val="auto"/>
                <w:kern w:val="0"/>
                <w:sz w:val="21"/>
                <w:szCs w:val="21"/>
                <w:highlight w:val="none"/>
              </w:rPr>
              <w:t>2.1.1</w:t>
            </w:r>
          </w:p>
        </w:tc>
        <w:tc>
          <w:tcPr>
            <w:tcW w:w="749" w:type="dxa"/>
            <w:tcBorders>
              <w:top w:val="single" w:color="auto" w:sz="4" w:space="0"/>
              <w:left w:val="single" w:color="auto" w:sz="4" w:space="0"/>
              <w:right w:val="single" w:color="auto" w:sz="4" w:space="0"/>
            </w:tcBorders>
            <w:vAlign w:val="center"/>
          </w:tcPr>
          <w:p w14:paraId="34C2E436">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Times New Roman"/>
                <w:color w:val="auto"/>
                <w:kern w:val="0"/>
                <w:sz w:val="21"/>
                <w:szCs w:val="24"/>
                <w:highlight w:val="none"/>
                <w:lang w:val="en-US" w:eastAsia="zh-CN" w:bidi="ar-SA"/>
              </w:rPr>
            </w:pPr>
            <w:r>
              <w:rPr>
                <w:rFonts w:hint="eastAsia" w:ascii="宋体" w:eastAsia="宋体" w:cs="宋体"/>
                <w:color w:val="auto"/>
                <w:kern w:val="0"/>
                <w:sz w:val="21"/>
                <w:szCs w:val="21"/>
                <w:highlight w:val="none"/>
              </w:rPr>
              <w:t>资格评审标准</w:t>
            </w:r>
          </w:p>
        </w:tc>
        <w:tc>
          <w:tcPr>
            <w:tcW w:w="1530" w:type="dxa"/>
            <w:tcBorders>
              <w:top w:val="single" w:color="auto" w:sz="4" w:space="0"/>
              <w:left w:val="single" w:color="auto" w:sz="4" w:space="0"/>
              <w:right w:val="single" w:color="auto" w:sz="4" w:space="0"/>
            </w:tcBorders>
            <w:vAlign w:val="center"/>
          </w:tcPr>
          <w:p w14:paraId="49AE07E3">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Times New Roman"/>
                <w:color w:val="auto"/>
                <w:kern w:val="0"/>
                <w:sz w:val="21"/>
                <w:szCs w:val="24"/>
                <w:highlight w:val="none"/>
                <w:lang w:val="en-US" w:eastAsia="zh-CN" w:bidi="ar-SA"/>
              </w:rPr>
            </w:pPr>
            <w:r>
              <w:rPr>
                <w:rFonts w:hint="eastAsia" w:ascii="宋体" w:eastAsia="宋体" w:cs="宋体"/>
                <w:color w:val="auto"/>
                <w:kern w:val="0"/>
                <w:sz w:val="21"/>
                <w:szCs w:val="21"/>
                <w:highlight w:val="none"/>
                <w:lang w:val="en-US" w:eastAsia="zh-CN"/>
              </w:rPr>
              <w:t>资格条件要求</w:t>
            </w:r>
          </w:p>
        </w:tc>
        <w:tc>
          <w:tcPr>
            <w:tcW w:w="6365" w:type="dxa"/>
            <w:gridSpan w:val="3"/>
            <w:vAlign w:val="center"/>
          </w:tcPr>
          <w:p w14:paraId="0FAA41FC">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cs="Times New Roman"/>
                <w:color w:val="auto"/>
                <w:kern w:val="0"/>
                <w:sz w:val="21"/>
                <w:szCs w:val="24"/>
                <w:highlight w:val="none"/>
                <w:lang w:val="en-US" w:eastAsia="zh-CN"/>
              </w:rPr>
            </w:pPr>
            <w:r>
              <w:rPr>
                <w:rFonts w:hint="eastAsia" w:ascii="宋体" w:hAnsi="宋体" w:cs="宋体"/>
                <w:color w:val="auto"/>
                <w:kern w:val="0"/>
                <w:sz w:val="21"/>
                <w:szCs w:val="21"/>
                <w:highlight w:val="none"/>
              </w:rPr>
              <w:t>符合第</w:t>
            </w:r>
            <w:r>
              <w:rPr>
                <w:rFonts w:hint="eastAsia" w:ascii="宋体" w:hAnsi="宋体" w:cs="宋体"/>
                <w:color w:val="auto"/>
                <w:kern w:val="0"/>
                <w:sz w:val="21"/>
                <w:szCs w:val="21"/>
                <w:highlight w:val="none"/>
                <w:lang w:val="en-US" w:eastAsia="zh-CN"/>
              </w:rPr>
              <w:t>一</w:t>
            </w:r>
            <w:r>
              <w:rPr>
                <w:rFonts w:hint="eastAsia" w:ascii="宋体" w:hAnsi="宋体" w:cs="宋体"/>
                <w:color w:val="auto"/>
                <w:kern w:val="0"/>
                <w:sz w:val="21"/>
                <w:szCs w:val="21"/>
                <w:highlight w:val="none"/>
              </w:rPr>
              <w:t>章“</w:t>
            </w:r>
            <w:r>
              <w:rPr>
                <w:rFonts w:hint="eastAsia" w:ascii="宋体" w:hAnsi="宋体" w:cs="宋体"/>
                <w:color w:val="auto"/>
                <w:kern w:val="0"/>
                <w:sz w:val="21"/>
                <w:szCs w:val="21"/>
                <w:highlight w:val="none"/>
                <w:lang w:val="en-US" w:eastAsia="zh-CN"/>
              </w:rPr>
              <w:t xml:space="preserve">2. </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lang w:val="en-US" w:eastAsia="zh-CN"/>
              </w:rPr>
              <w:t>资格要求</w:t>
            </w:r>
            <w:r>
              <w:rPr>
                <w:rFonts w:hint="eastAsia" w:ascii="宋体" w:hAnsi="宋体" w:cs="宋体"/>
                <w:color w:val="auto"/>
                <w:kern w:val="0"/>
                <w:sz w:val="21"/>
                <w:szCs w:val="21"/>
                <w:highlight w:val="none"/>
              </w:rPr>
              <w:t>”规定</w:t>
            </w:r>
          </w:p>
        </w:tc>
      </w:tr>
      <w:tr w14:paraId="38D8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4769A3B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2.1.2</w:t>
            </w:r>
          </w:p>
        </w:tc>
        <w:tc>
          <w:tcPr>
            <w:tcW w:w="749" w:type="dxa"/>
            <w:vMerge w:val="restart"/>
            <w:tcBorders>
              <w:top w:val="single" w:color="auto" w:sz="4" w:space="0"/>
              <w:left w:val="single" w:color="auto" w:sz="4" w:space="0"/>
              <w:right w:val="single" w:color="auto" w:sz="4" w:space="0"/>
            </w:tcBorders>
            <w:vAlign w:val="center"/>
          </w:tcPr>
          <w:p w14:paraId="6DF6A20B">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Times New Roman"/>
                <w:color w:val="auto"/>
                <w:kern w:val="0"/>
                <w:sz w:val="21"/>
                <w:szCs w:val="24"/>
                <w:highlight w:val="none"/>
              </w:rPr>
            </w:pPr>
            <w:r>
              <w:rPr>
                <w:rFonts w:hint="eastAsia" w:ascii="宋体" w:hAnsi="宋体" w:cs="Times New Roman"/>
                <w:color w:val="auto"/>
                <w:kern w:val="0"/>
                <w:sz w:val="21"/>
                <w:szCs w:val="24"/>
                <w:highlight w:val="none"/>
                <w:lang w:val="en-US" w:eastAsia="zh-CN"/>
              </w:rPr>
              <w:t>形式</w:t>
            </w:r>
            <w:r>
              <w:rPr>
                <w:rFonts w:hint="eastAsia" w:ascii="宋体" w:hAnsi="宋体" w:cs="Times New Roman"/>
                <w:color w:val="auto"/>
                <w:kern w:val="0"/>
                <w:sz w:val="21"/>
                <w:szCs w:val="24"/>
                <w:highlight w:val="none"/>
              </w:rPr>
              <w:t>评审标准</w:t>
            </w:r>
          </w:p>
        </w:tc>
        <w:tc>
          <w:tcPr>
            <w:tcW w:w="1530" w:type="dxa"/>
            <w:tcBorders>
              <w:top w:val="single" w:color="auto" w:sz="4" w:space="0"/>
              <w:left w:val="single" w:color="auto" w:sz="4" w:space="0"/>
              <w:right w:val="single" w:color="auto" w:sz="4" w:space="0"/>
            </w:tcBorders>
            <w:vAlign w:val="center"/>
          </w:tcPr>
          <w:p w14:paraId="5A2ED65C">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名称</w:t>
            </w:r>
          </w:p>
        </w:tc>
        <w:tc>
          <w:tcPr>
            <w:tcW w:w="6365" w:type="dxa"/>
            <w:gridSpan w:val="3"/>
            <w:vAlign w:val="center"/>
          </w:tcPr>
          <w:p w14:paraId="5F549EB8">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与营业执照</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资格证明材料</w:t>
            </w:r>
            <w:r>
              <w:rPr>
                <w:rFonts w:hint="eastAsia" w:ascii="宋体" w:hAnsi="宋体" w:cs="宋体"/>
                <w:color w:val="auto"/>
                <w:kern w:val="0"/>
                <w:sz w:val="21"/>
                <w:szCs w:val="21"/>
                <w:highlight w:val="none"/>
              </w:rPr>
              <w:t>一致</w:t>
            </w:r>
          </w:p>
        </w:tc>
      </w:tr>
      <w:tr w14:paraId="1CE4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50AE5B8">
            <w:pPr>
              <w:rPr>
                <w:color w:val="auto"/>
                <w:highlight w:val="none"/>
              </w:rPr>
            </w:pPr>
          </w:p>
        </w:tc>
        <w:tc>
          <w:tcPr>
            <w:tcW w:w="749" w:type="dxa"/>
            <w:vMerge w:val="continue"/>
            <w:tcBorders>
              <w:top w:val="single" w:color="auto" w:sz="4" w:space="0"/>
              <w:left w:val="single" w:color="auto" w:sz="4" w:space="0"/>
              <w:right w:val="single" w:color="auto" w:sz="4" w:space="0"/>
            </w:tcBorders>
            <w:textDirection w:val="tbRlV"/>
            <w:vAlign w:val="center"/>
          </w:tcPr>
          <w:p w14:paraId="46028822">
            <w:pPr>
              <w:rPr>
                <w:color w:val="auto"/>
                <w:highlight w:val="none"/>
              </w:rPr>
            </w:pPr>
          </w:p>
        </w:tc>
        <w:tc>
          <w:tcPr>
            <w:tcW w:w="1530" w:type="dxa"/>
            <w:tcBorders>
              <w:top w:val="single" w:color="auto" w:sz="4" w:space="0"/>
              <w:left w:val="single" w:color="auto" w:sz="4" w:space="0"/>
              <w:right w:val="single" w:color="auto" w:sz="4" w:space="0"/>
            </w:tcBorders>
            <w:vAlign w:val="center"/>
          </w:tcPr>
          <w:p w14:paraId="6D8C16A5">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参选文件</w:t>
            </w:r>
            <w:r>
              <w:rPr>
                <w:rFonts w:hint="eastAsia" w:ascii="宋体" w:hAnsi="宋体" w:cs="宋体"/>
                <w:color w:val="auto"/>
                <w:kern w:val="0"/>
                <w:sz w:val="21"/>
                <w:szCs w:val="21"/>
                <w:highlight w:val="none"/>
              </w:rPr>
              <w:t>的签字盖章</w:t>
            </w:r>
          </w:p>
        </w:tc>
        <w:tc>
          <w:tcPr>
            <w:tcW w:w="6365" w:type="dxa"/>
            <w:gridSpan w:val="3"/>
            <w:vAlign w:val="center"/>
          </w:tcPr>
          <w:p w14:paraId="66324A07">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4.5 条</w:t>
            </w:r>
            <w:r>
              <w:rPr>
                <w:rFonts w:hint="eastAsia" w:ascii="宋体" w:hAnsi="宋体" w:cs="宋体"/>
                <w:color w:val="auto"/>
                <w:kern w:val="0"/>
                <w:sz w:val="21"/>
                <w:szCs w:val="21"/>
                <w:highlight w:val="none"/>
              </w:rPr>
              <w:t>规定</w:t>
            </w:r>
          </w:p>
        </w:tc>
      </w:tr>
      <w:tr w14:paraId="2F45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1DF2B09">
            <w:pPr>
              <w:rPr>
                <w:color w:val="auto"/>
                <w:highlight w:val="none"/>
              </w:rPr>
            </w:pPr>
          </w:p>
        </w:tc>
        <w:tc>
          <w:tcPr>
            <w:tcW w:w="749" w:type="dxa"/>
            <w:vMerge w:val="continue"/>
            <w:tcBorders>
              <w:top w:val="single" w:color="auto" w:sz="4" w:space="0"/>
              <w:left w:val="single" w:color="auto" w:sz="4" w:space="0"/>
              <w:right w:val="single" w:color="auto" w:sz="4" w:space="0"/>
            </w:tcBorders>
            <w:textDirection w:val="tbRlV"/>
            <w:vAlign w:val="center"/>
          </w:tcPr>
          <w:p w14:paraId="7784D8DE">
            <w:pPr>
              <w:rPr>
                <w:color w:val="auto"/>
                <w:highlight w:val="none"/>
              </w:rPr>
            </w:pPr>
          </w:p>
        </w:tc>
        <w:tc>
          <w:tcPr>
            <w:tcW w:w="1530" w:type="dxa"/>
            <w:tcBorders>
              <w:top w:val="single" w:color="auto" w:sz="4" w:space="0"/>
              <w:left w:val="single" w:color="auto" w:sz="4" w:space="0"/>
              <w:right w:val="single" w:color="auto" w:sz="4" w:space="0"/>
            </w:tcBorders>
            <w:vAlign w:val="center"/>
          </w:tcPr>
          <w:p w14:paraId="0544EFE9">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lang w:eastAsia="zh-CN"/>
              </w:rPr>
              <w:t>参选文件的密封</w:t>
            </w:r>
          </w:p>
        </w:tc>
        <w:tc>
          <w:tcPr>
            <w:tcW w:w="6365" w:type="dxa"/>
            <w:gridSpan w:val="3"/>
            <w:vAlign w:val="center"/>
          </w:tcPr>
          <w:p w14:paraId="37CFDE40">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rPr>
              <w:t>符合第二章“</w:t>
            </w:r>
            <w:r>
              <w:rPr>
                <w:rFonts w:hint="eastAsia" w:ascii="宋体" w:eastAsia="宋体" w:cs="宋体"/>
                <w:color w:val="auto"/>
                <w:kern w:val="0"/>
                <w:sz w:val="21"/>
                <w:szCs w:val="21"/>
                <w:highlight w:val="none"/>
                <w:lang w:eastAsia="zh-CN"/>
              </w:rPr>
              <w:t>参选人</w:t>
            </w:r>
            <w:r>
              <w:rPr>
                <w:rFonts w:hint="eastAsia" w:ascii="宋体" w:eastAsia="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4.6 条</w:t>
            </w:r>
            <w:r>
              <w:rPr>
                <w:rFonts w:hint="eastAsia" w:ascii="宋体" w:eastAsia="宋体" w:cs="宋体"/>
                <w:color w:val="auto"/>
                <w:kern w:val="0"/>
                <w:sz w:val="21"/>
                <w:szCs w:val="21"/>
                <w:highlight w:val="none"/>
              </w:rPr>
              <w:t>规定</w:t>
            </w:r>
          </w:p>
        </w:tc>
      </w:tr>
      <w:tr w14:paraId="1FED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95A16CC">
            <w:pPr>
              <w:rPr>
                <w:color w:val="auto"/>
                <w:highlight w:val="none"/>
              </w:rPr>
            </w:pPr>
          </w:p>
        </w:tc>
        <w:tc>
          <w:tcPr>
            <w:tcW w:w="749" w:type="dxa"/>
            <w:vMerge w:val="continue"/>
            <w:tcBorders>
              <w:top w:val="single" w:color="auto" w:sz="4" w:space="0"/>
              <w:left w:val="single" w:color="auto" w:sz="4" w:space="0"/>
              <w:right w:val="single" w:color="auto" w:sz="4" w:space="0"/>
            </w:tcBorders>
            <w:textDirection w:val="tbRlV"/>
            <w:vAlign w:val="center"/>
          </w:tcPr>
          <w:p w14:paraId="0CECFC89">
            <w:pPr>
              <w:rPr>
                <w:color w:val="auto"/>
                <w:highlight w:val="none"/>
              </w:rPr>
            </w:pPr>
          </w:p>
        </w:tc>
        <w:tc>
          <w:tcPr>
            <w:tcW w:w="1530" w:type="dxa"/>
            <w:tcBorders>
              <w:top w:val="single" w:color="auto" w:sz="4" w:space="0"/>
              <w:left w:val="single" w:color="auto" w:sz="4" w:space="0"/>
              <w:right w:val="single" w:color="auto" w:sz="4" w:space="0"/>
            </w:tcBorders>
            <w:vAlign w:val="center"/>
          </w:tcPr>
          <w:p w14:paraId="696EC353">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参选文件格式</w:t>
            </w:r>
          </w:p>
        </w:tc>
        <w:tc>
          <w:tcPr>
            <w:tcW w:w="6365" w:type="dxa"/>
            <w:gridSpan w:val="3"/>
            <w:vAlign w:val="center"/>
          </w:tcPr>
          <w:p w14:paraId="17DC7B37">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符合第</w:t>
            </w:r>
            <w:r>
              <w:rPr>
                <w:rFonts w:hint="eastAsia" w:ascii="宋体" w:hAnsi="宋体" w:cs="宋体"/>
                <w:color w:val="auto"/>
                <w:kern w:val="0"/>
                <w:sz w:val="21"/>
                <w:szCs w:val="21"/>
                <w:highlight w:val="none"/>
                <w:lang w:val="en-US" w:eastAsia="zh-CN"/>
              </w:rPr>
              <w:t>六</w:t>
            </w:r>
            <w:r>
              <w:rPr>
                <w:rFonts w:hint="eastAsia" w:ascii="宋体" w:hAnsi="宋体" w:cs="宋体"/>
                <w:color w:val="auto"/>
                <w:kern w:val="0"/>
                <w:sz w:val="21"/>
                <w:szCs w:val="21"/>
                <w:highlight w:val="none"/>
              </w:rPr>
              <w:t>章“</w:t>
            </w: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lang w:val="en-US" w:eastAsia="zh-CN"/>
              </w:rPr>
              <w:t>文件格式</w:t>
            </w:r>
            <w:r>
              <w:rPr>
                <w:rFonts w:hint="eastAsia" w:ascii="宋体" w:hAnsi="宋体" w:cs="宋体"/>
                <w:color w:val="auto"/>
                <w:kern w:val="0"/>
                <w:sz w:val="21"/>
                <w:szCs w:val="21"/>
                <w:highlight w:val="none"/>
              </w:rPr>
              <w:t>”的要求</w:t>
            </w:r>
          </w:p>
        </w:tc>
      </w:tr>
      <w:tr w14:paraId="1D48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D0EA434">
            <w:pPr>
              <w:rPr>
                <w:color w:val="auto"/>
                <w:highlight w:val="none"/>
              </w:rPr>
            </w:pPr>
          </w:p>
        </w:tc>
        <w:tc>
          <w:tcPr>
            <w:tcW w:w="749" w:type="dxa"/>
            <w:vMerge w:val="continue"/>
            <w:tcBorders>
              <w:top w:val="single" w:color="auto" w:sz="4" w:space="0"/>
              <w:left w:val="single" w:color="auto" w:sz="4" w:space="0"/>
              <w:right w:val="single" w:color="auto" w:sz="4" w:space="0"/>
            </w:tcBorders>
            <w:textDirection w:val="tbRlV"/>
            <w:vAlign w:val="center"/>
          </w:tcPr>
          <w:p w14:paraId="6B0FC1D6">
            <w:pPr>
              <w:rPr>
                <w:color w:val="auto"/>
                <w:highlight w:val="none"/>
              </w:rPr>
            </w:pPr>
          </w:p>
        </w:tc>
        <w:tc>
          <w:tcPr>
            <w:tcW w:w="1530" w:type="dxa"/>
            <w:tcBorders>
              <w:top w:val="single" w:color="auto" w:sz="4" w:space="0"/>
              <w:left w:val="single" w:color="auto" w:sz="4" w:space="0"/>
              <w:right w:val="single" w:color="auto" w:sz="4" w:space="0"/>
            </w:tcBorders>
            <w:vAlign w:val="center"/>
          </w:tcPr>
          <w:p w14:paraId="5ECEEE5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参选文件组成</w:t>
            </w:r>
          </w:p>
        </w:tc>
        <w:tc>
          <w:tcPr>
            <w:tcW w:w="6365" w:type="dxa"/>
            <w:gridSpan w:val="3"/>
            <w:vAlign w:val="center"/>
          </w:tcPr>
          <w:p w14:paraId="4F87D5CB">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rPr>
              <w:t>符合第二章“</w:t>
            </w:r>
            <w:r>
              <w:rPr>
                <w:rFonts w:hint="eastAsia" w:ascii="宋体" w:eastAsia="宋体" w:cs="宋体"/>
                <w:color w:val="auto"/>
                <w:kern w:val="0"/>
                <w:sz w:val="21"/>
                <w:szCs w:val="21"/>
                <w:highlight w:val="none"/>
                <w:lang w:eastAsia="zh-CN"/>
              </w:rPr>
              <w:t>参选人</w:t>
            </w:r>
            <w:r>
              <w:rPr>
                <w:rFonts w:hint="eastAsia" w:ascii="宋体" w:eastAsia="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4.1 条</w:t>
            </w:r>
            <w:r>
              <w:rPr>
                <w:rFonts w:hint="eastAsia" w:ascii="宋体" w:eastAsia="宋体" w:cs="宋体"/>
                <w:color w:val="auto"/>
                <w:kern w:val="0"/>
                <w:sz w:val="21"/>
                <w:szCs w:val="21"/>
                <w:highlight w:val="none"/>
              </w:rPr>
              <w:t>规定</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0"/>
                <w:highlight w:val="none"/>
              </w:rPr>
              <w:t>内容齐全、无遗漏</w:t>
            </w:r>
          </w:p>
        </w:tc>
      </w:tr>
      <w:tr w14:paraId="16F3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6D9ED75">
            <w:pPr>
              <w:rPr>
                <w:color w:val="auto"/>
                <w:highlight w:val="none"/>
              </w:rPr>
            </w:pPr>
          </w:p>
        </w:tc>
        <w:tc>
          <w:tcPr>
            <w:tcW w:w="749" w:type="dxa"/>
            <w:vMerge w:val="continue"/>
            <w:tcBorders>
              <w:top w:val="single" w:color="auto" w:sz="4" w:space="0"/>
              <w:left w:val="single" w:color="auto" w:sz="4" w:space="0"/>
              <w:right w:val="single" w:color="auto" w:sz="4" w:space="0"/>
            </w:tcBorders>
            <w:textDirection w:val="tbRlV"/>
            <w:vAlign w:val="center"/>
          </w:tcPr>
          <w:p w14:paraId="5D46FBF2">
            <w:pPr>
              <w:rPr>
                <w:color w:val="auto"/>
                <w:highlight w:val="none"/>
              </w:rPr>
            </w:pPr>
          </w:p>
        </w:tc>
        <w:tc>
          <w:tcPr>
            <w:tcW w:w="1530" w:type="dxa"/>
            <w:tcBorders>
              <w:top w:val="single" w:color="auto" w:sz="4" w:space="0"/>
              <w:left w:val="single" w:color="auto" w:sz="4" w:space="0"/>
              <w:right w:val="single" w:color="auto" w:sz="4" w:space="0"/>
            </w:tcBorders>
            <w:vAlign w:val="center"/>
          </w:tcPr>
          <w:p w14:paraId="5A519CE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联合体参选</w:t>
            </w:r>
          </w:p>
        </w:tc>
        <w:tc>
          <w:tcPr>
            <w:tcW w:w="6365" w:type="dxa"/>
            <w:gridSpan w:val="3"/>
            <w:vAlign w:val="center"/>
          </w:tcPr>
          <w:p w14:paraId="5FF3CE40">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符合第一章“2. 参选人资格要求”2.8 条的要求</w:t>
            </w:r>
          </w:p>
        </w:tc>
      </w:tr>
      <w:tr w14:paraId="2B60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0F9B372F">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rPr>
              <w:t>2.1.3</w:t>
            </w:r>
          </w:p>
        </w:tc>
        <w:tc>
          <w:tcPr>
            <w:tcW w:w="749" w:type="dxa"/>
            <w:vMerge w:val="restart"/>
            <w:tcBorders>
              <w:top w:val="single" w:color="auto" w:sz="4" w:space="0"/>
              <w:left w:val="single" w:color="auto" w:sz="4" w:space="0"/>
              <w:right w:val="single" w:color="auto" w:sz="4" w:space="0"/>
            </w:tcBorders>
            <w:vAlign w:val="center"/>
          </w:tcPr>
          <w:p w14:paraId="1D09FED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rPr>
              <w:t>响应性评审标准</w:t>
            </w:r>
          </w:p>
        </w:tc>
        <w:tc>
          <w:tcPr>
            <w:tcW w:w="1530" w:type="dxa"/>
            <w:tcBorders>
              <w:top w:val="single" w:color="auto" w:sz="4" w:space="0"/>
              <w:left w:val="single" w:color="auto" w:sz="4" w:space="0"/>
              <w:right w:val="single" w:color="auto" w:sz="4" w:space="0"/>
            </w:tcBorders>
            <w:vAlign w:val="center"/>
          </w:tcPr>
          <w:p w14:paraId="3667034A">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参选内容</w:t>
            </w:r>
          </w:p>
        </w:tc>
        <w:tc>
          <w:tcPr>
            <w:tcW w:w="6365" w:type="dxa"/>
            <w:gridSpan w:val="3"/>
            <w:vAlign w:val="center"/>
          </w:tcPr>
          <w:p w14:paraId="360483EE">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 在响应承诺函中对第三章“项目要求”内容做出整体承诺；</w:t>
            </w:r>
          </w:p>
          <w:p w14:paraId="7060991B">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2. 根据第一章“2. </w:t>
            </w:r>
            <w:r>
              <w:rPr>
                <w:rFonts w:ascii="宋体" w:hAnsi="宋体" w:cs="宋体"/>
                <w:color w:val="auto"/>
                <w:kern w:val="0"/>
                <w:sz w:val="21"/>
                <w:szCs w:val="21"/>
                <w:highlight w:val="none"/>
                <w:lang w:val="en-US" w:eastAsia="zh-CN"/>
              </w:rPr>
              <w:t>参选人资格要求”和第三章“项目要求”的要求规定，提供对应</w:t>
            </w:r>
            <w:r>
              <w:rPr>
                <w:rFonts w:hint="eastAsia" w:ascii="宋体" w:hAnsi="宋体" w:cs="宋体"/>
                <w:color w:val="auto"/>
                <w:kern w:val="0"/>
                <w:sz w:val="21"/>
                <w:szCs w:val="21"/>
                <w:highlight w:val="none"/>
                <w:lang w:val="en-US" w:eastAsia="zh-CN"/>
              </w:rPr>
              <w:t>资料</w:t>
            </w:r>
            <w:r>
              <w:rPr>
                <w:rFonts w:ascii="宋体" w:hAnsi="宋体" w:cs="宋体"/>
                <w:color w:val="auto"/>
                <w:kern w:val="0"/>
                <w:sz w:val="21"/>
                <w:szCs w:val="21"/>
                <w:highlight w:val="none"/>
                <w:lang w:val="en-US" w:eastAsia="zh-CN"/>
              </w:rPr>
              <w:t>，内容齐全、无遗漏。</w:t>
            </w:r>
          </w:p>
        </w:tc>
      </w:tr>
      <w:tr w14:paraId="4457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3295C56">
            <w:pPr>
              <w:rPr>
                <w:color w:val="auto"/>
                <w:highlight w:val="none"/>
              </w:rPr>
            </w:pPr>
          </w:p>
        </w:tc>
        <w:tc>
          <w:tcPr>
            <w:tcW w:w="749" w:type="dxa"/>
            <w:vMerge w:val="continue"/>
            <w:tcBorders>
              <w:top w:val="single" w:color="auto" w:sz="4" w:space="0"/>
              <w:left w:val="single" w:color="auto" w:sz="4" w:space="0"/>
              <w:right w:val="single" w:color="auto" w:sz="4" w:space="0"/>
            </w:tcBorders>
          </w:tcPr>
          <w:p w14:paraId="143C77A9">
            <w:pPr>
              <w:rPr>
                <w:color w:val="auto"/>
                <w:highlight w:val="none"/>
              </w:rPr>
            </w:pPr>
          </w:p>
        </w:tc>
        <w:tc>
          <w:tcPr>
            <w:tcW w:w="1530" w:type="dxa"/>
            <w:tcBorders>
              <w:top w:val="single" w:color="auto" w:sz="4" w:space="0"/>
              <w:left w:val="single" w:color="auto" w:sz="4" w:space="0"/>
              <w:right w:val="single" w:color="auto" w:sz="4" w:space="0"/>
            </w:tcBorders>
            <w:vAlign w:val="center"/>
          </w:tcPr>
          <w:p w14:paraId="7668F7FE">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参选文件份数</w:t>
            </w:r>
          </w:p>
        </w:tc>
        <w:tc>
          <w:tcPr>
            <w:tcW w:w="6365" w:type="dxa"/>
            <w:gridSpan w:val="3"/>
            <w:vAlign w:val="center"/>
          </w:tcPr>
          <w:p w14:paraId="6DB5197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cs="宋体"/>
                <w:color w:val="auto"/>
                <w:kern w:val="0"/>
                <w:sz w:val="21"/>
                <w:szCs w:val="21"/>
                <w:highlight w:val="none"/>
                <w:lang w:val="en-US" w:eastAsia="zh-CN" w:bidi="ar-SA"/>
              </w:rPr>
            </w:pPr>
            <w:r>
              <w:rPr>
                <w:rFonts w:cs="宋体"/>
                <w:color w:val="auto"/>
                <w:kern w:val="0"/>
                <w:sz w:val="21"/>
                <w:szCs w:val="21"/>
                <w:highlight w:val="none"/>
              </w:rPr>
              <w:t>符合第二章“</w:t>
            </w:r>
            <w:r>
              <w:rPr>
                <w:rFonts w:cs="宋体"/>
                <w:color w:val="auto"/>
                <w:kern w:val="0"/>
                <w:sz w:val="21"/>
                <w:szCs w:val="21"/>
                <w:highlight w:val="none"/>
                <w:lang w:eastAsia="zh-CN"/>
              </w:rPr>
              <w:t>参选人</w:t>
            </w:r>
            <w:r>
              <w:rPr>
                <w:rFonts w:cs="宋体"/>
                <w:color w:val="auto"/>
                <w:kern w:val="0"/>
                <w:sz w:val="21"/>
                <w:szCs w:val="21"/>
                <w:highlight w:val="none"/>
              </w:rPr>
              <w:t>须知”</w:t>
            </w:r>
            <w:r>
              <w:rPr>
                <w:rFonts w:cs="宋体"/>
                <w:color w:val="auto"/>
                <w:kern w:val="0"/>
                <w:sz w:val="21"/>
                <w:szCs w:val="21"/>
                <w:highlight w:val="none"/>
                <w:lang w:val="en-US" w:eastAsia="zh-CN"/>
              </w:rPr>
              <w:t>4.5</w:t>
            </w:r>
            <w:r>
              <w:rPr>
                <w:rFonts w:hint="default" w:ascii="宋体" w:hAnsi="宋体" w:cs="宋体"/>
                <w:color w:val="auto"/>
                <w:kern w:val="0"/>
                <w:sz w:val="21"/>
                <w:szCs w:val="21"/>
                <w:highlight w:val="none"/>
                <w:lang w:val="en-US" w:eastAsia="zh-CN"/>
              </w:rPr>
              <w:t xml:space="preserve"> </w:t>
            </w:r>
            <w:r>
              <w:rPr>
                <w:rFonts w:cs="宋体"/>
                <w:color w:val="auto"/>
                <w:kern w:val="0"/>
                <w:sz w:val="21"/>
                <w:szCs w:val="21"/>
                <w:highlight w:val="none"/>
                <w:lang w:val="en-US" w:eastAsia="zh-CN"/>
              </w:rPr>
              <w:t>条</w:t>
            </w:r>
            <w:r>
              <w:rPr>
                <w:rFonts w:cs="宋体"/>
                <w:color w:val="auto"/>
                <w:kern w:val="0"/>
                <w:sz w:val="21"/>
                <w:szCs w:val="21"/>
                <w:highlight w:val="none"/>
              </w:rPr>
              <w:t>规定</w:t>
            </w:r>
          </w:p>
        </w:tc>
      </w:tr>
      <w:tr w14:paraId="75FA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155B5EF">
            <w:pPr>
              <w:rPr>
                <w:color w:val="auto"/>
                <w:highlight w:val="none"/>
              </w:rPr>
            </w:pPr>
          </w:p>
        </w:tc>
        <w:tc>
          <w:tcPr>
            <w:tcW w:w="749" w:type="dxa"/>
            <w:vMerge w:val="continue"/>
            <w:tcBorders>
              <w:top w:val="single" w:color="auto" w:sz="4" w:space="0"/>
              <w:left w:val="single" w:color="auto" w:sz="4" w:space="0"/>
              <w:right w:val="single" w:color="auto" w:sz="4" w:space="0"/>
            </w:tcBorders>
          </w:tcPr>
          <w:p w14:paraId="294F9EBC">
            <w:pPr>
              <w:rPr>
                <w:color w:val="auto"/>
                <w:highlight w:val="none"/>
              </w:rPr>
            </w:pPr>
          </w:p>
        </w:tc>
        <w:tc>
          <w:tcPr>
            <w:tcW w:w="1530" w:type="dxa"/>
            <w:tcBorders>
              <w:top w:val="single" w:color="auto" w:sz="4" w:space="0"/>
              <w:left w:val="single" w:color="auto" w:sz="4" w:space="0"/>
              <w:right w:val="single" w:color="auto" w:sz="4" w:space="0"/>
            </w:tcBorders>
            <w:vAlign w:val="center"/>
          </w:tcPr>
          <w:p w14:paraId="516F5560">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参选方案唯一</w:t>
            </w:r>
          </w:p>
        </w:tc>
        <w:tc>
          <w:tcPr>
            <w:tcW w:w="6365" w:type="dxa"/>
            <w:gridSpan w:val="3"/>
            <w:vAlign w:val="center"/>
          </w:tcPr>
          <w:p w14:paraId="2BA68AB2">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cs="宋体"/>
                <w:color w:val="auto"/>
                <w:kern w:val="0"/>
                <w:sz w:val="21"/>
                <w:szCs w:val="21"/>
                <w:highlight w:val="none"/>
                <w:lang w:val="en-US" w:eastAsia="zh-CN" w:bidi="ar-SA"/>
              </w:rPr>
            </w:pPr>
            <w:r>
              <w:rPr>
                <w:rFonts w:hint="eastAsia" w:cs="宋体"/>
                <w:color w:val="auto"/>
                <w:kern w:val="0"/>
                <w:sz w:val="21"/>
                <w:szCs w:val="21"/>
                <w:highlight w:val="none"/>
              </w:rPr>
              <w:t>只能有一个方案参选。</w:t>
            </w:r>
          </w:p>
        </w:tc>
      </w:tr>
      <w:tr w14:paraId="3726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7712817">
            <w:pPr>
              <w:rPr>
                <w:color w:val="auto"/>
                <w:highlight w:val="none"/>
              </w:rPr>
            </w:pPr>
          </w:p>
        </w:tc>
        <w:tc>
          <w:tcPr>
            <w:tcW w:w="749" w:type="dxa"/>
            <w:vMerge w:val="continue"/>
            <w:tcBorders>
              <w:top w:val="single" w:color="auto" w:sz="4" w:space="0"/>
              <w:left w:val="single" w:color="auto" w:sz="4" w:space="0"/>
              <w:right w:val="single" w:color="auto" w:sz="4" w:space="0"/>
            </w:tcBorders>
          </w:tcPr>
          <w:p w14:paraId="174640C5">
            <w:pPr>
              <w:rPr>
                <w:color w:val="auto"/>
                <w:highlight w:val="none"/>
              </w:rPr>
            </w:pPr>
          </w:p>
        </w:tc>
        <w:tc>
          <w:tcPr>
            <w:tcW w:w="1530" w:type="dxa"/>
            <w:tcBorders>
              <w:top w:val="single" w:color="auto" w:sz="4" w:space="0"/>
              <w:left w:val="single" w:color="auto" w:sz="4" w:space="0"/>
              <w:right w:val="single" w:color="auto" w:sz="4" w:space="0"/>
            </w:tcBorders>
            <w:vAlign w:val="center"/>
          </w:tcPr>
          <w:p w14:paraId="6D57FB88">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报价</w:t>
            </w:r>
          </w:p>
        </w:tc>
        <w:tc>
          <w:tcPr>
            <w:tcW w:w="6365" w:type="dxa"/>
            <w:gridSpan w:val="3"/>
            <w:vAlign w:val="center"/>
          </w:tcPr>
          <w:p w14:paraId="6C7A055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textAlignment w:val="auto"/>
              <w:rPr>
                <w:rFonts w:cs="宋体"/>
                <w:color w:val="auto"/>
                <w:kern w:val="0"/>
                <w:sz w:val="21"/>
                <w:szCs w:val="21"/>
                <w:highlight w:val="none"/>
              </w:rPr>
            </w:pPr>
            <w:r>
              <w:rPr>
                <w:rFonts w:cs="宋体"/>
                <w:color w:val="auto"/>
                <w:kern w:val="0"/>
                <w:sz w:val="21"/>
                <w:szCs w:val="21"/>
                <w:highlight w:val="none"/>
              </w:rPr>
              <w:t>符合第二章“</w:t>
            </w:r>
            <w:r>
              <w:rPr>
                <w:rFonts w:cs="宋体"/>
                <w:color w:val="auto"/>
                <w:kern w:val="0"/>
                <w:sz w:val="21"/>
                <w:szCs w:val="21"/>
                <w:highlight w:val="none"/>
                <w:lang w:eastAsia="zh-CN"/>
              </w:rPr>
              <w:t>参选人</w:t>
            </w:r>
            <w:r>
              <w:rPr>
                <w:rFonts w:cs="宋体"/>
                <w:color w:val="auto"/>
                <w:kern w:val="0"/>
                <w:sz w:val="21"/>
                <w:szCs w:val="21"/>
                <w:highlight w:val="none"/>
              </w:rPr>
              <w:t>须知”</w:t>
            </w:r>
            <w:r>
              <w:rPr>
                <w:rFonts w:cs="宋体"/>
                <w:color w:val="auto"/>
                <w:kern w:val="0"/>
                <w:sz w:val="21"/>
                <w:szCs w:val="21"/>
                <w:highlight w:val="none"/>
                <w:lang w:val="en-US" w:eastAsia="zh-CN"/>
              </w:rPr>
              <w:t>4.7 条</w:t>
            </w:r>
            <w:r>
              <w:rPr>
                <w:rFonts w:cs="宋体"/>
                <w:color w:val="auto"/>
                <w:kern w:val="0"/>
                <w:sz w:val="21"/>
                <w:szCs w:val="21"/>
                <w:highlight w:val="none"/>
              </w:rPr>
              <w:t>规定</w:t>
            </w:r>
          </w:p>
        </w:tc>
      </w:tr>
      <w:tr w14:paraId="213B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6C6C440">
            <w:pPr>
              <w:rPr>
                <w:color w:val="auto"/>
                <w:highlight w:val="none"/>
              </w:rPr>
            </w:pPr>
          </w:p>
        </w:tc>
        <w:tc>
          <w:tcPr>
            <w:tcW w:w="749" w:type="dxa"/>
            <w:vMerge w:val="continue"/>
            <w:tcBorders>
              <w:top w:val="single" w:color="auto" w:sz="4" w:space="0"/>
              <w:left w:val="single" w:color="auto" w:sz="4" w:space="0"/>
              <w:right w:val="single" w:color="auto" w:sz="4" w:space="0"/>
            </w:tcBorders>
          </w:tcPr>
          <w:p w14:paraId="36FD4D51">
            <w:pPr>
              <w:rPr>
                <w:color w:val="auto"/>
                <w:highlight w:val="none"/>
              </w:rPr>
            </w:pPr>
          </w:p>
        </w:tc>
        <w:tc>
          <w:tcPr>
            <w:tcW w:w="1530" w:type="dxa"/>
            <w:tcBorders>
              <w:top w:val="single" w:color="auto" w:sz="4" w:space="0"/>
              <w:left w:val="single" w:color="auto" w:sz="4" w:space="0"/>
              <w:right w:val="single" w:color="auto" w:sz="4" w:space="0"/>
            </w:tcBorders>
            <w:vAlign w:val="center"/>
          </w:tcPr>
          <w:p w14:paraId="14BDC33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有效期</w:t>
            </w:r>
          </w:p>
        </w:tc>
        <w:tc>
          <w:tcPr>
            <w:tcW w:w="6365" w:type="dxa"/>
            <w:gridSpan w:val="3"/>
          </w:tcPr>
          <w:p w14:paraId="146A0869">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cs="宋体"/>
                <w:color w:val="auto"/>
                <w:kern w:val="0"/>
                <w:sz w:val="21"/>
                <w:szCs w:val="21"/>
                <w:highlight w:val="none"/>
              </w:rPr>
            </w:pPr>
            <w:r>
              <w:rPr>
                <w:rFonts w:cs="宋体"/>
                <w:color w:val="auto"/>
                <w:kern w:val="0"/>
                <w:sz w:val="21"/>
                <w:szCs w:val="21"/>
                <w:highlight w:val="none"/>
              </w:rPr>
              <w:t>符合第二章“</w:t>
            </w:r>
            <w:r>
              <w:rPr>
                <w:rFonts w:cs="宋体"/>
                <w:color w:val="auto"/>
                <w:kern w:val="0"/>
                <w:sz w:val="21"/>
                <w:szCs w:val="21"/>
                <w:highlight w:val="none"/>
                <w:lang w:eastAsia="zh-CN"/>
              </w:rPr>
              <w:t>参选人</w:t>
            </w:r>
            <w:r>
              <w:rPr>
                <w:rFonts w:cs="宋体"/>
                <w:color w:val="auto"/>
                <w:kern w:val="0"/>
                <w:sz w:val="21"/>
                <w:szCs w:val="21"/>
                <w:highlight w:val="none"/>
              </w:rPr>
              <w:t>须知”</w:t>
            </w:r>
            <w:r>
              <w:rPr>
                <w:rFonts w:cs="宋体"/>
                <w:color w:val="auto"/>
                <w:kern w:val="0"/>
                <w:sz w:val="21"/>
                <w:szCs w:val="21"/>
                <w:highlight w:val="none"/>
                <w:lang w:val="en-US" w:eastAsia="zh-CN"/>
              </w:rPr>
              <w:t>4.3 条</w:t>
            </w:r>
            <w:r>
              <w:rPr>
                <w:rFonts w:cs="宋体"/>
                <w:color w:val="auto"/>
                <w:kern w:val="0"/>
                <w:sz w:val="21"/>
                <w:szCs w:val="21"/>
                <w:highlight w:val="none"/>
              </w:rPr>
              <w:t>规定</w:t>
            </w:r>
          </w:p>
        </w:tc>
      </w:tr>
      <w:tr w14:paraId="623D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820" w:type="dxa"/>
            <w:vMerge w:val="continue"/>
          </w:tcPr>
          <w:p w14:paraId="4E2B3AD5">
            <w:pPr>
              <w:rPr>
                <w:color w:val="auto"/>
                <w:highlight w:val="none"/>
              </w:rPr>
            </w:pPr>
          </w:p>
        </w:tc>
        <w:tc>
          <w:tcPr>
            <w:tcW w:w="749" w:type="dxa"/>
            <w:vMerge w:val="continue"/>
            <w:tcBorders>
              <w:top w:val="single" w:color="auto" w:sz="4" w:space="0"/>
              <w:left w:val="single" w:color="auto" w:sz="4" w:space="0"/>
              <w:right w:val="single" w:color="auto" w:sz="4" w:space="0"/>
            </w:tcBorders>
          </w:tcPr>
          <w:p w14:paraId="1716773F">
            <w:pPr>
              <w:rPr>
                <w:color w:val="auto"/>
                <w:highlight w:val="none"/>
              </w:rPr>
            </w:pPr>
          </w:p>
        </w:tc>
        <w:tc>
          <w:tcPr>
            <w:tcW w:w="1530" w:type="dxa"/>
            <w:tcBorders>
              <w:top w:val="single" w:color="auto" w:sz="4" w:space="0"/>
              <w:left w:val="single" w:color="auto" w:sz="4" w:space="0"/>
              <w:right w:val="single" w:color="auto" w:sz="4" w:space="0"/>
            </w:tcBorders>
            <w:vAlign w:val="center"/>
          </w:tcPr>
          <w:p w14:paraId="1CBBE840">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参选保证金</w:t>
            </w:r>
          </w:p>
        </w:tc>
        <w:tc>
          <w:tcPr>
            <w:tcW w:w="6365" w:type="dxa"/>
            <w:gridSpan w:val="3"/>
          </w:tcPr>
          <w:p w14:paraId="72F3D57D">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cs="宋体"/>
                <w:color w:val="auto"/>
                <w:kern w:val="0"/>
                <w:sz w:val="21"/>
                <w:szCs w:val="21"/>
                <w:highlight w:val="none"/>
              </w:rPr>
            </w:pPr>
            <w:r>
              <w:rPr>
                <w:rFonts w:cs="宋体"/>
                <w:color w:val="auto"/>
                <w:kern w:val="0"/>
                <w:sz w:val="21"/>
                <w:szCs w:val="21"/>
                <w:highlight w:val="none"/>
              </w:rPr>
              <w:t>符合第二章“</w:t>
            </w:r>
            <w:r>
              <w:rPr>
                <w:rFonts w:cs="宋体"/>
                <w:color w:val="auto"/>
                <w:kern w:val="0"/>
                <w:sz w:val="21"/>
                <w:szCs w:val="21"/>
                <w:highlight w:val="none"/>
                <w:lang w:eastAsia="zh-CN"/>
              </w:rPr>
              <w:t>参选人</w:t>
            </w:r>
            <w:r>
              <w:rPr>
                <w:rFonts w:cs="宋体"/>
                <w:color w:val="auto"/>
                <w:kern w:val="0"/>
                <w:sz w:val="21"/>
                <w:szCs w:val="21"/>
                <w:highlight w:val="none"/>
              </w:rPr>
              <w:t>须知”</w:t>
            </w:r>
            <w:r>
              <w:rPr>
                <w:rFonts w:cs="宋体"/>
                <w:color w:val="auto"/>
                <w:kern w:val="0"/>
                <w:sz w:val="21"/>
                <w:szCs w:val="21"/>
                <w:highlight w:val="none"/>
                <w:lang w:val="en-US" w:eastAsia="zh-CN"/>
              </w:rPr>
              <w:t>4.4 条</w:t>
            </w:r>
            <w:r>
              <w:rPr>
                <w:rFonts w:cs="宋体"/>
                <w:color w:val="auto"/>
                <w:kern w:val="0"/>
                <w:sz w:val="21"/>
                <w:szCs w:val="21"/>
                <w:highlight w:val="none"/>
              </w:rPr>
              <w:t>规定</w:t>
            </w:r>
          </w:p>
        </w:tc>
      </w:tr>
      <w:tr w14:paraId="1786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820" w:type="dxa"/>
            <w:vMerge w:val="restart"/>
            <w:vAlign w:val="center"/>
          </w:tcPr>
          <w:p w14:paraId="6710CE04">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749" w:type="dxa"/>
            <w:vMerge w:val="restart"/>
            <w:tcBorders>
              <w:top w:val="single" w:color="auto" w:sz="4" w:space="0"/>
              <w:left w:val="single" w:color="auto" w:sz="4" w:space="0"/>
              <w:right w:val="single" w:color="auto" w:sz="4" w:space="0"/>
            </w:tcBorders>
            <w:vAlign w:val="center"/>
          </w:tcPr>
          <w:p w14:paraId="4D223B7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详细评审</w:t>
            </w:r>
          </w:p>
        </w:tc>
        <w:tc>
          <w:tcPr>
            <w:tcW w:w="1530" w:type="dxa"/>
            <w:vMerge w:val="restart"/>
            <w:tcBorders>
              <w:top w:val="single" w:color="auto" w:sz="4" w:space="0"/>
              <w:left w:val="single" w:color="auto" w:sz="4" w:space="0"/>
              <w:right w:val="single" w:color="auto" w:sz="4" w:space="0"/>
            </w:tcBorders>
            <w:vAlign w:val="center"/>
          </w:tcPr>
          <w:p w14:paraId="0A9AEB49">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分值构成与评分标准</w:t>
            </w:r>
          </w:p>
          <w:p w14:paraId="66ABA2AD">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(总分1OO分)</w:t>
            </w:r>
          </w:p>
        </w:tc>
        <w:tc>
          <w:tcPr>
            <w:tcW w:w="1200" w:type="dxa"/>
            <w:gridSpan w:val="2"/>
            <w:tcBorders>
              <w:top w:val="single" w:color="auto" w:sz="4" w:space="0"/>
              <w:left w:val="single" w:color="auto" w:sz="4" w:space="0"/>
              <w:right w:val="single" w:color="auto" w:sz="4" w:space="0"/>
            </w:tcBorders>
            <w:vAlign w:val="center"/>
          </w:tcPr>
          <w:p w14:paraId="4C6C86B5">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left"/>
              <w:textAlignment w:val="auto"/>
              <w:rPr>
                <w:rFonts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bidi="ar-SA"/>
              </w:rPr>
              <w:t>参选价格（</w:t>
            </w:r>
            <w:r>
              <w:rPr>
                <w:rFonts w:ascii="宋体" w:hAnsi="宋体" w:cs="宋体"/>
                <w:color w:val="auto"/>
                <w:kern w:val="0"/>
                <w:sz w:val="21"/>
                <w:szCs w:val="21"/>
                <w:highlight w:val="none"/>
                <w:lang w:val="en-US" w:eastAsia="zh-CN" w:bidi="ar-SA"/>
              </w:rPr>
              <w:t>6</w:t>
            </w:r>
            <w:r>
              <w:rPr>
                <w:rFonts w:hint="eastAsia" w:ascii="宋体" w:hAnsi="宋体" w:cs="宋体"/>
                <w:color w:val="auto"/>
                <w:kern w:val="0"/>
                <w:sz w:val="21"/>
                <w:szCs w:val="21"/>
                <w:highlight w:val="none"/>
                <w:lang w:val="en-US" w:eastAsia="zh-CN" w:bidi="ar-SA"/>
              </w:rPr>
              <w:t>0分）</w:t>
            </w:r>
          </w:p>
        </w:tc>
        <w:tc>
          <w:tcPr>
            <w:tcW w:w="5165" w:type="dxa"/>
            <w:vAlign w:val="center"/>
          </w:tcPr>
          <w:p w14:paraId="24099A5A">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default"/>
                <w:color w:val="auto"/>
                <w:highlight w:val="none"/>
                <w:lang w:val="en-US" w:eastAsia="zh-CN"/>
              </w:rPr>
            </w:pPr>
            <w:r>
              <w:rPr>
                <w:rFonts w:hint="eastAsia"/>
                <w:color w:val="auto"/>
                <w:highlight w:val="none"/>
                <w:lang w:val="en-US" w:eastAsia="zh-CN"/>
              </w:rPr>
              <w:t>本项目有“</w:t>
            </w:r>
            <w:r>
              <w:rPr>
                <w:rFonts w:hint="eastAsia"/>
                <w:color w:val="auto"/>
                <w:highlight w:val="none"/>
              </w:rPr>
              <w:t>存取款一体机</w:t>
            </w:r>
            <w:r>
              <w:rPr>
                <w:rFonts w:hint="eastAsia"/>
                <w:color w:val="auto"/>
                <w:highlight w:val="none"/>
                <w:lang w:val="en-US" w:eastAsia="zh-CN"/>
              </w:rPr>
              <w:t>”</w:t>
            </w:r>
            <w:r>
              <w:rPr>
                <w:rFonts w:hint="eastAsia"/>
                <w:color w:val="auto"/>
                <w:highlight w:val="none"/>
              </w:rPr>
              <w:t>、</w:t>
            </w:r>
            <w:r>
              <w:rPr>
                <w:rFonts w:hint="eastAsia"/>
                <w:color w:val="auto"/>
                <w:highlight w:val="none"/>
                <w:lang w:eastAsia="zh-CN"/>
              </w:rPr>
              <w:t>“</w:t>
            </w:r>
            <w:r>
              <w:rPr>
                <w:rFonts w:hint="eastAsia"/>
                <w:color w:val="auto"/>
                <w:highlight w:val="none"/>
              </w:rPr>
              <w:t>取款机</w:t>
            </w:r>
            <w:r>
              <w:rPr>
                <w:rFonts w:hint="eastAsia"/>
                <w:color w:val="auto"/>
                <w:highlight w:val="none"/>
                <w:lang w:eastAsia="zh-CN"/>
              </w:rPr>
              <w:t>”</w:t>
            </w:r>
            <w:r>
              <w:rPr>
                <w:rFonts w:hint="eastAsia"/>
                <w:color w:val="auto"/>
                <w:highlight w:val="none"/>
              </w:rPr>
              <w:t>、</w:t>
            </w:r>
            <w:r>
              <w:rPr>
                <w:rFonts w:hint="eastAsia"/>
                <w:color w:val="auto"/>
                <w:highlight w:val="none"/>
                <w:lang w:eastAsia="zh-CN"/>
              </w:rPr>
              <w:t>“</w:t>
            </w:r>
            <w:r>
              <w:rPr>
                <w:rFonts w:hint="eastAsia"/>
                <w:color w:val="auto"/>
                <w:highlight w:val="none"/>
              </w:rPr>
              <w:t>智能柜员机（非现金版）</w:t>
            </w:r>
            <w:r>
              <w:rPr>
                <w:rFonts w:hint="eastAsia"/>
                <w:color w:val="auto"/>
                <w:highlight w:val="none"/>
                <w:lang w:eastAsia="zh-CN"/>
              </w:rPr>
              <w:t>”</w:t>
            </w:r>
            <w:r>
              <w:rPr>
                <w:rFonts w:hint="eastAsia"/>
                <w:color w:val="auto"/>
                <w:highlight w:val="none"/>
              </w:rPr>
              <w:t>、</w:t>
            </w:r>
            <w:r>
              <w:rPr>
                <w:rFonts w:hint="eastAsia"/>
                <w:color w:val="auto"/>
                <w:highlight w:val="none"/>
                <w:lang w:eastAsia="zh-CN"/>
              </w:rPr>
              <w:t>“</w:t>
            </w:r>
            <w:r>
              <w:rPr>
                <w:rFonts w:hint="eastAsia"/>
                <w:color w:val="auto"/>
                <w:highlight w:val="none"/>
              </w:rPr>
              <w:t>回单机</w:t>
            </w:r>
            <w:r>
              <w:rPr>
                <w:rFonts w:hint="eastAsia"/>
                <w:color w:val="auto"/>
                <w:highlight w:val="none"/>
                <w:lang w:eastAsia="zh-CN"/>
              </w:rPr>
              <w:t>”</w:t>
            </w:r>
            <w:r>
              <w:rPr>
                <w:rFonts w:hint="eastAsia"/>
                <w:color w:val="auto"/>
                <w:highlight w:val="none"/>
              </w:rPr>
              <w:t>、</w:t>
            </w:r>
            <w:r>
              <w:rPr>
                <w:rFonts w:hint="eastAsia"/>
                <w:color w:val="auto"/>
                <w:highlight w:val="none"/>
                <w:lang w:eastAsia="zh-CN"/>
              </w:rPr>
              <w:t>“</w:t>
            </w:r>
            <w:r>
              <w:rPr>
                <w:rFonts w:hint="eastAsia"/>
                <w:color w:val="auto"/>
                <w:highlight w:val="none"/>
              </w:rPr>
              <w:t>叫号机</w:t>
            </w:r>
            <w:r>
              <w:rPr>
                <w:rFonts w:hint="eastAsia"/>
                <w:color w:val="auto"/>
                <w:highlight w:val="none"/>
                <w:lang w:eastAsia="zh-CN"/>
              </w:rPr>
              <w:t>”，</w:t>
            </w:r>
            <w:r>
              <w:rPr>
                <w:rFonts w:hint="eastAsia"/>
                <w:color w:val="auto"/>
                <w:highlight w:val="none"/>
                <w:lang w:val="en-US" w:eastAsia="zh-CN"/>
              </w:rPr>
              <w:t>共</w:t>
            </w:r>
            <w:r>
              <w:rPr>
                <w:rFonts w:hint="eastAsia"/>
                <w:color w:val="auto"/>
                <w:highlight w:val="none"/>
              </w:rPr>
              <w:t>五</w:t>
            </w:r>
            <w:r>
              <w:rPr>
                <w:rFonts w:hint="eastAsia"/>
                <w:color w:val="auto"/>
                <w:highlight w:val="none"/>
                <w:lang w:val="en-US" w:eastAsia="zh-CN"/>
              </w:rPr>
              <w:t>类设备，报价均为单价。</w:t>
            </w:r>
          </w:p>
          <w:p w14:paraId="10E99A67">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rPr>
              <w:t>权重报价合计</w:t>
            </w:r>
            <w:r>
              <w:rPr>
                <w:rFonts w:hint="eastAsia"/>
                <w:color w:val="auto"/>
                <w:highlight w:val="none"/>
                <w:lang w:eastAsia="zh-CN"/>
              </w:rPr>
              <w:t>”：</w:t>
            </w:r>
            <w:r>
              <w:rPr>
                <w:rFonts w:hint="eastAsia"/>
                <w:color w:val="auto"/>
                <w:highlight w:val="none"/>
              </w:rPr>
              <w:t>各设备</w:t>
            </w:r>
            <w:r>
              <w:rPr>
                <w:rFonts w:hint="eastAsia"/>
                <w:color w:val="auto"/>
                <w:highlight w:val="none"/>
                <w:lang w:val="en-US" w:eastAsia="zh-CN"/>
              </w:rPr>
              <w:t>报价乘以对应</w:t>
            </w:r>
            <w:r>
              <w:rPr>
                <w:rFonts w:hint="eastAsia"/>
                <w:color w:val="auto"/>
                <w:highlight w:val="none"/>
              </w:rPr>
              <w:t>权重占比</w:t>
            </w:r>
            <w:r>
              <w:rPr>
                <w:rFonts w:hint="eastAsia"/>
                <w:color w:val="auto"/>
                <w:highlight w:val="none"/>
                <w:lang w:val="en-US" w:eastAsia="zh-CN"/>
              </w:rPr>
              <w:t>后的合计。</w:t>
            </w:r>
          </w:p>
          <w:p w14:paraId="76E5AADC">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color w:val="auto"/>
                <w:highlight w:val="none"/>
              </w:rPr>
            </w:pPr>
            <w:r>
              <w:rPr>
                <w:rFonts w:hint="eastAsia"/>
                <w:color w:val="auto"/>
                <w:highlight w:val="none"/>
              </w:rPr>
              <w:t>权重报价合计最低的等于</w:t>
            </w:r>
            <w:r>
              <w:rPr>
                <w:rFonts w:hint="eastAsia"/>
                <w:color w:val="auto"/>
                <w:highlight w:val="none"/>
                <w:lang w:eastAsia="zh-CN"/>
              </w:rPr>
              <w:t>评审</w:t>
            </w:r>
            <w:r>
              <w:rPr>
                <w:rFonts w:hint="eastAsia"/>
                <w:color w:val="auto"/>
                <w:highlight w:val="none"/>
              </w:rPr>
              <w:t>基准价，满分60分。</w:t>
            </w:r>
          </w:p>
          <w:p w14:paraId="61E87EC3">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color w:val="auto"/>
                <w:highlight w:val="none"/>
                <w:lang w:eastAsia="zh-CN"/>
              </w:rPr>
            </w:pPr>
            <w:r>
              <w:rPr>
                <w:rFonts w:hint="eastAsia"/>
                <w:color w:val="auto"/>
                <w:highlight w:val="none"/>
              </w:rPr>
              <w:t>计算各有效</w:t>
            </w:r>
            <w:r>
              <w:rPr>
                <w:rFonts w:hint="eastAsia"/>
                <w:color w:val="auto"/>
                <w:highlight w:val="none"/>
                <w:lang w:eastAsia="zh-CN"/>
              </w:rPr>
              <w:t>参选</w:t>
            </w:r>
            <w:r>
              <w:rPr>
                <w:rFonts w:hint="eastAsia"/>
                <w:color w:val="auto"/>
                <w:highlight w:val="none"/>
              </w:rPr>
              <w:t>报价与</w:t>
            </w:r>
            <w:r>
              <w:rPr>
                <w:rFonts w:hint="eastAsia"/>
                <w:color w:val="auto"/>
                <w:highlight w:val="none"/>
                <w:lang w:eastAsia="zh-CN"/>
              </w:rPr>
              <w:t>评审</w:t>
            </w:r>
            <w:r>
              <w:rPr>
                <w:rFonts w:hint="eastAsia"/>
                <w:color w:val="auto"/>
                <w:highlight w:val="none"/>
              </w:rPr>
              <w:t>基准价的偏离度</w:t>
            </w:r>
            <w:r>
              <w:rPr>
                <w:rFonts w:hint="eastAsia"/>
                <w:color w:val="auto"/>
                <w:highlight w:val="none"/>
                <w:lang w:eastAsia="zh-CN"/>
              </w:rPr>
              <w:t>，</w:t>
            </w:r>
          </w:p>
          <w:p w14:paraId="604179D4">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color w:val="auto"/>
                <w:highlight w:val="none"/>
              </w:rPr>
            </w:pPr>
            <w:r>
              <w:rPr>
                <w:rFonts w:hint="eastAsia"/>
                <w:color w:val="auto"/>
                <w:highlight w:val="none"/>
              </w:rPr>
              <w:t>偏离度=（</w:t>
            </w:r>
            <w:r>
              <w:rPr>
                <w:rFonts w:hint="eastAsia"/>
                <w:color w:val="auto"/>
                <w:highlight w:val="none"/>
                <w:lang w:eastAsia="zh-CN"/>
              </w:rPr>
              <w:t>参选</w:t>
            </w:r>
            <w:r>
              <w:rPr>
                <w:rFonts w:hint="eastAsia"/>
                <w:color w:val="auto"/>
                <w:highlight w:val="none"/>
              </w:rPr>
              <w:t>权重合计报价/</w:t>
            </w:r>
            <w:r>
              <w:rPr>
                <w:rFonts w:hint="eastAsia"/>
                <w:color w:val="auto"/>
                <w:highlight w:val="none"/>
                <w:lang w:eastAsia="zh-CN"/>
              </w:rPr>
              <w:t>评审</w:t>
            </w:r>
            <w:r>
              <w:rPr>
                <w:rFonts w:hint="eastAsia"/>
                <w:color w:val="auto"/>
                <w:highlight w:val="none"/>
              </w:rPr>
              <w:t>基准价-1）*100%。</w:t>
            </w:r>
          </w:p>
          <w:p w14:paraId="6293F4B3">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color w:val="auto"/>
                <w:highlight w:val="none"/>
              </w:rPr>
            </w:pPr>
            <w:r>
              <w:rPr>
                <w:rFonts w:hint="eastAsia"/>
                <w:color w:val="auto"/>
                <w:highlight w:val="none"/>
              </w:rPr>
              <w:t>在此基础上，参选人权重报价合计与</w:t>
            </w:r>
            <w:r>
              <w:rPr>
                <w:rFonts w:hint="eastAsia"/>
                <w:color w:val="auto"/>
                <w:highlight w:val="none"/>
                <w:lang w:eastAsia="zh-CN"/>
              </w:rPr>
              <w:t>评审</w:t>
            </w:r>
            <w:r>
              <w:rPr>
                <w:rFonts w:hint="eastAsia"/>
                <w:color w:val="auto"/>
                <w:highlight w:val="none"/>
              </w:rPr>
              <w:t>基准价相比，价格每增加1%扣0.5分，不足1%扣0.25分，扣完为止。</w:t>
            </w:r>
          </w:p>
          <w:p w14:paraId="52EAC6A0">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color w:val="auto"/>
                <w:highlight w:val="none"/>
              </w:rPr>
            </w:pPr>
            <w:r>
              <w:rPr>
                <w:rFonts w:hint="eastAsia"/>
                <w:color w:val="auto"/>
                <w:highlight w:val="none"/>
              </w:rPr>
              <w:t>各类设备权重占比：存取款一体机37%；取款机权重2%；智能柜员机31%；叫号机17%；回单机13%。</w:t>
            </w:r>
          </w:p>
        </w:tc>
      </w:tr>
      <w:tr w14:paraId="0A27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820" w:type="dxa"/>
            <w:vMerge w:val="continue"/>
            <w:vAlign w:val="center"/>
          </w:tcPr>
          <w:p w14:paraId="17D2A3A5">
            <w:pPr>
              <w:rPr>
                <w:color w:val="auto"/>
                <w:highlight w:val="none"/>
              </w:rPr>
            </w:pPr>
          </w:p>
        </w:tc>
        <w:tc>
          <w:tcPr>
            <w:tcW w:w="749" w:type="dxa"/>
            <w:vMerge w:val="continue"/>
            <w:tcBorders>
              <w:top w:val="single" w:color="auto" w:sz="4" w:space="0"/>
              <w:left w:val="single" w:color="auto" w:sz="4" w:space="0"/>
              <w:right w:val="single" w:color="auto" w:sz="4" w:space="0"/>
            </w:tcBorders>
            <w:vAlign w:val="center"/>
          </w:tcPr>
          <w:p w14:paraId="4533176A">
            <w:pPr>
              <w:rPr>
                <w:color w:val="auto"/>
                <w:highlight w:val="none"/>
              </w:rPr>
            </w:pPr>
          </w:p>
        </w:tc>
        <w:tc>
          <w:tcPr>
            <w:tcW w:w="1530" w:type="dxa"/>
            <w:vMerge w:val="continue"/>
            <w:tcBorders>
              <w:top w:val="single" w:color="auto" w:sz="4" w:space="0"/>
              <w:left w:val="single" w:color="auto" w:sz="4" w:space="0"/>
              <w:right w:val="single" w:color="auto" w:sz="4" w:space="0"/>
            </w:tcBorders>
            <w:vAlign w:val="center"/>
          </w:tcPr>
          <w:p w14:paraId="44B63074">
            <w:pPr>
              <w:rPr>
                <w:color w:val="auto"/>
                <w:highlight w:val="none"/>
              </w:rPr>
            </w:pPr>
          </w:p>
        </w:tc>
        <w:tc>
          <w:tcPr>
            <w:tcW w:w="1200" w:type="dxa"/>
            <w:gridSpan w:val="2"/>
            <w:tcBorders>
              <w:top w:val="single" w:color="auto" w:sz="4" w:space="0"/>
              <w:left w:val="single" w:color="auto" w:sz="4" w:space="0"/>
              <w:right w:val="single" w:color="auto" w:sz="4" w:space="0"/>
            </w:tcBorders>
            <w:vAlign w:val="center"/>
          </w:tcPr>
          <w:p w14:paraId="37D7AB2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bidi="ar-SA"/>
              </w:rPr>
              <w:t>本地维护站（25分）</w:t>
            </w:r>
          </w:p>
        </w:tc>
        <w:tc>
          <w:tcPr>
            <w:tcW w:w="5165" w:type="dxa"/>
            <w:vAlign w:val="center"/>
          </w:tcPr>
          <w:p w14:paraId="27E9914B">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color w:val="auto"/>
                <w:highlight w:val="none"/>
                <w:lang w:val="en-US" w:eastAsia="zh-CN"/>
              </w:rPr>
            </w:pPr>
            <w:r>
              <w:rPr>
                <w:rFonts w:hint="eastAsia"/>
                <w:color w:val="auto"/>
                <w:highlight w:val="none"/>
              </w:rPr>
              <w:t>提供重庆市内房屋租赁</w:t>
            </w:r>
            <w:r>
              <w:rPr>
                <w:color w:val="auto"/>
                <w:highlight w:val="none"/>
              </w:rPr>
              <w:t>合同</w:t>
            </w:r>
            <w:r>
              <w:rPr>
                <w:rFonts w:hint="eastAsia"/>
                <w:color w:val="auto"/>
                <w:highlight w:val="none"/>
              </w:rPr>
              <w:t>，同一区、县内出现多个维护站的按一个计算</w:t>
            </w:r>
            <w:r>
              <w:rPr>
                <w:rFonts w:hint="eastAsia"/>
                <w:color w:val="auto"/>
                <w:highlight w:val="none"/>
                <w:lang w:eastAsia="zh-CN"/>
              </w:rPr>
              <w:t>。</w:t>
            </w:r>
            <w:r>
              <w:rPr>
                <w:rFonts w:hint="eastAsia"/>
                <w:color w:val="auto"/>
                <w:highlight w:val="none"/>
              </w:rPr>
              <w:t>每</w:t>
            </w:r>
            <w:r>
              <w:rPr>
                <w:rFonts w:hint="eastAsia"/>
                <w:color w:val="auto"/>
                <w:highlight w:val="none"/>
                <w:lang w:eastAsia="zh-CN"/>
              </w:rPr>
              <w:t>有</w:t>
            </w:r>
            <w:r>
              <w:rPr>
                <w:rFonts w:hint="eastAsia"/>
                <w:color w:val="auto"/>
                <w:highlight w:val="none"/>
                <w:lang w:val="en-US" w:eastAsia="zh-CN"/>
              </w:rPr>
              <w:t>1</w:t>
            </w:r>
            <w:r>
              <w:rPr>
                <w:rFonts w:hint="eastAsia"/>
                <w:color w:val="auto"/>
                <w:highlight w:val="none"/>
              </w:rPr>
              <w:t>个维护站</w:t>
            </w:r>
            <w:r>
              <w:rPr>
                <w:rFonts w:hint="eastAsia"/>
                <w:color w:val="auto"/>
                <w:highlight w:val="none"/>
                <w:lang w:eastAsia="zh-CN"/>
              </w:rPr>
              <w:t>得</w:t>
            </w:r>
            <w:r>
              <w:rPr>
                <w:rFonts w:hint="eastAsia"/>
                <w:color w:val="auto"/>
                <w:highlight w:val="none"/>
              </w:rPr>
              <w:t>1分，依次递增</w:t>
            </w:r>
            <w:r>
              <w:rPr>
                <w:rFonts w:hint="eastAsia"/>
                <w:color w:val="auto"/>
                <w:highlight w:val="none"/>
                <w:lang w:eastAsia="zh-CN"/>
              </w:rPr>
              <w:t>，满分25</w:t>
            </w:r>
            <w:r>
              <w:rPr>
                <w:rFonts w:hint="eastAsia"/>
                <w:color w:val="auto"/>
                <w:highlight w:val="none"/>
                <w:lang w:val="en-US" w:eastAsia="zh-CN"/>
              </w:rPr>
              <w:t>分</w:t>
            </w:r>
            <w:r>
              <w:rPr>
                <w:rFonts w:hint="eastAsia"/>
                <w:color w:val="auto"/>
                <w:highlight w:val="none"/>
              </w:rPr>
              <w:t>。（开标后行方将进行核实，弄虚作假将取消</w:t>
            </w:r>
            <w:r>
              <w:rPr>
                <w:rFonts w:hint="eastAsia"/>
                <w:color w:val="auto"/>
                <w:highlight w:val="none"/>
                <w:lang w:eastAsia="zh-CN"/>
              </w:rPr>
              <w:t>参选</w:t>
            </w:r>
            <w:r>
              <w:rPr>
                <w:rFonts w:hint="eastAsia"/>
                <w:color w:val="auto"/>
                <w:highlight w:val="none"/>
              </w:rPr>
              <w:t>资格，并列入行方黑名单）</w:t>
            </w:r>
          </w:p>
        </w:tc>
      </w:tr>
      <w:tr w14:paraId="6B50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820" w:type="dxa"/>
            <w:vMerge w:val="continue"/>
            <w:vAlign w:val="center"/>
          </w:tcPr>
          <w:p w14:paraId="7510017E">
            <w:pPr>
              <w:rPr>
                <w:color w:val="auto"/>
                <w:highlight w:val="none"/>
              </w:rPr>
            </w:pPr>
          </w:p>
        </w:tc>
        <w:tc>
          <w:tcPr>
            <w:tcW w:w="749" w:type="dxa"/>
            <w:vMerge w:val="continue"/>
            <w:tcBorders>
              <w:top w:val="single" w:color="auto" w:sz="4" w:space="0"/>
              <w:left w:val="single" w:color="auto" w:sz="4" w:space="0"/>
              <w:right w:val="single" w:color="auto" w:sz="4" w:space="0"/>
            </w:tcBorders>
            <w:vAlign w:val="center"/>
          </w:tcPr>
          <w:p w14:paraId="1FBAB9CE">
            <w:pPr>
              <w:rPr>
                <w:color w:val="auto"/>
                <w:highlight w:val="none"/>
              </w:rPr>
            </w:pPr>
          </w:p>
        </w:tc>
        <w:tc>
          <w:tcPr>
            <w:tcW w:w="1530" w:type="dxa"/>
            <w:vMerge w:val="continue"/>
            <w:tcBorders>
              <w:top w:val="single" w:color="auto" w:sz="4" w:space="0"/>
              <w:left w:val="single" w:color="auto" w:sz="4" w:space="0"/>
              <w:right w:val="single" w:color="auto" w:sz="4" w:space="0"/>
            </w:tcBorders>
            <w:vAlign w:val="center"/>
          </w:tcPr>
          <w:p w14:paraId="10C4EB41">
            <w:pPr>
              <w:rPr>
                <w:color w:val="auto"/>
                <w:highlight w:val="none"/>
              </w:rPr>
            </w:pPr>
          </w:p>
        </w:tc>
        <w:tc>
          <w:tcPr>
            <w:tcW w:w="1200" w:type="dxa"/>
            <w:gridSpan w:val="2"/>
            <w:tcBorders>
              <w:top w:val="single" w:color="auto" w:sz="4" w:space="0"/>
              <w:left w:val="single" w:color="auto" w:sz="4" w:space="0"/>
              <w:right w:val="single" w:color="auto" w:sz="4" w:space="0"/>
            </w:tcBorders>
            <w:vAlign w:val="center"/>
          </w:tcPr>
          <w:p w14:paraId="6B510B7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ascii="宋体" w:hAnsi="宋体" w:cs="宋体"/>
                <w:color w:val="auto"/>
                <w:kern w:val="0"/>
                <w:sz w:val="21"/>
                <w:szCs w:val="21"/>
                <w:highlight w:val="none"/>
                <w:lang w:val="en-US" w:eastAsia="zh-CN"/>
              </w:rPr>
            </w:pPr>
            <w:r>
              <w:rPr>
                <w:rFonts w:hint="eastAsia" w:ascii="宋体" w:hAnsi="宋体"/>
                <w:color w:val="auto"/>
                <w:sz w:val="21"/>
                <w:szCs w:val="21"/>
                <w:highlight w:val="none"/>
              </w:rPr>
              <w:t>本地合作案例（10分）</w:t>
            </w:r>
          </w:p>
        </w:tc>
        <w:tc>
          <w:tcPr>
            <w:tcW w:w="5165" w:type="dxa"/>
            <w:vAlign w:val="center"/>
          </w:tcPr>
          <w:p w14:paraId="594D7EBB">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color w:val="auto"/>
                <w:highlight w:val="none"/>
              </w:rPr>
            </w:pPr>
            <w:r>
              <w:rPr>
                <w:rFonts w:hint="eastAsia"/>
                <w:color w:val="auto"/>
                <w:highlight w:val="none"/>
                <w:lang w:val="en-US" w:eastAsia="zh-CN"/>
              </w:rPr>
              <w:t>1、</w:t>
            </w:r>
            <w:r>
              <w:rPr>
                <w:color w:val="auto"/>
                <w:highlight w:val="none"/>
                <w:lang w:eastAsia="zh-CN"/>
              </w:rPr>
              <w:t>根据</w:t>
            </w:r>
            <w:r>
              <w:rPr>
                <w:rFonts w:hint="eastAsia"/>
                <w:color w:val="auto"/>
                <w:highlight w:val="none"/>
                <w:lang w:eastAsia="zh-CN"/>
              </w:rPr>
              <w:t>重庆市内银行合作的</w:t>
            </w:r>
            <w:r>
              <w:rPr>
                <w:color w:val="auto"/>
                <w:highlight w:val="none"/>
                <w:lang w:eastAsia="zh-CN"/>
              </w:rPr>
              <w:t>设备维保</w:t>
            </w:r>
            <w:r>
              <w:rPr>
                <w:rFonts w:hint="eastAsia"/>
                <w:color w:val="auto"/>
                <w:highlight w:val="none"/>
                <w:lang w:eastAsia="zh-CN"/>
              </w:rPr>
              <w:t>案列数量打分</w:t>
            </w:r>
            <w:r>
              <w:rPr>
                <w:color w:val="auto"/>
                <w:highlight w:val="none"/>
                <w:lang w:eastAsia="zh-CN"/>
              </w:rPr>
              <w:t>（合同在有效期内）</w:t>
            </w:r>
            <w:r>
              <w:rPr>
                <w:rFonts w:hint="eastAsia"/>
                <w:color w:val="auto"/>
                <w:highlight w:val="none"/>
                <w:lang w:eastAsia="zh-CN"/>
              </w:rPr>
              <w:t>，每有一个得</w:t>
            </w:r>
            <w:r>
              <w:rPr>
                <w:color w:val="auto"/>
                <w:highlight w:val="none"/>
                <w:lang w:eastAsia="zh-CN"/>
              </w:rPr>
              <w:t>0.</w:t>
            </w:r>
            <w:r>
              <w:rPr>
                <w:rFonts w:hint="eastAsia"/>
                <w:color w:val="auto"/>
                <w:highlight w:val="none"/>
                <w:lang w:val="en-US" w:eastAsia="zh-CN"/>
              </w:rPr>
              <w:t>25</w:t>
            </w:r>
            <w:r>
              <w:rPr>
                <w:rFonts w:hint="eastAsia"/>
                <w:color w:val="auto"/>
                <w:highlight w:val="none"/>
                <w:lang w:eastAsia="zh-CN"/>
              </w:rPr>
              <w:t>分，满分</w:t>
            </w:r>
            <w:r>
              <w:rPr>
                <w:rFonts w:hint="eastAsia"/>
                <w:color w:val="auto"/>
                <w:highlight w:val="none"/>
                <w:lang w:val="en-US" w:eastAsia="zh-CN"/>
              </w:rPr>
              <w:t>5</w:t>
            </w:r>
            <w:r>
              <w:rPr>
                <w:rFonts w:hint="eastAsia"/>
                <w:color w:val="auto"/>
                <w:highlight w:val="none"/>
                <w:lang w:eastAsia="zh-CN"/>
              </w:rPr>
              <w:t>分。合作</w:t>
            </w:r>
            <w:r>
              <w:rPr>
                <w:rFonts w:hint="eastAsia"/>
                <w:color w:val="auto"/>
                <w:highlight w:val="none"/>
              </w:rPr>
              <w:t>案例银行应为：工商、农业、中国、建设、交通、邮储、招商、兴业、中信、平安、浦发、光大、民生、华夏、</w:t>
            </w:r>
            <w:r>
              <w:rPr>
                <w:color w:val="auto"/>
                <w:highlight w:val="none"/>
              </w:rPr>
              <w:t>恒丰、浙商、渤海、广发、</w:t>
            </w:r>
            <w:r>
              <w:rPr>
                <w:rFonts w:hint="eastAsia"/>
                <w:color w:val="auto"/>
                <w:highlight w:val="none"/>
              </w:rPr>
              <w:t>重庆、重庆农商。其他银行案例不得分。</w:t>
            </w:r>
          </w:p>
          <w:p w14:paraId="22251C8C">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color w:val="auto"/>
                <w:highlight w:val="none"/>
              </w:rPr>
            </w:pPr>
            <w:r>
              <w:rPr>
                <w:rFonts w:hint="eastAsia"/>
                <w:color w:val="auto"/>
                <w:highlight w:val="none"/>
                <w:lang w:val="en-US" w:eastAsia="zh-CN"/>
              </w:rPr>
              <w:t>2、 参选人可在案例证明材料中</w:t>
            </w:r>
            <w:r>
              <w:rPr>
                <w:rFonts w:hint="eastAsia"/>
                <w:color w:val="auto"/>
                <w:highlight w:val="none"/>
              </w:rPr>
              <w:t>明确相应设备的类型、品牌</w:t>
            </w:r>
            <w:r>
              <w:rPr>
                <w:rFonts w:hint="eastAsia"/>
                <w:color w:val="auto"/>
                <w:highlight w:val="none"/>
                <w:lang w:eastAsia="zh-CN"/>
              </w:rPr>
              <w:t>，</w:t>
            </w:r>
            <w:r>
              <w:rPr>
                <w:rFonts w:hint="eastAsia"/>
                <w:color w:val="auto"/>
                <w:highlight w:val="none"/>
                <w:lang w:val="en-US" w:eastAsia="zh-CN"/>
              </w:rPr>
              <w:t>评审委员会</w:t>
            </w:r>
            <w:r>
              <w:rPr>
                <w:rFonts w:hint="eastAsia"/>
                <w:color w:val="auto"/>
                <w:highlight w:val="none"/>
              </w:rPr>
              <w:t>根据上述银行合作的设备维保案列，确认是否有以下的设备类型及品牌</w:t>
            </w:r>
            <w:r>
              <w:rPr>
                <w:rFonts w:hint="eastAsia"/>
                <w:color w:val="auto"/>
                <w:highlight w:val="none"/>
                <w:lang w:eastAsia="zh-CN"/>
              </w:rPr>
              <w:t>，</w:t>
            </w:r>
            <w:r>
              <w:rPr>
                <w:rFonts w:hint="eastAsia"/>
                <w:color w:val="auto"/>
                <w:highlight w:val="none"/>
                <w:lang w:val="en-US" w:eastAsia="zh-CN"/>
              </w:rPr>
              <w:t>设备类型和品牌不重复计分</w:t>
            </w:r>
            <w:r>
              <w:rPr>
                <w:rFonts w:hint="eastAsia"/>
                <w:color w:val="auto"/>
                <w:highlight w:val="none"/>
              </w:rPr>
              <w:t>。</w:t>
            </w:r>
          </w:p>
          <w:p w14:paraId="5E9ECB76">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①案例中每含有一个设备类型得0.5分，满分2.5分。</w:t>
            </w:r>
          </w:p>
          <w:p w14:paraId="219EE8CE">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eastAsia="宋体"/>
                <w:color w:val="auto"/>
                <w:highlight w:val="none"/>
                <w:lang w:eastAsia="zh-CN"/>
              </w:rPr>
            </w:pPr>
            <w:r>
              <w:rPr>
                <w:rFonts w:hint="eastAsia"/>
                <w:color w:val="auto"/>
                <w:highlight w:val="none"/>
                <w:lang w:val="en-US" w:eastAsia="zh-CN"/>
              </w:rPr>
              <w:t>②案例中每含有</w:t>
            </w:r>
            <w:r>
              <w:rPr>
                <w:rFonts w:hint="eastAsia"/>
                <w:color w:val="auto"/>
                <w:highlight w:val="none"/>
              </w:rPr>
              <w:t>以下设备类型</w:t>
            </w:r>
            <w:r>
              <w:rPr>
                <w:rFonts w:hint="eastAsia"/>
                <w:color w:val="auto"/>
                <w:highlight w:val="none"/>
                <w:lang w:val="en-US" w:eastAsia="zh-CN"/>
              </w:rPr>
              <w:t>的同时，还属于以下设备品牌的，每个品牌得0.25分，满分2.5分</w:t>
            </w:r>
            <w:r>
              <w:rPr>
                <w:rFonts w:hint="eastAsia"/>
                <w:color w:val="auto"/>
                <w:highlight w:val="none"/>
                <w:lang w:eastAsia="zh-CN"/>
              </w:rPr>
              <w:t>。</w:t>
            </w:r>
          </w:p>
          <w:p w14:paraId="7DCCF243">
            <w:pPr>
              <w:pStyle w:val="31"/>
              <w:keepNext w:val="0"/>
              <w:keepLines w:val="0"/>
              <w:pageBreakBefore w:val="0"/>
              <w:widowControl w:val="0"/>
              <w:kinsoku/>
              <w:wordWrap/>
              <w:overflowPunct/>
              <w:topLinePunct w:val="0"/>
              <w:autoSpaceDE w:val="0"/>
              <w:autoSpaceDN w:val="0"/>
              <w:bidi w:val="0"/>
              <w:adjustRightInd/>
              <w:snapToGrid/>
              <w:ind w:firstLine="422" w:firstLineChars="200"/>
              <w:textAlignment w:val="auto"/>
              <w:rPr>
                <w:rFonts w:hint="eastAsia"/>
                <w:b/>
                <w:bCs w:val="0"/>
                <w:color w:val="auto"/>
                <w:highlight w:val="none"/>
                <w:lang w:val="en-US" w:eastAsia="zh-CN"/>
              </w:rPr>
            </w:pPr>
            <w:r>
              <w:rPr>
                <w:rFonts w:hint="eastAsia"/>
                <w:b/>
                <w:bCs w:val="0"/>
                <w:color w:val="auto"/>
                <w:highlight w:val="none"/>
                <w:lang w:val="en-US" w:eastAsia="zh-CN"/>
              </w:rPr>
              <w:t>设备类型：</w:t>
            </w:r>
          </w:p>
          <w:p w14:paraId="3C1B4576">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color w:val="auto"/>
                <w:highlight w:val="none"/>
                <w:lang w:eastAsia="zh-CN"/>
              </w:rPr>
            </w:pPr>
            <w:r>
              <w:rPr>
                <w:rFonts w:hint="eastAsia"/>
                <w:color w:val="auto"/>
                <w:highlight w:val="none"/>
              </w:rPr>
              <w:t>存取款一体机</w:t>
            </w:r>
            <w:r>
              <w:rPr>
                <w:rFonts w:hint="eastAsia"/>
                <w:color w:val="auto"/>
                <w:highlight w:val="none"/>
                <w:lang w:eastAsia="zh-CN"/>
              </w:rPr>
              <w:t>、</w:t>
            </w:r>
            <w:r>
              <w:rPr>
                <w:rFonts w:hint="eastAsia"/>
                <w:color w:val="auto"/>
                <w:highlight w:val="none"/>
              </w:rPr>
              <w:t>取款机</w:t>
            </w:r>
            <w:r>
              <w:rPr>
                <w:rFonts w:hint="eastAsia"/>
                <w:color w:val="auto"/>
                <w:highlight w:val="none"/>
                <w:lang w:eastAsia="zh-CN"/>
              </w:rPr>
              <w:t>、</w:t>
            </w:r>
            <w:r>
              <w:rPr>
                <w:rFonts w:hint="eastAsia"/>
                <w:color w:val="auto"/>
                <w:highlight w:val="none"/>
              </w:rPr>
              <w:t>智能柜员机</w:t>
            </w:r>
            <w:r>
              <w:rPr>
                <w:rFonts w:hint="eastAsia"/>
                <w:color w:val="auto"/>
                <w:highlight w:val="none"/>
                <w:lang w:eastAsia="zh-CN"/>
              </w:rPr>
              <w:t>、</w:t>
            </w:r>
            <w:r>
              <w:rPr>
                <w:rFonts w:hint="eastAsia"/>
                <w:color w:val="auto"/>
                <w:highlight w:val="none"/>
              </w:rPr>
              <w:t>回单机</w:t>
            </w:r>
            <w:r>
              <w:rPr>
                <w:rFonts w:hint="eastAsia"/>
                <w:color w:val="auto"/>
                <w:highlight w:val="none"/>
                <w:lang w:eastAsia="zh-CN"/>
              </w:rPr>
              <w:t>、</w:t>
            </w:r>
            <w:r>
              <w:rPr>
                <w:rFonts w:hint="eastAsia"/>
                <w:color w:val="auto"/>
                <w:highlight w:val="none"/>
              </w:rPr>
              <w:t>叫号机</w:t>
            </w:r>
            <w:r>
              <w:rPr>
                <w:rFonts w:hint="eastAsia"/>
                <w:color w:val="auto"/>
                <w:highlight w:val="none"/>
                <w:lang w:eastAsia="zh-CN"/>
              </w:rPr>
              <w:t>。</w:t>
            </w:r>
          </w:p>
          <w:p w14:paraId="0FB2E686">
            <w:pPr>
              <w:pStyle w:val="31"/>
              <w:keepNext w:val="0"/>
              <w:keepLines w:val="0"/>
              <w:pageBreakBefore w:val="0"/>
              <w:widowControl w:val="0"/>
              <w:kinsoku/>
              <w:wordWrap/>
              <w:overflowPunct/>
              <w:topLinePunct w:val="0"/>
              <w:autoSpaceDE w:val="0"/>
              <w:autoSpaceDN w:val="0"/>
              <w:bidi w:val="0"/>
              <w:adjustRightInd/>
              <w:snapToGrid/>
              <w:ind w:firstLine="422" w:firstLineChars="200"/>
              <w:textAlignment w:val="auto"/>
              <w:rPr>
                <w:rFonts w:hint="default"/>
                <w:b/>
                <w:bCs w:val="0"/>
                <w:color w:val="auto"/>
                <w:highlight w:val="none"/>
                <w:lang w:val="en-US" w:eastAsia="zh-CN"/>
              </w:rPr>
            </w:pPr>
            <w:r>
              <w:rPr>
                <w:rFonts w:hint="eastAsia"/>
                <w:b/>
                <w:bCs w:val="0"/>
                <w:color w:val="auto"/>
                <w:highlight w:val="none"/>
                <w:lang w:val="en-US" w:eastAsia="zh-CN"/>
              </w:rPr>
              <w:t>设备品牌：</w:t>
            </w:r>
          </w:p>
          <w:p w14:paraId="18BE8ABD">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color w:val="auto"/>
                <w:highlight w:val="none"/>
              </w:rPr>
            </w:pPr>
            <w:r>
              <w:rPr>
                <w:rFonts w:hint="eastAsia"/>
                <w:color w:val="auto"/>
                <w:highlight w:val="none"/>
              </w:rPr>
              <w:t>存取款一体机：东方通信、广电运通、OKI、中钞科堡；</w:t>
            </w:r>
          </w:p>
          <w:p w14:paraId="417DA736">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color w:val="auto"/>
                <w:highlight w:val="none"/>
              </w:rPr>
            </w:pPr>
            <w:r>
              <w:rPr>
                <w:rFonts w:hint="eastAsia"/>
                <w:color w:val="auto"/>
                <w:highlight w:val="none"/>
              </w:rPr>
              <w:t>取款机：广州御银；</w:t>
            </w:r>
          </w:p>
          <w:p w14:paraId="1074F48F">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color w:val="auto"/>
                <w:highlight w:val="none"/>
              </w:rPr>
            </w:pPr>
            <w:r>
              <w:rPr>
                <w:rFonts w:hint="eastAsia"/>
                <w:color w:val="auto"/>
                <w:highlight w:val="none"/>
              </w:rPr>
              <w:t>智能柜员机：东方通信、北辰德</w:t>
            </w:r>
          </w:p>
          <w:p w14:paraId="50E0D934">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color w:val="auto"/>
                <w:highlight w:val="none"/>
              </w:rPr>
            </w:pPr>
            <w:r>
              <w:rPr>
                <w:rFonts w:hint="eastAsia"/>
                <w:color w:val="auto"/>
                <w:highlight w:val="none"/>
              </w:rPr>
              <w:t>回单机：东方通信、北京兆维</w:t>
            </w:r>
          </w:p>
          <w:p w14:paraId="7942E90D">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color w:val="auto"/>
                <w:highlight w:val="none"/>
              </w:rPr>
            </w:pPr>
            <w:r>
              <w:rPr>
                <w:rFonts w:hint="eastAsia"/>
                <w:color w:val="auto"/>
                <w:highlight w:val="none"/>
              </w:rPr>
              <w:t>叫号机：南天</w:t>
            </w:r>
          </w:p>
        </w:tc>
      </w:tr>
      <w:tr w14:paraId="0DA7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3F73148A">
            <w:pPr>
              <w:rPr>
                <w:color w:val="auto"/>
                <w:highlight w:val="none"/>
              </w:rPr>
            </w:pPr>
          </w:p>
        </w:tc>
        <w:tc>
          <w:tcPr>
            <w:tcW w:w="749" w:type="dxa"/>
            <w:vMerge w:val="continue"/>
            <w:tcBorders>
              <w:top w:val="single" w:color="auto" w:sz="4" w:space="0"/>
              <w:left w:val="single" w:color="auto" w:sz="4" w:space="0"/>
              <w:right w:val="single" w:color="auto" w:sz="4" w:space="0"/>
            </w:tcBorders>
            <w:vAlign w:val="center"/>
          </w:tcPr>
          <w:p w14:paraId="2632A1FE">
            <w:pPr>
              <w:rPr>
                <w:color w:val="auto"/>
                <w:highlight w:val="none"/>
              </w:rPr>
            </w:pPr>
          </w:p>
        </w:tc>
        <w:tc>
          <w:tcPr>
            <w:tcW w:w="1530" w:type="dxa"/>
            <w:vMerge w:val="continue"/>
            <w:tcBorders>
              <w:top w:val="single" w:color="auto" w:sz="4" w:space="0"/>
              <w:left w:val="single" w:color="auto" w:sz="4" w:space="0"/>
              <w:right w:val="single" w:color="auto" w:sz="4" w:space="0"/>
            </w:tcBorders>
            <w:vAlign w:val="center"/>
          </w:tcPr>
          <w:p w14:paraId="59C7D8A8">
            <w:pPr>
              <w:rPr>
                <w:color w:val="auto"/>
                <w:highlight w:val="none"/>
              </w:rPr>
            </w:pPr>
          </w:p>
        </w:tc>
        <w:tc>
          <w:tcPr>
            <w:tcW w:w="1200" w:type="dxa"/>
            <w:gridSpan w:val="2"/>
            <w:tcBorders>
              <w:top w:val="single" w:color="auto" w:sz="4" w:space="0"/>
              <w:left w:val="single" w:color="auto" w:sz="4" w:space="0"/>
              <w:right w:val="single" w:color="auto" w:sz="4" w:space="0"/>
            </w:tcBorders>
            <w:vAlign w:val="center"/>
          </w:tcPr>
          <w:p w14:paraId="5A7C600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ascii="宋体" w:hAnsi="宋体" w:cs="宋体"/>
                <w:color w:val="auto"/>
                <w:kern w:val="0"/>
                <w:sz w:val="21"/>
                <w:szCs w:val="21"/>
                <w:highlight w:val="none"/>
                <w:lang w:val="en-US" w:eastAsia="zh-CN"/>
              </w:rPr>
            </w:pPr>
            <w:r>
              <w:rPr>
                <w:rFonts w:ascii="宋体" w:hAnsi="宋体"/>
                <w:color w:val="auto"/>
                <w:sz w:val="21"/>
                <w:szCs w:val="21"/>
                <w:highlight w:val="none"/>
              </w:rPr>
              <w:t>净</w:t>
            </w:r>
            <w:r>
              <w:rPr>
                <w:rFonts w:hint="eastAsia" w:ascii="宋体" w:hAnsi="宋体"/>
                <w:color w:val="auto"/>
                <w:sz w:val="21"/>
                <w:szCs w:val="21"/>
                <w:highlight w:val="none"/>
              </w:rPr>
              <w:t>利润情况（</w:t>
            </w:r>
            <w:r>
              <w:rPr>
                <w:rFonts w:ascii="宋体" w:hAnsi="宋体"/>
                <w:color w:val="auto"/>
                <w:sz w:val="21"/>
                <w:szCs w:val="21"/>
                <w:highlight w:val="none"/>
              </w:rPr>
              <w:t>5</w:t>
            </w:r>
            <w:r>
              <w:rPr>
                <w:rFonts w:hint="eastAsia" w:ascii="宋体" w:hAnsi="宋体"/>
                <w:color w:val="auto"/>
                <w:sz w:val="21"/>
                <w:szCs w:val="21"/>
                <w:highlight w:val="none"/>
              </w:rPr>
              <w:t>分）</w:t>
            </w:r>
          </w:p>
        </w:tc>
        <w:tc>
          <w:tcPr>
            <w:tcW w:w="5165" w:type="dxa"/>
            <w:vAlign w:val="center"/>
          </w:tcPr>
          <w:p w14:paraId="6BC4589A">
            <w:pPr>
              <w:pStyle w:val="31"/>
              <w:keepNext w:val="0"/>
              <w:keepLines w:val="0"/>
              <w:pageBreakBefore w:val="0"/>
              <w:widowControl w:val="0"/>
              <w:kinsoku/>
              <w:wordWrap/>
              <w:overflowPunct/>
              <w:topLinePunct w:val="0"/>
              <w:autoSpaceDE w:val="0"/>
              <w:autoSpaceDN w:val="0"/>
              <w:bidi w:val="0"/>
              <w:adjustRightInd/>
              <w:snapToGrid/>
              <w:ind w:firstLine="420" w:firstLineChars="200"/>
              <w:textAlignment w:val="auto"/>
              <w:rPr>
                <w:color w:val="auto"/>
                <w:highlight w:val="none"/>
                <w:lang w:val="en-US" w:eastAsia="zh-CN"/>
              </w:rPr>
            </w:pPr>
            <w:r>
              <w:rPr>
                <w:rFonts w:hint="eastAsia"/>
                <w:color w:val="auto"/>
                <w:highlight w:val="none"/>
              </w:rPr>
              <w:t>根据</w:t>
            </w:r>
            <w:r>
              <w:rPr>
                <w:rFonts w:hint="eastAsia"/>
                <w:color w:val="auto"/>
                <w:highlight w:val="none"/>
                <w:lang w:val="en-US" w:eastAsia="zh-CN"/>
              </w:rPr>
              <w:t>参选人提供的</w:t>
            </w:r>
            <w:r>
              <w:rPr>
                <w:rFonts w:hint="eastAsia"/>
                <w:color w:val="auto"/>
                <w:highlight w:val="none"/>
              </w:rPr>
              <w:t>财务报表</w:t>
            </w:r>
            <w:r>
              <w:rPr>
                <w:rFonts w:hint="eastAsia"/>
                <w:color w:val="auto"/>
                <w:highlight w:val="none"/>
                <w:lang w:eastAsia="zh-CN"/>
              </w:rPr>
              <w:t>，</w:t>
            </w:r>
            <w:r>
              <w:rPr>
                <w:rFonts w:hint="eastAsia"/>
                <w:color w:val="auto"/>
                <w:highlight w:val="none"/>
                <w:lang w:val="en-US" w:eastAsia="zh-CN"/>
              </w:rPr>
              <w:t>对参选人</w:t>
            </w:r>
            <w:r>
              <w:rPr>
                <w:rFonts w:hint="eastAsia"/>
                <w:color w:val="auto"/>
                <w:highlight w:val="none"/>
              </w:rPr>
              <w:t>近三年（202</w:t>
            </w:r>
            <w:r>
              <w:rPr>
                <w:color w:val="auto"/>
                <w:highlight w:val="none"/>
              </w:rPr>
              <w:t>1</w:t>
            </w:r>
            <w:r>
              <w:rPr>
                <w:rFonts w:hint="eastAsia"/>
                <w:color w:val="auto"/>
                <w:highlight w:val="none"/>
              </w:rPr>
              <w:t>年至</w:t>
            </w:r>
            <w:r>
              <w:rPr>
                <w:color w:val="auto"/>
                <w:highlight w:val="none"/>
              </w:rPr>
              <w:t>2023年</w:t>
            </w:r>
            <w:r>
              <w:rPr>
                <w:rFonts w:hint="eastAsia"/>
                <w:color w:val="auto"/>
                <w:highlight w:val="none"/>
              </w:rPr>
              <w:t>）</w:t>
            </w:r>
            <w:r>
              <w:rPr>
                <w:color w:val="auto"/>
                <w:highlight w:val="none"/>
              </w:rPr>
              <w:t>净</w:t>
            </w:r>
            <w:r>
              <w:rPr>
                <w:rFonts w:hint="eastAsia"/>
                <w:color w:val="auto"/>
                <w:highlight w:val="none"/>
              </w:rPr>
              <w:t>利润情况打分，满分</w:t>
            </w:r>
            <w:r>
              <w:rPr>
                <w:color w:val="auto"/>
                <w:highlight w:val="none"/>
              </w:rPr>
              <w:t>5</w:t>
            </w:r>
            <w:r>
              <w:rPr>
                <w:rFonts w:hint="eastAsia"/>
                <w:color w:val="auto"/>
                <w:highlight w:val="none"/>
              </w:rPr>
              <w:t>分。</w:t>
            </w:r>
            <w:r>
              <w:rPr>
                <w:rFonts w:hint="eastAsia"/>
                <w:color w:val="auto"/>
                <w:highlight w:val="none"/>
                <w:lang w:val="en-US" w:eastAsia="zh-CN"/>
              </w:rPr>
              <w:t>对参选人净利润由高到低进行排序。</w:t>
            </w:r>
            <w:r>
              <w:rPr>
                <w:color w:val="auto"/>
                <w:highlight w:val="none"/>
              </w:rPr>
              <w:t>净</w:t>
            </w:r>
            <w:r>
              <w:rPr>
                <w:rFonts w:hint="eastAsia"/>
                <w:color w:val="auto"/>
                <w:highlight w:val="none"/>
              </w:rPr>
              <w:t>利润</w:t>
            </w:r>
            <w:r>
              <w:rPr>
                <w:color w:val="auto"/>
                <w:highlight w:val="none"/>
              </w:rPr>
              <w:t>最高</w:t>
            </w:r>
            <w:r>
              <w:rPr>
                <w:rFonts w:hint="eastAsia"/>
                <w:color w:val="auto"/>
                <w:highlight w:val="none"/>
                <w:lang w:val="en-US" w:eastAsia="zh-CN"/>
              </w:rPr>
              <w:t>的，</w:t>
            </w:r>
            <w:r>
              <w:rPr>
                <w:color w:val="auto"/>
                <w:highlight w:val="none"/>
              </w:rPr>
              <w:t>得满分，依次递减1分，最低0分。净</w:t>
            </w:r>
            <w:r>
              <w:rPr>
                <w:rFonts w:hint="eastAsia"/>
                <w:color w:val="auto"/>
                <w:highlight w:val="none"/>
              </w:rPr>
              <w:t>利润出现负</w:t>
            </w:r>
            <w:r>
              <w:rPr>
                <w:color w:val="auto"/>
                <w:highlight w:val="none"/>
              </w:rPr>
              <w:t>数</w:t>
            </w:r>
            <w:r>
              <w:rPr>
                <w:rFonts w:hint="eastAsia"/>
                <w:color w:val="auto"/>
                <w:highlight w:val="none"/>
              </w:rPr>
              <w:t>不得分。（提供财报复印件上数据模糊不得分）</w:t>
            </w:r>
            <w:r>
              <w:rPr>
                <w:color w:val="auto"/>
                <w:highlight w:val="none"/>
              </w:rPr>
              <w:t>。</w:t>
            </w:r>
          </w:p>
        </w:tc>
      </w:tr>
      <w:tr w14:paraId="74A8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4365C20E">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3</w:t>
            </w:r>
          </w:p>
        </w:tc>
        <w:tc>
          <w:tcPr>
            <w:tcW w:w="749" w:type="dxa"/>
            <w:tcBorders>
              <w:top w:val="single" w:color="auto" w:sz="4" w:space="0"/>
              <w:left w:val="single" w:color="auto" w:sz="4" w:space="0"/>
              <w:right w:val="single" w:color="auto" w:sz="4" w:space="0"/>
            </w:tcBorders>
            <w:vAlign w:val="center"/>
          </w:tcPr>
          <w:p w14:paraId="30D1BFA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评审程序</w:t>
            </w:r>
          </w:p>
        </w:tc>
        <w:tc>
          <w:tcPr>
            <w:tcW w:w="7895" w:type="dxa"/>
            <w:gridSpan w:val="4"/>
          </w:tcPr>
          <w:p w14:paraId="0AAAE7E5">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1.初步评审前，按本章第3.1.3项的规定对</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报价有算术性错误的进行算术性错误修正。</w:t>
            </w:r>
          </w:p>
          <w:p w14:paraId="6607E882">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2.初步评审合格的</w:t>
            </w:r>
            <w:r>
              <w:rPr>
                <w:rFonts w:hint="eastAsia" w:ascii="宋体" w:hAnsi="宋体" w:cs="宋体"/>
                <w:color w:val="auto"/>
                <w:sz w:val="21"/>
                <w:szCs w:val="21"/>
                <w:highlight w:val="none"/>
                <w:lang w:eastAsia="zh-CN"/>
              </w:rPr>
              <w:t>参选文件</w:t>
            </w:r>
            <w:r>
              <w:rPr>
                <w:rFonts w:hint="eastAsia" w:ascii="宋体" w:hAnsi="宋体" w:cs="宋体"/>
                <w:color w:val="auto"/>
                <w:sz w:val="21"/>
                <w:szCs w:val="21"/>
                <w:highlight w:val="none"/>
              </w:rPr>
              <w:t>进行</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报价、商务部分的评分。主观评审部分由各专家独立评审打分，最后取平均得分，保留2位小数。</w:t>
            </w:r>
          </w:p>
          <w:p w14:paraId="25DFA9DB">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3.根据综合得分由高至低进行排序，推荐1-3家合格的中选候选人。并依次为第一、二、三中选候选人。</w:t>
            </w:r>
          </w:p>
        </w:tc>
      </w:tr>
      <w:tr w14:paraId="11DB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569" w:type="dxa"/>
            <w:gridSpan w:val="2"/>
            <w:vAlign w:val="center"/>
          </w:tcPr>
          <w:p w14:paraId="1BE5864E">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3.</w:t>
            </w:r>
            <w:r>
              <w:rPr>
                <w:rFonts w:ascii="宋体" w:hAnsi="宋体" w:cs="宋体"/>
                <w:color w:val="auto"/>
                <w:sz w:val="21"/>
                <w:szCs w:val="21"/>
                <w:highlight w:val="none"/>
              </w:rPr>
              <w:t>1</w:t>
            </w:r>
          </w:p>
        </w:tc>
        <w:tc>
          <w:tcPr>
            <w:tcW w:w="2244" w:type="dxa"/>
            <w:gridSpan w:val="2"/>
            <w:tcBorders>
              <w:top w:val="single" w:color="auto" w:sz="4" w:space="0"/>
              <w:left w:val="single" w:color="auto" w:sz="4" w:space="0"/>
              <w:right w:val="single" w:color="auto" w:sz="4" w:space="0"/>
            </w:tcBorders>
            <w:vAlign w:val="center"/>
          </w:tcPr>
          <w:p w14:paraId="1E3A549C">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得分</w:t>
            </w:r>
          </w:p>
        </w:tc>
        <w:tc>
          <w:tcPr>
            <w:tcW w:w="5651" w:type="dxa"/>
            <w:gridSpan w:val="2"/>
            <w:vAlign w:val="center"/>
          </w:tcPr>
          <w:p w14:paraId="38C30F29">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得分=参选价格得分+本地维护站得分</w:t>
            </w:r>
            <w:r>
              <w:rPr>
                <w:rFonts w:ascii="宋体" w:hAnsi="宋体" w:cs="宋体"/>
                <w:color w:val="auto"/>
                <w:sz w:val="21"/>
                <w:szCs w:val="21"/>
                <w:highlight w:val="none"/>
              </w:rPr>
              <w:t>+</w:t>
            </w:r>
            <w:r>
              <w:rPr>
                <w:rFonts w:ascii="宋体" w:hAnsi="宋体" w:cs="宋体"/>
                <w:color w:val="auto"/>
                <w:sz w:val="21"/>
                <w:szCs w:val="21"/>
                <w:highlight w:val="none"/>
                <w:lang w:val="en-US" w:eastAsia="zh-CN"/>
              </w:rPr>
              <w:t>本</w:t>
            </w:r>
            <w:r>
              <w:rPr>
                <w:rFonts w:hint="eastAsia" w:ascii="宋体" w:hAnsi="宋体" w:cs="宋体"/>
                <w:color w:val="auto"/>
                <w:sz w:val="21"/>
                <w:szCs w:val="21"/>
                <w:highlight w:val="none"/>
                <w:lang w:val="en-US" w:eastAsia="zh-CN"/>
              </w:rPr>
              <w:t>地合作案例得分+</w:t>
            </w:r>
            <w:r>
              <w:rPr>
                <w:rFonts w:hint="eastAsia" w:ascii="宋体" w:hAnsi="宋体"/>
                <w:color w:val="auto"/>
                <w:sz w:val="21"/>
                <w:szCs w:val="21"/>
                <w:highlight w:val="none"/>
              </w:rPr>
              <w:t>现金</w:t>
            </w:r>
            <w:r>
              <w:rPr>
                <w:rFonts w:hint="eastAsia" w:ascii="宋体" w:hAnsi="宋体"/>
                <w:color w:val="auto"/>
                <w:sz w:val="21"/>
                <w:szCs w:val="21"/>
                <w:highlight w:val="none"/>
                <w:lang w:eastAsia="zh-CN"/>
              </w:rPr>
              <w:t>额</w:t>
            </w:r>
            <w:r>
              <w:rPr>
                <w:rFonts w:hint="eastAsia" w:ascii="宋体" w:hAnsi="宋体"/>
                <w:color w:val="auto"/>
                <w:sz w:val="21"/>
                <w:szCs w:val="21"/>
                <w:highlight w:val="none"/>
                <w:lang w:val="en-US" w:eastAsia="zh-CN"/>
              </w:rPr>
              <w:t>情况得分+</w:t>
            </w:r>
            <w:r>
              <w:rPr>
                <w:rFonts w:hint="eastAsia" w:ascii="宋体" w:hAnsi="宋体"/>
                <w:color w:val="auto"/>
                <w:sz w:val="21"/>
                <w:szCs w:val="21"/>
                <w:highlight w:val="none"/>
              </w:rPr>
              <w:t>利润情况</w:t>
            </w:r>
            <w:r>
              <w:rPr>
                <w:rFonts w:hint="eastAsia" w:ascii="宋体" w:hAnsi="宋体"/>
                <w:color w:val="auto"/>
                <w:sz w:val="21"/>
                <w:szCs w:val="21"/>
                <w:highlight w:val="none"/>
                <w:lang w:val="en-US" w:eastAsia="zh-CN"/>
              </w:rPr>
              <w:t>得分</w:t>
            </w:r>
          </w:p>
        </w:tc>
      </w:tr>
      <w:bookmarkEnd w:id="59"/>
    </w:tbl>
    <w:p w14:paraId="629F59F6">
      <w:pPr>
        <w:rPr>
          <w:rFonts w:ascii="宋体" w:hAnsi="宋体" w:cs="宋体"/>
          <w:snapToGrid w:val="0"/>
          <w:color w:val="auto"/>
          <w:sz w:val="21"/>
          <w:szCs w:val="21"/>
          <w:highlight w:val="none"/>
        </w:rPr>
      </w:pPr>
      <w:bookmarkStart w:id="60" w:name="_Toc21111"/>
      <w:bookmarkStart w:id="61" w:name="_Toc636"/>
      <w:r>
        <w:rPr>
          <w:rFonts w:hint="eastAsia" w:ascii="宋体" w:hAnsi="宋体" w:cs="宋体"/>
          <w:snapToGrid w:val="0"/>
          <w:color w:val="auto"/>
          <w:sz w:val="21"/>
          <w:szCs w:val="21"/>
          <w:highlight w:val="none"/>
        </w:rPr>
        <w:br w:type="page"/>
      </w:r>
    </w:p>
    <w:bookmarkEnd w:id="60"/>
    <w:bookmarkEnd w:id="61"/>
    <w:p w14:paraId="02FB27CD">
      <w:pPr>
        <w:pStyle w:val="3"/>
        <w:bidi w:val="0"/>
        <w:rPr>
          <w:color w:val="auto"/>
          <w:highlight w:val="none"/>
          <w:lang w:val="en-US" w:eastAsia="zh-CN"/>
        </w:rPr>
      </w:pPr>
      <w:bookmarkStart w:id="62" w:name="_Toc28684"/>
      <w:bookmarkStart w:id="63" w:name="_Toc18283"/>
      <w:bookmarkStart w:id="64" w:name="_Toc27234"/>
      <w:bookmarkStart w:id="65" w:name="_Toc150953074"/>
      <w:bookmarkStart w:id="66" w:name="_Toc6686"/>
      <w:bookmarkStart w:id="67" w:name="_Toc303066034"/>
      <w:bookmarkStart w:id="68" w:name="_Toc89675170"/>
      <w:r>
        <w:rPr>
          <w:rFonts w:hint="eastAsia"/>
          <w:color w:val="auto"/>
          <w:highlight w:val="none"/>
          <w:lang w:val="en-US" w:eastAsia="zh-CN"/>
        </w:rPr>
        <w:t>1. 评审方法</w:t>
      </w:r>
      <w:bookmarkEnd w:id="62"/>
      <w:bookmarkEnd w:id="63"/>
      <w:bookmarkEnd w:id="64"/>
    </w:p>
    <w:p w14:paraId="3942C35E">
      <w:pPr>
        <w:bidi w:val="0"/>
        <w:rPr>
          <w:color w:val="auto"/>
          <w:highlight w:val="none"/>
        </w:rPr>
      </w:pPr>
      <w:bookmarkStart w:id="69" w:name="_Toc200513199"/>
      <w:bookmarkStart w:id="70" w:name="_Toc376114120"/>
      <w:bookmarkStart w:id="71" w:name="_Toc377115419"/>
      <w:bookmarkStart w:id="72" w:name="_Toc330569206"/>
      <w:bookmarkStart w:id="73" w:name="_Toc287607813"/>
      <w:bookmarkStart w:id="74" w:name="_Toc277082619"/>
      <w:bookmarkStart w:id="75" w:name="_Toc407195379"/>
      <w:bookmarkStart w:id="76" w:name="_Toc224103385"/>
      <w:bookmarkStart w:id="77" w:name="_Toc287620752"/>
      <w:bookmarkStart w:id="78" w:name="_Toc377067339"/>
      <w:bookmarkStart w:id="79" w:name="_Toc440022827"/>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规定的评分标准进行打分，按得分由高到低顺序推荐中选候选人</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参选</w:t>
      </w:r>
      <w:r>
        <w:rPr>
          <w:rFonts w:hint="eastAsia"/>
          <w:color w:val="auto"/>
          <w:highlight w:val="none"/>
        </w:rPr>
        <w:t>报价低于其成本的除外。综合评分相等时，以</w:t>
      </w:r>
      <w:r>
        <w:rPr>
          <w:rFonts w:hint="eastAsia"/>
          <w:color w:val="auto"/>
          <w:highlight w:val="none"/>
          <w:lang w:eastAsia="zh-CN"/>
        </w:rPr>
        <w:t>参选</w:t>
      </w:r>
      <w:r>
        <w:rPr>
          <w:rFonts w:hint="eastAsia"/>
          <w:color w:val="auto"/>
          <w:highlight w:val="none"/>
        </w:rPr>
        <w:t>报价低的优先；</w:t>
      </w:r>
      <w:r>
        <w:rPr>
          <w:rFonts w:hint="eastAsia"/>
          <w:color w:val="auto"/>
          <w:highlight w:val="none"/>
          <w:lang w:eastAsia="zh-CN"/>
        </w:rPr>
        <w:t>参选</w:t>
      </w:r>
      <w:r>
        <w:rPr>
          <w:rFonts w:hint="eastAsia"/>
          <w:color w:val="auto"/>
          <w:highlight w:val="none"/>
        </w:rPr>
        <w:t>报价也相等的，由</w:t>
      </w:r>
      <w:r>
        <w:rPr>
          <w:rFonts w:hint="eastAsia"/>
          <w:color w:val="auto"/>
          <w:highlight w:val="none"/>
          <w:lang w:eastAsia="zh-CN"/>
        </w:rPr>
        <w:t>评审委员会</w:t>
      </w:r>
      <w:r>
        <w:rPr>
          <w:rFonts w:hint="eastAsia"/>
          <w:color w:val="auto"/>
          <w:highlight w:val="none"/>
        </w:rPr>
        <w:t>随机抽取确定。</w:t>
      </w:r>
    </w:p>
    <w:p w14:paraId="3DBA0B17">
      <w:pPr>
        <w:pStyle w:val="3"/>
        <w:bidi w:val="0"/>
        <w:rPr>
          <w:color w:val="auto"/>
          <w:highlight w:val="none"/>
          <w:lang w:val="en-US" w:eastAsia="zh-CN"/>
        </w:rPr>
      </w:pPr>
      <w:bookmarkStart w:id="80" w:name="_Toc5950"/>
      <w:bookmarkStart w:id="81" w:name="_Toc27931"/>
      <w:bookmarkStart w:id="82" w:name="_Toc16716"/>
      <w:bookmarkStart w:id="83" w:name="_Toc2274"/>
      <w:bookmarkStart w:id="84" w:name="_Toc31615"/>
      <w:bookmarkStart w:id="85" w:name="_Toc23969"/>
      <w:bookmarkStart w:id="86" w:name="_Toc765"/>
      <w:bookmarkStart w:id="87" w:name="_Toc444155968"/>
      <w:bookmarkStart w:id="88" w:name="_Toc27406"/>
      <w:r>
        <w:rPr>
          <w:rFonts w:hint="eastAsia"/>
          <w:color w:val="auto"/>
          <w:highlight w:val="none"/>
          <w:lang w:val="en-US" w:eastAsia="zh-CN"/>
        </w:rPr>
        <w:t>2. 评审标准</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BA50A80">
      <w:pPr>
        <w:pStyle w:val="4"/>
        <w:bidi w:val="0"/>
        <w:rPr>
          <w:color w:val="auto"/>
          <w:highlight w:val="none"/>
          <w:lang w:val="en-US" w:eastAsia="zh-CN"/>
        </w:rPr>
      </w:pPr>
      <w:bookmarkStart w:id="89" w:name="_Toc377115420"/>
      <w:bookmarkStart w:id="90" w:name="_Toc224103386"/>
      <w:bookmarkStart w:id="91" w:name="_Toc21593"/>
      <w:bookmarkStart w:id="92" w:name="_Toc7584"/>
      <w:bookmarkStart w:id="93" w:name="_Toc444155969"/>
      <w:bookmarkStart w:id="94" w:name="_Toc287607814"/>
      <w:bookmarkStart w:id="95" w:name="_Toc200513200"/>
      <w:bookmarkStart w:id="96" w:name="_Toc11839"/>
      <w:bookmarkStart w:id="97" w:name="_Toc440022828"/>
      <w:bookmarkStart w:id="98" w:name="_Toc377067340"/>
      <w:bookmarkStart w:id="99" w:name="_Toc10533"/>
      <w:bookmarkStart w:id="100" w:name="_Toc376114121"/>
      <w:bookmarkStart w:id="101" w:name="_Toc407195380"/>
      <w:bookmarkStart w:id="102" w:name="_Toc1358"/>
      <w:bookmarkStart w:id="103" w:name="_Toc16537"/>
      <w:bookmarkStart w:id="104" w:name="_Toc277082620"/>
      <w:bookmarkStart w:id="105" w:name="_Toc23425"/>
      <w:bookmarkStart w:id="106" w:name="_Toc330569207"/>
      <w:bookmarkStart w:id="107" w:name="_Toc287620753"/>
      <w:r>
        <w:rPr>
          <w:rFonts w:hint="eastAsia"/>
          <w:color w:val="auto"/>
          <w:highlight w:val="none"/>
          <w:lang w:val="en-US" w:eastAsia="zh-CN"/>
        </w:rPr>
        <w:t>2.1 初步评审标准</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D83EAFE">
      <w:pPr>
        <w:bidi w:val="0"/>
        <w:rPr>
          <w:color w:val="auto"/>
          <w:highlight w:val="none"/>
        </w:rPr>
      </w:pPr>
      <w:r>
        <w:rPr>
          <w:rFonts w:hint="eastAsia"/>
          <w:color w:val="auto"/>
          <w:highlight w:val="none"/>
        </w:rPr>
        <w:t xml:space="preserve">2.1.1 </w:t>
      </w:r>
      <w:r>
        <w:rPr>
          <w:rFonts w:hint="eastAsia"/>
          <w:color w:val="auto"/>
          <w:highlight w:val="none"/>
          <w:lang w:val="en-US" w:eastAsia="zh-CN"/>
        </w:rPr>
        <w:t>资格</w:t>
      </w:r>
      <w:r>
        <w:rPr>
          <w:rFonts w:hint="eastAsia"/>
          <w:color w:val="auto"/>
          <w:highlight w:val="none"/>
        </w:rPr>
        <w:t>评审标准：见评审办法前附表。</w:t>
      </w:r>
    </w:p>
    <w:p w14:paraId="33B199A3">
      <w:pPr>
        <w:bidi w:val="0"/>
        <w:rPr>
          <w:color w:val="auto"/>
          <w:highlight w:val="none"/>
        </w:rPr>
      </w:pPr>
      <w:r>
        <w:rPr>
          <w:rFonts w:hint="eastAsia"/>
          <w:color w:val="auto"/>
          <w:highlight w:val="none"/>
        </w:rPr>
        <w:t xml:space="preserve">2.1.2 </w:t>
      </w:r>
      <w:r>
        <w:rPr>
          <w:rFonts w:hint="eastAsia"/>
          <w:color w:val="auto"/>
          <w:highlight w:val="none"/>
          <w:lang w:val="en-US" w:eastAsia="zh-CN"/>
        </w:rPr>
        <w:t>形式</w:t>
      </w:r>
      <w:r>
        <w:rPr>
          <w:rFonts w:hint="eastAsia"/>
          <w:color w:val="auto"/>
          <w:highlight w:val="none"/>
        </w:rPr>
        <w:t>评审标准：见评审办法前附表。</w:t>
      </w:r>
    </w:p>
    <w:p w14:paraId="71579DEC">
      <w:pPr>
        <w:bidi w:val="0"/>
        <w:rPr>
          <w:color w:val="auto"/>
          <w:highlight w:val="none"/>
        </w:rPr>
      </w:pPr>
      <w:r>
        <w:rPr>
          <w:rFonts w:hint="eastAsia"/>
          <w:color w:val="auto"/>
          <w:highlight w:val="none"/>
        </w:rPr>
        <w:t>2.1.3 响应性评审标准：见评审办法前附表。</w:t>
      </w:r>
    </w:p>
    <w:p w14:paraId="7B353012">
      <w:pPr>
        <w:pStyle w:val="4"/>
        <w:bidi w:val="0"/>
        <w:rPr>
          <w:color w:val="auto"/>
          <w:highlight w:val="none"/>
          <w:lang w:val="en-US" w:eastAsia="zh-CN"/>
        </w:rPr>
      </w:pPr>
      <w:bookmarkStart w:id="108" w:name="_Toc287620754"/>
      <w:bookmarkStart w:id="109" w:name="_Toc23296"/>
      <w:bookmarkStart w:id="110" w:name="_Toc224103387"/>
      <w:bookmarkStart w:id="111" w:name="_Toc440022829"/>
      <w:bookmarkStart w:id="112" w:name="_Toc377067341"/>
      <w:bookmarkStart w:id="113" w:name="_Toc444155970"/>
      <w:bookmarkStart w:id="114" w:name="_Toc1387"/>
      <w:bookmarkStart w:id="115" w:name="_Toc20840"/>
      <w:bookmarkStart w:id="116" w:name="_Toc330569208"/>
      <w:bookmarkStart w:id="117" w:name="_Toc407195381"/>
      <w:bookmarkStart w:id="118" w:name="_Toc200513201"/>
      <w:bookmarkStart w:id="119" w:name="_Toc277082621"/>
      <w:bookmarkStart w:id="120" w:name="_Toc9090"/>
      <w:bookmarkStart w:id="121" w:name="_Toc287607815"/>
      <w:bookmarkStart w:id="122" w:name="_Toc25129"/>
      <w:bookmarkStart w:id="123" w:name="_Toc6503"/>
      <w:bookmarkStart w:id="124" w:name="_Toc2340"/>
      <w:bookmarkStart w:id="125" w:name="_Toc376114122"/>
      <w:bookmarkStart w:id="126" w:name="_Toc377115421"/>
      <w:r>
        <w:rPr>
          <w:rFonts w:hint="eastAsia"/>
          <w:color w:val="auto"/>
          <w:highlight w:val="none"/>
          <w:lang w:val="en-US" w:eastAsia="zh-CN"/>
        </w:rPr>
        <w:t>2.2 分值构成与评分标准</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1B2DF86">
      <w:pPr>
        <w:bidi w:val="0"/>
        <w:rPr>
          <w:color w:val="auto"/>
          <w:highlight w:val="none"/>
        </w:rPr>
      </w:pPr>
      <w:r>
        <w:rPr>
          <w:rFonts w:hint="eastAsia"/>
          <w:color w:val="auto"/>
          <w:highlight w:val="none"/>
        </w:rPr>
        <w:t xml:space="preserve">2.2.1 分值构成：见评审办法前附表。 </w:t>
      </w:r>
    </w:p>
    <w:p w14:paraId="1D2807C4">
      <w:pPr>
        <w:bidi w:val="0"/>
        <w:rPr>
          <w:color w:val="auto"/>
          <w:highlight w:val="none"/>
        </w:rPr>
      </w:pPr>
      <w:r>
        <w:rPr>
          <w:rFonts w:hint="eastAsia"/>
          <w:color w:val="auto"/>
          <w:highlight w:val="none"/>
        </w:rPr>
        <w:t>2.2.2 评审基准价计算方法：见评审办法前附表。</w:t>
      </w:r>
    </w:p>
    <w:p w14:paraId="2FA2F878">
      <w:pPr>
        <w:bidi w:val="0"/>
        <w:rPr>
          <w:color w:val="auto"/>
          <w:highlight w:val="none"/>
        </w:rPr>
      </w:pPr>
      <w:r>
        <w:rPr>
          <w:rFonts w:hint="eastAsia"/>
          <w:color w:val="auto"/>
          <w:highlight w:val="none"/>
        </w:rPr>
        <w:t>2.2.3 评分标准：</w:t>
      </w:r>
    </w:p>
    <w:p w14:paraId="5CA62571">
      <w:pPr>
        <w:bidi w:val="0"/>
        <w:rPr>
          <w:color w:val="auto"/>
          <w:highlight w:val="none"/>
        </w:rPr>
      </w:pPr>
      <w:r>
        <w:rPr>
          <w:rFonts w:hint="eastAsia"/>
          <w:color w:val="auto"/>
          <w:highlight w:val="none"/>
        </w:rPr>
        <w:t>（1）</w:t>
      </w:r>
      <w:r>
        <w:rPr>
          <w:rFonts w:hint="eastAsia"/>
          <w:color w:val="auto"/>
          <w:highlight w:val="none"/>
          <w:lang w:eastAsia="zh-CN"/>
        </w:rPr>
        <w:t>参选</w:t>
      </w:r>
      <w:r>
        <w:rPr>
          <w:rFonts w:hint="eastAsia"/>
          <w:color w:val="auto"/>
          <w:highlight w:val="none"/>
        </w:rPr>
        <w:t>报价评分标准：见评审办法前附表；</w:t>
      </w:r>
    </w:p>
    <w:p w14:paraId="6CB785DC">
      <w:pPr>
        <w:bidi w:val="0"/>
        <w:rPr>
          <w:rFonts w:hint="eastAsia"/>
          <w:color w:val="auto"/>
          <w:highlight w:val="none"/>
        </w:rPr>
      </w:pPr>
      <w:r>
        <w:rPr>
          <w:rFonts w:hint="eastAsia"/>
          <w:color w:val="auto"/>
          <w:highlight w:val="none"/>
        </w:rPr>
        <w:t>（2）商务部分评分标准：见评审办法前附表；</w:t>
      </w:r>
    </w:p>
    <w:p w14:paraId="22FCDB52">
      <w:pPr>
        <w:bidi w:val="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0987AADD">
      <w:pPr>
        <w:pStyle w:val="3"/>
        <w:bidi w:val="0"/>
        <w:rPr>
          <w:color w:val="auto"/>
          <w:highlight w:val="none"/>
          <w:lang w:val="en-US" w:eastAsia="zh-CN"/>
        </w:rPr>
      </w:pPr>
      <w:bookmarkStart w:id="127" w:name="_Toc224103388"/>
      <w:bookmarkStart w:id="128" w:name="_Toc377067342"/>
      <w:bookmarkStart w:id="129" w:name="_Toc14353"/>
      <w:bookmarkStart w:id="130" w:name="_Toc8004"/>
      <w:bookmarkStart w:id="131" w:name="_Toc2982"/>
      <w:bookmarkStart w:id="132" w:name="_Toc287620755"/>
      <w:bookmarkStart w:id="133" w:name="_Toc200513202"/>
      <w:bookmarkStart w:id="134" w:name="_Toc376114123"/>
      <w:bookmarkStart w:id="135" w:name="_Toc440022830"/>
      <w:bookmarkStart w:id="136" w:name="_Toc5546"/>
      <w:bookmarkStart w:id="137" w:name="_Toc15132"/>
      <w:bookmarkStart w:id="138" w:name="_Toc287607816"/>
      <w:bookmarkStart w:id="139" w:name="_Toc444155971"/>
      <w:bookmarkStart w:id="140" w:name="_Toc23633"/>
      <w:bookmarkStart w:id="141" w:name="_Toc277082622"/>
      <w:bookmarkStart w:id="142" w:name="_Toc9488"/>
      <w:bookmarkStart w:id="143" w:name="_Toc407195382"/>
      <w:bookmarkStart w:id="144" w:name="_Toc330569209"/>
      <w:bookmarkStart w:id="145" w:name="_Toc377115422"/>
      <w:bookmarkStart w:id="146" w:name="_Toc12538"/>
      <w:r>
        <w:rPr>
          <w:rFonts w:hint="eastAsia"/>
          <w:color w:val="auto"/>
          <w:highlight w:val="none"/>
          <w:lang w:val="en-US" w:eastAsia="zh-CN"/>
        </w:rPr>
        <w:t>3. 评审程序</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3FC19357">
      <w:pPr>
        <w:pStyle w:val="4"/>
        <w:bidi w:val="0"/>
        <w:rPr>
          <w:color w:val="auto"/>
          <w:highlight w:val="none"/>
          <w:lang w:val="en-US" w:eastAsia="zh-CN"/>
        </w:rPr>
      </w:pPr>
      <w:bookmarkStart w:id="147" w:name="_Toc9683"/>
      <w:bookmarkStart w:id="148" w:name="_Toc19840"/>
      <w:bookmarkStart w:id="149" w:name="_Toc277082623"/>
      <w:bookmarkStart w:id="150" w:name="_Toc200513203"/>
      <w:bookmarkStart w:id="151" w:name="_Toc32002"/>
      <w:bookmarkStart w:id="152" w:name="_Toc13851"/>
      <w:bookmarkStart w:id="153" w:name="_Toc444155972"/>
      <w:bookmarkStart w:id="154" w:name="_Toc287620756"/>
      <w:bookmarkStart w:id="155" w:name="_Toc287607817"/>
      <w:bookmarkStart w:id="156" w:name="_Toc224103389"/>
      <w:bookmarkStart w:id="157" w:name="_Toc22279"/>
      <w:bookmarkStart w:id="158" w:name="_Toc6448"/>
      <w:bookmarkStart w:id="159" w:name="_Toc407195383"/>
      <w:bookmarkStart w:id="160" w:name="_Toc330569210"/>
      <w:bookmarkStart w:id="161" w:name="_Toc377115423"/>
      <w:bookmarkStart w:id="162" w:name="_Toc440022831"/>
      <w:bookmarkStart w:id="163" w:name="_Toc377067343"/>
      <w:bookmarkStart w:id="164" w:name="_Toc376114124"/>
      <w:bookmarkStart w:id="165" w:name="_Toc5462"/>
      <w:r>
        <w:rPr>
          <w:rFonts w:hint="eastAsia"/>
          <w:color w:val="auto"/>
          <w:highlight w:val="none"/>
          <w:lang w:val="en-US" w:eastAsia="zh-CN"/>
        </w:rPr>
        <w:t>3.1 初步评审</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6E803579">
      <w:pPr>
        <w:bidi w:val="0"/>
        <w:rPr>
          <w:color w:val="auto"/>
          <w:highlight w:val="none"/>
        </w:rPr>
      </w:pPr>
      <w:bookmarkStart w:id="166" w:name="_Toc331232649"/>
      <w:bookmarkStart w:id="167" w:name="_Toc376114125"/>
      <w:bookmarkStart w:id="168" w:name="_Toc334002333"/>
      <w:bookmarkStart w:id="169" w:name="_Toc377067344"/>
      <w:bookmarkStart w:id="170" w:name="_Toc330569211"/>
      <w:bookmarkStart w:id="171" w:name="_Toc407195384"/>
      <w:bookmarkStart w:id="172" w:name="_Toc444155973"/>
      <w:bookmarkStart w:id="173" w:name="_Toc27164"/>
      <w:bookmarkStart w:id="174" w:name="_Toc373264792"/>
      <w:bookmarkStart w:id="175" w:name="_Toc356484119"/>
      <w:bookmarkStart w:id="176" w:name="_Toc354387014"/>
      <w:bookmarkStart w:id="177" w:name="_Toc440022832"/>
      <w:bookmarkStart w:id="178" w:name="_Toc331232467"/>
      <w:bookmarkStart w:id="179" w:name="_Toc332380970"/>
      <w:bookmarkStart w:id="180" w:name="_Toc332028970"/>
      <w:bookmarkStart w:id="181" w:name="_Toc373172234"/>
      <w:bookmarkStart w:id="182" w:name="_Toc356243677"/>
      <w:bookmarkStart w:id="183" w:name="_Toc377115424"/>
      <w:bookmarkStart w:id="184" w:name="_Toc332015984"/>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进行初步评审。有一项不符合评审标准的，作</w:t>
      </w:r>
      <w:r>
        <w:rPr>
          <w:rFonts w:hint="eastAsia"/>
          <w:color w:val="auto"/>
          <w:highlight w:val="none"/>
          <w:lang w:eastAsia="zh-CN"/>
        </w:rPr>
        <w:t>否决参选</w:t>
      </w:r>
      <w:r>
        <w:rPr>
          <w:rFonts w:hint="eastAsia"/>
          <w:color w:val="auto"/>
          <w:highlight w:val="none"/>
        </w:rPr>
        <w:t>处理。</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1FBF4E1B">
      <w:pPr>
        <w:bidi w:val="0"/>
        <w:rPr>
          <w:color w:val="auto"/>
          <w:highlight w:val="none"/>
        </w:rPr>
      </w:pPr>
      <w:r>
        <w:rPr>
          <w:rFonts w:hint="eastAsia"/>
          <w:color w:val="auto"/>
          <w:highlight w:val="none"/>
        </w:rPr>
        <w:t xml:space="preserve">3.1.2 </w:t>
      </w:r>
      <w:r>
        <w:rPr>
          <w:rFonts w:hint="eastAsia"/>
          <w:color w:val="auto"/>
          <w:highlight w:val="none"/>
          <w:lang w:eastAsia="zh-CN"/>
        </w:rPr>
        <w:t>参选人</w:t>
      </w:r>
      <w:r>
        <w:rPr>
          <w:rFonts w:hint="eastAsia"/>
          <w:color w:val="auto"/>
          <w:highlight w:val="none"/>
        </w:rPr>
        <w:t>有以下情形之一的，其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p>
    <w:p w14:paraId="3CC933B3">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参选人</w:t>
      </w:r>
      <w:r>
        <w:rPr>
          <w:rFonts w:hint="eastAsia"/>
          <w:color w:val="auto"/>
          <w:highlight w:val="none"/>
        </w:rPr>
        <w:t>须知”第</w:t>
      </w:r>
      <w:r>
        <w:rPr>
          <w:rFonts w:hint="eastAsia"/>
          <w:color w:val="auto"/>
          <w:highlight w:val="none"/>
          <w:lang w:val="en-US" w:eastAsia="zh-CN"/>
        </w:rPr>
        <w:t>9.条以及第11. 条</w:t>
      </w:r>
      <w:r>
        <w:rPr>
          <w:rFonts w:hint="eastAsia"/>
          <w:color w:val="auto"/>
          <w:highlight w:val="none"/>
        </w:rPr>
        <w:t>规定的任何一种情形的；</w:t>
      </w:r>
    </w:p>
    <w:p w14:paraId="3A2C6C72">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25553A31">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4C41EC60">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参选文件</w:t>
      </w:r>
      <w:r>
        <w:rPr>
          <w:rFonts w:hint="eastAsia"/>
          <w:color w:val="auto"/>
          <w:highlight w:val="none"/>
        </w:rPr>
        <w:t>约定的其它情形。</w:t>
      </w:r>
    </w:p>
    <w:p w14:paraId="68D4287F">
      <w:pPr>
        <w:bidi w:val="0"/>
        <w:rPr>
          <w:color w:val="auto"/>
          <w:highlight w:val="none"/>
        </w:rPr>
      </w:pPr>
      <w:r>
        <w:rPr>
          <w:rFonts w:hint="eastAsia"/>
          <w:color w:val="auto"/>
          <w:highlight w:val="none"/>
        </w:rPr>
        <w:t xml:space="preserve">3.1.3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55883017">
      <w:pPr>
        <w:pStyle w:val="4"/>
        <w:bidi w:val="0"/>
        <w:rPr>
          <w:color w:val="auto"/>
          <w:highlight w:val="none"/>
          <w:lang w:val="en-US" w:eastAsia="zh-CN"/>
        </w:rPr>
      </w:pPr>
      <w:bookmarkStart w:id="185" w:name="_Toc277082624"/>
      <w:bookmarkStart w:id="186" w:name="_Toc377115425"/>
      <w:bookmarkStart w:id="187" w:name="_Toc287620757"/>
      <w:bookmarkStart w:id="188" w:name="_Toc19604"/>
      <w:bookmarkStart w:id="189" w:name="_Toc10847"/>
      <w:bookmarkStart w:id="190" w:name="_Toc11246"/>
      <w:bookmarkStart w:id="191" w:name="_Toc22848"/>
      <w:bookmarkStart w:id="192" w:name="_Toc22246"/>
      <w:bookmarkStart w:id="193" w:name="_Toc376114126"/>
      <w:bookmarkStart w:id="194" w:name="_Toc29925"/>
      <w:bookmarkStart w:id="195" w:name="_Toc444155974"/>
      <w:bookmarkStart w:id="196" w:name="_Toc377067345"/>
      <w:bookmarkStart w:id="197" w:name="_Toc330569212"/>
      <w:bookmarkStart w:id="198" w:name="_Toc287607818"/>
      <w:bookmarkStart w:id="199" w:name="_Toc440022833"/>
      <w:bookmarkStart w:id="200" w:name="_Toc224103390"/>
      <w:bookmarkStart w:id="201" w:name="_Toc200513204"/>
      <w:bookmarkStart w:id="202" w:name="_Toc7832"/>
      <w:bookmarkStart w:id="203" w:name="_Toc407195385"/>
      <w:r>
        <w:rPr>
          <w:rFonts w:hint="eastAsia"/>
          <w:color w:val="auto"/>
          <w:highlight w:val="none"/>
          <w:lang w:val="en-US" w:eastAsia="zh-CN"/>
        </w:rPr>
        <w:t>3.2 详细评审</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0568532">
      <w:pPr>
        <w:bidi w:val="0"/>
        <w:rPr>
          <w:color w:val="auto"/>
          <w:highlight w:val="none"/>
        </w:rPr>
      </w:pPr>
      <w:r>
        <w:rPr>
          <w:rFonts w:hint="eastAsia"/>
          <w:color w:val="auto"/>
          <w:highlight w:val="none"/>
        </w:rPr>
        <w:t xml:space="preserve">3.2.1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34F78075">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参选</w:t>
      </w:r>
      <w:r>
        <w:rPr>
          <w:rFonts w:hint="eastAsia"/>
          <w:color w:val="auto"/>
          <w:highlight w:val="none"/>
        </w:rPr>
        <w:t>报价计算出得分；</w:t>
      </w:r>
    </w:p>
    <w:p w14:paraId="42620ECC">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1BA3FA9C">
      <w:pPr>
        <w:bidi w:val="0"/>
        <w:rPr>
          <w:color w:val="auto"/>
          <w:highlight w:val="none"/>
        </w:rPr>
      </w:pPr>
      <w:r>
        <w:rPr>
          <w:rFonts w:hint="eastAsia"/>
          <w:color w:val="auto"/>
          <w:highlight w:val="none"/>
        </w:rPr>
        <w:t>3.2.2 评分分值计算保留小数点后两位，小数点后第三位“四舍五入”。</w:t>
      </w:r>
    </w:p>
    <w:p w14:paraId="1FCB98A2">
      <w:pPr>
        <w:bidi w:val="0"/>
        <w:rPr>
          <w:color w:val="auto"/>
          <w:highlight w:val="none"/>
        </w:rPr>
      </w:pPr>
      <w:r>
        <w:rPr>
          <w:rFonts w:hint="eastAsia"/>
          <w:color w:val="auto"/>
          <w:highlight w:val="none"/>
        </w:rPr>
        <w:t xml:space="preserve">3.2.3 </w:t>
      </w:r>
      <w:r>
        <w:rPr>
          <w:rFonts w:hint="eastAsia"/>
          <w:color w:val="auto"/>
          <w:highlight w:val="none"/>
          <w:lang w:eastAsia="zh-CN"/>
        </w:rPr>
        <w:t>参选人</w:t>
      </w:r>
      <w:r>
        <w:rPr>
          <w:rFonts w:hint="eastAsia"/>
          <w:color w:val="auto"/>
          <w:highlight w:val="none"/>
        </w:rPr>
        <w:t>得分=</w:t>
      </w:r>
      <w:r>
        <w:rPr>
          <w:rFonts w:hint="eastAsia"/>
          <w:color w:val="auto"/>
          <w:highlight w:val="none"/>
          <w:lang w:eastAsia="zh-CN"/>
        </w:rPr>
        <w:t>参选</w:t>
      </w:r>
      <w:r>
        <w:rPr>
          <w:rFonts w:hint="eastAsia"/>
          <w:color w:val="auto"/>
          <w:highlight w:val="none"/>
        </w:rPr>
        <w:t>报价得分+商务部分得分</w:t>
      </w:r>
      <w:r>
        <w:rPr>
          <w:rFonts w:hint="eastAsia"/>
          <w:color w:val="auto"/>
          <w:highlight w:val="none"/>
          <w:lang w:val="en-US" w:eastAsia="zh-CN"/>
        </w:rPr>
        <w:t>+技术部分得分</w:t>
      </w:r>
      <w:r>
        <w:rPr>
          <w:rFonts w:hint="eastAsia"/>
          <w:color w:val="auto"/>
          <w:highlight w:val="none"/>
        </w:rPr>
        <w:t>。</w:t>
      </w:r>
    </w:p>
    <w:p w14:paraId="0CE24600">
      <w:pPr>
        <w:pStyle w:val="4"/>
        <w:bidi w:val="0"/>
        <w:rPr>
          <w:color w:val="auto"/>
          <w:highlight w:val="none"/>
          <w:lang w:val="en-US" w:eastAsia="zh-CN"/>
        </w:rPr>
      </w:pPr>
      <w:bookmarkStart w:id="204" w:name="_Toc377115426"/>
      <w:bookmarkStart w:id="205" w:name="_Toc29261"/>
      <w:bookmarkStart w:id="206" w:name="_Toc287620758"/>
      <w:bookmarkStart w:id="207" w:name="_Toc330569213"/>
      <w:bookmarkStart w:id="208" w:name="_Toc18708"/>
      <w:bookmarkStart w:id="209" w:name="_Toc1080"/>
      <w:bookmarkStart w:id="210" w:name="_Toc376114127"/>
      <w:bookmarkStart w:id="211" w:name="_Toc277082625"/>
      <w:bookmarkStart w:id="212" w:name="_Toc440022834"/>
      <w:bookmarkStart w:id="213" w:name="_Toc377067346"/>
      <w:bookmarkStart w:id="214" w:name="_Toc444155975"/>
      <w:bookmarkStart w:id="215" w:name="_Toc2542"/>
      <w:bookmarkStart w:id="216" w:name="_Toc7176"/>
      <w:bookmarkStart w:id="217" w:name="_Toc407195386"/>
      <w:bookmarkStart w:id="218" w:name="_Toc287607819"/>
      <w:bookmarkStart w:id="219" w:name="_Toc200513205"/>
      <w:bookmarkStart w:id="220" w:name="_Toc20948"/>
      <w:bookmarkStart w:id="221" w:name="_Toc224103391"/>
      <w:bookmarkStart w:id="222" w:name="_Toc32039"/>
      <w:r>
        <w:rPr>
          <w:rFonts w:hint="eastAsia"/>
          <w:color w:val="auto"/>
          <w:highlight w:val="none"/>
          <w:lang w:val="en-US" w:eastAsia="zh-CN"/>
        </w:rPr>
        <w:t>3.3 参选文件的澄清和补正</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076B1391">
      <w:pPr>
        <w:bidi w:val="0"/>
        <w:rPr>
          <w:color w:val="auto"/>
          <w:highlight w:val="none"/>
        </w:rPr>
      </w:pPr>
      <w:r>
        <w:rPr>
          <w:rFonts w:hint="eastAsia"/>
          <w:color w:val="auto"/>
          <w:highlight w:val="none"/>
        </w:rPr>
        <w:t>3.3.1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参选人</w:t>
      </w:r>
      <w:r>
        <w:rPr>
          <w:rFonts w:hint="eastAsia"/>
          <w:color w:val="auto"/>
          <w:highlight w:val="none"/>
        </w:rPr>
        <w:t>主动提出的澄清、说明或补正。</w:t>
      </w:r>
    </w:p>
    <w:p w14:paraId="534496D9">
      <w:pPr>
        <w:bidi w:val="0"/>
        <w:rPr>
          <w:color w:val="auto"/>
          <w:highlight w:val="none"/>
        </w:rPr>
      </w:pPr>
      <w:r>
        <w:rPr>
          <w:rFonts w:hint="eastAsia"/>
          <w:color w:val="auto"/>
          <w:highlight w:val="none"/>
        </w:rPr>
        <w:t>3.3.2 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64BA5E2C">
      <w:pPr>
        <w:bidi w:val="0"/>
        <w:rPr>
          <w:color w:val="auto"/>
          <w:highlight w:val="none"/>
        </w:rPr>
      </w:pPr>
      <w:r>
        <w:rPr>
          <w:rFonts w:hint="eastAsia"/>
          <w:color w:val="auto"/>
          <w:highlight w:val="none"/>
        </w:rPr>
        <w:t xml:space="preserve">3.3.3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2425B6E4">
      <w:pPr>
        <w:pStyle w:val="4"/>
        <w:bidi w:val="0"/>
        <w:rPr>
          <w:color w:val="auto"/>
          <w:highlight w:val="none"/>
          <w:lang w:val="en-US" w:eastAsia="zh-CN"/>
        </w:rPr>
      </w:pPr>
      <w:bookmarkStart w:id="223" w:name="_Toc287607820"/>
      <w:bookmarkStart w:id="224" w:name="_Toc21450"/>
      <w:bookmarkStart w:id="225" w:name="_Toc30672"/>
      <w:bookmarkStart w:id="226" w:name="_Toc31270"/>
      <w:bookmarkStart w:id="227" w:name="_Toc330569214"/>
      <w:bookmarkStart w:id="228" w:name="_Toc6310"/>
      <w:bookmarkStart w:id="229" w:name="_Toc14840"/>
      <w:bookmarkStart w:id="230" w:name="_Toc224103392"/>
      <w:bookmarkStart w:id="231" w:name="_Toc287620759"/>
      <w:bookmarkStart w:id="232" w:name="_Toc377115427"/>
      <w:bookmarkStart w:id="233" w:name="_Toc444155976"/>
      <w:bookmarkStart w:id="234" w:name="_Toc440022835"/>
      <w:bookmarkStart w:id="235" w:name="_Toc19054"/>
      <w:bookmarkStart w:id="236" w:name="_Toc376114128"/>
      <w:bookmarkStart w:id="237" w:name="_Toc277082626"/>
      <w:bookmarkStart w:id="238" w:name="_Toc200513206"/>
      <w:bookmarkStart w:id="239" w:name="_Toc407195387"/>
      <w:bookmarkStart w:id="240" w:name="_Toc4814"/>
      <w:bookmarkStart w:id="241" w:name="_Toc377067347"/>
      <w:r>
        <w:rPr>
          <w:rFonts w:hint="eastAsia"/>
          <w:color w:val="auto"/>
          <w:highlight w:val="none"/>
          <w:lang w:val="en-US" w:eastAsia="zh-CN"/>
        </w:rPr>
        <w:t>3.4 评审结果</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5A2AE2B4">
      <w:pPr>
        <w:bidi w:val="0"/>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按照得分由高到低的顺序推荐中选候选人。</w:t>
      </w:r>
    </w:p>
    <w:p w14:paraId="07B6FCC3">
      <w:pPr>
        <w:bidi w:val="0"/>
        <w:rPr>
          <w:rFonts w:hint="eastAsia"/>
          <w:color w:val="auto"/>
          <w:highlight w:val="none"/>
        </w:rPr>
      </w:pPr>
      <w:r>
        <w:rPr>
          <w:rFonts w:hint="eastAsia"/>
          <w:color w:val="auto"/>
          <w:highlight w:val="none"/>
        </w:rPr>
        <w:t xml:space="preserve">3.4.2 </w:t>
      </w:r>
      <w:r>
        <w:rPr>
          <w:rFonts w:hint="eastAsia"/>
          <w:color w:val="auto"/>
          <w:highlight w:val="none"/>
          <w:lang w:eastAsia="zh-CN"/>
        </w:rPr>
        <w:t>评审委员会</w:t>
      </w:r>
      <w:r>
        <w:rPr>
          <w:rFonts w:hint="eastAsia"/>
          <w:color w:val="auto"/>
          <w:highlight w:val="none"/>
        </w:rPr>
        <w:t>完成评审后，应当向比选人提交书面评审报告。</w:t>
      </w:r>
    </w:p>
    <w:p w14:paraId="2D73B87F">
      <w:pPr>
        <w:rPr>
          <w:color w:val="auto"/>
          <w:highlight w:val="none"/>
        </w:rPr>
      </w:pPr>
      <w:r>
        <w:rPr>
          <w:rFonts w:hint="eastAsia"/>
          <w:color w:val="auto"/>
          <w:highlight w:val="none"/>
          <w:lang w:val="en-US" w:eastAsia="zh-CN"/>
        </w:rPr>
        <w:t>3.4.3 有效参选不足两个的，</w:t>
      </w:r>
      <w:r>
        <w:rPr>
          <w:rFonts w:hint="eastAsia" w:ascii="Cambria Math" w:cs="Cambria Math"/>
          <w:snapToGrid/>
          <w:color w:val="auto"/>
          <w:kern w:val="2"/>
          <w:sz w:val="24"/>
          <w:szCs w:val="20"/>
          <w:highlight w:val="none"/>
        </w:rPr>
        <w:t>经评审</w:t>
      </w:r>
      <w:r>
        <w:rPr>
          <w:rFonts w:hint="eastAsia" w:cs="Cambria Math"/>
          <w:snapToGrid/>
          <w:color w:val="auto"/>
          <w:kern w:val="2"/>
          <w:sz w:val="24"/>
          <w:szCs w:val="20"/>
          <w:highlight w:val="none"/>
          <w:lang w:val="en-US" w:eastAsia="zh-CN"/>
        </w:rPr>
        <w:t>委员会</w:t>
      </w:r>
      <w:r>
        <w:rPr>
          <w:rFonts w:hint="eastAsia" w:ascii="Cambria Math" w:cs="Cambria Math"/>
          <w:snapToGrid/>
          <w:color w:val="auto"/>
          <w:kern w:val="2"/>
          <w:sz w:val="24"/>
          <w:szCs w:val="20"/>
          <w:highlight w:val="none"/>
        </w:rPr>
        <w:t>判定，</w:t>
      </w:r>
      <w:r>
        <w:rPr>
          <w:rFonts w:hint="eastAsia" w:ascii="Cambria Math" w:cs="Cambria Math"/>
          <w:snapToGrid/>
          <w:color w:val="auto"/>
          <w:kern w:val="2"/>
          <w:sz w:val="24"/>
          <w:szCs w:val="20"/>
          <w:highlight w:val="none"/>
          <w:lang w:val="en-US" w:eastAsia="zh-CN"/>
        </w:rPr>
        <w:t>参选人</w:t>
      </w:r>
      <w:r>
        <w:rPr>
          <w:rFonts w:hint="eastAsia" w:ascii="Cambria Math" w:cs="Cambria Math"/>
          <w:snapToGrid/>
          <w:color w:val="auto"/>
          <w:kern w:val="2"/>
          <w:sz w:val="24"/>
          <w:szCs w:val="20"/>
          <w:highlight w:val="none"/>
        </w:rPr>
        <w:t>具有相对行业竞争力的，可继续进行评审</w:t>
      </w:r>
      <w:r>
        <w:rPr>
          <w:rFonts w:hint="eastAsia"/>
          <w:color w:val="auto"/>
          <w:highlight w:val="none"/>
          <w:lang w:val="en-US" w:eastAsia="zh-CN"/>
        </w:rPr>
        <w:t>。</w:t>
      </w:r>
    </w:p>
    <w:p w14:paraId="10C225BB">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52C02E7B">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CA38270">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4AC70A84">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4B9C86FE">
      <w:pPr>
        <w:bidi w:val="0"/>
        <w:rPr>
          <w:color w:val="auto"/>
          <w:highlight w:val="none"/>
        </w:rPr>
      </w:pPr>
    </w:p>
    <w:p w14:paraId="20C3DD3E">
      <w:pPr>
        <w:bidi w:val="0"/>
        <w:rPr>
          <w:rFonts w:hint="eastAsia"/>
          <w:color w:val="auto"/>
          <w:highlight w:val="none"/>
        </w:rPr>
      </w:pPr>
      <w:r>
        <w:rPr>
          <w:rFonts w:hint="eastAsia"/>
          <w:color w:val="auto"/>
          <w:highlight w:val="none"/>
        </w:rPr>
        <w:br w:type="page"/>
      </w:r>
    </w:p>
    <w:p w14:paraId="0B5F821F">
      <w:pPr>
        <w:pStyle w:val="2"/>
        <w:bidi w:val="0"/>
        <w:rPr>
          <w:color w:val="auto"/>
          <w:highlight w:val="none"/>
        </w:rPr>
      </w:pPr>
      <w:bookmarkStart w:id="242" w:name="_Toc28101"/>
      <w:r>
        <w:rPr>
          <w:rFonts w:hint="eastAsia"/>
          <w:color w:val="auto"/>
          <w:highlight w:val="none"/>
        </w:rPr>
        <w:t>第</w:t>
      </w:r>
      <w:r>
        <w:rPr>
          <w:rFonts w:hint="eastAsia"/>
          <w:color w:val="auto"/>
          <w:highlight w:val="none"/>
          <w:lang w:val="en-US" w:eastAsia="zh-CN"/>
        </w:rPr>
        <w:t>五</w:t>
      </w:r>
      <w:r>
        <w:rPr>
          <w:rFonts w:hint="eastAsia"/>
          <w:color w:val="auto"/>
          <w:highlight w:val="none"/>
        </w:rPr>
        <w:t>章 合同</w:t>
      </w:r>
      <w:r>
        <w:rPr>
          <w:color w:val="auto"/>
          <w:highlight w:val="none"/>
        </w:rPr>
        <w:t>模板</w:t>
      </w:r>
      <w:bookmarkEnd w:id="65"/>
      <w:bookmarkEnd w:id="66"/>
      <w:bookmarkEnd w:id="242"/>
    </w:p>
    <w:p w14:paraId="510952BA">
      <w:pPr>
        <w:keepNext w:val="0"/>
        <w:keepLines w:val="0"/>
        <w:pageBreakBefore w:val="0"/>
        <w:widowControl w:val="0"/>
        <w:kinsoku/>
        <w:wordWrap/>
        <w:overflowPunct/>
        <w:topLinePunct w:val="0"/>
        <w:autoSpaceDE w:val="0"/>
        <w:autoSpaceDN w:val="0"/>
        <w:bidi w:val="0"/>
        <w:adjustRightInd/>
        <w:snapToGrid/>
        <w:ind w:left="0" w:right="0" w:firstLine="0" w:firstLineChars="0"/>
        <w:jc w:val="center"/>
        <w:textAlignment w:val="auto"/>
        <w:rPr>
          <w:rFonts w:hint="eastAsia"/>
          <w:color w:val="auto"/>
          <w:highlight w:val="none"/>
          <w:lang w:val="en-US" w:eastAsia="zh-CN"/>
        </w:rPr>
      </w:pPr>
      <w:r>
        <w:rPr>
          <w:rFonts w:hint="eastAsia"/>
          <w:color w:val="auto"/>
          <w:highlight w:val="none"/>
          <w:lang w:val="en-US" w:eastAsia="zh-CN"/>
        </w:rPr>
        <w:t>（本章节的合同条款及格式仅供参考，具体以合同签订时为准）</w:t>
      </w:r>
    </w:p>
    <w:p w14:paraId="282E14AF">
      <w:pPr>
        <w:wordWrap/>
        <w:autoSpaceDE w:val="0"/>
        <w:autoSpaceDN w:val="0"/>
        <w:spacing w:line="240" w:lineRule="auto"/>
        <w:ind w:left="0" w:firstLine="0" w:firstLineChars="0"/>
        <w:jc w:val="left"/>
        <w:rPr>
          <w:rFonts w:hint="eastAsia" w:ascii="黑体" w:eastAsia="黑体"/>
          <w:color w:val="auto"/>
          <w:sz w:val="44"/>
          <w:szCs w:val="44"/>
          <w:highlight w:val="none"/>
        </w:rPr>
      </w:pPr>
    </w:p>
    <w:p w14:paraId="3F3BB6B3">
      <w:pPr>
        <w:spacing w:line="360" w:lineRule="auto"/>
        <w:jc w:val="center"/>
        <w:outlineLvl w:val="9"/>
        <w:rPr>
          <w:rFonts w:hint="eastAsia" w:ascii="黑体" w:eastAsia="黑体"/>
          <w:color w:val="auto"/>
          <w:sz w:val="44"/>
          <w:szCs w:val="44"/>
          <w:highlight w:val="none"/>
        </w:rPr>
      </w:pPr>
      <w:r>
        <w:rPr>
          <w:rFonts w:hint="eastAsia" w:ascii="黑体" w:eastAsia="黑体"/>
          <w:color w:val="auto"/>
          <w:sz w:val="44"/>
          <w:szCs w:val="44"/>
          <w:highlight w:val="none"/>
        </w:rPr>
        <w:t>重庆三峡银行</w:t>
      </w:r>
      <w:r>
        <w:rPr>
          <w:rFonts w:ascii="黑体" w:eastAsia="黑体"/>
          <w:color w:val="auto"/>
          <w:sz w:val="44"/>
          <w:szCs w:val="44"/>
          <w:highlight w:val="none"/>
        </w:rPr>
        <w:t>智能设备维保合同</w:t>
      </w:r>
    </w:p>
    <w:p w14:paraId="50A26AF2">
      <w:pPr>
        <w:spacing w:line="360" w:lineRule="auto"/>
        <w:jc w:val="center"/>
        <w:outlineLvl w:val="9"/>
        <w:rPr>
          <w:rFonts w:hint="eastAsia" w:ascii="黑体" w:eastAsia="黑体"/>
          <w:color w:val="auto"/>
          <w:sz w:val="44"/>
          <w:szCs w:val="44"/>
          <w:highlight w:val="none"/>
        </w:rPr>
      </w:pPr>
    </w:p>
    <w:p w14:paraId="7EF1EBB1">
      <w:pPr>
        <w:ind w:firstLine="4725" w:firstLineChars="2250"/>
        <w:rPr>
          <w:rFonts w:ascii="仿宋_GB2312" w:eastAsia="仿宋_GB2312"/>
          <w:color w:val="auto"/>
          <w:highlight w:val="none"/>
        </w:rPr>
      </w:pPr>
      <w:r>
        <w:rPr>
          <w:rFonts w:hint="eastAsia" w:ascii="仿宋_GB2312" w:eastAsia="仿宋_GB2312"/>
          <w:color w:val="auto"/>
          <w:highlight w:val="none"/>
        </w:rPr>
        <w:t>合同编号：</w:t>
      </w:r>
    </w:p>
    <w:p w14:paraId="23306D68">
      <w:pPr>
        <w:rPr>
          <w:rFonts w:ascii="仿宋_GB2312" w:eastAsia="仿宋_GB2312"/>
          <w:color w:val="auto"/>
          <w:sz w:val="32"/>
          <w:szCs w:val="32"/>
          <w:highlight w:val="none"/>
        </w:rPr>
      </w:pPr>
    </w:p>
    <w:p w14:paraId="02AB811F">
      <w:pPr>
        <w:bidi w:val="0"/>
        <w:rPr>
          <w:rFonts w:hint="eastAsia"/>
          <w:color w:val="auto"/>
          <w:highlight w:val="none"/>
        </w:rPr>
      </w:pPr>
      <w:r>
        <w:rPr>
          <w:rFonts w:hint="eastAsia"/>
          <w:color w:val="auto"/>
          <w:highlight w:val="none"/>
        </w:rPr>
        <w:t>甲方：重庆三峡银行股份有限公司（以下简称甲方）</w:t>
      </w:r>
    </w:p>
    <w:p w14:paraId="60FA0DCA">
      <w:pPr>
        <w:bidi w:val="0"/>
        <w:rPr>
          <w:rFonts w:hint="eastAsia"/>
          <w:color w:val="auto"/>
          <w:highlight w:val="none"/>
        </w:rPr>
      </w:pPr>
      <w:r>
        <w:rPr>
          <w:rFonts w:hint="eastAsia"/>
          <w:color w:val="auto"/>
          <w:highlight w:val="none"/>
        </w:rPr>
        <w:t>电话：</w:t>
      </w:r>
    </w:p>
    <w:p w14:paraId="52C2950D">
      <w:pPr>
        <w:bidi w:val="0"/>
        <w:rPr>
          <w:rFonts w:hint="eastAsia"/>
          <w:color w:val="auto"/>
          <w:highlight w:val="none"/>
        </w:rPr>
      </w:pPr>
      <w:r>
        <w:rPr>
          <w:rFonts w:hint="eastAsia"/>
          <w:color w:val="auto"/>
          <w:highlight w:val="none"/>
        </w:rPr>
        <w:t>地址：</w:t>
      </w:r>
    </w:p>
    <w:p w14:paraId="212488FC">
      <w:pPr>
        <w:bidi w:val="0"/>
        <w:rPr>
          <w:rFonts w:hint="eastAsia"/>
          <w:color w:val="auto"/>
          <w:highlight w:val="none"/>
        </w:rPr>
      </w:pPr>
    </w:p>
    <w:p w14:paraId="7C92F26B">
      <w:pPr>
        <w:bidi w:val="0"/>
        <w:rPr>
          <w:rFonts w:hint="eastAsia"/>
          <w:color w:val="auto"/>
          <w:highlight w:val="none"/>
        </w:rPr>
      </w:pPr>
      <w:r>
        <w:rPr>
          <w:rFonts w:hint="eastAsia"/>
          <w:color w:val="auto"/>
          <w:highlight w:val="none"/>
        </w:rPr>
        <w:t xml:space="preserve">乙方： </w:t>
      </w:r>
    </w:p>
    <w:p w14:paraId="601DC244">
      <w:pPr>
        <w:bidi w:val="0"/>
        <w:rPr>
          <w:rFonts w:hint="eastAsia"/>
          <w:color w:val="auto"/>
          <w:highlight w:val="none"/>
        </w:rPr>
      </w:pPr>
      <w:r>
        <w:rPr>
          <w:rFonts w:hint="eastAsia"/>
          <w:color w:val="auto"/>
          <w:highlight w:val="none"/>
        </w:rPr>
        <w:t>电话：</w:t>
      </w:r>
      <w:r>
        <w:rPr>
          <w:color w:val="auto"/>
          <w:highlight w:val="none"/>
        </w:rPr>
        <w:t xml:space="preserve"> </w:t>
      </w:r>
      <w:r>
        <w:rPr>
          <w:rFonts w:hint="eastAsia"/>
          <w:color w:val="auto"/>
          <w:highlight w:val="none"/>
        </w:rPr>
        <w:t xml:space="preserve">                              </w:t>
      </w:r>
    </w:p>
    <w:p w14:paraId="1A7A68B0">
      <w:pPr>
        <w:bidi w:val="0"/>
        <w:rPr>
          <w:color w:val="auto"/>
          <w:highlight w:val="none"/>
        </w:rPr>
      </w:pPr>
      <w:r>
        <w:rPr>
          <w:rFonts w:hint="eastAsia"/>
          <w:color w:val="auto"/>
          <w:highlight w:val="none"/>
        </w:rPr>
        <w:t>地址：</w:t>
      </w:r>
    </w:p>
    <w:p w14:paraId="7F4DB72B">
      <w:pPr>
        <w:bidi w:val="0"/>
        <w:rPr>
          <w:rFonts w:hint="eastAsia"/>
          <w:color w:val="auto"/>
          <w:highlight w:val="none"/>
        </w:rPr>
      </w:pPr>
    </w:p>
    <w:p w14:paraId="07B812E1">
      <w:pPr>
        <w:bidi w:val="0"/>
        <w:rPr>
          <w:rFonts w:hint="eastAsia"/>
          <w:color w:val="auto"/>
          <w:highlight w:val="none"/>
        </w:rPr>
      </w:pPr>
      <w:r>
        <w:rPr>
          <w:rFonts w:hint="eastAsia"/>
          <w:color w:val="auto"/>
          <w:highlight w:val="none"/>
        </w:rPr>
        <w:t>甲、乙双方本着平等自愿、互惠互利、共同发展的原则，经友好协商，并在国家法律法规和行业政策允许的范围内就智能柜员机（现金版）合作项目达成如下协议：</w:t>
      </w:r>
    </w:p>
    <w:p w14:paraId="6A440D0D">
      <w:pPr>
        <w:bidi w:val="0"/>
        <w:rPr>
          <w:rFonts w:hint="eastAsia"/>
          <w:color w:val="auto"/>
          <w:highlight w:val="none"/>
        </w:rPr>
      </w:pPr>
      <w:r>
        <w:rPr>
          <w:rFonts w:hint="eastAsia"/>
          <w:color w:val="auto"/>
          <w:highlight w:val="none"/>
        </w:rPr>
        <w:t>第一条  技术服务内容</w:t>
      </w:r>
    </w:p>
    <w:p w14:paraId="0C346162">
      <w:pPr>
        <w:bidi w:val="0"/>
        <w:rPr>
          <w:rFonts w:hint="eastAsia"/>
          <w:color w:val="auto"/>
          <w:highlight w:val="none"/>
        </w:rPr>
      </w:pPr>
      <w:r>
        <w:rPr>
          <w:rFonts w:hint="eastAsia"/>
          <w:color w:val="auto"/>
          <w:highlight w:val="none"/>
        </w:rPr>
        <w:t>本协议所指技术服务，是乙方为保障本协议规定</w:t>
      </w:r>
      <w:r>
        <w:rPr>
          <w:color w:val="auto"/>
          <w:highlight w:val="none"/>
        </w:rPr>
        <w:t>智能设备</w:t>
      </w:r>
      <w:r>
        <w:rPr>
          <w:rFonts w:hint="eastAsia"/>
          <w:color w:val="auto"/>
          <w:highlight w:val="none"/>
        </w:rPr>
        <w:t>运行稳定、性能良好、处理无差错，能够准确完成甲方购买该设备以期实现所有服务功能的一系列技术举措。技术服务内容包括但不限于：设备维修、维护与保养、每周7天×24小时技术咨询与支持等。</w:t>
      </w:r>
    </w:p>
    <w:p w14:paraId="264EE82C">
      <w:pPr>
        <w:bidi w:val="0"/>
        <w:rPr>
          <w:rFonts w:hint="eastAsia"/>
          <w:color w:val="auto"/>
          <w:highlight w:val="none"/>
        </w:rPr>
      </w:pPr>
      <w:r>
        <w:rPr>
          <w:rFonts w:hint="eastAsia"/>
          <w:color w:val="auto"/>
          <w:highlight w:val="none"/>
        </w:rPr>
        <w:t>一、设备维修</w:t>
      </w:r>
    </w:p>
    <w:p w14:paraId="56440032">
      <w:pPr>
        <w:bidi w:val="0"/>
        <w:rPr>
          <w:rFonts w:hint="eastAsia"/>
          <w:color w:val="auto"/>
          <w:highlight w:val="none"/>
        </w:rPr>
      </w:pPr>
      <w:r>
        <w:rPr>
          <w:rFonts w:hint="eastAsia"/>
          <w:color w:val="auto"/>
          <w:highlight w:val="none"/>
        </w:rPr>
        <w:t>设备维修是指本协议规定的设备出现运行故障后，进行的有效技术处置，使设备达到正常服务状态。</w:t>
      </w:r>
    </w:p>
    <w:p w14:paraId="7E657CF6">
      <w:pPr>
        <w:bidi w:val="0"/>
        <w:rPr>
          <w:rFonts w:hint="eastAsia"/>
          <w:color w:val="auto"/>
          <w:highlight w:val="none"/>
        </w:rPr>
      </w:pPr>
      <w:r>
        <w:rPr>
          <w:rFonts w:hint="eastAsia"/>
          <w:color w:val="auto"/>
          <w:highlight w:val="none"/>
        </w:rPr>
        <w:t>1、设备维修应保证设备恢复故障前所有的服务功能，且运行稳定、性能良好、处理无差错。</w:t>
      </w:r>
    </w:p>
    <w:p w14:paraId="2CD1BDEB">
      <w:pPr>
        <w:bidi w:val="0"/>
        <w:rPr>
          <w:rFonts w:hint="eastAsia"/>
          <w:color w:val="auto"/>
          <w:highlight w:val="none"/>
        </w:rPr>
      </w:pPr>
      <w:r>
        <w:rPr>
          <w:rFonts w:hint="eastAsia"/>
          <w:color w:val="auto"/>
          <w:highlight w:val="none"/>
        </w:rPr>
        <w:t>2、设备维修响应源于设备故障发现，一是甲方向乙方报告故障；二是乙方在例行维护、保养工作中主动发现。</w:t>
      </w:r>
    </w:p>
    <w:p w14:paraId="750B267B">
      <w:pPr>
        <w:bidi w:val="0"/>
        <w:rPr>
          <w:rFonts w:hint="eastAsia"/>
          <w:color w:val="auto"/>
          <w:highlight w:val="none"/>
        </w:rPr>
      </w:pPr>
      <w:r>
        <w:rPr>
          <w:rFonts w:hint="eastAsia"/>
          <w:color w:val="auto"/>
          <w:highlight w:val="none"/>
        </w:rPr>
        <w:t>二、维护与保养</w:t>
      </w:r>
    </w:p>
    <w:p w14:paraId="7D6AE9C4">
      <w:pPr>
        <w:bidi w:val="0"/>
        <w:rPr>
          <w:rFonts w:hint="eastAsia"/>
          <w:color w:val="auto"/>
          <w:highlight w:val="none"/>
        </w:rPr>
      </w:pPr>
      <w:r>
        <w:rPr>
          <w:rFonts w:hint="eastAsia"/>
          <w:color w:val="auto"/>
          <w:highlight w:val="none"/>
        </w:rPr>
        <w:t>乙方提供的设备维护及保养服务，是指对本协议规定的设备进行每年不少于</w:t>
      </w:r>
      <w:r>
        <w:rPr>
          <w:color w:val="auto"/>
          <w:highlight w:val="none"/>
        </w:rPr>
        <w:t>两</w:t>
      </w:r>
      <w:r>
        <w:rPr>
          <w:rFonts w:hint="eastAsia"/>
          <w:color w:val="auto"/>
          <w:highlight w:val="none"/>
        </w:rPr>
        <w:t>次、每</w:t>
      </w:r>
      <w:r>
        <w:rPr>
          <w:color w:val="auto"/>
          <w:highlight w:val="none"/>
        </w:rPr>
        <w:t>半年</w:t>
      </w:r>
      <w:r>
        <w:rPr>
          <w:rFonts w:hint="eastAsia"/>
          <w:color w:val="auto"/>
          <w:highlight w:val="none"/>
        </w:rPr>
        <w:t>不少于一次的例行巡检与技术处置，确保设备持续达到正常服务状态，运行稳定、性能良好、处理无差错。并且，乙方应根据甲方需要，及时响应对设备内部进行清洁、调校的请求。维护与保养内容包括：</w:t>
      </w:r>
    </w:p>
    <w:p w14:paraId="0748DF15">
      <w:pPr>
        <w:bidi w:val="0"/>
        <w:rPr>
          <w:rFonts w:hint="eastAsia"/>
          <w:color w:val="auto"/>
          <w:highlight w:val="none"/>
        </w:rPr>
      </w:pPr>
      <w:r>
        <w:rPr>
          <w:rFonts w:hint="eastAsia"/>
          <w:color w:val="auto"/>
          <w:highlight w:val="none"/>
        </w:rPr>
        <w:t>1、应从专业角度对保养设备的外部运行环境（如外接电源、防尘、防腐、防水等措施）的合理性及内部运行状况（如损坏、磨损、污垢等）进行检查，并将检查结果反馈甲方，给甲方提出改善建议。</w:t>
      </w:r>
    </w:p>
    <w:p w14:paraId="2F1252FA">
      <w:pPr>
        <w:bidi w:val="0"/>
        <w:rPr>
          <w:rFonts w:hint="eastAsia"/>
          <w:color w:val="auto"/>
          <w:highlight w:val="none"/>
        </w:rPr>
      </w:pPr>
      <w:r>
        <w:rPr>
          <w:rFonts w:hint="eastAsia"/>
          <w:color w:val="auto"/>
          <w:highlight w:val="none"/>
        </w:rPr>
        <w:t>2、应对设备的外观、用户操作界面（包括但不限于键盘、显示屏内外屏、入卡口、出钞口、入钞口、凭条出口、摄像头等）进行清洁。</w:t>
      </w:r>
    </w:p>
    <w:p w14:paraId="4837DE50">
      <w:pPr>
        <w:bidi w:val="0"/>
        <w:rPr>
          <w:rFonts w:hint="eastAsia"/>
          <w:color w:val="auto"/>
          <w:highlight w:val="none"/>
        </w:rPr>
      </w:pPr>
      <w:r>
        <w:rPr>
          <w:rFonts w:hint="eastAsia"/>
          <w:color w:val="auto"/>
          <w:highlight w:val="none"/>
        </w:rPr>
        <w:t>3、浏览设备错误日志，咨询甲方设备操作人员，分析设备隐患，及时提出解决办法。</w:t>
      </w:r>
    </w:p>
    <w:p w14:paraId="61F2B243">
      <w:pPr>
        <w:bidi w:val="0"/>
        <w:rPr>
          <w:rFonts w:hint="eastAsia"/>
          <w:color w:val="auto"/>
          <w:highlight w:val="none"/>
        </w:rPr>
      </w:pPr>
      <w:r>
        <w:rPr>
          <w:rFonts w:hint="eastAsia"/>
          <w:color w:val="auto"/>
          <w:highlight w:val="none"/>
        </w:rPr>
        <w:t>4、应对整个设备各部件进行清洁、除尘，包括设备的传感器、传动轴等部件。</w:t>
      </w:r>
    </w:p>
    <w:p w14:paraId="5622D146">
      <w:pPr>
        <w:bidi w:val="0"/>
        <w:rPr>
          <w:rFonts w:hint="eastAsia"/>
          <w:color w:val="auto"/>
          <w:highlight w:val="none"/>
        </w:rPr>
      </w:pPr>
      <w:r>
        <w:rPr>
          <w:rFonts w:hint="eastAsia"/>
          <w:color w:val="auto"/>
          <w:highlight w:val="none"/>
        </w:rPr>
        <w:t>5、应对各模块性能进行检查和调校，及时更换或修复设备的损坏部件，更换磨损老化零部件、易损部件和有隐患零部件。</w:t>
      </w:r>
    </w:p>
    <w:p w14:paraId="6962AFAF">
      <w:pPr>
        <w:bidi w:val="0"/>
        <w:rPr>
          <w:rFonts w:hint="eastAsia"/>
          <w:color w:val="auto"/>
          <w:highlight w:val="none"/>
        </w:rPr>
      </w:pPr>
      <w:r>
        <w:rPr>
          <w:rFonts w:hint="eastAsia"/>
          <w:color w:val="auto"/>
          <w:highlight w:val="none"/>
        </w:rPr>
        <w:t>6、维护与保养完成后，必须对设备各模块进行检测调试，确认其能正常工作。</w:t>
      </w:r>
    </w:p>
    <w:p w14:paraId="643A03EB">
      <w:pPr>
        <w:bidi w:val="0"/>
        <w:rPr>
          <w:rFonts w:hint="eastAsia"/>
          <w:color w:val="auto"/>
          <w:highlight w:val="none"/>
        </w:rPr>
      </w:pPr>
      <w:r>
        <w:rPr>
          <w:color w:val="auto"/>
          <w:highlight w:val="none"/>
        </w:rPr>
        <w:t>三</w:t>
      </w:r>
      <w:r>
        <w:rPr>
          <w:rFonts w:hint="eastAsia"/>
          <w:color w:val="auto"/>
          <w:highlight w:val="none"/>
        </w:rPr>
        <w:t>、操作及业务培训</w:t>
      </w:r>
    </w:p>
    <w:p w14:paraId="2C4FABCE">
      <w:pPr>
        <w:bidi w:val="0"/>
        <w:rPr>
          <w:rFonts w:hint="eastAsia"/>
          <w:color w:val="auto"/>
          <w:highlight w:val="none"/>
        </w:rPr>
      </w:pPr>
      <w:r>
        <w:rPr>
          <w:rFonts w:hint="eastAsia"/>
          <w:color w:val="auto"/>
          <w:highlight w:val="none"/>
        </w:rPr>
        <w:t>向甲方提供规范的专业技术培训（分别针对设备操作人员和技术维护人员两个层次），使甲方操作人员了解和掌握设备的性能和操作，并能解决设备的常见问题。</w:t>
      </w:r>
    </w:p>
    <w:p w14:paraId="1DF4926E">
      <w:pPr>
        <w:bidi w:val="0"/>
        <w:rPr>
          <w:rFonts w:hint="eastAsia"/>
          <w:color w:val="auto"/>
          <w:highlight w:val="none"/>
        </w:rPr>
      </w:pPr>
      <w:r>
        <w:rPr>
          <w:rFonts w:hint="eastAsia"/>
          <w:color w:val="auto"/>
          <w:highlight w:val="none"/>
        </w:rPr>
        <w:t>1、专业技术培训次数：设备操作培训1次/年；技术维护培训</w:t>
      </w:r>
      <w:r>
        <w:rPr>
          <w:color w:val="auto"/>
          <w:highlight w:val="none"/>
        </w:rPr>
        <w:t>2</w:t>
      </w:r>
      <w:r>
        <w:rPr>
          <w:rFonts w:hint="eastAsia"/>
          <w:color w:val="auto"/>
          <w:highlight w:val="none"/>
        </w:rPr>
        <w:t>次/年（巡检时现场培训）。</w:t>
      </w:r>
    </w:p>
    <w:p w14:paraId="54C8302D">
      <w:pPr>
        <w:bidi w:val="0"/>
        <w:rPr>
          <w:rFonts w:hint="eastAsia"/>
          <w:color w:val="auto"/>
          <w:highlight w:val="none"/>
        </w:rPr>
      </w:pPr>
      <w:r>
        <w:rPr>
          <w:rFonts w:hint="eastAsia"/>
          <w:color w:val="auto"/>
          <w:highlight w:val="none"/>
        </w:rPr>
        <w:t>2、培训时间、培训地点由甲方确定。培训费用由乙方承担（不包括甲方培训学员往返的差旅、住宿费）。</w:t>
      </w:r>
    </w:p>
    <w:p w14:paraId="6E234758">
      <w:pPr>
        <w:bidi w:val="0"/>
        <w:rPr>
          <w:rFonts w:hint="eastAsia"/>
          <w:color w:val="auto"/>
          <w:highlight w:val="none"/>
        </w:rPr>
      </w:pPr>
      <w:r>
        <w:rPr>
          <w:rFonts w:hint="eastAsia"/>
          <w:color w:val="auto"/>
          <w:highlight w:val="none"/>
        </w:rPr>
        <w:t>3、乙方免费为甲方提供设备维护培训，使甲方掌握正确的操作和使用方法。</w:t>
      </w:r>
    </w:p>
    <w:p w14:paraId="095B4A86">
      <w:pPr>
        <w:bidi w:val="0"/>
        <w:rPr>
          <w:rFonts w:hint="eastAsia"/>
          <w:color w:val="auto"/>
          <w:highlight w:val="none"/>
        </w:rPr>
      </w:pPr>
      <w:r>
        <w:rPr>
          <w:color w:val="auto"/>
          <w:highlight w:val="none"/>
        </w:rPr>
        <w:t>四</w:t>
      </w:r>
      <w:r>
        <w:rPr>
          <w:rFonts w:hint="eastAsia"/>
          <w:color w:val="auto"/>
          <w:highlight w:val="none"/>
        </w:rPr>
        <w:t>、技术咨询与支持</w:t>
      </w:r>
    </w:p>
    <w:p w14:paraId="316ABA6F">
      <w:pPr>
        <w:bidi w:val="0"/>
        <w:rPr>
          <w:rFonts w:hint="eastAsia"/>
          <w:color w:val="auto"/>
          <w:highlight w:val="none"/>
        </w:rPr>
      </w:pPr>
      <w:r>
        <w:rPr>
          <w:rFonts w:hint="eastAsia"/>
          <w:color w:val="auto"/>
          <w:highlight w:val="none"/>
        </w:rPr>
        <w:t>向甲方提供7*24小时不间断服务热线保障，即每周7天，每天24小时的全天候不间断服务。其内容包括：电话咨询、现场维修和技术指导服务。</w:t>
      </w:r>
    </w:p>
    <w:p w14:paraId="5441B85F">
      <w:pPr>
        <w:bidi w:val="0"/>
        <w:rPr>
          <w:rFonts w:hint="eastAsia"/>
          <w:color w:val="auto"/>
          <w:highlight w:val="none"/>
        </w:rPr>
      </w:pPr>
      <w:r>
        <w:rPr>
          <w:rFonts w:hint="eastAsia"/>
          <w:color w:val="auto"/>
          <w:highlight w:val="none"/>
        </w:rPr>
        <w:t>1、乙方向甲方提供7*24小时不间断服务热线保障，即每周7天，每天24小时的全天候不间断服务。其内容包括：电话咨询、现场维修和技术指导服务。</w:t>
      </w:r>
    </w:p>
    <w:p w14:paraId="171A26FF">
      <w:pPr>
        <w:bidi w:val="0"/>
        <w:rPr>
          <w:rFonts w:hint="eastAsia"/>
          <w:color w:val="auto"/>
          <w:highlight w:val="none"/>
        </w:rPr>
      </w:pPr>
      <w:r>
        <w:rPr>
          <w:rFonts w:hint="eastAsia"/>
          <w:color w:val="auto"/>
          <w:highlight w:val="none"/>
        </w:rPr>
        <w:t>2、服务热线包括但不限于乙方总公司客户服务电话、区域服务主管电话、本地技术人员或维修工程师电话。</w:t>
      </w:r>
    </w:p>
    <w:p w14:paraId="5094D97D">
      <w:pPr>
        <w:bidi w:val="0"/>
        <w:rPr>
          <w:rFonts w:hint="eastAsia"/>
          <w:color w:val="auto"/>
          <w:highlight w:val="none"/>
        </w:rPr>
      </w:pPr>
      <w:r>
        <w:rPr>
          <w:rFonts w:hint="eastAsia"/>
          <w:color w:val="auto"/>
          <w:highlight w:val="none"/>
        </w:rPr>
        <w:t>第二条  技术服务标准</w:t>
      </w:r>
    </w:p>
    <w:p w14:paraId="59E78082">
      <w:pPr>
        <w:bidi w:val="0"/>
        <w:rPr>
          <w:rFonts w:hint="eastAsia"/>
          <w:color w:val="auto"/>
          <w:highlight w:val="none"/>
        </w:rPr>
      </w:pPr>
      <w:r>
        <w:rPr>
          <w:rFonts w:hint="eastAsia"/>
          <w:color w:val="auto"/>
          <w:highlight w:val="none"/>
        </w:rPr>
        <w:t>1、乙方需对设备每年进行定期巡检，巡检次数应达到至少每</w:t>
      </w:r>
      <w:r>
        <w:rPr>
          <w:color w:val="auto"/>
          <w:highlight w:val="none"/>
        </w:rPr>
        <w:t>半年</w:t>
      </w:r>
      <w:r>
        <w:rPr>
          <w:rFonts w:hint="eastAsia"/>
          <w:color w:val="auto"/>
          <w:highlight w:val="none"/>
        </w:rPr>
        <w:t>一次，每年</w:t>
      </w:r>
      <w:r>
        <w:rPr>
          <w:color w:val="auto"/>
          <w:highlight w:val="none"/>
        </w:rPr>
        <w:t>两</w:t>
      </w:r>
      <w:r>
        <w:rPr>
          <w:rFonts w:hint="eastAsia"/>
          <w:color w:val="auto"/>
          <w:highlight w:val="none"/>
        </w:rPr>
        <w:t>次的频率。(巡检内容包括但不限于：对设备进行内外清洁、检查读卡器、出钞口、非接读卡器、各种传感器、皮带、按钮、USB接口、内部线路、密码键盘、语音系统、设备运行速度、效验触摸屏等)，确保设备持运行稳定、性能良好。</w:t>
      </w:r>
    </w:p>
    <w:p w14:paraId="7FB5018F">
      <w:pPr>
        <w:bidi w:val="0"/>
        <w:rPr>
          <w:rFonts w:hint="eastAsia"/>
          <w:color w:val="auto"/>
          <w:highlight w:val="none"/>
        </w:rPr>
      </w:pPr>
      <w:r>
        <w:rPr>
          <w:rFonts w:hint="eastAsia"/>
          <w:color w:val="auto"/>
          <w:highlight w:val="none"/>
        </w:rPr>
        <w:t>2、乙方接到甲方故障报修后需立即响应，主城区(渝中区、江北区、渝北区、大渡口区、沙坪坝区、九龙坡区、南岸区、北碚区、巴南区)应于2小时内到达故障现场；其他区县应于4小时内到达故障现场；若乙方在夜间接到甲方故障报修，乙方最迟需于次日9点前到达故障现场。如超过该时限，甲方有权按每台</w:t>
      </w:r>
      <w:r>
        <w:rPr>
          <w:color w:val="auto"/>
          <w:highlight w:val="none"/>
        </w:rPr>
        <w:t>智能设备</w:t>
      </w:r>
      <w:r>
        <w:rPr>
          <w:rFonts w:hint="eastAsia"/>
          <w:color w:val="auto"/>
          <w:highlight w:val="none"/>
        </w:rPr>
        <w:t>每延迟1小时计收100元的延时费用，延时费用优先从</w:t>
      </w:r>
      <w:r>
        <w:rPr>
          <w:color w:val="auto"/>
          <w:highlight w:val="none"/>
        </w:rPr>
        <w:t>维保费</w:t>
      </w:r>
      <w:r>
        <w:rPr>
          <w:rFonts w:hint="eastAsia"/>
          <w:color w:val="auto"/>
          <w:highlight w:val="none"/>
        </w:rPr>
        <w:t>中扣除，若质保金不足以支付的，由乙方另行支付。</w:t>
      </w:r>
    </w:p>
    <w:p w14:paraId="4EAAAC5F">
      <w:pPr>
        <w:bidi w:val="0"/>
        <w:rPr>
          <w:rFonts w:hint="eastAsia"/>
          <w:color w:val="auto"/>
          <w:highlight w:val="none"/>
        </w:rPr>
      </w:pPr>
      <w:r>
        <w:rPr>
          <w:rFonts w:hint="eastAsia"/>
          <w:color w:val="auto"/>
          <w:highlight w:val="none"/>
        </w:rPr>
        <w:t>3、乙方接到甲方故障报修，到达现场后应于6时内修复故障，并保证设备正常运行，如超过此时限，甲方有权按每台</w:t>
      </w:r>
      <w:r>
        <w:rPr>
          <w:color w:val="auto"/>
          <w:highlight w:val="none"/>
        </w:rPr>
        <w:t>智能设备</w:t>
      </w:r>
      <w:r>
        <w:rPr>
          <w:rFonts w:hint="eastAsia"/>
          <w:color w:val="auto"/>
          <w:highlight w:val="none"/>
        </w:rPr>
        <w:t>每延迟1小时计收100元的延时费用。</w:t>
      </w:r>
    </w:p>
    <w:p w14:paraId="09D5A8F1">
      <w:pPr>
        <w:bidi w:val="0"/>
        <w:rPr>
          <w:rFonts w:hint="eastAsia"/>
          <w:color w:val="auto"/>
          <w:highlight w:val="none"/>
        </w:rPr>
      </w:pPr>
      <w:r>
        <w:rPr>
          <w:color w:val="auto"/>
          <w:highlight w:val="none"/>
        </w:rPr>
        <w:t>4</w:t>
      </w:r>
      <w:r>
        <w:rPr>
          <w:rFonts w:hint="eastAsia"/>
          <w:color w:val="auto"/>
          <w:highlight w:val="none"/>
        </w:rPr>
        <w:t>、乙方维修或更换故障设备所损坏的零部件时,若因甲方人为损坏或不可抗力造成的设备损坏,由甲方承担备件费用,乙方应给予免费</w:t>
      </w:r>
      <w:r>
        <w:rPr>
          <w:color w:val="auto"/>
          <w:highlight w:val="none"/>
        </w:rPr>
        <w:t>维修、</w:t>
      </w:r>
      <w:r>
        <w:rPr>
          <w:rFonts w:hint="eastAsia"/>
          <w:color w:val="auto"/>
          <w:highlight w:val="none"/>
        </w:rPr>
        <w:t>安装。</w:t>
      </w:r>
    </w:p>
    <w:p w14:paraId="26C74A8B">
      <w:pPr>
        <w:bidi w:val="0"/>
        <w:rPr>
          <w:rFonts w:hint="eastAsia"/>
          <w:color w:val="auto"/>
          <w:highlight w:val="none"/>
        </w:rPr>
      </w:pPr>
    </w:p>
    <w:p w14:paraId="301255E6">
      <w:pPr>
        <w:bidi w:val="0"/>
        <w:rPr>
          <w:rFonts w:hint="eastAsia"/>
          <w:color w:val="auto"/>
          <w:highlight w:val="none"/>
        </w:rPr>
      </w:pPr>
      <w:r>
        <w:rPr>
          <w:rFonts w:hint="eastAsia"/>
          <w:color w:val="auto"/>
          <w:highlight w:val="none"/>
        </w:rPr>
        <w:t>第三条  双方责任</w:t>
      </w:r>
    </w:p>
    <w:p w14:paraId="0B33C0E3">
      <w:pPr>
        <w:bidi w:val="0"/>
        <w:rPr>
          <w:rFonts w:hint="eastAsia"/>
          <w:color w:val="auto"/>
          <w:highlight w:val="none"/>
        </w:rPr>
      </w:pPr>
      <w:r>
        <w:rPr>
          <w:rFonts w:hint="eastAsia"/>
          <w:color w:val="auto"/>
          <w:highlight w:val="none"/>
        </w:rPr>
        <w:t>一、乙方责任</w:t>
      </w:r>
    </w:p>
    <w:p w14:paraId="27FFE47A">
      <w:pPr>
        <w:bidi w:val="0"/>
        <w:rPr>
          <w:rFonts w:hint="eastAsia"/>
          <w:color w:val="auto"/>
          <w:highlight w:val="none"/>
        </w:rPr>
      </w:pPr>
      <w:r>
        <w:rPr>
          <w:rFonts w:hint="eastAsia"/>
          <w:color w:val="auto"/>
          <w:highlight w:val="none"/>
        </w:rPr>
        <w:t>1、乙方在甲方使用其设备期间，须严格按照本协议“第一条  技术服务内容”和“第二条  技术服务标准”的描述，为甲方所使用的设备提供技术服务。确保本协议规定的设备运行稳定、性能良好、处理无差错，能够准确完成甲方购买该设备以期实现所有服务功能。</w:t>
      </w:r>
    </w:p>
    <w:p w14:paraId="50C85958">
      <w:pPr>
        <w:bidi w:val="0"/>
        <w:rPr>
          <w:rFonts w:hint="eastAsia"/>
          <w:color w:val="auto"/>
          <w:highlight w:val="none"/>
        </w:rPr>
      </w:pPr>
      <w:r>
        <w:rPr>
          <w:rFonts w:hint="eastAsia"/>
          <w:color w:val="auto"/>
          <w:highlight w:val="none"/>
        </w:rPr>
        <w:t>二、甲方责任</w:t>
      </w:r>
    </w:p>
    <w:p w14:paraId="0DEED2D2">
      <w:pPr>
        <w:bidi w:val="0"/>
        <w:rPr>
          <w:rFonts w:hint="eastAsia"/>
          <w:color w:val="auto"/>
          <w:highlight w:val="none"/>
        </w:rPr>
      </w:pPr>
      <w:r>
        <w:rPr>
          <w:rFonts w:hint="eastAsia"/>
          <w:color w:val="auto"/>
          <w:highlight w:val="none"/>
        </w:rPr>
        <w:t>1、甲方应按乙方要求提供设备正常工作环境，如乙方认为甲方提供的环境不符合相关的技术要求，或对甲方使用和管理设备中存在的问题提出合理建议时，甲方应予以接受并进行相应的改善。</w:t>
      </w:r>
    </w:p>
    <w:p w14:paraId="5F79BBBC">
      <w:pPr>
        <w:bidi w:val="0"/>
        <w:rPr>
          <w:rFonts w:hint="eastAsia"/>
          <w:color w:val="auto"/>
          <w:highlight w:val="none"/>
        </w:rPr>
      </w:pPr>
      <w:r>
        <w:rPr>
          <w:rFonts w:hint="eastAsia"/>
          <w:color w:val="auto"/>
          <w:highlight w:val="none"/>
        </w:rPr>
        <w:t>2、甲方应按设备使用说明进行正确操作，负责设备的一般维护，包括耗材更换、日常清机、加钞等维护工作。</w:t>
      </w:r>
    </w:p>
    <w:p w14:paraId="0A95C408">
      <w:pPr>
        <w:bidi w:val="0"/>
        <w:rPr>
          <w:rFonts w:hint="eastAsia"/>
          <w:color w:val="auto"/>
          <w:highlight w:val="none"/>
        </w:rPr>
      </w:pPr>
      <w:r>
        <w:rPr>
          <w:rFonts w:hint="eastAsia"/>
          <w:color w:val="auto"/>
          <w:highlight w:val="none"/>
        </w:rPr>
        <w:t>3、甲方通过乙方服务电话通报设备故障时，有责任按乙方工程师的询问要求尽可能详细地向乙方说明设备的故障情况。</w:t>
      </w:r>
    </w:p>
    <w:p w14:paraId="02A538DD">
      <w:pPr>
        <w:bidi w:val="0"/>
        <w:rPr>
          <w:rFonts w:hint="eastAsia"/>
          <w:color w:val="auto"/>
          <w:highlight w:val="none"/>
        </w:rPr>
      </w:pPr>
      <w:r>
        <w:rPr>
          <w:rFonts w:hint="eastAsia"/>
          <w:color w:val="auto"/>
          <w:highlight w:val="none"/>
        </w:rPr>
        <w:t>4、非经乙方工程师允许或指导，甲方人员不得擅自对设备进行拆卸、维修。在乙方维修、维护过程中，甲方应提供乙方开展服务之便利，保证工作环境的安全，有责任配合乙方设备的检修工作。</w:t>
      </w:r>
    </w:p>
    <w:p w14:paraId="43DA7F18">
      <w:pPr>
        <w:bidi w:val="0"/>
        <w:rPr>
          <w:rFonts w:hint="eastAsia"/>
          <w:color w:val="auto"/>
          <w:highlight w:val="none"/>
        </w:rPr>
      </w:pPr>
    </w:p>
    <w:p w14:paraId="3E65AC2F">
      <w:pPr>
        <w:bidi w:val="0"/>
        <w:rPr>
          <w:rFonts w:hint="eastAsia"/>
          <w:color w:val="auto"/>
          <w:highlight w:val="none"/>
        </w:rPr>
      </w:pPr>
      <w:r>
        <w:rPr>
          <w:rFonts w:hint="eastAsia"/>
          <w:color w:val="auto"/>
          <w:highlight w:val="none"/>
        </w:rPr>
        <w:t>第四条  服务的提供及服务对象</w:t>
      </w:r>
    </w:p>
    <w:p w14:paraId="2EE7A3D9">
      <w:pPr>
        <w:bidi w:val="0"/>
        <w:rPr>
          <w:color w:val="auto"/>
          <w:highlight w:val="none"/>
        </w:rPr>
      </w:pPr>
      <w:r>
        <w:rPr>
          <w:color w:val="auto"/>
          <w:highlight w:val="none"/>
        </w:rPr>
        <w:t>1、</w:t>
      </w:r>
      <w:r>
        <w:rPr>
          <w:rFonts w:hint="eastAsia"/>
          <w:color w:val="auto"/>
          <w:highlight w:val="none"/>
        </w:rPr>
        <w:t>本协议规定的设备是指由甲乙双方共同认定的甲方使用的</w:t>
      </w:r>
      <w:r>
        <w:rPr>
          <w:color w:val="auto"/>
          <w:highlight w:val="none"/>
        </w:rPr>
        <w:t>智能设备</w:t>
      </w:r>
      <w:r>
        <w:rPr>
          <w:rFonts w:hint="eastAsia"/>
          <w:color w:val="auto"/>
          <w:highlight w:val="none"/>
        </w:rPr>
        <w:t>。设备类型：</w:t>
      </w:r>
      <w:r>
        <w:rPr>
          <w:color w:val="auto"/>
          <w:highlight w:val="none"/>
        </w:rPr>
        <w:t>存取款一体机品牌：     ；取款机品牌：  ；</w:t>
      </w:r>
      <w:r>
        <w:rPr>
          <w:rFonts w:hint="eastAsia"/>
          <w:color w:val="auto"/>
          <w:highlight w:val="none"/>
        </w:rPr>
        <w:t>智能柜员机品牌</w:t>
      </w:r>
      <w:r>
        <w:rPr>
          <w:color w:val="auto"/>
          <w:highlight w:val="none"/>
        </w:rPr>
        <w:t xml:space="preserve">     ；回单机品牌：     ；叫号机品牌：     </w:t>
      </w:r>
      <w:r>
        <w:rPr>
          <w:rFonts w:hint="eastAsia"/>
          <w:color w:val="auto"/>
          <w:highlight w:val="none"/>
        </w:rPr>
        <w:t>。</w:t>
      </w:r>
    </w:p>
    <w:p w14:paraId="4CD2C88D">
      <w:pPr>
        <w:bidi w:val="0"/>
        <w:rPr>
          <w:color w:val="auto"/>
          <w:highlight w:val="none"/>
        </w:rPr>
      </w:pPr>
    </w:p>
    <w:p w14:paraId="2FD3AA46">
      <w:pPr>
        <w:bidi w:val="0"/>
        <w:rPr>
          <w:rFonts w:hint="eastAsia"/>
          <w:color w:val="auto"/>
          <w:highlight w:val="none"/>
        </w:rPr>
      </w:pPr>
      <w:r>
        <w:rPr>
          <w:rFonts w:hint="eastAsia"/>
          <w:color w:val="auto"/>
          <w:highlight w:val="none"/>
        </w:rPr>
        <w:t>第五条  付款方式</w:t>
      </w:r>
    </w:p>
    <w:p w14:paraId="74206F38">
      <w:pPr>
        <w:bidi w:val="0"/>
        <w:rPr>
          <w:rFonts w:hint="eastAsia"/>
          <w:color w:val="auto"/>
          <w:highlight w:val="none"/>
        </w:rPr>
      </w:pPr>
      <w:r>
        <w:rPr>
          <w:color w:val="auto"/>
          <w:highlight w:val="none"/>
        </w:rPr>
        <w:t>1、</w:t>
      </w:r>
      <w:r>
        <w:rPr>
          <w:rFonts w:hint="eastAsia"/>
          <w:color w:val="auto"/>
          <w:highlight w:val="none"/>
        </w:rPr>
        <w:t>本合同中的一切价款、费用、金额等均以人民币进行结算、支付；</w:t>
      </w:r>
    </w:p>
    <w:p w14:paraId="76B3BA28">
      <w:pPr>
        <w:bidi w:val="0"/>
        <w:rPr>
          <w:rFonts w:hint="eastAsia"/>
          <w:color w:val="auto"/>
          <w:highlight w:val="none"/>
        </w:rPr>
      </w:pPr>
      <w:r>
        <w:rPr>
          <w:color w:val="auto"/>
          <w:highlight w:val="none"/>
        </w:rPr>
        <w:t>2、本</w:t>
      </w:r>
      <w:r>
        <w:rPr>
          <w:rFonts w:hint="eastAsia"/>
          <w:color w:val="auto"/>
          <w:highlight w:val="none"/>
        </w:rPr>
        <w:t>合同中乙方</w:t>
      </w:r>
      <w:r>
        <w:rPr>
          <w:color w:val="auto"/>
          <w:highlight w:val="none"/>
        </w:rPr>
        <w:t>维保智能设备的</w:t>
      </w:r>
      <w:r>
        <w:rPr>
          <w:rFonts w:hint="eastAsia"/>
          <w:color w:val="auto"/>
          <w:highlight w:val="none"/>
        </w:rPr>
        <w:t>次</w:t>
      </w:r>
      <w:r>
        <w:rPr>
          <w:color w:val="auto"/>
          <w:highlight w:val="none"/>
        </w:rPr>
        <w:t>年，</w:t>
      </w:r>
      <w:r>
        <w:rPr>
          <w:rFonts w:hint="eastAsia"/>
          <w:color w:val="auto"/>
          <w:highlight w:val="none"/>
        </w:rPr>
        <w:t>由乙方向甲方提交对账单，双方核对</w:t>
      </w:r>
      <w:r>
        <w:rPr>
          <w:color w:val="auto"/>
          <w:highlight w:val="none"/>
        </w:rPr>
        <w:t>维保</w:t>
      </w:r>
      <w:r>
        <w:rPr>
          <w:rFonts w:hint="eastAsia"/>
          <w:color w:val="auto"/>
          <w:highlight w:val="none"/>
        </w:rPr>
        <w:t>的</w:t>
      </w:r>
      <w:r>
        <w:rPr>
          <w:color w:val="auto"/>
          <w:highlight w:val="none"/>
        </w:rPr>
        <w:t>智能</w:t>
      </w:r>
      <w:r>
        <w:rPr>
          <w:rFonts w:hint="eastAsia"/>
          <w:color w:val="auto"/>
          <w:highlight w:val="none"/>
        </w:rPr>
        <w:t>设备数目无误后，乙方向甲方出</w:t>
      </w:r>
      <w:r>
        <w:rPr>
          <w:color w:val="auto"/>
          <w:highlight w:val="none"/>
        </w:rPr>
        <w:t>维保费</w:t>
      </w:r>
      <w:r>
        <w:rPr>
          <w:rFonts w:hint="eastAsia"/>
          <w:color w:val="auto"/>
          <w:highlight w:val="none"/>
        </w:rPr>
        <w:t>发票（</w:t>
      </w:r>
      <w:r>
        <w:rPr>
          <w:color w:val="auto"/>
          <w:highlight w:val="none"/>
        </w:rPr>
        <w:t>6%</w:t>
      </w:r>
      <w:r>
        <w:rPr>
          <w:rFonts w:hint="eastAsia"/>
          <w:color w:val="auto"/>
          <w:highlight w:val="none"/>
        </w:rPr>
        <w:t>的增值税专用发票），甲方收到乙方发票后</w:t>
      </w:r>
      <w:r>
        <w:rPr>
          <w:color w:val="auto"/>
          <w:highlight w:val="none"/>
        </w:rPr>
        <w:t>30</w:t>
      </w:r>
      <w:r>
        <w:rPr>
          <w:rFonts w:hint="eastAsia"/>
          <w:color w:val="auto"/>
          <w:highlight w:val="none"/>
        </w:rPr>
        <w:t>日内将设备</w:t>
      </w:r>
      <w:r>
        <w:rPr>
          <w:color w:val="auto"/>
          <w:highlight w:val="none"/>
        </w:rPr>
        <w:t>维保</w:t>
      </w:r>
      <w:r>
        <w:rPr>
          <w:rFonts w:hint="eastAsia"/>
          <w:color w:val="auto"/>
          <w:highlight w:val="none"/>
        </w:rPr>
        <w:t>款项通过转账形式划到乙方指定的乙方银行账户;</w:t>
      </w:r>
    </w:p>
    <w:p w14:paraId="09702EFC">
      <w:pPr>
        <w:bidi w:val="0"/>
        <w:rPr>
          <w:rFonts w:hint="eastAsia"/>
          <w:color w:val="auto"/>
          <w:highlight w:val="none"/>
        </w:rPr>
      </w:pPr>
      <w:r>
        <w:rPr>
          <w:color w:val="auto"/>
          <w:highlight w:val="none"/>
        </w:rPr>
        <w:t>3、</w:t>
      </w:r>
      <w:r>
        <w:rPr>
          <w:rFonts w:hint="eastAsia"/>
          <w:color w:val="auto"/>
          <w:highlight w:val="none"/>
        </w:rPr>
        <w:t>乙方指定的银行账户信息：</w:t>
      </w:r>
    </w:p>
    <w:p w14:paraId="2FEB821A">
      <w:pPr>
        <w:bidi w:val="0"/>
        <w:rPr>
          <w:rFonts w:hint="eastAsia"/>
          <w:color w:val="auto"/>
          <w:highlight w:val="none"/>
        </w:rPr>
      </w:pPr>
      <w:r>
        <w:rPr>
          <w:rFonts w:hint="eastAsia"/>
          <w:color w:val="auto"/>
          <w:highlight w:val="none"/>
        </w:rPr>
        <w:t>户  名：</w:t>
      </w:r>
    </w:p>
    <w:p w14:paraId="104DA7C0">
      <w:pPr>
        <w:bidi w:val="0"/>
        <w:rPr>
          <w:rFonts w:hint="eastAsia"/>
          <w:color w:val="auto"/>
          <w:highlight w:val="none"/>
        </w:rPr>
      </w:pPr>
      <w:r>
        <w:rPr>
          <w:rFonts w:hint="eastAsia"/>
          <w:color w:val="auto"/>
          <w:highlight w:val="none"/>
        </w:rPr>
        <w:t>开户行：</w:t>
      </w:r>
    </w:p>
    <w:p w14:paraId="7258E8A1">
      <w:pPr>
        <w:bidi w:val="0"/>
        <w:rPr>
          <w:color w:val="auto"/>
          <w:highlight w:val="none"/>
        </w:rPr>
      </w:pPr>
      <w:r>
        <w:rPr>
          <w:rFonts w:hint="eastAsia"/>
          <w:color w:val="auto"/>
          <w:highlight w:val="none"/>
        </w:rPr>
        <w:t>账  号：</w:t>
      </w:r>
    </w:p>
    <w:p w14:paraId="0FBD13EB">
      <w:pPr>
        <w:bidi w:val="0"/>
        <w:rPr>
          <w:rFonts w:hint="eastAsia"/>
          <w:color w:val="auto"/>
          <w:highlight w:val="none"/>
        </w:rPr>
      </w:pPr>
      <w:r>
        <w:rPr>
          <w:color w:val="auto"/>
          <w:highlight w:val="none"/>
        </w:rPr>
        <w:t>4、</w:t>
      </w:r>
      <w:r>
        <w:rPr>
          <w:rFonts w:hint="eastAsia"/>
          <w:color w:val="auto"/>
          <w:highlight w:val="none"/>
        </w:rPr>
        <w:t>在质保期内（维护期内），如乙方未按约定履行维护义务，甲方有权另行委托第三方进行维修（维护），由此产生的费用从质保金中扣除，不足部分由乙方按要求补足。</w:t>
      </w:r>
    </w:p>
    <w:p w14:paraId="414A31B8">
      <w:pPr>
        <w:bidi w:val="0"/>
        <w:rPr>
          <w:rFonts w:hint="eastAsia"/>
          <w:color w:val="auto"/>
          <w:highlight w:val="none"/>
        </w:rPr>
      </w:pPr>
      <w:r>
        <w:rPr>
          <w:color w:val="auto"/>
          <w:highlight w:val="none"/>
        </w:rPr>
        <w:t>5、</w:t>
      </w:r>
      <w:r>
        <w:rPr>
          <w:rFonts w:hint="eastAsia"/>
          <w:color w:val="auto"/>
          <w:highlight w:val="none"/>
        </w:rPr>
        <w:t>本条约定的开具发票所涉及到的相应税费由乙方交纳。若乙方提供的发票不符合约定，甲方有权拒绝支付任何款项并不承担逾期付款违约责任。相关税费如遇国家税务政策调整，按调整后的国家税务政策开具增值税专用发票。</w:t>
      </w:r>
    </w:p>
    <w:p w14:paraId="701D0062">
      <w:pPr>
        <w:bidi w:val="0"/>
        <w:rPr>
          <w:rFonts w:hint="eastAsia"/>
          <w:color w:val="auto"/>
          <w:highlight w:val="none"/>
        </w:rPr>
      </w:pPr>
    </w:p>
    <w:p w14:paraId="466E2C13">
      <w:pPr>
        <w:bidi w:val="0"/>
        <w:rPr>
          <w:rFonts w:hint="eastAsia"/>
          <w:color w:val="auto"/>
          <w:highlight w:val="none"/>
        </w:rPr>
      </w:pPr>
      <w:r>
        <w:rPr>
          <w:rFonts w:hint="eastAsia"/>
          <w:color w:val="auto"/>
          <w:highlight w:val="none"/>
        </w:rPr>
        <w:t>第</w:t>
      </w:r>
      <w:r>
        <w:rPr>
          <w:color w:val="auto"/>
          <w:highlight w:val="none"/>
        </w:rPr>
        <w:t>六</w:t>
      </w:r>
      <w:r>
        <w:rPr>
          <w:rFonts w:hint="eastAsia"/>
          <w:color w:val="auto"/>
          <w:highlight w:val="none"/>
        </w:rPr>
        <w:t>条  设备报废与回收</w:t>
      </w:r>
    </w:p>
    <w:p w14:paraId="66A726D4">
      <w:pPr>
        <w:bidi w:val="0"/>
        <w:rPr>
          <w:rFonts w:hint="eastAsia"/>
          <w:color w:val="auto"/>
          <w:highlight w:val="none"/>
        </w:rPr>
      </w:pPr>
      <w:r>
        <w:rPr>
          <w:rFonts w:hint="eastAsia"/>
          <w:color w:val="auto"/>
          <w:highlight w:val="none"/>
        </w:rPr>
        <w:t>若甲方须对本合同规定的一台或多台</w:t>
      </w:r>
      <w:r>
        <w:rPr>
          <w:color w:val="auto"/>
          <w:highlight w:val="none"/>
        </w:rPr>
        <w:t>智能</w:t>
      </w:r>
      <w:r>
        <w:rPr>
          <w:rFonts w:hint="eastAsia"/>
          <w:color w:val="auto"/>
          <w:highlight w:val="none"/>
        </w:rPr>
        <w:t>设备进行报废处置，乙方负责无偿回收和处置，对设备核心部件和设备外壳进行物理粉碎处理。报废设备处理和销毁后，乙方须出具相关设备部件和外壳已经销毁的承诺函，承诺函必须按照统一规则编号，并保证报废设备相关部件及外壳不能外流。同时，终止该设备技术服务及本协议对该设备的约束。</w:t>
      </w:r>
    </w:p>
    <w:p w14:paraId="50A77B2E">
      <w:pPr>
        <w:bidi w:val="0"/>
        <w:rPr>
          <w:rFonts w:hint="eastAsia"/>
          <w:color w:val="auto"/>
          <w:highlight w:val="none"/>
        </w:rPr>
      </w:pPr>
    </w:p>
    <w:p w14:paraId="6D3C9B03">
      <w:pPr>
        <w:bidi w:val="0"/>
        <w:rPr>
          <w:rFonts w:hint="eastAsia"/>
          <w:color w:val="auto"/>
          <w:highlight w:val="none"/>
        </w:rPr>
      </w:pPr>
      <w:r>
        <w:rPr>
          <w:rFonts w:hint="eastAsia"/>
          <w:color w:val="auto"/>
          <w:highlight w:val="none"/>
        </w:rPr>
        <w:t>第</w:t>
      </w:r>
      <w:r>
        <w:rPr>
          <w:color w:val="auto"/>
          <w:highlight w:val="none"/>
        </w:rPr>
        <w:t>七条</w:t>
      </w:r>
      <w:r>
        <w:rPr>
          <w:rFonts w:hint="eastAsia"/>
          <w:color w:val="auto"/>
          <w:highlight w:val="none"/>
        </w:rPr>
        <w:t xml:space="preserve">  其他约定</w:t>
      </w:r>
    </w:p>
    <w:p w14:paraId="6E902D5A">
      <w:pPr>
        <w:bidi w:val="0"/>
        <w:rPr>
          <w:rFonts w:hint="eastAsia"/>
          <w:color w:val="auto"/>
          <w:highlight w:val="none"/>
        </w:rPr>
      </w:pPr>
      <w:r>
        <w:rPr>
          <w:color w:val="auto"/>
          <w:highlight w:val="none"/>
        </w:rPr>
        <w:t>1、</w:t>
      </w:r>
      <w:r>
        <w:rPr>
          <w:rFonts w:hint="eastAsia"/>
          <w:color w:val="auto"/>
          <w:highlight w:val="none"/>
        </w:rPr>
        <w:t>除非本合同另有约定外，本合同中权利、义务所涉及到的内容均指在合作服务期内；</w:t>
      </w:r>
    </w:p>
    <w:p w14:paraId="20E59D8B">
      <w:pPr>
        <w:bidi w:val="0"/>
        <w:rPr>
          <w:rFonts w:hint="eastAsia"/>
          <w:color w:val="auto"/>
          <w:highlight w:val="none"/>
        </w:rPr>
      </w:pPr>
      <w:r>
        <w:rPr>
          <w:color w:val="auto"/>
          <w:highlight w:val="none"/>
        </w:rPr>
        <w:t>2、</w:t>
      </w:r>
      <w:r>
        <w:rPr>
          <w:rFonts w:hint="eastAsia"/>
          <w:color w:val="auto"/>
          <w:highlight w:val="none"/>
        </w:rPr>
        <w:t>本合同壹式陆份，甲、乙双方各执叁份，自双方加盖公章之日起正式生效，每份合同具有同等法律效力；</w:t>
      </w:r>
    </w:p>
    <w:p w14:paraId="5FCE2857">
      <w:pPr>
        <w:bidi w:val="0"/>
        <w:rPr>
          <w:rFonts w:hint="eastAsia"/>
          <w:color w:val="auto"/>
          <w:highlight w:val="none"/>
        </w:rPr>
      </w:pPr>
      <w:r>
        <w:rPr>
          <w:color w:val="auto"/>
          <w:highlight w:val="none"/>
        </w:rPr>
        <w:t>3、</w:t>
      </w:r>
      <w:r>
        <w:rPr>
          <w:rFonts w:hint="eastAsia"/>
          <w:color w:val="auto"/>
          <w:highlight w:val="none"/>
        </w:rPr>
        <w:t>未尽事宜双方协商解决，可另行签订补充合同和附件，经双方加盖公章后生效；</w:t>
      </w:r>
    </w:p>
    <w:p w14:paraId="35888BB5">
      <w:pPr>
        <w:bidi w:val="0"/>
        <w:rPr>
          <w:rFonts w:hint="eastAsia"/>
          <w:color w:val="auto"/>
          <w:highlight w:val="none"/>
        </w:rPr>
      </w:pPr>
      <w:r>
        <w:rPr>
          <w:color w:val="auto"/>
          <w:highlight w:val="none"/>
        </w:rPr>
        <w:t>4、</w:t>
      </w:r>
      <w:r>
        <w:rPr>
          <w:rFonts w:hint="eastAsia"/>
          <w:color w:val="auto"/>
          <w:highlight w:val="none"/>
        </w:rPr>
        <w:t>不可抗力的自然、政策等因素导致违约，双方均可免责。</w:t>
      </w:r>
    </w:p>
    <w:p w14:paraId="261B4B89">
      <w:pPr>
        <w:bidi w:val="0"/>
        <w:rPr>
          <w:rFonts w:hint="eastAsia"/>
          <w:color w:val="auto"/>
          <w:highlight w:val="none"/>
        </w:rPr>
      </w:pPr>
      <w:r>
        <w:rPr>
          <w:color w:val="auto"/>
          <w:highlight w:val="none"/>
        </w:rPr>
        <w:t>5、</w:t>
      </w:r>
      <w:r>
        <w:rPr>
          <w:rFonts w:hint="eastAsia"/>
          <w:color w:val="auto"/>
          <w:highlight w:val="none"/>
        </w:rPr>
        <w:t>甲方有权经提前通知乙方后随时解除或终止本合同；</w:t>
      </w:r>
    </w:p>
    <w:p w14:paraId="107F72BB">
      <w:pPr>
        <w:bidi w:val="0"/>
        <w:rPr>
          <w:rFonts w:hint="eastAsia"/>
          <w:color w:val="auto"/>
          <w:highlight w:val="none"/>
        </w:rPr>
      </w:pPr>
      <w:r>
        <w:rPr>
          <w:color w:val="auto"/>
          <w:highlight w:val="none"/>
        </w:rPr>
        <w:t>6、</w:t>
      </w:r>
      <w:r>
        <w:rPr>
          <w:rFonts w:hint="eastAsia"/>
          <w:color w:val="auto"/>
          <w:highlight w:val="none"/>
        </w:rPr>
        <w:t>本合同于    年   月   日在重庆市签署，自签订之日起生效，有效期一年，合同期满后如双方无异议，合同自动顺延一年，但总的延长时限不得超过三年。</w:t>
      </w:r>
    </w:p>
    <w:p w14:paraId="73E9CFAB">
      <w:pPr>
        <w:bidi w:val="0"/>
        <w:rPr>
          <w:rFonts w:hint="eastAsia"/>
          <w:color w:val="auto"/>
          <w:highlight w:val="none"/>
        </w:rPr>
      </w:pPr>
    </w:p>
    <w:p w14:paraId="439B21DC">
      <w:pPr>
        <w:bidi w:val="0"/>
        <w:rPr>
          <w:rFonts w:hint="eastAsia"/>
          <w:color w:val="auto"/>
          <w:highlight w:val="none"/>
        </w:rPr>
      </w:pPr>
      <w:r>
        <w:rPr>
          <w:rFonts w:hint="eastAsia"/>
          <w:color w:val="auto"/>
          <w:highlight w:val="none"/>
        </w:rPr>
        <w:t xml:space="preserve">甲方：重庆三峡银行股份有限公司    乙方：                    </w:t>
      </w:r>
    </w:p>
    <w:p w14:paraId="2BA2F2A8">
      <w:pPr>
        <w:bidi w:val="0"/>
        <w:rPr>
          <w:rFonts w:hint="eastAsia"/>
          <w:color w:val="auto"/>
          <w:highlight w:val="none"/>
        </w:rPr>
      </w:pPr>
      <w:r>
        <w:rPr>
          <w:rFonts w:hint="eastAsia"/>
          <w:color w:val="auto"/>
          <w:highlight w:val="none"/>
        </w:rPr>
        <w:t xml:space="preserve">                                                               （公章）                          （公章）</w:t>
      </w:r>
    </w:p>
    <w:p w14:paraId="4DB80D96">
      <w:pPr>
        <w:bidi w:val="0"/>
        <w:rPr>
          <w:color w:val="auto"/>
          <w:highlight w:val="none"/>
        </w:rPr>
      </w:pPr>
    </w:p>
    <w:p w14:paraId="3A733C67">
      <w:pPr>
        <w:bidi w:val="0"/>
        <w:rPr>
          <w:color w:val="auto"/>
          <w:highlight w:val="none"/>
        </w:rPr>
      </w:pPr>
    </w:p>
    <w:p w14:paraId="2DAFE4F2">
      <w:pPr>
        <w:bidi w:val="0"/>
        <w:rPr>
          <w:color w:val="auto"/>
          <w:highlight w:val="none"/>
        </w:rPr>
        <w:sectPr>
          <w:footerReference r:id="rId5" w:type="default"/>
          <w:pgSz w:w="11906" w:h="16838"/>
          <w:pgMar w:top="1440" w:right="1800" w:bottom="1440" w:left="1800" w:header="851" w:footer="992" w:gutter="0"/>
          <w:pgNumType w:fmt="decimal" w:start="1"/>
          <w:cols w:space="720" w:num="1"/>
          <w:docGrid w:type="lines" w:linePitch="312" w:charSpace="6144"/>
        </w:sectPr>
      </w:pPr>
    </w:p>
    <w:p w14:paraId="3E0F173B">
      <w:pPr>
        <w:pStyle w:val="2"/>
        <w:bidi w:val="0"/>
        <w:rPr>
          <w:color w:val="auto"/>
          <w:highlight w:val="none"/>
        </w:rPr>
      </w:pPr>
      <w:bookmarkStart w:id="243" w:name="_Toc2560"/>
      <w:bookmarkStart w:id="244" w:name="_Toc21542"/>
      <w:r>
        <w:rPr>
          <w:rFonts w:hint="eastAsia"/>
          <w:color w:val="auto"/>
          <w:highlight w:val="none"/>
        </w:rPr>
        <w:t>第</w:t>
      </w:r>
      <w:r>
        <w:rPr>
          <w:rFonts w:hint="eastAsia"/>
          <w:color w:val="auto"/>
          <w:highlight w:val="none"/>
          <w:lang w:val="en-US" w:eastAsia="zh-CN"/>
        </w:rPr>
        <w:t>六</w:t>
      </w:r>
      <w:r>
        <w:rPr>
          <w:rFonts w:hint="eastAsia"/>
          <w:color w:val="auto"/>
          <w:highlight w:val="none"/>
        </w:rPr>
        <w:t>章 参选文件</w:t>
      </w:r>
      <w:bookmarkEnd w:id="67"/>
      <w:bookmarkEnd w:id="68"/>
      <w:bookmarkStart w:id="245" w:name="_Toc303066035"/>
      <w:r>
        <w:rPr>
          <w:rFonts w:hint="eastAsia"/>
          <w:color w:val="auto"/>
          <w:highlight w:val="none"/>
        </w:rPr>
        <w:t>格式</w:t>
      </w:r>
      <w:bookmarkEnd w:id="243"/>
      <w:bookmarkEnd w:id="244"/>
    </w:p>
    <w:bookmarkEnd w:id="245"/>
    <w:p w14:paraId="76449587">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u w:val="single"/>
        </w:rPr>
      </w:pPr>
    </w:p>
    <w:p w14:paraId="10AFBE05">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重庆三峡银行</w:t>
      </w:r>
    </w:p>
    <w:p w14:paraId="613CED92">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智能设备维保采购项目</w:t>
      </w:r>
    </w:p>
    <w:p w14:paraId="690F5993">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color w:val="auto"/>
          <w:kern w:val="0"/>
          <w:sz w:val="44"/>
          <w:highlight w:val="none"/>
        </w:rPr>
      </w:pPr>
    </w:p>
    <w:p w14:paraId="7FE2C7A2">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color w:val="auto"/>
          <w:kern w:val="0"/>
          <w:sz w:val="44"/>
          <w:highlight w:val="none"/>
        </w:rPr>
      </w:pPr>
    </w:p>
    <w:p w14:paraId="1480A625">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84"/>
          <w:highlight w:val="none"/>
        </w:rPr>
      </w:pPr>
      <w:r>
        <w:rPr>
          <w:rFonts w:hint="eastAsia" w:ascii="宋体" w:hAnsi="宋体"/>
          <w:b/>
          <w:color w:val="auto"/>
          <w:kern w:val="0"/>
          <w:sz w:val="84"/>
          <w:highlight w:val="none"/>
        </w:rPr>
        <w:t>参  选  文  件</w:t>
      </w:r>
    </w:p>
    <w:p w14:paraId="2D73D94A">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color w:val="auto"/>
          <w:kern w:val="0"/>
          <w:sz w:val="16"/>
          <w:highlight w:val="none"/>
        </w:rPr>
      </w:pPr>
    </w:p>
    <w:p w14:paraId="4C93B2B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3F575816">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0C77838D">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003FB54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540F4BB7">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778DB578">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49BB508B">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4D90F0D2">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4DB9CCCE">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6E4548C8">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0D6CFA2A">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ascii="Times New Roman" w:hAnsi="Times New Roman"/>
          <w:color w:val="auto"/>
          <w:highlight w:val="none"/>
        </w:rPr>
        <w:t>/分支机构负责人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3104534B">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4DA55158">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rPr>
      </w:pPr>
    </w:p>
    <w:p w14:paraId="582BFE2B">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right="0" w:firstLine="0" w:firstLineChars="0"/>
        <w:jc w:val="center"/>
        <w:textAlignment w:val="auto"/>
        <w:rPr>
          <w:rFonts w:ascii="宋体" w:hAnsi="宋体"/>
          <w:snapToGrid w:val="0"/>
          <w:color w:val="auto"/>
          <w:kern w:val="0"/>
          <w:szCs w:val="28"/>
          <w:highlight w:val="none"/>
        </w:rPr>
      </w:pPr>
    </w:p>
    <w:p w14:paraId="28BB9C1B">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right="0" w:firstLine="0" w:firstLineChars="0"/>
        <w:jc w:val="center"/>
        <w:textAlignment w:val="auto"/>
        <w:rPr>
          <w:rFonts w:ascii="宋体" w:hAnsi="宋体"/>
          <w:snapToGrid w:val="0"/>
          <w:color w:val="auto"/>
          <w:kern w:val="0"/>
          <w:szCs w:val="28"/>
          <w:highlight w:val="none"/>
        </w:rPr>
      </w:pPr>
    </w:p>
    <w:p w14:paraId="2107E038">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right="0" w:firstLine="0" w:firstLineChars="0"/>
        <w:jc w:val="center"/>
        <w:textAlignment w:val="auto"/>
        <w:rPr>
          <w:rFonts w:ascii="宋体" w:hAnsi="宋体"/>
          <w:snapToGrid w:val="0"/>
          <w:color w:val="auto"/>
          <w:kern w:val="0"/>
          <w:szCs w:val="28"/>
          <w:highlight w:val="none"/>
        </w:rPr>
        <w:sectPr>
          <w:footerReference r:id="rId6" w:type="default"/>
          <w:pgSz w:w="11906" w:h="16838"/>
          <w:pgMar w:top="1440" w:right="1800" w:bottom="1440" w:left="1800" w:header="851" w:footer="992" w:gutter="0"/>
          <w:pgNumType w:fmt="decimal"/>
          <w:cols w:space="720" w:num="1"/>
          <w:docGrid w:type="lines" w:linePitch="312" w:charSpace="6144"/>
        </w:sectPr>
      </w:pPr>
    </w:p>
    <w:p w14:paraId="7571401C">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firstLine="0" w:firstLineChars="0"/>
        <w:jc w:val="center"/>
        <w:textAlignment w:val="auto"/>
        <w:outlineLvl w:val="1"/>
        <w:rPr>
          <w:rFonts w:ascii="宋体" w:hAnsi="宋体"/>
          <w:b/>
          <w:snapToGrid w:val="0"/>
          <w:color w:val="auto"/>
          <w:kern w:val="0"/>
          <w:sz w:val="36"/>
          <w:szCs w:val="28"/>
          <w:highlight w:val="none"/>
        </w:rPr>
      </w:pPr>
      <w:r>
        <w:rPr>
          <w:rFonts w:hint="eastAsia" w:ascii="宋体" w:hAnsi="宋体"/>
          <w:b/>
          <w:snapToGrid w:val="0"/>
          <w:color w:val="auto"/>
          <w:kern w:val="0"/>
          <w:sz w:val="36"/>
          <w:szCs w:val="28"/>
          <w:highlight w:val="none"/>
        </w:rPr>
        <w:t>目  录</w:t>
      </w:r>
    </w:p>
    <w:p w14:paraId="4970502B">
      <w:pPr>
        <w:bidi w:val="0"/>
        <w:rPr>
          <w:rFonts w:hint="eastAsia"/>
          <w:color w:val="auto"/>
          <w:highlight w:val="none"/>
        </w:rPr>
      </w:pPr>
      <w:r>
        <w:rPr>
          <w:rFonts w:hint="eastAsia"/>
          <w:color w:val="auto"/>
          <w:highlight w:val="none"/>
          <w:lang w:val="en-US" w:eastAsia="zh-CN"/>
        </w:rPr>
        <w:t>一、</w:t>
      </w:r>
      <w:r>
        <w:rPr>
          <w:rFonts w:hint="eastAsia"/>
          <w:color w:val="auto"/>
          <w:highlight w:val="none"/>
        </w:rPr>
        <w:t>参选函</w:t>
      </w:r>
    </w:p>
    <w:p w14:paraId="6327226A">
      <w:pPr>
        <w:rPr>
          <w:color w:val="auto"/>
          <w:highlight w:val="none"/>
          <w:lang w:val="en-US" w:eastAsia="zh-CN"/>
        </w:rPr>
      </w:pPr>
      <w:r>
        <w:rPr>
          <w:rFonts w:hint="eastAsia"/>
          <w:color w:val="auto"/>
          <w:highlight w:val="none"/>
          <w:lang w:val="en-US" w:eastAsia="zh-CN"/>
        </w:rPr>
        <w:t>二、报价一览表</w:t>
      </w:r>
    </w:p>
    <w:p w14:paraId="14C052DD">
      <w:pPr>
        <w:bidi w:val="0"/>
        <w:rPr>
          <w:color w:val="auto"/>
          <w:highlight w:val="none"/>
          <w:lang w:val="en-US" w:eastAsia="zh-CN"/>
        </w:rPr>
      </w:pPr>
      <w:r>
        <w:rPr>
          <w:rFonts w:hint="eastAsia"/>
          <w:color w:val="auto"/>
          <w:highlight w:val="none"/>
          <w:lang w:val="en-US" w:eastAsia="zh-CN"/>
        </w:rPr>
        <w:t>三、资格性文件</w:t>
      </w:r>
    </w:p>
    <w:p w14:paraId="72C081CD">
      <w:pPr>
        <w:bidi w:val="0"/>
        <w:rPr>
          <w:color w:val="auto"/>
          <w:highlight w:val="none"/>
        </w:rPr>
      </w:pPr>
      <w:r>
        <w:rPr>
          <w:color w:val="auto"/>
          <w:highlight w:val="none"/>
          <w:lang w:eastAsia="zh-CN"/>
        </w:rPr>
        <w:t>（</w:t>
      </w:r>
      <w:r>
        <w:rPr>
          <w:color w:val="auto"/>
          <w:highlight w:val="none"/>
          <w:lang w:val="en-US" w:eastAsia="zh-CN"/>
        </w:rPr>
        <w:t>一</w:t>
      </w:r>
      <w:r>
        <w:rPr>
          <w:color w:val="auto"/>
          <w:highlight w:val="none"/>
          <w:lang w:eastAsia="zh-CN"/>
        </w:rPr>
        <w:t>）</w:t>
      </w:r>
      <w:r>
        <w:rPr>
          <w:color w:val="auto"/>
          <w:highlight w:val="none"/>
        </w:rPr>
        <w:t>参选人基本情况介绍，资质证明等</w:t>
      </w:r>
    </w:p>
    <w:p w14:paraId="78658493">
      <w:pPr>
        <w:bidi w:val="0"/>
        <w:rPr>
          <w:color w:val="auto"/>
          <w:highlight w:val="none"/>
        </w:rPr>
      </w:pPr>
      <w:r>
        <w:rPr>
          <w:color w:val="auto"/>
          <w:highlight w:val="none"/>
          <w:lang w:eastAsia="zh-CN"/>
        </w:rPr>
        <w:t>（</w:t>
      </w:r>
      <w:r>
        <w:rPr>
          <w:color w:val="auto"/>
          <w:highlight w:val="none"/>
          <w:lang w:val="en-US" w:eastAsia="zh-CN"/>
        </w:rPr>
        <w:t>二</w:t>
      </w:r>
      <w:r>
        <w:rPr>
          <w:color w:val="auto"/>
          <w:highlight w:val="none"/>
          <w:lang w:eastAsia="zh-CN"/>
        </w:rPr>
        <w:t>）</w:t>
      </w:r>
      <w:r>
        <w:rPr>
          <w:color w:val="auto"/>
          <w:highlight w:val="none"/>
        </w:rPr>
        <w:t>法定代表人</w:t>
      </w:r>
      <w:r>
        <w:rPr>
          <w:rFonts w:hint="eastAsia"/>
          <w:color w:val="auto"/>
          <w:highlight w:val="none"/>
          <w:lang w:val="en-US" w:eastAsia="zh-CN"/>
        </w:rPr>
        <w:t>/分支机构负责人</w:t>
      </w:r>
      <w:r>
        <w:rPr>
          <w:color w:val="auto"/>
          <w:highlight w:val="none"/>
        </w:rPr>
        <w:t>身份证明及授权委托书</w:t>
      </w:r>
    </w:p>
    <w:p w14:paraId="7E03D839">
      <w:pPr>
        <w:bidi w:val="0"/>
        <w:rPr>
          <w:color w:val="auto"/>
          <w:highlight w:val="none"/>
        </w:rPr>
      </w:pPr>
      <w:r>
        <w:rPr>
          <w:rFonts w:hint="eastAsia"/>
          <w:color w:val="auto"/>
          <w:highlight w:val="none"/>
          <w:lang w:val="en-US" w:eastAsia="zh-CN"/>
        </w:rPr>
        <w:t>（三）</w:t>
      </w:r>
      <w:r>
        <w:rPr>
          <w:rFonts w:hint="eastAsia"/>
          <w:color w:val="auto"/>
          <w:highlight w:val="none"/>
        </w:rPr>
        <w:t>书面声明</w:t>
      </w:r>
    </w:p>
    <w:p w14:paraId="3C1C050A">
      <w:pPr>
        <w:bidi w:val="0"/>
        <w:rPr>
          <w:color w:val="auto"/>
          <w:highlight w:val="none"/>
        </w:rPr>
      </w:pPr>
      <w:r>
        <w:rPr>
          <w:color w:val="auto"/>
          <w:highlight w:val="none"/>
        </w:rPr>
        <w:t>（</w:t>
      </w:r>
      <w:r>
        <w:rPr>
          <w:rFonts w:hint="eastAsia"/>
          <w:color w:val="auto"/>
          <w:highlight w:val="none"/>
          <w:lang w:val="en-US" w:eastAsia="zh-CN"/>
        </w:rPr>
        <w:t>四</w:t>
      </w:r>
      <w:r>
        <w:rPr>
          <w:color w:val="auto"/>
          <w:highlight w:val="none"/>
        </w:rPr>
        <w:t>）中国执行信息公开网截图</w:t>
      </w:r>
    </w:p>
    <w:p w14:paraId="249F5171">
      <w:pPr>
        <w:bidi w:val="0"/>
        <w:rPr>
          <w:rFonts w:hint="eastAsia"/>
          <w:color w:val="auto"/>
          <w:highlight w:val="none"/>
          <w:lang w:val="zh-CN"/>
        </w:rPr>
      </w:pPr>
      <w:r>
        <w:rPr>
          <w:rFonts w:hint="eastAsia"/>
          <w:color w:val="auto"/>
          <w:highlight w:val="none"/>
          <w:lang w:val="zh-CN"/>
        </w:rPr>
        <w:t>（</w:t>
      </w:r>
      <w:r>
        <w:rPr>
          <w:rFonts w:hint="eastAsia"/>
          <w:color w:val="auto"/>
          <w:highlight w:val="none"/>
          <w:lang w:val="en-US" w:eastAsia="zh-CN"/>
        </w:rPr>
        <w:t>五</w:t>
      </w:r>
      <w:r>
        <w:rPr>
          <w:rFonts w:hint="eastAsia"/>
          <w:color w:val="auto"/>
          <w:highlight w:val="none"/>
          <w:lang w:val="zh-CN"/>
        </w:rPr>
        <w:t>）重庆市内内房屋租赁合同或产权证明</w:t>
      </w:r>
    </w:p>
    <w:p w14:paraId="71104549">
      <w:pPr>
        <w:rPr>
          <w:rFonts w:hint="eastAsia"/>
          <w:color w:val="auto"/>
          <w:highlight w:val="none"/>
          <w:lang w:val="en-US" w:eastAsia="zh-CN"/>
        </w:rPr>
      </w:pPr>
      <w:r>
        <w:rPr>
          <w:rFonts w:hint="eastAsia"/>
          <w:color w:val="auto"/>
          <w:highlight w:val="none"/>
          <w:lang w:val="zh-CN"/>
        </w:rPr>
        <w:t>（</w:t>
      </w:r>
      <w:r>
        <w:rPr>
          <w:rFonts w:hint="eastAsia"/>
          <w:color w:val="auto"/>
          <w:highlight w:val="none"/>
          <w:lang w:val="en-US" w:eastAsia="zh-CN"/>
        </w:rPr>
        <w:t>六</w:t>
      </w:r>
      <w:r>
        <w:rPr>
          <w:rFonts w:hint="eastAsia"/>
          <w:color w:val="auto"/>
          <w:highlight w:val="none"/>
          <w:lang w:val="zh-CN"/>
        </w:rPr>
        <w:t>）</w:t>
      </w:r>
      <w:r>
        <w:rPr>
          <w:rFonts w:hint="eastAsia"/>
          <w:color w:val="auto"/>
          <w:highlight w:val="none"/>
          <w:lang w:val="en-US" w:eastAsia="zh-CN"/>
        </w:rPr>
        <w:t>其他（如有）</w:t>
      </w:r>
    </w:p>
    <w:p w14:paraId="1354E66E">
      <w:pPr>
        <w:bidi w:val="0"/>
        <w:rPr>
          <w:rFonts w:hint="eastAsia"/>
          <w:color w:val="auto"/>
          <w:highlight w:val="none"/>
          <w:lang w:val="en-US" w:eastAsia="zh-CN"/>
        </w:rPr>
      </w:pPr>
      <w:r>
        <w:rPr>
          <w:rFonts w:hint="eastAsia"/>
          <w:color w:val="auto"/>
          <w:highlight w:val="none"/>
          <w:lang w:val="en-US" w:eastAsia="zh-CN"/>
        </w:rPr>
        <w:t>四、响应性文件</w:t>
      </w:r>
    </w:p>
    <w:p w14:paraId="76397EFB">
      <w:pPr>
        <w:bidi w:val="0"/>
        <w:rPr>
          <w:rFonts w:hint="eastAsia"/>
          <w:color w:val="auto"/>
          <w:highlight w:val="none"/>
          <w:lang w:val="en-US" w:eastAsia="zh-CN"/>
        </w:rPr>
      </w:pPr>
      <w:r>
        <w:rPr>
          <w:rFonts w:hint="eastAsia"/>
          <w:color w:val="auto"/>
          <w:highlight w:val="none"/>
          <w:lang w:val="en-US" w:eastAsia="zh-CN"/>
        </w:rPr>
        <w:t>（一）响应承诺函</w:t>
      </w:r>
    </w:p>
    <w:p w14:paraId="36B1DBF0">
      <w:pPr>
        <w:bidi w:val="0"/>
        <w:rPr>
          <w:rFonts w:hint="eastAsia"/>
          <w:color w:val="auto"/>
          <w:highlight w:val="none"/>
        </w:rPr>
      </w:pPr>
      <w:r>
        <w:rPr>
          <w:rFonts w:hint="eastAsia"/>
          <w:color w:val="auto"/>
          <w:highlight w:val="none"/>
          <w:lang w:val="en-US" w:eastAsia="zh-CN"/>
        </w:rPr>
        <w:t>（二）</w:t>
      </w:r>
      <w:r>
        <w:rPr>
          <w:rFonts w:hint="eastAsia"/>
          <w:color w:val="auto"/>
          <w:highlight w:val="none"/>
        </w:rPr>
        <w:t>参选保证金</w:t>
      </w:r>
    </w:p>
    <w:p w14:paraId="674165B1">
      <w:pPr>
        <w:bidi w:val="0"/>
        <w:rPr>
          <w:rFonts w:hint="eastAsia"/>
          <w:color w:val="auto"/>
          <w:highlight w:val="none"/>
          <w:lang w:val="en-US" w:eastAsia="zh-CN"/>
        </w:rPr>
      </w:pPr>
      <w:r>
        <w:rPr>
          <w:rFonts w:hint="eastAsia"/>
          <w:color w:val="auto"/>
          <w:highlight w:val="none"/>
          <w:lang w:val="en-US" w:eastAsia="zh-CN"/>
        </w:rPr>
        <w:t>（三）知识产权承诺函</w:t>
      </w:r>
    </w:p>
    <w:p w14:paraId="605519F1">
      <w:pPr>
        <w:bidi w:val="0"/>
        <w:rPr>
          <w:rFonts w:hint="eastAsia"/>
          <w:color w:val="auto"/>
          <w:highlight w:val="none"/>
          <w:lang w:val="en-US" w:eastAsia="zh-CN"/>
        </w:rPr>
      </w:pPr>
      <w:r>
        <w:rPr>
          <w:rFonts w:hint="eastAsia"/>
          <w:color w:val="auto"/>
          <w:highlight w:val="none"/>
          <w:lang w:val="zh-CN"/>
        </w:rPr>
        <w:t>（</w:t>
      </w:r>
      <w:r>
        <w:rPr>
          <w:rFonts w:hint="eastAsia"/>
          <w:color w:val="auto"/>
          <w:highlight w:val="none"/>
          <w:lang w:val="en-US" w:eastAsia="zh-CN"/>
        </w:rPr>
        <w:t>四</w:t>
      </w:r>
      <w:r>
        <w:rPr>
          <w:rFonts w:hint="eastAsia"/>
          <w:color w:val="auto"/>
          <w:highlight w:val="none"/>
          <w:lang w:val="zh-CN"/>
        </w:rPr>
        <w:t>）</w:t>
      </w:r>
      <w:r>
        <w:rPr>
          <w:rFonts w:hint="eastAsia"/>
          <w:color w:val="auto"/>
          <w:highlight w:val="none"/>
          <w:lang w:val="en-US" w:eastAsia="zh-CN"/>
        </w:rPr>
        <w:t>其他（如有）</w:t>
      </w:r>
    </w:p>
    <w:p w14:paraId="6D9D8520">
      <w:pPr>
        <w:bidi w:val="0"/>
        <w:rPr>
          <w:rFonts w:hint="eastAsia"/>
          <w:color w:val="auto"/>
          <w:highlight w:val="none"/>
          <w:lang w:val="en-US" w:eastAsia="zh-CN"/>
        </w:rPr>
      </w:pPr>
      <w:r>
        <w:rPr>
          <w:rFonts w:hint="eastAsia"/>
          <w:color w:val="auto"/>
          <w:highlight w:val="none"/>
          <w:lang w:val="en-US" w:eastAsia="zh-CN"/>
        </w:rPr>
        <w:t>五、其他（如有）</w:t>
      </w:r>
    </w:p>
    <w:p w14:paraId="7022ACA2">
      <w:pPr>
        <w:snapToGrid/>
        <w:spacing w:line="360" w:lineRule="auto"/>
        <w:rPr>
          <w:rFonts w:hint="eastAsia" w:ascii="宋体" w:eastAsia="宋体" w:cs="宋体"/>
          <w:color w:val="auto"/>
          <w:highlight w:val="none"/>
        </w:rPr>
      </w:pPr>
    </w:p>
    <w:p w14:paraId="10F8C8B0">
      <w:pPr>
        <w:snapToGrid/>
        <w:spacing w:line="360" w:lineRule="auto"/>
        <w:rPr>
          <w:rFonts w:hint="eastAsia" w:ascii="宋体" w:eastAsia="宋体" w:cs="宋体"/>
          <w:color w:val="auto"/>
          <w:highlight w:val="none"/>
        </w:rPr>
      </w:pPr>
    </w:p>
    <w:p w14:paraId="227CFCA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1"/>
        <w:rPr>
          <w:rStyle w:val="24"/>
          <w:color w:val="auto"/>
          <w:highlight w:val="none"/>
        </w:rPr>
      </w:pPr>
      <w:r>
        <w:rPr>
          <w:rFonts w:hint="eastAsia" w:ascii="宋体" w:eastAsia="宋体" w:cs="宋体"/>
          <w:color w:val="auto"/>
          <w:highlight w:val="none"/>
        </w:rPr>
        <w:br w:type="page"/>
      </w:r>
      <w:r>
        <w:rPr>
          <w:rStyle w:val="24"/>
          <w:rFonts w:hint="eastAsia"/>
          <w:color w:val="auto"/>
          <w:highlight w:val="none"/>
          <w:lang w:val="en-US" w:eastAsia="zh-CN"/>
        </w:rPr>
        <w:t>一、</w:t>
      </w:r>
      <w:r>
        <w:rPr>
          <w:rStyle w:val="24"/>
          <w:rFonts w:hint="eastAsia"/>
          <w:color w:val="auto"/>
          <w:highlight w:val="none"/>
        </w:rPr>
        <w:t>参选函</w:t>
      </w:r>
    </w:p>
    <w:p w14:paraId="390570E2">
      <w:pPr>
        <w:tabs>
          <w:tab w:val="left" w:pos="6300"/>
        </w:tabs>
        <w:snapToGrid w:val="0"/>
        <w:spacing w:line="360" w:lineRule="auto"/>
        <w:ind w:right="-29" w:rightChars="-14"/>
        <w:rPr>
          <w:rFonts w:ascii="宋体" w:hAnsi="宋体"/>
          <w:snapToGrid w:val="0"/>
          <w:color w:val="auto"/>
          <w:kern w:val="0"/>
          <w:sz w:val="24"/>
          <w:szCs w:val="24"/>
          <w:highlight w:val="none"/>
          <w:u w:val="single"/>
        </w:rPr>
      </w:pPr>
    </w:p>
    <w:p w14:paraId="2CAE3FC7">
      <w:pPr>
        <w:tabs>
          <w:tab w:val="left" w:pos="6300"/>
        </w:tabs>
        <w:snapToGrid w:val="0"/>
        <w:spacing w:line="360" w:lineRule="auto"/>
        <w:ind w:right="-29" w:rightChars="-14"/>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u w:val="single"/>
        </w:rPr>
        <w:t>重庆三峡银行股份有限公司</w:t>
      </w:r>
      <w:r>
        <w:rPr>
          <w:rFonts w:hint="eastAsia" w:ascii="宋体" w:hAnsi="宋体"/>
          <w:snapToGrid w:val="0"/>
          <w:color w:val="auto"/>
          <w:kern w:val="0"/>
          <w:sz w:val="24"/>
          <w:szCs w:val="24"/>
          <w:highlight w:val="none"/>
        </w:rPr>
        <w:t>：</w:t>
      </w:r>
    </w:p>
    <w:p w14:paraId="67612FF1">
      <w:pPr>
        <w:tabs>
          <w:tab w:val="left" w:pos="6300"/>
        </w:tabs>
        <w:snapToGrid w:val="0"/>
        <w:spacing w:line="360" w:lineRule="auto"/>
        <w:ind w:right="-29" w:rightChars="-14"/>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我方收到</w:t>
      </w:r>
      <w:r>
        <w:rPr>
          <w:rFonts w:hint="eastAsia" w:ascii="宋体" w:hAnsi="宋体"/>
          <w:snapToGrid w:val="0"/>
          <w:color w:val="auto"/>
          <w:kern w:val="0"/>
          <w:sz w:val="24"/>
          <w:szCs w:val="24"/>
          <w:highlight w:val="none"/>
          <w:u w:val="none"/>
        </w:rPr>
        <w:t>___________________</w:t>
      </w:r>
      <w:r>
        <w:rPr>
          <w:rFonts w:hint="eastAsia" w:ascii="宋体" w:hAnsi="宋体"/>
          <w:snapToGrid w:val="0"/>
          <w:color w:val="auto"/>
          <w:kern w:val="0"/>
          <w:sz w:val="24"/>
          <w:szCs w:val="24"/>
          <w:highlight w:val="none"/>
        </w:rPr>
        <w:t>比选文件，经详细研究，决定参加该比选项目的</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w:t>
      </w:r>
    </w:p>
    <w:p w14:paraId="22736BD3">
      <w:pPr>
        <w:tabs>
          <w:tab w:val="left" w:pos="6300"/>
        </w:tabs>
        <w:autoSpaceDE w:val="0"/>
        <w:autoSpaceDN w:val="0"/>
        <w:snapToGrid w:val="0"/>
        <w:spacing w:line="360" w:lineRule="auto"/>
        <w:ind w:left="0" w:right="-29" w:rightChars="-14" w:firstLine="573" w:firstLineChars="0"/>
        <w:rPr>
          <w:rFonts w:hint="eastAsia" w:ascii="宋体" w:hAnsi="宋体"/>
          <w:snapToGrid w:val="0"/>
          <w:color w:val="auto"/>
          <w:kern w:val="0"/>
          <w:sz w:val="24"/>
          <w:szCs w:val="24"/>
          <w:highlight w:val="none"/>
          <w:u w:val="single"/>
        </w:rPr>
      </w:pPr>
      <w:r>
        <w:rPr>
          <w:rFonts w:hint="eastAsia" w:ascii="宋体" w:eastAsia="宋体" w:cs="Cambria Math"/>
          <w:snapToGrid w:val="0"/>
          <w:color w:val="auto"/>
          <w:kern w:val="0"/>
          <w:sz w:val="24"/>
          <w:szCs w:val="24"/>
          <w:highlight w:val="none"/>
          <w:lang w:val="en-US" w:eastAsia="zh-CN" w:bidi="ar-SA"/>
        </w:rPr>
        <w:t>1、</w:t>
      </w:r>
      <w:r>
        <w:rPr>
          <w:rFonts w:hint="eastAsia" w:ascii="宋体" w:hAnsi="宋体"/>
          <w:snapToGrid w:val="0"/>
          <w:color w:val="auto"/>
          <w:kern w:val="0"/>
          <w:sz w:val="24"/>
          <w:szCs w:val="24"/>
          <w:highlight w:val="none"/>
        </w:rPr>
        <w:t>愿意按照比选文件中的一切要求，</w:t>
      </w:r>
      <w:r>
        <w:rPr>
          <w:rFonts w:hint="eastAsia" w:ascii="宋体" w:hAnsi="宋体" w:cs="仿宋_GB2312"/>
          <w:snapToGrid w:val="0"/>
          <w:color w:val="auto"/>
          <w:kern w:val="0"/>
          <w:sz w:val="24"/>
          <w:szCs w:val="24"/>
          <w:highlight w:val="none"/>
          <w:lang w:bidi="ar-SA"/>
        </w:rPr>
        <w:t>提供比选货物的技术服务。</w:t>
      </w:r>
      <w:r>
        <w:rPr>
          <w:rFonts w:hint="eastAsia" w:ascii="宋体" w:hAnsi="宋体"/>
          <w:snapToGrid w:val="0"/>
          <w:color w:val="auto"/>
          <w:kern w:val="0"/>
          <w:sz w:val="24"/>
          <w:szCs w:val="24"/>
          <w:highlight w:val="none"/>
        </w:rPr>
        <w:t>以</w:t>
      </w:r>
      <w:r>
        <w:rPr>
          <w:rFonts w:hint="eastAsia" w:ascii="宋体" w:hAnsi="宋体" w:cs="Cambria"/>
          <w:snapToGrid w:val="0"/>
          <w:color w:val="auto"/>
          <w:kern w:val="0"/>
          <w:sz w:val="24"/>
          <w:szCs w:val="24"/>
          <w:highlight w:val="none"/>
          <w:lang w:bidi="ar-SA"/>
        </w:rPr>
        <w:t>参选</w:t>
      </w:r>
      <w:r>
        <w:rPr>
          <w:rFonts w:hint="eastAsia" w:ascii="宋体" w:hAnsi="宋体" w:cs="Cambria"/>
          <w:snapToGrid w:val="0"/>
          <w:color w:val="auto"/>
          <w:kern w:val="0"/>
          <w:sz w:val="24"/>
          <w:szCs w:val="24"/>
          <w:highlight w:val="none"/>
          <w:lang w:val="en-US" w:eastAsia="zh-CN" w:bidi="ar-SA"/>
        </w:rPr>
        <w:t>报</w:t>
      </w:r>
      <w:r>
        <w:rPr>
          <w:rFonts w:hint="eastAsia" w:ascii="宋体" w:hAnsi="宋体"/>
          <w:snapToGrid w:val="0"/>
          <w:color w:val="auto"/>
          <w:kern w:val="0"/>
          <w:sz w:val="24"/>
          <w:szCs w:val="24"/>
          <w:highlight w:val="none"/>
        </w:rPr>
        <w:t>价</w:t>
      </w:r>
      <w:r>
        <w:rPr>
          <w:rFonts w:hint="eastAsia" w:ascii="宋体" w:hAnsi="宋体"/>
          <w:snapToGrid w:val="0"/>
          <w:color w:val="auto"/>
          <w:kern w:val="0"/>
          <w:sz w:val="24"/>
          <w:szCs w:val="24"/>
          <w:highlight w:val="none"/>
          <w:lang w:eastAsia="zh-CN"/>
        </w:rPr>
        <w:t>（</w:t>
      </w:r>
      <w:r>
        <w:rPr>
          <w:rFonts w:hint="eastAsia" w:ascii="宋体" w:hAnsi="宋体"/>
          <w:snapToGrid w:val="0"/>
          <w:color w:val="auto"/>
          <w:kern w:val="0"/>
          <w:sz w:val="24"/>
          <w:szCs w:val="24"/>
          <w:highlight w:val="none"/>
          <w:lang w:val="en-US" w:eastAsia="zh-CN"/>
        </w:rPr>
        <w:t>含税</w:t>
      </w:r>
      <w:r>
        <w:rPr>
          <w:rFonts w:hint="eastAsia" w:ascii="宋体" w:hAnsi="宋体"/>
          <w:snapToGrid w:val="0"/>
          <w:color w:val="auto"/>
          <w:kern w:val="0"/>
          <w:sz w:val="24"/>
          <w:szCs w:val="24"/>
          <w:highlight w:val="none"/>
          <w:lang w:eastAsia="zh-CN"/>
        </w:rPr>
        <w:t>）</w:t>
      </w:r>
      <w:r>
        <w:rPr>
          <w:rFonts w:hint="eastAsia" w:ascii="宋体" w:hAnsi="宋体"/>
          <w:snapToGrid w:val="0"/>
          <w:color w:val="auto"/>
          <w:kern w:val="0"/>
          <w:sz w:val="24"/>
          <w:szCs w:val="24"/>
          <w:highlight w:val="none"/>
        </w:rPr>
        <w:t>承担和完成本项目。</w:t>
      </w:r>
    </w:p>
    <w:p w14:paraId="394EBFCE">
      <w:pPr>
        <w:tabs>
          <w:tab w:val="left" w:pos="6300"/>
        </w:tabs>
        <w:snapToGrid w:val="0"/>
        <w:spacing w:line="360" w:lineRule="auto"/>
        <w:ind w:right="-29" w:rightChars="-14"/>
        <w:rPr>
          <w:rFonts w:hint="eastAsia" w:ascii="宋体" w:hAnsi="宋体"/>
          <w:snapToGrid w:val="0"/>
          <w:color w:val="auto"/>
          <w:kern w:val="0"/>
          <w:sz w:val="24"/>
          <w:szCs w:val="24"/>
          <w:highlight w:val="none"/>
        </w:rPr>
      </w:pP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、我方现提交的参选文件为：参选文件正本一份，副本一份，电子文件一份。</w:t>
      </w:r>
    </w:p>
    <w:p w14:paraId="4D48DFF5">
      <w:pPr>
        <w:tabs>
          <w:tab w:val="left" w:pos="6300"/>
        </w:tabs>
        <w:snapToGrid w:val="0"/>
        <w:spacing w:line="360" w:lineRule="auto"/>
        <w:ind w:right="-29" w:rightChars="-14"/>
        <w:rPr>
          <w:rFonts w:hint="eastAsia" w:ascii="宋体" w:hAnsi="宋体"/>
          <w:snapToGrid w:val="0"/>
          <w:color w:val="auto"/>
          <w:kern w:val="0"/>
          <w:sz w:val="24"/>
          <w:szCs w:val="24"/>
          <w:highlight w:val="none"/>
        </w:rPr>
      </w:pPr>
      <w:r>
        <w:rPr>
          <w:rFonts w:ascii="宋体" w:hAnsi="宋体"/>
          <w:snapToGrid w:val="0"/>
          <w:color w:val="auto"/>
          <w:kern w:val="0"/>
          <w:sz w:val="24"/>
          <w:szCs w:val="24"/>
          <w:highlight w:val="none"/>
        </w:rPr>
        <w:t>3</w:t>
      </w:r>
      <w:r>
        <w:rPr>
          <w:rFonts w:hint="eastAsia" w:ascii="宋体" w:hAnsi="宋体"/>
          <w:snapToGrid w:val="0"/>
          <w:color w:val="auto"/>
          <w:kern w:val="0"/>
          <w:sz w:val="24"/>
          <w:szCs w:val="24"/>
          <w:highlight w:val="none"/>
        </w:rPr>
        <w:t>、如果我方参选文件被接受，我方将履行比选文件中规定的各项要求，按相关法律法规和合同约定条款承担我方的责任。</w:t>
      </w:r>
    </w:p>
    <w:p w14:paraId="04E8A7B2">
      <w:pPr>
        <w:tabs>
          <w:tab w:val="left" w:pos="6300"/>
        </w:tabs>
        <w:snapToGrid w:val="0"/>
        <w:spacing w:line="360" w:lineRule="auto"/>
        <w:ind w:right="-29" w:rightChars="-14"/>
        <w:rPr>
          <w:rFonts w:hint="eastAsia" w:ascii="宋体" w:hAnsi="宋体"/>
          <w:snapToGrid w:val="0"/>
          <w:color w:val="auto"/>
          <w:kern w:val="0"/>
          <w:sz w:val="24"/>
          <w:szCs w:val="24"/>
          <w:highlight w:val="none"/>
        </w:rPr>
      </w:pPr>
      <w:r>
        <w:rPr>
          <w:rFonts w:ascii="宋体" w:hAnsi="宋体"/>
          <w:snapToGrid w:val="0"/>
          <w:color w:val="auto"/>
          <w:kern w:val="0"/>
          <w:sz w:val="24"/>
          <w:szCs w:val="24"/>
          <w:highlight w:val="none"/>
        </w:rPr>
        <w:t>4</w:t>
      </w:r>
      <w:r>
        <w:rPr>
          <w:rFonts w:hint="eastAsia" w:ascii="宋体" w:hAnsi="宋体"/>
          <w:snapToGrid w:val="0"/>
          <w:color w:val="auto"/>
          <w:kern w:val="0"/>
          <w:sz w:val="24"/>
          <w:szCs w:val="24"/>
          <w:highlight w:val="none"/>
        </w:rPr>
        <w:t>、我方愿意提供比选文件中要求的所有资料，并对其真实性负责。</w:t>
      </w:r>
    </w:p>
    <w:p w14:paraId="2D40BE19">
      <w:pPr>
        <w:tabs>
          <w:tab w:val="left" w:pos="6300"/>
        </w:tabs>
        <w:snapToGrid w:val="0"/>
        <w:spacing w:line="360" w:lineRule="auto"/>
        <w:ind w:right="-29" w:rightChars="-14"/>
        <w:rPr>
          <w:rFonts w:hint="eastAsia" w:ascii="宋体" w:hAnsi="宋体"/>
          <w:snapToGrid w:val="0"/>
          <w:color w:val="auto"/>
          <w:kern w:val="0"/>
          <w:sz w:val="24"/>
          <w:szCs w:val="24"/>
          <w:highlight w:val="none"/>
        </w:rPr>
      </w:pPr>
      <w:r>
        <w:rPr>
          <w:rFonts w:ascii="宋体" w:hAnsi="宋体"/>
          <w:snapToGrid w:val="0"/>
          <w:color w:val="auto"/>
          <w:kern w:val="0"/>
          <w:sz w:val="24"/>
          <w:szCs w:val="24"/>
          <w:highlight w:val="none"/>
        </w:rPr>
        <w:t>5</w:t>
      </w:r>
      <w:r>
        <w:rPr>
          <w:rFonts w:hint="eastAsia" w:ascii="宋体" w:hAnsi="宋体"/>
          <w:snapToGrid w:val="0"/>
          <w:color w:val="auto"/>
          <w:kern w:val="0"/>
          <w:sz w:val="24"/>
          <w:szCs w:val="24"/>
          <w:highlight w:val="none"/>
        </w:rPr>
        <w:t>、我方理解最低价格不是中选的唯一条件。</w:t>
      </w:r>
    </w:p>
    <w:p w14:paraId="58AF5842">
      <w:pPr>
        <w:tabs>
          <w:tab w:val="left" w:pos="6300"/>
        </w:tabs>
        <w:snapToGrid w:val="0"/>
        <w:spacing w:line="360" w:lineRule="auto"/>
        <w:ind w:right="-29" w:rightChars="-14"/>
        <w:rPr>
          <w:rFonts w:hint="eastAsia" w:ascii="宋体" w:hAnsi="宋体"/>
          <w:snapToGrid w:val="0"/>
          <w:color w:val="auto"/>
          <w:kern w:val="0"/>
          <w:sz w:val="24"/>
          <w:szCs w:val="24"/>
          <w:highlight w:val="none"/>
        </w:rPr>
      </w:pPr>
      <w:r>
        <w:rPr>
          <w:rFonts w:ascii="宋体" w:hAnsi="宋体"/>
          <w:snapToGrid w:val="0"/>
          <w:color w:val="auto"/>
          <w:kern w:val="0"/>
          <w:sz w:val="24"/>
          <w:szCs w:val="24"/>
          <w:highlight w:val="none"/>
        </w:rPr>
        <w:t>6</w:t>
      </w:r>
      <w:r>
        <w:rPr>
          <w:rFonts w:hint="eastAsia" w:ascii="宋体" w:hAnsi="宋体"/>
          <w:snapToGrid w:val="0"/>
          <w:color w:val="auto"/>
          <w:kern w:val="0"/>
          <w:sz w:val="24"/>
          <w:szCs w:val="24"/>
          <w:highlight w:val="none"/>
        </w:rPr>
        <w:t>、参选有效期为参选截止日期后90天内。</w:t>
      </w:r>
    </w:p>
    <w:p w14:paraId="6837C8F2">
      <w:pPr>
        <w:tabs>
          <w:tab w:val="left" w:pos="6300"/>
        </w:tabs>
        <w:snapToGrid w:val="0"/>
        <w:spacing w:line="360" w:lineRule="auto"/>
        <w:ind w:right="-29" w:rightChars="-14"/>
        <w:rPr>
          <w:rFonts w:hint="eastAsia" w:ascii="宋体" w:eastAsia="宋体"/>
          <w:snapToGrid w:val="0"/>
          <w:color w:val="auto"/>
          <w:kern w:val="0"/>
          <w:sz w:val="24"/>
          <w:szCs w:val="24"/>
          <w:highlight w:val="none"/>
          <w:lang w:eastAsia="zh-CN"/>
        </w:rPr>
      </w:pPr>
      <w:r>
        <w:rPr>
          <w:rFonts w:ascii="宋体" w:hAnsi="宋体"/>
          <w:snapToGrid w:val="0"/>
          <w:color w:val="auto"/>
          <w:kern w:val="0"/>
          <w:sz w:val="24"/>
          <w:szCs w:val="24"/>
          <w:highlight w:val="none"/>
        </w:rPr>
        <w:t>7</w:t>
      </w:r>
      <w:r>
        <w:rPr>
          <w:rFonts w:hint="eastAsia" w:ascii="宋体" w:hAnsi="宋体"/>
          <w:snapToGrid w:val="0"/>
          <w:color w:val="auto"/>
          <w:kern w:val="0"/>
          <w:sz w:val="24"/>
          <w:szCs w:val="24"/>
          <w:highlight w:val="none"/>
        </w:rPr>
        <w:t>、若我方中选，我方开具税率为</w:t>
      </w:r>
      <w:r>
        <w:rPr>
          <w:rFonts w:ascii="宋体" w:hAnsi="宋体"/>
          <w:snapToGrid w:val="0"/>
          <w:color w:val="auto"/>
          <w:kern w:val="0"/>
          <w:sz w:val="24"/>
          <w:szCs w:val="24"/>
          <w:highlight w:val="none"/>
        </w:rPr>
        <w:t>6</w:t>
      </w:r>
      <w:r>
        <w:rPr>
          <w:rFonts w:hint="eastAsia" w:ascii="宋体" w:hAnsi="宋体"/>
          <w:snapToGrid w:val="0"/>
          <w:color w:val="auto"/>
          <w:kern w:val="0"/>
          <w:sz w:val="24"/>
          <w:szCs w:val="24"/>
          <w:highlight w:val="none"/>
        </w:rPr>
        <w:t>%的增值税专用发票</w:t>
      </w:r>
      <w:r>
        <w:rPr>
          <w:rFonts w:hint="eastAsia" w:ascii="宋体" w:hAnsi="宋体"/>
          <w:snapToGrid w:val="0"/>
          <w:color w:val="auto"/>
          <w:kern w:val="0"/>
          <w:sz w:val="24"/>
          <w:szCs w:val="24"/>
          <w:highlight w:val="none"/>
          <w:lang w:eastAsia="zh-CN"/>
        </w:rPr>
        <w:t>。</w:t>
      </w:r>
    </w:p>
    <w:p w14:paraId="58714ADD">
      <w:pPr>
        <w:tabs>
          <w:tab w:val="left" w:pos="6300"/>
        </w:tabs>
        <w:snapToGrid w:val="0"/>
        <w:spacing w:line="360" w:lineRule="auto"/>
        <w:ind w:right="-29" w:rightChars="-14"/>
        <w:rPr>
          <w:rFonts w:hint="eastAsia" w:ascii="宋体" w:hAnsi="宋体"/>
          <w:snapToGrid w:val="0"/>
          <w:color w:val="auto"/>
          <w:kern w:val="0"/>
          <w:sz w:val="24"/>
          <w:szCs w:val="24"/>
          <w:highlight w:val="none"/>
        </w:rPr>
      </w:pPr>
    </w:p>
    <w:p w14:paraId="289409D6">
      <w:pPr>
        <w:tabs>
          <w:tab w:val="left" w:pos="6300"/>
        </w:tabs>
        <w:snapToGrid w:val="0"/>
        <w:spacing w:line="360" w:lineRule="auto"/>
        <w:ind w:right="-29" w:rightChars="-14"/>
        <w:rPr>
          <w:rFonts w:ascii="宋体" w:hAnsi="宋体"/>
          <w:snapToGrid w:val="0"/>
          <w:color w:val="auto"/>
          <w:kern w:val="0"/>
          <w:sz w:val="24"/>
          <w:szCs w:val="24"/>
          <w:highlight w:val="none"/>
        </w:rPr>
      </w:pP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人（公章）：</w:t>
      </w:r>
    </w:p>
    <w:p w14:paraId="531C8252">
      <w:pPr>
        <w:tabs>
          <w:tab w:val="left" w:pos="6300"/>
        </w:tabs>
        <w:snapToGrid w:val="0"/>
        <w:spacing w:line="360" w:lineRule="auto"/>
        <w:ind w:right="-29" w:rightChars="-14"/>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地址：  </w:t>
      </w:r>
    </w:p>
    <w:p w14:paraId="3D80560F">
      <w:pPr>
        <w:tabs>
          <w:tab w:val="left" w:pos="6300"/>
        </w:tabs>
        <w:snapToGrid w:val="0"/>
        <w:spacing w:line="360" w:lineRule="auto"/>
        <w:ind w:right="-29" w:rightChars="-14"/>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电话：                           传真：</w:t>
      </w:r>
    </w:p>
    <w:p w14:paraId="7CE55BF3">
      <w:pPr>
        <w:tabs>
          <w:tab w:val="left" w:pos="6300"/>
        </w:tabs>
        <w:snapToGrid w:val="0"/>
        <w:spacing w:line="360" w:lineRule="auto"/>
        <w:ind w:right="-29" w:rightChars="-14"/>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网址：                         </w:t>
      </w:r>
    </w:p>
    <w:p w14:paraId="5AC7B303">
      <w:pPr>
        <w:tabs>
          <w:tab w:val="left" w:pos="6300"/>
        </w:tabs>
        <w:snapToGrid w:val="0"/>
        <w:spacing w:line="360" w:lineRule="auto"/>
        <w:ind w:right="-29" w:rightChars="-14" w:firstLine="6540" w:firstLineChars="2725"/>
        <w:rPr>
          <w:rFonts w:ascii="宋体" w:hAnsi="宋体"/>
          <w:snapToGrid w:val="0"/>
          <w:color w:val="auto"/>
          <w:kern w:val="0"/>
          <w:sz w:val="24"/>
          <w:szCs w:val="24"/>
          <w:highlight w:val="none"/>
        </w:rPr>
      </w:pPr>
    </w:p>
    <w:p w14:paraId="1166F9DF">
      <w:pPr>
        <w:tabs>
          <w:tab w:val="left" w:pos="6300"/>
        </w:tabs>
        <w:snapToGrid w:val="0"/>
        <w:spacing w:line="360" w:lineRule="auto"/>
        <w:ind w:right="-29" w:rightChars="-14" w:firstLine="5400" w:firstLineChars="225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年     月     日</w:t>
      </w:r>
    </w:p>
    <w:p w14:paraId="7B9B58B8">
      <w:pPr>
        <w:widowControl/>
        <w:spacing w:line="360" w:lineRule="auto"/>
        <w:jc w:val="left"/>
        <w:rPr>
          <w:rFonts w:ascii="宋体" w:hAnsi="宋体"/>
          <w:snapToGrid w:val="0"/>
          <w:color w:val="auto"/>
          <w:kern w:val="0"/>
          <w:sz w:val="24"/>
          <w:szCs w:val="24"/>
          <w:highlight w:val="none"/>
        </w:rPr>
      </w:pPr>
    </w:p>
    <w:p w14:paraId="362DC0B1">
      <w:pPr>
        <w:widowControl/>
        <w:spacing w:line="360" w:lineRule="auto"/>
        <w:jc w:val="left"/>
        <w:rPr>
          <w:rFonts w:ascii="宋体" w:hAnsi="宋体"/>
          <w:snapToGrid w:val="0"/>
          <w:color w:val="auto"/>
          <w:kern w:val="0"/>
          <w:sz w:val="24"/>
          <w:szCs w:val="24"/>
          <w:highlight w:val="none"/>
        </w:rPr>
      </w:pPr>
    </w:p>
    <w:p w14:paraId="2853CCC5">
      <w:pPr>
        <w:widowControl/>
        <w:spacing w:line="360" w:lineRule="auto"/>
        <w:jc w:val="left"/>
        <w:rPr>
          <w:rFonts w:ascii="宋体" w:hAnsi="宋体"/>
          <w:snapToGrid w:val="0"/>
          <w:color w:val="auto"/>
          <w:kern w:val="0"/>
          <w:sz w:val="24"/>
          <w:szCs w:val="24"/>
          <w:highlight w:val="none"/>
        </w:rPr>
      </w:pPr>
    </w:p>
    <w:p w14:paraId="5F849896">
      <w:pPr>
        <w:snapToGrid w:val="0"/>
        <w:spacing w:line="360" w:lineRule="auto"/>
        <w:rPr>
          <w:rFonts w:ascii="宋体" w:hAnsi="宋体"/>
          <w:snapToGrid w:val="0"/>
          <w:color w:val="auto"/>
          <w:kern w:val="0"/>
          <w:sz w:val="24"/>
          <w:szCs w:val="24"/>
          <w:highlight w:val="none"/>
        </w:rPr>
      </w:pPr>
      <w:r>
        <w:rPr>
          <w:rFonts w:hint="eastAsia"/>
          <w:color w:val="auto"/>
          <w:kern w:val="0"/>
          <w:highlight w:val="none"/>
        </w:rPr>
        <w:br w:type="page"/>
      </w:r>
    </w:p>
    <w:p w14:paraId="0D6B7DEE">
      <w:pPr>
        <w:pStyle w:val="19"/>
        <w:bidi w:val="0"/>
        <w:rPr>
          <w:color w:val="auto"/>
          <w:highlight w:val="none"/>
        </w:rPr>
      </w:pPr>
      <w:bookmarkStart w:id="246" w:name="_Toc23458"/>
      <w:bookmarkStart w:id="247" w:name="_Toc3375"/>
      <w:bookmarkStart w:id="248" w:name="_Toc21257"/>
      <w:r>
        <w:rPr>
          <w:rFonts w:hint="eastAsia"/>
          <w:color w:val="auto"/>
          <w:highlight w:val="none"/>
        </w:rPr>
        <w:t>二、报价一览表</w:t>
      </w:r>
      <w:bookmarkEnd w:id="246"/>
      <w:bookmarkEnd w:id="247"/>
      <w:bookmarkEnd w:id="248"/>
    </w:p>
    <w:p w14:paraId="3123CE5C">
      <w:pPr>
        <w:spacing w:line="360" w:lineRule="auto"/>
        <w:ind w:right="-29" w:rightChars="-14"/>
        <w:rPr>
          <w:rFonts w:ascii="Times New Roman" w:hAnsi="Times New Roman"/>
          <w:color w:val="auto"/>
          <w:szCs w:val="28"/>
          <w:highlight w:val="none"/>
        </w:rPr>
      </w:pPr>
      <w:bookmarkStart w:id="249" w:name="_Hlk59456849"/>
    </w:p>
    <w:tbl>
      <w:tblPr>
        <w:tblStyle w:val="15"/>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279"/>
        <w:gridCol w:w="698"/>
        <w:gridCol w:w="5739"/>
      </w:tblGrid>
      <w:tr w14:paraId="2E3B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2" w:type="dxa"/>
            <w:gridSpan w:val="2"/>
            <w:tcBorders>
              <w:top w:val="single" w:color="auto" w:sz="4" w:space="0"/>
              <w:left w:val="single" w:color="auto" w:sz="4" w:space="0"/>
              <w:bottom w:val="single" w:color="auto" w:sz="4" w:space="0"/>
              <w:right w:val="single" w:color="auto" w:sz="4" w:space="0"/>
            </w:tcBorders>
            <w:vAlign w:val="center"/>
          </w:tcPr>
          <w:p w14:paraId="19DCDF1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388CBBF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olor w:val="auto"/>
                <w:szCs w:val="24"/>
                <w:highlight w:val="none"/>
              </w:rPr>
            </w:pPr>
          </w:p>
        </w:tc>
      </w:tr>
      <w:tr w14:paraId="0F4C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2" w:type="dxa"/>
            <w:gridSpan w:val="2"/>
            <w:tcBorders>
              <w:top w:val="single" w:color="auto" w:sz="4" w:space="0"/>
              <w:left w:val="single" w:color="auto" w:sz="4" w:space="0"/>
              <w:bottom w:val="single" w:color="auto" w:sz="4" w:space="0"/>
              <w:right w:val="single" w:color="auto" w:sz="4" w:space="0"/>
            </w:tcBorders>
            <w:vAlign w:val="center"/>
          </w:tcPr>
          <w:p w14:paraId="28D4FD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3F94607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Cambria"/>
                <w:color w:val="auto"/>
                <w:sz w:val="21"/>
                <w:szCs w:val="21"/>
                <w:highlight w:val="none"/>
              </w:rPr>
            </w:pPr>
          </w:p>
        </w:tc>
      </w:tr>
      <w:tr w14:paraId="0A2E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73" w:type="dxa"/>
            <w:vMerge w:val="restart"/>
            <w:tcBorders>
              <w:top w:val="single" w:color="auto" w:sz="4" w:space="0"/>
              <w:left w:val="single" w:color="auto" w:sz="4" w:space="0"/>
              <w:right w:val="single" w:color="auto" w:sz="4" w:space="0"/>
            </w:tcBorders>
            <w:vAlign w:val="center"/>
          </w:tcPr>
          <w:p w14:paraId="39E17E0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olor w:val="auto"/>
                <w:szCs w:val="24"/>
                <w:highlight w:val="none"/>
                <w:lang w:val="en-US" w:eastAsia="zh-CN"/>
              </w:rPr>
            </w:pPr>
            <w:r>
              <w:rPr>
                <w:rFonts w:hint="eastAsia" w:ascii="宋体" w:hAnsi="宋体"/>
                <w:snapToGrid w:val="0"/>
                <w:color w:val="auto"/>
                <w:szCs w:val="24"/>
                <w:highlight w:val="none"/>
              </w:rPr>
              <w:t>参选</w:t>
            </w:r>
            <w:r>
              <w:rPr>
                <w:rFonts w:hint="eastAsia" w:ascii="宋体" w:hAnsi="宋体"/>
                <w:color w:val="auto"/>
                <w:szCs w:val="24"/>
                <w:highlight w:val="none"/>
                <w:lang w:val="en-US" w:eastAsia="zh-CN"/>
              </w:rPr>
              <w:t>报价</w:t>
            </w:r>
          </w:p>
          <w:p w14:paraId="39B517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snapToGrid w:val="0"/>
                <w:color w:val="auto"/>
                <w:kern w:val="0"/>
                <w:szCs w:val="24"/>
                <w:highlight w:val="none"/>
              </w:rPr>
            </w:pPr>
            <w:r>
              <w:rPr>
                <w:rFonts w:hint="eastAsia" w:ascii="宋体" w:hAnsi="宋体"/>
                <w:color w:val="auto"/>
                <w:szCs w:val="24"/>
                <w:highlight w:val="none"/>
              </w:rPr>
              <w:t>（含税）</w:t>
            </w:r>
          </w:p>
        </w:tc>
        <w:tc>
          <w:tcPr>
            <w:tcW w:w="1977" w:type="dxa"/>
            <w:gridSpan w:val="2"/>
            <w:tcBorders>
              <w:top w:val="single" w:color="auto" w:sz="4" w:space="0"/>
              <w:left w:val="single" w:color="auto" w:sz="4" w:space="0"/>
              <w:bottom w:val="single" w:color="auto" w:sz="4" w:space="0"/>
              <w:right w:val="single" w:color="auto" w:sz="4" w:space="0"/>
            </w:tcBorders>
            <w:vAlign w:val="center"/>
          </w:tcPr>
          <w:p w14:paraId="3B689BEE">
            <w:pPr>
              <w:pStyle w:val="31"/>
              <w:keepNext w:val="0"/>
              <w:keepLines w:val="0"/>
              <w:pageBreakBefore w:val="0"/>
              <w:widowControl w:val="0"/>
              <w:kinsoku/>
              <w:wordWrap/>
              <w:overflowPunct/>
              <w:topLinePunct w:val="0"/>
              <w:bidi w:val="0"/>
              <w:adjustRightInd/>
              <w:snapToGrid/>
              <w:spacing w:line="360" w:lineRule="auto"/>
              <w:ind w:left="0" w:leftChars="0" w:right="0" w:rightChars="0" w:firstLine="0" w:firstLineChars="0"/>
              <w:jc w:val="center"/>
              <w:textAlignment w:val="auto"/>
              <w:rPr>
                <w:color w:val="auto"/>
                <w:highlight w:val="none"/>
              </w:rPr>
            </w:pPr>
            <w:r>
              <w:rPr>
                <w:color w:val="auto"/>
                <w:highlight w:val="none"/>
              </w:rPr>
              <w:t>存取款一体机</w:t>
            </w:r>
          </w:p>
        </w:tc>
        <w:tc>
          <w:tcPr>
            <w:tcW w:w="5739" w:type="dxa"/>
            <w:tcBorders>
              <w:top w:val="single" w:color="auto" w:sz="4" w:space="0"/>
              <w:left w:val="single" w:color="auto" w:sz="4" w:space="0"/>
              <w:bottom w:val="single" w:color="auto" w:sz="4" w:space="0"/>
              <w:right w:val="single" w:color="auto" w:sz="4" w:space="0"/>
            </w:tcBorders>
            <w:vAlign w:val="center"/>
          </w:tcPr>
          <w:p w14:paraId="022ED004">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color w:val="auto"/>
                <w:highlight w:val="none"/>
              </w:rPr>
            </w:pPr>
            <w:r>
              <w:rPr>
                <w:color w:val="auto"/>
                <w:highlight w:val="none"/>
              </w:rPr>
              <w:t>小写</w:t>
            </w:r>
            <w:r>
              <w:rPr>
                <w:rFonts w:hint="eastAsia"/>
                <w:color w:val="auto"/>
                <w:highlight w:val="none"/>
              </w:rPr>
              <w:t>：            元/台</w:t>
            </w:r>
            <w:r>
              <w:rPr>
                <w:rFonts w:hint="eastAsia"/>
                <w:color w:val="auto"/>
                <w:highlight w:val="none"/>
                <w:lang w:val="en-US" w:eastAsia="zh-CN"/>
              </w:rPr>
              <w:t xml:space="preserve"> </w:t>
            </w:r>
            <w:r>
              <w:rPr>
                <w:color w:val="auto"/>
                <w:highlight w:val="none"/>
              </w:rPr>
              <w:t>人民币</w:t>
            </w:r>
          </w:p>
          <w:p w14:paraId="21BC83F0">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rPr>
            </w:pPr>
            <w:r>
              <w:rPr>
                <w:rFonts w:hint="eastAsia"/>
                <w:color w:val="auto"/>
                <w:highlight w:val="none"/>
              </w:rPr>
              <w:t>大写：            元</w:t>
            </w:r>
            <w:r>
              <w:rPr>
                <w:rFonts w:hint="eastAsia"/>
                <w:color w:val="auto"/>
                <w:highlight w:val="none"/>
                <w:lang w:val="en-US" w:eastAsia="zh-CN"/>
              </w:rPr>
              <w:t>每</w:t>
            </w:r>
            <w:r>
              <w:rPr>
                <w:rFonts w:hint="eastAsia"/>
                <w:color w:val="auto"/>
                <w:highlight w:val="none"/>
              </w:rPr>
              <w:t>台</w:t>
            </w:r>
            <w:r>
              <w:rPr>
                <w:rFonts w:hint="eastAsia"/>
                <w:color w:val="auto"/>
                <w:highlight w:val="none"/>
                <w:lang w:val="en-US" w:eastAsia="zh-CN"/>
              </w:rPr>
              <w:t xml:space="preserve"> </w:t>
            </w:r>
            <w:r>
              <w:rPr>
                <w:rFonts w:hint="eastAsia"/>
                <w:color w:val="auto"/>
                <w:highlight w:val="none"/>
              </w:rPr>
              <w:t>人民币</w:t>
            </w:r>
          </w:p>
        </w:tc>
      </w:tr>
      <w:tr w14:paraId="69FF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73" w:type="dxa"/>
            <w:vMerge w:val="continue"/>
            <w:tcBorders>
              <w:left w:val="single" w:color="auto" w:sz="4" w:space="0"/>
              <w:right w:val="single" w:color="auto" w:sz="4" w:space="0"/>
            </w:tcBorders>
            <w:vAlign w:val="center"/>
          </w:tcPr>
          <w:p w14:paraId="5D8116B5">
            <w:pPr>
              <w:keepNext w:val="0"/>
              <w:keepLines w:val="0"/>
              <w:pageBreakBefore w:val="0"/>
              <w:widowControl w:val="0"/>
              <w:kinsoku/>
              <w:wordWrap/>
              <w:overflowPunct/>
              <w:topLinePunct w:val="0"/>
              <w:bidi w:val="0"/>
              <w:adjustRightInd/>
              <w:snapToGrid/>
              <w:spacing w:line="360" w:lineRule="auto"/>
              <w:textAlignment w:val="auto"/>
              <w:rPr>
                <w:color w:val="auto"/>
                <w:highlight w:val="none"/>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14:paraId="24109F6B">
            <w:pPr>
              <w:pStyle w:val="31"/>
              <w:keepNext w:val="0"/>
              <w:keepLines w:val="0"/>
              <w:pageBreakBefore w:val="0"/>
              <w:widowControl w:val="0"/>
              <w:kinsoku/>
              <w:wordWrap/>
              <w:overflowPunct/>
              <w:topLinePunct w:val="0"/>
              <w:bidi w:val="0"/>
              <w:adjustRightInd/>
              <w:snapToGrid/>
              <w:spacing w:line="360" w:lineRule="auto"/>
              <w:ind w:left="0" w:leftChars="0" w:right="0" w:rightChars="0" w:firstLine="0" w:firstLineChars="0"/>
              <w:jc w:val="center"/>
              <w:textAlignment w:val="auto"/>
              <w:rPr>
                <w:color w:val="auto"/>
                <w:highlight w:val="none"/>
              </w:rPr>
            </w:pPr>
            <w:r>
              <w:rPr>
                <w:color w:val="auto"/>
                <w:highlight w:val="none"/>
              </w:rPr>
              <w:t>取款机</w:t>
            </w:r>
          </w:p>
        </w:tc>
        <w:tc>
          <w:tcPr>
            <w:tcW w:w="5739" w:type="dxa"/>
            <w:tcBorders>
              <w:top w:val="single" w:color="auto" w:sz="4" w:space="0"/>
              <w:left w:val="single" w:color="auto" w:sz="4" w:space="0"/>
              <w:bottom w:val="single" w:color="auto" w:sz="4" w:space="0"/>
              <w:right w:val="single" w:color="auto" w:sz="4" w:space="0"/>
            </w:tcBorders>
            <w:vAlign w:val="center"/>
          </w:tcPr>
          <w:p w14:paraId="0B69939C">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color w:val="auto"/>
                <w:highlight w:val="none"/>
              </w:rPr>
            </w:pPr>
            <w:r>
              <w:rPr>
                <w:color w:val="auto"/>
                <w:highlight w:val="none"/>
              </w:rPr>
              <w:t>小写</w:t>
            </w:r>
            <w:r>
              <w:rPr>
                <w:rFonts w:hint="eastAsia"/>
                <w:color w:val="auto"/>
                <w:highlight w:val="none"/>
              </w:rPr>
              <w:t>：            元/台</w:t>
            </w:r>
            <w:r>
              <w:rPr>
                <w:rFonts w:hint="eastAsia"/>
                <w:color w:val="auto"/>
                <w:highlight w:val="none"/>
                <w:lang w:val="en-US" w:eastAsia="zh-CN"/>
              </w:rPr>
              <w:t xml:space="preserve"> </w:t>
            </w:r>
            <w:r>
              <w:rPr>
                <w:color w:val="auto"/>
                <w:highlight w:val="none"/>
              </w:rPr>
              <w:t>人民币</w:t>
            </w:r>
          </w:p>
          <w:p w14:paraId="131511D6">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rPr>
            </w:pPr>
            <w:r>
              <w:rPr>
                <w:rFonts w:hint="eastAsia"/>
                <w:color w:val="auto"/>
                <w:highlight w:val="none"/>
              </w:rPr>
              <w:t>大写：            元</w:t>
            </w:r>
            <w:r>
              <w:rPr>
                <w:rFonts w:hint="eastAsia"/>
                <w:color w:val="auto"/>
                <w:highlight w:val="none"/>
                <w:lang w:val="en-US" w:eastAsia="zh-CN"/>
              </w:rPr>
              <w:t>每</w:t>
            </w:r>
            <w:r>
              <w:rPr>
                <w:rFonts w:hint="eastAsia"/>
                <w:color w:val="auto"/>
                <w:highlight w:val="none"/>
              </w:rPr>
              <w:t>台</w:t>
            </w:r>
            <w:r>
              <w:rPr>
                <w:rFonts w:hint="eastAsia"/>
                <w:color w:val="auto"/>
                <w:highlight w:val="none"/>
                <w:lang w:val="en-US" w:eastAsia="zh-CN"/>
              </w:rPr>
              <w:t xml:space="preserve"> </w:t>
            </w:r>
            <w:r>
              <w:rPr>
                <w:rFonts w:hint="eastAsia"/>
                <w:color w:val="auto"/>
                <w:highlight w:val="none"/>
              </w:rPr>
              <w:t>人民币</w:t>
            </w:r>
          </w:p>
        </w:tc>
      </w:tr>
      <w:tr w14:paraId="09D9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73" w:type="dxa"/>
            <w:vMerge w:val="continue"/>
            <w:tcBorders>
              <w:left w:val="single" w:color="auto" w:sz="4" w:space="0"/>
              <w:right w:val="single" w:color="auto" w:sz="4" w:space="0"/>
            </w:tcBorders>
            <w:vAlign w:val="center"/>
          </w:tcPr>
          <w:p w14:paraId="3BEAEB36">
            <w:pPr>
              <w:keepNext w:val="0"/>
              <w:keepLines w:val="0"/>
              <w:pageBreakBefore w:val="0"/>
              <w:widowControl w:val="0"/>
              <w:kinsoku/>
              <w:wordWrap/>
              <w:overflowPunct/>
              <w:topLinePunct w:val="0"/>
              <w:bidi w:val="0"/>
              <w:adjustRightInd/>
              <w:snapToGrid/>
              <w:spacing w:line="360" w:lineRule="auto"/>
              <w:textAlignment w:val="auto"/>
              <w:rPr>
                <w:rFonts w:hint="eastAsia"/>
                <w:snapToGrid w:val="0"/>
                <w:color w:val="auto"/>
                <w:kern w:val="0"/>
                <w:szCs w:val="24"/>
                <w:highlight w:val="none"/>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14:paraId="23C98133">
            <w:pPr>
              <w:pStyle w:val="31"/>
              <w:keepNext w:val="0"/>
              <w:keepLines w:val="0"/>
              <w:pageBreakBefore w:val="0"/>
              <w:widowControl w:val="0"/>
              <w:kinsoku/>
              <w:wordWrap/>
              <w:overflowPunct/>
              <w:topLinePunct w:val="0"/>
              <w:bidi w:val="0"/>
              <w:adjustRightInd/>
              <w:snapToGrid/>
              <w:spacing w:line="360" w:lineRule="auto"/>
              <w:ind w:left="0" w:leftChars="0" w:right="0" w:rightChars="0" w:firstLine="0" w:firstLineChars="0"/>
              <w:jc w:val="center"/>
              <w:textAlignment w:val="auto"/>
              <w:rPr>
                <w:rFonts w:hint="eastAsia"/>
                <w:color w:val="auto"/>
                <w:highlight w:val="none"/>
              </w:rPr>
            </w:pPr>
            <w:r>
              <w:rPr>
                <w:color w:val="auto"/>
                <w:highlight w:val="none"/>
              </w:rPr>
              <w:t>智能柜员机</w:t>
            </w:r>
          </w:p>
        </w:tc>
        <w:tc>
          <w:tcPr>
            <w:tcW w:w="5739" w:type="dxa"/>
            <w:tcBorders>
              <w:top w:val="single" w:color="auto" w:sz="4" w:space="0"/>
              <w:left w:val="single" w:color="auto" w:sz="4" w:space="0"/>
              <w:bottom w:val="single" w:color="auto" w:sz="4" w:space="0"/>
              <w:right w:val="single" w:color="auto" w:sz="4" w:space="0"/>
            </w:tcBorders>
            <w:vAlign w:val="center"/>
          </w:tcPr>
          <w:p w14:paraId="444C6C16">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color w:val="auto"/>
                <w:highlight w:val="none"/>
              </w:rPr>
            </w:pPr>
            <w:r>
              <w:rPr>
                <w:color w:val="auto"/>
                <w:highlight w:val="none"/>
              </w:rPr>
              <w:t>小写</w:t>
            </w:r>
            <w:r>
              <w:rPr>
                <w:rFonts w:hint="eastAsia"/>
                <w:color w:val="auto"/>
                <w:highlight w:val="none"/>
              </w:rPr>
              <w:t>：            元/台</w:t>
            </w:r>
            <w:r>
              <w:rPr>
                <w:rFonts w:hint="eastAsia"/>
                <w:color w:val="auto"/>
                <w:highlight w:val="none"/>
                <w:lang w:val="en-US" w:eastAsia="zh-CN"/>
              </w:rPr>
              <w:t xml:space="preserve"> </w:t>
            </w:r>
            <w:r>
              <w:rPr>
                <w:color w:val="auto"/>
                <w:highlight w:val="none"/>
              </w:rPr>
              <w:t>人民币</w:t>
            </w:r>
          </w:p>
          <w:p w14:paraId="411A1FDF">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rPr>
            </w:pPr>
            <w:r>
              <w:rPr>
                <w:rFonts w:hint="eastAsia"/>
                <w:color w:val="auto"/>
                <w:highlight w:val="none"/>
              </w:rPr>
              <w:t>大写：            元</w:t>
            </w:r>
            <w:r>
              <w:rPr>
                <w:rFonts w:hint="eastAsia"/>
                <w:color w:val="auto"/>
                <w:highlight w:val="none"/>
                <w:lang w:val="en-US" w:eastAsia="zh-CN"/>
              </w:rPr>
              <w:t>每</w:t>
            </w:r>
            <w:r>
              <w:rPr>
                <w:rFonts w:hint="eastAsia"/>
                <w:color w:val="auto"/>
                <w:highlight w:val="none"/>
              </w:rPr>
              <w:t>台</w:t>
            </w:r>
            <w:r>
              <w:rPr>
                <w:rFonts w:hint="eastAsia"/>
                <w:color w:val="auto"/>
                <w:highlight w:val="none"/>
                <w:lang w:val="en-US" w:eastAsia="zh-CN"/>
              </w:rPr>
              <w:t xml:space="preserve"> </w:t>
            </w:r>
            <w:r>
              <w:rPr>
                <w:rFonts w:hint="eastAsia"/>
                <w:color w:val="auto"/>
                <w:highlight w:val="none"/>
              </w:rPr>
              <w:t>人民币</w:t>
            </w:r>
          </w:p>
        </w:tc>
      </w:tr>
      <w:tr w14:paraId="1663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73" w:type="dxa"/>
            <w:vMerge w:val="continue"/>
            <w:tcBorders>
              <w:left w:val="single" w:color="auto" w:sz="4" w:space="0"/>
              <w:right w:val="single" w:color="auto" w:sz="4" w:space="0"/>
            </w:tcBorders>
            <w:vAlign w:val="center"/>
          </w:tcPr>
          <w:p w14:paraId="5D11E1F7">
            <w:pPr>
              <w:keepNext w:val="0"/>
              <w:keepLines w:val="0"/>
              <w:pageBreakBefore w:val="0"/>
              <w:widowControl w:val="0"/>
              <w:kinsoku/>
              <w:wordWrap/>
              <w:overflowPunct/>
              <w:topLinePunct w:val="0"/>
              <w:bidi w:val="0"/>
              <w:adjustRightInd/>
              <w:snapToGrid/>
              <w:spacing w:line="360" w:lineRule="auto"/>
              <w:textAlignment w:val="auto"/>
              <w:rPr>
                <w:rFonts w:hint="eastAsia"/>
                <w:snapToGrid w:val="0"/>
                <w:color w:val="auto"/>
                <w:kern w:val="0"/>
                <w:szCs w:val="24"/>
                <w:highlight w:val="none"/>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14:paraId="7E357B75">
            <w:pPr>
              <w:pStyle w:val="31"/>
              <w:keepNext w:val="0"/>
              <w:keepLines w:val="0"/>
              <w:pageBreakBefore w:val="0"/>
              <w:widowControl w:val="0"/>
              <w:kinsoku/>
              <w:wordWrap/>
              <w:overflowPunct/>
              <w:topLinePunct w:val="0"/>
              <w:bidi w:val="0"/>
              <w:adjustRightInd/>
              <w:snapToGrid/>
              <w:spacing w:line="360" w:lineRule="auto"/>
              <w:ind w:left="0" w:leftChars="0" w:right="0" w:rightChars="0" w:firstLine="0" w:firstLineChars="0"/>
              <w:jc w:val="center"/>
              <w:textAlignment w:val="auto"/>
              <w:rPr>
                <w:rFonts w:hint="eastAsia"/>
                <w:color w:val="auto"/>
                <w:highlight w:val="none"/>
              </w:rPr>
            </w:pPr>
            <w:r>
              <w:rPr>
                <w:color w:val="auto"/>
                <w:highlight w:val="none"/>
              </w:rPr>
              <w:t>叫号机</w:t>
            </w:r>
          </w:p>
        </w:tc>
        <w:tc>
          <w:tcPr>
            <w:tcW w:w="5739" w:type="dxa"/>
            <w:tcBorders>
              <w:top w:val="single" w:color="auto" w:sz="4" w:space="0"/>
              <w:left w:val="single" w:color="auto" w:sz="4" w:space="0"/>
              <w:bottom w:val="single" w:color="auto" w:sz="4" w:space="0"/>
              <w:right w:val="single" w:color="auto" w:sz="4" w:space="0"/>
            </w:tcBorders>
            <w:vAlign w:val="center"/>
          </w:tcPr>
          <w:p w14:paraId="7C9564D6">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color w:val="auto"/>
                <w:highlight w:val="none"/>
              </w:rPr>
            </w:pPr>
            <w:r>
              <w:rPr>
                <w:color w:val="auto"/>
                <w:highlight w:val="none"/>
              </w:rPr>
              <w:t>小写</w:t>
            </w:r>
            <w:r>
              <w:rPr>
                <w:rFonts w:hint="eastAsia"/>
                <w:color w:val="auto"/>
                <w:highlight w:val="none"/>
              </w:rPr>
              <w:t>：            元/台</w:t>
            </w:r>
            <w:r>
              <w:rPr>
                <w:rFonts w:hint="eastAsia"/>
                <w:color w:val="auto"/>
                <w:highlight w:val="none"/>
                <w:lang w:val="en-US" w:eastAsia="zh-CN"/>
              </w:rPr>
              <w:t xml:space="preserve"> </w:t>
            </w:r>
            <w:r>
              <w:rPr>
                <w:color w:val="auto"/>
                <w:highlight w:val="none"/>
              </w:rPr>
              <w:t>人民币</w:t>
            </w:r>
          </w:p>
          <w:p w14:paraId="3C637DE3">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rPr>
            </w:pPr>
            <w:r>
              <w:rPr>
                <w:rFonts w:hint="eastAsia"/>
                <w:color w:val="auto"/>
                <w:highlight w:val="none"/>
              </w:rPr>
              <w:t>大写：            元</w:t>
            </w:r>
            <w:r>
              <w:rPr>
                <w:rFonts w:hint="eastAsia"/>
                <w:color w:val="auto"/>
                <w:highlight w:val="none"/>
                <w:lang w:val="en-US" w:eastAsia="zh-CN"/>
              </w:rPr>
              <w:t>每</w:t>
            </w:r>
            <w:r>
              <w:rPr>
                <w:rFonts w:hint="eastAsia"/>
                <w:color w:val="auto"/>
                <w:highlight w:val="none"/>
              </w:rPr>
              <w:t>台</w:t>
            </w:r>
            <w:r>
              <w:rPr>
                <w:rFonts w:hint="eastAsia"/>
                <w:color w:val="auto"/>
                <w:highlight w:val="none"/>
                <w:lang w:val="en-US" w:eastAsia="zh-CN"/>
              </w:rPr>
              <w:t xml:space="preserve"> </w:t>
            </w:r>
            <w:r>
              <w:rPr>
                <w:rFonts w:hint="eastAsia"/>
                <w:color w:val="auto"/>
                <w:highlight w:val="none"/>
              </w:rPr>
              <w:t>人民币</w:t>
            </w:r>
          </w:p>
        </w:tc>
      </w:tr>
      <w:tr w14:paraId="10A6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73" w:type="dxa"/>
            <w:vMerge w:val="continue"/>
            <w:tcBorders>
              <w:left w:val="single" w:color="auto" w:sz="4" w:space="0"/>
              <w:bottom w:val="single" w:color="auto" w:sz="4" w:space="0"/>
              <w:right w:val="single" w:color="auto" w:sz="4" w:space="0"/>
            </w:tcBorders>
            <w:vAlign w:val="center"/>
          </w:tcPr>
          <w:p w14:paraId="3A1C5B90">
            <w:pPr>
              <w:keepNext w:val="0"/>
              <w:keepLines w:val="0"/>
              <w:pageBreakBefore w:val="0"/>
              <w:widowControl w:val="0"/>
              <w:kinsoku/>
              <w:wordWrap/>
              <w:overflowPunct/>
              <w:topLinePunct w:val="0"/>
              <w:bidi w:val="0"/>
              <w:adjustRightInd/>
              <w:snapToGrid/>
              <w:spacing w:line="360" w:lineRule="auto"/>
              <w:textAlignment w:val="auto"/>
              <w:rPr>
                <w:rFonts w:hint="eastAsia"/>
                <w:snapToGrid w:val="0"/>
                <w:color w:val="auto"/>
                <w:kern w:val="0"/>
                <w:szCs w:val="24"/>
                <w:highlight w:val="none"/>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14:paraId="0BD0730E">
            <w:pPr>
              <w:pStyle w:val="31"/>
              <w:keepNext w:val="0"/>
              <w:keepLines w:val="0"/>
              <w:pageBreakBefore w:val="0"/>
              <w:widowControl w:val="0"/>
              <w:kinsoku/>
              <w:wordWrap/>
              <w:overflowPunct/>
              <w:topLinePunct w:val="0"/>
              <w:bidi w:val="0"/>
              <w:adjustRightInd/>
              <w:snapToGrid/>
              <w:spacing w:line="360" w:lineRule="auto"/>
              <w:ind w:left="0" w:leftChars="0" w:right="0" w:rightChars="0" w:firstLine="0" w:firstLineChars="0"/>
              <w:jc w:val="center"/>
              <w:textAlignment w:val="auto"/>
              <w:rPr>
                <w:rFonts w:hint="eastAsia"/>
                <w:color w:val="auto"/>
                <w:highlight w:val="none"/>
              </w:rPr>
            </w:pPr>
            <w:r>
              <w:rPr>
                <w:color w:val="auto"/>
                <w:highlight w:val="none"/>
              </w:rPr>
              <w:t>回单机</w:t>
            </w:r>
          </w:p>
        </w:tc>
        <w:tc>
          <w:tcPr>
            <w:tcW w:w="5739" w:type="dxa"/>
            <w:tcBorders>
              <w:top w:val="single" w:color="auto" w:sz="4" w:space="0"/>
              <w:left w:val="single" w:color="auto" w:sz="4" w:space="0"/>
              <w:bottom w:val="single" w:color="auto" w:sz="4" w:space="0"/>
              <w:right w:val="single" w:color="auto" w:sz="4" w:space="0"/>
            </w:tcBorders>
            <w:vAlign w:val="center"/>
          </w:tcPr>
          <w:p w14:paraId="51DF42EB">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color w:val="auto"/>
                <w:highlight w:val="none"/>
              </w:rPr>
            </w:pPr>
            <w:r>
              <w:rPr>
                <w:color w:val="auto"/>
                <w:highlight w:val="none"/>
              </w:rPr>
              <w:t>小写</w:t>
            </w:r>
            <w:r>
              <w:rPr>
                <w:rFonts w:hint="eastAsia"/>
                <w:color w:val="auto"/>
                <w:highlight w:val="none"/>
              </w:rPr>
              <w:t>：            元/台</w:t>
            </w:r>
            <w:r>
              <w:rPr>
                <w:rFonts w:hint="eastAsia"/>
                <w:color w:val="auto"/>
                <w:highlight w:val="none"/>
                <w:lang w:val="en-US" w:eastAsia="zh-CN"/>
              </w:rPr>
              <w:t xml:space="preserve"> </w:t>
            </w:r>
            <w:r>
              <w:rPr>
                <w:color w:val="auto"/>
                <w:highlight w:val="none"/>
              </w:rPr>
              <w:t>人民币</w:t>
            </w:r>
          </w:p>
          <w:p w14:paraId="273A8C2B">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rPr>
            </w:pPr>
            <w:r>
              <w:rPr>
                <w:rFonts w:hint="eastAsia"/>
                <w:color w:val="auto"/>
                <w:highlight w:val="none"/>
              </w:rPr>
              <w:t>大写：            元</w:t>
            </w:r>
            <w:r>
              <w:rPr>
                <w:rFonts w:hint="eastAsia"/>
                <w:color w:val="auto"/>
                <w:highlight w:val="none"/>
                <w:lang w:val="en-US" w:eastAsia="zh-CN"/>
              </w:rPr>
              <w:t>每</w:t>
            </w:r>
            <w:r>
              <w:rPr>
                <w:rFonts w:hint="eastAsia"/>
                <w:color w:val="auto"/>
                <w:highlight w:val="none"/>
              </w:rPr>
              <w:t>台</w:t>
            </w:r>
            <w:r>
              <w:rPr>
                <w:rFonts w:hint="eastAsia"/>
                <w:color w:val="auto"/>
                <w:highlight w:val="none"/>
                <w:lang w:val="en-US" w:eastAsia="zh-CN"/>
              </w:rPr>
              <w:t xml:space="preserve"> </w:t>
            </w:r>
            <w:r>
              <w:rPr>
                <w:rFonts w:hint="eastAsia"/>
                <w:color w:val="auto"/>
                <w:highlight w:val="none"/>
              </w:rPr>
              <w:t>人民币</w:t>
            </w:r>
          </w:p>
        </w:tc>
      </w:tr>
      <w:tr w14:paraId="4C73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2" w:type="dxa"/>
            <w:gridSpan w:val="2"/>
            <w:tcBorders>
              <w:top w:val="single" w:color="auto" w:sz="4" w:space="0"/>
              <w:left w:val="single" w:color="auto" w:sz="4" w:space="0"/>
              <w:bottom w:val="single" w:color="auto" w:sz="4" w:space="0"/>
              <w:right w:val="single" w:color="auto" w:sz="4" w:space="0"/>
            </w:tcBorders>
            <w:vAlign w:val="center"/>
          </w:tcPr>
          <w:p w14:paraId="34741F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67286F5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lang w:val="en-US" w:eastAsia="zh-CN"/>
              </w:rPr>
              <w:t xml:space="preserve"> </w:t>
            </w:r>
            <w:r>
              <w:rPr>
                <w:rFonts w:ascii="宋体" w:hAnsi="宋体"/>
                <w:color w:val="auto"/>
                <w:szCs w:val="24"/>
                <w:highlight w:val="none"/>
                <w:u w:val="single"/>
                <w:lang w:val="en-US" w:eastAsia="zh-CN"/>
              </w:rPr>
              <w:t>6</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rPr>
              <w:t>%的增值税专用发票</w:t>
            </w:r>
          </w:p>
        </w:tc>
      </w:tr>
      <w:tr w14:paraId="64D5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9389" w:type="dxa"/>
            <w:gridSpan w:val="4"/>
            <w:tcBorders>
              <w:top w:val="single" w:color="auto" w:sz="4" w:space="0"/>
              <w:left w:val="single" w:color="auto" w:sz="4" w:space="0"/>
              <w:bottom w:val="single" w:color="auto" w:sz="4" w:space="0"/>
              <w:right w:val="single" w:color="auto" w:sz="4" w:space="0"/>
            </w:tcBorders>
          </w:tcPr>
          <w:p w14:paraId="714091B1">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68F41086">
      <w:pPr>
        <w:spacing w:line="360" w:lineRule="auto"/>
        <w:ind w:right="-29" w:rightChars="-14"/>
        <w:rPr>
          <w:rFonts w:ascii="Times New Roman" w:hAnsi="Times New Roman"/>
          <w:color w:val="auto"/>
          <w:szCs w:val="28"/>
          <w:highlight w:val="none"/>
        </w:rPr>
      </w:pPr>
    </w:p>
    <w:p w14:paraId="0C8F3A5B">
      <w:pPr>
        <w:spacing w:line="360" w:lineRule="auto"/>
        <w:ind w:right="-29"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bookmarkEnd w:id="249"/>
    <w:p w14:paraId="425D588C">
      <w:pPr>
        <w:spacing w:line="360" w:lineRule="auto"/>
        <w:ind w:right="-29" w:rightChars="-14"/>
        <w:rPr>
          <w:rFonts w:ascii="Times New Roman" w:hAnsi="Times New Roman"/>
          <w:color w:val="auto"/>
          <w:szCs w:val="28"/>
          <w:highlight w:val="none"/>
        </w:rPr>
      </w:pPr>
    </w:p>
    <w:p w14:paraId="4F0E795B">
      <w:pPr>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4C446384">
      <w:pPr>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w:t>
      </w:r>
      <w:r>
        <w:rPr>
          <w:rFonts w:hint="eastAsia" w:ascii="Times New Roman" w:hAnsi="Times New Roman"/>
          <w:snapToGrid w:val="0"/>
          <w:color w:val="auto"/>
          <w:kern w:val="0"/>
          <w:szCs w:val="24"/>
          <w:highlight w:val="none"/>
          <w:lang w:val="en-US" w:eastAsia="zh-CN"/>
        </w:rPr>
        <w:t>签字或盖章</w:t>
      </w:r>
      <w:r>
        <w:rPr>
          <w:rFonts w:hint="eastAsia" w:ascii="Times New Roman" w:hAnsi="Times New Roman"/>
          <w:snapToGrid w:val="0"/>
          <w:color w:val="auto"/>
          <w:kern w:val="0"/>
          <w:szCs w:val="24"/>
          <w:highlight w:val="none"/>
        </w:rPr>
        <w:t>）</w:t>
      </w:r>
    </w:p>
    <w:p w14:paraId="384FD227">
      <w:pPr>
        <w:spacing w:line="360" w:lineRule="auto"/>
        <w:ind w:right="-29"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0CDD547D">
      <w:pPr>
        <w:snapToGrid w:val="0"/>
        <w:spacing w:line="360" w:lineRule="auto"/>
        <w:rPr>
          <w:rFonts w:ascii="Times New Roman" w:hAnsi="Times New Roman"/>
          <w:snapToGrid w:val="0"/>
          <w:color w:val="auto"/>
          <w:kern w:val="0"/>
          <w:szCs w:val="24"/>
          <w:highlight w:val="none"/>
        </w:rPr>
      </w:pPr>
    </w:p>
    <w:p w14:paraId="14E62CCF">
      <w:pPr>
        <w:snapToGrid w:val="0"/>
        <w:spacing w:line="360" w:lineRule="auto"/>
        <w:rPr>
          <w:rFonts w:ascii="Times New Roman" w:hAnsi="Times New Roman"/>
          <w:snapToGrid w:val="0"/>
          <w:color w:val="auto"/>
          <w:kern w:val="0"/>
          <w:szCs w:val="24"/>
          <w:highlight w:val="none"/>
        </w:rPr>
      </w:pPr>
    </w:p>
    <w:p w14:paraId="40461DBE">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3383D679">
      <w:pPr>
        <w:bidi w:val="0"/>
        <w:rPr>
          <w:color w:val="auto"/>
          <w:highlight w:val="none"/>
        </w:rPr>
      </w:pPr>
      <w:r>
        <w:rPr>
          <w:rFonts w:hint="eastAsia"/>
          <w:color w:val="auto"/>
          <w:highlight w:val="none"/>
        </w:rPr>
        <w:t>报价一览表在开标大会上当众宣读，务必填写清楚，准确无误。表格可扩展。</w:t>
      </w:r>
    </w:p>
    <w:p w14:paraId="5BD5651D">
      <w:pPr>
        <w:bidi w:val="0"/>
        <w:rPr>
          <w:rFonts w:hint="eastAsia"/>
          <w:color w:val="auto"/>
          <w:highlight w:val="none"/>
        </w:rPr>
      </w:pPr>
    </w:p>
    <w:p w14:paraId="7FBF67CD">
      <w:pPr>
        <w:bidi w:val="0"/>
        <w:rPr>
          <w:color w:val="auto"/>
          <w:highlight w:val="none"/>
        </w:rPr>
        <w:sectPr>
          <w:pgSz w:w="11906" w:h="16838"/>
          <w:pgMar w:top="1440" w:right="1800" w:bottom="1440" w:left="1800" w:header="851" w:footer="992" w:gutter="0"/>
          <w:pgNumType w:fmt="decimal"/>
          <w:cols w:space="720" w:num="1"/>
          <w:docGrid w:type="lines" w:linePitch="312" w:charSpace="6144"/>
        </w:sectPr>
      </w:pPr>
    </w:p>
    <w:p w14:paraId="652E9A90">
      <w:pPr>
        <w:pStyle w:val="19"/>
        <w:bidi w:val="0"/>
        <w:rPr>
          <w:color w:val="auto"/>
          <w:highlight w:val="none"/>
          <w:lang w:val="en-US" w:eastAsia="zh-CN"/>
        </w:rPr>
      </w:pPr>
      <w:r>
        <w:rPr>
          <w:color w:val="auto"/>
          <w:highlight w:val="none"/>
          <w:lang w:val="en-US" w:eastAsia="zh-CN"/>
        </w:rPr>
        <w:t>三</w:t>
      </w:r>
      <w:r>
        <w:rPr>
          <w:rFonts w:hint="eastAsia"/>
          <w:color w:val="auto"/>
          <w:highlight w:val="none"/>
          <w:lang w:val="en-US" w:eastAsia="zh-CN"/>
        </w:rPr>
        <w:t>、资格性文件</w:t>
      </w:r>
    </w:p>
    <w:p w14:paraId="049B857C">
      <w:pPr>
        <w:pStyle w:val="20"/>
        <w:bidi w:val="0"/>
        <w:rPr>
          <w:color w:val="auto"/>
          <w:highlight w:val="none"/>
        </w:rPr>
      </w:pPr>
      <w:r>
        <w:rPr>
          <w:color w:val="auto"/>
          <w:highlight w:val="none"/>
          <w:lang w:eastAsia="zh-CN"/>
        </w:rPr>
        <w:t>（</w:t>
      </w:r>
      <w:r>
        <w:rPr>
          <w:color w:val="auto"/>
          <w:highlight w:val="none"/>
          <w:lang w:val="en-US" w:eastAsia="zh-CN"/>
        </w:rPr>
        <w:t>一</w:t>
      </w:r>
      <w:r>
        <w:rPr>
          <w:color w:val="auto"/>
          <w:highlight w:val="none"/>
          <w:lang w:eastAsia="zh-CN"/>
        </w:rPr>
        <w:t>）</w:t>
      </w:r>
      <w:r>
        <w:rPr>
          <w:color w:val="auto"/>
          <w:highlight w:val="none"/>
        </w:rPr>
        <w:t>参选人基本情况介绍，资质证明等</w:t>
      </w:r>
    </w:p>
    <w:tbl>
      <w:tblPr>
        <w:tblStyle w:val="1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88F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21AD8DA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参选人名称</w:t>
            </w:r>
          </w:p>
        </w:tc>
        <w:tc>
          <w:tcPr>
            <w:tcW w:w="7114" w:type="dxa"/>
            <w:gridSpan w:val="8"/>
          </w:tcPr>
          <w:p w14:paraId="7EABA15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r>
      <w:tr w14:paraId="4EF2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19375DC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5498B52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4039C7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邮政编码</w:t>
            </w:r>
          </w:p>
        </w:tc>
        <w:tc>
          <w:tcPr>
            <w:tcW w:w="1657" w:type="dxa"/>
            <w:gridSpan w:val="3"/>
          </w:tcPr>
          <w:p w14:paraId="608FF05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r>
      <w:tr w14:paraId="6A01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3F86BBD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64A23E4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4AD939E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099FC59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电话</w:t>
            </w:r>
          </w:p>
        </w:tc>
        <w:tc>
          <w:tcPr>
            <w:tcW w:w="1657" w:type="dxa"/>
            <w:gridSpan w:val="3"/>
          </w:tcPr>
          <w:p w14:paraId="69D4AE0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r>
      <w:tr w14:paraId="39C6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6B97B83">
            <w:pPr>
              <w:rPr>
                <w:color w:val="auto"/>
                <w:highlight w:val="none"/>
              </w:rPr>
            </w:pPr>
          </w:p>
        </w:tc>
        <w:tc>
          <w:tcPr>
            <w:tcW w:w="1077" w:type="dxa"/>
            <w:tcBorders>
              <w:top w:val="single" w:color="auto" w:sz="4" w:space="0"/>
              <w:left w:val="single" w:color="auto" w:sz="4" w:space="0"/>
              <w:right w:val="single" w:color="auto" w:sz="4" w:space="0"/>
            </w:tcBorders>
            <w:vAlign w:val="center"/>
          </w:tcPr>
          <w:p w14:paraId="60E3786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098046F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A97673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网址</w:t>
            </w:r>
          </w:p>
        </w:tc>
        <w:tc>
          <w:tcPr>
            <w:tcW w:w="1657" w:type="dxa"/>
            <w:gridSpan w:val="3"/>
          </w:tcPr>
          <w:p w14:paraId="3A6765B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r>
      <w:tr w14:paraId="6ADA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E74B1E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组织结构</w:t>
            </w:r>
          </w:p>
        </w:tc>
        <w:tc>
          <w:tcPr>
            <w:tcW w:w="7114" w:type="dxa"/>
            <w:gridSpan w:val="8"/>
            <w:vAlign w:val="center"/>
          </w:tcPr>
          <w:p w14:paraId="64EF068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r>
      <w:tr w14:paraId="3A36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7517DB4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法定代表人</w:t>
            </w:r>
            <w:r>
              <w:rPr>
                <w:rFonts w:hint="eastAsia" w:ascii="宋体" w:hAnsi="宋体"/>
                <w:color w:val="auto"/>
                <w:sz w:val="22"/>
                <w:szCs w:val="24"/>
                <w:highlight w:val="none"/>
                <w:lang w:val="en-US" w:eastAsia="zh-CN"/>
              </w:rPr>
              <w:t>/</w:t>
            </w:r>
            <w:r>
              <w:rPr>
                <w:rFonts w:hint="eastAsia" w:ascii="宋体" w:hAnsi="宋体"/>
                <w:color w:val="auto"/>
                <w:sz w:val="22"/>
                <w:szCs w:val="24"/>
                <w:highlight w:val="none"/>
              </w:rPr>
              <w:t>分支机构负责人</w:t>
            </w:r>
          </w:p>
        </w:tc>
        <w:tc>
          <w:tcPr>
            <w:tcW w:w="1077" w:type="dxa"/>
            <w:tcBorders>
              <w:top w:val="single" w:color="auto" w:sz="4" w:space="0"/>
              <w:left w:val="single" w:color="auto" w:sz="4" w:space="0"/>
              <w:right w:val="single" w:color="auto" w:sz="4" w:space="0"/>
            </w:tcBorders>
            <w:vAlign w:val="center"/>
          </w:tcPr>
          <w:p w14:paraId="18740A6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3E2E70F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5B42F29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67FAE2C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0737F6B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电话</w:t>
            </w:r>
          </w:p>
        </w:tc>
        <w:tc>
          <w:tcPr>
            <w:tcW w:w="758" w:type="dxa"/>
          </w:tcPr>
          <w:p w14:paraId="7595431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r>
      <w:tr w14:paraId="15B4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5EE957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33FEADA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3A2CF54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437453F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0DB2863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737EBF3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电话</w:t>
            </w:r>
          </w:p>
        </w:tc>
        <w:tc>
          <w:tcPr>
            <w:tcW w:w="758" w:type="dxa"/>
          </w:tcPr>
          <w:p w14:paraId="3FA8B6C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r>
      <w:tr w14:paraId="6CF7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5EEC88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2A1E081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c>
          <w:tcPr>
            <w:tcW w:w="4234" w:type="dxa"/>
            <w:gridSpan w:val="6"/>
          </w:tcPr>
          <w:p w14:paraId="17D742B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员工总人数：</w:t>
            </w:r>
          </w:p>
        </w:tc>
      </w:tr>
      <w:tr w14:paraId="54BB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0CFD0E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1E3A6DD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7C52726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4C97786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项目经理</w:t>
            </w:r>
          </w:p>
        </w:tc>
        <w:tc>
          <w:tcPr>
            <w:tcW w:w="1481" w:type="dxa"/>
            <w:gridSpan w:val="2"/>
          </w:tcPr>
          <w:p w14:paraId="1324313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r>
      <w:tr w14:paraId="0734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5C6500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5DA64FA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403ED21F">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D19AD5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高级职称人员</w:t>
            </w:r>
          </w:p>
        </w:tc>
        <w:tc>
          <w:tcPr>
            <w:tcW w:w="1481" w:type="dxa"/>
            <w:gridSpan w:val="2"/>
          </w:tcPr>
          <w:p w14:paraId="6CAE4FC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r>
      <w:tr w14:paraId="67AA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2333C0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5B42B0F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4699A1B">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C51C99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中级职称人员</w:t>
            </w:r>
          </w:p>
        </w:tc>
        <w:tc>
          <w:tcPr>
            <w:tcW w:w="1481" w:type="dxa"/>
            <w:gridSpan w:val="2"/>
          </w:tcPr>
          <w:p w14:paraId="4B42A2C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r>
      <w:tr w14:paraId="6A53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2238B7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46848DC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44E9AC56">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161332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初级职称人员</w:t>
            </w:r>
          </w:p>
        </w:tc>
        <w:tc>
          <w:tcPr>
            <w:tcW w:w="1481" w:type="dxa"/>
            <w:gridSpan w:val="2"/>
          </w:tcPr>
          <w:p w14:paraId="4224977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r>
      <w:tr w14:paraId="5AC5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3AE060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5A0C3FF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A1F538A">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654402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技工</w:t>
            </w:r>
          </w:p>
        </w:tc>
        <w:tc>
          <w:tcPr>
            <w:tcW w:w="1481" w:type="dxa"/>
            <w:gridSpan w:val="2"/>
          </w:tcPr>
          <w:p w14:paraId="6ABB97E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r>
      <w:tr w14:paraId="6033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5866CB4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经营范围</w:t>
            </w:r>
          </w:p>
        </w:tc>
        <w:tc>
          <w:tcPr>
            <w:tcW w:w="7114" w:type="dxa"/>
            <w:gridSpan w:val="8"/>
          </w:tcPr>
          <w:p w14:paraId="1A673A6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r>
      <w:tr w14:paraId="48C5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496823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r>
              <w:rPr>
                <w:rFonts w:hint="eastAsia" w:ascii="宋体" w:hAnsi="宋体"/>
                <w:color w:val="auto"/>
                <w:sz w:val="22"/>
                <w:szCs w:val="24"/>
                <w:highlight w:val="none"/>
              </w:rPr>
              <w:t>备注</w:t>
            </w:r>
          </w:p>
        </w:tc>
        <w:tc>
          <w:tcPr>
            <w:tcW w:w="7114" w:type="dxa"/>
            <w:gridSpan w:val="8"/>
          </w:tcPr>
          <w:p w14:paraId="5DAFA7E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olor w:val="auto"/>
                <w:sz w:val="22"/>
                <w:szCs w:val="24"/>
                <w:highlight w:val="none"/>
              </w:rPr>
            </w:pPr>
          </w:p>
        </w:tc>
      </w:tr>
    </w:tbl>
    <w:p w14:paraId="24D1F3B9">
      <w:pPr>
        <w:widowControl/>
        <w:spacing w:line="360" w:lineRule="auto"/>
        <w:jc w:val="left"/>
        <w:rPr>
          <w:rFonts w:hint="eastAsia" w:ascii="宋体" w:hAnsi="宋体"/>
          <w:color w:val="auto"/>
          <w:sz w:val="20"/>
          <w:szCs w:val="21"/>
          <w:highlight w:val="none"/>
        </w:rPr>
        <w:sectPr>
          <w:pgSz w:w="11906" w:h="16838"/>
          <w:pgMar w:top="1440" w:right="1800" w:bottom="1440" w:left="1800" w:header="851" w:footer="992" w:gutter="0"/>
          <w:pgNumType w:fmt="decimal"/>
          <w:cols w:space="720" w:num="1"/>
          <w:docGrid w:type="lines" w:linePitch="312" w:charSpace="6144"/>
        </w:sectPr>
      </w:pPr>
      <w:r>
        <w:rPr>
          <w:rFonts w:hint="eastAsia" w:ascii="宋体" w:hAnsi="宋体"/>
          <w:color w:val="auto"/>
          <w:sz w:val="20"/>
          <w:szCs w:val="21"/>
          <w:highlight w:val="none"/>
        </w:rPr>
        <w:t>注：附营业执照（副本）、</w:t>
      </w:r>
      <w:r>
        <w:rPr>
          <w:rFonts w:hint="eastAsia" w:ascii="宋体" w:hAnsi="宋体"/>
          <w:color w:val="auto"/>
          <w:sz w:val="20"/>
          <w:szCs w:val="21"/>
          <w:highlight w:val="none"/>
          <w:lang w:val="en-US" w:eastAsia="zh-CN"/>
        </w:rPr>
        <w:t>总公司授权委托书、</w:t>
      </w:r>
      <w:r>
        <w:rPr>
          <w:rFonts w:hint="eastAsia" w:ascii="宋体" w:hAnsi="宋体"/>
          <w:color w:val="auto"/>
          <w:sz w:val="20"/>
          <w:szCs w:val="21"/>
          <w:highlight w:val="none"/>
        </w:rPr>
        <w:t>资质证明复印件等。</w:t>
      </w:r>
    </w:p>
    <w:p w14:paraId="33E495C4">
      <w:pPr>
        <w:pStyle w:val="20"/>
        <w:rPr>
          <w:rFonts w:hint="eastAsia" w:ascii="Times New Roman" w:hAnsi="Times New Roman" w:eastAsia="宋体"/>
          <w:color w:val="auto"/>
          <w:highlight w:val="none"/>
          <w:lang w:eastAsia="zh-CN"/>
        </w:rPr>
      </w:pPr>
      <w:r>
        <w:rPr>
          <w:rFonts w:ascii="Times New Roman" w:hAnsi="Times New Roman"/>
          <w:color w:val="auto"/>
          <w:highlight w:val="none"/>
        </w:rPr>
        <w:t>（二）法定代表人</w:t>
      </w:r>
      <w:r>
        <w:rPr>
          <w:rFonts w:hint="eastAsia" w:ascii="Times New Roman" w:hAnsi="Times New Roman"/>
          <w:snapToGrid w:val="0"/>
          <w:color w:val="auto"/>
          <w:kern w:val="0"/>
          <w:highlight w:val="none"/>
        </w:rPr>
        <w:t>/</w:t>
      </w:r>
      <w:r>
        <w:rPr>
          <w:rFonts w:hint="eastAsia" w:ascii="Times New Roman" w:hAnsi="Times New Roman"/>
          <w:color w:val="auto"/>
          <w:highlight w:val="none"/>
        </w:rPr>
        <w:t>分支机构负责人</w:t>
      </w:r>
      <w:r>
        <w:rPr>
          <w:rFonts w:ascii="Times New Roman" w:hAnsi="Times New Roman"/>
          <w:color w:val="auto"/>
          <w:highlight w:val="none"/>
        </w:rPr>
        <w:t>身份证明及授权委托书</w:t>
      </w:r>
    </w:p>
    <w:p w14:paraId="63525804">
      <w:pPr>
        <w:pStyle w:val="21"/>
        <w:rPr>
          <w:rFonts w:hint="default" w:ascii="Times New Roman" w:hAnsi="Times New Roman"/>
          <w:color w:val="auto"/>
          <w:highlight w:val="none"/>
        </w:rPr>
      </w:pPr>
      <w:r>
        <w:rPr>
          <w:rFonts w:ascii="Times New Roman" w:hAnsi="Times New Roman"/>
          <w:color w:val="auto"/>
          <w:highlight w:val="none"/>
        </w:rPr>
        <w:t>法定代表人/分支机构负责人身份证明书</w:t>
      </w:r>
    </w:p>
    <w:p w14:paraId="69078D28">
      <w:pPr>
        <w:tabs>
          <w:tab w:val="left" w:pos="6300"/>
        </w:tabs>
        <w:snapToGrid w:val="0"/>
        <w:spacing w:line="360" w:lineRule="auto"/>
        <w:ind w:firstLine="480"/>
        <w:rPr>
          <w:rFonts w:ascii="Times New Roman" w:hAnsi="Times New Roman"/>
          <w:snapToGrid w:val="0"/>
          <w:color w:val="auto"/>
          <w:kern w:val="0"/>
          <w:highlight w:val="none"/>
        </w:rPr>
      </w:pPr>
    </w:p>
    <w:p w14:paraId="61BF3376">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7F262056">
      <w:pPr>
        <w:tabs>
          <w:tab w:val="left" w:pos="6300"/>
        </w:tabs>
        <w:snapToGrid w:val="0"/>
        <w:spacing w:line="360" w:lineRule="auto"/>
        <w:ind w:firstLine="480"/>
        <w:rPr>
          <w:rFonts w:ascii="Times New Roman" w:hAnsi="Times New Roman"/>
          <w:snapToGrid w:val="0"/>
          <w:color w:val="auto"/>
          <w:kern w:val="0"/>
          <w:highlight w:val="none"/>
        </w:rPr>
      </w:pPr>
    </w:p>
    <w:p w14:paraId="74B387B6">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266A56B7">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姓名）在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w:t>
      </w:r>
    </w:p>
    <w:p w14:paraId="588D7F39">
      <w:pPr>
        <w:tabs>
          <w:tab w:val="left" w:pos="6300"/>
        </w:tabs>
        <w:snapToGrid w:val="0"/>
        <w:spacing w:line="360" w:lineRule="auto"/>
        <w:ind w:firstLine="480"/>
        <w:rPr>
          <w:rFonts w:ascii="Times New Roman" w:hAnsi="Times New Roman"/>
          <w:snapToGrid w:val="0"/>
          <w:color w:val="auto"/>
          <w:kern w:val="0"/>
          <w:highlight w:val="none"/>
        </w:rPr>
      </w:pPr>
    </w:p>
    <w:p w14:paraId="47569841">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601BDAB1">
      <w:pPr>
        <w:tabs>
          <w:tab w:val="left" w:pos="6300"/>
        </w:tabs>
        <w:snapToGrid w:val="0"/>
        <w:spacing w:line="360" w:lineRule="auto"/>
        <w:ind w:firstLine="480"/>
        <w:rPr>
          <w:rFonts w:ascii="Times New Roman" w:hAnsi="Times New Roman"/>
          <w:snapToGrid w:val="0"/>
          <w:color w:val="auto"/>
          <w:kern w:val="0"/>
          <w:highlight w:val="none"/>
        </w:rPr>
      </w:pPr>
    </w:p>
    <w:p w14:paraId="27A1936A">
      <w:pPr>
        <w:tabs>
          <w:tab w:val="left" w:pos="6300"/>
        </w:tabs>
        <w:snapToGrid w:val="0"/>
        <w:spacing w:line="360" w:lineRule="auto"/>
        <w:ind w:firstLine="480"/>
        <w:rPr>
          <w:rFonts w:ascii="Times New Roman" w:hAnsi="Times New Roman"/>
          <w:snapToGrid w:val="0"/>
          <w:color w:val="auto"/>
          <w:kern w:val="0"/>
          <w:highlight w:val="none"/>
        </w:rPr>
      </w:pPr>
    </w:p>
    <w:p w14:paraId="7CA11E8C">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4C1DE748">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23E89E7">
      <w:pPr>
        <w:tabs>
          <w:tab w:val="left" w:pos="6300"/>
        </w:tabs>
        <w:snapToGrid w:val="0"/>
        <w:spacing w:line="360" w:lineRule="auto"/>
        <w:ind w:firstLine="480"/>
        <w:rPr>
          <w:rFonts w:ascii="Times New Roman" w:hAnsi="Times New Roman"/>
          <w:snapToGrid w:val="0"/>
          <w:color w:val="auto"/>
          <w:kern w:val="0"/>
          <w:highlight w:val="none"/>
        </w:rPr>
      </w:pPr>
    </w:p>
    <w:p w14:paraId="243D271B">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5911F586">
      <w:pPr>
        <w:tabs>
          <w:tab w:val="left" w:pos="6300"/>
        </w:tabs>
        <w:snapToGrid w:val="0"/>
        <w:spacing w:line="360" w:lineRule="auto"/>
        <w:ind w:firstLine="480"/>
        <w:rPr>
          <w:rFonts w:ascii="Times New Roman" w:hAnsi="Times New Roman"/>
          <w:snapToGrid w:val="0"/>
          <w:color w:val="auto"/>
          <w:kern w:val="0"/>
          <w:highlight w:val="none"/>
        </w:rPr>
      </w:pPr>
    </w:p>
    <w:p w14:paraId="2104F0CB">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身份证正反面复印件）</w:t>
      </w:r>
    </w:p>
    <w:p w14:paraId="559670CA">
      <w:pPr>
        <w:tabs>
          <w:tab w:val="left" w:pos="6300"/>
        </w:tabs>
        <w:snapToGrid w:val="0"/>
        <w:spacing w:line="360" w:lineRule="auto"/>
        <w:ind w:firstLine="480"/>
        <w:rPr>
          <w:rFonts w:ascii="Times New Roman" w:hAnsi="Times New Roman"/>
          <w:snapToGrid w:val="0"/>
          <w:color w:val="auto"/>
          <w:kern w:val="0"/>
          <w:highlight w:val="none"/>
        </w:rPr>
      </w:pPr>
    </w:p>
    <w:p w14:paraId="0771D572">
      <w:pPr>
        <w:tabs>
          <w:tab w:val="left" w:pos="6300"/>
        </w:tabs>
        <w:snapToGrid w:val="0"/>
        <w:spacing w:line="360" w:lineRule="auto"/>
        <w:ind w:firstLine="480"/>
        <w:rPr>
          <w:rFonts w:ascii="Times New Roman" w:hAnsi="Times New Roman"/>
          <w:snapToGrid w:val="0"/>
          <w:color w:val="auto"/>
          <w:kern w:val="0"/>
          <w:highlight w:val="none"/>
        </w:rPr>
      </w:pPr>
    </w:p>
    <w:p w14:paraId="351624A5">
      <w:pPr>
        <w:tabs>
          <w:tab w:val="left" w:pos="6300"/>
        </w:tabs>
        <w:snapToGrid w:val="0"/>
        <w:spacing w:line="360" w:lineRule="auto"/>
        <w:ind w:firstLine="480"/>
        <w:rPr>
          <w:rFonts w:ascii="Times New Roman" w:hAnsi="Times New Roman"/>
          <w:snapToGrid w:val="0"/>
          <w:color w:val="auto"/>
          <w:kern w:val="0"/>
          <w:highlight w:val="none"/>
        </w:rPr>
      </w:pPr>
    </w:p>
    <w:p w14:paraId="2D88AA8E">
      <w:pPr>
        <w:ind w:firstLine="480"/>
        <w:jc w:val="center"/>
        <w:rPr>
          <w:rStyle w:val="22"/>
          <w:rFonts w:hint="default" w:ascii="Times New Roman" w:hAnsi="Times New Roman"/>
          <w:color w:val="auto"/>
          <w:highlight w:val="none"/>
        </w:rPr>
      </w:pPr>
      <w:r>
        <w:rPr>
          <w:rFonts w:hint="eastAsia" w:ascii="Times New Roman" w:hAnsi="Times New Roman"/>
          <w:snapToGrid w:val="0"/>
          <w:color w:val="auto"/>
          <w:kern w:val="0"/>
          <w:highlight w:val="none"/>
        </w:rPr>
        <w:br w:type="column"/>
      </w:r>
      <w:r>
        <w:rPr>
          <w:rStyle w:val="22"/>
          <w:rFonts w:hint="default" w:ascii="Times New Roman" w:hAnsi="Times New Roman"/>
          <w:color w:val="auto"/>
          <w:highlight w:val="none"/>
        </w:rPr>
        <w:t>法定代表人</w:t>
      </w:r>
      <w:r>
        <w:rPr>
          <w:rFonts w:hint="eastAsia" w:ascii="Times New Roman" w:hAnsi="Times New Roman"/>
          <w:b/>
          <w:bCs/>
          <w:snapToGrid w:val="0"/>
          <w:color w:val="auto"/>
          <w:highlight w:val="none"/>
        </w:rPr>
        <w:t>（分支机构负责人）</w:t>
      </w:r>
      <w:r>
        <w:rPr>
          <w:rStyle w:val="22"/>
          <w:rFonts w:hint="default" w:ascii="Times New Roman" w:hAnsi="Times New Roman"/>
          <w:color w:val="auto"/>
          <w:highlight w:val="none"/>
        </w:rPr>
        <w:t>授权委托书</w:t>
      </w:r>
    </w:p>
    <w:p w14:paraId="6F03D08A">
      <w:pPr>
        <w:tabs>
          <w:tab w:val="left" w:pos="6300"/>
        </w:tabs>
        <w:snapToGrid w:val="0"/>
        <w:spacing w:line="360" w:lineRule="auto"/>
        <w:ind w:firstLine="480"/>
        <w:rPr>
          <w:rFonts w:ascii="Times New Roman" w:hAnsi="Times New Roman"/>
          <w:snapToGrid w:val="0"/>
          <w:color w:val="auto"/>
          <w:kern w:val="0"/>
          <w:highlight w:val="none"/>
        </w:rPr>
      </w:pPr>
    </w:p>
    <w:p w14:paraId="00643EDD">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20CC5A29">
      <w:pPr>
        <w:tabs>
          <w:tab w:val="left" w:pos="6300"/>
        </w:tabs>
        <w:snapToGrid w:val="0"/>
        <w:spacing w:line="360" w:lineRule="auto"/>
        <w:ind w:firstLine="480"/>
        <w:rPr>
          <w:rFonts w:ascii="Times New Roman" w:hAnsi="Times New Roman"/>
          <w:snapToGrid w:val="0"/>
          <w:color w:val="auto"/>
          <w:kern w:val="0"/>
          <w:highlight w:val="none"/>
        </w:rPr>
      </w:pPr>
    </w:p>
    <w:p w14:paraId="5AABA160">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055AB6DF">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（委托代理人姓名及身份证代码）代表我单位全权办理上述项目的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04263812">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我单位对委托代理人的签字负全部责任。</w:t>
      </w:r>
    </w:p>
    <w:p w14:paraId="4941C0B6">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授权的书面通知以前，本授权书一直有效。委托代理人在授权书有效期内签署的所有文件不因授权的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7A8AEC77">
      <w:pPr>
        <w:tabs>
          <w:tab w:val="left" w:pos="6300"/>
        </w:tabs>
        <w:snapToGrid w:val="0"/>
        <w:spacing w:line="360" w:lineRule="auto"/>
        <w:ind w:firstLine="480"/>
        <w:rPr>
          <w:rFonts w:ascii="Times New Roman" w:hAnsi="Times New Roman"/>
          <w:snapToGrid w:val="0"/>
          <w:color w:val="auto"/>
          <w:kern w:val="0"/>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395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E9E9614">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委托代理人</w:t>
            </w:r>
          </w:p>
        </w:tc>
        <w:tc>
          <w:tcPr>
            <w:tcW w:w="4261" w:type="dxa"/>
            <w:tcBorders>
              <w:top w:val="nil"/>
              <w:left w:val="nil"/>
              <w:bottom w:val="nil"/>
              <w:right w:val="nil"/>
            </w:tcBorders>
          </w:tcPr>
          <w:p w14:paraId="64F0590D">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名称：</w:t>
            </w:r>
          </w:p>
        </w:tc>
      </w:tr>
      <w:tr w14:paraId="60D0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E23A13B">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7ED2C7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27D7A29C">
      <w:pPr>
        <w:tabs>
          <w:tab w:val="left" w:pos="6300"/>
        </w:tabs>
        <w:snapToGrid w:val="0"/>
        <w:spacing w:line="360" w:lineRule="auto"/>
        <w:ind w:firstLine="480"/>
        <w:rPr>
          <w:rFonts w:ascii="Times New Roman" w:hAnsi="Times New Roman"/>
          <w:snapToGrid w:val="0"/>
          <w:color w:val="auto"/>
          <w:kern w:val="0"/>
          <w:highlight w:val="none"/>
        </w:rPr>
      </w:pPr>
    </w:p>
    <w:p w14:paraId="16860DD8">
      <w:pPr>
        <w:tabs>
          <w:tab w:val="left" w:pos="6300"/>
        </w:tabs>
        <w:snapToGrid w:val="0"/>
        <w:spacing w:line="360" w:lineRule="auto"/>
        <w:ind w:firstLine="480"/>
        <w:rPr>
          <w:rFonts w:ascii="Times New Roman" w:hAnsi="Times New Roman"/>
          <w:snapToGrid w:val="0"/>
          <w:color w:val="auto"/>
          <w:kern w:val="0"/>
          <w:szCs w:val="28"/>
          <w:highlight w:val="none"/>
        </w:rPr>
      </w:pPr>
    </w:p>
    <w:p w14:paraId="2FCDE2C6">
      <w:pPr>
        <w:tabs>
          <w:tab w:val="left" w:pos="6300"/>
        </w:tabs>
        <w:snapToGrid w:val="0"/>
        <w:spacing w:line="360" w:lineRule="auto"/>
        <w:ind w:firstLine="480"/>
        <w:rPr>
          <w:rFonts w:ascii="Times New Roman" w:hAnsi="Times New Roman"/>
          <w:snapToGrid w:val="0"/>
          <w:color w:val="auto"/>
          <w:kern w:val="0"/>
          <w:highlight w:val="none"/>
        </w:rPr>
      </w:pPr>
    </w:p>
    <w:p w14:paraId="08818E77">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（附：委托代理人身份证正反面复印件）</w:t>
      </w:r>
    </w:p>
    <w:p w14:paraId="6D43181C">
      <w:pPr>
        <w:tabs>
          <w:tab w:val="left" w:pos="6300"/>
        </w:tabs>
        <w:snapToGrid w:val="0"/>
        <w:spacing w:line="360" w:lineRule="auto"/>
        <w:ind w:firstLine="480"/>
        <w:rPr>
          <w:rFonts w:ascii="Times New Roman" w:hAnsi="Times New Roman"/>
          <w:snapToGrid w:val="0"/>
          <w:color w:val="auto"/>
          <w:kern w:val="0"/>
          <w:highlight w:val="none"/>
        </w:rPr>
      </w:pPr>
    </w:p>
    <w:p w14:paraId="4200E2CE">
      <w:pPr>
        <w:tabs>
          <w:tab w:val="left" w:pos="6300"/>
        </w:tabs>
        <w:snapToGrid w:val="0"/>
        <w:spacing w:line="360" w:lineRule="auto"/>
        <w:ind w:firstLine="480"/>
        <w:rPr>
          <w:rFonts w:ascii="Times New Roman" w:hAnsi="Times New Roman"/>
          <w:snapToGrid w:val="0"/>
          <w:color w:val="auto"/>
          <w:kern w:val="0"/>
          <w:highlight w:val="none"/>
        </w:rPr>
      </w:pPr>
    </w:p>
    <w:p w14:paraId="3709E3C2">
      <w:pPr>
        <w:tabs>
          <w:tab w:val="left" w:pos="6300"/>
        </w:tabs>
        <w:snapToGrid w:val="0"/>
        <w:spacing w:line="360" w:lineRule="auto"/>
        <w:ind w:right="-36" w:firstLine="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11736B09">
      <w:pPr>
        <w:tabs>
          <w:tab w:val="left" w:pos="6300"/>
        </w:tabs>
        <w:snapToGrid w:val="0"/>
        <w:spacing w:line="360" w:lineRule="auto"/>
        <w:ind w:right="-36" w:firstLine="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13DDFEC8">
      <w:pPr>
        <w:tabs>
          <w:tab w:val="left" w:pos="6300"/>
        </w:tabs>
        <w:snapToGrid w:val="0"/>
        <w:spacing w:line="360" w:lineRule="auto"/>
        <w:ind w:firstLine="480"/>
        <w:rPr>
          <w:rFonts w:ascii="Times New Roman" w:hAnsi="Times New Roman"/>
          <w:snapToGrid w:val="0"/>
          <w:color w:val="auto"/>
          <w:kern w:val="0"/>
          <w:highlight w:val="none"/>
        </w:rPr>
      </w:pPr>
    </w:p>
    <w:p w14:paraId="4683EF36">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注：1.若为法定代表人（分支机构负责人）办理并签署参选文件的，不提供此文件。</w:t>
      </w:r>
    </w:p>
    <w:p w14:paraId="4E7CB911">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2.若为联合体参选的，法定代表人授权委托书由联合体主办方（主体）出具。</w:t>
      </w:r>
    </w:p>
    <w:p w14:paraId="21D4A1D6">
      <w:pPr>
        <w:ind w:firstLine="480"/>
        <w:rPr>
          <w:rFonts w:ascii="Times New Roman" w:hAnsi="Times New Roman"/>
          <w:color w:val="auto"/>
          <w:highlight w:val="none"/>
        </w:rPr>
      </w:pPr>
    </w:p>
    <w:p w14:paraId="33E20380">
      <w:pPr>
        <w:ind w:firstLine="480"/>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20038D65">
      <w:pPr>
        <w:pStyle w:val="20"/>
        <w:bidi w:val="0"/>
        <w:rPr>
          <w:color w:val="auto"/>
          <w:highlight w:val="none"/>
        </w:rPr>
      </w:pPr>
      <w:r>
        <w:rPr>
          <w:rFonts w:hint="eastAsia"/>
          <w:color w:val="auto"/>
          <w:highlight w:val="none"/>
          <w:lang w:val="en-US" w:eastAsia="zh-CN"/>
        </w:rPr>
        <w:t>（三）</w:t>
      </w:r>
      <w:r>
        <w:rPr>
          <w:rFonts w:hint="eastAsia"/>
          <w:color w:val="auto"/>
          <w:highlight w:val="none"/>
        </w:rPr>
        <w:t>书面声明</w:t>
      </w:r>
    </w:p>
    <w:p w14:paraId="6AE35576">
      <w:pPr>
        <w:tabs>
          <w:tab w:val="left" w:pos="6300"/>
        </w:tabs>
        <w:snapToGrid w:val="0"/>
        <w:spacing w:line="360" w:lineRule="auto"/>
        <w:rPr>
          <w:rFonts w:ascii="宋体" w:hAnsi="宋体"/>
          <w:color w:val="auto"/>
          <w:sz w:val="24"/>
          <w:highlight w:val="none"/>
        </w:rPr>
      </w:pPr>
    </w:p>
    <w:p w14:paraId="7AC0A8F8">
      <w:pPr>
        <w:tabs>
          <w:tab w:val="left" w:pos="6300"/>
        </w:tabs>
        <w:snapToGrid w:val="0"/>
        <w:spacing w:line="360" w:lineRule="auto"/>
        <w:ind w:firstLine="480" w:firstLineChars="200"/>
        <w:rPr>
          <w:rFonts w:ascii="宋体" w:hAnsi="宋体"/>
          <w:color w:val="auto"/>
          <w:sz w:val="24"/>
          <w:highlight w:val="none"/>
        </w:rPr>
      </w:pPr>
      <w:r>
        <w:rPr>
          <w:rFonts w:hint="eastAsia" w:ascii="宋体" w:hAnsi="宋体"/>
          <w:color w:val="auto"/>
          <w:sz w:val="24"/>
          <w:szCs w:val="28"/>
          <w:highlight w:val="none"/>
        </w:rPr>
        <w:t>项目名称</w:t>
      </w:r>
      <w:r>
        <w:rPr>
          <w:rFonts w:hint="eastAsia" w:ascii="宋体" w:hAnsi="宋体"/>
          <w:color w:val="auto"/>
          <w:sz w:val="24"/>
          <w:highlight w:val="none"/>
        </w:rPr>
        <w:t>：</w:t>
      </w:r>
      <w:r>
        <w:rPr>
          <w:rFonts w:hint="eastAsia" w:ascii="宋体" w:hAnsi="宋体"/>
          <w:snapToGrid w:val="0"/>
          <w:color w:val="auto"/>
          <w:kern w:val="0"/>
          <w:sz w:val="24"/>
          <w:szCs w:val="24"/>
          <w:highlight w:val="none"/>
          <w:u w:val="single"/>
        </w:rPr>
        <w:t>__________________</w:t>
      </w:r>
    </w:p>
    <w:p w14:paraId="2F773281">
      <w:pPr>
        <w:tabs>
          <w:tab w:val="left" w:pos="6300"/>
        </w:tabs>
        <w:snapToGrid w:val="0"/>
        <w:spacing w:line="360" w:lineRule="auto"/>
        <w:rPr>
          <w:rFonts w:ascii="宋体" w:hAnsi="宋体"/>
          <w:color w:val="auto"/>
          <w:sz w:val="24"/>
          <w:highlight w:val="none"/>
        </w:rPr>
      </w:pPr>
    </w:p>
    <w:p w14:paraId="02945C98">
      <w:pPr>
        <w:tabs>
          <w:tab w:val="left" w:pos="6300"/>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致：</w:t>
      </w:r>
      <w:r>
        <w:rPr>
          <w:rFonts w:hint="eastAsia" w:ascii="宋体" w:hAnsi="宋体"/>
          <w:snapToGrid w:val="0"/>
          <w:color w:val="auto"/>
          <w:kern w:val="0"/>
          <w:sz w:val="24"/>
          <w:highlight w:val="none"/>
          <w:u w:val="single"/>
        </w:rPr>
        <w:t>重庆三峡银行股份有限公司</w:t>
      </w:r>
      <w:r>
        <w:rPr>
          <w:rFonts w:hint="eastAsia" w:ascii="宋体" w:hAnsi="宋体"/>
          <w:color w:val="auto"/>
          <w:sz w:val="24"/>
          <w:highlight w:val="none"/>
        </w:rPr>
        <w:t>：</w:t>
      </w:r>
    </w:p>
    <w:p w14:paraId="6D63DC1E">
      <w:pPr>
        <w:tabs>
          <w:tab w:val="left" w:pos="6300"/>
        </w:tabs>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参选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参选人资格条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我公司本次如若中选，中选后不会对项目进行转包</w:t>
      </w:r>
      <w:r>
        <w:rPr>
          <w:rFonts w:hint="eastAsia" w:ascii="宋体" w:hAnsi="宋体"/>
          <w:color w:val="auto"/>
          <w:sz w:val="24"/>
          <w:highlight w:val="none"/>
        </w:rPr>
        <w:t>。我方对以上声明负全部法律责任。</w:t>
      </w:r>
    </w:p>
    <w:p w14:paraId="7B4CB710">
      <w:pPr>
        <w:tabs>
          <w:tab w:val="left" w:pos="6300"/>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特此声明。</w:t>
      </w:r>
    </w:p>
    <w:p w14:paraId="454D0BB6">
      <w:pPr>
        <w:tabs>
          <w:tab w:val="left" w:pos="6300"/>
        </w:tabs>
        <w:snapToGrid w:val="0"/>
        <w:spacing w:line="360" w:lineRule="auto"/>
        <w:rPr>
          <w:rFonts w:ascii="宋体" w:hAnsi="宋体"/>
          <w:color w:val="auto"/>
          <w:sz w:val="24"/>
          <w:highlight w:val="none"/>
        </w:rPr>
      </w:pPr>
    </w:p>
    <w:p w14:paraId="079079AE">
      <w:pPr>
        <w:tabs>
          <w:tab w:val="left" w:pos="6300"/>
        </w:tabs>
        <w:snapToGrid w:val="0"/>
        <w:spacing w:line="360" w:lineRule="auto"/>
        <w:rPr>
          <w:rFonts w:ascii="宋体" w:hAnsi="宋体"/>
          <w:color w:val="auto"/>
          <w:sz w:val="24"/>
          <w:highlight w:val="none"/>
        </w:rPr>
      </w:pPr>
    </w:p>
    <w:p w14:paraId="7BBCC9F6">
      <w:pPr>
        <w:tabs>
          <w:tab w:val="left" w:pos="6300"/>
        </w:tabs>
        <w:snapToGrid w:val="0"/>
        <w:spacing w:line="360" w:lineRule="auto"/>
        <w:rPr>
          <w:rFonts w:ascii="宋体" w:hAnsi="宋体"/>
          <w:color w:val="auto"/>
          <w:sz w:val="24"/>
          <w:highlight w:val="none"/>
        </w:rPr>
      </w:pPr>
    </w:p>
    <w:p w14:paraId="45593438">
      <w:pPr>
        <w:tabs>
          <w:tab w:val="left" w:pos="6300"/>
        </w:tabs>
        <w:snapToGrid w:val="0"/>
        <w:spacing w:line="360" w:lineRule="auto"/>
        <w:ind w:right="424"/>
        <w:jc w:val="right"/>
        <w:rPr>
          <w:rFonts w:ascii="宋体" w:hAnsi="宋体"/>
          <w:color w:val="auto"/>
          <w:sz w:val="24"/>
          <w:highlight w:val="none"/>
        </w:rPr>
      </w:pPr>
      <w:r>
        <w:rPr>
          <w:rFonts w:hint="eastAsia" w:ascii="宋体" w:hAnsi="宋体"/>
          <w:color w:val="auto"/>
          <w:sz w:val="24"/>
          <w:highlight w:val="none"/>
        </w:rPr>
        <w:t>（</w:t>
      </w:r>
      <w:r>
        <w:rPr>
          <w:rFonts w:hint="eastAsia" w:ascii="宋体" w:hAnsi="宋体" w:cs="等线 Light"/>
          <w:snapToGrid w:val="0"/>
          <w:color w:val="auto"/>
          <w:kern w:val="0"/>
          <w:sz w:val="24"/>
          <w:szCs w:val="24"/>
          <w:highlight w:val="none"/>
        </w:rPr>
        <w:t>参选</w:t>
      </w:r>
      <w:r>
        <w:rPr>
          <w:rFonts w:hint="eastAsia" w:ascii="宋体" w:hAnsi="宋体"/>
          <w:color w:val="auto"/>
          <w:sz w:val="24"/>
          <w:highlight w:val="none"/>
        </w:rPr>
        <w:t>人公章）</w:t>
      </w:r>
    </w:p>
    <w:p w14:paraId="17D09BDE">
      <w:pPr>
        <w:tabs>
          <w:tab w:val="left" w:pos="6300"/>
        </w:tabs>
        <w:snapToGrid w:val="0"/>
        <w:spacing w:line="360" w:lineRule="auto"/>
        <w:ind w:right="480"/>
        <w:jc w:val="right"/>
        <w:rPr>
          <w:rFonts w:ascii="宋体" w:hAnsi="宋体"/>
          <w:color w:val="auto"/>
          <w:sz w:val="24"/>
          <w:highlight w:val="none"/>
        </w:rPr>
      </w:pPr>
      <w:r>
        <w:rPr>
          <w:rFonts w:hint="eastAsia" w:ascii="宋体" w:hAnsi="宋体"/>
          <w:color w:val="auto"/>
          <w:sz w:val="24"/>
          <w:highlight w:val="none"/>
        </w:rPr>
        <w:t>年   月   日</w:t>
      </w:r>
    </w:p>
    <w:p w14:paraId="751F125B">
      <w:pPr>
        <w:spacing w:line="360" w:lineRule="auto"/>
        <w:jc w:val="left"/>
        <w:rPr>
          <w:rFonts w:ascii="宋体" w:hAnsi="宋体" w:cs="等线 Light"/>
          <w:snapToGrid w:val="0"/>
          <w:color w:val="auto"/>
          <w:kern w:val="0"/>
          <w:sz w:val="24"/>
          <w:szCs w:val="24"/>
          <w:highlight w:val="none"/>
        </w:rPr>
      </w:pPr>
    </w:p>
    <w:p w14:paraId="0D7E8B54">
      <w:pPr>
        <w:spacing w:line="360" w:lineRule="auto"/>
        <w:jc w:val="left"/>
        <w:rPr>
          <w:rFonts w:ascii="宋体" w:hAnsi="宋体" w:cs="等线 Light"/>
          <w:snapToGrid w:val="0"/>
          <w:color w:val="auto"/>
          <w:kern w:val="0"/>
          <w:sz w:val="24"/>
          <w:szCs w:val="24"/>
          <w:highlight w:val="none"/>
        </w:rPr>
      </w:pPr>
    </w:p>
    <w:p w14:paraId="2DEAEA07">
      <w:pPr>
        <w:spacing w:line="360" w:lineRule="auto"/>
        <w:jc w:val="left"/>
        <w:rPr>
          <w:rFonts w:ascii="宋体" w:hAnsi="宋体" w:cs="等线 Light"/>
          <w:snapToGrid w:val="0"/>
          <w:color w:val="auto"/>
          <w:kern w:val="0"/>
          <w:sz w:val="24"/>
          <w:szCs w:val="24"/>
          <w:highlight w:val="none"/>
        </w:rPr>
      </w:pPr>
    </w:p>
    <w:p w14:paraId="32AC5C1D">
      <w:pPr>
        <w:spacing w:line="360" w:lineRule="auto"/>
        <w:jc w:val="left"/>
        <w:rPr>
          <w:rFonts w:ascii="宋体" w:hAnsi="宋体" w:cs="等线 Light"/>
          <w:snapToGrid w:val="0"/>
          <w:color w:val="auto"/>
          <w:kern w:val="0"/>
          <w:sz w:val="24"/>
          <w:szCs w:val="24"/>
          <w:highlight w:val="none"/>
        </w:rPr>
      </w:pPr>
    </w:p>
    <w:p w14:paraId="14626D2A">
      <w:pPr>
        <w:spacing w:line="360" w:lineRule="auto"/>
        <w:jc w:val="left"/>
        <w:rPr>
          <w:rFonts w:ascii="宋体" w:hAnsi="宋体" w:cs="等线 Light"/>
          <w:snapToGrid w:val="0"/>
          <w:color w:val="auto"/>
          <w:kern w:val="0"/>
          <w:sz w:val="24"/>
          <w:szCs w:val="24"/>
          <w:highlight w:val="none"/>
        </w:rPr>
      </w:pPr>
    </w:p>
    <w:p w14:paraId="38457890">
      <w:pPr>
        <w:spacing w:line="360" w:lineRule="auto"/>
        <w:jc w:val="left"/>
        <w:rPr>
          <w:rFonts w:ascii="宋体" w:hAnsi="宋体" w:cs="等线 Light"/>
          <w:snapToGrid w:val="0"/>
          <w:color w:val="auto"/>
          <w:kern w:val="0"/>
          <w:sz w:val="24"/>
          <w:szCs w:val="24"/>
          <w:highlight w:val="none"/>
        </w:rPr>
      </w:pPr>
    </w:p>
    <w:p w14:paraId="5E589F31">
      <w:pPr>
        <w:spacing w:line="360" w:lineRule="auto"/>
        <w:jc w:val="left"/>
        <w:rPr>
          <w:rFonts w:ascii="宋体" w:hAnsi="宋体" w:cs="等线 Light"/>
          <w:snapToGrid w:val="0"/>
          <w:color w:val="auto"/>
          <w:kern w:val="0"/>
          <w:sz w:val="24"/>
          <w:szCs w:val="24"/>
          <w:highlight w:val="none"/>
        </w:rPr>
      </w:pPr>
    </w:p>
    <w:p w14:paraId="411E9F87">
      <w:pPr>
        <w:rPr>
          <w:rFonts w:hint="eastAsia"/>
          <w:b/>
          <w:bCs/>
          <w:color w:val="auto"/>
          <w:highlight w:val="none"/>
        </w:rPr>
      </w:pPr>
      <w:r>
        <w:rPr>
          <w:rFonts w:hint="eastAsia"/>
          <w:color w:val="auto"/>
          <w:kern w:val="0"/>
          <w:highlight w:val="none"/>
        </w:rPr>
        <w:br w:type="page"/>
      </w:r>
    </w:p>
    <w:p w14:paraId="33922A57">
      <w:pPr>
        <w:pStyle w:val="20"/>
        <w:bidi w:val="0"/>
        <w:rPr>
          <w:color w:val="auto"/>
          <w:highlight w:val="none"/>
        </w:rPr>
      </w:pPr>
      <w:r>
        <w:rPr>
          <w:color w:val="auto"/>
          <w:highlight w:val="none"/>
        </w:rPr>
        <w:t>（</w:t>
      </w:r>
      <w:r>
        <w:rPr>
          <w:rFonts w:hint="eastAsia"/>
          <w:color w:val="auto"/>
          <w:highlight w:val="none"/>
          <w:lang w:val="en-US" w:eastAsia="zh-CN"/>
        </w:rPr>
        <w:t>四</w:t>
      </w:r>
      <w:r>
        <w:rPr>
          <w:color w:val="auto"/>
          <w:highlight w:val="none"/>
        </w:rPr>
        <w:t>）中国执行信息公开网截图</w:t>
      </w:r>
    </w:p>
    <w:p w14:paraId="268486C1">
      <w:pPr>
        <w:ind w:firstLine="480"/>
        <w:rPr>
          <w:rFonts w:ascii="Times New Roman" w:hAnsi="Times New Roman"/>
          <w:color w:val="auto"/>
          <w:highlight w:val="none"/>
        </w:rPr>
      </w:pPr>
      <w:r>
        <w:rPr>
          <w:rFonts w:hint="eastAsia" w:ascii="Times New Roman" w:hAnsi="Times New Roman"/>
          <w:color w:val="auto"/>
          <w:highlight w:val="none"/>
          <w:lang w:val="en-US" w:eastAsia="zh-CN"/>
        </w:rPr>
        <w:t>1.法人</w:t>
      </w:r>
      <w:r>
        <w:rPr>
          <w:rFonts w:ascii="Times New Roman" w:hAnsi="Times New Roman"/>
          <w:color w:val="auto"/>
          <w:highlight w:val="none"/>
        </w:rPr>
        <w:t>中国执行信息公开网截图</w:t>
      </w:r>
    </w:p>
    <w:p w14:paraId="332425F9">
      <w:pPr>
        <w:ind w:firstLine="48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2.法定代表人</w:t>
      </w:r>
      <w:r>
        <w:rPr>
          <w:rFonts w:ascii="Times New Roman" w:hAnsi="Times New Roman"/>
          <w:color w:val="auto"/>
          <w:highlight w:val="none"/>
        </w:rPr>
        <w:t>中国执行信息公开网截图</w:t>
      </w:r>
    </w:p>
    <w:p w14:paraId="3DF9E138">
      <w:pPr>
        <w:bidi w:val="0"/>
        <w:rPr>
          <w:color w:val="auto"/>
          <w:highlight w:val="none"/>
        </w:rPr>
      </w:pPr>
    </w:p>
    <w:p w14:paraId="6187E2DB">
      <w:pPr>
        <w:bidi w:val="0"/>
        <w:rPr>
          <w:color w:val="auto"/>
          <w:highlight w:val="none"/>
        </w:rPr>
      </w:pPr>
    </w:p>
    <w:p w14:paraId="4DEB0681">
      <w:pPr>
        <w:bidi w:val="0"/>
        <w:rPr>
          <w:color w:val="auto"/>
          <w:highlight w:val="none"/>
        </w:rPr>
      </w:pPr>
    </w:p>
    <w:p w14:paraId="23CBC040">
      <w:pPr>
        <w:bidi w:val="0"/>
        <w:rPr>
          <w:color w:val="auto"/>
          <w:highlight w:val="none"/>
        </w:rPr>
      </w:pPr>
    </w:p>
    <w:p w14:paraId="681B4EB5">
      <w:pPr>
        <w:bidi w:val="0"/>
        <w:rPr>
          <w:color w:val="auto"/>
          <w:highlight w:val="none"/>
        </w:rPr>
      </w:pPr>
      <w:r>
        <w:rPr>
          <w:rFonts w:hint="eastAsia"/>
          <w:color w:val="auto"/>
          <w:highlight w:val="none"/>
        </w:rPr>
        <w:br w:type="page"/>
      </w:r>
    </w:p>
    <w:p w14:paraId="4DA38665">
      <w:pPr>
        <w:pStyle w:val="20"/>
        <w:bidi w:val="0"/>
        <w:rPr>
          <w:rFonts w:eastAsia="宋体"/>
          <w:color w:val="auto"/>
          <w:highlight w:val="none"/>
          <w:lang w:val="en-US" w:eastAsia="zh-CN"/>
        </w:rPr>
      </w:pPr>
      <w:r>
        <w:rPr>
          <w:rFonts w:hint="eastAsia"/>
          <w:color w:val="auto"/>
          <w:highlight w:val="none"/>
          <w:lang w:val="zh-CN"/>
        </w:rPr>
        <w:t>（</w:t>
      </w:r>
      <w:r>
        <w:rPr>
          <w:rFonts w:hint="eastAsia"/>
          <w:color w:val="auto"/>
          <w:highlight w:val="none"/>
          <w:lang w:val="en-US" w:eastAsia="zh-CN"/>
        </w:rPr>
        <w:t>五</w:t>
      </w:r>
      <w:r>
        <w:rPr>
          <w:rFonts w:hint="eastAsia"/>
          <w:color w:val="auto"/>
          <w:highlight w:val="none"/>
          <w:lang w:val="zh-CN"/>
        </w:rPr>
        <w:t>）重庆市内内房屋租赁合同</w:t>
      </w:r>
      <w:r>
        <w:rPr>
          <w:rFonts w:hint="eastAsia"/>
          <w:color w:val="auto"/>
          <w:highlight w:val="none"/>
          <w:lang w:val="en-US" w:eastAsia="zh-CN"/>
        </w:rPr>
        <w:t>或</w:t>
      </w:r>
      <w:r>
        <w:rPr>
          <w:rFonts w:hint="eastAsia"/>
          <w:color w:val="auto"/>
          <w:highlight w:val="none"/>
          <w:lang w:val="zh-CN"/>
        </w:rPr>
        <w:t>产权证明</w:t>
      </w:r>
    </w:p>
    <w:p w14:paraId="0DB00150">
      <w:pPr>
        <w:bidi w:val="0"/>
        <w:rPr>
          <w:rFonts w:hint="eastAsia"/>
          <w:color w:val="auto"/>
          <w:highlight w:val="none"/>
          <w:lang w:val="zh-CN"/>
        </w:rPr>
      </w:pPr>
    </w:p>
    <w:p w14:paraId="328A828A">
      <w:pPr>
        <w:bidi w:val="0"/>
        <w:rPr>
          <w:rFonts w:hint="eastAsia"/>
          <w:color w:val="auto"/>
          <w:highlight w:val="none"/>
          <w:lang w:val="zh-CN"/>
        </w:rPr>
      </w:pPr>
    </w:p>
    <w:p w14:paraId="75AE2DCD">
      <w:pPr>
        <w:bidi w:val="0"/>
        <w:rPr>
          <w:rFonts w:hint="eastAsia"/>
          <w:color w:val="auto"/>
          <w:highlight w:val="none"/>
          <w:lang w:val="zh-CN"/>
        </w:rPr>
        <w:sectPr>
          <w:pgSz w:w="11906" w:h="16838"/>
          <w:pgMar w:top="1440" w:right="1800" w:bottom="1440" w:left="1800" w:header="851" w:footer="992" w:gutter="0"/>
          <w:pgNumType w:fmt="decimal"/>
          <w:cols w:space="720" w:num="1"/>
          <w:docGrid w:type="lines" w:linePitch="312" w:charSpace="6144"/>
        </w:sectPr>
      </w:pPr>
    </w:p>
    <w:p w14:paraId="2251442A">
      <w:pPr>
        <w:pStyle w:val="20"/>
        <w:bidi w:val="0"/>
        <w:rPr>
          <w:rFonts w:hint="eastAsia" w:eastAsia="宋体"/>
          <w:color w:val="auto"/>
          <w:highlight w:val="none"/>
          <w:lang w:val="zh-CN" w:eastAsia="zh-CN"/>
        </w:rPr>
      </w:pPr>
      <w:r>
        <w:rPr>
          <w:rFonts w:hint="eastAsia"/>
          <w:color w:val="auto"/>
          <w:highlight w:val="none"/>
          <w:lang w:val="zh-CN"/>
        </w:rPr>
        <w:t>（</w:t>
      </w:r>
      <w:r>
        <w:rPr>
          <w:rFonts w:hint="eastAsia"/>
          <w:color w:val="auto"/>
          <w:highlight w:val="none"/>
          <w:lang w:val="en-US" w:eastAsia="zh-CN"/>
        </w:rPr>
        <w:t>六</w:t>
      </w:r>
      <w:r>
        <w:rPr>
          <w:rFonts w:hint="eastAsia"/>
          <w:color w:val="auto"/>
          <w:highlight w:val="none"/>
          <w:lang w:val="zh-CN"/>
        </w:rPr>
        <w:t>）</w:t>
      </w:r>
      <w:r>
        <w:rPr>
          <w:rFonts w:hint="eastAsia"/>
          <w:color w:val="auto"/>
          <w:highlight w:val="none"/>
          <w:lang w:val="en-US" w:eastAsia="zh-CN"/>
        </w:rPr>
        <w:t>其他</w:t>
      </w:r>
      <w:r>
        <w:rPr>
          <w:rFonts w:hint="eastAsia"/>
          <w:color w:val="auto"/>
          <w:highlight w:val="none"/>
          <w:lang w:val="zh-CN"/>
        </w:rPr>
        <w:t>（</w:t>
      </w:r>
      <w:r>
        <w:rPr>
          <w:rFonts w:hint="eastAsia"/>
          <w:color w:val="auto"/>
          <w:highlight w:val="none"/>
          <w:lang w:val="en-US" w:eastAsia="zh-CN"/>
        </w:rPr>
        <w:t>如有</w:t>
      </w:r>
      <w:r>
        <w:rPr>
          <w:rFonts w:hint="eastAsia"/>
          <w:color w:val="auto"/>
          <w:highlight w:val="none"/>
          <w:lang w:val="zh-CN"/>
        </w:rPr>
        <w:t>）</w:t>
      </w:r>
    </w:p>
    <w:p w14:paraId="69CE125D">
      <w:pPr>
        <w:bidi w:val="0"/>
        <w:rPr>
          <w:rFonts w:hint="eastAsia"/>
          <w:color w:val="auto"/>
          <w:highlight w:val="none"/>
          <w:lang w:val="zh-CN"/>
        </w:rPr>
      </w:pPr>
    </w:p>
    <w:p w14:paraId="6C4ED476">
      <w:pPr>
        <w:bidi w:val="0"/>
        <w:rPr>
          <w:rFonts w:hint="eastAsia"/>
          <w:color w:val="auto"/>
          <w:highlight w:val="none"/>
          <w:lang w:val="zh-CN"/>
        </w:rPr>
      </w:pPr>
    </w:p>
    <w:p w14:paraId="4293B583">
      <w:pPr>
        <w:bidi w:val="0"/>
        <w:rPr>
          <w:rFonts w:hint="eastAsia"/>
          <w:color w:val="auto"/>
          <w:highlight w:val="none"/>
          <w:lang w:val="zh-CN"/>
        </w:rPr>
      </w:pPr>
    </w:p>
    <w:p w14:paraId="4EC49E17">
      <w:pPr>
        <w:bidi w:val="0"/>
        <w:rPr>
          <w:rFonts w:hint="eastAsia"/>
          <w:color w:val="auto"/>
          <w:highlight w:val="none"/>
          <w:lang w:val="zh-CN"/>
        </w:rPr>
      </w:pPr>
      <w:r>
        <w:rPr>
          <w:rFonts w:hint="eastAsia"/>
          <w:color w:val="auto"/>
          <w:highlight w:val="none"/>
          <w:lang w:val="zh-CN"/>
        </w:rPr>
        <w:br w:type="page"/>
      </w:r>
    </w:p>
    <w:p w14:paraId="6AF757FF">
      <w:pPr>
        <w:pStyle w:val="19"/>
        <w:bidi w:val="0"/>
        <w:rPr>
          <w:color w:val="auto"/>
          <w:highlight w:val="none"/>
          <w:lang w:val="en-US" w:eastAsia="zh-CN"/>
        </w:rPr>
      </w:pPr>
      <w:r>
        <w:rPr>
          <w:color w:val="auto"/>
          <w:highlight w:val="none"/>
          <w:lang w:val="en-US" w:eastAsia="zh-CN"/>
        </w:rPr>
        <w:t>四</w:t>
      </w:r>
      <w:r>
        <w:rPr>
          <w:rFonts w:hint="eastAsia"/>
          <w:color w:val="auto"/>
          <w:highlight w:val="none"/>
          <w:lang w:val="en-US" w:eastAsia="zh-CN"/>
        </w:rPr>
        <w:t>、响应性文件</w:t>
      </w:r>
    </w:p>
    <w:p w14:paraId="3A260211">
      <w:pPr>
        <w:pStyle w:val="20"/>
        <w:bidi w:val="0"/>
        <w:rPr>
          <w:rFonts w:hint="eastAsia"/>
          <w:color w:val="auto"/>
          <w:highlight w:val="none"/>
          <w:lang w:val="en-US" w:eastAsia="zh-CN"/>
        </w:rPr>
      </w:pPr>
      <w:r>
        <w:rPr>
          <w:rFonts w:hint="eastAsia"/>
          <w:color w:val="auto"/>
          <w:highlight w:val="none"/>
          <w:lang w:val="en-US" w:eastAsia="zh-CN"/>
        </w:rPr>
        <w:t>（一）响应承诺函</w:t>
      </w:r>
    </w:p>
    <w:p w14:paraId="122F686F">
      <w:pPr>
        <w:bidi w:val="0"/>
        <w:rPr>
          <w:rFonts w:hint="eastAsia"/>
          <w:color w:val="auto"/>
          <w:highlight w:val="none"/>
          <w:lang w:val="en-US" w:eastAsia="zh-CN"/>
        </w:rPr>
      </w:pPr>
      <w:r>
        <w:rPr>
          <w:rFonts w:hint="eastAsia"/>
          <w:color w:val="auto"/>
          <w:highlight w:val="none"/>
          <w:lang w:val="en-US" w:eastAsia="zh-CN"/>
        </w:rPr>
        <w:t>根据第三章“项目要求”内容，做出整体承诺，格式自理。</w:t>
      </w:r>
    </w:p>
    <w:p w14:paraId="64BC1520">
      <w:pPr>
        <w:bidi w:val="0"/>
        <w:rPr>
          <w:rFonts w:hint="eastAsia"/>
          <w:color w:val="auto"/>
          <w:highlight w:val="none"/>
          <w:lang w:val="en-US" w:eastAsia="zh-CN"/>
        </w:rPr>
      </w:pPr>
    </w:p>
    <w:p w14:paraId="62009ACE">
      <w:pPr>
        <w:bidi w:val="0"/>
        <w:rPr>
          <w:color w:val="auto"/>
          <w:highlight w:val="none"/>
          <w:lang w:val="en-US" w:eastAsia="zh-CN"/>
        </w:rPr>
        <w:sectPr>
          <w:pgSz w:w="11906" w:h="16838"/>
          <w:pgMar w:top="1440" w:right="1800" w:bottom="1440" w:left="1800" w:header="851" w:footer="992" w:gutter="0"/>
          <w:pgNumType w:fmt="decimal"/>
          <w:cols w:space="720" w:num="1"/>
          <w:docGrid w:type="lines" w:linePitch="312" w:charSpace="6144"/>
        </w:sectPr>
      </w:pPr>
    </w:p>
    <w:p w14:paraId="2CCBC189">
      <w:pPr>
        <w:pStyle w:val="20"/>
        <w:bidi w:val="0"/>
        <w:rPr>
          <w:color w:val="auto"/>
          <w:highlight w:val="none"/>
        </w:rPr>
      </w:pPr>
      <w:r>
        <w:rPr>
          <w:rFonts w:hint="eastAsia"/>
          <w:color w:val="auto"/>
          <w:highlight w:val="none"/>
          <w:lang w:val="en-US" w:eastAsia="zh-CN"/>
        </w:rPr>
        <w:t>（二）</w:t>
      </w:r>
      <w:r>
        <w:rPr>
          <w:rFonts w:hint="eastAsia"/>
          <w:color w:val="auto"/>
          <w:highlight w:val="none"/>
        </w:rPr>
        <w:t>参选保证金</w:t>
      </w:r>
    </w:p>
    <w:p w14:paraId="6D37319B">
      <w:pPr>
        <w:spacing w:line="360" w:lineRule="auto"/>
        <w:rPr>
          <w:rFonts w:ascii="宋体" w:cs="等线 Light"/>
          <w:color w:val="auto"/>
          <w:highlight w:val="none"/>
        </w:rPr>
      </w:pPr>
    </w:p>
    <w:p w14:paraId="45BD88E5">
      <w:pPr>
        <w:spacing w:line="360" w:lineRule="auto"/>
        <w:rPr>
          <w:rFonts w:ascii="宋体" w:cs="等线 Light"/>
          <w:color w:val="auto"/>
          <w:highlight w:val="none"/>
        </w:rPr>
      </w:pPr>
    </w:p>
    <w:p w14:paraId="3C283042">
      <w:pPr>
        <w:spacing w:line="360" w:lineRule="auto"/>
        <w:rPr>
          <w:rFonts w:ascii="宋体" w:cs="等线 Light"/>
          <w:color w:val="auto"/>
          <w:highlight w:val="none"/>
        </w:rPr>
      </w:pPr>
    </w:p>
    <w:p w14:paraId="23979D23">
      <w:pPr>
        <w:spacing w:line="360" w:lineRule="auto"/>
        <w:rPr>
          <w:rFonts w:ascii="宋体" w:cs="等线 Light"/>
          <w:color w:val="auto"/>
          <w:highlight w:val="none"/>
        </w:rPr>
      </w:pPr>
    </w:p>
    <w:p w14:paraId="6232007E">
      <w:pPr>
        <w:spacing w:line="360" w:lineRule="auto"/>
        <w:rPr>
          <w:rFonts w:ascii="宋体" w:cs="等线 Light"/>
          <w:color w:val="auto"/>
          <w:highlight w:val="none"/>
        </w:rPr>
      </w:pPr>
    </w:p>
    <w:p w14:paraId="1B99201F">
      <w:pPr>
        <w:spacing w:line="360" w:lineRule="auto"/>
        <w:rPr>
          <w:rFonts w:ascii="宋体" w:cs="等线 Light"/>
          <w:color w:val="auto"/>
          <w:highlight w:val="none"/>
        </w:rPr>
      </w:pPr>
    </w:p>
    <w:p w14:paraId="251B06AB">
      <w:pPr>
        <w:spacing w:line="360" w:lineRule="auto"/>
        <w:rPr>
          <w:rFonts w:ascii="宋体" w:cs="等线 Light"/>
          <w:color w:val="auto"/>
          <w:highlight w:val="none"/>
        </w:rPr>
      </w:pPr>
    </w:p>
    <w:p w14:paraId="5761A918">
      <w:pPr>
        <w:spacing w:line="360" w:lineRule="auto"/>
        <w:rPr>
          <w:rFonts w:ascii="宋体" w:cs="等线 Light"/>
          <w:color w:val="auto"/>
          <w:highlight w:val="none"/>
        </w:rPr>
      </w:pPr>
    </w:p>
    <w:p w14:paraId="0AB5D22B">
      <w:pPr>
        <w:spacing w:line="360" w:lineRule="auto"/>
        <w:rPr>
          <w:rFonts w:ascii="宋体" w:cs="等线 Light"/>
          <w:color w:val="auto"/>
          <w:highlight w:val="none"/>
        </w:rPr>
      </w:pPr>
    </w:p>
    <w:p w14:paraId="0A0CB651">
      <w:pPr>
        <w:spacing w:line="360" w:lineRule="auto"/>
        <w:rPr>
          <w:rFonts w:ascii="宋体" w:cs="等线 Light"/>
          <w:color w:val="auto"/>
          <w:highlight w:val="none"/>
        </w:rPr>
      </w:pPr>
    </w:p>
    <w:p w14:paraId="16B469A2">
      <w:pPr>
        <w:spacing w:line="360" w:lineRule="auto"/>
        <w:rPr>
          <w:rFonts w:ascii="宋体" w:cs="等线 Light"/>
          <w:color w:val="auto"/>
          <w:highlight w:val="none"/>
        </w:rPr>
      </w:pPr>
    </w:p>
    <w:p w14:paraId="142A9100">
      <w:pPr>
        <w:spacing w:line="360" w:lineRule="auto"/>
        <w:rPr>
          <w:rFonts w:ascii="宋体" w:cs="等线 Light"/>
          <w:color w:val="auto"/>
          <w:highlight w:val="none"/>
        </w:rPr>
      </w:pPr>
    </w:p>
    <w:p w14:paraId="0529AAC4">
      <w:pPr>
        <w:spacing w:line="360" w:lineRule="auto"/>
        <w:rPr>
          <w:rFonts w:ascii="宋体" w:cs="等线 Light"/>
          <w:color w:val="auto"/>
          <w:highlight w:val="none"/>
        </w:rPr>
      </w:pPr>
    </w:p>
    <w:p w14:paraId="3F238C45">
      <w:pPr>
        <w:spacing w:line="360" w:lineRule="auto"/>
        <w:rPr>
          <w:rFonts w:ascii="宋体" w:cs="等线 Light"/>
          <w:color w:val="auto"/>
          <w:highlight w:val="none"/>
        </w:rPr>
      </w:pPr>
    </w:p>
    <w:p w14:paraId="45148A51">
      <w:pPr>
        <w:spacing w:line="360" w:lineRule="auto"/>
        <w:rPr>
          <w:rFonts w:ascii="宋体" w:cs="等线 Light"/>
          <w:color w:val="auto"/>
          <w:highlight w:val="none"/>
        </w:rPr>
      </w:pPr>
    </w:p>
    <w:p w14:paraId="50BD6ED2">
      <w:pPr>
        <w:spacing w:line="360" w:lineRule="auto"/>
        <w:rPr>
          <w:rFonts w:ascii="宋体" w:cs="等线 Light"/>
          <w:color w:val="auto"/>
          <w:highlight w:val="none"/>
        </w:rPr>
      </w:pPr>
    </w:p>
    <w:p w14:paraId="09DD5FD3">
      <w:pPr>
        <w:spacing w:line="360" w:lineRule="auto"/>
        <w:rPr>
          <w:rFonts w:ascii="宋体" w:cs="等线 Light"/>
          <w:color w:val="auto"/>
          <w:highlight w:val="none"/>
        </w:rPr>
      </w:pPr>
    </w:p>
    <w:p w14:paraId="2C3AB51C">
      <w:pPr>
        <w:spacing w:line="360" w:lineRule="auto"/>
        <w:rPr>
          <w:rFonts w:ascii="宋体" w:cs="等线 Light"/>
          <w:color w:val="auto"/>
          <w:highlight w:val="none"/>
        </w:rPr>
      </w:pPr>
    </w:p>
    <w:p w14:paraId="11C9C14D">
      <w:pPr>
        <w:autoSpaceDE w:val="0"/>
        <w:autoSpaceDN w:val="0"/>
        <w:adjustRightInd w:val="0"/>
        <w:snapToGrid w:val="0"/>
        <w:spacing w:line="360" w:lineRule="auto"/>
        <w:jc w:val="left"/>
        <w:rPr>
          <w:rFonts w:ascii="宋体"/>
          <w:color w:val="auto"/>
          <w:kern w:val="0"/>
          <w:highlight w:val="none"/>
        </w:rPr>
      </w:pPr>
      <w:r>
        <w:rPr>
          <w:rFonts w:ascii="宋体"/>
          <w:color w:val="auto"/>
          <w:highlight w:val="none"/>
        </w:rPr>
        <mc:AlternateContent>
          <mc:Choice Requires="wps">
            <w:drawing>
              <wp:anchor distT="0" distB="0" distL="113665" distR="113665" simplePos="0" relativeHeight="251661312"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18.6pt;height:0pt;width:222.75pt;z-index:251661312;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83SxQB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T6lhN/F&#10;stNBBz68EFaTaJRUSRM5s4LtXvmAxTD1LiVuG3sjlUr3pgzpSvp0cnmByAxnscYZQFM75ONNk2C8&#10;VbKKR+JhD81mqYDsWJyH9EV2WOKvtFhvxXzb56VQPylaBhEFwAPK4C/K0gsRrY2tDqgmPi7k0Vr4&#10;SEmHo4W9fNgyEJSolwbv7moyncZZTM704jJHB84jm/MIMxyhSorEenMZ+vndOpBNi5Umiaexz7fB&#10;1jJJdupmaBLHJ3U9jHqcz3M/ZZ2e9+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PN0sUAf&#10;AgAAJgQAAA4AAAAAAAAAAQAgAAAAJAEAAGRycy9lMm9Eb2MueG1sUEsFBgAAAAAGAAYAWQEAALUF&#10;AAAAAA==&#10;">
                <v:fill on="f" focussize="0,0"/>
                <v:stroke weight="0.25pt" color="#000000" joinstyle="miter"/>
                <v:imagedata o:title=""/>
                <o:lock v:ext="edit" aspectratio="f"/>
              </v:line>
            </w:pict>
          </mc:Fallback>
        </mc:AlternateContent>
      </w:r>
    </w:p>
    <w:p w14:paraId="3BE873EF">
      <w:pPr>
        <w:tabs>
          <w:tab w:val="left" w:pos="6300"/>
        </w:tabs>
        <w:snapToGrid w:val="0"/>
        <w:spacing w:line="360" w:lineRule="auto"/>
        <w:ind w:firstLine="570"/>
        <w:rPr>
          <w:rFonts w:ascii="宋体"/>
          <w:snapToGrid w:val="0"/>
          <w:color w:val="auto"/>
          <w:kern w:val="0"/>
          <w:sz w:val="24"/>
          <w:highlight w:val="none"/>
        </w:rPr>
      </w:pPr>
      <w:r>
        <w:rPr>
          <w:rFonts w:hint="eastAsia" w:ascii="宋体"/>
          <w:snapToGrid w:val="0"/>
          <w:color w:val="auto"/>
          <w:kern w:val="0"/>
          <w:sz w:val="24"/>
          <w:highlight w:val="none"/>
        </w:rPr>
        <w:t>注：附</w:t>
      </w:r>
      <w:r>
        <w:rPr>
          <w:rFonts w:hint="eastAsia" w:ascii="宋体" w:cs="等线 Light"/>
          <w:snapToGrid w:val="0"/>
          <w:color w:val="auto"/>
          <w:kern w:val="0"/>
          <w:sz w:val="24"/>
          <w:szCs w:val="24"/>
          <w:highlight w:val="none"/>
        </w:rPr>
        <w:t>参选</w:t>
      </w:r>
      <w:r>
        <w:rPr>
          <w:rFonts w:hint="eastAsia" w:ascii="宋体"/>
          <w:snapToGrid w:val="0"/>
          <w:color w:val="auto"/>
          <w:kern w:val="0"/>
          <w:sz w:val="24"/>
          <w:highlight w:val="none"/>
        </w:rPr>
        <w:t>保证金</w:t>
      </w:r>
      <w:r>
        <w:rPr>
          <w:rFonts w:hint="eastAsia" w:ascii="宋体"/>
          <w:snapToGrid w:val="0"/>
          <w:color w:val="auto"/>
          <w:kern w:val="0"/>
          <w:sz w:val="24"/>
          <w:highlight w:val="none"/>
          <w:lang w:val="en-US" w:eastAsia="zh-CN"/>
        </w:rPr>
        <w:t>缴</w:t>
      </w:r>
      <w:r>
        <w:rPr>
          <w:rFonts w:hint="eastAsia" w:ascii="宋体"/>
          <w:snapToGrid w:val="0"/>
          <w:color w:val="auto"/>
          <w:kern w:val="0"/>
          <w:sz w:val="24"/>
          <w:highlight w:val="none"/>
        </w:rPr>
        <w:t>款凭据复印件</w:t>
      </w:r>
    </w:p>
    <w:p w14:paraId="75340A94">
      <w:pPr>
        <w:spacing w:line="360" w:lineRule="auto"/>
        <w:rPr>
          <w:rFonts w:ascii="宋体" w:cs="等线 Light"/>
          <w:color w:val="auto"/>
          <w:sz w:val="21"/>
          <w:szCs w:val="21"/>
          <w:highlight w:val="none"/>
        </w:rPr>
      </w:pPr>
    </w:p>
    <w:p w14:paraId="4827055B">
      <w:pPr>
        <w:spacing w:line="360" w:lineRule="auto"/>
        <w:ind w:firstLine="2400"/>
        <w:rPr>
          <w:rFonts w:ascii="宋体" w:cs="等线 Light"/>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6CADA60">
      <w:pPr>
        <w:pStyle w:val="20"/>
        <w:rPr>
          <w:color w:val="auto"/>
          <w:highlight w:val="none"/>
          <w:lang w:val="en-US" w:eastAsia="zh-CN"/>
        </w:rPr>
      </w:pPr>
      <w:r>
        <w:rPr>
          <w:rFonts w:hint="eastAsia"/>
          <w:color w:val="auto"/>
          <w:highlight w:val="none"/>
          <w:lang w:val="en-US" w:eastAsia="zh-CN"/>
        </w:rPr>
        <w:t>（三）知识产权承诺函</w:t>
      </w:r>
    </w:p>
    <w:p w14:paraId="08185000">
      <w:pPr>
        <w:bidi w:val="0"/>
        <w:rPr>
          <w:rFonts w:hint="eastAsia"/>
          <w:color w:val="auto"/>
          <w:highlight w:val="none"/>
          <w:lang w:val="en-US" w:eastAsia="zh-CN"/>
        </w:rPr>
      </w:pPr>
      <w:r>
        <w:rPr>
          <w:rFonts w:hint="eastAsia" w:ascii="宋体" w:hAnsi="宋体"/>
          <w:color w:val="auto"/>
          <w:sz w:val="24"/>
          <w:szCs w:val="28"/>
          <w:highlight w:val="none"/>
        </w:rPr>
        <w:t>项目名称</w:t>
      </w:r>
      <w:r>
        <w:rPr>
          <w:rFonts w:hint="eastAsia" w:ascii="宋体" w:hAnsi="宋体"/>
          <w:color w:val="auto"/>
          <w:sz w:val="24"/>
          <w:highlight w:val="none"/>
        </w:rPr>
        <w:t>：</w:t>
      </w:r>
    </w:p>
    <w:p w14:paraId="3A4670FE">
      <w:pPr>
        <w:bidi w:val="0"/>
        <w:rPr>
          <w:rFonts w:hint="eastAsia"/>
          <w:color w:val="auto"/>
          <w:highlight w:val="none"/>
          <w:lang w:val="en-US" w:eastAsia="zh-CN"/>
        </w:rPr>
      </w:pPr>
    </w:p>
    <w:p w14:paraId="5C11C68A">
      <w:pPr>
        <w:keepNext w:val="0"/>
        <w:keepLines w:val="0"/>
        <w:pageBreakBefore w:val="0"/>
        <w:widowControl w:val="0"/>
        <w:kinsoku/>
        <w:wordWrap/>
        <w:overflowPunct/>
        <w:topLinePunct w:val="0"/>
        <w:autoSpaceDE w:val="0"/>
        <w:autoSpaceDN w:val="0"/>
        <w:bidi w:val="0"/>
        <w:adjustRightInd/>
        <w:spacing w:line="480" w:lineRule="exact"/>
        <w:ind w:left="0" w:firstLine="0" w:firstLineChars="0"/>
        <w:textAlignment w:val="auto"/>
        <w:rPr>
          <w:color w:val="auto"/>
          <w:highlight w:val="none"/>
        </w:rPr>
      </w:pPr>
      <w:r>
        <w:rPr>
          <w:rFonts w:hint="eastAsia"/>
          <w:color w:val="auto"/>
          <w:highlight w:val="none"/>
        </w:rPr>
        <w:t>致：重庆三峡银行股份有限公司：</w:t>
      </w:r>
    </w:p>
    <w:p w14:paraId="6C090FC8">
      <w:pPr>
        <w:bidi w:val="0"/>
        <w:rPr>
          <w:color w:val="auto"/>
          <w:highlight w:val="none"/>
          <w:lang w:val="en-US" w:eastAsia="zh-CN"/>
        </w:rPr>
      </w:pPr>
    </w:p>
    <w:p w14:paraId="2A6D7F2B">
      <w:pPr>
        <w:outlineLvl w:val="9"/>
        <w:rPr>
          <w:rFonts w:hint="eastAsia"/>
          <w:b w:val="0"/>
          <w:bCs w:val="0"/>
          <w:color w:val="auto"/>
          <w:highlight w:val="none"/>
          <w:lang w:val="en-US" w:eastAsia="zh-CN"/>
        </w:rPr>
      </w:pPr>
      <w:r>
        <w:rPr>
          <w:rFonts w:hint="eastAsia" w:ascii="宋体" w:hAnsi="宋体" w:cs="Cambria"/>
          <w:color w:val="auto"/>
          <w:sz w:val="24"/>
          <w:szCs w:val="24"/>
          <w:highlight w:val="none"/>
          <w:lang w:val="en-US" w:eastAsia="zh-CN"/>
        </w:rPr>
        <w:t>我公司本次如若中选，中选后我公司</w:t>
      </w:r>
      <w:r>
        <w:rPr>
          <w:rFonts w:hint="eastAsia"/>
          <w:color w:val="auto"/>
          <w:highlight w:val="none"/>
          <w:lang w:val="en-US" w:eastAsia="zh-CN"/>
        </w:rPr>
        <w:t>向行方提供的任何产品（包括但不限于：设备硬件、设备软件、设备配件等）和服务不存在侵犯任何其他方知识产权或专利权的情形；如行方因此遭受任何第三方的起诉或索赔，我公司承诺主动与起诉方或索赔方进行交涉，为行方的应诉或处理索赔事宜支付费用，支付行方因败诉或被索赔应偿付的赔偿款，并对行方由此造成的全部损失进行赔偿</w:t>
      </w:r>
      <w:r>
        <w:rPr>
          <w:rFonts w:hint="eastAsia"/>
          <w:b w:val="0"/>
          <w:bCs w:val="0"/>
          <w:color w:val="auto"/>
          <w:highlight w:val="none"/>
          <w:lang w:val="en-US" w:eastAsia="zh-CN"/>
        </w:rPr>
        <w:t>。</w:t>
      </w:r>
    </w:p>
    <w:p w14:paraId="2073755B">
      <w:pPr>
        <w:rPr>
          <w:rFonts w:hint="eastAsia"/>
          <w:b w:val="0"/>
          <w:bCs w:val="0"/>
          <w:color w:val="auto"/>
          <w:highlight w:val="none"/>
          <w:lang w:val="en-US" w:eastAsia="zh-CN"/>
        </w:rPr>
      </w:pPr>
    </w:p>
    <w:p w14:paraId="57CED219">
      <w:pPr>
        <w:rPr>
          <w:rFonts w:hint="eastAsia"/>
          <w:b w:val="0"/>
          <w:bCs w:val="0"/>
          <w:color w:val="auto"/>
          <w:highlight w:val="none"/>
          <w:lang w:val="en-US" w:eastAsia="zh-CN"/>
        </w:rPr>
      </w:pPr>
    </w:p>
    <w:p w14:paraId="7931E31D">
      <w:pPr>
        <w:keepNext w:val="0"/>
        <w:keepLines w:val="0"/>
        <w:pageBreakBefore w:val="0"/>
        <w:widowControl w:val="0"/>
        <w:kinsoku/>
        <w:wordWrap/>
        <w:overflowPunct/>
        <w:topLinePunct w:val="0"/>
        <w:autoSpaceDE w:val="0"/>
        <w:autoSpaceDN w:val="0"/>
        <w:bidi w:val="0"/>
        <w:adjustRightInd/>
        <w:spacing w:line="480" w:lineRule="exact"/>
        <w:textAlignment w:val="auto"/>
        <w:rPr>
          <w:color w:val="auto"/>
          <w:highlight w:val="none"/>
        </w:rPr>
      </w:pPr>
      <w:r>
        <w:rPr>
          <w:rFonts w:hint="eastAsia"/>
          <w:color w:val="auto"/>
          <w:highlight w:val="none"/>
        </w:rPr>
        <w:t>特此</w:t>
      </w:r>
      <w:r>
        <w:rPr>
          <w:rFonts w:hint="eastAsia"/>
          <w:color w:val="auto"/>
          <w:highlight w:val="none"/>
          <w:lang w:val="en-US" w:eastAsia="zh-CN"/>
        </w:rPr>
        <w:t>承诺</w:t>
      </w:r>
      <w:r>
        <w:rPr>
          <w:rFonts w:hint="eastAsia"/>
          <w:color w:val="auto"/>
          <w:highlight w:val="none"/>
        </w:rPr>
        <w:t>。</w:t>
      </w:r>
    </w:p>
    <w:p w14:paraId="58B063B3">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textAlignment w:val="auto"/>
        <w:rPr>
          <w:rFonts w:ascii="宋体" w:hAnsi="宋体"/>
          <w:color w:val="auto"/>
          <w:sz w:val="24"/>
          <w:highlight w:val="none"/>
        </w:rPr>
      </w:pPr>
    </w:p>
    <w:p w14:paraId="2DEF5485">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textAlignment w:val="auto"/>
        <w:rPr>
          <w:rFonts w:ascii="宋体" w:hAnsi="宋体"/>
          <w:color w:val="auto"/>
          <w:sz w:val="24"/>
          <w:highlight w:val="none"/>
        </w:rPr>
      </w:pPr>
    </w:p>
    <w:p w14:paraId="1B2F1A4C">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ind w:right="424"/>
        <w:jc w:val="right"/>
        <w:textAlignment w:val="auto"/>
        <w:rPr>
          <w:rFonts w:ascii="宋体" w:hAnsi="宋体"/>
          <w:color w:val="auto"/>
          <w:sz w:val="24"/>
          <w:highlight w:val="none"/>
        </w:rPr>
      </w:pPr>
      <w:r>
        <w:rPr>
          <w:rFonts w:hint="eastAsia" w:ascii="宋体" w:hAnsi="宋体"/>
          <w:color w:val="auto"/>
          <w:sz w:val="24"/>
          <w:highlight w:val="none"/>
        </w:rPr>
        <w:t>（</w:t>
      </w:r>
      <w:r>
        <w:rPr>
          <w:rFonts w:hint="eastAsia" w:ascii="宋体" w:hAnsi="宋体" w:cs="等线 Light"/>
          <w:snapToGrid w:val="0"/>
          <w:color w:val="auto"/>
          <w:kern w:val="0"/>
          <w:sz w:val="24"/>
          <w:szCs w:val="24"/>
          <w:highlight w:val="none"/>
        </w:rPr>
        <w:t>参选</w:t>
      </w:r>
      <w:r>
        <w:rPr>
          <w:rFonts w:hint="eastAsia" w:ascii="宋体" w:hAnsi="宋体"/>
          <w:color w:val="auto"/>
          <w:sz w:val="24"/>
          <w:highlight w:val="none"/>
        </w:rPr>
        <w:t>人公章）</w:t>
      </w:r>
    </w:p>
    <w:p w14:paraId="4A5C2565">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ind w:right="480"/>
        <w:jc w:val="right"/>
        <w:textAlignment w:val="auto"/>
        <w:rPr>
          <w:rFonts w:ascii="宋体" w:hAnsi="宋体"/>
          <w:color w:val="auto"/>
          <w:sz w:val="24"/>
          <w:highlight w:val="none"/>
        </w:rPr>
      </w:pPr>
      <w:r>
        <w:rPr>
          <w:rFonts w:hint="eastAsia" w:ascii="宋体" w:hAnsi="宋体"/>
          <w:color w:val="auto"/>
          <w:sz w:val="24"/>
          <w:highlight w:val="none"/>
        </w:rPr>
        <w:t>年   月   日</w:t>
      </w:r>
    </w:p>
    <w:p w14:paraId="4D733C14">
      <w:pPr>
        <w:bidi w:val="0"/>
        <w:rPr>
          <w:color w:val="auto"/>
          <w:highlight w:val="none"/>
          <w:lang w:val="en-US" w:eastAsia="zh-CN"/>
        </w:rPr>
      </w:pPr>
    </w:p>
    <w:p w14:paraId="4A24BEB0">
      <w:pPr>
        <w:bidi w:val="0"/>
        <w:rPr>
          <w:color w:val="auto"/>
          <w:highlight w:val="none"/>
          <w:lang w:val="en-US" w:eastAsia="zh-CN"/>
        </w:rPr>
        <w:sectPr>
          <w:pgSz w:w="11906" w:h="16838"/>
          <w:pgMar w:top="1440" w:right="1800" w:bottom="1440" w:left="1800" w:header="851" w:footer="992" w:gutter="0"/>
          <w:pgNumType w:fmt="decimal"/>
          <w:cols w:space="720" w:num="1"/>
          <w:docGrid w:type="lines" w:linePitch="312" w:charSpace="6144"/>
        </w:sectPr>
      </w:pPr>
    </w:p>
    <w:p w14:paraId="6EBB2D48">
      <w:pPr>
        <w:pStyle w:val="20"/>
        <w:bidi w:val="0"/>
        <w:rPr>
          <w:rFonts w:hint="default"/>
          <w:color w:val="auto"/>
          <w:highlight w:val="none"/>
          <w:lang w:val="en-US" w:eastAsia="zh-CN"/>
        </w:rPr>
      </w:pPr>
      <w:r>
        <w:rPr>
          <w:rFonts w:hint="eastAsia"/>
          <w:color w:val="auto"/>
          <w:highlight w:val="none"/>
          <w:lang w:val="en-US" w:eastAsia="zh-CN"/>
        </w:rPr>
        <w:t>（四）其他（如有）</w:t>
      </w:r>
    </w:p>
    <w:p w14:paraId="0C0062FB">
      <w:pPr>
        <w:bidi w:val="0"/>
        <w:rPr>
          <w:rFonts w:hint="eastAsia"/>
          <w:color w:val="auto"/>
          <w:highlight w:val="none"/>
          <w:lang w:val="en-US" w:eastAsia="zh-CN"/>
        </w:rPr>
      </w:pPr>
    </w:p>
    <w:p w14:paraId="2B982769">
      <w:pPr>
        <w:bidi w:val="0"/>
        <w:rPr>
          <w:rFonts w:hint="eastAsia"/>
          <w:color w:val="auto"/>
          <w:highlight w:val="none"/>
          <w:lang w:val="en-US" w:eastAsia="zh-CN"/>
        </w:rPr>
      </w:pPr>
    </w:p>
    <w:p w14:paraId="1A1E735B">
      <w:pPr>
        <w:bidi w:val="0"/>
        <w:rPr>
          <w:rFonts w:hint="eastAsia"/>
          <w:color w:val="auto"/>
          <w:highlight w:val="none"/>
          <w:lang w:val="en-US" w:eastAsia="zh-CN"/>
        </w:rPr>
      </w:pPr>
    </w:p>
    <w:p w14:paraId="43E1BF5A">
      <w:pPr>
        <w:bidi w:val="0"/>
        <w:rPr>
          <w:color w:val="auto"/>
          <w:highlight w:val="none"/>
          <w:lang w:val="en-US" w:eastAsia="zh-CN"/>
        </w:rPr>
        <w:sectPr>
          <w:pgSz w:w="11906" w:h="16838"/>
          <w:pgMar w:top="1440" w:right="1800" w:bottom="1440" w:left="1800" w:header="851" w:footer="992" w:gutter="0"/>
          <w:pgNumType w:fmt="decimal"/>
          <w:cols w:space="720" w:num="1"/>
          <w:docGrid w:type="lines" w:linePitch="312" w:charSpace="6144"/>
        </w:sectPr>
      </w:pPr>
    </w:p>
    <w:p w14:paraId="1D42A774">
      <w:pPr>
        <w:pStyle w:val="19"/>
        <w:bidi w:val="0"/>
        <w:rPr>
          <w:rFonts w:hint="eastAsia"/>
          <w:color w:val="auto"/>
          <w:highlight w:val="none"/>
          <w:lang w:val="en-US" w:eastAsia="zh-CN"/>
        </w:rPr>
      </w:pPr>
      <w:r>
        <w:rPr>
          <w:rFonts w:hint="eastAsia" w:ascii="宋体" w:hAnsi="宋体"/>
          <w:color w:val="auto"/>
          <w:sz w:val="24"/>
          <w:highlight w:val="none"/>
          <w:lang w:val="en-US" w:eastAsia="zh-CN"/>
        </w:rPr>
        <w:t>五</w:t>
      </w:r>
      <w:r>
        <w:rPr>
          <w:rFonts w:hint="eastAsia"/>
          <w:color w:val="auto"/>
          <w:highlight w:val="none"/>
          <w:lang w:val="en-US" w:eastAsia="zh-CN"/>
        </w:rPr>
        <w:t xml:space="preserve"> 、其他（如有）</w:t>
      </w:r>
    </w:p>
    <w:p w14:paraId="7A918E54">
      <w:pPr>
        <w:rPr>
          <w:color w:val="auto"/>
          <w:highlight w:val="none"/>
          <w:lang w:val="en-US" w:eastAsia="zh-CN"/>
        </w:rPr>
      </w:pPr>
    </w:p>
    <w:p w14:paraId="4DD37F75">
      <w:pPr>
        <w:rPr>
          <w:color w:val="auto"/>
          <w:highlight w:val="none"/>
        </w:rPr>
      </w:pPr>
    </w:p>
    <w:sectPr>
      <w:pgSz w:w="11906" w:h="16838"/>
      <w:pgMar w:top="1440" w:right="1800" w:bottom="1440" w:left="1800" w:header="851" w:footer="992" w:gutter="0"/>
      <w:pgNumType w:fmt="decimal"/>
      <w:cols w:space="720" w:num="1"/>
      <w:docGrid w:type="lines" w:linePitch="312"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69BC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7A6B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17A6B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0A62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37F71">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5137F71">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dit="trackedChanges"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E4MmQxZjA1Y2YxYjcxZTkzZjljNGM2ODFmNzIxYzcifQ=="/>
  </w:docVars>
  <w:rsids>
    <w:rsidRoot w:val="00000000"/>
    <w:rsid w:val="0ABE5C07"/>
    <w:rsid w:val="10960C43"/>
    <w:rsid w:val="25813106"/>
    <w:rsid w:val="36300FF3"/>
    <w:rsid w:val="42A20CCD"/>
    <w:rsid w:val="5B077E83"/>
    <w:rsid w:val="6CCC1946"/>
    <w:rsid w:val="75216F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6"/>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27"/>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28"/>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25"/>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29"/>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17">
    <w:name w:val="Default Paragraph Font"/>
    <w:autoRedefine/>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afterLines="0" w:afterAutospacing="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heading 5 Char"/>
    <w:link w:val="6"/>
    <w:autoRedefine/>
    <w:qFormat/>
    <w:uiPriority w:val="0"/>
    <w:rPr>
      <w:rFonts w:ascii="Times New Roman" w:hAnsi="Times New Roman" w:eastAsia="宋体"/>
      <w:b/>
      <w:sz w:val="28"/>
    </w:rPr>
  </w:style>
  <w:style w:type="paragraph" w:customStyle="1" w:styleId="19">
    <w:name w:val="参选文件格式1"/>
    <w:basedOn w:val="1"/>
    <w:next w:val="1"/>
    <w:link w:val="24"/>
    <w:autoRedefine/>
    <w:qFormat/>
    <w:uiPriority w:val="0"/>
    <w:pPr>
      <w:spacing w:line="360" w:lineRule="auto"/>
      <w:ind w:firstLine="0" w:firstLineChars="0"/>
      <w:jc w:val="center"/>
      <w:outlineLvl w:val="1"/>
    </w:pPr>
    <w:rPr>
      <w:rFonts w:hint="eastAsia" w:eastAsia="宋体"/>
      <w:b/>
      <w:sz w:val="28"/>
    </w:rPr>
  </w:style>
  <w:style w:type="paragraph" w:customStyle="1" w:styleId="20">
    <w:name w:val="参选文件格式2"/>
    <w:basedOn w:val="1"/>
    <w:next w:val="1"/>
    <w:link w:val="30"/>
    <w:autoRedefine/>
    <w:qFormat/>
    <w:uiPriority w:val="0"/>
    <w:pPr>
      <w:ind w:firstLine="0" w:firstLineChars="0"/>
      <w:jc w:val="center"/>
      <w:outlineLvl w:val="2"/>
    </w:pPr>
    <w:rPr>
      <w:rFonts w:eastAsia="宋体"/>
      <w:bCs/>
      <w:szCs w:val="32"/>
    </w:rPr>
  </w:style>
  <w:style w:type="paragraph" w:customStyle="1" w:styleId="21">
    <w:name w:val="参选文件格式3"/>
    <w:basedOn w:val="1"/>
    <w:link w:val="22"/>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22">
    <w:name w:val="参选文件格式3 Char"/>
    <w:link w:val="21"/>
    <w:autoRedefine/>
    <w:qFormat/>
    <w:uiPriority w:val="0"/>
    <w:rPr>
      <w:rFonts w:hint="eastAsia" w:ascii="宋体" w:hAnsi="宋体" w:eastAsia="宋体"/>
      <w:b/>
      <w:snapToGrid w:val="0"/>
      <w:kern w:val="0"/>
      <w:u w:val="none"/>
    </w:rPr>
  </w:style>
  <w:style w:type="character" w:customStyle="1" w:styleId="23">
    <w:name w:val="heading 4 Char"/>
    <w:link w:val="5"/>
    <w:autoRedefine/>
    <w:qFormat/>
    <w:uiPriority w:val="0"/>
    <w:rPr>
      <w:rFonts w:cs="Times New Roman"/>
      <w:bCs/>
      <w:szCs w:val="28"/>
    </w:rPr>
  </w:style>
  <w:style w:type="character" w:customStyle="1" w:styleId="24">
    <w:name w:val="参选文件格式1 Char"/>
    <w:link w:val="19"/>
    <w:autoRedefine/>
    <w:qFormat/>
    <w:uiPriority w:val="0"/>
    <w:rPr>
      <w:rFonts w:hint="eastAsia" w:eastAsia="宋体"/>
      <w:b/>
      <w:sz w:val="28"/>
    </w:rPr>
  </w:style>
  <w:style w:type="character" w:customStyle="1" w:styleId="25">
    <w:name w:val="标题 4 Char"/>
    <w:link w:val="5"/>
    <w:autoRedefine/>
    <w:qFormat/>
    <w:uiPriority w:val="0"/>
    <w:rPr>
      <w:rFonts w:cs="Times New Roman"/>
      <w:bCs/>
      <w:szCs w:val="28"/>
    </w:rPr>
  </w:style>
  <w:style w:type="character" w:customStyle="1" w:styleId="26">
    <w:name w:val="标题 1 Char"/>
    <w:basedOn w:val="17"/>
    <w:link w:val="2"/>
    <w:autoRedefine/>
    <w:qFormat/>
    <w:uiPriority w:val="0"/>
    <w:rPr>
      <w:rFonts w:ascii="Times New Roman" w:hAnsi="Times New Roman" w:eastAsia="宋体" w:cs="等线 Light"/>
      <w:b/>
      <w:snapToGrid w:val="0"/>
      <w:kern w:val="0"/>
      <w:sz w:val="44"/>
      <w:szCs w:val="44"/>
    </w:rPr>
  </w:style>
  <w:style w:type="character" w:customStyle="1" w:styleId="27">
    <w:name w:val="标题 2 Char"/>
    <w:basedOn w:val="17"/>
    <w:link w:val="3"/>
    <w:autoRedefine/>
    <w:qFormat/>
    <w:uiPriority w:val="9"/>
    <w:rPr>
      <w:rFonts w:ascii="Times New Roman" w:hAnsi="Times New Roman" w:eastAsia="宋体" w:cstheme="majorBidi"/>
      <w:b/>
      <w:bCs/>
      <w:snapToGrid w:val="0"/>
      <w:szCs w:val="24"/>
    </w:rPr>
  </w:style>
  <w:style w:type="character" w:customStyle="1" w:styleId="28">
    <w:name w:val="标题 3 Char"/>
    <w:basedOn w:val="17"/>
    <w:link w:val="4"/>
    <w:autoRedefine/>
    <w:qFormat/>
    <w:uiPriority w:val="9"/>
    <w:rPr>
      <w:b/>
      <w:bCs/>
      <w:szCs w:val="32"/>
    </w:rPr>
  </w:style>
  <w:style w:type="character" w:customStyle="1" w:styleId="29">
    <w:name w:val="标题 5 Char"/>
    <w:link w:val="6"/>
    <w:autoRedefine/>
    <w:qFormat/>
    <w:uiPriority w:val="0"/>
    <w:rPr>
      <w:rFonts w:ascii="Times New Roman" w:hAnsi="Times New Roman" w:eastAsia="宋体"/>
      <w:b/>
      <w:sz w:val="28"/>
    </w:rPr>
  </w:style>
  <w:style w:type="character" w:customStyle="1" w:styleId="30">
    <w:name w:val="参选文件格式2 Char"/>
    <w:link w:val="20"/>
    <w:autoRedefine/>
    <w:qFormat/>
    <w:uiPriority w:val="0"/>
    <w:rPr>
      <w:rFonts w:eastAsia="宋体"/>
      <w:bCs/>
      <w:szCs w:val="32"/>
    </w:rPr>
  </w:style>
  <w:style w:type="paragraph" w:customStyle="1" w:styleId="31">
    <w:name w:val="表格"/>
    <w:basedOn w:val="1"/>
    <w:qFormat/>
    <w:uiPriority w:val="0"/>
    <w:pPr>
      <w:spacing w:line="240" w:lineRule="auto"/>
      <w:ind w:firstLine="0" w:firstLineChars="0"/>
    </w:pPr>
    <w:rPr>
      <w:rFonts w:ascii="Times New Roman" w:hAnsi="Times New Roman" w:eastAsia="宋体"/>
      <w:bCs/>
      <w:color w:val="auto"/>
      <w:sz w:val="21"/>
      <w:szCs w:val="18"/>
    </w:rPr>
  </w:style>
  <w:style w:type="paragraph" w:customStyle="1" w:styleId="32">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33">
    <w:name w:val="标题2（无级别）"/>
    <w:basedOn w:val="1"/>
    <w:next w:val="1"/>
    <w:link w:val="35"/>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34">
    <w:name w:val="标题3（无级别）"/>
    <w:basedOn w:val="1"/>
    <w:next w:val="1"/>
    <w:qFormat/>
    <w:uiPriority w:val="0"/>
    <w:pPr>
      <w:outlineLvl w:val="9"/>
    </w:pPr>
    <w:rPr>
      <w:rFonts w:hint="eastAsia" w:ascii="Times New Roman" w:hAnsi="Times New Roman"/>
      <w:b/>
      <w:bCs/>
      <w:sz w:val="21"/>
      <w:szCs w:val="32"/>
    </w:rPr>
  </w:style>
  <w:style w:type="character" w:customStyle="1" w:styleId="35">
    <w:name w:val="标题2（无级别） Char"/>
    <w:link w:val="33"/>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40</Pages>
  <Words>15366</Words>
  <Characters>16431</Characters>
  <Lines>1034</Lines>
  <Paragraphs>591</Paragraphs>
  <TotalTime>0</TotalTime>
  <ScaleCrop>false</ScaleCrop>
  <LinksUpToDate>false</LinksUpToDate>
  <CharactersWithSpaces>17434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admin</cp:lastModifiedBy>
  <cp:lastPrinted>2024-01-19T09:29:00Z</cp:lastPrinted>
  <dcterms:modified xsi:type="dcterms:W3CDTF">2024-10-14T02:37:46Z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83B943E32A784281ADF7E99D52B9F13E_13</vt:lpwstr>
  </property>
</Properties>
</file>