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B79B">
      <w:pPr>
        <w:tabs>
          <w:tab w:val="center" w:pos="4201"/>
          <w:tab w:val="right" w:leader="dot" w:pos="9298"/>
        </w:tabs>
        <w:spacing w:line="360" w:lineRule="auto"/>
        <w:ind w:firstLine="0" w:firstLineChars="0"/>
        <w:rPr>
          <w:rFonts w:ascii="Times New Roman" w:hAnsi="Times New Roman"/>
          <w:color w:val="auto"/>
          <w:highlight w:val="none"/>
        </w:rPr>
      </w:pPr>
    </w:p>
    <w:p w14:paraId="67E56855">
      <w:pPr>
        <w:spacing w:line="360" w:lineRule="auto"/>
        <w:ind w:firstLine="0" w:firstLineChars="0"/>
        <w:rPr>
          <w:rFonts w:ascii="Times New Roman" w:hAnsi="Times New Roman" w:cs="Cambria"/>
          <w:b/>
          <w:snapToGrid w:val="0"/>
          <w:color w:val="auto"/>
          <w:kern w:val="0"/>
          <w:sz w:val="52"/>
          <w:szCs w:val="84"/>
          <w:highlight w:val="none"/>
        </w:rPr>
      </w:pPr>
    </w:p>
    <w:p w14:paraId="66E0797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4CC9636D">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西永数据中心视频监控系统扩容改造</w:t>
      </w:r>
    </w:p>
    <w:p w14:paraId="4CA0BC59">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项目</w:t>
      </w:r>
    </w:p>
    <w:p w14:paraId="4D666E4F">
      <w:pPr>
        <w:spacing w:line="360" w:lineRule="auto"/>
        <w:ind w:firstLine="0" w:firstLineChars="0"/>
        <w:jc w:val="left"/>
        <w:rPr>
          <w:rFonts w:ascii="Times New Roman" w:hAnsi="Times New Roman" w:cs="Times New Roman"/>
          <w:snapToGrid w:val="0"/>
          <w:color w:val="auto"/>
          <w:kern w:val="0"/>
          <w:sz w:val="18"/>
          <w:highlight w:val="none"/>
        </w:rPr>
      </w:pPr>
    </w:p>
    <w:p w14:paraId="6DA2AD94">
      <w:pPr>
        <w:spacing w:line="360" w:lineRule="auto"/>
        <w:ind w:firstLine="0" w:firstLineChars="0"/>
        <w:jc w:val="left"/>
        <w:rPr>
          <w:rFonts w:ascii="Times New Roman" w:hAnsi="Times New Roman" w:cs="Times New Roman"/>
          <w:snapToGrid w:val="0"/>
          <w:color w:val="auto"/>
          <w:kern w:val="0"/>
          <w:sz w:val="20"/>
          <w:highlight w:val="none"/>
        </w:rPr>
      </w:pPr>
    </w:p>
    <w:p w14:paraId="14EA01A7">
      <w:pPr>
        <w:spacing w:line="360" w:lineRule="auto"/>
        <w:ind w:firstLine="0" w:firstLineChars="0"/>
        <w:jc w:val="left"/>
        <w:rPr>
          <w:rFonts w:ascii="Times New Roman" w:hAnsi="Times New Roman" w:cs="Times New Roman"/>
          <w:snapToGrid w:val="0"/>
          <w:color w:val="auto"/>
          <w:kern w:val="0"/>
          <w:sz w:val="20"/>
          <w:highlight w:val="none"/>
        </w:rPr>
      </w:pPr>
    </w:p>
    <w:p w14:paraId="704E12F2">
      <w:pPr>
        <w:spacing w:line="360" w:lineRule="auto"/>
        <w:ind w:firstLine="0" w:firstLineChars="0"/>
        <w:jc w:val="left"/>
        <w:rPr>
          <w:rFonts w:ascii="Times New Roman" w:hAnsi="Times New Roman" w:cs="Times New Roman"/>
          <w:snapToGrid w:val="0"/>
          <w:color w:val="auto"/>
          <w:kern w:val="0"/>
          <w:sz w:val="20"/>
          <w:highlight w:val="none"/>
        </w:rPr>
      </w:pPr>
    </w:p>
    <w:p w14:paraId="7E39BF5A">
      <w:pPr>
        <w:spacing w:line="360" w:lineRule="auto"/>
        <w:ind w:firstLine="0" w:firstLineChars="0"/>
        <w:jc w:val="left"/>
        <w:rPr>
          <w:rFonts w:ascii="Times New Roman" w:hAnsi="Times New Roman" w:cs="Times New Roman"/>
          <w:snapToGrid w:val="0"/>
          <w:color w:val="auto"/>
          <w:kern w:val="0"/>
          <w:sz w:val="20"/>
          <w:highlight w:val="none"/>
        </w:rPr>
      </w:pPr>
    </w:p>
    <w:p w14:paraId="086EE033">
      <w:pPr>
        <w:spacing w:line="360" w:lineRule="auto"/>
        <w:ind w:firstLine="0" w:firstLineChars="0"/>
        <w:jc w:val="left"/>
        <w:rPr>
          <w:rFonts w:ascii="Times New Roman" w:hAnsi="Times New Roman" w:cs="Times New Roman"/>
          <w:snapToGrid w:val="0"/>
          <w:color w:val="auto"/>
          <w:kern w:val="0"/>
          <w:sz w:val="20"/>
          <w:highlight w:val="none"/>
        </w:rPr>
      </w:pPr>
    </w:p>
    <w:p w14:paraId="209BCBC9">
      <w:pPr>
        <w:spacing w:line="360" w:lineRule="auto"/>
        <w:ind w:firstLine="0" w:firstLineChars="0"/>
        <w:jc w:val="left"/>
        <w:rPr>
          <w:rFonts w:ascii="Times New Roman" w:hAnsi="Times New Roman" w:cs="Times New Roman"/>
          <w:snapToGrid w:val="0"/>
          <w:color w:val="auto"/>
          <w:kern w:val="0"/>
          <w:sz w:val="20"/>
          <w:highlight w:val="none"/>
        </w:rPr>
      </w:pPr>
    </w:p>
    <w:p w14:paraId="13E5ADE5">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6D4CF5CB">
      <w:pPr>
        <w:spacing w:line="360" w:lineRule="auto"/>
        <w:ind w:firstLine="0" w:firstLineChars="0"/>
        <w:jc w:val="center"/>
        <w:rPr>
          <w:rFonts w:ascii="Times New Roman" w:hAnsi="Times New Roman" w:cs="Times New Roman"/>
          <w:b/>
          <w:snapToGrid w:val="0"/>
          <w:color w:val="auto"/>
          <w:kern w:val="0"/>
          <w:szCs w:val="28"/>
          <w:highlight w:val="none"/>
        </w:rPr>
      </w:pPr>
    </w:p>
    <w:p w14:paraId="3C7E5127">
      <w:pPr>
        <w:spacing w:line="360" w:lineRule="auto"/>
        <w:ind w:firstLine="0" w:firstLineChars="0"/>
        <w:jc w:val="center"/>
        <w:rPr>
          <w:rFonts w:ascii="Times New Roman" w:hAnsi="Times New Roman" w:cs="Times New Roman"/>
          <w:b/>
          <w:snapToGrid w:val="0"/>
          <w:color w:val="auto"/>
          <w:kern w:val="0"/>
          <w:szCs w:val="28"/>
          <w:highlight w:val="none"/>
        </w:rPr>
      </w:pPr>
    </w:p>
    <w:p w14:paraId="54FC07EE">
      <w:pPr>
        <w:spacing w:line="360" w:lineRule="auto"/>
        <w:ind w:firstLine="0" w:firstLineChars="0"/>
        <w:jc w:val="center"/>
        <w:rPr>
          <w:rFonts w:ascii="Times New Roman" w:hAnsi="Times New Roman" w:cs="Times New Roman"/>
          <w:b/>
          <w:snapToGrid w:val="0"/>
          <w:color w:val="auto"/>
          <w:kern w:val="0"/>
          <w:szCs w:val="28"/>
          <w:highlight w:val="none"/>
        </w:rPr>
      </w:pPr>
    </w:p>
    <w:p w14:paraId="63C9093B">
      <w:pPr>
        <w:ind w:firstLine="0" w:firstLineChars="0"/>
        <w:rPr>
          <w:rFonts w:ascii="Times New Roman" w:hAnsi="Times New Roman"/>
          <w:color w:val="auto"/>
          <w:highlight w:val="none"/>
        </w:rPr>
      </w:pPr>
    </w:p>
    <w:p w14:paraId="3273F91F">
      <w:pPr>
        <w:pStyle w:val="10"/>
        <w:ind w:firstLine="480"/>
        <w:rPr>
          <w:rFonts w:ascii="Times New Roman" w:hAnsi="Times New Roman"/>
          <w:color w:val="auto"/>
          <w:highlight w:val="none"/>
        </w:rPr>
      </w:pPr>
    </w:p>
    <w:p w14:paraId="2628E830">
      <w:pPr>
        <w:ind w:firstLine="480"/>
        <w:rPr>
          <w:rFonts w:ascii="Times New Roman" w:hAnsi="Times New Roman"/>
          <w:color w:val="auto"/>
          <w:highlight w:val="none"/>
        </w:rPr>
      </w:pPr>
    </w:p>
    <w:p w14:paraId="0A604FAF">
      <w:pPr>
        <w:ind w:firstLine="480"/>
        <w:rPr>
          <w:rFonts w:ascii="Times New Roman" w:hAnsi="Times New Roman"/>
          <w:color w:val="auto"/>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14:paraId="0FAFCF87">
      <w:pPr>
        <w:ind w:firstLine="480"/>
        <w:rPr>
          <w:rFonts w:ascii="Times New Roman" w:hAnsi="Times New Roman"/>
          <w:color w:val="auto"/>
          <w:highlight w:val="none"/>
        </w:rPr>
      </w:pPr>
    </w:p>
    <w:p w14:paraId="59CEEB00">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7D86C43E">
      <w:pPr>
        <w:pStyle w:val="14"/>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_Toc8740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_Toc8740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0980FFEB">
      <w:pPr>
        <w:pStyle w:val="14"/>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_Toc4551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_Toc4551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60946733">
      <w:pPr>
        <w:pStyle w:val="14"/>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_Toc16618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_Toc16618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1689ECA9">
      <w:pPr>
        <w:pStyle w:val="14"/>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_Toc25672 </w:instrText>
      </w:r>
      <w:r>
        <w:rPr>
          <w:rFonts w:ascii="Times New Roman" w:hAnsi="Times New Roman"/>
          <w:snapToGrid w:val="0"/>
          <w:kern w:val="0"/>
          <w:szCs w:val="24"/>
          <w:highlight w:val="none"/>
        </w:rPr>
        <w:fldChar w:fldCharType="separate"/>
      </w:r>
      <w:r>
        <w:rPr>
          <w:rFonts w:hint="eastAsia"/>
          <w:highlight w:val="none"/>
          <w:lang w:val="en-US" w:eastAsia="zh-CN"/>
        </w:rPr>
        <w:t>第四章 评审办法（经评审的最低价法）</w:t>
      </w:r>
      <w:r>
        <w:tab/>
      </w:r>
      <w:r>
        <w:fldChar w:fldCharType="begin"/>
      </w:r>
      <w:r>
        <w:instrText xml:space="preserve"> PAGEREF _Toc25672 \h </w:instrText>
      </w:r>
      <w:r>
        <w:fldChar w:fldCharType="separate"/>
      </w:r>
      <w:r>
        <w:t>17</w:t>
      </w:r>
      <w:r>
        <w:fldChar w:fldCharType="end"/>
      </w:r>
      <w:r>
        <w:rPr>
          <w:rFonts w:ascii="Times New Roman" w:hAnsi="Times New Roman"/>
          <w:snapToGrid w:val="0"/>
          <w:color w:val="auto"/>
          <w:kern w:val="0"/>
          <w:szCs w:val="24"/>
          <w:highlight w:val="none"/>
        </w:rPr>
        <w:fldChar w:fldCharType="end"/>
      </w:r>
    </w:p>
    <w:p w14:paraId="41848015">
      <w:pPr>
        <w:pStyle w:val="14"/>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_Toc9995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_Toc9995 \h </w:instrText>
      </w:r>
      <w:r>
        <w:fldChar w:fldCharType="separate"/>
      </w:r>
      <w:r>
        <w:t>21</w:t>
      </w:r>
      <w:r>
        <w:fldChar w:fldCharType="end"/>
      </w:r>
      <w:r>
        <w:rPr>
          <w:rFonts w:ascii="Times New Roman" w:hAnsi="Times New Roman"/>
          <w:snapToGrid w:val="0"/>
          <w:color w:val="auto"/>
          <w:kern w:val="0"/>
          <w:szCs w:val="24"/>
          <w:highlight w:val="none"/>
        </w:rPr>
        <w:fldChar w:fldCharType="end"/>
      </w:r>
    </w:p>
    <w:p w14:paraId="0833936C">
      <w:pPr>
        <w:pStyle w:val="14"/>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_Toc23194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_Toc23194 \h </w:instrText>
      </w:r>
      <w:r>
        <w:fldChar w:fldCharType="separate"/>
      </w:r>
      <w:r>
        <w:t>34</w:t>
      </w:r>
      <w:r>
        <w:fldChar w:fldCharType="end"/>
      </w:r>
      <w:r>
        <w:rPr>
          <w:rFonts w:ascii="Times New Roman" w:hAnsi="Times New Roman"/>
          <w:snapToGrid w:val="0"/>
          <w:color w:val="auto"/>
          <w:kern w:val="0"/>
          <w:szCs w:val="24"/>
          <w:highlight w:val="none"/>
        </w:rPr>
        <w:fldChar w:fldCharType="end"/>
      </w:r>
    </w:p>
    <w:p w14:paraId="704EE958">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5698B0F">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690EEC">
      <w:pPr>
        <w:pStyle w:val="2"/>
        <w:rPr>
          <w:rFonts w:ascii="Times New Roman" w:hAnsi="Times New Roman"/>
          <w:color w:val="auto"/>
          <w:highlight w:val="none"/>
        </w:rPr>
      </w:pPr>
      <w:bookmarkStart w:id="0" w:name="_Toc440628903"/>
      <w:bookmarkStart w:id="1" w:name="_Toc177996830"/>
      <w:bookmarkStart w:id="2" w:name="_Toc6745"/>
      <w:bookmarkStart w:id="3" w:name="_Toc469574661"/>
      <w:bookmarkStart w:id="4" w:name="_Toc8740"/>
      <w:bookmarkStart w:id="5" w:name="_Toc8123"/>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bookmarkEnd w:id="5"/>
    </w:p>
    <w:p w14:paraId="460AA470">
      <w:pPr>
        <w:bidi w:val="0"/>
        <w:rPr>
          <w:color w:val="auto"/>
          <w:highlight w:val="none"/>
        </w:rPr>
      </w:pPr>
      <w:bookmarkStart w:id="6" w:name="_Toc89675127"/>
      <w:bookmarkStart w:id="7" w:name="_Toc55379218"/>
      <w:r>
        <w:rPr>
          <w:rFonts w:hint="eastAsia"/>
          <w:color w:val="auto"/>
          <w:highlight w:val="none"/>
        </w:rPr>
        <w:t>为了将重庆三峡银行西永数据中心视频监控录像存储时间从目前的3个月增加至6个月。现对重庆三峡银行西永数据中心视频监控系统扩容改造项目进行公开比选，</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21533FD2">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6"/>
      <w:bookmarkEnd w:id="7"/>
    </w:p>
    <w:tbl>
      <w:tblPr>
        <w:tblStyle w:val="1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1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B40525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5DA29D6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427C75A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3BBAFC6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0F711E9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5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450464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vAlign w:val="center"/>
          </w:tcPr>
          <w:p w14:paraId="06A4278D">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重庆三峡银行西永数据中心视频监控系统扩容改造项目</w:t>
            </w:r>
          </w:p>
        </w:tc>
        <w:tc>
          <w:tcPr>
            <w:tcW w:w="1646" w:type="dxa"/>
            <w:vAlign w:val="center"/>
          </w:tcPr>
          <w:p w14:paraId="628E00F8">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234,240元</w:t>
            </w:r>
          </w:p>
        </w:tc>
        <w:tc>
          <w:tcPr>
            <w:tcW w:w="1798" w:type="dxa"/>
            <w:vAlign w:val="center"/>
          </w:tcPr>
          <w:p w14:paraId="7CC8257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1个</w:t>
            </w:r>
          </w:p>
        </w:tc>
        <w:tc>
          <w:tcPr>
            <w:tcW w:w="1798" w:type="dxa"/>
            <w:vAlign w:val="center"/>
          </w:tcPr>
          <w:p w14:paraId="25537F8F">
            <w:pPr>
              <w:spacing w:line="360" w:lineRule="auto"/>
              <w:ind w:firstLine="0" w:firstLineChars="0"/>
              <w:jc w:val="center"/>
              <w:rPr>
                <w:rFonts w:ascii="Times New Roman" w:hAnsi="Times New Roman" w:cs="Cambria"/>
                <w:snapToGrid w:val="0"/>
                <w:color w:val="auto"/>
                <w:kern w:val="0"/>
                <w:sz w:val="21"/>
                <w:szCs w:val="21"/>
                <w:highlight w:val="none"/>
              </w:rPr>
            </w:pPr>
          </w:p>
        </w:tc>
      </w:tr>
    </w:tbl>
    <w:p w14:paraId="40B721D9">
      <w:pPr>
        <w:pStyle w:val="3"/>
        <w:rPr>
          <w:rFonts w:ascii="Times New Roman" w:hAnsi="Times New Roman"/>
          <w:color w:val="auto"/>
          <w:highlight w:val="none"/>
        </w:rPr>
      </w:pPr>
      <w:bookmarkStart w:id="9" w:name="_Toc288224935"/>
      <w:bookmarkStart w:id="10" w:name="_Toc89675128"/>
      <w:bookmarkStart w:id="11" w:name="_Toc469574664"/>
      <w:bookmarkStart w:id="12" w:name="_Toc55379219"/>
      <w:bookmarkStart w:id="13" w:name="_Toc297817088"/>
      <w:r>
        <w:rPr>
          <w:rFonts w:hint="eastAsia" w:ascii="Times New Roman" w:hAnsi="Times New Roman"/>
          <w:color w:val="auto"/>
          <w:highlight w:val="none"/>
        </w:rPr>
        <w:t>2. 参选人资格要求</w:t>
      </w:r>
      <w:bookmarkEnd w:id="9"/>
      <w:bookmarkEnd w:id="10"/>
      <w:bookmarkEnd w:id="11"/>
      <w:bookmarkEnd w:id="12"/>
      <w:bookmarkEnd w:id="13"/>
    </w:p>
    <w:p w14:paraId="2C6EEE16">
      <w:pPr>
        <w:bidi w:val="0"/>
        <w:rPr>
          <w:rFonts w:hint="eastAsia"/>
          <w:color w:val="auto"/>
          <w:highlight w:val="none"/>
          <w:lang w:val="en-US" w:eastAsia="zh-CN"/>
        </w:rPr>
      </w:pPr>
      <w:bookmarkStart w:id="14" w:name="_Hlk55488870"/>
      <w:r>
        <w:rPr>
          <w:rFonts w:hint="eastAsia"/>
          <w:color w:val="auto"/>
          <w:highlight w:val="none"/>
          <w:lang w:val="en-US" w:eastAsia="zh-CN"/>
        </w:rPr>
        <w:t>2.1 具有独立承担民事责任的能力</w:t>
      </w:r>
    </w:p>
    <w:p w14:paraId="24E5C482">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0857FFCD">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2B7BB91B">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08A7F999">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43096E37">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35462F4B">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27EE3FDC">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4C7042B7">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34BDD6E">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7966CFCC">
      <w:pPr>
        <w:ind w:firstLine="480"/>
        <w:rPr>
          <w:rFonts w:ascii="Times New Roman" w:hAnsi="Times New Roman"/>
          <w:color w:val="auto"/>
          <w:highlight w:val="none"/>
        </w:rPr>
      </w:pPr>
      <w:r>
        <w:rPr>
          <w:rFonts w:hint="eastAsia" w:ascii="Times New Roman" w:hAnsi="Times New Roman"/>
          <w:color w:val="auto"/>
          <w:highlight w:val="none"/>
        </w:rPr>
        <w:t>2.9 2021年10月1日至</w:t>
      </w:r>
      <w:r>
        <w:rPr>
          <w:rFonts w:hint="eastAsia"/>
          <w:color w:val="auto"/>
          <w:highlight w:val="none"/>
          <w:lang w:val="en-US" w:eastAsia="zh-CN"/>
        </w:rPr>
        <w:t>参选截止时间（以合同签订时间为准）</w:t>
      </w:r>
      <w:r>
        <w:rPr>
          <w:rFonts w:hint="eastAsia" w:ascii="Times New Roman" w:hAnsi="Times New Roman"/>
          <w:color w:val="auto"/>
          <w:highlight w:val="none"/>
        </w:rPr>
        <w:t>具有合同金额在24万元以上的视频监控系统建设或改造相关实施案例不少于2</w:t>
      </w:r>
      <w:r>
        <w:rPr>
          <w:rFonts w:hint="eastAsia" w:ascii="Times New Roman" w:hAnsi="Times New Roman"/>
          <w:color w:val="auto"/>
          <w:highlight w:val="none"/>
          <w:lang w:val="en-US" w:eastAsia="zh-CN"/>
        </w:rPr>
        <w:t>个</w:t>
      </w:r>
      <w:r>
        <w:rPr>
          <w:rFonts w:hint="eastAsia" w:ascii="Times New Roman" w:hAnsi="Times New Roman"/>
          <w:color w:val="auto"/>
          <w:highlight w:val="none"/>
        </w:rPr>
        <w:t>，低于2个案例（不含2个）取消参选资质【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4E066F89">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rPr>
        <w:t>2.10 为了确保新增磁盘阵列产品能够顺利接入重庆三峡银行西永数据中心现有安防管理平台，参选人需提供由现有安防管理平台（海康威视iVMS-8700）的生产厂商（杭州海康威视数字技术股份有限公司）出具的正式证明文件，证明所参选的产品在技术和系统架构上能够完全支持并能够接入海康威视iVMS-8700平台，确保系统的稳定运行。</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color w:val="auto"/>
          <w:highlight w:val="none"/>
        </w:rPr>
        <w:t>产品兼容性及接入支持证明</w:t>
      </w:r>
      <w:r>
        <w:rPr>
          <w:rFonts w:hint="eastAsia" w:ascii="Times New Roman" w:hAnsi="Times New Roman"/>
          <w:color w:val="auto"/>
          <w:highlight w:val="none"/>
          <w:lang w:eastAsia="zh-CN"/>
        </w:rPr>
        <w:t>】</w:t>
      </w:r>
    </w:p>
    <w:p w14:paraId="67F1B907">
      <w:pPr>
        <w:ind w:firstLine="480"/>
        <w:rPr>
          <w:rFonts w:ascii="Times New Roman" w:hAnsi="Times New Roman"/>
          <w:color w:val="auto"/>
          <w:highlight w:val="none"/>
        </w:rPr>
      </w:pPr>
      <w:r>
        <w:rPr>
          <w:rFonts w:hint="eastAsia" w:ascii="Times New Roman" w:hAnsi="Times New Roman"/>
          <w:color w:val="auto"/>
          <w:highlight w:val="none"/>
        </w:rPr>
        <w:t>2.11 获得所采购设备原厂对本项目的授权【提供设备原厂出具的授权文件】。</w:t>
      </w:r>
    </w:p>
    <w:p w14:paraId="783EBDD1">
      <w:pPr>
        <w:ind w:firstLine="480"/>
        <w:rPr>
          <w:rFonts w:ascii="Times New Roman" w:hAnsi="Times New Roman"/>
          <w:color w:val="auto"/>
          <w:highlight w:val="none"/>
        </w:rPr>
      </w:pPr>
      <w:r>
        <w:rPr>
          <w:rFonts w:hint="eastAsia" w:ascii="Times New Roman" w:hAnsi="Times New Roman"/>
          <w:color w:val="auto"/>
          <w:highlight w:val="none"/>
        </w:rPr>
        <w:t>2.12 具有电子与智能化工程专业承包二级资质【提供资质证书复印件】。</w:t>
      </w:r>
    </w:p>
    <w:p w14:paraId="49FB0B91">
      <w:pPr>
        <w:ind w:firstLine="480"/>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6C128CB">
      <w:pPr>
        <w:bidi w:val="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F55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6BA64F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67C157E3">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AA9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EADE4E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403349F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162D54D2">
      <w:pPr>
        <w:ind w:firstLine="480"/>
        <w:rPr>
          <w:rFonts w:ascii="Times New Roman" w:hAnsi="Times New Roman"/>
          <w:color w:val="auto"/>
          <w:highlight w:val="none"/>
        </w:rPr>
      </w:pPr>
    </w:p>
    <w:bookmarkEnd w:id="14"/>
    <w:p w14:paraId="12F7CE0F">
      <w:pPr>
        <w:pStyle w:val="3"/>
        <w:rPr>
          <w:rFonts w:ascii="Times New Roman" w:hAnsi="Times New Roman"/>
          <w:color w:val="auto"/>
          <w:highlight w:val="none"/>
        </w:rPr>
      </w:pPr>
      <w:bookmarkStart w:id="15" w:name="_Toc55379220"/>
      <w:bookmarkStart w:id="16" w:name="_Toc89675130"/>
      <w:bookmarkStart w:id="17" w:name="_Toc297817090"/>
      <w:bookmarkStart w:id="18" w:name="_Toc469574667"/>
      <w:bookmarkStart w:id="19" w:name="_Toc55379223"/>
      <w:bookmarkStart w:id="20" w:name="_Toc469574669"/>
      <w:bookmarkStart w:id="21" w:name="_Toc89675132"/>
      <w:r>
        <w:rPr>
          <w:rFonts w:hint="eastAsia" w:ascii="Times New Roman" w:hAnsi="Times New Roman"/>
          <w:color w:val="auto"/>
          <w:highlight w:val="none"/>
        </w:rPr>
        <w:t>3. 比选文件的获取</w:t>
      </w:r>
      <w:bookmarkEnd w:id="15"/>
    </w:p>
    <w:p w14:paraId="5DB53624">
      <w:pPr>
        <w:bidi w:val="0"/>
        <w:rPr>
          <w:rFonts w:hint="default"/>
          <w:color w:val="auto"/>
          <w:highlight w:val="none"/>
          <w:lang w:val="en-US" w:eastAsia="zh-CN"/>
        </w:rPr>
      </w:pPr>
      <w:bookmarkStart w:id="22" w:name="_Toc55379221"/>
      <w:r>
        <w:rPr>
          <w:rFonts w:hint="eastAsia"/>
          <w:color w:val="auto"/>
          <w:highlight w:val="none"/>
          <w:lang w:val="en-US" w:eastAsia="zh-CN"/>
        </w:rPr>
        <w:t>3.1 参选截止时间：</w:t>
      </w:r>
      <w:r>
        <w:rPr>
          <w:rFonts w:hint="eastAsia"/>
          <w:color w:val="auto"/>
          <w:highlight w:val="none"/>
          <w:u w:val="single"/>
          <w:lang w:val="en-US" w:eastAsia="zh-CN"/>
        </w:rPr>
        <w:t xml:space="preserve"> 2024</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14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09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30</w:t>
      </w:r>
      <w:r>
        <w:rPr>
          <w:rFonts w:hint="eastAsia"/>
          <w:color w:val="auto"/>
          <w:highlight w:val="none"/>
          <w:u w:val="single"/>
        </w:rPr>
        <w:t xml:space="preserve"> </w:t>
      </w:r>
      <w:r>
        <w:rPr>
          <w:rFonts w:hint="eastAsia"/>
          <w:color w:val="auto"/>
          <w:highlight w:val="none"/>
        </w:rPr>
        <w:t>分（北京时间）</w:t>
      </w:r>
    </w:p>
    <w:p w14:paraId="05AEB85D">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 xml:space="preserve"> 2024 </w:t>
      </w:r>
      <w:r>
        <w:rPr>
          <w:rFonts w:hint="eastAsia"/>
          <w:color w:val="auto"/>
          <w:highlight w:val="none"/>
        </w:rPr>
        <w:t>年</w:t>
      </w:r>
      <w:r>
        <w:rPr>
          <w:rFonts w:hint="eastAsia"/>
          <w:color w:val="auto"/>
          <w:highlight w:val="none"/>
          <w:u w:val="single"/>
          <w:lang w:val="en-US" w:eastAsia="zh-CN"/>
        </w:rPr>
        <w:t xml:space="preserve"> 10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17362C6B">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140526A">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0B4103E">
      <w:pPr>
        <w:pStyle w:val="3"/>
        <w:rPr>
          <w:rFonts w:ascii="Times New Roman" w:hAnsi="Times New Roman"/>
          <w:color w:val="auto"/>
          <w:highlight w:val="none"/>
        </w:rPr>
      </w:pPr>
      <w:r>
        <w:rPr>
          <w:rFonts w:hint="eastAsia" w:ascii="Times New Roman" w:hAnsi="Times New Roman"/>
          <w:color w:val="auto"/>
          <w:highlight w:val="none"/>
        </w:rPr>
        <w:t>4. 参选保证金的递交</w:t>
      </w:r>
      <w:bookmarkEnd w:id="16"/>
      <w:bookmarkEnd w:id="17"/>
      <w:bookmarkEnd w:id="18"/>
      <w:bookmarkEnd w:id="22"/>
    </w:p>
    <w:p w14:paraId="48646088">
      <w:pPr>
        <w:ind w:firstLine="480"/>
        <w:rPr>
          <w:rFonts w:ascii="Times New Roman" w:hAnsi="Times New Roman"/>
          <w:color w:val="auto"/>
          <w:highlight w:val="none"/>
        </w:rPr>
      </w:pPr>
      <w:bookmarkStart w:id="23" w:name="_Toc55379222"/>
      <w:bookmarkStart w:id="24" w:name="_Toc297817091"/>
      <w:bookmarkStart w:id="25" w:name="_Toc469574668"/>
      <w:bookmarkStart w:id="26" w:name="_Toc89675131"/>
      <w:r>
        <w:rPr>
          <w:rFonts w:hint="eastAsia" w:ascii="Times New Roman" w:hAnsi="Times New Roman"/>
          <w:color w:val="auto"/>
          <w:highlight w:val="none"/>
        </w:rPr>
        <w:t>4.1 参选保证金的金额：</w:t>
      </w:r>
      <w:r>
        <w:rPr>
          <w:rFonts w:hint="eastAsia" w:ascii="Times New Roman" w:hAnsi="Times New Roman"/>
          <w:color w:val="auto"/>
          <w:highlight w:val="none"/>
          <w:u w:val="single"/>
        </w:rPr>
        <w:t>4,000</w:t>
      </w:r>
      <w:r>
        <w:rPr>
          <w:rFonts w:hint="eastAsia" w:ascii="Times New Roman" w:hAnsi="Times New Roman"/>
          <w:color w:val="auto"/>
          <w:highlight w:val="none"/>
        </w:rPr>
        <w:t>元整（大写：</w:t>
      </w:r>
      <w:r>
        <w:rPr>
          <w:rFonts w:hint="eastAsia" w:ascii="Times New Roman" w:hAnsi="Times New Roman"/>
          <w:color w:val="auto"/>
          <w:highlight w:val="none"/>
          <w:u w:val="single"/>
        </w:rPr>
        <w:t>肆仟元整</w:t>
      </w:r>
      <w:r>
        <w:rPr>
          <w:rFonts w:hint="eastAsia" w:ascii="Times New Roman" w:hAnsi="Times New Roman"/>
          <w:color w:val="auto"/>
          <w:highlight w:val="none"/>
        </w:rPr>
        <w:t>）。</w:t>
      </w:r>
    </w:p>
    <w:p w14:paraId="51E95D53">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0FAE2152">
      <w:pPr>
        <w:ind w:firstLine="482"/>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三峡银行监控扩容</w:t>
      </w:r>
      <w:r>
        <w:rPr>
          <w:rFonts w:hint="eastAsia" w:ascii="Times New Roman" w:hAnsi="Times New Roman"/>
          <w:b/>
          <w:bCs/>
          <w:color w:val="auto"/>
          <w:highlight w:val="none"/>
        </w:rPr>
        <w:t>项目。</w:t>
      </w:r>
    </w:p>
    <w:bookmarkEnd w:id="23"/>
    <w:bookmarkEnd w:id="24"/>
    <w:bookmarkEnd w:id="25"/>
    <w:bookmarkEnd w:id="26"/>
    <w:p w14:paraId="59E34554">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 xml:space="preserve"> 2024</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14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09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30</w:t>
      </w:r>
      <w:r>
        <w:rPr>
          <w:rFonts w:hint="eastAsia"/>
          <w:color w:val="auto"/>
          <w:highlight w:val="none"/>
          <w:u w:val="single"/>
        </w:rPr>
        <w:t xml:space="preserve"> </w:t>
      </w:r>
      <w:r>
        <w:rPr>
          <w:rFonts w:hint="eastAsia"/>
          <w:color w:val="auto"/>
          <w:highlight w:val="none"/>
        </w:rPr>
        <w:t>分（北京时间）。</w:t>
      </w:r>
    </w:p>
    <w:p w14:paraId="3AD6554B">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54719F75">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11CC04A2">
      <w:pPr>
        <w:bidi w:val="0"/>
        <w:rPr>
          <w:color w:val="auto"/>
          <w:highlight w:val="none"/>
        </w:rPr>
      </w:pPr>
      <w:r>
        <w:rPr>
          <w:rFonts w:hint="eastAsia"/>
          <w:color w:val="auto"/>
          <w:highlight w:val="none"/>
        </w:rPr>
        <w:t>参选保证金以重庆市公共资源交易中心比选现场展示的保证金交纳情况为准。</w:t>
      </w:r>
    </w:p>
    <w:p w14:paraId="62693DE6">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38AD3CC8">
      <w:pPr>
        <w:bidi w:val="0"/>
        <w:rPr>
          <w:color w:val="auto"/>
          <w:highlight w:val="none"/>
        </w:rPr>
      </w:pPr>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 xml:space="preserve"> 2024</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lang w:val="en-US" w:eastAsia="zh-CN"/>
        </w:rPr>
        <w:t xml:space="preserve"> 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14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09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lang w:val="en-US" w:eastAsia="zh-CN"/>
        </w:rPr>
        <w:t xml:space="preserve"> 00</w:t>
      </w:r>
      <w:r>
        <w:rPr>
          <w:rFonts w:hint="eastAsia"/>
          <w:color w:val="auto"/>
          <w:highlight w:val="none"/>
          <w:u w:val="single"/>
        </w:rPr>
        <w:t xml:space="preserve"> </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F746BE6">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012FD96A">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35C09A09">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19"/>
      <w:bookmarkEnd w:id="20"/>
      <w:bookmarkEnd w:id="21"/>
    </w:p>
    <w:p w14:paraId="7FA3A3F5">
      <w:pPr>
        <w:bidi w:val="0"/>
        <w:rPr>
          <w:color w:val="auto"/>
          <w:highlight w:val="none"/>
        </w:rPr>
      </w:pPr>
      <w:bookmarkStart w:id="27" w:name="_Toc250565211"/>
      <w:bookmarkStart w:id="28" w:name="_Toc55379224"/>
      <w:bookmarkStart w:id="29" w:name="_Toc469574670"/>
      <w:bookmarkStart w:id="30" w:name="_Toc89675133"/>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549FCCE6">
      <w:pPr>
        <w:pStyle w:val="3"/>
        <w:rPr>
          <w:rFonts w:ascii="Times New Roman" w:hAnsi="Times New Roman"/>
          <w:color w:val="auto"/>
          <w:highlight w:val="none"/>
        </w:rPr>
      </w:pPr>
      <w:r>
        <w:rPr>
          <w:rFonts w:hint="eastAsia" w:ascii="Times New Roman" w:hAnsi="Times New Roman"/>
          <w:color w:val="auto"/>
          <w:highlight w:val="none"/>
        </w:rPr>
        <w:t>7. 联系方式</w:t>
      </w:r>
      <w:bookmarkEnd w:id="27"/>
      <w:bookmarkEnd w:id="28"/>
      <w:bookmarkEnd w:id="29"/>
      <w:bookmarkEnd w:id="30"/>
    </w:p>
    <w:p w14:paraId="767D58A0">
      <w:pPr>
        <w:ind w:firstLine="480"/>
        <w:rPr>
          <w:rFonts w:ascii="Times New Roman" w:hAnsi="Times New Roman"/>
          <w:color w:val="auto"/>
          <w:highlight w:val="none"/>
        </w:rPr>
      </w:pPr>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项目联系人：蒲立</w:t>
            </w:r>
          </w:p>
        </w:tc>
        <w:tc>
          <w:tcPr>
            <w:tcW w:w="5333"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联系方式：023-88890341</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bookmarkStart w:id="102" w:name="_GoBack"/>
            <w:r>
              <w:rPr>
                <w:rFonts w:hint="eastAsia"/>
                <w:color w:val="auto"/>
                <w:highlight w:val="none"/>
                <w:lang w:eastAsia="zh-CN"/>
              </w:rPr>
              <w:t>、</w:t>
            </w:r>
            <w:r>
              <w:rPr>
                <w:rFonts w:hint="eastAsia"/>
                <w:color w:val="auto"/>
                <w:highlight w:val="none"/>
                <w:lang w:val="en-US" w:eastAsia="zh-CN"/>
              </w:rPr>
              <w:t>杜老师</w:t>
            </w:r>
            <w:bookmarkEnd w:id="102"/>
          </w:p>
        </w:tc>
        <w:tc>
          <w:tcPr>
            <w:tcW w:w="5333"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51391322">
      <w:pPr>
        <w:ind w:firstLine="480"/>
        <w:rPr>
          <w:rFonts w:ascii="Times New Roman" w:hAnsi="Times New Roman"/>
          <w:color w:val="auto"/>
          <w:highlight w:val="none"/>
        </w:rPr>
      </w:pPr>
    </w:p>
    <w:p w14:paraId="304B2393">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4DA09279">
      <w:pPr>
        <w:ind w:firstLine="480"/>
        <w:jc w:val="right"/>
        <w:rPr>
          <w:rFonts w:ascii="Times New Roman" w:hAnsi="Times New Roman"/>
          <w:color w:val="auto"/>
          <w:highlight w:val="none"/>
        </w:rPr>
      </w:pPr>
      <w:r>
        <w:rPr>
          <w:rFonts w:hint="eastAsia" w:ascii="Times New Roman" w:hAnsi="Times New Roman"/>
          <w:color w:val="auto"/>
          <w:highlight w:val="none"/>
        </w:rPr>
        <w:t>202 年  月  日</w:t>
      </w:r>
    </w:p>
    <w:p w14:paraId="5BBCA28C">
      <w:pPr>
        <w:ind w:firstLine="0" w:firstLineChars="0"/>
        <w:rPr>
          <w:rFonts w:ascii="Times New Roman" w:hAnsi="Times New Roman"/>
          <w:color w:val="auto"/>
          <w:highlight w:val="none"/>
        </w:rPr>
      </w:pPr>
      <w:bookmarkStart w:id="31" w:name="_Toc89675159"/>
      <w:bookmarkStart w:id="32" w:name="_Toc303066033"/>
    </w:p>
    <w:p w14:paraId="21DEB386">
      <w:pPr>
        <w:ind w:firstLine="0" w:firstLineChars="0"/>
        <w:rPr>
          <w:rFonts w:ascii="Times New Roman" w:hAnsi="Times New Roman"/>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7F2F0103">
      <w:pPr>
        <w:pStyle w:val="2"/>
        <w:rPr>
          <w:rFonts w:ascii="Times New Roman" w:hAnsi="Times New Roman"/>
          <w:color w:val="auto"/>
          <w:highlight w:val="none"/>
        </w:rPr>
      </w:pPr>
      <w:bookmarkStart w:id="33" w:name="_Toc177996831"/>
      <w:bookmarkStart w:id="34" w:name="_Toc18682"/>
      <w:bookmarkStart w:id="35" w:name="_Toc4551"/>
      <w:r>
        <w:rPr>
          <w:rFonts w:hint="eastAsia" w:ascii="Times New Roman" w:hAnsi="Times New Roman"/>
          <w:color w:val="auto"/>
          <w:highlight w:val="none"/>
        </w:rPr>
        <w:t>第二章 参选人须知</w:t>
      </w:r>
      <w:bookmarkEnd w:id="31"/>
      <w:bookmarkEnd w:id="32"/>
      <w:bookmarkEnd w:id="33"/>
      <w:bookmarkEnd w:id="34"/>
      <w:bookmarkEnd w:id="35"/>
    </w:p>
    <w:p w14:paraId="4946CEA5">
      <w:pPr>
        <w:pStyle w:val="3"/>
        <w:rPr>
          <w:rFonts w:ascii="Times New Roman" w:hAnsi="Times New Roman"/>
          <w:color w:val="auto"/>
          <w:highlight w:val="none"/>
        </w:rPr>
      </w:pPr>
      <w:bookmarkStart w:id="36" w:name="_Toc89675160"/>
      <w:r>
        <w:rPr>
          <w:rFonts w:hint="eastAsia" w:ascii="Times New Roman" w:hAnsi="Times New Roman"/>
          <w:color w:val="auto"/>
          <w:highlight w:val="none"/>
        </w:rPr>
        <w:t>1. 项目信息</w:t>
      </w:r>
    </w:p>
    <w:p w14:paraId="3C7261D7">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0B203D0A">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6ED26A7E">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194C5704">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ascii="Times New Roman" w:hAnsi="Times New Roman"/>
          <w:color w:val="auto"/>
          <w:highlight w:val="none"/>
          <w:u w:val="single"/>
        </w:rPr>
        <w:t>234,240</w:t>
      </w:r>
      <w:r>
        <w:rPr>
          <w:rFonts w:hint="eastAsia" w:ascii="Times New Roman" w:hAnsi="Times New Roman"/>
          <w:color w:val="auto"/>
          <w:highlight w:val="none"/>
          <w:u w:val="single"/>
        </w:rPr>
        <w:t>元</w:t>
      </w:r>
      <w:r>
        <w:rPr>
          <w:rFonts w:hint="eastAsia" w:ascii="Times New Roman" w:hAnsi="Times New Roman"/>
          <w:color w:val="auto"/>
          <w:highlight w:val="none"/>
        </w:rPr>
        <w:t>（人民币大写：</w:t>
      </w:r>
      <w:r>
        <w:rPr>
          <w:rFonts w:hint="eastAsia" w:ascii="Times New Roman" w:hAnsi="Times New Roman"/>
          <w:color w:val="auto"/>
          <w:highlight w:val="none"/>
          <w:u w:val="single"/>
        </w:rPr>
        <w:t>贰拾叁万肆仟贰佰肆拾元整</w:t>
      </w:r>
      <w:r>
        <w:rPr>
          <w:rFonts w:hint="eastAsia" w:ascii="Times New Roman" w:hAnsi="Times New Roman"/>
          <w:color w:val="auto"/>
          <w:highlight w:val="none"/>
        </w:rPr>
        <w:t>）。</w:t>
      </w:r>
    </w:p>
    <w:p w14:paraId="20B2F605">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6"/>
    <w:p w14:paraId="19A07946">
      <w:pPr>
        <w:ind w:firstLine="480"/>
        <w:jc w:val="left"/>
        <w:rPr>
          <w:color w:val="auto"/>
          <w:highlight w:val="none"/>
        </w:rPr>
      </w:pPr>
      <w:bookmarkStart w:id="37" w:name="_Toc89675161"/>
      <w:r>
        <w:rPr>
          <w:color w:val="auto"/>
          <w:highlight w:val="none"/>
        </w:rPr>
        <w:t>重庆三峡银行</w:t>
      </w:r>
      <w:r>
        <w:rPr>
          <w:rFonts w:hint="eastAsia"/>
          <w:color w:val="auto"/>
          <w:highlight w:val="none"/>
        </w:rPr>
        <w:t>西永数据中心的视频监控系统的录像存储时间为3个月，现计划对系统进行扩容改造，将录像存储时间增加至6个月。</w:t>
      </w:r>
    </w:p>
    <w:p w14:paraId="0C94CED3">
      <w:pPr>
        <w:ind w:firstLine="480"/>
        <w:rPr>
          <w:rFonts w:ascii="Times New Roman" w:hAnsi="Times New Roman"/>
          <w:color w:val="auto"/>
          <w:highlight w:val="none"/>
        </w:rPr>
      </w:pPr>
      <w:r>
        <w:rPr>
          <w:rFonts w:hint="eastAsia"/>
          <w:color w:val="auto"/>
          <w:highlight w:val="none"/>
        </w:rPr>
        <w:t>西永数据中心的视频监控系统分为两套，一套对运维监控中心进行监控，该区域采用硬盘录像机作为存储设备，另一套对数据中心各类设备机房进行监控，该区域使用磁盘阵列作为存储设备。改造工作包括新增硬盘录像机及监控硬盘、扩展磁盘阵列。</w:t>
      </w:r>
    </w:p>
    <w:p w14:paraId="43CF2030">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28FA1DE9">
      <w:pPr>
        <w:ind w:firstLine="480"/>
        <w:rPr>
          <w:rFonts w:ascii="Times New Roman" w:hAnsi="Times New Roman"/>
          <w:color w:val="auto"/>
          <w:highlight w:val="none"/>
        </w:rPr>
      </w:pPr>
      <w:r>
        <w:rPr>
          <w:rFonts w:hint="eastAsia" w:ascii="Times New Roman" w:hAnsi="Times New Roman"/>
          <w:color w:val="auto"/>
          <w:highlight w:val="none"/>
        </w:rPr>
        <w:t>本项目的目标是通过对现有视频监控系统的扩容改造，将西永数据中心的录像存储时间从当前的3个月延长至6个月，并为未来扩展做好技术储备。具体目标包括：</w:t>
      </w:r>
    </w:p>
    <w:p w14:paraId="1E5A3BA7">
      <w:pPr>
        <w:ind w:firstLine="480"/>
        <w:rPr>
          <w:rFonts w:ascii="Times New Roman" w:hAnsi="Times New Roman"/>
          <w:color w:val="auto"/>
          <w:highlight w:val="none"/>
        </w:rPr>
      </w:pPr>
      <w:r>
        <w:rPr>
          <w:rFonts w:hint="eastAsia" w:ascii="Times New Roman" w:hAnsi="Times New Roman"/>
          <w:color w:val="auto"/>
          <w:highlight w:val="none"/>
        </w:rPr>
        <w:t>1.在运维监控中心区域新增硬盘录像机（含8块8TB监控硬盘）。</w:t>
      </w:r>
    </w:p>
    <w:p w14:paraId="06AF3E81">
      <w:pPr>
        <w:ind w:firstLine="480"/>
        <w:rPr>
          <w:rFonts w:ascii="Times New Roman" w:hAnsi="Times New Roman"/>
          <w:color w:val="auto"/>
          <w:highlight w:val="none"/>
        </w:rPr>
      </w:pPr>
      <w:r>
        <w:rPr>
          <w:rFonts w:hint="eastAsia" w:ascii="Times New Roman" w:hAnsi="Times New Roman"/>
          <w:color w:val="auto"/>
          <w:highlight w:val="none"/>
        </w:rPr>
        <w:t>2.在设备机房区域扩展磁盘阵列，新增864TB的存储空间，确保系统能够稳定运行并成功接入现有安防管理平台。（现有安防管理平台为海康威视iVMS-8700）。</w:t>
      </w:r>
    </w:p>
    <w:p w14:paraId="0BFD7D42">
      <w:pPr>
        <w:ind w:firstLine="480"/>
        <w:rPr>
          <w:rFonts w:ascii="Times New Roman" w:hAnsi="Times New Roman"/>
          <w:color w:val="auto"/>
          <w:highlight w:val="none"/>
        </w:rPr>
      </w:pPr>
      <w:r>
        <w:rPr>
          <w:rFonts w:hint="eastAsia" w:ascii="Times New Roman" w:hAnsi="Times New Roman"/>
          <w:color w:val="auto"/>
          <w:highlight w:val="none"/>
        </w:rPr>
        <w:t>3.确保所有新增的存储设备能够支持目前所有已安装的摄像头，保证现有监控系统正常运行。</w:t>
      </w:r>
    </w:p>
    <w:p w14:paraId="7C12995E">
      <w:pPr>
        <w:ind w:firstLine="480"/>
        <w:rPr>
          <w:rFonts w:ascii="Times New Roman" w:hAnsi="Times New Roman"/>
          <w:color w:val="auto"/>
          <w:highlight w:val="none"/>
        </w:rPr>
      </w:pPr>
      <w:r>
        <w:rPr>
          <w:rFonts w:hint="eastAsia" w:ascii="Times New Roman" w:hAnsi="Times New Roman"/>
          <w:color w:val="auto"/>
          <w:highlight w:val="none"/>
        </w:rPr>
        <w:t>4.在扩容改造过程中，采取必要的技术措施，确保现有存储数据的完整性和安全性，杜绝数据丢失的风险。</w:t>
      </w:r>
    </w:p>
    <w:bookmarkEnd w:id="37"/>
    <w:p w14:paraId="78D27E40">
      <w:pPr>
        <w:pStyle w:val="3"/>
        <w:bidi w:val="0"/>
        <w:rPr>
          <w:color w:val="auto"/>
          <w:highlight w:val="none"/>
        </w:rPr>
      </w:pPr>
      <w:bookmarkStart w:id="38" w:name="_Toc177996832"/>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9" w:name="_Toc89675162"/>
      <w:r>
        <w:rPr>
          <w:rFonts w:hint="eastAsia"/>
          <w:color w:val="auto"/>
          <w:highlight w:val="none"/>
          <w:lang w:val="en-US" w:eastAsia="zh-CN"/>
        </w:rPr>
        <w:t xml:space="preserve">3. </w:t>
      </w:r>
      <w:r>
        <w:rPr>
          <w:rFonts w:hint="eastAsia"/>
          <w:color w:val="auto"/>
          <w:highlight w:val="none"/>
        </w:rPr>
        <w:t>比选文件</w:t>
      </w:r>
      <w:bookmarkEnd w:id="39"/>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40" w:name="_Toc89675163"/>
      <w:r>
        <w:rPr>
          <w:rFonts w:hint="eastAsia"/>
          <w:color w:val="auto"/>
          <w:highlight w:val="none"/>
          <w:lang w:val="en-US" w:eastAsia="zh-CN"/>
        </w:rPr>
        <w:t xml:space="preserve">4. </w:t>
      </w:r>
      <w:r>
        <w:rPr>
          <w:color w:val="auto"/>
          <w:highlight w:val="none"/>
        </w:rPr>
        <w:t>参选</w:t>
      </w:r>
      <w:bookmarkEnd w:id="40"/>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41"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41"/>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42" w:name="_Toc12245"/>
      <w:bookmarkStart w:id="43" w:name="_Toc89675168"/>
      <w:r>
        <w:rPr>
          <w:rFonts w:hint="eastAsia"/>
          <w:color w:val="auto"/>
          <w:highlight w:val="none"/>
          <w:lang w:val="en-US" w:eastAsia="zh-CN"/>
        </w:rPr>
        <w:t xml:space="preserve">8. </w:t>
      </w:r>
      <w:r>
        <w:rPr>
          <w:rFonts w:hint="eastAsia"/>
          <w:color w:val="auto"/>
          <w:highlight w:val="none"/>
        </w:rPr>
        <w:t>签订合同</w:t>
      </w:r>
      <w:bookmarkEnd w:id="42"/>
      <w:bookmarkEnd w:id="43"/>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44"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bookmarkStart w:id="45" w:name="_Hlk74215856"/>
      <w:r>
        <w:rPr>
          <w:rFonts w:hint="eastAsia"/>
          <w:color w:val="auto"/>
          <w:highlight w:val="none"/>
        </w:rPr>
        <w:t>sxyhjjz@</w:t>
      </w:r>
      <w:r>
        <w:rPr>
          <w:color w:val="auto"/>
          <w:highlight w:val="none"/>
        </w:rPr>
        <w:t>ccqtgb</w:t>
      </w:r>
      <w:r>
        <w:rPr>
          <w:rFonts w:hint="eastAsia"/>
          <w:color w:val="auto"/>
          <w:highlight w:val="none"/>
        </w:rPr>
        <w:t>.com</w:t>
      </w:r>
      <w:bookmarkEnd w:id="45"/>
    </w:p>
    <w:p w14:paraId="69334E8C">
      <w:pPr>
        <w:pStyle w:val="3"/>
        <w:bidi w:val="0"/>
        <w:rPr>
          <w:rFonts w:hint="eastAsia"/>
          <w:color w:val="auto"/>
          <w:highlight w:val="none"/>
        </w:rPr>
      </w:pPr>
      <w:bookmarkStart w:id="46" w:name="_Toc11439"/>
      <w:bookmarkStart w:id="47" w:name="_Toc89675157"/>
      <w:bookmarkStart w:id="48" w:name="_Toc440628924"/>
      <w:bookmarkStart w:id="49" w:name="_Toc15059431"/>
      <w:bookmarkStart w:id="50" w:name="_Toc275199618"/>
      <w:r>
        <w:rPr>
          <w:rFonts w:hint="eastAsia"/>
          <w:color w:val="auto"/>
          <w:highlight w:val="none"/>
          <w:lang w:val="en-US" w:eastAsia="zh-CN"/>
        </w:rPr>
        <w:t xml:space="preserve">11. </w:t>
      </w:r>
      <w:r>
        <w:rPr>
          <w:rFonts w:hint="eastAsia"/>
          <w:color w:val="auto"/>
          <w:highlight w:val="none"/>
        </w:rPr>
        <w:t>无效参选条款</w:t>
      </w:r>
      <w:bookmarkEnd w:id="46"/>
      <w:bookmarkEnd w:id="47"/>
      <w:bookmarkEnd w:id="48"/>
      <w:bookmarkEnd w:id="49"/>
      <w:bookmarkEnd w:id="50"/>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4"/>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746B2F1B">
      <w:pPr>
        <w:pStyle w:val="2"/>
        <w:rPr>
          <w:rFonts w:ascii="Times New Roman" w:hAnsi="Times New Roman"/>
          <w:color w:val="auto"/>
          <w:highlight w:val="none"/>
        </w:rPr>
      </w:pPr>
      <w:bookmarkStart w:id="51" w:name="_Toc16618"/>
      <w:bookmarkStart w:id="52" w:name="_Toc18166"/>
      <w:r>
        <w:rPr>
          <w:rFonts w:hint="eastAsia" w:ascii="Times New Roman" w:hAnsi="Times New Roman"/>
          <w:color w:val="auto"/>
          <w:highlight w:val="none"/>
        </w:rPr>
        <w:t>第三章 项目要求</w:t>
      </w:r>
      <w:bookmarkEnd w:id="38"/>
      <w:bookmarkEnd w:id="51"/>
      <w:bookmarkEnd w:id="52"/>
    </w:p>
    <w:p w14:paraId="1102A257">
      <w:pPr>
        <w:pStyle w:val="3"/>
        <w:bidi w:val="0"/>
        <w:rPr>
          <w:color w:val="auto"/>
          <w:highlight w:val="none"/>
        </w:rPr>
      </w:pPr>
      <w:r>
        <w:rPr>
          <w:rFonts w:hint="default"/>
          <w:color w:val="auto"/>
          <w:highlight w:val="none"/>
          <w:lang w:val="en-US" w:eastAsia="zh-CN"/>
        </w:rPr>
        <w:t>1.</w:t>
      </w:r>
      <w:r>
        <w:rPr>
          <w:rFonts w:hint="eastAsia"/>
          <w:color w:val="auto"/>
          <w:highlight w:val="none"/>
          <w:lang w:val="en-US" w:eastAsia="zh-CN"/>
        </w:rPr>
        <w:t xml:space="preserve"> </w:t>
      </w:r>
      <w:r>
        <w:rPr>
          <w:rFonts w:hint="eastAsia"/>
          <w:color w:val="auto"/>
          <w:highlight w:val="none"/>
        </w:rPr>
        <w:t>总体要求</w:t>
      </w:r>
    </w:p>
    <w:p w14:paraId="20F3FE97">
      <w:pPr>
        <w:bidi w:val="0"/>
        <w:rPr>
          <w:color w:val="auto"/>
          <w:highlight w:val="none"/>
        </w:rPr>
      </w:pPr>
      <w:r>
        <w:rPr>
          <w:rFonts w:hint="eastAsia"/>
          <w:color w:val="auto"/>
          <w:highlight w:val="none"/>
        </w:rPr>
        <w:t>本项目旨在通过对重庆三峡银行西永数据中心现有视频监控系统的扩容与升级，提高数据存储能力，并确保所有新增设备与现有系统的完全兼容。投标人需具备相关资质和经验，提供符合国家及行业标准的设备及技术服务，确保项目的顺利实施与验收。施工期间需采取严谨的技术措施，保证现有数据的完整性，并按时按质完成项目。</w:t>
      </w:r>
    </w:p>
    <w:p w14:paraId="1B87D29C">
      <w:pPr>
        <w:pStyle w:val="3"/>
        <w:bidi w:val="0"/>
        <w:rPr>
          <w:color w:val="auto"/>
          <w:highlight w:val="none"/>
        </w:rPr>
      </w:pPr>
      <w:r>
        <w:rPr>
          <w:rFonts w:hint="default"/>
          <w:color w:val="auto"/>
          <w:highlight w:val="none"/>
          <w:lang w:val="en-US" w:eastAsia="zh-CN"/>
        </w:rPr>
        <w:t>2.</w:t>
      </w:r>
      <w:r>
        <w:rPr>
          <w:rFonts w:hint="eastAsia"/>
          <w:color w:val="auto"/>
          <w:highlight w:val="none"/>
          <w:lang w:val="en-US" w:eastAsia="zh-CN"/>
        </w:rPr>
        <w:t xml:space="preserve"> </w:t>
      </w:r>
      <w:r>
        <w:rPr>
          <w:color w:val="auto"/>
          <w:highlight w:val="none"/>
        </w:rPr>
        <w:t>现有系统概述</w:t>
      </w:r>
    </w:p>
    <w:p w14:paraId="5DDCDC0D">
      <w:pPr>
        <w:bidi w:val="0"/>
        <w:rPr>
          <w:color w:val="auto"/>
          <w:highlight w:val="none"/>
        </w:rPr>
      </w:pPr>
      <w:r>
        <w:rPr>
          <w:rFonts w:hint="eastAsia"/>
          <w:color w:val="auto"/>
          <w:highlight w:val="none"/>
        </w:rPr>
        <w:t>重庆三峡银行西永数据中心的视频监控系统分为两套，一套对运维监控中心进行监控，另一套对数据中心各类设备机房进行监控。运维监控中心区域安装有8个监控摄像头（制造商：海康威视），采用硬盘录像机作为存储设备。设备机房区域配备302个监控摄像头（制造商：海康威视），使用磁盘阵列进行数据存储。目前，系统的录像存储时间为3个月，现计划扩容系统，将存储时间延长至6个月。</w:t>
      </w:r>
    </w:p>
    <w:p w14:paraId="44A7609F">
      <w:pPr>
        <w:pStyle w:val="3"/>
        <w:bidi w:val="0"/>
        <w:rPr>
          <w:color w:val="auto"/>
          <w:highlight w:val="none"/>
        </w:rPr>
      </w:pPr>
      <w:r>
        <w:rPr>
          <w:rFonts w:hint="default"/>
          <w:color w:val="auto"/>
          <w:highlight w:val="none"/>
          <w:lang w:val="en-US" w:eastAsia="zh-CN"/>
        </w:rPr>
        <w:t>3.</w:t>
      </w:r>
      <w:r>
        <w:rPr>
          <w:rFonts w:hint="eastAsia"/>
          <w:color w:val="auto"/>
          <w:highlight w:val="none"/>
          <w:lang w:val="en-US" w:eastAsia="zh-CN"/>
        </w:rPr>
        <w:t xml:space="preserve"> </w:t>
      </w:r>
      <w:r>
        <w:rPr>
          <w:color w:val="auto"/>
          <w:highlight w:val="none"/>
        </w:rPr>
        <w:t>技术</w:t>
      </w:r>
      <w:r>
        <w:rPr>
          <w:rFonts w:hint="eastAsia"/>
          <w:color w:val="auto"/>
          <w:highlight w:val="none"/>
        </w:rPr>
        <w:t>要求</w:t>
      </w:r>
    </w:p>
    <w:p w14:paraId="06A5B2E0">
      <w:pPr>
        <w:ind w:firstLine="480"/>
        <w:rPr>
          <w:rFonts w:ascii="Times New Roman" w:hAnsi="Times New Roman"/>
          <w:color w:val="auto"/>
          <w:highlight w:val="none"/>
        </w:rPr>
      </w:pPr>
      <w:bookmarkStart w:id="53" w:name="_Hlk177635978"/>
      <w:r>
        <w:rPr>
          <w:rFonts w:hint="eastAsia" w:ascii="Times New Roman" w:hAnsi="Times New Roman"/>
          <w:color w:val="auto"/>
          <w:highlight w:val="none"/>
        </w:rPr>
        <w:t>3.1 系统存储扩容</w:t>
      </w:r>
    </w:p>
    <w:p w14:paraId="1DCBEBA2">
      <w:pPr>
        <w:ind w:firstLine="480"/>
        <w:rPr>
          <w:rFonts w:ascii="Times New Roman" w:hAnsi="Times New Roman"/>
          <w:color w:val="auto"/>
          <w:highlight w:val="none"/>
        </w:rPr>
      </w:pPr>
      <w:r>
        <w:rPr>
          <w:rFonts w:hint="eastAsia" w:ascii="Times New Roman" w:hAnsi="Times New Roman"/>
          <w:color w:val="auto"/>
          <w:highlight w:val="none"/>
        </w:rPr>
        <w:t>运维监控中心新增硬盘录像机及至少8块8TB硬盘，增加至少64TB存储容量。设备机房监控系统扩展磁盘阵列，增加864TB存储空间。</w:t>
      </w:r>
    </w:p>
    <w:p w14:paraId="331B586E">
      <w:pPr>
        <w:ind w:firstLine="480"/>
        <w:rPr>
          <w:rFonts w:ascii="Times New Roman" w:hAnsi="Times New Roman"/>
          <w:color w:val="auto"/>
          <w:highlight w:val="none"/>
        </w:rPr>
      </w:pPr>
      <w:r>
        <w:rPr>
          <w:rFonts w:hint="eastAsia" w:ascii="Times New Roman" w:hAnsi="Times New Roman"/>
          <w:color w:val="auto"/>
          <w:highlight w:val="none"/>
        </w:rPr>
        <w:t>3.2</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系统兼容性</w:t>
      </w:r>
    </w:p>
    <w:p w14:paraId="3B1C3EBD">
      <w:pPr>
        <w:ind w:firstLine="480"/>
        <w:rPr>
          <w:rFonts w:ascii="Times New Roman" w:hAnsi="Times New Roman"/>
          <w:color w:val="auto"/>
          <w:highlight w:val="none"/>
        </w:rPr>
      </w:pPr>
      <w:r>
        <w:rPr>
          <w:rFonts w:hint="eastAsia" w:ascii="Times New Roman" w:hAnsi="Times New Roman"/>
          <w:color w:val="auto"/>
          <w:highlight w:val="none"/>
        </w:rPr>
        <w:t>新增的磁盘阵列存储设备必须与比选人西永数据中心现有的综合安防管理平台（海康威视iVMS-8700）完全兼容，以及与现有的的安防摄像头（制造商：海康威视）完全兼容。</w:t>
      </w:r>
    </w:p>
    <w:p w14:paraId="459FBD24">
      <w:pPr>
        <w:ind w:firstLine="480"/>
        <w:rPr>
          <w:rFonts w:ascii="Times New Roman" w:hAnsi="Times New Roman"/>
          <w:color w:val="auto"/>
          <w:highlight w:val="none"/>
        </w:rPr>
      </w:pPr>
      <w:r>
        <w:rPr>
          <w:rFonts w:hint="eastAsia" w:ascii="Times New Roman" w:hAnsi="Times New Roman"/>
          <w:color w:val="auto"/>
          <w:highlight w:val="none"/>
        </w:rPr>
        <w:t>3.3</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数据保护</w:t>
      </w:r>
    </w:p>
    <w:p w14:paraId="1C27D7CF">
      <w:pPr>
        <w:ind w:firstLine="480"/>
        <w:rPr>
          <w:rFonts w:ascii="Times New Roman" w:hAnsi="Times New Roman"/>
          <w:color w:val="auto"/>
          <w:highlight w:val="none"/>
        </w:rPr>
      </w:pPr>
      <w:r>
        <w:rPr>
          <w:rFonts w:hint="eastAsia" w:ascii="Times New Roman" w:hAnsi="Times New Roman"/>
          <w:color w:val="auto"/>
          <w:highlight w:val="none"/>
        </w:rPr>
        <w:t>在扩容过程中，必须确保现有存储数据的完整性，避免数据丢失。</w:t>
      </w:r>
    </w:p>
    <w:p w14:paraId="3F8EEFD9">
      <w:pPr>
        <w:ind w:firstLine="480"/>
        <w:rPr>
          <w:rFonts w:ascii="Times New Roman" w:hAnsi="Times New Roman"/>
          <w:color w:val="auto"/>
          <w:highlight w:val="none"/>
        </w:rPr>
      </w:pPr>
      <w:r>
        <w:rPr>
          <w:rFonts w:hint="eastAsia" w:ascii="Times New Roman" w:hAnsi="Times New Roman"/>
          <w:color w:val="auto"/>
          <w:highlight w:val="none"/>
        </w:rPr>
        <w:t>3.4</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设备安装与集成</w:t>
      </w:r>
    </w:p>
    <w:p w14:paraId="699434E4">
      <w:pPr>
        <w:ind w:firstLine="480"/>
        <w:rPr>
          <w:rFonts w:ascii="Times New Roman" w:hAnsi="Times New Roman"/>
          <w:color w:val="auto"/>
          <w:highlight w:val="none"/>
        </w:rPr>
      </w:pPr>
      <w:bookmarkStart w:id="54" w:name="_Hlk176859540"/>
      <w:r>
        <w:rPr>
          <w:rFonts w:hint="eastAsia" w:ascii="Times New Roman" w:hAnsi="Times New Roman"/>
          <w:color w:val="auto"/>
          <w:highlight w:val="none"/>
        </w:rPr>
        <w:t>中选人需负责设备安装、调试与系统集成，确保新增设备与现有系统无缝衔接。</w:t>
      </w:r>
    </w:p>
    <w:bookmarkEnd w:id="54"/>
    <w:p w14:paraId="75BDFF98">
      <w:pPr>
        <w:ind w:firstLine="480"/>
        <w:rPr>
          <w:rFonts w:ascii="Times New Roman" w:hAnsi="Times New Roman"/>
          <w:color w:val="auto"/>
          <w:highlight w:val="none"/>
        </w:rPr>
      </w:pPr>
      <w:r>
        <w:rPr>
          <w:rFonts w:hint="eastAsia" w:ascii="Times New Roman" w:hAnsi="Times New Roman"/>
          <w:color w:val="auto"/>
          <w:highlight w:val="none"/>
        </w:rPr>
        <w:t>3.5</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测试与验收</w:t>
      </w:r>
    </w:p>
    <w:p w14:paraId="15035239">
      <w:pPr>
        <w:ind w:firstLine="480"/>
        <w:rPr>
          <w:rFonts w:ascii="Times New Roman" w:hAnsi="Times New Roman"/>
          <w:color w:val="auto"/>
          <w:highlight w:val="none"/>
        </w:rPr>
      </w:pPr>
      <w:r>
        <w:rPr>
          <w:rFonts w:hint="eastAsia" w:ascii="Times New Roman" w:hAnsi="Times New Roman"/>
          <w:color w:val="auto"/>
          <w:highlight w:val="none"/>
        </w:rPr>
        <w:t>新增设备安装调试后，需进行</w:t>
      </w:r>
      <w:bookmarkStart w:id="55" w:name="_Hlk176858914"/>
      <w:r>
        <w:rPr>
          <w:rFonts w:hint="eastAsia" w:ascii="Times New Roman" w:hAnsi="Times New Roman"/>
          <w:color w:val="auto"/>
          <w:highlight w:val="none"/>
        </w:rPr>
        <w:t>功能测试和兼容性验证</w:t>
      </w:r>
      <w:bookmarkEnd w:id="55"/>
      <w:r>
        <w:rPr>
          <w:rFonts w:hint="eastAsia" w:ascii="Times New Roman" w:hAnsi="Times New Roman"/>
          <w:color w:val="auto"/>
          <w:highlight w:val="none"/>
        </w:rPr>
        <w:t>，确保系统运行正常并满足项目需求，系统</w:t>
      </w:r>
      <w:bookmarkStart w:id="56" w:name="_Hlk176858992"/>
      <w:r>
        <w:rPr>
          <w:rFonts w:hint="eastAsia" w:ascii="Times New Roman" w:hAnsi="Times New Roman"/>
          <w:color w:val="auto"/>
          <w:highlight w:val="none"/>
        </w:rPr>
        <w:t>稳定运行1个月</w:t>
      </w:r>
      <w:bookmarkEnd w:id="56"/>
      <w:r>
        <w:rPr>
          <w:rFonts w:hint="eastAsia" w:ascii="Times New Roman" w:hAnsi="Times New Roman"/>
          <w:color w:val="auto"/>
          <w:highlight w:val="none"/>
        </w:rPr>
        <w:t>后进行项目验收。</w:t>
      </w:r>
    </w:p>
    <w:p w14:paraId="3B760CAE">
      <w:pPr>
        <w:ind w:firstLine="480"/>
        <w:rPr>
          <w:rFonts w:ascii="Times New Roman" w:hAnsi="Times New Roman"/>
          <w:color w:val="auto"/>
          <w:highlight w:val="none"/>
        </w:rPr>
      </w:pPr>
      <w:r>
        <w:rPr>
          <w:rFonts w:hint="eastAsia" w:ascii="Times New Roman" w:hAnsi="Times New Roman"/>
          <w:color w:val="auto"/>
          <w:highlight w:val="none"/>
        </w:rPr>
        <w:t>3.6</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产品技术规格要求</w:t>
      </w:r>
    </w:p>
    <w:p w14:paraId="3AD13CFD">
      <w:pPr>
        <w:spacing w:line="360" w:lineRule="auto"/>
        <w:ind w:firstLine="480"/>
        <w:rPr>
          <w:rFonts w:ascii="Times New Roman" w:hAnsi="Times New Roman"/>
          <w:color w:val="auto"/>
          <w:highlight w:val="none"/>
        </w:rPr>
      </w:pPr>
      <w:r>
        <w:rPr>
          <w:rFonts w:hint="eastAsia" w:ascii="Times New Roman" w:hAnsi="Times New Roman"/>
          <w:color w:val="auto"/>
          <w:highlight w:val="none"/>
        </w:rPr>
        <w:t>1）硬盘录像机：</w:t>
      </w:r>
    </w:p>
    <w:p w14:paraId="081D7E38">
      <w:pPr>
        <w:spacing w:line="360" w:lineRule="auto"/>
        <w:ind w:firstLine="480"/>
        <w:rPr>
          <w:rFonts w:ascii="Times New Roman" w:hAnsi="Times New Roman"/>
          <w:color w:val="auto"/>
          <w:highlight w:val="none"/>
        </w:rPr>
      </w:pPr>
      <w:r>
        <w:rPr>
          <w:rFonts w:hint="eastAsia" w:ascii="Times New Roman" w:hAnsi="Times New Roman"/>
          <w:color w:val="auto"/>
          <w:highlight w:val="none"/>
        </w:rPr>
        <w:t>【硬件规格】</w:t>
      </w:r>
    </w:p>
    <w:p w14:paraId="6E7FE8AE">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尺寸：标准机架式。</w:t>
      </w:r>
    </w:p>
    <w:p w14:paraId="3C0E603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视频输出接口：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HDMI</w:t>
      </w:r>
      <w:r>
        <w:rPr>
          <w:rFonts w:hint="eastAsia" w:ascii="Times New Roman" w:hAnsi="Times New Roman"/>
          <w:color w:val="auto"/>
          <w:highlight w:val="none"/>
        </w:rPr>
        <w:t>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VGA</w:t>
      </w:r>
      <w:r>
        <w:rPr>
          <w:rFonts w:hint="eastAsia" w:ascii="Times New Roman" w:hAnsi="Times New Roman"/>
          <w:color w:val="auto"/>
          <w:highlight w:val="none"/>
        </w:rPr>
        <w:t>接口。</w:t>
      </w:r>
    </w:p>
    <w:p w14:paraId="0E8DBAF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硬盘位：</w:t>
      </w:r>
      <w:r>
        <w:rPr>
          <w:rFonts w:ascii="Times New Roman" w:hAnsi="Times New Roman"/>
          <w:color w:val="auto"/>
          <w:highlight w:val="none"/>
        </w:rPr>
        <w:t>16</w:t>
      </w:r>
      <w:r>
        <w:rPr>
          <w:rFonts w:hint="eastAsia" w:ascii="Times New Roman" w:hAnsi="Times New Roman"/>
          <w:color w:val="auto"/>
          <w:highlight w:val="none"/>
        </w:rPr>
        <w:t>盘位，可满配</w:t>
      </w:r>
      <w:r>
        <w:rPr>
          <w:rFonts w:ascii="Times New Roman" w:hAnsi="Times New Roman"/>
          <w:color w:val="auto"/>
          <w:highlight w:val="none"/>
        </w:rPr>
        <w:t>10TB</w:t>
      </w:r>
      <w:r>
        <w:rPr>
          <w:rFonts w:hint="eastAsia" w:ascii="Times New Roman" w:hAnsi="Times New Roman"/>
          <w:color w:val="auto"/>
          <w:highlight w:val="none"/>
        </w:rPr>
        <w:t>硬盘。</w:t>
      </w:r>
    </w:p>
    <w:p w14:paraId="6E4AEDF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网络接口：</w:t>
      </w:r>
      <w:r>
        <w:rPr>
          <w:rFonts w:ascii="Times New Roman" w:hAnsi="Times New Roman"/>
          <w:color w:val="auto"/>
          <w:highlight w:val="none"/>
        </w:rPr>
        <w:t>2</w:t>
      </w:r>
      <w:r>
        <w:rPr>
          <w:rFonts w:hint="eastAsia" w:ascii="Times New Roman" w:hAnsi="Times New Roman"/>
          <w:color w:val="auto"/>
          <w:highlight w:val="none"/>
        </w:rPr>
        <w:t>个千兆网口。</w:t>
      </w:r>
    </w:p>
    <w:p w14:paraId="4B984B8A">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ascii="Times New Roman" w:hAnsi="Times New Roman"/>
          <w:color w:val="auto"/>
          <w:highlight w:val="none"/>
        </w:rPr>
        <w:t>USB</w:t>
      </w:r>
      <w:r>
        <w:rPr>
          <w:rFonts w:hint="eastAsia" w:ascii="Times New Roman" w:hAnsi="Times New Roman"/>
          <w:color w:val="auto"/>
          <w:highlight w:val="none"/>
        </w:rPr>
        <w:t>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USB 2.0</w:t>
      </w:r>
      <w:r>
        <w:rPr>
          <w:rFonts w:hint="eastAsia" w:ascii="Times New Roman" w:hAnsi="Times New Roman"/>
          <w:color w:val="auto"/>
          <w:highlight w:val="none"/>
        </w:rPr>
        <w:t>接口，</w:t>
      </w:r>
      <w:r>
        <w:rPr>
          <w:rFonts w:ascii="Times New Roman" w:hAnsi="Times New Roman"/>
          <w:color w:val="auto"/>
          <w:highlight w:val="none"/>
        </w:rPr>
        <w:t>1</w:t>
      </w:r>
      <w:r>
        <w:rPr>
          <w:rFonts w:hint="eastAsia" w:ascii="Times New Roman" w:hAnsi="Times New Roman"/>
          <w:color w:val="auto"/>
          <w:highlight w:val="none"/>
        </w:rPr>
        <w:t>个</w:t>
      </w:r>
      <w:r>
        <w:rPr>
          <w:rFonts w:ascii="Times New Roman" w:hAnsi="Times New Roman"/>
          <w:color w:val="auto"/>
          <w:highlight w:val="none"/>
        </w:rPr>
        <w:t>USB 3.0</w:t>
      </w:r>
      <w:r>
        <w:rPr>
          <w:rFonts w:hint="eastAsia" w:ascii="Times New Roman" w:hAnsi="Times New Roman"/>
          <w:color w:val="auto"/>
          <w:highlight w:val="none"/>
        </w:rPr>
        <w:t>接口。</w:t>
      </w:r>
    </w:p>
    <w:p w14:paraId="2C96BE22">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扩展接口：</w:t>
      </w:r>
      <w:r>
        <w:rPr>
          <w:rFonts w:ascii="Times New Roman" w:hAnsi="Times New Roman"/>
          <w:color w:val="auto"/>
          <w:highlight w:val="none"/>
        </w:rPr>
        <w:t>1</w:t>
      </w:r>
      <w:r>
        <w:rPr>
          <w:rFonts w:hint="eastAsia" w:ascii="Times New Roman" w:hAnsi="Times New Roman"/>
          <w:color w:val="auto"/>
          <w:highlight w:val="none"/>
        </w:rPr>
        <w:t>个</w:t>
      </w:r>
      <w:r>
        <w:rPr>
          <w:rFonts w:ascii="Times New Roman" w:hAnsi="Times New Roman"/>
          <w:color w:val="auto"/>
          <w:highlight w:val="none"/>
        </w:rPr>
        <w:t>eSATA</w:t>
      </w:r>
      <w:r>
        <w:rPr>
          <w:rFonts w:hint="eastAsia" w:ascii="Times New Roman" w:hAnsi="Times New Roman"/>
          <w:color w:val="auto"/>
          <w:highlight w:val="none"/>
        </w:rPr>
        <w:t>接口。</w:t>
      </w:r>
    </w:p>
    <w:p w14:paraId="2E08DF6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报警</w:t>
      </w:r>
      <w:r>
        <w:rPr>
          <w:rFonts w:ascii="Times New Roman" w:hAnsi="Times New Roman"/>
          <w:color w:val="auto"/>
          <w:highlight w:val="none"/>
        </w:rPr>
        <w:t>IO</w:t>
      </w:r>
      <w:r>
        <w:rPr>
          <w:rFonts w:hint="eastAsia" w:ascii="Times New Roman" w:hAnsi="Times New Roman"/>
          <w:color w:val="auto"/>
          <w:highlight w:val="none"/>
        </w:rPr>
        <w:t>接口：</w:t>
      </w:r>
      <w:r>
        <w:rPr>
          <w:rFonts w:ascii="Times New Roman" w:hAnsi="Times New Roman"/>
          <w:color w:val="auto"/>
          <w:highlight w:val="none"/>
        </w:rPr>
        <w:t>16</w:t>
      </w:r>
      <w:r>
        <w:rPr>
          <w:rFonts w:hint="eastAsia" w:ascii="Times New Roman" w:hAnsi="Times New Roman"/>
          <w:color w:val="auto"/>
          <w:highlight w:val="none"/>
        </w:rPr>
        <w:t>进</w:t>
      </w:r>
      <w:r>
        <w:rPr>
          <w:rFonts w:ascii="Times New Roman" w:hAnsi="Times New Roman"/>
          <w:color w:val="auto"/>
          <w:highlight w:val="none"/>
        </w:rPr>
        <w:t>8</w:t>
      </w:r>
      <w:r>
        <w:rPr>
          <w:rFonts w:hint="eastAsia" w:ascii="Times New Roman" w:hAnsi="Times New Roman"/>
          <w:color w:val="auto"/>
          <w:highlight w:val="none"/>
        </w:rPr>
        <w:t>出。</w:t>
      </w:r>
    </w:p>
    <w:p w14:paraId="256ECC48">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ascii="Times New Roman" w:hAnsi="Times New Roman"/>
          <w:color w:val="auto"/>
          <w:highlight w:val="none"/>
        </w:rPr>
        <w:t>RAID</w:t>
      </w:r>
      <w:r>
        <w:rPr>
          <w:rFonts w:hint="eastAsia" w:ascii="Times New Roman" w:hAnsi="Times New Roman"/>
          <w:color w:val="auto"/>
          <w:highlight w:val="none"/>
        </w:rPr>
        <w:t>支持：支持</w:t>
      </w:r>
      <w:r>
        <w:rPr>
          <w:rFonts w:ascii="Times New Roman" w:hAnsi="Times New Roman"/>
          <w:color w:val="auto"/>
          <w:highlight w:val="none"/>
        </w:rPr>
        <w:t xml:space="preserve"> RAID 0</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5</w:t>
      </w:r>
      <w:r>
        <w:rPr>
          <w:rFonts w:hint="eastAsia" w:ascii="Times New Roman" w:hAnsi="Times New Roman"/>
          <w:color w:val="auto"/>
          <w:highlight w:val="none"/>
        </w:rPr>
        <w:t>、</w:t>
      </w:r>
      <w:r>
        <w:rPr>
          <w:rFonts w:ascii="Times New Roman" w:hAnsi="Times New Roman"/>
          <w:color w:val="auto"/>
          <w:highlight w:val="none"/>
        </w:rPr>
        <w:t>6</w:t>
      </w:r>
      <w:r>
        <w:rPr>
          <w:rFonts w:hint="eastAsia" w:ascii="Times New Roman" w:hAnsi="Times New Roman"/>
          <w:color w:val="auto"/>
          <w:highlight w:val="none"/>
        </w:rPr>
        <w:t>、</w:t>
      </w:r>
      <w:r>
        <w:rPr>
          <w:rFonts w:ascii="Times New Roman" w:hAnsi="Times New Roman"/>
          <w:color w:val="auto"/>
          <w:highlight w:val="none"/>
        </w:rPr>
        <w:t>10</w:t>
      </w:r>
      <w:r>
        <w:rPr>
          <w:rFonts w:hint="eastAsia" w:ascii="Times New Roman" w:hAnsi="Times New Roman"/>
          <w:color w:val="auto"/>
          <w:highlight w:val="none"/>
        </w:rPr>
        <w:t>，支持全局热备盘。</w:t>
      </w:r>
    </w:p>
    <w:p w14:paraId="269FAE8A">
      <w:pPr>
        <w:spacing w:line="360" w:lineRule="auto"/>
        <w:ind w:firstLine="480"/>
        <w:rPr>
          <w:rFonts w:ascii="Times New Roman" w:hAnsi="Times New Roman"/>
          <w:color w:val="auto"/>
          <w:highlight w:val="none"/>
        </w:rPr>
      </w:pPr>
      <w:r>
        <w:rPr>
          <w:rFonts w:hint="eastAsia" w:ascii="Times New Roman" w:hAnsi="Times New Roman"/>
          <w:color w:val="auto"/>
          <w:highlight w:val="none"/>
        </w:rPr>
        <w:t>【软件性能】</w:t>
      </w:r>
    </w:p>
    <w:p w14:paraId="56F7A971">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输入带宽：</w:t>
      </w:r>
      <w:r>
        <w:rPr>
          <w:rFonts w:ascii="Times New Roman" w:hAnsi="Times New Roman"/>
          <w:color w:val="auto"/>
          <w:highlight w:val="none"/>
        </w:rPr>
        <w:t>256M</w:t>
      </w:r>
      <w:r>
        <w:rPr>
          <w:rFonts w:hint="eastAsia" w:ascii="Times New Roman" w:hAnsi="Times New Roman"/>
          <w:color w:val="auto"/>
          <w:highlight w:val="none"/>
        </w:rPr>
        <w:t>。</w:t>
      </w:r>
    </w:p>
    <w:p w14:paraId="762C2E90">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编码类型：支持</w:t>
      </w:r>
      <w:r>
        <w:rPr>
          <w:rFonts w:ascii="Times New Roman" w:hAnsi="Times New Roman"/>
          <w:color w:val="auto"/>
          <w:highlight w:val="none"/>
        </w:rPr>
        <w:t>16</w:t>
      </w:r>
      <w:r>
        <w:rPr>
          <w:rFonts w:hint="eastAsia" w:ascii="Times New Roman" w:hAnsi="Times New Roman"/>
          <w:color w:val="auto"/>
          <w:highlight w:val="none"/>
        </w:rPr>
        <w:t>路</w:t>
      </w:r>
      <w:r>
        <w:rPr>
          <w:rFonts w:ascii="Times New Roman" w:hAnsi="Times New Roman"/>
          <w:color w:val="auto"/>
          <w:highlight w:val="none"/>
        </w:rPr>
        <w:t>H.264</w:t>
      </w:r>
      <w:r>
        <w:rPr>
          <w:rFonts w:hint="eastAsia" w:ascii="Times New Roman" w:hAnsi="Times New Roman"/>
          <w:color w:val="auto"/>
          <w:highlight w:val="none"/>
        </w:rPr>
        <w:t>、</w:t>
      </w:r>
      <w:r>
        <w:rPr>
          <w:rFonts w:ascii="Times New Roman" w:hAnsi="Times New Roman"/>
          <w:color w:val="auto"/>
          <w:highlight w:val="none"/>
        </w:rPr>
        <w:t>H.265</w:t>
      </w:r>
      <w:r>
        <w:rPr>
          <w:rFonts w:hint="eastAsia" w:ascii="Times New Roman" w:hAnsi="Times New Roman"/>
          <w:color w:val="auto"/>
          <w:highlight w:val="none"/>
        </w:rPr>
        <w:t>混合接入。</w:t>
      </w:r>
    </w:p>
    <w:p w14:paraId="18033457">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解码能力：最大支持</w:t>
      </w:r>
      <w:r>
        <w:rPr>
          <w:rFonts w:ascii="Times New Roman" w:hAnsi="Times New Roman"/>
          <w:color w:val="auto"/>
          <w:highlight w:val="none"/>
        </w:rPr>
        <w:t>16</w:t>
      </w:r>
      <w:r>
        <w:rPr>
          <w:rFonts w:hint="eastAsia" w:ascii="Times New Roman" w:hAnsi="Times New Roman"/>
          <w:color w:val="auto"/>
          <w:highlight w:val="none"/>
        </w:rPr>
        <w:t>路</w:t>
      </w:r>
      <w:r>
        <w:rPr>
          <w:rFonts w:ascii="Times New Roman" w:hAnsi="Times New Roman"/>
          <w:color w:val="auto"/>
          <w:highlight w:val="none"/>
        </w:rPr>
        <w:t>1080P</w:t>
      </w:r>
      <w:r>
        <w:rPr>
          <w:rFonts w:hint="eastAsia" w:ascii="Times New Roman" w:hAnsi="Times New Roman"/>
          <w:color w:val="auto"/>
          <w:highlight w:val="none"/>
        </w:rPr>
        <w:t>解码。</w:t>
      </w:r>
    </w:p>
    <w:p w14:paraId="4DFBA1F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支持的编码格式：</w:t>
      </w:r>
      <w:r>
        <w:rPr>
          <w:rFonts w:ascii="Times New Roman" w:hAnsi="Times New Roman"/>
          <w:color w:val="auto"/>
          <w:highlight w:val="none"/>
        </w:rPr>
        <w:t>H.265</w:t>
      </w:r>
      <w:r>
        <w:rPr>
          <w:rFonts w:hint="eastAsia" w:ascii="Times New Roman" w:hAnsi="Times New Roman"/>
          <w:color w:val="auto"/>
          <w:highlight w:val="none"/>
        </w:rPr>
        <w:t>，</w:t>
      </w:r>
      <w:r>
        <w:rPr>
          <w:rFonts w:ascii="Times New Roman" w:hAnsi="Times New Roman"/>
          <w:color w:val="auto"/>
          <w:highlight w:val="none"/>
        </w:rPr>
        <w:t>H.264</w:t>
      </w:r>
      <w:r>
        <w:rPr>
          <w:rFonts w:hint="eastAsia" w:ascii="Times New Roman" w:hAnsi="Times New Roman"/>
          <w:color w:val="auto"/>
          <w:highlight w:val="none"/>
        </w:rPr>
        <w:t>。</w:t>
      </w:r>
    </w:p>
    <w:p w14:paraId="4981F2C0">
      <w:pPr>
        <w:ind w:firstLine="480"/>
        <w:rPr>
          <w:rFonts w:ascii="Times New Roman" w:hAnsi="Times New Roman"/>
          <w:color w:val="auto"/>
          <w:highlight w:val="none"/>
        </w:rPr>
      </w:pPr>
    </w:p>
    <w:p w14:paraId="194A7E0E">
      <w:pPr>
        <w:spacing w:line="360" w:lineRule="auto"/>
        <w:ind w:firstLine="480"/>
        <w:rPr>
          <w:rFonts w:ascii="Times New Roman" w:hAnsi="Times New Roman"/>
          <w:color w:val="auto"/>
          <w:highlight w:val="none"/>
        </w:rPr>
      </w:pPr>
      <w:r>
        <w:rPr>
          <w:rFonts w:hint="eastAsia" w:ascii="Times New Roman" w:hAnsi="Times New Roman"/>
          <w:color w:val="auto"/>
          <w:highlight w:val="none"/>
        </w:rPr>
        <w:t xml:space="preserve">2）监控硬盘： </w:t>
      </w:r>
    </w:p>
    <w:p w14:paraId="59D28B71">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容量：</w:t>
      </w:r>
      <w:r>
        <w:rPr>
          <w:rFonts w:ascii="Times New Roman" w:hAnsi="Times New Roman"/>
          <w:color w:val="auto"/>
          <w:highlight w:val="none"/>
        </w:rPr>
        <w:t>8TB</w:t>
      </w:r>
      <w:r>
        <w:rPr>
          <w:rFonts w:hint="eastAsia" w:ascii="Times New Roman" w:hAnsi="Times New Roman"/>
          <w:color w:val="auto"/>
          <w:highlight w:val="none"/>
        </w:rPr>
        <w:t>。</w:t>
      </w:r>
    </w:p>
    <w:p w14:paraId="7D3C5C4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尺寸：</w:t>
      </w:r>
      <w:r>
        <w:rPr>
          <w:rFonts w:ascii="Times New Roman" w:hAnsi="Times New Roman"/>
          <w:color w:val="auto"/>
          <w:highlight w:val="none"/>
        </w:rPr>
        <w:t>3.5</w:t>
      </w:r>
      <w:r>
        <w:rPr>
          <w:rFonts w:hint="eastAsia" w:ascii="Times New Roman" w:hAnsi="Times New Roman"/>
          <w:color w:val="auto"/>
          <w:highlight w:val="none"/>
        </w:rPr>
        <w:t>英寸。</w:t>
      </w:r>
    </w:p>
    <w:p w14:paraId="0FACA45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接口类型：</w:t>
      </w:r>
      <w:r>
        <w:rPr>
          <w:rFonts w:ascii="Times New Roman" w:hAnsi="Times New Roman"/>
          <w:color w:val="auto"/>
          <w:highlight w:val="none"/>
        </w:rPr>
        <w:t>SATA 3.0</w:t>
      </w:r>
      <w:r>
        <w:rPr>
          <w:rFonts w:hint="eastAsia" w:ascii="Times New Roman" w:hAnsi="Times New Roman"/>
          <w:color w:val="auto"/>
          <w:highlight w:val="none"/>
        </w:rPr>
        <w:t>接口。</w:t>
      </w:r>
    </w:p>
    <w:p w14:paraId="6D28D54C">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转速：</w:t>
      </w:r>
      <w:r>
        <w:rPr>
          <w:rFonts w:ascii="Times New Roman" w:hAnsi="Times New Roman"/>
          <w:color w:val="auto"/>
          <w:highlight w:val="none"/>
        </w:rPr>
        <w:t>7200 RPM</w:t>
      </w:r>
      <w:r>
        <w:rPr>
          <w:rFonts w:hint="eastAsia" w:ascii="Times New Roman" w:hAnsi="Times New Roman"/>
          <w:color w:val="auto"/>
          <w:highlight w:val="none"/>
        </w:rPr>
        <w:t>。</w:t>
      </w:r>
    </w:p>
    <w:p w14:paraId="528BB9F2">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缓存：</w:t>
      </w:r>
      <w:r>
        <w:rPr>
          <w:rFonts w:ascii="Times New Roman" w:hAnsi="Times New Roman"/>
          <w:color w:val="auto"/>
          <w:highlight w:val="none"/>
        </w:rPr>
        <w:t>256MB</w:t>
      </w:r>
      <w:r>
        <w:rPr>
          <w:rFonts w:hint="eastAsia" w:ascii="Times New Roman" w:hAnsi="Times New Roman"/>
          <w:color w:val="auto"/>
          <w:highlight w:val="none"/>
        </w:rPr>
        <w:t>。</w:t>
      </w:r>
    </w:p>
    <w:p w14:paraId="55696423">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平均故障间隔时间（</w:t>
      </w:r>
      <w:r>
        <w:rPr>
          <w:rFonts w:ascii="Times New Roman" w:hAnsi="Times New Roman"/>
          <w:color w:val="auto"/>
          <w:highlight w:val="none"/>
        </w:rPr>
        <w:t>MTBF</w:t>
      </w:r>
      <w:r>
        <w:rPr>
          <w:rFonts w:hint="eastAsia" w:ascii="Times New Roman" w:hAnsi="Times New Roman"/>
          <w:color w:val="auto"/>
          <w:highlight w:val="none"/>
        </w:rPr>
        <w:t>）：</w:t>
      </w:r>
      <w:r>
        <w:rPr>
          <w:rFonts w:ascii="Times New Roman" w:hAnsi="Times New Roman"/>
          <w:color w:val="auto"/>
          <w:highlight w:val="none"/>
        </w:rPr>
        <w:t>100</w:t>
      </w:r>
      <w:r>
        <w:rPr>
          <w:rFonts w:hint="eastAsia" w:ascii="Times New Roman" w:hAnsi="Times New Roman"/>
          <w:color w:val="auto"/>
          <w:highlight w:val="none"/>
        </w:rPr>
        <w:t>万小时以上。</w:t>
      </w:r>
    </w:p>
    <w:p w14:paraId="473369C8">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连续运行能力：支持全天候（</w:t>
      </w:r>
      <w:r>
        <w:rPr>
          <w:rFonts w:ascii="Times New Roman" w:hAnsi="Times New Roman"/>
          <w:color w:val="auto"/>
          <w:highlight w:val="none"/>
        </w:rPr>
        <w:t>24/7</w:t>
      </w:r>
      <w:r>
        <w:rPr>
          <w:rFonts w:hint="eastAsia" w:ascii="Times New Roman" w:hAnsi="Times New Roman"/>
          <w:color w:val="auto"/>
          <w:highlight w:val="none"/>
        </w:rPr>
        <w:t>）连续运行。</w:t>
      </w:r>
    </w:p>
    <w:p w14:paraId="1A6DFA0C">
      <w:pPr>
        <w:spacing w:line="360" w:lineRule="auto"/>
        <w:ind w:firstLine="480"/>
        <w:rPr>
          <w:rFonts w:ascii="Times New Roman" w:hAnsi="Times New Roman"/>
          <w:color w:val="auto"/>
          <w:highlight w:val="none"/>
        </w:rPr>
      </w:pPr>
    </w:p>
    <w:p w14:paraId="081E506A">
      <w:pPr>
        <w:spacing w:line="360" w:lineRule="auto"/>
        <w:ind w:firstLine="480"/>
        <w:rPr>
          <w:rFonts w:ascii="Times New Roman" w:hAnsi="Times New Roman"/>
          <w:color w:val="auto"/>
          <w:highlight w:val="none"/>
        </w:rPr>
      </w:pPr>
      <w:r>
        <w:rPr>
          <w:rFonts w:hint="eastAsia" w:ascii="Times New Roman" w:hAnsi="Times New Roman"/>
          <w:color w:val="auto"/>
          <w:highlight w:val="none"/>
        </w:rPr>
        <w:t xml:space="preserve">3）磁盘阵列： </w:t>
      </w:r>
    </w:p>
    <w:p w14:paraId="0DFFB2E0">
      <w:pPr>
        <w:spacing w:line="360" w:lineRule="auto"/>
        <w:ind w:firstLine="480"/>
        <w:rPr>
          <w:rFonts w:ascii="Times New Roman" w:hAnsi="Times New Roman"/>
          <w:color w:val="auto"/>
          <w:highlight w:val="none"/>
        </w:rPr>
      </w:pPr>
      <w:r>
        <w:rPr>
          <w:rFonts w:hint="eastAsia" w:ascii="Times New Roman" w:hAnsi="Times New Roman"/>
          <w:color w:val="auto"/>
          <w:highlight w:val="none"/>
        </w:rPr>
        <w:t>【硬件规格】</w:t>
      </w:r>
    </w:p>
    <w:p w14:paraId="257DEFFA">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硬盘：存储容量</w:t>
      </w:r>
      <w:r>
        <w:rPr>
          <w:rFonts w:ascii="Times New Roman" w:hAnsi="Times New Roman"/>
          <w:color w:val="auto"/>
          <w:highlight w:val="none"/>
        </w:rPr>
        <w:t>900TB</w:t>
      </w:r>
      <w:r>
        <w:rPr>
          <w:rFonts w:hint="eastAsia" w:ascii="Times New Roman" w:hAnsi="Times New Roman"/>
          <w:color w:val="auto"/>
          <w:highlight w:val="none"/>
        </w:rPr>
        <w:t>，支持硬盘热插拔。</w:t>
      </w:r>
    </w:p>
    <w:p w14:paraId="6B6C10ED">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ascii="Times New Roman" w:hAnsi="Times New Roman"/>
          <w:color w:val="auto"/>
          <w:highlight w:val="none"/>
        </w:rPr>
        <w:t>CPU</w:t>
      </w:r>
      <w:r>
        <w:rPr>
          <w:rFonts w:hint="eastAsia" w:ascii="Times New Roman" w:hAnsi="Times New Roman"/>
          <w:color w:val="auto"/>
          <w:highlight w:val="none"/>
        </w:rPr>
        <w:t>：</w:t>
      </w:r>
      <w:r>
        <w:rPr>
          <w:rFonts w:ascii="Times New Roman" w:hAnsi="Times New Roman"/>
          <w:color w:val="auto"/>
          <w:highlight w:val="none"/>
        </w:rPr>
        <w:t>64</w:t>
      </w:r>
      <w:r>
        <w:rPr>
          <w:rFonts w:hint="eastAsia" w:ascii="Times New Roman" w:hAnsi="Times New Roman"/>
          <w:color w:val="auto"/>
          <w:highlight w:val="none"/>
        </w:rPr>
        <w:t>位多核处理器。</w:t>
      </w:r>
    </w:p>
    <w:p w14:paraId="2BD23C6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内存：</w:t>
      </w:r>
      <w:r>
        <w:rPr>
          <w:rFonts w:ascii="Times New Roman" w:hAnsi="Times New Roman"/>
          <w:color w:val="auto"/>
          <w:highlight w:val="none"/>
        </w:rPr>
        <w:t>8GB</w:t>
      </w:r>
      <w:r>
        <w:rPr>
          <w:rFonts w:hint="eastAsia" w:ascii="Times New Roman" w:hAnsi="Times New Roman"/>
          <w:color w:val="auto"/>
          <w:highlight w:val="none"/>
        </w:rPr>
        <w:t>，内存可扩展至</w:t>
      </w:r>
      <w:r>
        <w:rPr>
          <w:rFonts w:ascii="Times New Roman" w:hAnsi="Times New Roman"/>
          <w:color w:val="auto"/>
          <w:highlight w:val="none"/>
        </w:rPr>
        <w:t>32GB</w:t>
      </w:r>
      <w:r>
        <w:rPr>
          <w:rFonts w:hint="eastAsia" w:ascii="Times New Roman" w:hAnsi="Times New Roman"/>
          <w:color w:val="auto"/>
          <w:highlight w:val="none"/>
        </w:rPr>
        <w:t>。</w:t>
      </w:r>
    </w:p>
    <w:p w14:paraId="3B63E8E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风扇：</w:t>
      </w:r>
      <w:r>
        <w:rPr>
          <w:rFonts w:ascii="Times New Roman" w:hAnsi="Times New Roman"/>
          <w:color w:val="auto"/>
          <w:highlight w:val="none"/>
        </w:rPr>
        <w:t>3</w:t>
      </w:r>
      <w:r>
        <w:rPr>
          <w:rFonts w:hint="eastAsia" w:ascii="Times New Roman" w:hAnsi="Times New Roman"/>
          <w:color w:val="auto"/>
          <w:highlight w:val="none"/>
        </w:rPr>
        <w:t>个。</w:t>
      </w:r>
    </w:p>
    <w:p w14:paraId="02EAA337">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电源：</w:t>
      </w:r>
      <w:r>
        <w:rPr>
          <w:rFonts w:ascii="Times New Roman" w:hAnsi="Times New Roman"/>
          <w:color w:val="auto"/>
          <w:highlight w:val="none"/>
        </w:rPr>
        <w:t>800W/</w:t>
      </w:r>
      <w:r>
        <w:rPr>
          <w:rFonts w:hint="eastAsia" w:ascii="Times New Roman" w:hAnsi="Times New Roman"/>
          <w:color w:val="auto"/>
          <w:highlight w:val="none"/>
        </w:rPr>
        <w:t>电源，</w:t>
      </w:r>
      <w:r>
        <w:rPr>
          <w:rFonts w:ascii="Times New Roman" w:hAnsi="Times New Roman"/>
          <w:color w:val="auto"/>
          <w:highlight w:val="none"/>
        </w:rPr>
        <w:t>1+1</w:t>
      </w:r>
      <w:r>
        <w:rPr>
          <w:rFonts w:hint="eastAsia" w:ascii="Times New Roman" w:hAnsi="Times New Roman"/>
          <w:color w:val="auto"/>
          <w:highlight w:val="none"/>
        </w:rPr>
        <w:t>冗余电源。</w:t>
      </w:r>
    </w:p>
    <w:p w14:paraId="7E84186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网络接口：</w:t>
      </w:r>
      <w:r>
        <w:rPr>
          <w:rFonts w:ascii="Times New Roman" w:hAnsi="Times New Roman"/>
          <w:color w:val="auto"/>
          <w:highlight w:val="none"/>
        </w:rPr>
        <w:t>2</w:t>
      </w:r>
      <w:r>
        <w:rPr>
          <w:rFonts w:hint="eastAsia" w:ascii="Times New Roman" w:hAnsi="Times New Roman"/>
          <w:color w:val="auto"/>
          <w:highlight w:val="none"/>
        </w:rPr>
        <w:t>个千兆数据网口，</w:t>
      </w:r>
      <w:r>
        <w:rPr>
          <w:rFonts w:ascii="Times New Roman" w:hAnsi="Times New Roman"/>
          <w:color w:val="auto"/>
          <w:highlight w:val="none"/>
        </w:rPr>
        <w:t>1</w:t>
      </w:r>
      <w:r>
        <w:rPr>
          <w:rFonts w:hint="eastAsia" w:ascii="Times New Roman" w:hAnsi="Times New Roman"/>
          <w:color w:val="auto"/>
          <w:highlight w:val="none"/>
        </w:rPr>
        <w:t>个千兆管理口。</w:t>
      </w:r>
    </w:p>
    <w:p w14:paraId="2CA9BDD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可扩展性：</w:t>
      </w:r>
      <w:r>
        <w:rPr>
          <w:rFonts w:ascii="Times New Roman" w:hAnsi="Times New Roman"/>
          <w:color w:val="auto"/>
          <w:highlight w:val="none"/>
        </w:rPr>
        <w:t>3</w:t>
      </w:r>
      <w:r>
        <w:rPr>
          <w:rFonts w:hint="eastAsia" w:ascii="Times New Roman" w:hAnsi="Times New Roman"/>
          <w:color w:val="auto"/>
          <w:highlight w:val="none"/>
        </w:rPr>
        <w:t>个</w:t>
      </w:r>
      <w:r>
        <w:rPr>
          <w:rFonts w:ascii="Times New Roman" w:hAnsi="Times New Roman"/>
          <w:color w:val="auto"/>
          <w:highlight w:val="none"/>
        </w:rPr>
        <w:t>PCIE</w:t>
      </w:r>
      <w:r>
        <w:rPr>
          <w:rFonts w:hint="eastAsia" w:ascii="Times New Roman" w:hAnsi="Times New Roman"/>
          <w:color w:val="auto"/>
          <w:highlight w:val="none"/>
        </w:rPr>
        <w:t>。</w:t>
      </w:r>
    </w:p>
    <w:p w14:paraId="06E54438">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机架式网络存储设备。</w:t>
      </w:r>
    </w:p>
    <w:p w14:paraId="2476BAAA">
      <w:pPr>
        <w:spacing w:line="360" w:lineRule="auto"/>
        <w:ind w:firstLine="480"/>
        <w:rPr>
          <w:rFonts w:ascii="Times New Roman" w:hAnsi="Times New Roman"/>
          <w:color w:val="auto"/>
          <w:highlight w:val="none"/>
        </w:rPr>
      </w:pPr>
      <w:r>
        <w:rPr>
          <w:rFonts w:hint="eastAsia" w:ascii="Times New Roman" w:hAnsi="Times New Roman"/>
          <w:color w:val="auto"/>
          <w:highlight w:val="none"/>
        </w:rPr>
        <w:t>【产品性能】</w:t>
      </w:r>
    </w:p>
    <w:p w14:paraId="79E3C693">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视频性能：最大接入路数</w:t>
      </w:r>
      <w:r>
        <w:rPr>
          <w:rFonts w:ascii="Times New Roman" w:hAnsi="Times New Roman"/>
          <w:color w:val="auto"/>
          <w:highlight w:val="none"/>
        </w:rPr>
        <w:t>550</w:t>
      </w:r>
      <w:r>
        <w:rPr>
          <w:rFonts w:hint="eastAsia" w:ascii="Times New Roman" w:hAnsi="Times New Roman"/>
          <w:color w:val="auto"/>
          <w:highlight w:val="none"/>
        </w:rPr>
        <w:t>路（网络输入带宽</w:t>
      </w:r>
      <w:r>
        <w:rPr>
          <w:rFonts w:ascii="Times New Roman" w:hAnsi="Times New Roman"/>
          <w:color w:val="auto"/>
          <w:highlight w:val="none"/>
        </w:rPr>
        <w:t>1100Mbps</w:t>
      </w:r>
      <w:r>
        <w:rPr>
          <w:rFonts w:hint="eastAsia" w:ascii="Times New Roman" w:hAnsi="Times New Roman"/>
          <w:color w:val="auto"/>
          <w:highlight w:val="none"/>
        </w:rPr>
        <w:t>）。</w:t>
      </w:r>
    </w:p>
    <w:p w14:paraId="3245E5CC">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回放性能：最大支持回放路数</w:t>
      </w:r>
      <w:r>
        <w:rPr>
          <w:rFonts w:ascii="Times New Roman" w:hAnsi="Times New Roman"/>
          <w:color w:val="auto"/>
          <w:highlight w:val="none"/>
        </w:rPr>
        <w:t>55</w:t>
      </w:r>
      <w:r>
        <w:rPr>
          <w:rFonts w:hint="eastAsia" w:ascii="Times New Roman" w:hAnsi="Times New Roman"/>
          <w:color w:val="auto"/>
          <w:highlight w:val="none"/>
        </w:rPr>
        <w:t>路。</w:t>
      </w:r>
    </w:p>
    <w:p w14:paraId="3E8D8845">
      <w:pPr>
        <w:spacing w:line="360" w:lineRule="auto"/>
        <w:ind w:firstLine="480"/>
        <w:rPr>
          <w:rFonts w:ascii="Times New Roman" w:hAnsi="Times New Roman"/>
          <w:color w:val="auto"/>
          <w:highlight w:val="none"/>
        </w:rPr>
      </w:pPr>
      <w:r>
        <w:rPr>
          <w:rFonts w:hint="eastAsia" w:ascii="Times New Roman" w:hAnsi="Times New Roman"/>
          <w:color w:val="auto"/>
          <w:highlight w:val="none"/>
        </w:rPr>
        <w:t>【产品功能】</w:t>
      </w:r>
    </w:p>
    <w:p w14:paraId="56B18BA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支持视频流直存。</w:t>
      </w:r>
    </w:p>
    <w:p w14:paraId="744704D7">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w:t>
      </w:r>
      <w:r>
        <w:rPr>
          <w:rFonts w:ascii="Times New Roman" w:hAnsi="Times New Roman"/>
          <w:color w:val="auto"/>
          <w:highlight w:val="none"/>
        </w:rPr>
        <w:t>VRAID2.0</w:t>
      </w:r>
      <w:r>
        <w:rPr>
          <w:rFonts w:hint="eastAsia" w:ascii="Times New Roman" w:hAnsi="Times New Roman"/>
          <w:color w:val="auto"/>
          <w:highlight w:val="none"/>
        </w:rPr>
        <w:t>数据保护技术，实现空间和数据的精细化管理。</w:t>
      </w:r>
    </w:p>
    <w:p w14:paraId="6391AC61">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支持磁盘超容错处理，故障盘超过冗余限制，剩余硬盘数据可读，且新数据可正常写入。</w:t>
      </w:r>
    </w:p>
    <w:p w14:paraId="668F043D">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支持定时录像、手动录像等多种录像方式。</w:t>
      </w:r>
    </w:p>
    <w:p w14:paraId="17A293C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支持关键视频数据的加锁保护功能，防止循环覆盖。</w:t>
      </w:r>
    </w:p>
    <w:p w14:paraId="17BEF9D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Wingdings" w:hAnsi="Wingdings" w:cs="Cambria Math"/>
          <w:color w:val="auto"/>
          <w:kern w:val="2"/>
          <w:sz w:val="21"/>
          <w:szCs w:val="20"/>
          <w:highlight w:val="none"/>
          <w:lang w:val="en-US" w:eastAsia="zh-CN" w:bidi="ar-SA"/>
        </w:rPr>
        <w:t xml:space="preserve"> </w:t>
      </w:r>
      <w:r>
        <w:rPr>
          <w:rFonts w:hint="eastAsia" w:ascii="Times New Roman" w:hAnsi="Times New Roman"/>
          <w:color w:val="auto"/>
          <w:highlight w:val="none"/>
        </w:rPr>
        <w:t>支持多级运维管理，多渠道报警机制防止报警信息遗漏。</w:t>
      </w:r>
      <w:bookmarkEnd w:id="53"/>
    </w:p>
    <w:p w14:paraId="64328535">
      <w:pPr>
        <w:pStyle w:val="3"/>
        <w:numPr>
          <w:ilvl w:val="0"/>
          <w:numId w:val="0"/>
        </w:numPr>
        <w:ind w:left="360" w:leftChars="0" w:hanging="360" w:firstLineChars="0"/>
        <w:rPr>
          <w:rFonts w:ascii="Times New Roman" w:hAnsi="Times New Roman"/>
          <w:color w:val="auto"/>
          <w:highlight w:val="none"/>
        </w:rPr>
      </w:pPr>
      <w:bookmarkStart w:id="57" w:name="_Toc15059418"/>
      <w:bookmarkStart w:id="58" w:name="_Toc89675144"/>
      <w:r>
        <w:rPr>
          <w:rFonts w:hint="default" w:ascii="Times New Roman" w:hAnsi="Times New Roman" w:eastAsia="宋体" w:cstheme="majorBidi"/>
          <w:b/>
          <w:bCs/>
          <w:snapToGrid w:val="0"/>
          <w:color w:val="auto"/>
          <w:kern w:val="2"/>
          <w:sz w:val="21"/>
          <w:szCs w:val="24"/>
          <w:highlight w:val="none"/>
          <w:lang w:val="en-US" w:eastAsia="zh-CN" w:bidi="ar-SA"/>
        </w:rPr>
        <w:t>4.</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交付周期、地点</w:t>
      </w:r>
      <w:bookmarkEnd w:id="57"/>
      <w:bookmarkEnd w:id="58"/>
    </w:p>
    <w:p w14:paraId="012D2D1B">
      <w:pPr>
        <w:pStyle w:val="4"/>
        <w:ind w:firstLine="482"/>
        <w:rPr>
          <w:rFonts w:ascii="Times New Roman" w:hAnsi="Times New Roman"/>
          <w:color w:val="auto"/>
          <w:highlight w:val="none"/>
        </w:rPr>
      </w:pPr>
      <w:bookmarkStart w:id="59" w:name="_Toc1125"/>
      <w:bookmarkStart w:id="60" w:name="_Toc440628915"/>
      <w:bookmarkStart w:id="61" w:name="_Toc387826347"/>
      <w:bookmarkStart w:id="62" w:name="_Toc432254881"/>
      <w:r>
        <w:rPr>
          <w:rFonts w:hint="eastAsia" w:ascii="Times New Roman" w:hAnsi="Times New Roman"/>
          <w:color w:val="auto"/>
          <w:highlight w:val="none"/>
        </w:rPr>
        <w:t>4.1 交付时间</w:t>
      </w:r>
    </w:p>
    <w:p w14:paraId="373C31A1">
      <w:pPr>
        <w:ind w:firstLine="480"/>
        <w:rPr>
          <w:rFonts w:ascii="Times New Roman" w:hAnsi="Times New Roman"/>
          <w:color w:val="auto"/>
          <w:highlight w:val="none"/>
        </w:rPr>
      </w:pPr>
      <w:r>
        <w:rPr>
          <w:rFonts w:hint="eastAsia"/>
          <w:color w:val="auto"/>
          <w:highlight w:val="none"/>
        </w:rPr>
        <w:t>本项目含供货时间在内的实施周期为30个自然日，从合同签订之日起开始计算。</w:t>
      </w:r>
    </w:p>
    <w:p w14:paraId="3D281909">
      <w:pPr>
        <w:pStyle w:val="4"/>
        <w:ind w:firstLine="482"/>
        <w:rPr>
          <w:rFonts w:ascii="Times New Roman" w:hAnsi="Times New Roman"/>
          <w:color w:val="auto"/>
          <w:highlight w:val="none"/>
        </w:rPr>
      </w:pPr>
      <w:r>
        <w:rPr>
          <w:rFonts w:hint="eastAsia" w:ascii="Times New Roman" w:hAnsi="Times New Roman"/>
          <w:color w:val="auto"/>
          <w:highlight w:val="none"/>
        </w:rPr>
        <w:t>4.2 实施及交付地点</w:t>
      </w:r>
    </w:p>
    <w:p w14:paraId="465538E6">
      <w:pPr>
        <w:ind w:firstLine="480"/>
        <w:rPr>
          <w:rFonts w:ascii="Times New Roman" w:hAnsi="Times New Roman"/>
          <w:color w:val="auto"/>
          <w:highlight w:val="none"/>
        </w:rPr>
      </w:pPr>
      <w:bookmarkStart w:id="63" w:name="_Hlk176858403"/>
      <w:r>
        <w:rPr>
          <w:rFonts w:hint="eastAsia"/>
          <w:color w:val="auto"/>
          <w:highlight w:val="none"/>
        </w:rPr>
        <w:t>重庆市西永微电子园2号楼。</w:t>
      </w:r>
      <w:bookmarkEnd w:id="63"/>
    </w:p>
    <w:p w14:paraId="2E8AAD8A">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5.</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售后服务和支持</w:t>
      </w:r>
    </w:p>
    <w:p w14:paraId="6EFC8E06">
      <w:pPr>
        <w:ind w:firstLine="48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）遵守《中华人民共和国产品质量法》和《消费者权益保护法》的相关规定，供货厂商应提供服务标准可高于以上规定，但不得降低。</w:t>
      </w:r>
    </w:p>
    <w:p w14:paraId="4836BC37">
      <w:pPr>
        <w:ind w:firstLine="480"/>
        <w:jc w:val="left"/>
        <w:rPr>
          <w:color w:val="auto"/>
          <w:highlight w:val="none"/>
        </w:rPr>
      </w:pPr>
      <w:r>
        <w:rPr>
          <w:rFonts w:hint="eastAsia"/>
          <w:color w:val="auto"/>
          <w:highlight w:val="none"/>
        </w:rPr>
        <w:t>2）本项目免费质保期为3年。免费质保期</w:t>
      </w:r>
      <w:r>
        <w:rPr>
          <w:color w:val="auto"/>
          <w:highlight w:val="none"/>
        </w:rPr>
        <w:t>起始时间为验收后次日起，结束时间为</w:t>
      </w:r>
      <w:r>
        <w:rPr>
          <w:rFonts w:hint="eastAsia"/>
          <w:color w:val="auto"/>
          <w:highlight w:val="none"/>
        </w:rPr>
        <w:t>质保</w:t>
      </w:r>
      <w:r>
        <w:rPr>
          <w:color w:val="auto"/>
          <w:highlight w:val="none"/>
        </w:rPr>
        <w:t>到期当年的6月30日或12月31日中较近日期</w:t>
      </w:r>
      <w:r>
        <w:rPr>
          <w:rFonts w:hint="eastAsia"/>
          <w:color w:val="auto"/>
          <w:highlight w:val="none"/>
        </w:rPr>
        <w:t>。</w:t>
      </w:r>
    </w:p>
    <w:p w14:paraId="76DF61F2">
      <w:pPr>
        <w:ind w:firstLine="480"/>
        <w:jc w:val="left"/>
        <w:rPr>
          <w:color w:val="auto"/>
          <w:highlight w:val="none"/>
        </w:rPr>
      </w:pPr>
      <w:r>
        <w:rPr>
          <w:rFonts w:hint="eastAsia"/>
          <w:color w:val="auto"/>
          <w:highlight w:val="none"/>
        </w:rPr>
        <w:t>3）质保内容包括但不限于设备免费维修、零部件更换、技术支持等服务。</w:t>
      </w:r>
    </w:p>
    <w:p w14:paraId="01A5944B">
      <w:pPr>
        <w:ind w:firstLine="480"/>
        <w:rPr>
          <w:rFonts w:ascii="Times New Roman" w:hAnsi="Times New Roman"/>
          <w:color w:val="auto"/>
          <w:highlight w:val="none"/>
        </w:rPr>
      </w:pPr>
      <w:r>
        <w:rPr>
          <w:rFonts w:hint="eastAsia"/>
          <w:color w:val="auto"/>
          <w:highlight w:val="none"/>
        </w:rPr>
        <w:t>4）对质保范围内设备，在接到我行设备故障的通知后应及时派人前往维护解决（2小时到现场，如需更换故障设备零部件，须在48小时内完成）。</w:t>
      </w:r>
    </w:p>
    <w:p w14:paraId="39AD22E8">
      <w:pPr>
        <w:ind w:firstLine="480"/>
        <w:rPr>
          <w:rFonts w:ascii="Times New Roman" w:hAnsi="Times New Roman"/>
          <w:color w:val="auto"/>
          <w:highlight w:val="none"/>
        </w:rPr>
      </w:pPr>
      <w:r>
        <w:rPr>
          <w:rFonts w:hint="eastAsia" w:ascii="Times New Roman" w:hAnsi="Times New Roman"/>
          <w:color w:val="auto"/>
          <w:highlight w:val="none"/>
        </w:rPr>
        <w:t>5）免费质保期以生产企业的有效承诺为准。</w:t>
      </w:r>
    </w:p>
    <w:p w14:paraId="475BB01E">
      <w:pPr>
        <w:pStyle w:val="3"/>
        <w:numPr>
          <w:ilvl w:val="0"/>
          <w:numId w:val="0"/>
        </w:numPr>
        <w:ind w:left="360" w:leftChars="0" w:hanging="360" w:firstLineChars="0"/>
        <w:rPr>
          <w:rFonts w:ascii="Times New Roman" w:hAnsi="Times New Roman"/>
          <w:color w:val="auto"/>
          <w:highlight w:val="none"/>
        </w:rPr>
      </w:pPr>
      <w:bookmarkStart w:id="64" w:name="_Toc15059422"/>
      <w:bookmarkStart w:id="65" w:name="_Toc89675148"/>
      <w:r>
        <w:rPr>
          <w:rFonts w:hint="default" w:ascii="Times New Roman" w:hAnsi="Times New Roman" w:eastAsia="宋体" w:cstheme="majorBidi"/>
          <w:b/>
          <w:bCs/>
          <w:snapToGrid w:val="0"/>
          <w:color w:val="auto"/>
          <w:kern w:val="2"/>
          <w:sz w:val="21"/>
          <w:szCs w:val="24"/>
          <w:highlight w:val="none"/>
          <w:lang w:val="en-US" w:eastAsia="zh-CN" w:bidi="ar-SA"/>
        </w:rPr>
        <w:t>6.</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付款方式</w:t>
      </w:r>
      <w:bookmarkEnd w:id="64"/>
      <w:bookmarkEnd w:id="65"/>
    </w:p>
    <w:p w14:paraId="155689B5">
      <w:pPr>
        <w:ind w:firstLine="480"/>
        <w:rPr>
          <w:rFonts w:ascii="Times New Roman" w:hAnsi="Times New Roman"/>
          <w:color w:val="auto"/>
          <w:highlight w:val="none"/>
        </w:rPr>
      </w:pPr>
      <w:r>
        <w:rPr>
          <w:rFonts w:hint="eastAsia" w:ascii="Times New Roman" w:hAnsi="Times New Roman"/>
          <w:color w:val="auto"/>
          <w:highlight w:val="none"/>
        </w:rPr>
        <w:t>项目验收合格后30个工作日内，中选人向比选人提供合法、全额（本合同全部款项）的增值税专用发票，比选人支付合同总金额的90%，质保期满后，经比选人评价中选人质保期内服务合格后30个工作日内比选人支付合同总金额的10%。</w:t>
      </w:r>
    </w:p>
    <w:p w14:paraId="3D5C3A92">
      <w:pPr>
        <w:pStyle w:val="3"/>
        <w:numPr>
          <w:ilvl w:val="0"/>
          <w:numId w:val="0"/>
        </w:numPr>
        <w:ind w:left="360" w:leftChars="0" w:hanging="360" w:firstLineChars="0"/>
        <w:rPr>
          <w:rFonts w:ascii="Times New Roman" w:hAnsi="Times New Roman"/>
          <w:color w:val="auto"/>
          <w:highlight w:val="none"/>
        </w:rPr>
      </w:pPr>
      <w:bookmarkStart w:id="66" w:name="_Toc89675150"/>
      <w:bookmarkStart w:id="67" w:name="_Toc15059424"/>
      <w:r>
        <w:rPr>
          <w:rFonts w:hint="default" w:ascii="Times New Roman" w:hAnsi="Times New Roman" w:eastAsia="宋体" w:cstheme="majorBidi"/>
          <w:b/>
          <w:bCs/>
          <w:snapToGrid w:val="0"/>
          <w:color w:val="auto"/>
          <w:kern w:val="2"/>
          <w:sz w:val="21"/>
          <w:szCs w:val="24"/>
          <w:highlight w:val="none"/>
          <w:lang w:val="en-US" w:eastAsia="zh-CN" w:bidi="ar-SA"/>
        </w:rPr>
        <w:t>7.</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文档和培训</w:t>
      </w:r>
    </w:p>
    <w:p w14:paraId="4D2FFF0E">
      <w:pPr>
        <w:ind w:firstLine="480"/>
        <w:rPr>
          <w:rFonts w:ascii="Times New Roman" w:hAnsi="Times New Roman"/>
          <w:color w:val="auto"/>
          <w:highlight w:val="none"/>
        </w:rPr>
      </w:pPr>
      <w:r>
        <w:rPr>
          <w:rFonts w:hint="eastAsia" w:ascii="Times New Roman" w:hAnsi="Times New Roman"/>
          <w:color w:val="auto"/>
          <w:highlight w:val="none"/>
        </w:rPr>
        <w:t>中选人在项目验收时须提供所有产品生产企业的书面质保承诺文件，承诺所供产品的质保期限和相应的服务保障措施。质保承诺须由产品生产企业直接出具，内容包括但不限于质保期内的免费维修、更换、技术支持等服务的具体内容，明确质保起始日期、责任范围及排除项。质保期应从项目</w:t>
      </w:r>
      <w:r>
        <w:rPr>
          <w:color w:val="auto"/>
          <w:highlight w:val="none"/>
        </w:rPr>
        <w:t>验收后次日</w:t>
      </w:r>
      <w:r>
        <w:rPr>
          <w:rFonts w:hint="eastAsia" w:ascii="Times New Roman" w:hAnsi="Times New Roman"/>
          <w:color w:val="auto"/>
          <w:highlight w:val="none"/>
        </w:rPr>
        <w:t>起计算，</w:t>
      </w:r>
      <w:r>
        <w:rPr>
          <w:color w:val="auto"/>
          <w:highlight w:val="none"/>
        </w:rPr>
        <w:t>结束时间需为</w:t>
      </w:r>
      <w:r>
        <w:rPr>
          <w:rFonts w:hint="eastAsia"/>
          <w:color w:val="auto"/>
          <w:highlight w:val="none"/>
        </w:rPr>
        <w:t>质保</w:t>
      </w:r>
      <w:r>
        <w:rPr>
          <w:color w:val="auto"/>
          <w:highlight w:val="none"/>
        </w:rPr>
        <w:t>到期当年的6月30日或12月31日中较近日期</w:t>
      </w:r>
      <w:r>
        <w:rPr>
          <w:rFonts w:hint="eastAsia" w:ascii="Times New Roman" w:hAnsi="Times New Roman"/>
          <w:color w:val="auto"/>
          <w:highlight w:val="none"/>
        </w:rPr>
        <w:t>。</w:t>
      </w:r>
    </w:p>
    <w:p w14:paraId="23804418">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8.</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保密条款</w:t>
      </w:r>
      <w:bookmarkEnd w:id="59"/>
      <w:bookmarkEnd w:id="60"/>
      <w:bookmarkEnd w:id="61"/>
      <w:bookmarkEnd w:id="62"/>
      <w:bookmarkEnd w:id="66"/>
      <w:bookmarkEnd w:id="67"/>
    </w:p>
    <w:p w14:paraId="0AC1145B">
      <w:pPr>
        <w:pStyle w:val="4"/>
        <w:ind w:firstLine="482"/>
        <w:rPr>
          <w:rFonts w:ascii="Times New Roman" w:hAnsi="Times New Roman"/>
          <w:color w:val="auto"/>
          <w:highlight w:val="none"/>
        </w:rPr>
      </w:pPr>
      <w:r>
        <w:rPr>
          <w:rFonts w:hint="eastAsia" w:ascii="Times New Roman" w:hAnsi="Times New Roman"/>
          <w:color w:val="auto"/>
          <w:highlight w:val="none"/>
        </w:rPr>
        <w:t>8.1 保密范围</w:t>
      </w:r>
    </w:p>
    <w:p w14:paraId="2C368D0C">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43CDE2B8">
      <w:pPr>
        <w:pStyle w:val="4"/>
        <w:ind w:firstLine="482"/>
        <w:rPr>
          <w:rFonts w:ascii="Times New Roman" w:hAnsi="Times New Roman"/>
          <w:color w:val="auto"/>
          <w:highlight w:val="none"/>
        </w:rPr>
      </w:pPr>
      <w:r>
        <w:rPr>
          <w:rFonts w:hint="eastAsia" w:ascii="Times New Roman" w:hAnsi="Times New Roman"/>
          <w:color w:val="auto"/>
          <w:highlight w:val="none"/>
        </w:rPr>
        <w:t>8.2 保密责任</w:t>
      </w:r>
    </w:p>
    <w:p w14:paraId="4C7F931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53BE3C7">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9.</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报价要求</w:t>
      </w:r>
    </w:p>
    <w:p w14:paraId="2FA66100">
      <w:pPr>
        <w:ind w:firstLine="48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）参选人应严格按照《参选文件格式》的“报价一览表”和“分项报价明细表”的格式认真填写。</w:t>
      </w:r>
    </w:p>
    <w:p w14:paraId="00506926">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）“分项报价明细表”里需详细写明各类硬件、实施费用等产品模块名称及价格。</w:t>
      </w:r>
    </w:p>
    <w:p w14:paraId="4F9C96AD">
      <w:pPr>
        <w:pStyle w:val="3"/>
        <w:numPr>
          <w:ilvl w:val="0"/>
          <w:numId w:val="0"/>
        </w:numPr>
        <w:ind w:left="360" w:leftChars="0" w:hanging="360" w:firstLineChars="0"/>
        <w:rPr>
          <w:rFonts w:ascii="Times New Roman" w:hAnsi="Times New Roman"/>
          <w:color w:val="auto"/>
          <w:highlight w:val="none"/>
        </w:rPr>
      </w:pPr>
      <w:bookmarkStart w:id="68" w:name="_Toc89675152"/>
      <w:bookmarkStart w:id="69" w:name="_Toc15059426"/>
      <w:r>
        <w:rPr>
          <w:rFonts w:hint="default" w:ascii="Times New Roman" w:hAnsi="Times New Roman" w:eastAsia="宋体" w:cstheme="majorBidi"/>
          <w:b/>
          <w:bCs/>
          <w:snapToGrid w:val="0"/>
          <w:color w:val="auto"/>
          <w:kern w:val="2"/>
          <w:sz w:val="21"/>
          <w:szCs w:val="24"/>
          <w:highlight w:val="none"/>
          <w:lang w:val="en-US" w:eastAsia="zh-CN" w:bidi="ar-SA"/>
        </w:rPr>
        <w:t>10.</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知识产权</w:t>
      </w:r>
      <w:bookmarkEnd w:id="68"/>
      <w:bookmarkEnd w:id="69"/>
    </w:p>
    <w:p w14:paraId="7BE04F64">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29B4B3A">
      <w:pPr>
        <w:pStyle w:val="3"/>
        <w:numPr>
          <w:ilvl w:val="0"/>
          <w:numId w:val="0"/>
        </w:numPr>
        <w:ind w:left="360" w:leftChars="0" w:hanging="360" w:firstLineChars="0"/>
        <w:rPr>
          <w:rFonts w:ascii="Times New Roman" w:hAnsi="Times New Roman"/>
          <w:color w:val="auto"/>
          <w:highlight w:val="none"/>
        </w:rPr>
      </w:pPr>
      <w:bookmarkStart w:id="70" w:name="_Toc15059427"/>
      <w:bookmarkStart w:id="71" w:name="_Toc89675153"/>
      <w:r>
        <w:rPr>
          <w:rFonts w:hint="default" w:ascii="Times New Roman" w:hAnsi="Times New Roman" w:eastAsia="宋体" w:cstheme="majorBidi"/>
          <w:b/>
          <w:bCs/>
          <w:snapToGrid w:val="0"/>
          <w:color w:val="auto"/>
          <w:kern w:val="2"/>
          <w:sz w:val="21"/>
          <w:szCs w:val="24"/>
          <w:highlight w:val="none"/>
          <w:lang w:val="en-US" w:eastAsia="zh-CN" w:bidi="ar-SA"/>
        </w:rPr>
        <w:t>11.</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其他</w:t>
      </w:r>
      <w:bookmarkEnd w:id="70"/>
      <w:bookmarkEnd w:id="71"/>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44EE8455">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55731CDB">
      <w:pPr>
        <w:snapToGrid w:val="0"/>
        <w:spacing w:line="360" w:lineRule="auto"/>
        <w:ind w:firstLine="0" w:firstLineChars="0"/>
        <w:rPr>
          <w:rFonts w:ascii="Times New Roman" w:hAnsi="Times New Roman" w:cs="宋体"/>
          <w:snapToGrid w:val="0"/>
          <w:color w:val="auto"/>
          <w:kern w:val="0"/>
          <w:szCs w:val="24"/>
          <w:highlight w:val="none"/>
        </w:rPr>
      </w:pPr>
    </w:p>
    <w:p w14:paraId="3928C535">
      <w:pPr>
        <w:widowControl/>
        <w:autoSpaceDE/>
        <w:autoSpaceDN/>
        <w:spacing w:line="240" w:lineRule="auto"/>
        <w:ind w:firstLine="0" w:firstLineChars="0"/>
        <w:jc w:val="left"/>
        <w:rPr>
          <w:rFonts w:ascii="Times New Roman" w:hAnsi="Times New Roman" w:cs="等线 Light"/>
          <w:b/>
          <w:snapToGrid w:val="0"/>
          <w:color w:val="auto"/>
          <w:kern w:val="0"/>
          <w:sz w:val="44"/>
          <w:szCs w:val="44"/>
          <w:highlight w:val="none"/>
        </w:rPr>
      </w:pPr>
      <w:bookmarkStart w:id="72" w:name="_Toc29189"/>
      <w:r>
        <w:rPr>
          <w:rFonts w:ascii="Times New Roman" w:hAnsi="Times New Roman"/>
          <w:color w:val="auto"/>
          <w:highlight w:val="none"/>
        </w:rPr>
        <w:br w:type="page"/>
      </w:r>
    </w:p>
    <w:p w14:paraId="4AA0F0B5">
      <w:pPr>
        <w:pStyle w:val="2"/>
        <w:spacing w:before="0"/>
        <w:ind w:right="0" w:rightChars="0"/>
        <w:rPr>
          <w:rFonts w:hint="eastAsia"/>
          <w:color w:val="auto"/>
          <w:highlight w:val="none"/>
          <w:lang w:val="en-US" w:eastAsia="zh-CN"/>
        </w:rPr>
      </w:pPr>
      <w:bookmarkStart w:id="73" w:name="_Toc25672"/>
      <w:bookmarkStart w:id="74" w:name="_Toc23813"/>
      <w:bookmarkStart w:id="75" w:name="_Toc23690"/>
      <w:bookmarkStart w:id="76" w:name="_Toc177996833"/>
      <w:r>
        <w:rPr>
          <w:rFonts w:hint="eastAsia"/>
          <w:color w:val="auto"/>
          <w:highlight w:val="none"/>
          <w:lang w:val="en-US" w:eastAsia="zh-CN"/>
        </w:rPr>
        <w:t>第四章 评审办法（经评审的最低价法）</w:t>
      </w:r>
      <w:bookmarkEnd w:id="73"/>
      <w:bookmarkEnd w:id="74"/>
      <w:bookmarkEnd w:id="75"/>
    </w:p>
    <w:bookmarkEnd w:id="76"/>
    <w:p w14:paraId="52866215">
      <w:pPr>
        <w:ind w:firstLine="482"/>
        <w:rPr>
          <w:rFonts w:ascii="Times New Roman" w:hAnsi="Times New Roman"/>
          <w:b/>
          <w:bCs/>
          <w:color w:val="auto"/>
          <w:highlight w:val="none"/>
        </w:rPr>
      </w:pPr>
      <w:r>
        <w:rPr>
          <w:rFonts w:hint="eastAsia" w:ascii="Times New Roman" w:hAnsi="Times New Roman"/>
          <w:b/>
          <w:bCs/>
          <w:color w:val="auto"/>
          <w:highlight w:val="none"/>
        </w:rPr>
        <w:t>评审办法前附表</w:t>
      </w:r>
    </w:p>
    <w:p w14:paraId="086D98DF">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08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82" w:type="dxa"/>
            <w:vAlign w:val="center"/>
          </w:tcPr>
          <w:p w14:paraId="6F8E634C">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条款号</w:t>
            </w:r>
          </w:p>
        </w:tc>
        <w:tc>
          <w:tcPr>
            <w:tcW w:w="1253" w:type="dxa"/>
            <w:vAlign w:val="center"/>
          </w:tcPr>
          <w:p w14:paraId="448454F8">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vAlign w:val="center"/>
          </w:tcPr>
          <w:p w14:paraId="23BC796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51F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A2B7BBD">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vAlign w:val="center"/>
          </w:tcPr>
          <w:p w14:paraId="1136D3EF">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vAlign w:val="center"/>
          </w:tcPr>
          <w:p w14:paraId="7F6D3C3B">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候选人。若出现</w:t>
            </w:r>
            <w:r>
              <w:rPr>
                <w:rFonts w:hint="eastAsia" w:ascii="宋体" w:hAnsi="宋体" w:eastAsia="宋体" w:cs="宋体"/>
                <w:color w:val="auto"/>
                <w:spacing w:val="4"/>
                <w:kern w:val="0"/>
                <w:sz w:val="21"/>
                <w:szCs w:val="21"/>
                <w:highlight w:val="none"/>
                <w:lang w:eastAsia="zh-CN"/>
              </w:rPr>
              <w:t>参选人参选</w:t>
            </w:r>
            <w:r>
              <w:rPr>
                <w:rFonts w:hint="eastAsia" w:ascii="宋体" w:hAnsi="宋体" w:eastAsia="宋体" w:cs="宋体"/>
                <w:color w:val="auto"/>
                <w:spacing w:val="4"/>
                <w:kern w:val="0"/>
                <w:sz w:val="21"/>
                <w:szCs w:val="21"/>
                <w:highlight w:val="none"/>
              </w:rPr>
              <w:t>报价相同的，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单个案例金额最大的优先</w:t>
            </w:r>
            <w:r>
              <w:rPr>
                <w:rFonts w:hint="eastAsia" w:ascii="Times New Roman" w:hAnsi="Times New Roman" w:cs="Times New Roman"/>
                <w:color w:val="auto"/>
                <w:kern w:val="0"/>
                <w:sz w:val="21"/>
                <w:szCs w:val="24"/>
                <w:highlight w:val="none"/>
              </w:rPr>
              <w:t>原则排序</w:t>
            </w:r>
            <w:r>
              <w:rPr>
                <w:rFonts w:hint="eastAsia" w:ascii="Times New Roman" w:hAnsi="Times New Roman" w:cs="宋体"/>
                <w:color w:val="auto"/>
                <w:spacing w:val="4"/>
                <w:kern w:val="0"/>
                <w:sz w:val="21"/>
                <w:szCs w:val="21"/>
                <w:highlight w:val="none"/>
              </w:rPr>
              <w:t>。</w:t>
            </w:r>
          </w:p>
        </w:tc>
      </w:tr>
      <w:tr w14:paraId="53F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2F909EE">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vAlign w:val="center"/>
          </w:tcPr>
          <w:p w14:paraId="36FEC4F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color w:val="auto"/>
                <w:sz w:val="21"/>
                <w:szCs w:val="21"/>
                <w:highlight w:val="none"/>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vAlign w:val="center"/>
          </w:tcPr>
          <w:p w14:paraId="66D6A825">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color w:val="auto"/>
                <w:spacing w:val="4"/>
                <w:kern w:val="0"/>
                <w:sz w:val="21"/>
                <w:szCs w:val="21"/>
                <w:highlight w:val="none"/>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1C9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D982658">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vAlign w:val="center"/>
          </w:tcPr>
          <w:p w14:paraId="1103D62A">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color w:val="auto"/>
                <w:kern w:val="0"/>
                <w:sz w:val="21"/>
                <w:szCs w:val="21"/>
                <w:highlight w:val="none"/>
              </w:rPr>
            </w:pPr>
            <w:r>
              <w:rPr>
                <w:rFonts w:hint="eastAsia" w:ascii="宋体" w:hAnsi="宋体" w:eastAsia="宋体" w:cs="宋体"/>
                <w:color w:val="auto"/>
                <w:kern w:val="0"/>
                <w:sz w:val="21"/>
                <w:szCs w:val="21"/>
                <w:highlight w:val="none"/>
              </w:rPr>
              <w:t>报价排序</w:t>
            </w:r>
          </w:p>
        </w:tc>
        <w:tc>
          <w:tcPr>
            <w:tcW w:w="7229" w:type="dxa"/>
            <w:gridSpan w:val="2"/>
            <w:vAlign w:val="center"/>
          </w:tcPr>
          <w:p w14:paraId="5B3BB4B7">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color w:val="auto"/>
                <w:kern w:val="0"/>
                <w:sz w:val="21"/>
                <w:szCs w:val="21"/>
                <w:highlight w:val="none"/>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7847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6E8462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vAlign w:val="center"/>
          </w:tcPr>
          <w:p w14:paraId="47D9459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vAlign w:val="center"/>
          </w:tcPr>
          <w:p w14:paraId="754F03C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7350A7E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097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2D3B65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vAlign w:val="center"/>
          </w:tcPr>
          <w:p w14:paraId="6F06C1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vAlign w:val="center"/>
          </w:tcPr>
          <w:p w14:paraId="713E324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7A1B6EA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05DD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24481C">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39EF416C">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2AADB1C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6489646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4281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D7A319B">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73CDC6C5">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384F6E0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5A3BC85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4F2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241A9F">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C1DEE85">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53545D5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668D207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1F9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CA270A0">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EC76F0E">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73FC707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36741D63">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条规定，内容齐全、无遗漏</w:t>
            </w:r>
          </w:p>
        </w:tc>
      </w:tr>
      <w:tr w14:paraId="70F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ADFE2A">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3FC53DE">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622A57D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0D78DE6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5C6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15A00B9">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vAlign w:val="center"/>
          </w:tcPr>
          <w:p w14:paraId="44DA723A">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vAlign w:val="center"/>
          </w:tcPr>
          <w:p w14:paraId="0B5CFDA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097CB13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783FB3D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tc>
      </w:tr>
      <w:tr w14:paraId="145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6D151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0BCE3387">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009B696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652695F0">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65A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5AB9D0">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669745B7">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545A5F9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2A10E83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20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B89768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7394213B">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14CBC3A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681CC03E">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2E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5F59CC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6A8B8402">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0554302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09C7D91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3131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CF042D5">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7840A058">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62544E4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574C9D0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333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ED22B2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vAlign w:val="center"/>
          </w:tcPr>
          <w:p w14:paraId="6FCF0EC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Pr>
          <w:p w14:paraId="5456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09D45E93">
            <w:pPr>
              <w:spacing w:line="360" w:lineRule="auto"/>
              <w:ind w:firstLine="0" w:firstLineChars="0"/>
              <w:rPr>
                <w:rFonts w:ascii="Times New Roman" w:hAnsi="Times New Roman" w:cs="宋体"/>
                <w:color w:val="auto"/>
                <w:sz w:val="21"/>
                <w:szCs w:val="21"/>
                <w:highlight w:val="none"/>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0D80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F5882C2">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vAlign w:val="center"/>
          </w:tcPr>
          <w:p w14:paraId="419D27F7">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vAlign w:val="center"/>
          </w:tcPr>
          <w:p w14:paraId="45130041">
            <w:pPr>
              <w:adjustRightInd w:val="0"/>
              <w:snapToGrid w:val="0"/>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ascii="Times New Roman" w:hAnsi="Times New Roman" w:cs="宋体"/>
                <w:color w:val="auto"/>
                <w:spacing w:val="-1"/>
                <w:kern w:val="0"/>
                <w:sz w:val="21"/>
                <w:szCs w:val="21"/>
                <w:highlight w:val="none"/>
              </w:rPr>
              <w:t>4</w:t>
            </w:r>
            <w:r>
              <w:rPr>
                <w:rFonts w:hint="eastAsia" w:ascii="Times New Roman" w:hAnsi="Times New Roman" w:cs="宋体"/>
                <w:color w:val="auto"/>
                <w:kern w:val="0"/>
                <w:sz w:val="21"/>
                <w:szCs w:val="21"/>
                <w:highlight w:val="none"/>
              </w:rPr>
              <w:t>.1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员会按经评审的最低价法推荐中选候选人。</w:t>
            </w:r>
          </w:p>
          <w:p w14:paraId="04FD8912">
            <w:pPr>
              <w:spacing w:line="360" w:lineRule="auto"/>
              <w:ind w:firstLine="0" w:firstLineChars="0"/>
              <w:jc w:val="left"/>
              <w:rPr>
                <w:rFonts w:ascii="Times New Roman" w:hAnsi="Times New Roman" w:cs="宋体"/>
                <w:color w:val="auto"/>
                <w:sz w:val="21"/>
                <w:szCs w:val="21"/>
                <w:highlight w:val="none"/>
              </w:rPr>
            </w:pPr>
            <w:r>
              <w:rPr>
                <w:rFonts w:hint="eastAsia" w:ascii="Times New Roman" w:hAnsi="Times New Roman" w:cs="宋体"/>
                <w:color w:val="auto"/>
                <w:spacing w:val="1"/>
                <w:kern w:val="0"/>
                <w:sz w:val="21"/>
                <w:szCs w:val="21"/>
                <w:highlight w:val="none"/>
              </w:rPr>
              <w:t>3</w:t>
            </w:r>
            <w:r>
              <w:rPr>
                <w:rFonts w:hint="eastAsia" w:ascii="Times New Roman" w:hAnsi="Times New Roman" w:cs="宋体"/>
                <w:color w:val="auto"/>
                <w:kern w:val="0"/>
                <w:sz w:val="21"/>
                <w:szCs w:val="21"/>
                <w:highlight w:val="none"/>
              </w:rPr>
              <w:t>.4.2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员会完成评审后，应当向比选人提交书面评审报告。</w:t>
            </w:r>
          </w:p>
        </w:tc>
      </w:tr>
    </w:tbl>
    <w:p w14:paraId="087DAFF3">
      <w:pPr>
        <w:ind w:firstLine="420"/>
        <w:rPr>
          <w:rFonts w:ascii="Times New Roman" w:hAnsi="Times New Roman" w:cs="宋体"/>
          <w:snapToGrid w:val="0"/>
          <w:color w:val="auto"/>
          <w:sz w:val="21"/>
          <w:szCs w:val="21"/>
          <w:highlight w:val="none"/>
        </w:rPr>
      </w:pPr>
      <w:r>
        <w:rPr>
          <w:rFonts w:hint="eastAsia" w:ascii="Times New Roman" w:hAnsi="Times New Roman" w:cs="宋体"/>
          <w:snapToGrid w:val="0"/>
          <w:color w:val="auto"/>
          <w:sz w:val="21"/>
          <w:szCs w:val="21"/>
          <w:highlight w:val="none"/>
        </w:rPr>
        <w:br w:type="page"/>
      </w:r>
    </w:p>
    <w:p w14:paraId="20174D10">
      <w:pPr>
        <w:pStyle w:val="3"/>
        <w:bidi w:val="0"/>
        <w:rPr>
          <w:color w:val="auto"/>
          <w:highlight w:val="none"/>
          <w:lang w:val="en-US" w:eastAsia="zh-CN"/>
        </w:rPr>
      </w:pPr>
      <w:bookmarkStart w:id="77" w:name="_Toc2724"/>
      <w:bookmarkStart w:id="78" w:name="_Toc32646"/>
      <w:bookmarkStart w:id="79" w:name="_Toc25275"/>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063C9C72">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210831F4">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317F721F">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067AED99">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A540F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B3D5821">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55649FB4">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0F43E09A">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403717D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272FF821">
      <w:pPr>
        <w:bidi w:val="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rFonts w:hint="eastAsia"/>
          <w:color w:val="auto"/>
          <w:highlight w:val="none"/>
        </w:rPr>
        <w:t>委员会按</w:t>
      </w:r>
      <w:r>
        <w:rPr>
          <w:rFonts w:hint="eastAsia"/>
          <w:color w:val="auto"/>
          <w:highlight w:val="none"/>
          <w:lang w:eastAsia="zh-CN"/>
        </w:rPr>
        <w:t>经评审的最低价法</w:t>
      </w:r>
      <w:r>
        <w:rPr>
          <w:rFonts w:hint="eastAsia"/>
          <w:color w:val="auto"/>
          <w:highlight w:val="none"/>
        </w:rPr>
        <w:t>推荐</w:t>
      </w:r>
      <w:r>
        <w:rPr>
          <w:rFonts w:hint="eastAsia"/>
          <w:color w:val="auto"/>
          <w:highlight w:val="none"/>
          <w:lang w:eastAsia="zh-CN"/>
        </w:rPr>
        <w:t>中选候选人</w:t>
      </w:r>
      <w:r>
        <w:rPr>
          <w:rFonts w:hint="eastAsia"/>
          <w:color w:val="auto"/>
          <w:highlight w:val="none"/>
        </w:rPr>
        <w:t>。</w:t>
      </w:r>
    </w:p>
    <w:p w14:paraId="70F6024C">
      <w:pPr>
        <w:bidi w:val="0"/>
        <w:rPr>
          <w:rFonts w:hint="eastAsia"/>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w:t>
      </w:r>
      <w:r>
        <w:rPr>
          <w:rFonts w:hint="eastAsia"/>
          <w:color w:val="auto"/>
          <w:highlight w:val="none"/>
          <w:lang w:eastAsia="zh-CN"/>
        </w:rPr>
        <w:t>评审</w:t>
      </w:r>
      <w:r>
        <w:rPr>
          <w:rFonts w:hint="eastAsia"/>
          <w:color w:val="auto"/>
          <w:highlight w:val="none"/>
        </w:rPr>
        <w:t>委员会完成</w:t>
      </w:r>
      <w:r>
        <w:rPr>
          <w:rFonts w:hint="eastAsia"/>
          <w:color w:val="auto"/>
          <w:highlight w:val="none"/>
          <w:lang w:eastAsia="zh-CN"/>
        </w:rPr>
        <w:t>评审</w:t>
      </w:r>
      <w:r>
        <w:rPr>
          <w:rFonts w:hint="eastAsia"/>
          <w:color w:val="auto"/>
          <w:highlight w:val="none"/>
        </w:rPr>
        <w:t>后，应当向</w:t>
      </w:r>
      <w:r>
        <w:rPr>
          <w:rFonts w:hint="eastAsia"/>
          <w:color w:val="auto"/>
          <w:highlight w:val="none"/>
          <w:lang w:eastAsia="zh-CN"/>
        </w:rPr>
        <w:t>比选人</w:t>
      </w:r>
      <w:r>
        <w:rPr>
          <w:rFonts w:hint="eastAsia"/>
          <w:color w:val="auto"/>
          <w:highlight w:val="none"/>
        </w:rPr>
        <w:t>提交书面</w:t>
      </w:r>
      <w:r>
        <w:rPr>
          <w:rFonts w:hint="eastAsia"/>
          <w:color w:val="auto"/>
          <w:highlight w:val="none"/>
          <w:lang w:eastAsia="zh-CN"/>
        </w:rPr>
        <w:t>评审</w:t>
      </w:r>
      <w:r>
        <w:rPr>
          <w:rFonts w:hint="eastAsia"/>
          <w:color w:val="auto"/>
          <w:highlight w:val="none"/>
        </w:rPr>
        <w:t>报告和</w:t>
      </w:r>
      <w:r>
        <w:rPr>
          <w:rFonts w:hint="eastAsia"/>
          <w:color w:val="auto"/>
          <w:highlight w:val="none"/>
          <w:lang w:eastAsia="zh-CN"/>
        </w:rPr>
        <w:t>中选候选人</w:t>
      </w:r>
      <w:r>
        <w:rPr>
          <w:rFonts w:hint="eastAsia"/>
          <w:color w:val="auto"/>
          <w:highlight w:val="none"/>
        </w:rPr>
        <w:t>名单。</w:t>
      </w:r>
    </w:p>
    <w:p w14:paraId="6B32271B">
      <w:pPr>
        <w:bidi w:val="0"/>
        <w:rPr>
          <w:rFonts w:hint="eastAsia"/>
          <w:color w:val="auto"/>
          <w:highlight w:val="none"/>
          <w:lang w:val="en-US" w:eastAsia="zh-CN"/>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07BD90E3">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578662E">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CAFF883">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641C0B0">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bookmarkEnd w:id="72"/>
    <w:bookmarkEnd w:id="77"/>
    <w:bookmarkEnd w:id="78"/>
    <w:bookmarkEnd w:id="79"/>
    <w:p w14:paraId="2446A080">
      <w:pPr>
        <w:pStyle w:val="2"/>
        <w:rPr>
          <w:rFonts w:ascii="Times New Roman" w:hAnsi="Times New Roman"/>
          <w:color w:val="auto"/>
          <w:highlight w:val="none"/>
        </w:rPr>
      </w:pPr>
      <w:bookmarkStart w:id="80" w:name="_Toc150953074"/>
      <w:bookmarkStart w:id="81" w:name="_Toc9995"/>
      <w:bookmarkStart w:id="82" w:name="_Toc14113"/>
      <w:bookmarkStart w:id="83" w:name="_Toc177996834"/>
      <w:bookmarkStart w:id="84" w:name="_Toc89675170"/>
      <w:bookmarkStart w:id="85" w:name="_Toc303066034"/>
      <w:r>
        <w:rPr>
          <w:rFonts w:hint="eastAsia" w:ascii="Times New Roman" w:hAnsi="Times New Roman"/>
          <w:color w:val="auto"/>
          <w:highlight w:val="none"/>
        </w:rPr>
        <w:t>第五章 合同</w:t>
      </w:r>
      <w:r>
        <w:rPr>
          <w:rFonts w:ascii="Times New Roman" w:hAnsi="Times New Roman"/>
          <w:color w:val="auto"/>
          <w:highlight w:val="none"/>
        </w:rPr>
        <w:t>模板</w:t>
      </w:r>
      <w:bookmarkEnd w:id="80"/>
      <w:bookmarkEnd w:id="81"/>
      <w:bookmarkEnd w:id="82"/>
      <w:bookmarkEnd w:id="83"/>
    </w:p>
    <w:p w14:paraId="44881B87">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08323A75">
      <w:pPr>
        <w:spacing w:line="360" w:lineRule="auto"/>
        <w:ind w:right="-34" w:firstLine="0" w:firstLineChars="0"/>
        <w:jc w:val="right"/>
        <w:rPr>
          <w:rFonts w:ascii="宋体"/>
          <w:color w:val="auto"/>
          <w:sz w:val="28"/>
          <w:highlight w:val="none"/>
        </w:rPr>
      </w:pPr>
      <w:r>
        <w:rPr>
          <w:rFonts w:hint="eastAsia" w:ascii="宋体"/>
          <w:color w:val="auto"/>
          <w:sz w:val="28"/>
          <w:highlight w:val="none"/>
        </w:rPr>
        <w:t>编号：SXYH20240101018____</w:t>
      </w:r>
    </w:p>
    <w:p w14:paraId="09F9552D">
      <w:pPr>
        <w:spacing w:line="360" w:lineRule="auto"/>
        <w:ind w:firstLine="883"/>
        <w:jc w:val="center"/>
        <w:rPr>
          <w:rFonts w:ascii="宋体"/>
          <w:b/>
          <w:color w:val="auto"/>
          <w:sz w:val="44"/>
          <w:highlight w:val="none"/>
        </w:rPr>
      </w:pPr>
    </w:p>
    <w:p w14:paraId="3D455B71">
      <w:pPr>
        <w:spacing w:line="360" w:lineRule="auto"/>
        <w:ind w:firstLine="0" w:firstLineChars="0"/>
        <w:jc w:val="center"/>
        <w:rPr>
          <w:rFonts w:ascii="宋体"/>
          <w:b/>
          <w:color w:val="auto"/>
          <w:sz w:val="44"/>
          <w:highlight w:val="none"/>
        </w:rPr>
      </w:pPr>
    </w:p>
    <w:p w14:paraId="28D1CB74">
      <w:pPr>
        <w:spacing w:line="360" w:lineRule="auto"/>
        <w:ind w:firstLine="0" w:firstLineChars="0"/>
        <w:jc w:val="center"/>
        <w:rPr>
          <w:rFonts w:ascii="宋体"/>
          <w:b/>
          <w:color w:val="auto"/>
          <w:sz w:val="44"/>
          <w:highlight w:val="none"/>
        </w:rPr>
      </w:pPr>
    </w:p>
    <w:p w14:paraId="1376ECF9">
      <w:pPr>
        <w:spacing w:line="360" w:lineRule="auto"/>
        <w:ind w:firstLine="0" w:firstLineChars="0"/>
        <w:jc w:val="center"/>
        <w:rPr>
          <w:rFonts w:ascii="宋体"/>
          <w:b/>
          <w:color w:val="auto"/>
          <w:sz w:val="44"/>
          <w:highlight w:val="none"/>
        </w:rPr>
      </w:pPr>
    </w:p>
    <w:p w14:paraId="6833A604">
      <w:pPr>
        <w:spacing w:line="360" w:lineRule="auto"/>
        <w:ind w:firstLine="0" w:firstLineChars="0"/>
        <w:jc w:val="center"/>
        <w:rPr>
          <w:rFonts w:ascii="宋体"/>
          <w:b/>
          <w:color w:val="auto"/>
          <w:sz w:val="44"/>
          <w:highlight w:val="none"/>
        </w:rPr>
      </w:pPr>
      <w:r>
        <w:rPr>
          <w:rFonts w:hint="eastAsia" w:ascii="宋体"/>
          <w:b/>
          <w:color w:val="auto"/>
          <w:sz w:val="44"/>
          <w:highlight w:val="none"/>
        </w:rPr>
        <w:t xml:space="preserve">  重庆三峡银行股份有限公司</w:t>
      </w:r>
    </w:p>
    <w:p w14:paraId="2074D30D">
      <w:pPr>
        <w:spacing w:line="360" w:lineRule="auto"/>
        <w:ind w:firstLine="0" w:firstLineChars="0"/>
        <w:jc w:val="center"/>
        <w:rPr>
          <w:rFonts w:ascii="宋体"/>
          <w:b/>
          <w:color w:val="auto"/>
          <w:sz w:val="44"/>
          <w:highlight w:val="none"/>
        </w:rPr>
      </w:pPr>
    </w:p>
    <w:p w14:paraId="3CD16D45">
      <w:pPr>
        <w:spacing w:line="360" w:lineRule="auto"/>
        <w:ind w:firstLine="0" w:firstLineChars="0"/>
        <w:jc w:val="center"/>
        <w:rPr>
          <w:rFonts w:ascii="宋体"/>
          <w:b/>
          <w:color w:val="auto"/>
          <w:sz w:val="44"/>
          <w:highlight w:val="none"/>
        </w:rPr>
      </w:pPr>
      <w:r>
        <w:rPr>
          <w:rFonts w:hint="eastAsia" w:ascii="宋体"/>
          <w:b/>
          <w:color w:val="auto"/>
          <w:sz w:val="44"/>
          <w:highlight w:val="none"/>
        </w:rPr>
        <w:t>与</w:t>
      </w:r>
    </w:p>
    <w:p w14:paraId="4959B7D9">
      <w:pPr>
        <w:spacing w:line="360" w:lineRule="auto"/>
        <w:ind w:firstLine="0" w:firstLineChars="0"/>
        <w:jc w:val="center"/>
        <w:rPr>
          <w:rFonts w:ascii="宋体"/>
          <w:b/>
          <w:color w:val="auto"/>
          <w:sz w:val="44"/>
          <w:highlight w:val="none"/>
        </w:rPr>
      </w:pPr>
    </w:p>
    <w:p w14:paraId="11EEDA20">
      <w:pPr>
        <w:spacing w:line="360" w:lineRule="auto"/>
        <w:ind w:firstLine="0" w:firstLineChars="0"/>
        <w:jc w:val="center"/>
        <w:rPr>
          <w:rFonts w:ascii="宋体"/>
          <w:b/>
          <w:color w:val="auto"/>
          <w:sz w:val="44"/>
          <w:highlight w:val="none"/>
        </w:rPr>
      </w:pPr>
      <w:r>
        <w:rPr>
          <w:rFonts w:hint="eastAsia" w:ascii="宋体"/>
          <w:b/>
          <w:color w:val="auto"/>
          <w:sz w:val="44"/>
          <w:highlight w:val="none"/>
        </w:rPr>
        <w:t xml:space="preserve">  xxxxx公司</w:t>
      </w:r>
    </w:p>
    <w:p w14:paraId="1332AC62">
      <w:pPr>
        <w:spacing w:line="360" w:lineRule="auto"/>
        <w:ind w:firstLine="0" w:firstLineChars="0"/>
        <w:jc w:val="center"/>
        <w:rPr>
          <w:rFonts w:ascii="宋体"/>
          <w:color w:val="auto"/>
          <w:sz w:val="32"/>
          <w:szCs w:val="32"/>
          <w:highlight w:val="none"/>
        </w:rPr>
      </w:pPr>
    </w:p>
    <w:p w14:paraId="1A0BEC44">
      <w:pPr>
        <w:spacing w:line="360" w:lineRule="auto"/>
        <w:ind w:firstLine="0" w:firstLineChars="0"/>
        <w:jc w:val="center"/>
        <w:rPr>
          <w:rFonts w:ascii="宋体"/>
          <w:color w:val="auto"/>
          <w:sz w:val="32"/>
          <w:szCs w:val="32"/>
          <w:highlight w:val="none"/>
        </w:rPr>
      </w:pPr>
    </w:p>
    <w:p w14:paraId="5673BD2D">
      <w:pPr>
        <w:spacing w:line="360" w:lineRule="auto"/>
        <w:ind w:firstLine="0" w:firstLineChars="0"/>
        <w:jc w:val="center"/>
        <w:rPr>
          <w:rFonts w:ascii="宋体"/>
          <w:color w:val="auto"/>
          <w:sz w:val="32"/>
          <w:szCs w:val="32"/>
          <w:highlight w:val="none"/>
        </w:rPr>
      </w:pPr>
      <w:r>
        <w:rPr>
          <w:rFonts w:hint="eastAsia" w:ascii="宋体"/>
          <w:color w:val="auto"/>
          <w:sz w:val="32"/>
          <w:szCs w:val="32"/>
          <w:highlight w:val="none"/>
        </w:rPr>
        <w:t>（西永数据中心视频监控系统扩容改造项目）</w:t>
      </w:r>
    </w:p>
    <w:p w14:paraId="312D4456">
      <w:pPr>
        <w:spacing w:line="360" w:lineRule="auto"/>
        <w:ind w:firstLine="0" w:firstLineChars="0"/>
        <w:jc w:val="center"/>
        <w:rPr>
          <w:rFonts w:ascii="宋体"/>
          <w:color w:val="auto"/>
          <w:sz w:val="36"/>
          <w:highlight w:val="none"/>
        </w:rPr>
      </w:pPr>
    </w:p>
    <w:p w14:paraId="30A35AAE">
      <w:pPr>
        <w:spacing w:line="360" w:lineRule="auto"/>
        <w:ind w:firstLine="0" w:firstLineChars="0"/>
        <w:jc w:val="center"/>
        <w:rPr>
          <w:rFonts w:ascii="宋体"/>
          <w:b/>
          <w:color w:val="auto"/>
          <w:sz w:val="48"/>
          <w:highlight w:val="none"/>
        </w:rPr>
      </w:pPr>
      <w:r>
        <w:rPr>
          <w:rFonts w:hint="eastAsia" w:ascii="宋体"/>
          <w:b/>
          <w:color w:val="auto"/>
          <w:sz w:val="48"/>
          <w:highlight w:val="none"/>
        </w:rPr>
        <w:t>购 销 合 同</w:t>
      </w:r>
    </w:p>
    <w:p w14:paraId="10609166">
      <w:pPr>
        <w:spacing w:line="360" w:lineRule="auto"/>
        <w:ind w:firstLine="0" w:firstLineChars="0"/>
        <w:rPr>
          <w:rFonts w:ascii="宋体"/>
          <w:b/>
          <w:color w:val="auto"/>
          <w:sz w:val="18"/>
          <w:highlight w:val="none"/>
        </w:rPr>
      </w:pPr>
    </w:p>
    <w:p w14:paraId="63B6A495">
      <w:pPr>
        <w:spacing w:line="360" w:lineRule="auto"/>
        <w:ind w:firstLine="0" w:firstLineChars="0"/>
        <w:rPr>
          <w:rFonts w:ascii="宋体"/>
          <w:b/>
          <w:color w:val="auto"/>
          <w:sz w:val="18"/>
          <w:highlight w:val="none"/>
        </w:rPr>
      </w:pPr>
    </w:p>
    <w:p w14:paraId="70D4E09C">
      <w:pPr>
        <w:spacing w:line="360" w:lineRule="auto"/>
        <w:ind w:firstLine="0" w:firstLineChars="0"/>
        <w:rPr>
          <w:rFonts w:ascii="宋体"/>
          <w:b/>
          <w:color w:val="auto"/>
          <w:sz w:val="18"/>
          <w:highlight w:val="none"/>
        </w:rPr>
      </w:pPr>
    </w:p>
    <w:p w14:paraId="31B9C3DF">
      <w:pPr>
        <w:tabs>
          <w:tab w:val="left" w:pos="1843"/>
        </w:tabs>
        <w:spacing w:line="360" w:lineRule="auto"/>
        <w:ind w:firstLine="0" w:firstLineChars="0"/>
        <w:rPr>
          <w:rFonts w:ascii="宋体"/>
          <w:b/>
          <w:color w:val="auto"/>
          <w:sz w:val="18"/>
          <w:highlight w:val="none"/>
        </w:rPr>
      </w:pPr>
    </w:p>
    <w:p w14:paraId="0E02DC8A">
      <w:pPr>
        <w:spacing w:line="360" w:lineRule="auto"/>
        <w:ind w:firstLine="0" w:firstLineChars="0"/>
        <w:jc w:val="center"/>
        <w:rPr>
          <w:rFonts w:ascii="宋体"/>
          <w:b/>
          <w:color w:val="auto"/>
          <w:sz w:val="28"/>
          <w:szCs w:val="28"/>
          <w:highlight w:val="none"/>
        </w:rPr>
      </w:pPr>
      <w:r>
        <w:rPr>
          <w:rFonts w:hint="eastAsia" w:ascii="宋体"/>
          <w:b/>
          <w:color w:val="auto"/>
          <w:sz w:val="28"/>
          <w:szCs w:val="28"/>
          <w:highlight w:val="none"/>
        </w:rPr>
        <w:t>签订地点：重庆</w:t>
      </w:r>
    </w:p>
    <w:p w14:paraId="1ED35002">
      <w:pPr>
        <w:spacing w:line="360" w:lineRule="auto"/>
        <w:ind w:firstLine="482"/>
        <w:rPr>
          <w:rFonts w:ascii="宋体"/>
          <w:b/>
          <w:bCs/>
          <w:color w:val="auto"/>
          <w:highlight w:val="none"/>
        </w:rPr>
      </w:pPr>
      <w:r>
        <w:rPr>
          <w:rFonts w:ascii="宋体"/>
          <w:b/>
          <w:color w:val="auto"/>
          <w:highlight w:val="none"/>
        </w:rPr>
        <w:br w:type="page"/>
      </w:r>
      <w:bookmarkStart w:id="86" w:name="_Toc177981559"/>
      <w:r>
        <w:rPr>
          <w:rFonts w:hint="eastAsia" w:ascii="宋体"/>
          <w:b/>
          <w:bCs/>
          <w:color w:val="auto"/>
          <w:highlight w:val="none"/>
        </w:rPr>
        <w:t>甲    方：重庆三峡银行股份有限公司</w:t>
      </w:r>
      <w:bookmarkEnd w:id="86"/>
    </w:p>
    <w:p w14:paraId="2BB12735">
      <w:pPr>
        <w:spacing w:line="360" w:lineRule="auto"/>
        <w:ind w:firstLine="480"/>
        <w:rPr>
          <w:rFonts w:ascii="宋体"/>
          <w:b/>
          <w:color w:val="auto"/>
          <w:highlight w:val="none"/>
        </w:rPr>
      </w:pPr>
      <w:r>
        <w:rPr>
          <w:rFonts w:hint="eastAsia" w:ascii="宋体"/>
          <w:color w:val="auto"/>
          <w:highlight w:val="none"/>
        </w:rPr>
        <w:t>地    址：</w:t>
      </w:r>
      <w:r>
        <w:rPr>
          <w:rFonts w:ascii="宋体"/>
          <w:color w:val="auto"/>
          <w:highlight w:val="none"/>
        </w:rPr>
        <w:t>重庆市渝北区嘉州路88号中渝国际都会4号写字楼</w:t>
      </w:r>
    </w:p>
    <w:p w14:paraId="4639E4DC">
      <w:pPr>
        <w:spacing w:line="360" w:lineRule="auto"/>
        <w:ind w:firstLine="480"/>
        <w:rPr>
          <w:rFonts w:ascii="宋体"/>
          <w:color w:val="auto"/>
          <w:highlight w:val="none"/>
        </w:rPr>
      </w:pPr>
      <w:r>
        <w:rPr>
          <w:rFonts w:hint="eastAsia" w:ascii="宋体"/>
          <w:color w:val="auto"/>
          <w:highlight w:val="none"/>
        </w:rPr>
        <w:t>法定代表人：刘江桥</w:t>
      </w:r>
    </w:p>
    <w:p w14:paraId="360DA623">
      <w:pPr>
        <w:spacing w:line="360" w:lineRule="auto"/>
        <w:ind w:firstLine="480"/>
        <w:rPr>
          <w:rFonts w:ascii="宋体"/>
          <w:bCs/>
          <w:color w:val="auto"/>
          <w:highlight w:val="none"/>
        </w:rPr>
      </w:pPr>
      <w:r>
        <w:rPr>
          <w:rFonts w:hint="eastAsia" w:ascii="宋体"/>
          <w:color w:val="auto"/>
          <w:highlight w:val="none"/>
        </w:rPr>
        <w:t>邮政编码：</w:t>
      </w:r>
    </w:p>
    <w:p w14:paraId="44AB5ADD">
      <w:pPr>
        <w:spacing w:line="360" w:lineRule="auto"/>
        <w:ind w:firstLine="480"/>
        <w:rPr>
          <w:rFonts w:ascii="宋体"/>
          <w:color w:val="auto"/>
          <w:highlight w:val="none"/>
        </w:rPr>
      </w:pPr>
      <w:r>
        <w:rPr>
          <w:rFonts w:hint="eastAsia" w:ascii="宋体"/>
          <w:color w:val="auto"/>
          <w:highlight w:val="none"/>
        </w:rPr>
        <w:t>联系人：</w:t>
      </w:r>
    </w:p>
    <w:p w14:paraId="7CC9BB6E">
      <w:pPr>
        <w:spacing w:line="360" w:lineRule="auto"/>
        <w:ind w:firstLine="480"/>
        <w:rPr>
          <w:rFonts w:ascii="宋体"/>
          <w:color w:val="auto"/>
          <w:highlight w:val="none"/>
        </w:rPr>
      </w:pPr>
      <w:r>
        <w:rPr>
          <w:rFonts w:hint="eastAsia" w:ascii="宋体"/>
          <w:color w:val="auto"/>
          <w:highlight w:val="none"/>
        </w:rPr>
        <w:t>联系电话：</w:t>
      </w:r>
    </w:p>
    <w:p w14:paraId="6228616C">
      <w:pPr>
        <w:spacing w:line="360" w:lineRule="auto"/>
        <w:ind w:firstLine="480"/>
        <w:rPr>
          <w:rFonts w:ascii="宋体"/>
          <w:color w:val="auto"/>
          <w:highlight w:val="none"/>
        </w:rPr>
      </w:pPr>
      <w:r>
        <w:rPr>
          <w:rFonts w:hint="eastAsia" w:ascii="宋体"/>
          <w:color w:val="auto"/>
          <w:highlight w:val="none"/>
        </w:rPr>
        <w:t>传真号码：</w:t>
      </w:r>
    </w:p>
    <w:p w14:paraId="422E4CD1">
      <w:pPr>
        <w:spacing w:line="360" w:lineRule="auto"/>
        <w:ind w:firstLine="480"/>
        <w:rPr>
          <w:rFonts w:ascii="宋体"/>
          <w:bCs/>
          <w:color w:val="auto"/>
          <w:highlight w:val="none"/>
        </w:rPr>
      </w:pPr>
      <w:r>
        <w:rPr>
          <w:rFonts w:hint="eastAsia" w:ascii="宋体"/>
          <w:bCs/>
          <w:color w:val="auto"/>
          <w:highlight w:val="none"/>
        </w:rPr>
        <w:t>电子邮箱：</w:t>
      </w:r>
    </w:p>
    <w:p w14:paraId="0545CCF0">
      <w:pPr>
        <w:spacing w:line="360" w:lineRule="auto"/>
        <w:ind w:firstLine="482"/>
        <w:rPr>
          <w:rFonts w:ascii="宋体"/>
          <w:b/>
          <w:color w:val="auto"/>
          <w:highlight w:val="none"/>
        </w:rPr>
      </w:pPr>
    </w:p>
    <w:p w14:paraId="61D3D2F3">
      <w:pPr>
        <w:spacing w:line="360" w:lineRule="auto"/>
        <w:ind w:firstLine="482"/>
        <w:rPr>
          <w:rFonts w:ascii="宋体"/>
          <w:b/>
          <w:color w:val="auto"/>
          <w:highlight w:val="none"/>
        </w:rPr>
      </w:pPr>
      <w:bookmarkStart w:id="87" w:name="_Toc177981560"/>
      <w:r>
        <w:rPr>
          <w:rFonts w:hint="eastAsia" w:ascii="宋体"/>
          <w:b/>
          <w:bCs/>
          <w:color w:val="auto"/>
          <w:highlight w:val="none"/>
        </w:rPr>
        <w:t>乙    方：xxxxx公司</w:t>
      </w:r>
      <w:bookmarkEnd w:id="87"/>
    </w:p>
    <w:p w14:paraId="1650A439">
      <w:pPr>
        <w:spacing w:line="360" w:lineRule="auto"/>
        <w:ind w:firstLine="480"/>
        <w:rPr>
          <w:rFonts w:ascii="宋体"/>
          <w:bCs/>
          <w:color w:val="auto"/>
          <w:highlight w:val="none"/>
        </w:rPr>
      </w:pPr>
      <w:r>
        <w:rPr>
          <w:rFonts w:hint="eastAsia" w:ascii="宋体"/>
          <w:bCs/>
          <w:color w:val="auto"/>
          <w:highlight w:val="none"/>
        </w:rPr>
        <w:t>地    址：</w:t>
      </w:r>
    </w:p>
    <w:p w14:paraId="2EB8E06C">
      <w:pPr>
        <w:spacing w:line="360" w:lineRule="auto"/>
        <w:ind w:firstLine="480"/>
        <w:rPr>
          <w:rFonts w:ascii="宋体"/>
          <w:bCs/>
          <w:color w:val="auto"/>
          <w:highlight w:val="none"/>
        </w:rPr>
      </w:pPr>
      <w:r>
        <w:rPr>
          <w:rFonts w:hint="eastAsia" w:ascii="宋体"/>
          <w:bCs/>
          <w:color w:val="auto"/>
          <w:highlight w:val="none"/>
        </w:rPr>
        <w:t xml:space="preserve">法人代表： </w:t>
      </w:r>
    </w:p>
    <w:p w14:paraId="05864E2E">
      <w:pPr>
        <w:spacing w:line="360" w:lineRule="auto"/>
        <w:ind w:firstLine="480"/>
        <w:rPr>
          <w:rFonts w:ascii="宋体"/>
          <w:bCs/>
          <w:color w:val="auto"/>
          <w:highlight w:val="none"/>
        </w:rPr>
      </w:pPr>
      <w:r>
        <w:rPr>
          <w:rFonts w:hint="eastAsia" w:ascii="宋体"/>
          <w:bCs/>
          <w:color w:val="auto"/>
          <w:highlight w:val="none"/>
        </w:rPr>
        <w:t>邮政编码：</w:t>
      </w:r>
    </w:p>
    <w:p w14:paraId="0C71DE01">
      <w:pPr>
        <w:spacing w:line="360" w:lineRule="auto"/>
        <w:ind w:firstLine="480"/>
        <w:rPr>
          <w:rFonts w:ascii="宋体"/>
          <w:bCs/>
          <w:color w:val="auto"/>
          <w:highlight w:val="none"/>
        </w:rPr>
      </w:pPr>
      <w:r>
        <w:rPr>
          <w:rFonts w:hint="eastAsia" w:ascii="宋体"/>
          <w:bCs/>
          <w:color w:val="auto"/>
          <w:highlight w:val="none"/>
        </w:rPr>
        <w:t>联系人：</w:t>
      </w:r>
    </w:p>
    <w:p w14:paraId="075E950C">
      <w:pPr>
        <w:spacing w:line="360" w:lineRule="auto"/>
        <w:ind w:firstLine="480"/>
        <w:rPr>
          <w:rFonts w:ascii="宋体"/>
          <w:bCs/>
          <w:color w:val="auto"/>
          <w:highlight w:val="none"/>
        </w:rPr>
      </w:pPr>
      <w:r>
        <w:rPr>
          <w:rFonts w:hint="eastAsia" w:ascii="宋体"/>
          <w:bCs/>
          <w:color w:val="auto"/>
          <w:highlight w:val="none"/>
        </w:rPr>
        <w:t>联系电话：</w:t>
      </w:r>
    </w:p>
    <w:p w14:paraId="5288A82D">
      <w:pPr>
        <w:spacing w:line="360" w:lineRule="auto"/>
        <w:ind w:firstLine="480"/>
        <w:rPr>
          <w:rFonts w:ascii="宋体"/>
          <w:bCs/>
          <w:color w:val="auto"/>
          <w:highlight w:val="none"/>
        </w:rPr>
      </w:pPr>
      <w:r>
        <w:rPr>
          <w:rFonts w:hint="eastAsia" w:ascii="宋体"/>
          <w:bCs/>
          <w:color w:val="auto"/>
          <w:highlight w:val="none"/>
        </w:rPr>
        <w:t>传真号码：</w:t>
      </w:r>
    </w:p>
    <w:p w14:paraId="5FA8B6BD">
      <w:pPr>
        <w:spacing w:line="360" w:lineRule="auto"/>
        <w:ind w:firstLine="480"/>
        <w:rPr>
          <w:rFonts w:ascii="宋体"/>
          <w:bCs/>
          <w:color w:val="auto"/>
          <w:highlight w:val="none"/>
        </w:rPr>
      </w:pPr>
      <w:r>
        <w:rPr>
          <w:rFonts w:hint="eastAsia" w:ascii="宋体"/>
          <w:bCs/>
          <w:color w:val="auto"/>
          <w:highlight w:val="none"/>
        </w:rPr>
        <w:t>电子邮箱：</w:t>
      </w:r>
    </w:p>
    <w:p w14:paraId="66775C2E">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第一条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本合同事宜</w:t>
      </w:r>
    </w:p>
    <w:p w14:paraId="0C1843A8">
      <w:pPr>
        <w:spacing w:before="240" w:line="360" w:lineRule="auto"/>
        <w:ind w:firstLine="411" w:firstLineChars="196"/>
        <w:rPr>
          <w:rFonts w:ascii="宋体"/>
          <w:color w:val="auto"/>
          <w:highlight w:val="none"/>
        </w:rPr>
      </w:pPr>
      <w:r>
        <w:rPr>
          <w:rFonts w:hint="eastAsia"/>
          <w:color w:val="auto"/>
          <w:highlight w:val="none"/>
        </w:rPr>
        <w:t>甲乙双方经友好协商并达成一致，依据相关法律、法规的规定，</w:t>
      </w:r>
      <w:r>
        <w:rPr>
          <w:rFonts w:hint="eastAsia" w:ascii="宋体"/>
          <w:color w:val="auto"/>
          <w:highlight w:val="none"/>
        </w:rPr>
        <w:t>就甲方西永数据中心视频监控系统扩容改造项目的事宜</w:t>
      </w:r>
      <w:r>
        <w:rPr>
          <w:rFonts w:hint="eastAsia"/>
          <w:color w:val="auto"/>
          <w:highlight w:val="none"/>
        </w:rPr>
        <w:t>订立本合同，</w:t>
      </w:r>
      <w:r>
        <w:rPr>
          <w:rFonts w:hint="eastAsia" w:ascii="宋体"/>
          <w:color w:val="auto"/>
          <w:highlight w:val="none"/>
        </w:rPr>
        <w:t>以资信守：</w:t>
      </w:r>
    </w:p>
    <w:p w14:paraId="19E82993">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第二条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本合同产品及金额</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36A7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vAlign w:val="center"/>
          </w:tcPr>
          <w:p w14:paraId="7A8F9FF3">
            <w:pPr>
              <w:spacing w:line="240" w:lineRule="auto"/>
              <w:ind w:firstLine="482"/>
              <w:jc w:val="left"/>
              <w:rPr>
                <w:b/>
                <w:color w:val="auto"/>
                <w:highlight w:val="none"/>
              </w:rPr>
            </w:pPr>
            <w:bookmarkStart w:id="88" w:name="_Hlk176531901"/>
            <w:r>
              <w:rPr>
                <w:rFonts w:hint="eastAsia"/>
                <w:b/>
                <w:color w:val="auto"/>
                <w:highlight w:val="none"/>
              </w:rPr>
              <w:t>产品名称</w:t>
            </w:r>
          </w:p>
        </w:tc>
        <w:tc>
          <w:tcPr>
            <w:tcW w:w="2268" w:type="dxa"/>
            <w:vAlign w:val="center"/>
          </w:tcPr>
          <w:p w14:paraId="72F82C47">
            <w:pPr>
              <w:spacing w:line="240" w:lineRule="auto"/>
              <w:ind w:left="252" w:firstLine="0" w:firstLineChars="0"/>
              <w:jc w:val="left"/>
              <w:rPr>
                <w:b/>
                <w:color w:val="auto"/>
                <w:highlight w:val="none"/>
              </w:rPr>
            </w:pPr>
            <w:r>
              <w:rPr>
                <w:rFonts w:hint="eastAsia"/>
                <w:b/>
                <w:color w:val="auto"/>
                <w:highlight w:val="none"/>
              </w:rPr>
              <w:t>产品型号及规格</w:t>
            </w:r>
          </w:p>
        </w:tc>
        <w:tc>
          <w:tcPr>
            <w:tcW w:w="1134" w:type="dxa"/>
            <w:vAlign w:val="center"/>
          </w:tcPr>
          <w:p w14:paraId="35C79B80">
            <w:pPr>
              <w:spacing w:line="240" w:lineRule="auto"/>
              <w:ind w:firstLine="0" w:firstLineChars="0"/>
              <w:jc w:val="left"/>
              <w:rPr>
                <w:b/>
                <w:color w:val="auto"/>
                <w:highlight w:val="none"/>
              </w:rPr>
            </w:pPr>
            <w:r>
              <w:rPr>
                <w:rFonts w:hint="eastAsia"/>
                <w:b/>
                <w:color w:val="auto"/>
                <w:highlight w:val="none"/>
              </w:rPr>
              <w:t>单价（元）</w:t>
            </w:r>
          </w:p>
        </w:tc>
        <w:tc>
          <w:tcPr>
            <w:tcW w:w="1276" w:type="dxa"/>
            <w:vAlign w:val="center"/>
          </w:tcPr>
          <w:p w14:paraId="45A55325">
            <w:pPr>
              <w:spacing w:line="240" w:lineRule="auto"/>
              <w:ind w:firstLine="0" w:firstLineChars="0"/>
              <w:jc w:val="left"/>
              <w:rPr>
                <w:b/>
                <w:color w:val="auto"/>
                <w:highlight w:val="none"/>
              </w:rPr>
            </w:pPr>
            <w:r>
              <w:rPr>
                <w:rFonts w:hint="eastAsia"/>
                <w:b/>
                <w:color w:val="auto"/>
                <w:highlight w:val="none"/>
              </w:rPr>
              <w:t>数量</w:t>
            </w:r>
          </w:p>
        </w:tc>
        <w:tc>
          <w:tcPr>
            <w:tcW w:w="1276" w:type="dxa"/>
            <w:vAlign w:val="center"/>
          </w:tcPr>
          <w:p w14:paraId="72737D84">
            <w:pPr>
              <w:spacing w:line="240" w:lineRule="auto"/>
              <w:ind w:firstLine="0" w:firstLineChars="0"/>
              <w:jc w:val="left"/>
              <w:rPr>
                <w:b/>
                <w:color w:val="auto"/>
                <w:highlight w:val="none"/>
              </w:rPr>
            </w:pPr>
            <w:r>
              <w:rPr>
                <w:rFonts w:hint="eastAsia"/>
                <w:b/>
                <w:color w:val="auto"/>
                <w:highlight w:val="none"/>
              </w:rPr>
              <w:t>税率</w:t>
            </w:r>
          </w:p>
        </w:tc>
        <w:tc>
          <w:tcPr>
            <w:tcW w:w="1276" w:type="dxa"/>
            <w:vAlign w:val="center"/>
          </w:tcPr>
          <w:p w14:paraId="53A3314E">
            <w:pPr>
              <w:spacing w:line="240" w:lineRule="auto"/>
              <w:ind w:firstLine="0" w:firstLineChars="0"/>
              <w:jc w:val="left"/>
              <w:rPr>
                <w:b/>
                <w:color w:val="auto"/>
                <w:highlight w:val="none"/>
              </w:rPr>
            </w:pPr>
            <w:r>
              <w:rPr>
                <w:rFonts w:hint="eastAsia"/>
                <w:b/>
                <w:color w:val="auto"/>
                <w:highlight w:val="none"/>
              </w:rPr>
              <w:t>总金额含税（元）</w:t>
            </w:r>
          </w:p>
        </w:tc>
      </w:tr>
      <w:tr w14:paraId="23D7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DA860EE">
            <w:pPr>
              <w:spacing w:line="360" w:lineRule="auto"/>
              <w:ind w:firstLine="0" w:firstLineChars="0"/>
              <w:rPr>
                <w:color w:val="auto"/>
                <w:highlight w:val="none"/>
              </w:rPr>
            </w:pPr>
            <w:r>
              <w:rPr>
                <w:rFonts w:hint="eastAsia"/>
                <w:color w:val="auto"/>
                <w:highlight w:val="none"/>
              </w:rPr>
              <w:t>磁盘阵列</w:t>
            </w:r>
          </w:p>
        </w:tc>
        <w:tc>
          <w:tcPr>
            <w:tcW w:w="2268" w:type="dxa"/>
            <w:vAlign w:val="center"/>
          </w:tcPr>
          <w:p w14:paraId="4F9B7BAD">
            <w:pPr>
              <w:spacing w:line="360" w:lineRule="auto"/>
              <w:ind w:left="207" w:firstLine="480"/>
              <w:jc w:val="left"/>
              <w:rPr>
                <w:rFonts w:ascii="宋体"/>
                <w:color w:val="auto"/>
                <w:highlight w:val="none"/>
              </w:rPr>
            </w:pPr>
          </w:p>
        </w:tc>
        <w:tc>
          <w:tcPr>
            <w:tcW w:w="1134" w:type="dxa"/>
            <w:vAlign w:val="center"/>
          </w:tcPr>
          <w:p w14:paraId="1AE4874C">
            <w:pPr>
              <w:spacing w:line="360" w:lineRule="auto"/>
              <w:ind w:firstLine="480"/>
              <w:jc w:val="center"/>
              <w:rPr>
                <w:rFonts w:ascii="宋体"/>
                <w:color w:val="auto"/>
                <w:highlight w:val="none"/>
              </w:rPr>
            </w:pPr>
          </w:p>
        </w:tc>
        <w:tc>
          <w:tcPr>
            <w:tcW w:w="1276" w:type="dxa"/>
            <w:vAlign w:val="center"/>
          </w:tcPr>
          <w:p w14:paraId="4C273438">
            <w:pPr>
              <w:spacing w:line="360" w:lineRule="auto"/>
              <w:ind w:firstLine="480"/>
              <w:jc w:val="center"/>
              <w:rPr>
                <w:rFonts w:ascii="宋体"/>
                <w:color w:val="auto"/>
                <w:highlight w:val="none"/>
              </w:rPr>
            </w:pPr>
          </w:p>
        </w:tc>
        <w:tc>
          <w:tcPr>
            <w:tcW w:w="1276" w:type="dxa"/>
          </w:tcPr>
          <w:p w14:paraId="170B185F">
            <w:pPr>
              <w:spacing w:line="360" w:lineRule="auto"/>
              <w:ind w:firstLine="480"/>
              <w:jc w:val="center"/>
              <w:rPr>
                <w:rFonts w:ascii="宋体"/>
                <w:color w:val="auto"/>
                <w:highlight w:val="none"/>
              </w:rPr>
            </w:pPr>
          </w:p>
        </w:tc>
        <w:tc>
          <w:tcPr>
            <w:tcW w:w="1276" w:type="dxa"/>
            <w:vAlign w:val="center"/>
          </w:tcPr>
          <w:p w14:paraId="1FB2A7B1">
            <w:pPr>
              <w:spacing w:line="360" w:lineRule="auto"/>
              <w:ind w:firstLine="480"/>
              <w:jc w:val="center"/>
              <w:rPr>
                <w:rFonts w:ascii="宋体"/>
                <w:color w:val="auto"/>
                <w:highlight w:val="none"/>
              </w:rPr>
            </w:pPr>
          </w:p>
        </w:tc>
      </w:tr>
      <w:tr w14:paraId="2032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2CC993F5">
            <w:pPr>
              <w:spacing w:line="360" w:lineRule="auto"/>
              <w:ind w:firstLine="0" w:firstLineChars="0"/>
              <w:rPr>
                <w:color w:val="auto"/>
                <w:highlight w:val="none"/>
              </w:rPr>
            </w:pPr>
            <w:r>
              <w:rPr>
                <w:rFonts w:hint="eastAsia"/>
                <w:color w:val="auto"/>
                <w:highlight w:val="none"/>
              </w:rPr>
              <w:t>硬盘录像机</w:t>
            </w:r>
          </w:p>
        </w:tc>
        <w:tc>
          <w:tcPr>
            <w:tcW w:w="2268" w:type="dxa"/>
            <w:vAlign w:val="center"/>
          </w:tcPr>
          <w:p w14:paraId="4C3DEABB">
            <w:pPr>
              <w:spacing w:line="360" w:lineRule="auto"/>
              <w:ind w:left="207" w:firstLine="480"/>
              <w:jc w:val="left"/>
              <w:rPr>
                <w:rFonts w:ascii="宋体"/>
                <w:color w:val="auto"/>
                <w:highlight w:val="none"/>
              </w:rPr>
            </w:pPr>
          </w:p>
        </w:tc>
        <w:tc>
          <w:tcPr>
            <w:tcW w:w="1134" w:type="dxa"/>
            <w:vAlign w:val="center"/>
          </w:tcPr>
          <w:p w14:paraId="7E62E1C5">
            <w:pPr>
              <w:spacing w:line="360" w:lineRule="auto"/>
              <w:ind w:firstLine="480"/>
              <w:jc w:val="center"/>
              <w:rPr>
                <w:rFonts w:ascii="宋体"/>
                <w:color w:val="auto"/>
                <w:highlight w:val="none"/>
              </w:rPr>
            </w:pPr>
          </w:p>
        </w:tc>
        <w:tc>
          <w:tcPr>
            <w:tcW w:w="1276" w:type="dxa"/>
            <w:vAlign w:val="center"/>
          </w:tcPr>
          <w:p w14:paraId="327C3A9A">
            <w:pPr>
              <w:spacing w:line="360" w:lineRule="auto"/>
              <w:ind w:firstLine="480"/>
              <w:jc w:val="center"/>
              <w:rPr>
                <w:rFonts w:ascii="宋体"/>
                <w:color w:val="auto"/>
                <w:highlight w:val="none"/>
              </w:rPr>
            </w:pPr>
          </w:p>
        </w:tc>
        <w:tc>
          <w:tcPr>
            <w:tcW w:w="1276" w:type="dxa"/>
          </w:tcPr>
          <w:p w14:paraId="62E0FF7C">
            <w:pPr>
              <w:spacing w:line="360" w:lineRule="auto"/>
              <w:ind w:firstLine="480"/>
              <w:jc w:val="center"/>
              <w:rPr>
                <w:rFonts w:ascii="宋体"/>
                <w:color w:val="auto"/>
                <w:highlight w:val="none"/>
              </w:rPr>
            </w:pPr>
          </w:p>
        </w:tc>
        <w:tc>
          <w:tcPr>
            <w:tcW w:w="1276" w:type="dxa"/>
            <w:vAlign w:val="center"/>
          </w:tcPr>
          <w:p w14:paraId="6CB61435">
            <w:pPr>
              <w:spacing w:line="360" w:lineRule="auto"/>
              <w:ind w:firstLine="480"/>
              <w:jc w:val="center"/>
              <w:rPr>
                <w:rFonts w:ascii="宋体"/>
                <w:color w:val="auto"/>
                <w:highlight w:val="none"/>
              </w:rPr>
            </w:pPr>
          </w:p>
        </w:tc>
      </w:tr>
      <w:tr w14:paraId="122F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3DE101CA">
            <w:pPr>
              <w:spacing w:line="360" w:lineRule="auto"/>
              <w:ind w:firstLine="0" w:firstLineChars="0"/>
              <w:rPr>
                <w:color w:val="auto"/>
                <w:highlight w:val="none"/>
              </w:rPr>
            </w:pPr>
            <w:r>
              <w:rPr>
                <w:rFonts w:hint="eastAsia"/>
                <w:color w:val="auto"/>
                <w:highlight w:val="none"/>
              </w:rPr>
              <w:t>监控硬盘</w:t>
            </w:r>
          </w:p>
        </w:tc>
        <w:tc>
          <w:tcPr>
            <w:tcW w:w="2268" w:type="dxa"/>
            <w:vAlign w:val="center"/>
          </w:tcPr>
          <w:p w14:paraId="7C0E8330">
            <w:pPr>
              <w:spacing w:line="360" w:lineRule="auto"/>
              <w:ind w:left="207" w:firstLine="480"/>
              <w:jc w:val="left"/>
              <w:rPr>
                <w:rFonts w:ascii="宋体"/>
                <w:color w:val="auto"/>
                <w:highlight w:val="none"/>
              </w:rPr>
            </w:pPr>
          </w:p>
        </w:tc>
        <w:tc>
          <w:tcPr>
            <w:tcW w:w="1134" w:type="dxa"/>
            <w:vAlign w:val="center"/>
          </w:tcPr>
          <w:p w14:paraId="53CBBC5A">
            <w:pPr>
              <w:spacing w:line="360" w:lineRule="auto"/>
              <w:ind w:firstLine="480"/>
              <w:jc w:val="center"/>
              <w:rPr>
                <w:rFonts w:ascii="宋体"/>
                <w:color w:val="auto"/>
                <w:highlight w:val="none"/>
              </w:rPr>
            </w:pPr>
          </w:p>
        </w:tc>
        <w:tc>
          <w:tcPr>
            <w:tcW w:w="1276" w:type="dxa"/>
            <w:vAlign w:val="center"/>
          </w:tcPr>
          <w:p w14:paraId="4A05A289">
            <w:pPr>
              <w:spacing w:line="360" w:lineRule="auto"/>
              <w:ind w:firstLine="480"/>
              <w:jc w:val="center"/>
              <w:rPr>
                <w:rFonts w:ascii="宋体"/>
                <w:color w:val="auto"/>
                <w:highlight w:val="none"/>
              </w:rPr>
            </w:pPr>
          </w:p>
        </w:tc>
        <w:tc>
          <w:tcPr>
            <w:tcW w:w="1276" w:type="dxa"/>
          </w:tcPr>
          <w:p w14:paraId="55393371">
            <w:pPr>
              <w:spacing w:line="360" w:lineRule="auto"/>
              <w:ind w:firstLine="480"/>
              <w:jc w:val="center"/>
              <w:rPr>
                <w:rFonts w:ascii="宋体"/>
                <w:color w:val="auto"/>
                <w:highlight w:val="none"/>
              </w:rPr>
            </w:pPr>
          </w:p>
        </w:tc>
        <w:tc>
          <w:tcPr>
            <w:tcW w:w="1276" w:type="dxa"/>
            <w:vAlign w:val="center"/>
          </w:tcPr>
          <w:p w14:paraId="0E774F72">
            <w:pPr>
              <w:spacing w:line="360" w:lineRule="auto"/>
              <w:ind w:firstLine="480"/>
              <w:jc w:val="center"/>
              <w:rPr>
                <w:rFonts w:ascii="宋体"/>
                <w:color w:val="auto"/>
                <w:highlight w:val="none"/>
              </w:rPr>
            </w:pPr>
          </w:p>
        </w:tc>
      </w:tr>
      <w:tr w14:paraId="179C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0F31F8C">
            <w:pPr>
              <w:spacing w:line="360" w:lineRule="auto"/>
              <w:ind w:firstLine="480"/>
              <w:jc w:val="center"/>
              <w:rPr>
                <w:color w:val="auto"/>
                <w:highlight w:val="none"/>
              </w:rPr>
            </w:pPr>
          </w:p>
        </w:tc>
        <w:tc>
          <w:tcPr>
            <w:tcW w:w="7230" w:type="dxa"/>
            <w:gridSpan w:val="5"/>
            <w:vAlign w:val="center"/>
          </w:tcPr>
          <w:p w14:paraId="4A0E09D6">
            <w:pPr>
              <w:spacing w:line="360" w:lineRule="auto"/>
              <w:ind w:firstLine="480"/>
              <w:rPr>
                <w:rFonts w:ascii="宋体"/>
                <w:color w:val="auto"/>
                <w:highlight w:val="none"/>
              </w:rPr>
            </w:pPr>
            <w:r>
              <w:rPr>
                <w:rFonts w:hint="eastAsia"/>
                <w:color w:val="auto"/>
                <w:highlight w:val="none"/>
              </w:rPr>
              <w:t>合计（含税）                大写（人民币）：</w:t>
            </w:r>
          </w:p>
        </w:tc>
      </w:tr>
      <w:bookmarkEnd w:id="88"/>
    </w:tbl>
    <w:p w14:paraId="5F0EC9A4">
      <w:pPr>
        <w:tabs>
          <w:tab w:val="left" w:pos="851"/>
        </w:tabs>
        <w:spacing w:line="360" w:lineRule="auto"/>
        <w:ind w:firstLine="480"/>
        <w:rPr>
          <w:rFonts w:ascii="宋体"/>
          <w:color w:val="auto"/>
          <w:highlight w:val="none"/>
        </w:rPr>
      </w:pPr>
      <w:r>
        <w:rPr>
          <w:rFonts w:hint="eastAsia" w:ascii="宋体"/>
          <w:color w:val="auto"/>
          <w:highlight w:val="none"/>
        </w:rPr>
        <w:t>其中不含税价为：       元（大写：         ），税额为：    元（大写：         ）；不含税价格不因国家税率变化而变化，若在合同履行期间，如遇国家的税率调整，则价税合计应相应调整，以开具发票的时间为准。</w:t>
      </w:r>
    </w:p>
    <w:p w14:paraId="555A9495">
      <w:pPr>
        <w:tabs>
          <w:tab w:val="left" w:pos="851"/>
        </w:tabs>
        <w:spacing w:line="360" w:lineRule="auto"/>
        <w:ind w:firstLine="480"/>
        <w:rPr>
          <w:rFonts w:ascii="宋体"/>
          <w:color w:val="auto"/>
          <w:highlight w:val="none"/>
        </w:rPr>
      </w:pPr>
      <w:r>
        <w:rPr>
          <w:rFonts w:hint="eastAsia" w:ascii="宋体"/>
          <w:color w:val="auto"/>
          <w:highlight w:val="none"/>
        </w:rPr>
        <w:t>上述合同金额包含3年乙方提供的质保，</w:t>
      </w:r>
      <w:r>
        <w:rPr>
          <w:rFonts w:hint="eastAsia" w:ascii="宋体" w:hAnsi="宋体"/>
          <w:color w:val="auto"/>
          <w:highlight w:val="none"/>
        </w:rPr>
        <w:t>质保期</w:t>
      </w:r>
      <w:r>
        <w:rPr>
          <w:rFonts w:ascii="宋体" w:hAnsi="宋体"/>
          <w:color w:val="auto"/>
          <w:highlight w:val="none"/>
        </w:rPr>
        <w:t>起始时间为验收后次日起，结束时间为</w:t>
      </w:r>
      <w:r>
        <w:rPr>
          <w:rFonts w:hint="eastAsia" w:ascii="宋体" w:hAnsi="宋体"/>
          <w:color w:val="auto"/>
          <w:highlight w:val="none"/>
        </w:rPr>
        <w:t>质保</w:t>
      </w:r>
      <w:r>
        <w:rPr>
          <w:rFonts w:ascii="宋体" w:hAnsi="宋体"/>
          <w:color w:val="auto"/>
          <w:highlight w:val="none"/>
        </w:rPr>
        <w:t>到期当年的6月30日或12月31日中较近日期</w:t>
      </w:r>
      <w:r>
        <w:rPr>
          <w:rFonts w:hint="eastAsia" w:ascii="宋体" w:hAnsi="宋体"/>
          <w:color w:val="auto"/>
          <w:highlight w:val="none"/>
        </w:rPr>
        <w:t>。</w:t>
      </w:r>
      <w:r>
        <w:rPr>
          <w:rFonts w:hint="eastAsia" w:ascii="宋体"/>
          <w:color w:val="auto"/>
          <w:highlight w:val="none"/>
        </w:rPr>
        <w:t>质保期内服务内容详见附件3。除此外甲方无需支付其他费用。</w:t>
      </w:r>
    </w:p>
    <w:p w14:paraId="0F030993">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第三条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付款方式</w:t>
      </w:r>
    </w:p>
    <w:p w14:paraId="02930008">
      <w:pPr>
        <w:tabs>
          <w:tab w:val="left" w:pos="851"/>
        </w:tabs>
        <w:spacing w:line="360" w:lineRule="auto"/>
        <w:ind w:firstLine="480"/>
        <w:rPr>
          <w:rFonts w:ascii="宋体"/>
          <w:color w:val="auto"/>
          <w:highlight w:val="none"/>
        </w:rPr>
      </w:pPr>
      <w:r>
        <w:rPr>
          <w:rFonts w:hint="eastAsia" w:ascii="宋体"/>
          <w:color w:val="auto"/>
          <w:highlight w:val="none"/>
        </w:rPr>
        <w:t>3.1</w:t>
      </w:r>
      <w:bookmarkStart w:id="89" w:name="_Hlk176858233"/>
      <w:r>
        <w:rPr>
          <w:rFonts w:hint="eastAsia" w:ascii="宋体"/>
          <w:color w:val="auto"/>
          <w:highlight w:val="none"/>
        </w:rPr>
        <w:t xml:space="preserve"> 项目验收合格后30个工作日内，乙方向甲方提供合法</w:t>
      </w:r>
      <w:r>
        <w:rPr>
          <w:rFonts w:hint="eastAsia" w:ascii="宋体" w:cs="宋体"/>
          <w:color w:val="auto"/>
          <w:szCs w:val="21"/>
          <w:highlight w:val="none"/>
        </w:rPr>
        <w:t>、</w:t>
      </w:r>
      <w:r>
        <w:rPr>
          <w:rFonts w:ascii="宋体" w:cs="宋体"/>
          <w:color w:val="auto"/>
          <w:szCs w:val="21"/>
          <w:highlight w:val="none"/>
        </w:rPr>
        <w:t>全额</w:t>
      </w:r>
      <w:r>
        <w:rPr>
          <w:rFonts w:hint="eastAsia" w:ascii="宋体" w:cs="宋体"/>
          <w:color w:val="auto"/>
          <w:szCs w:val="21"/>
          <w:highlight w:val="none"/>
        </w:rPr>
        <w:t>（本合同</w:t>
      </w:r>
      <w:r>
        <w:rPr>
          <w:rFonts w:ascii="宋体" w:cs="宋体"/>
          <w:color w:val="auto"/>
          <w:szCs w:val="21"/>
          <w:highlight w:val="none"/>
        </w:rPr>
        <w:t>全部款项</w:t>
      </w:r>
      <w:r>
        <w:rPr>
          <w:rFonts w:hint="eastAsia" w:ascii="宋体" w:cs="宋体"/>
          <w:color w:val="auto"/>
          <w:szCs w:val="21"/>
          <w:highlight w:val="none"/>
        </w:rPr>
        <w:t>）</w:t>
      </w:r>
      <w:r>
        <w:rPr>
          <w:rFonts w:hint="eastAsia" w:ascii="宋体"/>
          <w:color w:val="auto"/>
          <w:highlight w:val="none"/>
        </w:rPr>
        <w:t>的增值税专用发票，甲方支付合同总金额的90%，计</w:t>
      </w:r>
      <w:r>
        <w:rPr>
          <w:rFonts w:hint="eastAsia" w:ascii="宋体"/>
          <w:color w:val="auto"/>
          <w:highlight w:val="none"/>
          <w:u w:val="single"/>
        </w:rPr>
        <w:t xml:space="preserve">      </w:t>
      </w:r>
      <w:r>
        <w:rPr>
          <w:rFonts w:hint="eastAsia" w:ascii="宋体"/>
          <w:color w:val="auto"/>
          <w:highlight w:val="none"/>
        </w:rPr>
        <w:t>元（大写：       ）；质保期满后，经甲方评价乙方质保期内服务合格后30个工作日内甲方支付合同总金额的10%，计</w:t>
      </w:r>
      <w:r>
        <w:rPr>
          <w:rFonts w:hint="eastAsia" w:ascii="宋体"/>
          <w:color w:val="auto"/>
          <w:highlight w:val="none"/>
          <w:u w:val="single"/>
        </w:rPr>
        <w:t xml:space="preserve">      </w:t>
      </w:r>
      <w:r>
        <w:rPr>
          <w:rFonts w:hint="eastAsia" w:ascii="宋体"/>
          <w:color w:val="auto"/>
          <w:highlight w:val="none"/>
        </w:rPr>
        <w:t>元（大写：      ）。</w:t>
      </w:r>
      <w:bookmarkEnd w:id="89"/>
    </w:p>
    <w:p w14:paraId="5C74EC26">
      <w:pPr>
        <w:tabs>
          <w:tab w:val="left" w:pos="851"/>
        </w:tabs>
        <w:spacing w:line="360" w:lineRule="auto"/>
        <w:ind w:firstLine="480"/>
        <w:rPr>
          <w:rFonts w:ascii="宋体"/>
          <w:color w:val="auto"/>
          <w:highlight w:val="none"/>
        </w:rPr>
      </w:pPr>
      <w:r>
        <w:rPr>
          <w:rFonts w:hint="eastAsia" w:ascii="宋体"/>
          <w:color w:val="auto"/>
          <w:highlight w:val="none"/>
        </w:rPr>
        <w:t>3.2 到本合同甲方所指定的交货地点并</w:t>
      </w:r>
      <w:r>
        <w:rPr>
          <w:rFonts w:ascii="宋体"/>
          <w:color w:val="auto"/>
          <w:highlight w:val="none"/>
        </w:rPr>
        <w:t>经甲方</w:t>
      </w:r>
      <w:r>
        <w:rPr>
          <w:rFonts w:hint="eastAsia" w:ascii="宋体"/>
          <w:color w:val="auto"/>
          <w:highlight w:val="none"/>
        </w:rPr>
        <w:t>签收前所发生的包装、运输、装卸、保险费用及货物毁损灭失风险由乙方负责。</w:t>
      </w:r>
    </w:p>
    <w:p w14:paraId="0C946552">
      <w:pPr>
        <w:tabs>
          <w:tab w:val="left" w:pos="851"/>
        </w:tabs>
        <w:spacing w:line="360" w:lineRule="auto"/>
        <w:ind w:firstLine="480"/>
        <w:rPr>
          <w:color w:val="auto"/>
          <w:highlight w:val="none"/>
        </w:rPr>
      </w:pPr>
      <w:r>
        <w:rPr>
          <w:rFonts w:hint="eastAsia" w:ascii="宋体"/>
          <w:color w:val="auto"/>
          <w:highlight w:val="none"/>
        </w:rPr>
        <w:t>3.3 发票要求：</w:t>
      </w:r>
      <w:r>
        <w:rPr>
          <w:rFonts w:hint="eastAsia"/>
          <w:color w:val="auto"/>
          <w:highlight w:val="none"/>
        </w:rPr>
        <w:t>乙方须严格按照合</w:t>
      </w:r>
      <w:r>
        <w:rPr>
          <w:rFonts w:hint="eastAsia" w:ascii="宋体"/>
          <w:color w:val="auto"/>
          <w:highlight w:val="none"/>
        </w:rPr>
        <w:t>同内容开具</w:t>
      </w:r>
      <w:r>
        <w:rPr>
          <w:rFonts w:hint="eastAsia" w:ascii="宋体"/>
          <w:b/>
          <w:color w:val="auto"/>
          <w:highlight w:val="none"/>
        </w:rPr>
        <w:t>税率为13%的增值税专用发票</w:t>
      </w:r>
      <w:r>
        <w:rPr>
          <w:rFonts w:hint="eastAsia"/>
          <w:color w:val="auto"/>
          <w:highlight w:val="none"/>
        </w:rPr>
        <w:t>（若遇国家税率调整另议），乙方在甲方付款前30个工作日需向甲方交付相应的发票，否则甲方有权拒绝支付任何费用且不承担逾期付款违约责任。</w:t>
      </w:r>
    </w:p>
    <w:p w14:paraId="33FFBA67">
      <w:pPr>
        <w:tabs>
          <w:tab w:val="left" w:pos="851"/>
        </w:tabs>
        <w:spacing w:line="360" w:lineRule="auto"/>
        <w:ind w:firstLine="480"/>
        <w:rPr>
          <w:rFonts w:ascii="宋体"/>
          <w:color w:val="auto"/>
          <w:highlight w:val="none"/>
        </w:rPr>
      </w:pPr>
      <w:r>
        <w:rPr>
          <w:rFonts w:hint="eastAsia" w:ascii="宋体"/>
          <w:color w:val="auto"/>
          <w:highlight w:val="none"/>
        </w:rPr>
        <w:t xml:space="preserve">3.4 </w:t>
      </w:r>
      <w:r>
        <w:rPr>
          <w:color w:val="auto"/>
          <w:highlight w:val="none"/>
        </w:rPr>
        <w:t>甲方</w:t>
      </w:r>
      <w:r>
        <w:rPr>
          <w:rFonts w:hint="eastAsia"/>
          <w:color w:val="auto"/>
          <w:highlight w:val="none"/>
        </w:rPr>
        <w:t>按照</w:t>
      </w:r>
      <w:r>
        <w:rPr>
          <w:color w:val="auto"/>
          <w:highlight w:val="none"/>
        </w:rPr>
        <w:t>本合同约定支付费用后，即视为已向乙方及生产厂商履行完所有付款义务，如有任何人向甲方主张费用的，由乙方负责，给甲方造成损失的，乙方应</w:t>
      </w:r>
      <w:r>
        <w:rPr>
          <w:rFonts w:hint="eastAsia"/>
          <w:color w:val="auto"/>
          <w:highlight w:val="none"/>
        </w:rPr>
        <w:t>全额</w:t>
      </w:r>
      <w:r>
        <w:rPr>
          <w:color w:val="auto"/>
          <w:highlight w:val="none"/>
        </w:rPr>
        <w:t>赔偿甲方。</w:t>
      </w:r>
    </w:p>
    <w:p w14:paraId="749EE36C">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第四条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收货方式和交付时间</w:t>
      </w:r>
    </w:p>
    <w:p w14:paraId="5D4ED960">
      <w:pPr>
        <w:tabs>
          <w:tab w:val="left" w:pos="851"/>
        </w:tabs>
        <w:spacing w:line="360" w:lineRule="auto"/>
        <w:ind w:left="840" w:leftChars="200" w:hanging="420" w:hangingChars="200"/>
        <w:rPr>
          <w:rFonts w:ascii="宋体"/>
          <w:color w:val="auto"/>
          <w:highlight w:val="none"/>
        </w:rPr>
      </w:pPr>
      <w:r>
        <w:rPr>
          <w:rFonts w:hint="eastAsia" w:ascii="宋体"/>
          <w:color w:val="auto"/>
          <w:highlight w:val="none"/>
        </w:rPr>
        <w:t>4.1 乙方将货物送到甲方指定的收货地点，由甲方指定收货联系人签字确认。收货地点：</w:t>
      </w:r>
      <w:r>
        <w:rPr>
          <w:rFonts w:hint="eastAsia" w:ascii="宋体"/>
          <w:color w:val="auto"/>
          <w:highlight w:val="none"/>
          <w:u w:val="single"/>
        </w:rPr>
        <w:t>重庆市西永微电子园2号楼</w:t>
      </w:r>
    </w:p>
    <w:p w14:paraId="03F99FAC">
      <w:pPr>
        <w:tabs>
          <w:tab w:val="left" w:pos="851"/>
        </w:tabs>
        <w:spacing w:line="360" w:lineRule="auto"/>
        <w:ind w:left="840" w:leftChars="400" w:firstLine="0" w:firstLineChars="0"/>
        <w:rPr>
          <w:rFonts w:ascii="宋体"/>
          <w:color w:val="auto"/>
          <w:highlight w:val="none"/>
        </w:rPr>
      </w:pPr>
      <w:r>
        <w:rPr>
          <w:rFonts w:hint="eastAsia" w:ascii="宋体"/>
          <w:color w:val="auto"/>
          <w:highlight w:val="none"/>
        </w:rPr>
        <w:t>收货联系人：</w:t>
      </w:r>
      <w:r>
        <w:rPr>
          <w:rFonts w:hint="eastAsia" w:ascii="宋体"/>
          <w:color w:val="auto"/>
          <w:highlight w:val="none"/>
          <w:u w:val="single"/>
        </w:rPr>
        <w:t>蒲立</w:t>
      </w:r>
    </w:p>
    <w:p w14:paraId="66FA0A41">
      <w:pPr>
        <w:tabs>
          <w:tab w:val="left" w:pos="851"/>
        </w:tabs>
        <w:spacing w:line="360" w:lineRule="auto"/>
        <w:ind w:left="840" w:leftChars="400" w:firstLine="0" w:firstLineChars="0"/>
        <w:rPr>
          <w:rFonts w:ascii="宋体"/>
          <w:color w:val="auto"/>
          <w:highlight w:val="none"/>
        </w:rPr>
      </w:pPr>
      <w:r>
        <w:rPr>
          <w:rFonts w:hint="eastAsia" w:ascii="宋体"/>
          <w:color w:val="auto"/>
          <w:highlight w:val="none"/>
        </w:rPr>
        <w:t>收货联系电话：</w:t>
      </w:r>
      <w:r>
        <w:rPr>
          <w:rFonts w:hint="eastAsia" w:ascii="宋体"/>
          <w:color w:val="auto"/>
          <w:highlight w:val="none"/>
          <w:u w:val="single"/>
        </w:rPr>
        <w:t>023-88890341</w:t>
      </w:r>
    </w:p>
    <w:p w14:paraId="1D244D1E">
      <w:pPr>
        <w:spacing w:line="360" w:lineRule="auto"/>
        <w:ind w:firstLine="480"/>
        <w:rPr>
          <w:rFonts w:ascii="宋体"/>
          <w:color w:val="auto"/>
          <w:highlight w:val="none"/>
        </w:rPr>
      </w:pPr>
      <w:r>
        <w:rPr>
          <w:rFonts w:hint="eastAsia" w:ascii="宋体"/>
          <w:color w:val="auto"/>
          <w:highlight w:val="none"/>
        </w:rPr>
        <w:t>4.2 交付时间：</w:t>
      </w:r>
      <w:r>
        <w:rPr>
          <w:rFonts w:hint="eastAsia"/>
          <w:color w:val="auto"/>
          <w:highlight w:val="none"/>
        </w:rPr>
        <w:t>本项目含供货时间在内的实施周期为30个自然日，从合同签订之日起开始计算。</w:t>
      </w:r>
    </w:p>
    <w:p w14:paraId="14AF3232">
      <w:pPr>
        <w:numPr>
          <w:ilvl w:val="0"/>
          <w:numId w:val="0"/>
        </w:numPr>
        <w:tabs>
          <w:tab w:val="left" w:pos="993"/>
        </w:tabs>
        <w:autoSpaceDE/>
        <w:autoSpaceDN/>
        <w:spacing w:before="240" w:line="360" w:lineRule="auto"/>
        <w:ind w:left="877" w:leftChars="0" w:hanging="877" w:firstLineChars="0"/>
        <w:rPr>
          <w:b/>
          <w:color w:val="auto"/>
          <w:highlight w:val="none"/>
        </w:rPr>
      </w:pPr>
      <w:r>
        <w:rPr>
          <w:rFonts w:hint="eastAsia" w:ascii="Times New Roman" w:hAnsi="Times New Roman" w:eastAsia="宋体" w:cs="Cambria Math"/>
          <w:b/>
          <w:color w:val="auto"/>
          <w:kern w:val="2"/>
          <w:sz w:val="21"/>
          <w:szCs w:val="20"/>
          <w:highlight w:val="none"/>
          <w:lang w:val="en-US" w:eastAsia="zh-CN" w:bidi="ar-SA"/>
        </w:rPr>
        <w:t>第五条</w:t>
      </w:r>
      <w:r>
        <w:rPr>
          <w:rFonts w:hint="eastAsia" w:cs="Cambria Math"/>
          <w:b/>
          <w:color w:val="auto"/>
          <w:kern w:val="2"/>
          <w:sz w:val="21"/>
          <w:szCs w:val="20"/>
          <w:highlight w:val="none"/>
          <w:lang w:val="en-US" w:eastAsia="zh-CN" w:bidi="ar-SA"/>
        </w:rPr>
        <w:t xml:space="preserve">  </w:t>
      </w:r>
      <w:r>
        <w:rPr>
          <w:rFonts w:hint="eastAsia"/>
          <w:b/>
          <w:color w:val="auto"/>
          <w:highlight w:val="none"/>
        </w:rPr>
        <w:t>运输和包装</w:t>
      </w:r>
    </w:p>
    <w:p w14:paraId="202567C8">
      <w:pPr>
        <w:tabs>
          <w:tab w:val="left" w:pos="851"/>
        </w:tabs>
        <w:spacing w:line="360" w:lineRule="auto"/>
        <w:ind w:firstLine="480"/>
        <w:rPr>
          <w:rFonts w:ascii="宋体"/>
          <w:color w:val="auto"/>
          <w:highlight w:val="none"/>
        </w:rPr>
      </w:pPr>
      <w:r>
        <w:rPr>
          <w:rFonts w:hint="eastAsia" w:ascii="宋体"/>
          <w:color w:val="auto"/>
          <w:highlight w:val="none"/>
        </w:rPr>
        <w:t>乙方应根据货物特点和要求采取适当的包装，以使货物在正常装卸和搬运条件下能够安全抵达甲方指定的收货现场。</w:t>
      </w:r>
    </w:p>
    <w:p w14:paraId="560B1F4C">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第六条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交付与验收</w:t>
      </w:r>
    </w:p>
    <w:p w14:paraId="416C6BAA">
      <w:pPr>
        <w:ind w:firstLine="480"/>
        <w:rPr>
          <w:rFonts w:ascii="Times New Roman" w:hAnsi="Times New Roman"/>
          <w:color w:val="auto"/>
          <w:highlight w:val="none"/>
        </w:rPr>
      </w:pPr>
      <w:r>
        <w:rPr>
          <w:rFonts w:hint="eastAsia" w:ascii="宋体"/>
          <w:color w:val="auto"/>
          <w:highlight w:val="none"/>
        </w:rPr>
        <w:t xml:space="preserve">6.1 </w:t>
      </w:r>
      <w:r>
        <w:rPr>
          <w:rFonts w:hint="eastAsia" w:ascii="Times New Roman" w:hAnsi="Times New Roman"/>
          <w:color w:val="auto"/>
          <w:highlight w:val="none"/>
        </w:rPr>
        <w:t>乙方提供的产品技术规格不得低于以下要求:</w:t>
      </w:r>
    </w:p>
    <w:p w14:paraId="776B2050">
      <w:pPr>
        <w:spacing w:line="360" w:lineRule="auto"/>
        <w:ind w:firstLine="480"/>
        <w:rPr>
          <w:rFonts w:ascii="Times New Roman" w:hAnsi="Times New Roman"/>
          <w:color w:val="auto"/>
          <w:highlight w:val="none"/>
        </w:rPr>
      </w:pPr>
      <w:r>
        <w:rPr>
          <w:rFonts w:hint="eastAsia" w:ascii="Times New Roman" w:hAnsi="Times New Roman"/>
          <w:color w:val="auto"/>
          <w:highlight w:val="none"/>
        </w:rPr>
        <w:t>1）硬盘录像机：</w:t>
      </w:r>
    </w:p>
    <w:p w14:paraId="63C388CF">
      <w:pPr>
        <w:spacing w:line="360" w:lineRule="auto"/>
        <w:ind w:firstLine="480"/>
        <w:rPr>
          <w:rFonts w:ascii="Times New Roman" w:hAnsi="Times New Roman"/>
          <w:color w:val="auto"/>
          <w:highlight w:val="none"/>
        </w:rPr>
      </w:pPr>
      <w:r>
        <w:rPr>
          <w:rFonts w:hint="eastAsia" w:ascii="Times New Roman" w:hAnsi="Times New Roman"/>
          <w:color w:val="auto"/>
          <w:highlight w:val="none"/>
        </w:rPr>
        <w:t>【硬件规格】</w:t>
      </w:r>
    </w:p>
    <w:p w14:paraId="5F644ED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尺寸：标准机架式。</w:t>
      </w:r>
    </w:p>
    <w:p w14:paraId="26310ED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视频输出接口：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HDMI</w:t>
      </w:r>
      <w:r>
        <w:rPr>
          <w:rFonts w:hint="eastAsia" w:ascii="Times New Roman" w:hAnsi="Times New Roman"/>
          <w:color w:val="auto"/>
          <w:highlight w:val="none"/>
        </w:rPr>
        <w:t>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VGA</w:t>
      </w:r>
      <w:r>
        <w:rPr>
          <w:rFonts w:hint="eastAsia" w:ascii="Times New Roman" w:hAnsi="Times New Roman"/>
          <w:color w:val="auto"/>
          <w:highlight w:val="none"/>
        </w:rPr>
        <w:t>接口。</w:t>
      </w:r>
    </w:p>
    <w:p w14:paraId="4313BA5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硬盘位：</w:t>
      </w:r>
      <w:r>
        <w:rPr>
          <w:rFonts w:ascii="Times New Roman" w:hAnsi="Times New Roman"/>
          <w:color w:val="auto"/>
          <w:highlight w:val="none"/>
        </w:rPr>
        <w:t>16</w:t>
      </w:r>
      <w:r>
        <w:rPr>
          <w:rFonts w:hint="eastAsia" w:ascii="Times New Roman" w:hAnsi="Times New Roman"/>
          <w:color w:val="auto"/>
          <w:highlight w:val="none"/>
        </w:rPr>
        <w:t>盘位，可满配</w:t>
      </w:r>
      <w:r>
        <w:rPr>
          <w:rFonts w:ascii="Times New Roman" w:hAnsi="Times New Roman"/>
          <w:color w:val="auto"/>
          <w:highlight w:val="none"/>
        </w:rPr>
        <w:t>10TB</w:t>
      </w:r>
      <w:r>
        <w:rPr>
          <w:rFonts w:hint="eastAsia" w:ascii="Times New Roman" w:hAnsi="Times New Roman"/>
          <w:color w:val="auto"/>
          <w:highlight w:val="none"/>
        </w:rPr>
        <w:t>硬盘。</w:t>
      </w:r>
    </w:p>
    <w:p w14:paraId="66E103E2">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网络接口：</w:t>
      </w:r>
      <w:r>
        <w:rPr>
          <w:rFonts w:ascii="Times New Roman" w:hAnsi="Times New Roman"/>
          <w:color w:val="auto"/>
          <w:highlight w:val="none"/>
        </w:rPr>
        <w:t>2</w:t>
      </w:r>
      <w:r>
        <w:rPr>
          <w:rFonts w:hint="eastAsia" w:ascii="Times New Roman" w:hAnsi="Times New Roman"/>
          <w:color w:val="auto"/>
          <w:highlight w:val="none"/>
        </w:rPr>
        <w:t>个千兆网口。</w:t>
      </w:r>
    </w:p>
    <w:p w14:paraId="615ED23C">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ascii="Times New Roman" w:hAnsi="Times New Roman"/>
          <w:color w:val="auto"/>
          <w:highlight w:val="none"/>
        </w:rPr>
        <w:t>USB</w:t>
      </w:r>
      <w:r>
        <w:rPr>
          <w:rFonts w:hint="eastAsia" w:ascii="Times New Roman" w:hAnsi="Times New Roman"/>
          <w:color w:val="auto"/>
          <w:highlight w:val="none"/>
        </w:rPr>
        <w:t>接口：</w:t>
      </w:r>
      <w:r>
        <w:rPr>
          <w:rFonts w:ascii="Times New Roman" w:hAnsi="Times New Roman"/>
          <w:color w:val="auto"/>
          <w:highlight w:val="none"/>
        </w:rPr>
        <w:t>2</w:t>
      </w:r>
      <w:r>
        <w:rPr>
          <w:rFonts w:hint="eastAsia" w:ascii="Times New Roman" w:hAnsi="Times New Roman"/>
          <w:color w:val="auto"/>
          <w:highlight w:val="none"/>
        </w:rPr>
        <w:t>个</w:t>
      </w:r>
      <w:r>
        <w:rPr>
          <w:rFonts w:ascii="Times New Roman" w:hAnsi="Times New Roman"/>
          <w:color w:val="auto"/>
          <w:highlight w:val="none"/>
        </w:rPr>
        <w:t>USB 2.0</w:t>
      </w:r>
      <w:r>
        <w:rPr>
          <w:rFonts w:hint="eastAsia" w:ascii="Times New Roman" w:hAnsi="Times New Roman"/>
          <w:color w:val="auto"/>
          <w:highlight w:val="none"/>
        </w:rPr>
        <w:t>接口，</w:t>
      </w:r>
      <w:r>
        <w:rPr>
          <w:rFonts w:ascii="Times New Roman" w:hAnsi="Times New Roman"/>
          <w:color w:val="auto"/>
          <w:highlight w:val="none"/>
        </w:rPr>
        <w:t>1</w:t>
      </w:r>
      <w:r>
        <w:rPr>
          <w:rFonts w:hint="eastAsia" w:ascii="Times New Roman" w:hAnsi="Times New Roman"/>
          <w:color w:val="auto"/>
          <w:highlight w:val="none"/>
        </w:rPr>
        <w:t>个</w:t>
      </w:r>
      <w:r>
        <w:rPr>
          <w:rFonts w:ascii="Times New Roman" w:hAnsi="Times New Roman"/>
          <w:color w:val="auto"/>
          <w:highlight w:val="none"/>
        </w:rPr>
        <w:t>USB 3.0</w:t>
      </w:r>
      <w:r>
        <w:rPr>
          <w:rFonts w:hint="eastAsia" w:ascii="Times New Roman" w:hAnsi="Times New Roman"/>
          <w:color w:val="auto"/>
          <w:highlight w:val="none"/>
        </w:rPr>
        <w:t>接口。</w:t>
      </w:r>
    </w:p>
    <w:p w14:paraId="0DB43F8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扩展接口：</w:t>
      </w:r>
      <w:r>
        <w:rPr>
          <w:rFonts w:ascii="Times New Roman" w:hAnsi="Times New Roman"/>
          <w:color w:val="auto"/>
          <w:highlight w:val="none"/>
        </w:rPr>
        <w:t>1</w:t>
      </w:r>
      <w:r>
        <w:rPr>
          <w:rFonts w:hint="eastAsia" w:ascii="Times New Roman" w:hAnsi="Times New Roman"/>
          <w:color w:val="auto"/>
          <w:highlight w:val="none"/>
        </w:rPr>
        <w:t>个</w:t>
      </w:r>
      <w:r>
        <w:rPr>
          <w:rFonts w:ascii="Times New Roman" w:hAnsi="Times New Roman"/>
          <w:color w:val="auto"/>
          <w:highlight w:val="none"/>
        </w:rPr>
        <w:t>eSATA</w:t>
      </w:r>
      <w:r>
        <w:rPr>
          <w:rFonts w:hint="eastAsia" w:ascii="Times New Roman" w:hAnsi="Times New Roman"/>
          <w:color w:val="auto"/>
          <w:highlight w:val="none"/>
        </w:rPr>
        <w:t>接口。</w:t>
      </w:r>
    </w:p>
    <w:p w14:paraId="56F6284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报警</w:t>
      </w:r>
      <w:r>
        <w:rPr>
          <w:rFonts w:ascii="Times New Roman" w:hAnsi="Times New Roman"/>
          <w:color w:val="auto"/>
          <w:highlight w:val="none"/>
        </w:rPr>
        <w:t>IO</w:t>
      </w:r>
      <w:r>
        <w:rPr>
          <w:rFonts w:hint="eastAsia" w:ascii="Times New Roman" w:hAnsi="Times New Roman"/>
          <w:color w:val="auto"/>
          <w:highlight w:val="none"/>
        </w:rPr>
        <w:t>接口：</w:t>
      </w:r>
      <w:r>
        <w:rPr>
          <w:rFonts w:ascii="Times New Roman" w:hAnsi="Times New Roman"/>
          <w:color w:val="auto"/>
          <w:highlight w:val="none"/>
        </w:rPr>
        <w:t>16</w:t>
      </w:r>
      <w:r>
        <w:rPr>
          <w:rFonts w:hint="eastAsia" w:ascii="Times New Roman" w:hAnsi="Times New Roman"/>
          <w:color w:val="auto"/>
          <w:highlight w:val="none"/>
        </w:rPr>
        <w:t>进</w:t>
      </w:r>
      <w:r>
        <w:rPr>
          <w:rFonts w:ascii="Times New Roman" w:hAnsi="Times New Roman"/>
          <w:color w:val="auto"/>
          <w:highlight w:val="none"/>
        </w:rPr>
        <w:t>8</w:t>
      </w:r>
      <w:r>
        <w:rPr>
          <w:rFonts w:hint="eastAsia" w:ascii="Times New Roman" w:hAnsi="Times New Roman"/>
          <w:color w:val="auto"/>
          <w:highlight w:val="none"/>
        </w:rPr>
        <w:t>出。</w:t>
      </w:r>
    </w:p>
    <w:p w14:paraId="3C74573B">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ascii="Times New Roman" w:hAnsi="Times New Roman"/>
          <w:color w:val="auto"/>
          <w:highlight w:val="none"/>
        </w:rPr>
        <w:t>RAID</w:t>
      </w:r>
      <w:r>
        <w:rPr>
          <w:rFonts w:hint="eastAsia" w:ascii="Times New Roman" w:hAnsi="Times New Roman"/>
          <w:color w:val="auto"/>
          <w:highlight w:val="none"/>
        </w:rPr>
        <w:t>支持：支持</w:t>
      </w:r>
      <w:r>
        <w:rPr>
          <w:rFonts w:ascii="Times New Roman" w:hAnsi="Times New Roman"/>
          <w:color w:val="auto"/>
          <w:highlight w:val="none"/>
        </w:rPr>
        <w:t xml:space="preserve"> RAID 0</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5</w:t>
      </w:r>
      <w:r>
        <w:rPr>
          <w:rFonts w:hint="eastAsia" w:ascii="Times New Roman" w:hAnsi="Times New Roman"/>
          <w:color w:val="auto"/>
          <w:highlight w:val="none"/>
        </w:rPr>
        <w:t>、</w:t>
      </w:r>
      <w:r>
        <w:rPr>
          <w:rFonts w:ascii="Times New Roman" w:hAnsi="Times New Roman"/>
          <w:color w:val="auto"/>
          <w:highlight w:val="none"/>
        </w:rPr>
        <w:t>6</w:t>
      </w:r>
      <w:r>
        <w:rPr>
          <w:rFonts w:hint="eastAsia" w:ascii="Times New Roman" w:hAnsi="Times New Roman"/>
          <w:color w:val="auto"/>
          <w:highlight w:val="none"/>
        </w:rPr>
        <w:t>、</w:t>
      </w:r>
      <w:r>
        <w:rPr>
          <w:rFonts w:ascii="Times New Roman" w:hAnsi="Times New Roman"/>
          <w:color w:val="auto"/>
          <w:highlight w:val="none"/>
        </w:rPr>
        <w:t>10</w:t>
      </w:r>
      <w:r>
        <w:rPr>
          <w:rFonts w:hint="eastAsia" w:ascii="Times New Roman" w:hAnsi="Times New Roman"/>
          <w:color w:val="auto"/>
          <w:highlight w:val="none"/>
        </w:rPr>
        <w:t>，支持全局热备盘。</w:t>
      </w:r>
    </w:p>
    <w:p w14:paraId="56433CB0">
      <w:pPr>
        <w:spacing w:line="360" w:lineRule="auto"/>
        <w:ind w:firstLine="480"/>
        <w:rPr>
          <w:rFonts w:ascii="Times New Roman" w:hAnsi="Times New Roman"/>
          <w:color w:val="auto"/>
          <w:highlight w:val="none"/>
        </w:rPr>
      </w:pPr>
      <w:r>
        <w:rPr>
          <w:rFonts w:hint="eastAsia" w:ascii="Times New Roman" w:hAnsi="Times New Roman"/>
          <w:color w:val="auto"/>
          <w:highlight w:val="none"/>
        </w:rPr>
        <w:t>【软件性能】</w:t>
      </w:r>
    </w:p>
    <w:p w14:paraId="6C7C0600">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输入带宽：</w:t>
      </w:r>
      <w:r>
        <w:rPr>
          <w:rFonts w:ascii="Times New Roman" w:hAnsi="Times New Roman"/>
          <w:color w:val="auto"/>
          <w:highlight w:val="none"/>
        </w:rPr>
        <w:t>256M</w:t>
      </w:r>
      <w:r>
        <w:rPr>
          <w:rFonts w:hint="eastAsia" w:ascii="Times New Roman" w:hAnsi="Times New Roman"/>
          <w:color w:val="auto"/>
          <w:highlight w:val="none"/>
        </w:rPr>
        <w:t>。</w:t>
      </w:r>
    </w:p>
    <w:p w14:paraId="6CFF1493">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编码类型：支持</w:t>
      </w:r>
      <w:r>
        <w:rPr>
          <w:rFonts w:ascii="Times New Roman" w:hAnsi="Times New Roman"/>
          <w:color w:val="auto"/>
          <w:highlight w:val="none"/>
        </w:rPr>
        <w:t>16</w:t>
      </w:r>
      <w:r>
        <w:rPr>
          <w:rFonts w:hint="eastAsia" w:ascii="Times New Roman" w:hAnsi="Times New Roman"/>
          <w:color w:val="auto"/>
          <w:highlight w:val="none"/>
        </w:rPr>
        <w:t>路</w:t>
      </w:r>
      <w:r>
        <w:rPr>
          <w:rFonts w:ascii="Times New Roman" w:hAnsi="Times New Roman"/>
          <w:color w:val="auto"/>
          <w:highlight w:val="none"/>
        </w:rPr>
        <w:t>H.264</w:t>
      </w:r>
      <w:r>
        <w:rPr>
          <w:rFonts w:hint="eastAsia" w:ascii="Times New Roman" w:hAnsi="Times New Roman"/>
          <w:color w:val="auto"/>
          <w:highlight w:val="none"/>
        </w:rPr>
        <w:t>、</w:t>
      </w:r>
      <w:r>
        <w:rPr>
          <w:rFonts w:ascii="Times New Roman" w:hAnsi="Times New Roman"/>
          <w:color w:val="auto"/>
          <w:highlight w:val="none"/>
        </w:rPr>
        <w:t>H.265</w:t>
      </w:r>
      <w:r>
        <w:rPr>
          <w:rFonts w:hint="eastAsia" w:ascii="Times New Roman" w:hAnsi="Times New Roman"/>
          <w:color w:val="auto"/>
          <w:highlight w:val="none"/>
        </w:rPr>
        <w:t>混合接入。</w:t>
      </w:r>
    </w:p>
    <w:p w14:paraId="10C53EDF">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解码能力：最大支持</w:t>
      </w:r>
      <w:r>
        <w:rPr>
          <w:rFonts w:ascii="Times New Roman" w:hAnsi="Times New Roman"/>
          <w:color w:val="auto"/>
          <w:highlight w:val="none"/>
        </w:rPr>
        <w:t>16</w:t>
      </w:r>
      <w:r>
        <w:rPr>
          <w:rFonts w:hint="eastAsia" w:ascii="Times New Roman" w:hAnsi="Times New Roman"/>
          <w:color w:val="auto"/>
          <w:highlight w:val="none"/>
        </w:rPr>
        <w:t>路</w:t>
      </w:r>
      <w:r>
        <w:rPr>
          <w:rFonts w:ascii="Times New Roman" w:hAnsi="Times New Roman"/>
          <w:color w:val="auto"/>
          <w:highlight w:val="none"/>
        </w:rPr>
        <w:t>1080P</w:t>
      </w:r>
      <w:r>
        <w:rPr>
          <w:rFonts w:hint="eastAsia" w:ascii="Times New Roman" w:hAnsi="Times New Roman"/>
          <w:color w:val="auto"/>
          <w:highlight w:val="none"/>
        </w:rPr>
        <w:t>解码。</w:t>
      </w:r>
    </w:p>
    <w:p w14:paraId="7A09A10A">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支持的编码格式：</w:t>
      </w:r>
      <w:r>
        <w:rPr>
          <w:rFonts w:ascii="Times New Roman" w:hAnsi="Times New Roman"/>
          <w:color w:val="auto"/>
          <w:highlight w:val="none"/>
        </w:rPr>
        <w:t>H.265</w:t>
      </w:r>
      <w:r>
        <w:rPr>
          <w:rFonts w:hint="eastAsia" w:ascii="Times New Roman" w:hAnsi="Times New Roman"/>
          <w:color w:val="auto"/>
          <w:highlight w:val="none"/>
        </w:rPr>
        <w:t>，</w:t>
      </w:r>
      <w:r>
        <w:rPr>
          <w:rFonts w:ascii="Times New Roman" w:hAnsi="Times New Roman"/>
          <w:color w:val="auto"/>
          <w:highlight w:val="none"/>
        </w:rPr>
        <w:t>H.264</w:t>
      </w:r>
      <w:r>
        <w:rPr>
          <w:rFonts w:hint="eastAsia" w:ascii="Times New Roman" w:hAnsi="Times New Roman"/>
          <w:color w:val="auto"/>
          <w:highlight w:val="none"/>
        </w:rPr>
        <w:t>。</w:t>
      </w:r>
    </w:p>
    <w:p w14:paraId="5E73E708">
      <w:pPr>
        <w:ind w:firstLine="480"/>
        <w:rPr>
          <w:rFonts w:ascii="Times New Roman" w:hAnsi="Times New Roman"/>
          <w:color w:val="auto"/>
          <w:highlight w:val="none"/>
        </w:rPr>
      </w:pPr>
    </w:p>
    <w:p w14:paraId="1F72F50D">
      <w:pPr>
        <w:spacing w:line="360" w:lineRule="auto"/>
        <w:ind w:firstLine="480"/>
        <w:rPr>
          <w:rFonts w:ascii="Times New Roman" w:hAnsi="Times New Roman"/>
          <w:color w:val="auto"/>
          <w:highlight w:val="none"/>
        </w:rPr>
      </w:pPr>
      <w:r>
        <w:rPr>
          <w:rFonts w:hint="eastAsia" w:ascii="Times New Roman" w:hAnsi="Times New Roman"/>
          <w:color w:val="auto"/>
          <w:highlight w:val="none"/>
        </w:rPr>
        <w:t xml:space="preserve">2）监控硬盘： </w:t>
      </w:r>
    </w:p>
    <w:p w14:paraId="182FB0B8">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容量：</w:t>
      </w:r>
      <w:r>
        <w:rPr>
          <w:rFonts w:ascii="Times New Roman" w:hAnsi="Times New Roman"/>
          <w:color w:val="auto"/>
          <w:highlight w:val="none"/>
        </w:rPr>
        <w:t>8TB</w:t>
      </w:r>
      <w:r>
        <w:rPr>
          <w:rFonts w:hint="eastAsia" w:ascii="Times New Roman" w:hAnsi="Times New Roman"/>
          <w:color w:val="auto"/>
          <w:highlight w:val="none"/>
        </w:rPr>
        <w:t>。</w:t>
      </w:r>
    </w:p>
    <w:p w14:paraId="789B30C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尺寸：</w:t>
      </w:r>
      <w:r>
        <w:rPr>
          <w:rFonts w:ascii="Times New Roman" w:hAnsi="Times New Roman"/>
          <w:color w:val="auto"/>
          <w:highlight w:val="none"/>
        </w:rPr>
        <w:t>3.5</w:t>
      </w:r>
      <w:r>
        <w:rPr>
          <w:rFonts w:hint="eastAsia" w:ascii="Times New Roman" w:hAnsi="Times New Roman"/>
          <w:color w:val="auto"/>
          <w:highlight w:val="none"/>
        </w:rPr>
        <w:t>英寸。</w:t>
      </w:r>
    </w:p>
    <w:p w14:paraId="74AB0307">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接口类型：</w:t>
      </w:r>
      <w:r>
        <w:rPr>
          <w:rFonts w:ascii="Times New Roman" w:hAnsi="Times New Roman"/>
          <w:color w:val="auto"/>
          <w:highlight w:val="none"/>
        </w:rPr>
        <w:t>SATA 3.0</w:t>
      </w:r>
      <w:r>
        <w:rPr>
          <w:rFonts w:hint="eastAsia" w:ascii="Times New Roman" w:hAnsi="Times New Roman"/>
          <w:color w:val="auto"/>
          <w:highlight w:val="none"/>
        </w:rPr>
        <w:t>接口。</w:t>
      </w:r>
    </w:p>
    <w:p w14:paraId="5FA0215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转速：</w:t>
      </w:r>
      <w:r>
        <w:rPr>
          <w:rFonts w:ascii="Times New Roman" w:hAnsi="Times New Roman"/>
          <w:color w:val="auto"/>
          <w:highlight w:val="none"/>
        </w:rPr>
        <w:t>7200 RPM</w:t>
      </w:r>
      <w:r>
        <w:rPr>
          <w:rFonts w:hint="eastAsia" w:ascii="Times New Roman" w:hAnsi="Times New Roman"/>
          <w:color w:val="auto"/>
          <w:highlight w:val="none"/>
        </w:rPr>
        <w:t>。</w:t>
      </w:r>
    </w:p>
    <w:p w14:paraId="1D2C2C4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缓存：</w:t>
      </w:r>
      <w:r>
        <w:rPr>
          <w:rFonts w:ascii="Times New Roman" w:hAnsi="Times New Roman"/>
          <w:color w:val="auto"/>
          <w:highlight w:val="none"/>
        </w:rPr>
        <w:t>256MB</w:t>
      </w:r>
      <w:r>
        <w:rPr>
          <w:rFonts w:hint="eastAsia" w:ascii="Times New Roman" w:hAnsi="Times New Roman"/>
          <w:color w:val="auto"/>
          <w:highlight w:val="none"/>
        </w:rPr>
        <w:t>。</w:t>
      </w:r>
    </w:p>
    <w:p w14:paraId="42AB4435">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平均故障间隔时间（</w:t>
      </w:r>
      <w:r>
        <w:rPr>
          <w:rFonts w:ascii="Times New Roman" w:hAnsi="Times New Roman"/>
          <w:color w:val="auto"/>
          <w:highlight w:val="none"/>
        </w:rPr>
        <w:t>MTBF</w:t>
      </w:r>
      <w:r>
        <w:rPr>
          <w:rFonts w:hint="eastAsia" w:ascii="Times New Roman" w:hAnsi="Times New Roman"/>
          <w:color w:val="auto"/>
          <w:highlight w:val="none"/>
        </w:rPr>
        <w:t>）：</w:t>
      </w:r>
      <w:r>
        <w:rPr>
          <w:rFonts w:ascii="Times New Roman" w:hAnsi="Times New Roman"/>
          <w:color w:val="auto"/>
          <w:highlight w:val="none"/>
        </w:rPr>
        <w:t>100</w:t>
      </w:r>
      <w:r>
        <w:rPr>
          <w:rFonts w:hint="eastAsia" w:ascii="Times New Roman" w:hAnsi="Times New Roman"/>
          <w:color w:val="auto"/>
          <w:highlight w:val="none"/>
        </w:rPr>
        <w:t>万小时以上。</w:t>
      </w:r>
    </w:p>
    <w:p w14:paraId="3F6489BC">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连续运行能力：支持全天候（</w:t>
      </w:r>
      <w:r>
        <w:rPr>
          <w:rFonts w:ascii="Times New Roman" w:hAnsi="Times New Roman"/>
          <w:color w:val="auto"/>
          <w:highlight w:val="none"/>
        </w:rPr>
        <w:t>24/7</w:t>
      </w:r>
      <w:r>
        <w:rPr>
          <w:rFonts w:hint="eastAsia" w:ascii="Times New Roman" w:hAnsi="Times New Roman"/>
          <w:color w:val="auto"/>
          <w:highlight w:val="none"/>
        </w:rPr>
        <w:t>）连续运行。</w:t>
      </w:r>
    </w:p>
    <w:p w14:paraId="0F04BB08">
      <w:pPr>
        <w:spacing w:line="360" w:lineRule="auto"/>
        <w:ind w:firstLine="480"/>
        <w:rPr>
          <w:rFonts w:ascii="Times New Roman" w:hAnsi="Times New Roman"/>
          <w:color w:val="auto"/>
          <w:highlight w:val="none"/>
        </w:rPr>
      </w:pPr>
    </w:p>
    <w:p w14:paraId="4387CB31">
      <w:pPr>
        <w:spacing w:line="360" w:lineRule="auto"/>
        <w:ind w:firstLine="480"/>
        <w:rPr>
          <w:rFonts w:ascii="Times New Roman" w:hAnsi="Times New Roman"/>
          <w:color w:val="auto"/>
          <w:highlight w:val="none"/>
        </w:rPr>
      </w:pPr>
      <w:r>
        <w:rPr>
          <w:rFonts w:hint="eastAsia" w:ascii="Times New Roman" w:hAnsi="Times New Roman"/>
          <w:color w:val="auto"/>
          <w:highlight w:val="none"/>
        </w:rPr>
        <w:t xml:space="preserve">3）磁盘阵列： </w:t>
      </w:r>
    </w:p>
    <w:p w14:paraId="4B8AF3DD">
      <w:pPr>
        <w:spacing w:line="360" w:lineRule="auto"/>
        <w:ind w:firstLine="480"/>
        <w:rPr>
          <w:rFonts w:ascii="Times New Roman" w:hAnsi="Times New Roman"/>
          <w:color w:val="auto"/>
          <w:highlight w:val="none"/>
        </w:rPr>
      </w:pPr>
      <w:r>
        <w:rPr>
          <w:rFonts w:hint="eastAsia" w:ascii="Times New Roman" w:hAnsi="Times New Roman"/>
          <w:color w:val="auto"/>
          <w:highlight w:val="none"/>
        </w:rPr>
        <w:t>【硬件规格】</w:t>
      </w:r>
    </w:p>
    <w:p w14:paraId="2CBA2FB1">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硬盘：存储容量</w:t>
      </w:r>
      <w:r>
        <w:rPr>
          <w:rFonts w:ascii="Times New Roman" w:hAnsi="Times New Roman"/>
          <w:color w:val="auto"/>
          <w:highlight w:val="none"/>
        </w:rPr>
        <w:t>900TB</w:t>
      </w:r>
      <w:r>
        <w:rPr>
          <w:rFonts w:hint="eastAsia" w:ascii="Times New Roman" w:hAnsi="Times New Roman"/>
          <w:color w:val="auto"/>
          <w:highlight w:val="none"/>
        </w:rPr>
        <w:t>，支持硬盘热插拔。</w:t>
      </w:r>
    </w:p>
    <w:p w14:paraId="7DC45AEF">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ascii="Times New Roman" w:hAnsi="Times New Roman"/>
          <w:color w:val="auto"/>
          <w:highlight w:val="none"/>
        </w:rPr>
        <w:t>CPU</w:t>
      </w:r>
      <w:r>
        <w:rPr>
          <w:rFonts w:hint="eastAsia" w:ascii="Times New Roman" w:hAnsi="Times New Roman"/>
          <w:color w:val="auto"/>
          <w:highlight w:val="none"/>
        </w:rPr>
        <w:t>：</w:t>
      </w:r>
      <w:r>
        <w:rPr>
          <w:rFonts w:ascii="Times New Roman" w:hAnsi="Times New Roman"/>
          <w:color w:val="auto"/>
          <w:highlight w:val="none"/>
        </w:rPr>
        <w:t>64</w:t>
      </w:r>
      <w:r>
        <w:rPr>
          <w:rFonts w:hint="eastAsia" w:ascii="Times New Roman" w:hAnsi="Times New Roman"/>
          <w:color w:val="auto"/>
          <w:highlight w:val="none"/>
        </w:rPr>
        <w:t>位多核处理器。</w:t>
      </w:r>
    </w:p>
    <w:p w14:paraId="70E18785">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内存：</w:t>
      </w:r>
      <w:r>
        <w:rPr>
          <w:rFonts w:ascii="Times New Roman" w:hAnsi="Times New Roman"/>
          <w:color w:val="auto"/>
          <w:highlight w:val="none"/>
        </w:rPr>
        <w:t>8GB</w:t>
      </w:r>
      <w:r>
        <w:rPr>
          <w:rFonts w:hint="eastAsia" w:ascii="Times New Roman" w:hAnsi="Times New Roman"/>
          <w:color w:val="auto"/>
          <w:highlight w:val="none"/>
        </w:rPr>
        <w:t>，内存可扩展至</w:t>
      </w:r>
      <w:r>
        <w:rPr>
          <w:rFonts w:ascii="Times New Roman" w:hAnsi="Times New Roman"/>
          <w:color w:val="auto"/>
          <w:highlight w:val="none"/>
        </w:rPr>
        <w:t>32GB</w:t>
      </w:r>
      <w:r>
        <w:rPr>
          <w:rFonts w:hint="eastAsia" w:ascii="Times New Roman" w:hAnsi="Times New Roman"/>
          <w:color w:val="auto"/>
          <w:highlight w:val="none"/>
        </w:rPr>
        <w:t>。</w:t>
      </w:r>
    </w:p>
    <w:p w14:paraId="1718ED88">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风扇：</w:t>
      </w:r>
      <w:r>
        <w:rPr>
          <w:rFonts w:ascii="Times New Roman" w:hAnsi="Times New Roman"/>
          <w:color w:val="auto"/>
          <w:highlight w:val="none"/>
        </w:rPr>
        <w:t>3</w:t>
      </w:r>
      <w:r>
        <w:rPr>
          <w:rFonts w:hint="eastAsia" w:ascii="Times New Roman" w:hAnsi="Times New Roman"/>
          <w:color w:val="auto"/>
          <w:highlight w:val="none"/>
        </w:rPr>
        <w:t>个。</w:t>
      </w:r>
    </w:p>
    <w:p w14:paraId="325D49C2">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电源：</w:t>
      </w:r>
      <w:r>
        <w:rPr>
          <w:rFonts w:ascii="Times New Roman" w:hAnsi="Times New Roman"/>
          <w:color w:val="auto"/>
          <w:highlight w:val="none"/>
        </w:rPr>
        <w:t>800W/</w:t>
      </w:r>
      <w:r>
        <w:rPr>
          <w:rFonts w:hint="eastAsia" w:ascii="Times New Roman" w:hAnsi="Times New Roman"/>
          <w:color w:val="auto"/>
          <w:highlight w:val="none"/>
        </w:rPr>
        <w:t>电源，</w:t>
      </w:r>
      <w:r>
        <w:rPr>
          <w:rFonts w:ascii="Times New Roman" w:hAnsi="Times New Roman"/>
          <w:color w:val="auto"/>
          <w:highlight w:val="none"/>
        </w:rPr>
        <w:t>1+1</w:t>
      </w:r>
      <w:r>
        <w:rPr>
          <w:rFonts w:hint="eastAsia" w:ascii="Times New Roman" w:hAnsi="Times New Roman"/>
          <w:color w:val="auto"/>
          <w:highlight w:val="none"/>
        </w:rPr>
        <w:t>冗余电源。</w:t>
      </w:r>
    </w:p>
    <w:p w14:paraId="3FE358AA">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网络接口：</w:t>
      </w:r>
      <w:r>
        <w:rPr>
          <w:rFonts w:ascii="Times New Roman" w:hAnsi="Times New Roman"/>
          <w:color w:val="auto"/>
          <w:highlight w:val="none"/>
        </w:rPr>
        <w:t>2</w:t>
      </w:r>
      <w:r>
        <w:rPr>
          <w:rFonts w:hint="eastAsia" w:ascii="Times New Roman" w:hAnsi="Times New Roman"/>
          <w:color w:val="auto"/>
          <w:highlight w:val="none"/>
        </w:rPr>
        <w:t>个千兆数据网口，</w:t>
      </w:r>
      <w:r>
        <w:rPr>
          <w:rFonts w:ascii="Times New Roman" w:hAnsi="Times New Roman"/>
          <w:color w:val="auto"/>
          <w:highlight w:val="none"/>
        </w:rPr>
        <w:t>1</w:t>
      </w:r>
      <w:r>
        <w:rPr>
          <w:rFonts w:hint="eastAsia" w:ascii="Times New Roman" w:hAnsi="Times New Roman"/>
          <w:color w:val="auto"/>
          <w:highlight w:val="none"/>
        </w:rPr>
        <w:t>个千兆管理口。</w:t>
      </w:r>
    </w:p>
    <w:p w14:paraId="0FCD4CA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可扩展性：</w:t>
      </w:r>
      <w:r>
        <w:rPr>
          <w:rFonts w:ascii="Times New Roman" w:hAnsi="Times New Roman"/>
          <w:color w:val="auto"/>
          <w:highlight w:val="none"/>
        </w:rPr>
        <w:t>3</w:t>
      </w:r>
      <w:r>
        <w:rPr>
          <w:rFonts w:hint="eastAsia" w:ascii="Times New Roman" w:hAnsi="Times New Roman"/>
          <w:color w:val="auto"/>
          <w:highlight w:val="none"/>
        </w:rPr>
        <w:t>个</w:t>
      </w:r>
      <w:r>
        <w:rPr>
          <w:rFonts w:ascii="Times New Roman" w:hAnsi="Times New Roman"/>
          <w:color w:val="auto"/>
          <w:highlight w:val="none"/>
        </w:rPr>
        <w:t>PCIE</w:t>
      </w:r>
      <w:r>
        <w:rPr>
          <w:rFonts w:hint="eastAsia" w:ascii="Times New Roman" w:hAnsi="Times New Roman"/>
          <w:color w:val="auto"/>
          <w:highlight w:val="none"/>
        </w:rPr>
        <w:t>。</w:t>
      </w:r>
    </w:p>
    <w:p w14:paraId="52023C71">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机架式网络存储设备。</w:t>
      </w:r>
    </w:p>
    <w:p w14:paraId="3AD5A779">
      <w:pPr>
        <w:spacing w:line="360" w:lineRule="auto"/>
        <w:ind w:firstLine="480"/>
        <w:rPr>
          <w:rFonts w:ascii="Times New Roman" w:hAnsi="Times New Roman"/>
          <w:color w:val="auto"/>
          <w:highlight w:val="none"/>
        </w:rPr>
      </w:pPr>
      <w:r>
        <w:rPr>
          <w:rFonts w:hint="eastAsia" w:ascii="Times New Roman" w:hAnsi="Times New Roman"/>
          <w:color w:val="auto"/>
          <w:highlight w:val="none"/>
        </w:rPr>
        <w:t>【产品性能】</w:t>
      </w:r>
    </w:p>
    <w:p w14:paraId="3186A06E">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视频性能：最大接入路数</w:t>
      </w:r>
      <w:r>
        <w:rPr>
          <w:rFonts w:ascii="Times New Roman" w:hAnsi="Times New Roman"/>
          <w:color w:val="auto"/>
          <w:highlight w:val="none"/>
        </w:rPr>
        <w:t>550</w:t>
      </w:r>
      <w:r>
        <w:rPr>
          <w:rFonts w:hint="eastAsia" w:ascii="Times New Roman" w:hAnsi="Times New Roman"/>
          <w:color w:val="auto"/>
          <w:highlight w:val="none"/>
        </w:rPr>
        <w:t>路（网络输入带宽</w:t>
      </w:r>
      <w:r>
        <w:rPr>
          <w:rFonts w:ascii="Times New Roman" w:hAnsi="Times New Roman"/>
          <w:color w:val="auto"/>
          <w:highlight w:val="none"/>
        </w:rPr>
        <w:t>1100Mbps</w:t>
      </w:r>
      <w:r>
        <w:rPr>
          <w:rFonts w:hint="eastAsia" w:ascii="Times New Roman" w:hAnsi="Times New Roman"/>
          <w:color w:val="auto"/>
          <w:highlight w:val="none"/>
        </w:rPr>
        <w:t>）。</w:t>
      </w:r>
    </w:p>
    <w:p w14:paraId="14C55CC7">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回放性能：最大支持回放路数</w:t>
      </w:r>
      <w:r>
        <w:rPr>
          <w:rFonts w:ascii="Times New Roman" w:hAnsi="Times New Roman"/>
          <w:color w:val="auto"/>
          <w:highlight w:val="none"/>
        </w:rPr>
        <w:t>55</w:t>
      </w:r>
      <w:r>
        <w:rPr>
          <w:rFonts w:hint="eastAsia" w:ascii="Times New Roman" w:hAnsi="Times New Roman"/>
          <w:color w:val="auto"/>
          <w:highlight w:val="none"/>
        </w:rPr>
        <w:t>路。</w:t>
      </w:r>
    </w:p>
    <w:p w14:paraId="7284F656">
      <w:pPr>
        <w:spacing w:line="360" w:lineRule="auto"/>
        <w:ind w:firstLine="480"/>
        <w:rPr>
          <w:rFonts w:ascii="Times New Roman" w:hAnsi="Times New Roman"/>
          <w:color w:val="auto"/>
          <w:highlight w:val="none"/>
        </w:rPr>
      </w:pPr>
      <w:r>
        <w:rPr>
          <w:rFonts w:hint="eastAsia" w:ascii="Times New Roman" w:hAnsi="Times New Roman"/>
          <w:color w:val="auto"/>
          <w:highlight w:val="none"/>
        </w:rPr>
        <w:t>【产品功能】</w:t>
      </w:r>
    </w:p>
    <w:p w14:paraId="71EB3C59">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支持视频流直存。</w:t>
      </w:r>
    </w:p>
    <w:p w14:paraId="68770CF4">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w:t>
      </w:r>
      <w:r>
        <w:rPr>
          <w:rFonts w:ascii="Times New Roman" w:hAnsi="Times New Roman"/>
          <w:color w:val="auto"/>
          <w:highlight w:val="none"/>
        </w:rPr>
        <w:t>VRAID2.0</w:t>
      </w:r>
      <w:r>
        <w:rPr>
          <w:rFonts w:hint="eastAsia" w:ascii="Times New Roman" w:hAnsi="Times New Roman"/>
          <w:color w:val="auto"/>
          <w:highlight w:val="none"/>
        </w:rPr>
        <w:t>数据保护技术，实现空间和数据的精细化管理。</w:t>
      </w:r>
    </w:p>
    <w:p w14:paraId="3A38D8C3">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支持磁盘超容错处理，故障盘超过冗余限制，剩余硬盘数据可读，且新数据可正常写入。</w:t>
      </w:r>
    </w:p>
    <w:p w14:paraId="31E08ECD">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支持定时录像、手动录像等多种录像方式。</w:t>
      </w:r>
    </w:p>
    <w:p w14:paraId="0ED31FC6">
      <w:pPr>
        <w:pStyle w:val="42"/>
        <w:numPr>
          <w:ilvl w:val="0"/>
          <w:numId w:val="0"/>
        </w:numPr>
        <w:spacing w:line="360" w:lineRule="auto"/>
        <w:ind w:left="920" w:leftChars="0" w:hanging="440" w:firstLineChars="0"/>
        <w:rPr>
          <w:rFonts w:ascii="Times New Roman" w:hAnsi="Times New Roman"/>
          <w:color w:val="auto"/>
          <w:highlight w:val="none"/>
        </w:rPr>
      </w:pPr>
      <w:r>
        <w:rPr>
          <w:rFonts w:hint="default" w:ascii="Wingdings" w:hAnsi="Wingdings" w:eastAsia="宋体" w:cs="Cambria Math"/>
          <w:color w:val="auto"/>
          <w:kern w:val="2"/>
          <w:sz w:val="21"/>
          <w:szCs w:val="20"/>
          <w:highlight w:val="none"/>
          <w:lang w:val="en-US" w:eastAsia="zh-CN" w:bidi="ar-SA"/>
        </w:rPr>
        <w:t></w:t>
      </w:r>
      <w:r>
        <w:rPr>
          <w:rFonts w:hint="eastAsia" w:ascii="Times New Roman" w:hAnsi="Times New Roman"/>
          <w:color w:val="auto"/>
          <w:highlight w:val="none"/>
        </w:rPr>
        <w:t>支持关键视频数据的加锁保护功能，防止循环覆盖。</w:t>
      </w:r>
    </w:p>
    <w:p w14:paraId="473DDC9A">
      <w:pPr>
        <w:tabs>
          <w:tab w:val="left" w:pos="851"/>
        </w:tabs>
        <w:spacing w:line="360" w:lineRule="auto"/>
        <w:ind w:firstLine="480"/>
        <w:rPr>
          <w:rFonts w:ascii="宋体"/>
          <w:color w:val="auto"/>
          <w:highlight w:val="none"/>
        </w:rPr>
      </w:pPr>
      <w:r>
        <w:rPr>
          <w:rFonts w:hint="eastAsia" w:ascii="Times New Roman" w:hAnsi="Times New Roman"/>
          <w:color w:val="auto"/>
          <w:highlight w:val="none"/>
        </w:rPr>
        <w:t>支持多级运维管理，多渠道报警机制防止报警信息遗漏。</w:t>
      </w:r>
    </w:p>
    <w:p w14:paraId="03BC96EE">
      <w:pPr>
        <w:tabs>
          <w:tab w:val="left" w:pos="851"/>
        </w:tabs>
        <w:spacing w:line="360" w:lineRule="auto"/>
        <w:ind w:firstLine="480"/>
        <w:rPr>
          <w:rFonts w:ascii="宋体"/>
          <w:color w:val="auto"/>
          <w:highlight w:val="none"/>
        </w:rPr>
      </w:pPr>
      <w:r>
        <w:rPr>
          <w:rFonts w:hint="eastAsia" w:ascii="宋体"/>
          <w:color w:val="auto"/>
          <w:highlight w:val="none"/>
        </w:rPr>
        <w:t>6.2 甲方在收到货之日起10个工作日内（遇节假日顺延）进行到货签收并向乙方提供货物签收单，到货签收以合同所列产品清单为准。如对到货签收结果有异议，则应在乙方交货后10个工作日内（遇节假日顺延）向乙方提出，乙方应负责提供包括更换设备等形式直至签收合格，由此产生的费用由乙方负责。</w:t>
      </w:r>
    </w:p>
    <w:p w14:paraId="717AA210">
      <w:pPr>
        <w:tabs>
          <w:tab w:val="left" w:pos="851"/>
        </w:tabs>
        <w:spacing w:line="360" w:lineRule="auto"/>
        <w:ind w:firstLine="480"/>
        <w:rPr>
          <w:rFonts w:ascii="宋体"/>
          <w:color w:val="auto"/>
          <w:highlight w:val="none"/>
        </w:rPr>
      </w:pPr>
      <w:r>
        <w:rPr>
          <w:rFonts w:hint="eastAsia" w:ascii="宋体"/>
          <w:color w:val="auto"/>
          <w:highlight w:val="none"/>
        </w:rPr>
        <w:t>6.3 到货签收合格后，由乙方工程师进行设备安装、调试与系统集成，安装、调试与系统集成工作结束后乙方应向甲方提供安装服务报告和货物明细签收单，甲方</w:t>
      </w:r>
      <w:r>
        <w:rPr>
          <w:rFonts w:ascii="宋体"/>
          <w:color w:val="auto"/>
          <w:highlight w:val="none"/>
        </w:rPr>
        <w:t>签署</w:t>
      </w:r>
      <w:r>
        <w:rPr>
          <w:rFonts w:hint="eastAsia" w:ascii="宋体"/>
          <w:color w:val="auto"/>
          <w:highlight w:val="none"/>
        </w:rPr>
        <w:t>硬件设备签收表（具体</w:t>
      </w:r>
      <w:r>
        <w:rPr>
          <w:rFonts w:ascii="宋体"/>
          <w:color w:val="auto"/>
          <w:highlight w:val="none"/>
        </w:rPr>
        <w:t>详见附件</w:t>
      </w:r>
      <w:r>
        <w:rPr>
          <w:rFonts w:hint="eastAsia" w:ascii="宋体"/>
          <w:color w:val="auto"/>
          <w:highlight w:val="none"/>
        </w:rPr>
        <w:t>1）。</w:t>
      </w:r>
    </w:p>
    <w:p w14:paraId="53B050C7">
      <w:pPr>
        <w:tabs>
          <w:tab w:val="left" w:pos="851"/>
        </w:tabs>
        <w:spacing w:line="360" w:lineRule="auto"/>
        <w:ind w:firstLine="480"/>
        <w:rPr>
          <w:rFonts w:ascii="宋体"/>
          <w:color w:val="auto"/>
          <w:highlight w:val="none"/>
        </w:rPr>
      </w:pPr>
      <w:r>
        <w:rPr>
          <w:rFonts w:hint="eastAsia" w:ascii="宋体"/>
          <w:color w:val="auto"/>
          <w:highlight w:val="none"/>
        </w:rPr>
        <w:t xml:space="preserve">6.4 </w:t>
      </w:r>
      <w:r>
        <w:rPr>
          <w:rFonts w:ascii="宋体"/>
          <w:color w:val="auto"/>
          <w:highlight w:val="none"/>
        </w:rPr>
        <w:t>乙方需在运维监控中心区域新增硬盘录像机及至少8块8TB监控硬盘，增加至少64TB存储容量。同时，乙方需在设备机房监控系统扩展磁盘阵列，增加864TB存储空间，确保设备满足扩容需求并与现有系统兼容。</w:t>
      </w:r>
    </w:p>
    <w:p w14:paraId="207250C8">
      <w:pPr>
        <w:tabs>
          <w:tab w:val="left" w:pos="851"/>
        </w:tabs>
        <w:spacing w:line="360" w:lineRule="auto"/>
        <w:ind w:firstLine="480"/>
        <w:rPr>
          <w:rFonts w:ascii="宋体"/>
          <w:color w:val="auto"/>
          <w:highlight w:val="none"/>
        </w:rPr>
      </w:pPr>
      <w:r>
        <w:rPr>
          <w:rFonts w:hint="eastAsia" w:ascii="宋体"/>
          <w:color w:val="auto"/>
          <w:highlight w:val="none"/>
        </w:rPr>
        <w:t>6.5 乙方需在运维监控中心区域新增硬盘录像机及至少8块8TB监控硬盘，增加至少64TB存储容量。同时，乙方需在设备机房监控系统扩展磁盘阵列，增加864TB存储空间，确保设备满足扩容需求并与现有系统兼容。</w:t>
      </w:r>
    </w:p>
    <w:p w14:paraId="5FB11E9E">
      <w:pPr>
        <w:tabs>
          <w:tab w:val="left" w:pos="851"/>
        </w:tabs>
        <w:spacing w:line="360" w:lineRule="auto"/>
        <w:ind w:firstLine="480"/>
        <w:rPr>
          <w:rFonts w:ascii="宋体"/>
          <w:color w:val="auto"/>
          <w:highlight w:val="none"/>
        </w:rPr>
      </w:pPr>
      <w:r>
        <w:rPr>
          <w:rFonts w:hint="eastAsia" w:ascii="宋体"/>
          <w:color w:val="auto"/>
          <w:highlight w:val="none"/>
        </w:rPr>
        <w:t>6.6 乙方需保证所有新增存储设备与重庆三峡银行西永数据中心现有的综合安防管理平台（海康威视iVMS-8700）完全兼容，并能够与现有的安防摄像头（制造商：海康威视）无缝连接，确保系统的稳定运行。</w:t>
      </w:r>
    </w:p>
    <w:p w14:paraId="61B1E2E1">
      <w:pPr>
        <w:tabs>
          <w:tab w:val="left" w:pos="851"/>
        </w:tabs>
        <w:spacing w:line="360" w:lineRule="auto"/>
        <w:ind w:firstLine="480"/>
        <w:rPr>
          <w:rFonts w:ascii="宋体"/>
          <w:color w:val="auto"/>
          <w:highlight w:val="none"/>
        </w:rPr>
      </w:pPr>
      <w:r>
        <w:rPr>
          <w:rFonts w:hint="eastAsia" w:ascii="宋体"/>
          <w:color w:val="auto"/>
          <w:highlight w:val="none"/>
        </w:rPr>
        <w:t>6.7 在扩容过程中，乙方应采取必要的技术措施，确保现有存储数据的完整性与安全性，杜绝数据丢失的风险。如因扩容过程中的失误导致现有数据丢失或损坏，乙方应承担全部责任并进行相应赔偿。</w:t>
      </w:r>
    </w:p>
    <w:p w14:paraId="107BE05D">
      <w:pPr>
        <w:tabs>
          <w:tab w:val="left" w:pos="851"/>
        </w:tabs>
        <w:spacing w:line="360" w:lineRule="auto"/>
        <w:ind w:firstLine="480"/>
        <w:rPr>
          <w:rFonts w:ascii="宋体"/>
          <w:color w:val="auto"/>
          <w:highlight w:val="none"/>
        </w:rPr>
      </w:pPr>
      <w:r>
        <w:rPr>
          <w:rFonts w:hint="eastAsia" w:ascii="宋体"/>
          <w:color w:val="auto"/>
          <w:highlight w:val="none"/>
        </w:rPr>
        <w:t>6.8 测试与验收</w:t>
      </w:r>
    </w:p>
    <w:p w14:paraId="74F6E6A6">
      <w:pPr>
        <w:tabs>
          <w:tab w:val="left" w:pos="851"/>
        </w:tabs>
        <w:spacing w:line="360" w:lineRule="auto"/>
        <w:ind w:firstLine="480"/>
        <w:rPr>
          <w:rFonts w:ascii="宋体"/>
          <w:color w:val="auto"/>
          <w:highlight w:val="none"/>
        </w:rPr>
      </w:pPr>
      <w:r>
        <w:rPr>
          <w:rFonts w:hint="eastAsia" w:ascii="宋体"/>
          <w:color w:val="auto"/>
          <w:highlight w:val="none"/>
        </w:rPr>
        <w:t>设备安装、调试完成后，乙方需进行功能测试和系统兼容性验证，确保系统与新增设备的稳定运行。所有新增设备需经过至少1个月的无故障稳定运行，方可进行最终验收。在此期间，如设备出现故障或不兼容现象，乙方应负责及时更换或修复，确保系统满足项目需求。</w:t>
      </w:r>
    </w:p>
    <w:p w14:paraId="3EFB655E">
      <w:pPr>
        <w:tabs>
          <w:tab w:val="left" w:pos="851"/>
        </w:tabs>
        <w:spacing w:line="360" w:lineRule="auto"/>
        <w:ind w:firstLine="480"/>
        <w:rPr>
          <w:rFonts w:ascii="宋体"/>
          <w:color w:val="auto"/>
          <w:highlight w:val="none"/>
        </w:rPr>
      </w:pPr>
      <w:r>
        <w:rPr>
          <w:rFonts w:hint="eastAsia" w:ascii="宋体"/>
          <w:color w:val="auto"/>
          <w:highlight w:val="none"/>
        </w:rPr>
        <w:t>6.9 满足验收条件后，乙方可申请项目验收，经甲方确认后，签署最终验收表（具体</w:t>
      </w:r>
      <w:r>
        <w:rPr>
          <w:rFonts w:ascii="宋体"/>
          <w:color w:val="auto"/>
          <w:highlight w:val="none"/>
        </w:rPr>
        <w:t>详见附件</w:t>
      </w:r>
      <w:r>
        <w:rPr>
          <w:rFonts w:hint="eastAsia" w:ascii="宋体"/>
          <w:color w:val="auto"/>
          <w:highlight w:val="none"/>
        </w:rPr>
        <w:t>2），视为验收合格。</w:t>
      </w:r>
    </w:p>
    <w:p w14:paraId="4D6C92C0">
      <w:pPr>
        <w:tabs>
          <w:tab w:val="left" w:pos="851"/>
        </w:tabs>
        <w:spacing w:line="360" w:lineRule="auto"/>
        <w:ind w:firstLine="480"/>
        <w:rPr>
          <w:rFonts w:ascii="宋体"/>
          <w:color w:val="auto"/>
          <w:highlight w:val="none"/>
        </w:rPr>
      </w:pPr>
      <w:r>
        <w:rPr>
          <w:rFonts w:hint="eastAsia" w:ascii="宋体"/>
          <w:color w:val="auto"/>
          <w:highlight w:val="none"/>
        </w:rPr>
        <w:t xml:space="preserve">6.10 </w:t>
      </w:r>
      <w:r>
        <w:rPr>
          <w:rFonts w:hint="eastAsia"/>
          <w:color w:val="auto"/>
          <w:highlight w:val="none"/>
        </w:rPr>
        <w:t>乙方在本项目中【使用/未使用】第三方</w:t>
      </w:r>
      <w:r>
        <w:rPr>
          <w:color w:val="auto"/>
          <w:highlight w:val="none"/>
        </w:rPr>
        <w:t>产品</w:t>
      </w:r>
      <w:r>
        <w:rPr>
          <w:rFonts w:hint="eastAsia"/>
          <w:color w:val="auto"/>
          <w:highlight w:val="none"/>
        </w:rPr>
        <w:t>，</w:t>
      </w:r>
      <w:r>
        <w:rPr>
          <w:color w:val="auto"/>
          <w:highlight w:val="none"/>
        </w:rPr>
        <w:t>包括第三方</w:t>
      </w:r>
      <w:r>
        <w:rPr>
          <w:rFonts w:hint="eastAsia"/>
          <w:color w:val="auto"/>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5946B427">
      <w:pPr>
        <w:tabs>
          <w:tab w:val="left" w:pos="851"/>
        </w:tabs>
        <w:spacing w:line="360" w:lineRule="auto"/>
        <w:ind w:firstLine="48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087A254C">
      <w:pPr>
        <w:tabs>
          <w:tab w:val="left" w:pos="851"/>
        </w:tabs>
        <w:spacing w:line="360" w:lineRule="auto"/>
        <w:ind w:firstLine="48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50F58204">
      <w:pPr>
        <w:tabs>
          <w:tab w:val="left" w:pos="851"/>
        </w:tabs>
        <w:spacing w:line="360" w:lineRule="auto"/>
        <w:ind w:firstLine="480"/>
        <w:rPr>
          <w:color w:val="auto"/>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Fonts w:hint="eastAsia"/>
          <w:color w:val="auto"/>
          <w:highlight w:val="none"/>
        </w:rPr>
        <w:t>第三方产品出现安全漏洞</w:t>
      </w:r>
      <w:r>
        <w:rPr>
          <w:rFonts w:hint="eastAsia" w:ascii="宋体"/>
          <w:color w:val="auto"/>
          <w:highlight w:val="none"/>
        </w:rPr>
        <w:t>或违反个人信息保护相关法规，</w:t>
      </w:r>
      <w:r>
        <w:rPr>
          <w:rFonts w:hint="eastAsia"/>
          <w:color w:val="auto"/>
          <w:highlight w:val="none"/>
        </w:rPr>
        <w:t>甲方有权要求乙方进行修复，若因此给甲方造成损失的，甲方有权随时向乙方追偿。</w:t>
      </w:r>
    </w:p>
    <w:p w14:paraId="7589B023">
      <w:pPr>
        <w:tabs>
          <w:tab w:val="left" w:pos="851"/>
        </w:tabs>
        <w:spacing w:line="360" w:lineRule="auto"/>
        <w:ind w:firstLine="480"/>
        <w:rPr>
          <w:color w:val="auto"/>
          <w:highlight w:val="none"/>
        </w:rPr>
      </w:pPr>
      <w:r>
        <w:rPr>
          <w:rFonts w:hint="eastAsia" w:ascii="宋体"/>
          <w:color w:val="auto"/>
          <w:highlight w:val="none"/>
        </w:rPr>
        <w:t xml:space="preserve">6.11 </w:t>
      </w:r>
      <w:r>
        <w:rPr>
          <w:rFonts w:hint="eastAsia"/>
          <w:color w:val="auto"/>
          <w:highlight w:val="none"/>
        </w:rPr>
        <w:t>乙方保证向甲方提供的项目产品（含第三方产品）的安全性、合规性，保证无恶意脚本、后门及恶意漏洞，不携带任何病毒，不越权收集、处理客户信息。</w:t>
      </w:r>
    </w:p>
    <w:p w14:paraId="3E372301">
      <w:pPr>
        <w:tabs>
          <w:tab w:val="left" w:pos="851"/>
        </w:tabs>
        <w:spacing w:line="360" w:lineRule="auto"/>
        <w:ind w:firstLine="480"/>
        <w:rPr>
          <w:rFonts w:ascii="宋体"/>
          <w:color w:val="auto"/>
          <w:highlight w:val="none"/>
        </w:rPr>
      </w:pPr>
      <w:r>
        <w:rPr>
          <w:rFonts w:hint="eastAsia" w:ascii="宋体"/>
          <w:color w:val="auto"/>
          <w:highlight w:val="none"/>
        </w:rPr>
        <w:t>6.12 乙方向甲方提供的产品和服务不会有任何第三方主张权利，也不会侵害任何第三方的合法权益，包括知识产权。</w:t>
      </w:r>
    </w:p>
    <w:p w14:paraId="6446B39B">
      <w:pPr>
        <w:tabs>
          <w:tab w:val="left" w:pos="851"/>
        </w:tabs>
        <w:spacing w:line="360" w:lineRule="auto"/>
        <w:ind w:firstLine="480"/>
        <w:rPr>
          <w:rFonts w:ascii="宋体"/>
          <w:color w:val="auto"/>
          <w:highlight w:val="none"/>
        </w:rPr>
      </w:pPr>
    </w:p>
    <w:p w14:paraId="07651DC6">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第七条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质量保证和售后服务</w:t>
      </w:r>
    </w:p>
    <w:p w14:paraId="4D33EDF3">
      <w:pPr>
        <w:tabs>
          <w:tab w:val="left" w:pos="851"/>
        </w:tabs>
        <w:spacing w:line="360" w:lineRule="auto"/>
        <w:ind w:firstLine="480"/>
        <w:rPr>
          <w:rFonts w:ascii="宋体"/>
          <w:color w:val="auto"/>
          <w:highlight w:val="none"/>
        </w:rPr>
      </w:pPr>
      <w:r>
        <w:rPr>
          <w:rFonts w:hint="eastAsia" w:ascii="宋体"/>
          <w:color w:val="auto"/>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5C3C65E2">
      <w:pPr>
        <w:tabs>
          <w:tab w:val="left" w:pos="851"/>
        </w:tabs>
        <w:spacing w:line="360" w:lineRule="auto"/>
        <w:ind w:firstLine="480"/>
        <w:rPr>
          <w:rFonts w:ascii="宋体"/>
          <w:color w:val="auto"/>
          <w:highlight w:val="none"/>
        </w:rPr>
      </w:pPr>
      <w:r>
        <w:rPr>
          <w:rFonts w:hint="eastAsia" w:ascii="宋体"/>
          <w:color w:val="auto"/>
          <w:highlight w:val="none"/>
        </w:rPr>
        <w:t>7</w:t>
      </w:r>
      <w:r>
        <w:rPr>
          <w:rFonts w:ascii="宋体"/>
          <w:color w:val="auto"/>
          <w:highlight w:val="none"/>
        </w:rPr>
        <w:t>.2 在质保期内如果合同设备出现故障</w:t>
      </w:r>
      <w:r>
        <w:rPr>
          <w:rFonts w:hint="eastAsia" w:ascii="宋体"/>
          <w:color w:val="auto"/>
          <w:highlight w:val="none"/>
        </w:rPr>
        <w:t>，</w:t>
      </w:r>
      <w:r>
        <w:rPr>
          <w:rFonts w:ascii="宋体"/>
          <w:color w:val="auto"/>
          <w:highlight w:val="none"/>
        </w:rPr>
        <w:t>乙方应提供质保服务</w:t>
      </w:r>
      <w:r>
        <w:rPr>
          <w:rFonts w:hint="eastAsia" w:ascii="宋体"/>
          <w:color w:val="auto"/>
          <w:highlight w:val="none"/>
        </w:rPr>
        <w:t>，</w:t>
      </w:r>
      <w:r>
        <w:rPr>
          <w:rFonts w:ascii="宋体"/>
          <w:color w:val="auto"/>
          <w:highlight w:val="none"/>
        </w:rPr>
        <w:t>对合同设备进行修理或更换以消除故障</w:t>
      </w:r>
      <w:r>
        <w:rPr>
          <w:rFonts w:hint="eastAsia" w:ascii="宋体"/>
          <w:color w:val="auto"/>
          <w:highlight w:val="none"/>
        </w:rPr>
        <w:t>。</w:t>
      </w:r>
      <w:r>
        <w:rPr>
          <w:rFonts w:ascii="宋体"/>
          <w:color w:val="auto"/>
          <w:highlight w:val="none"/>
        </w:rPr>
        <w:t>质保期内的维护服务内容见附件</w:t>
      </w:r>
      <w:r>
        <w:rPr>
          <w:rFonts w:hint="eastAsia" w:ascii="宋体"/>
          <w:color w:val="auto"/>
          <w:highlight w:val="none"/>
        </w:rPr>
        <w:t>3</w:t>
      </w:r>
      <w:r>
        <w:rPr>
          <w:rFonts w:ascii="宋体"/>
          <w:color w:val="auto"/>
          <w:highlight w:val="none"/>
        </w:rPr>
        <w:t>。</w:t>
      </w:r>
    </w:p>
    <w:p w14:paraId="478934A3">
      <w:pPr>
        <w:tabs>
          <w:tab w:val="left" w:pos="851"/>
        </w:tabs>
        <w:spacing w:line="360" w:lineRule="auto"/>
        <w:ind w:firstLine="480"/>
        <w:rPr>
          <w:rFonts w:ascii="宋体"/>
          <w:color w:val="auto"/>
          <w:highlight w:val="none"/>
        </w:rPr>
      </w:pPr>
      <w:r>
        <w:rPr>
          <w:rFonts w:hint="eastAsia" w:ascii="宋体"/>
          <w:color w:val="auto"/>
          <w:highlight w:val="none"/>
        </w:rPr>
        <w:t>7.</w:t>
      </w:r>
      <w:r>
        <w:rPr>
          <w:rFonts w:ascii="宋体"/>
          <w:color w:val="auto"/>
          <w:highlight w:val="none"/>
        </w:rPr>
        <w:t>3</w:t>
      </w:r>
      <w:r>
        <w:rPr>
          <w:rFonts w:hint="eastAsia" w:ascii="宋体"/>
          <w:color w:val="auto"/>
          <w:highlight w:val="none"/>
        </w:rPr>
        <w:t xml:space="preserve"> 质保期到期后【5】年内，本合同项下产品可选择</w:t>
      </w:r>
      <w:r>
        <w:rPr>
          <w:rFonts w:ascii="宋体"/>
          <w:color w:val="auto"/>
          <w:highlight w:val="none"/>
        </w:rPr>
        <w:t>乙方</w:t>
      </w:r>
      <w:r>
        <w:rPr>
          <w:rFonts w:hint="eastAsia" w:ascii="宋体"/>
          <w:color w:val="auto"/>
          <w:highlight w:val="none"/>
        </w:rPr>
        <w:t>质保服务。</w:t>
      </w:r>
    </w:p>
    <w:p w14:paraId="75B524E8">
      <w:pPr>
        <w:tabs>
          <w:tab w:val="left" w:pos="851"/>
        </w:tabs>
        <w:spacing w:line="360" w:lineRule="auto"/>
        <w:ind w:firstLine="480"/>
        <w:rPr>
          <w:rFonts w:ascii="宋体"/>
          <w:color w:val="auto"/>
          <w:highlight w:val="none"/>
        </w:rPr>
      </w:pPr>
      <w:r>
        <w:rPr>
          <w:rFonts w:hint="eastAsia" w:ascii="宋体"/>
          <w:color w:val="auto"/>
          <w:highlight w:val="none"/>
        </w:rPr>
        <w:t>7.</w:t>
      </w:r>
      <w:r>
        <w:rPr>
          <w:rFonts w:ascii="宋体"/>
          <w:color w:val="auto"/>
          <w:highlight w:val="none"/>
        </w:rPr>
        <w:t>4</w:t>
      </w:r>
      <w:r>
        <w:rPr>
          <w:rFonts w:hint="eastAsia" w:ascii="宋体"/>
          <w:color w:val="auto"/>
          <w:highlight w:val="none"/>
        </w:rPr>
        <w:t xml:space="preserve"> 质保期到期后【5】年内，</w:t>
      </w:r>
      <w:r>
        <w:rPr>
          <w:rFonts w:hint="eastAsia"/>
          <w:color w:val="auto"/>
          <w:highlight w:val="none"/>
        </w:rPr>
        <w:t>如</w:t>
      </w:r>
      <w:r>
        <w:rPr>
          <w:rFonts w:hint="eastAsia" w:ascii="宋体"/>
          <w:color w:val="auto"/>
          <w:highlight w:val="none"/>
        </w:rPr>
        <w:t>甲方需要乙方提供质保服务或代理生产厂商服务,乙方应予提供。质保期结束后，由双方另行协商并签订质保技术服务合同约定产品质保期限和费用。甲方有权选择是否继续向乙方购买质保，乙方无权要求甲方对未使用质保服务的期间支付费用。</w:t>
      </w:r>
    </w:p>
    <w:p w14:paraId="4155D45D">
      <w:pPr>
        <w:tabs>
          <w:tab w:val="left" w:pos="851"/>
        </w:tabs>
        <w:spacing w:line="360" w:lineRule="auto"/>
        <w:ind w:firstLine="480"/>
        <w:rPr>
          <w:rFonts w:ascii="宋体"/>
          <w:color w:val="auto"/>
          <w:highlight w:val="none"/>
        </w:rPr>
      </w:pPr>
      <w:r>
        <w:rPr>
          <w:rFonts w:hint="eastAsia" w:ascii="Times New Roman" w:hAnsi="Times New Roman"/>
          <w:color w:val="auto"/>
          <w:highlight w:val="none"/>
        </w:rPr>
        <w:t>7.5 乙方在项目验收时须提供所有产品生产企业的书面质保承诺文件，承诺所供产品的质保期限和相应的服务保障措施。质保承诺须由产品生产企业直接出具，内容包括但不限于质保期内的免费维修、更换、技术支持等服务的具体内容，明确质保起始日期、责任范围及排除项。质保期应从项目</w:t>
      </w:r>
      <w:r>
        <w:rPr>
          <w:color w:val="auto"/>
          <w:highlight w:val="none"/>
        </w:rPr>
        <w:t>验收后次日</w:t>
      </w:r>
      <w:r>
        <w:rPr>
          <w:rFonts w:hint="eastAsia" w:ascii="Times New Roman" w:hAnsi="Times New Roman"/>
          <w:color w:val="auto"/>
          <w:highlight w:val="none"/>
        </w:rPr>
        <w:t>起计算，</w:t>
      </w:r>
      <w:r>
        <w:rPr>
          <w:color w:val="auto"/>
          <w:highlight w:val="none"/>
        </w:rPr>
        <w:t>结束时间需为</w:t>
      </w:r>
      <w:r>
        <w:rPr>
          <w:rFonts w:hint="eastAsia"/>
          <w:color w:val="auto"/>
          <w:highlight w:val="none"/>
        </w:rPr>
        <w:t>质保</w:t>
      </w:r>
      <w:r>
        <w:rPr>
          <w:color w:val="auto"/>
          <w:highlight w:val="none"/>
        </w:rPr>
        <w:t>到期当年的6月30日或12月31日中较近日期</w:t>
      </w:r>
      <w:r>
        <w:rPr>
          <w:rFonts w:hint="eastAsia" w:ascii="Times New Roman" w:hAnsi="Times New Roman"/>
          <w:color w:val="auto"/>
          <w:highlight w:val="none"/>
        </w:rPr>
        <w:t>。</w:t>
      </w:r>
    </w:p>
    <w:p w14:paraId="14C0C5D6">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第八条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保管风险</w:t>
      </w:r>
    </w:p>
    <w:p w14:paraId="4272523F">
      <w:pPr>
        <w:tabs>
          <w:tab w:val="left" w:pos="851"/>
        </w:tabs>
        <w:spacing w:line="360" w:lineRule="auto"/>
        <w:ind w:firstLine="480"/>
        <w:rPr>
          <w:rFonts w:ascii="宋体"/>
          <w:color w:val="auto"/>
          <w:highlight w:val="none"/>
        </w:rPr>
      </w:pPr>
      <w:r>
        <w:rPr>
          <w:rFonts w:hint="eastAsia" w:ascii="宋体"/>
          <w:color w:val="auto"/>
          <w:highlight w:val="none"/>
        </w:rPr>
        <w:t>从本合同生效起，到乙方将设备交付甲方并</w:t>
      </w:r>
      <w:r>
        <w:rPr>
          <w:rFonts w:ascii="宋体"/>
          <w:color w:val="auto"/>
          <w:highlight w:val="none"/>
        </w:rPr>
        <w:t>经甲方</w:t>
      </w:r>
      <w:r>
        <w:rPr>
          <w:rFonts w:hint="eastAsia" w:ascii="宋体"/>
          <w:color w:val="auto"/>
          <w:highlight w:val="none"/>
        </w:rPr>
        <w:t>签收合格前，本合同中所列的设备的保管风险由乙方承担。在乙方将货物按本合同所定的交货地点交货由甲方签收合格后，货物的保管风险自动转移至甲方，乙方不再承担任何保管责任。</w:t>
      </w:r>
    </w:p>
    <w:p w14:paraId="36CA1ADF">
      <w:pPr>
        <w:tabs>
          <w:tab w:val="left" w:pos="851"/>
        </w:tabs>
        <w:spacing w:line="360" w:lineRule="auto"/>
        <w:ind w:firstLine="480"/>
        <w:rPr>
          <w:rFonts w:ascii="宋体"/>
          <w:color w:val="auto"/>
          <w:highlight w:val="none"/>
        </w:rPr>
      </w:pPr>
    </w:p>
    <w:p w14:paraId="0275AAA4">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第九条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违约责任</w:t>
      </w:r>
    </w:p>
    <w:p w14:paraId="77200FF2">
      <w:pPr>
        <w:tabs>
          <w:tab w:val="left" w:pos="851"/>
        </w:tabs>
        <w:spacing w:line="360" w:lineRule="auto"/>
        <w:ind w:firstLine="480"/>
        <w:rPr>
          <w:rFonts w:ascii="宋体"/>
          <w:color w:val="auto"/>
          <w:highlight w:val="none"/>
        </w:rPr>
      </w:pPr>
      <w:r>
        <w:rPr>
          <w:rFonts w:hint="eastAsia" w:ascii="宋体"/>
          <w:color w:val="auto"/>
          <w:highlight w:val="none"/>
        </w:rPr>
        <w:t>9.1 如果乙方无法按时交货（含</w:t>
      </w:r>
      <w:r>
        <w:rPr>
          <w:rFonts w:ascii="宋体"/>
          <w:color w:val="auto"/>
          <w:highlight w:val="none"/>
        </w:rPr>
        <w:t>乙方交货后未通过甲方验收</w:t>
      </w:r>
      <w:r>
        <w:rPr>
          <w:rFonts w:hint="eastAsia" w:ascii="宋体"/>
          <w:color w:val="auto"/>
          <w:highlight w:val="none"/>
        </w:rPr>
        <w:t>），每延迟五个工作日，乙方须向甲方支付迟交货物总额的百分之一的违约金。乙方延迟交货三十个工作日以上，甲方有权终止合同，不予支付任何费用，由此造成的甲方损失由乙方承担。</w:t>
      </w:r>
    </w:p>
    <w:p w14:paraId="2410A3DD">
      <w:pPr>
        <w:tabs>
          <w:tab w:val="left" w:pos="851"/>
        </w:tabs>
        <w:spacing w:line="360" w:lineRule="auto"/>
        <w:ind w:firstLine="480"/>
        <w:rPr>
          <w:rFonts w:ascii="宋体"/>
          <w:color w:val="auto"/>
          <w:highlight w:val="none"/>
        </w:rPr>
      </w:pPr>
      <w:r>
        <w:rPr>
          <w:rFonts w:hint="eastAsia" w:ascii="宋体"/>
          <w:color w:val="auto"/>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D6B23E3">
      <w:pPr>
        <w:tabs>
          <w:tab w:val="left" w:pos="851"/>
        </w:tabs>
        <w:spacing w:line="360" w:lineRule="auto"/>
        <w:ind w:firstLine="480"/>
        <w:rPr>
          <w:rFonts w:ascii="宋体"/>
          <w:color w:val="auto"/>
          <w:highlight w:val="none"/>
        </w:rPr>
      </w:pPr>
      <w:r>
        <w:rPr>
          <w:rFonts w:hint="eastAsia" w:ascii="宋体"/>
          <w:color w:val="auto"/>
          <w:highlight w:val="none"/>
        </w:rPr>
        <w:t>9.3 如果乙方在质保期内未按合同附件要求提供服务（含生产厂商服务），每违反一条，乙方需向甲方支付合同总额百分之五的违约金。若乙方未按约履行质保义务（含</w:t>
      </w:r>
      <w:r>
        <w:rPr>
          <w:rFonts w:ascii="宋体"/>
          <w:color w:val="auto"/>
          <w:highlight w:val="none"/>
        </w:rPr>
        <w:t>生产厂商</w:t>
      </w:r>
      <w:r>
        <w:rPr>
          <w:rFonts w:hint="eastAsia" w:ascii="宋体"/>
          <w:color w:val="auto"/>
          <w:highlight w:val="none"/>
        </w:rPr>
        <w:t>未履行质保），甲方有权自行或另行委托第三方维修，由此产生的费用甲方有权直接从质保金中扣除。</w:t>
      </w:r>
    </w:p>
    <w:p w14:paraId="024C83B3">
      <w:pPr>
        <w:tabs>
          <w:tab w:val="left" w:pos="851"/>
        </w:tabs>
        <w:spacing w:line="360" w:lineRule="auto"/>
        <w:ind w:firstLine="480"/>
        <w:rPr>
          <w:rFonts w:ascii="宋体"/>
          <w:color w:val="auto"/>
          <w:highlight w:val="none"/>
        </w:rPr>
      </w:pPr>
      <w:r>
        <w:rPr>
          <w:rFonts w:hint="eastAsia" w:ascii="宋体"/>
          <w:color w:val="auto"/>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4C652166">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5</w:t>
      </w:r>
      <w:r>
        <w:rPr>
          <w:rFonts w:hint="eastAsia" w:ascii="宋体"/>
          <w:color w:val="auto"/>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5EBF28D0">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.6 若乙方合作的第三方停止生产和维护本项目产品中的某些部件或组件</w:t>
      </w:r>
      <w:r>
        <w:rPr>
          <w:rFonts w:hint="eastAsia" w:ascii="宋体"/>
          <w:color w:val="auto"/>
          <w:highlight w:val="none"/>
        </w:rPr>
        <w:t>，</w:t>
      </w:r>
      <w:r>
        <w:rPr>
          <w:rFonts w:ascii="宋体"/>
          <w:color w:val="auto"/>
          <w:highlight w:val="none"/>
        </w:rPr>
        <w:t>乙方应立即采取替代方案消除对甲方产生的影响</w:t>
      </w:r>
      <w:r>
        <w:rPr>
          <w:rFonts w:hint="eastAsia" w:ascii="宋体"/>
          <w:color w:val="auto"/>
          <w:highlight w:val="none"/>
        </w:rPr>
        <w:t>，</w:t>
      </w:r>
      <w:r>
        <w:rPr>
          <w:rFonts w:ascii="宋体"/>
          <w:color w:val="auto"/>
          <w:highlight w:val="none"/>
        </w:rPr>
        <w:t>若因此给甲方造成</w:t>
      </w:r>
      <w:r>
        <w:rPr>
          <w:rFonts w:hint="eastAsia" w:ascii="宋体"/>
          <w:color w:val="auto"/>
          <w:highlight w:val="none"/>
        </w:rPr>
        <w:t>任何损失，乙方应承担赔偿责任。</w:t>
      </w:r>
    </w:p>
    <w:p w14:paraId="668D8D79">
      <w:pPr>
        <w:spacing w:line="360" w:lineRule="auto"/>
        <w:ind w:firstLine="480"/>
        <w:rPr>
          <w:rFonts w:ascii="宋体"/>
          <w:color w:val="auto"/>
          <w:highlight w:val="none"/>
        </w:rPr>
      </w:pPr>
      <w:r>
        <w:rPr>
          <w:rFonts w:ascii="宋体"/>
          <w:color w:val="auto"/>
          <w:highlight w:val="none"/>
        </w:rPr>
        <w:t>9</w:t>
      </w:r>
      <w:r>
        <w:rPr>
          <w:rFonts w:hint="eastAsia" w:ascii="宋体"/>
          <w:color w:val="auto"/>
          <w:highlight w:val="none"/>
        </w:rPr>
        <w:t>.7本合同项下乙方应支付的违约金、赔偿金等，甲方均有权从应支付给乙方的任意一笔款项中优先扣除，若有不足，乙方应另行筹措资金补足。</w:t>
      </w:r>
    </w:p>
    <w:p w14:paraId="5F7959F5">
      <w:pPr>
        <w:spacing w:line="360" w:lineRule="auto"/>
        <w:ind w:firstLine="480"/>
        <w:rPr>
          <w:rFonts w:ascii="宋体"/>
          <w:color w:val="auto"/>
          <w:highlight w:val="none"/>
        </w:rPr>
      </w:pPr>
    </w:p>
    <w:p w14:paraId="4D7D07A3">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不可抗力</w:t>
      </w:r>
    </w:p>
    <w:p w14:paraId="509AC6D0">
      <w:pPr>
        <w:tabs>
          <w:tab w:val="left" w:pos="851"/>
        </w:tabs>
        <w:spacing w:line="360" w:lineRule="auto"/>
        <w:ind w:firstLine="480"/>
        <w:rPr>
          <w:rFonts w:ascii="宋体"/>
          <w:color w:val="auto"/>
          <w:highlight w:val="none"/>
        </w:rPr>
      </w:pPr>
      <w:r>
        <w:rPr>
          <w:rFonts w:hint="eastAsia" w:ascii="宋体"/>
          <w:color w:val="auto"/>
          <w:highlight w:val="none"/>
        </w:rPr>
        <w:t>10.1不可抗力是指本合同生效后，发生不能预见并且对其发生和后果不能防止或避免的事件，如地震、台风、水灾、火灾、战争、传染病等，致使直接影响本合同的履行或不能按约定的条件履行。</w:t>
      </w:r>
    </w:p>
    <w:p w14:paraId="5CCA0828">
      <w:pPr>
        <w:tabs>
          <w:tab w:val="left" w:pos="851"/>
        </w:tabs>
        <w:spacing w:line="360" w:lineRule="auto"/>
        <w:ind w:firstLine="480"/>
        <w:rPr>
          <w:rFonts w:ascii="宋体"/>
          <w:color w:val="auto"/>
          <w:highlight w:val="none"/>
        </w:rPr>
      </w:pPr>
      <w:r>
        <w:rPr>
          <w:rFonts w:hint="eastAsia" w:ascii="宋体"/>
          <w:color w:val="auto"/>
          <w:highlight w:val="none"/>
        </w:rPr>
        <w:t>10.2发生不可抗力的一方应立即通知对方，并在十五天内提供不可抗力的详情及将有关证明文件送交对方。</w:t>
      </w:r>
    </w:p>
    <w:p w14:paraId="4DA7C444">
      <w:pPr>
        <w:tabs>
          <w:tab w:val="left" w:pos="851"/>
        </w:tabs>
        <w:spacing w:line="360" w:lineRule="auto"/>
        <w:ind w:firstLine="480"/>
        <w:rPr>
          <w:rFonts w:ascii="宋体"/>
          <w:color w:val="auto"/>
          <w:highlight w:val="none"/>
        </w:rPr>
      </w:pPr>
      <w:r>
        <w:rPr>
          <w:rFonts w:hint="eastAsia" w:ascii="宋体"/>
          <w:color w:val="auto"/>
          <w:highlight w:val="none"/>
        </w:rPr>
        <w:t>10.3发生不可抗力事件时，甲乙双方应协商以寻找一个合理的解决方法，并尽一切努力减轻不可抗力产生的后果。</w:t>
      </w:r>
    </w:p>
    <w:p w14:paraId="38214776">
      <w:pPr>
        <w:tabs>
          <w:tab w:val="left" w:pos="851"/>
        </w:tabs>
        <w:spacing w:line="360" w:lineRule="auto"/>
        <w:ind w:firstLine="480"/>
        <w:rPr>
          <w:rFonts w:ascii="宋体"/>
          <w:color w:val="auto"/>
          <w:highlight w:val="none"/>
        </w:rPr>
      </w:pPr>
      <w:r>
        <w:rPr>
          <w:rFonts w:hint="eastAsia" w:ascii="宋体"/>
          <w:color w:val="auto"/>
          <w:highlight w:val="none"/>
        </w:rPr>
        <w:t>10.4如不可抗力事件持续三十天时，甲乙双方应友好协商解决本合同是否继续履行或终止的问题。</w:t>
      </w:r>
    </w:p>
    <w:p w14:paraId="6FBF3CC7">
      <w:pPr>
        <w:numPr>
          <w:ilvl w:val="0"/>
          <w:numId w:val="0"/>
        </w:numPr>
        <w:tabs>
          <w:tab w:val="left" w:pos="1276"/>
        </w:tabs>
        <w:autoSpaceDE/>
        <w:autoSpaceDN/>
        <w:spacing w:before="240" w:line="360" w:lineRule="auto"/>
        <w:ind w:left="454" w:leftChars="0" w:hanging="454"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第十一条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争议解决</w:t>
      </w:r>
    </w:p>
    <w:p w14:paraId="168B8001">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因本合同引起的或与本合同有关的任何争议，双方可通过协商解决，协商不成，任何一方均可</w:t>
      </w:r>
      <w:r>
        <w:rPr>
          <w:rFonts w:ascii="宋体"/>
          <w:color w:val="auto"/>
          <w:sz w:val="24"/>
          <w:szCs w:val="24"/>
          <w:highlight w:val="none"/>
        </w:rPr>
        <w:t>向</w:t>
      </w:r>
      <w:r>
        <w:rPr>
          <w:rFonts w:hint="eastAsia" w:ascii="宋体"/>
          <w:color w:val="auto"/>
          <w:sz w:val="24"/>
          <w:szCs w:val="24"/>
          <w:highlight w:val="none"/>
        </w:rPr>
        <w:t>本合同首部载明的甲方地址所在地有管辖权的人民法院起诉。</w:t>
      </w:r>
    </w:p>
    <w:p w14:paraId="00BA5473">
      <w:pPr>
        <w:numPr>
          <w:ilvl w:val="0"/>
          <w:numId w:val="0"/>
        </w:numPr>
        <w:tabs>
          <w:tab w:val="left" w:pos="993"/>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第十二条</w:t>
      </w:r>
      <w:r>
        <w:rPr>
          <w:rFonts w:hint="eastAsia" w:ascii="宋体"/>
          <w:b/>
          <w:color w:val="auto"/>
          <w:highlight w:val="none"/>
        </w:rPr>
        <w:t xml:space="preserve">  保密</w:t>
      </w:r>
    </w:p>
    <w:p w14:paraId="7D9FE2A0">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12.1 乙方须对本合同项下的所有条款保密。</w:t>
      </w:r>
    </w:p>
    <w:p w14:paraId="05E5313F">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12.2 乙方不得在合同允许范围外使用或披露甲方以及甲方客户信息、技术框架、系统架构、业务流程等核心信息。</w:t>
      </w:r>
    </w:p>
    <w:p w14:paraId="35474708">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12.3 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D316B7F">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12.4 乙方知道违反本条规定将给甲方客户权利以及甲方造成难以弥补的损失，为此同意承担由此产生的经济上和法律上的责任和</w:t>
      </w:r>
      <w:r>
        <w:rPr>
          <w:rFonts w:ascii="宋体"/>
          <w:color w:val="auto"/>
          <w:sz w:val="24"/>
          <w:szCs w:val="24"/>
          <w:highlight w:val="none"/>
        </w:rPr>
        <w:t>损失</w:t>
      </w:r>
      <w:r>
        <w:rPr>
          <w:rFonts w:hint="eastAsia" w:ascii="宋体"/>
          <w:color w:val="auto"/>
          <w:sz w:val="24"/>
          <w:szCs w:val="24"/>
          <w:highlight w:val="none"/>
        </w:rPr>
        <w:t>。</w:t>
      </w:r>
    </w:p>
    <w:p w14:paraId="53372140">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12.5 乙方承认本合同中的技术资料和技术秘密为甲方所专有，将其对乙方进行披露并不意味着任何所有权、专利权的转让。</w:t>
      </w:r>
    </w:p>
    <w:p w14:paraId="6D97895B">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12.6 在本合同项目通过验收后，乙方应归还甲方提供的所有技术资料或文件等，并承诺不保留任何复印件。</w:t>
      </w:r>
    </w:p>
    <w:p w14:paraId="36F6B269">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2FB9944">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12.8 除非甲方特别声明，乙方对于保密信息的保密义务为无限期保密，直至甲方宣布解密或者保密信息实际上已经公开。</w:t>
      </w:r>
    </w:p>
    <w:p w14:paraId="3933C515">
      <w:pPr>
        <w:pStyle w:val="16"/>
        <w:spacing w:line="360" w:lineRule="auto"/>
        <w:ind w:left="480" w:firstLine="482"/>
        <w:rPr>
          <w:rFonts w:ascii="宋体"/>
          <w:b/>
          <w:color w:val="auto"/>
          <w:sz w:val="24"/>
          <w:highlight w:val="none"/>
        </w:rPr>
      </w:pPr>
    </w:p>
    <w:p w14:paraId="121C8861">
      <w:pPr>
        <w:numPr>
          <w:ilvl w:val="0"/>
          <w:numId w:val="0"/>
        </w:numPr>
        <w:tabs>
          <w:tab w:val="left" w:pos="1276"/>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第十三条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通知与送达</w:t>
      </w:r>
    </w:p>
    <w:p w14:paraId="6BA8AB3B">
      <w:pPr>
        <w:pStyle w:val="16"/>
        <w:spacing w:line="360" w:lineRule="auto"/>
        <w:ind w:left="0" w:leftChars="0" w:firstLine="480"/>
        <w:rPr>
          <w:rFonts w:ascii="宋体"/>
          <w:color w:val="auto"/>
          <w:sz w:val="24"/>
          <w:szCs w:val="24"/>
          <w:highlight w:val="none"/>
        </w:rPr>
      </w:pPr>
      <w:r>
        <w:rPr>
          <w:rFonts w:hint="eastAsia" w:ascii="宋体"/>
          <w:color w:val="auto"/>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0BDE6E7">
      <w:pPr>
        <w:pStyle w:val="16"/>
        <w:spacing w:line="360" w:lineRule="auto"/>
        <w:ind w:left="0" w:leftChars="0" w:firstLine="480"/>
        <w:rPr>
          <w:rFonts w:ascii="宋体"/>
          <w:color w:val="auto"/>
          <w:sz w:val="24"/>
          <w:highlight w:val="none"/>
        </w:rPr>
      </w:pPr>
      <w:r>
        <w:rPr>
          <w:rFonts w:hint="eastAsia" w:ascii="宋体"/>
          <w:color w:val="auto"/>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04FF81F">
      <w:pPr>
        <w:numPr>
          <w:ilvl w:val="0"/>
          <w:numId w:val="0"/>
        </w:numPr>
        <w:tabs>
          <w:tab w:val="left" w:pos="1276"/>
        </w:tabs>
        <w:autoSpaceDE/>
        <w:autoSpaceDN/>
        <w:spacing w:before="240" w:line="360" w:lineRule="auto"/>
        <w:ind w:left="877" w:leftChars="0" w:hanging="877" w:firstLineChars="0"/>
        <w:rPr>
          <w:rFonts w:ascii="宋体"/>
          <w:b/>
          <w:color w:val="auto"/>
          <w:highlight w:val="none"/>
        </w:rPr>
      </w:pPr>
      <w:bookmarkStart w:id="90" w:name="_Toc388368880"/>
      <w:r>
        <w:rPr>
          <w:rFonts w:hint="eastAsia" w:ascii="宋体" w:hAnsi="Times New Roman" w:eastAsia="宋体" w:cs="Cambria Math"/>
          <w:b/>
          <w:color w:val="auto"/>
          <w:kern w:val="2"/>
          <w:sz w:val="21"/>
          <w:szCs w:val="20"/>
          <w:highlight w:val="none"/>
          <w:lang w:val="en-US" w:eastAsia="zh-CN" w:bidi="ar-SA"/>
        </w:rPr>
        <w:t>第十四条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反商业贿赂</w:t>
      </w:r>
      <w:bookmarkEnd w:id="90"/>
    </w:p>
    <w:p w14:paraId="26EE8CB0">
      <w:pPr>
        <w:spacing w:line="360" w:lineRule="auto"/>
        <w:ind w:firstLine="480"/>
        <w:rPr>
          <w:rFonts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8980418">
      <w:pPr>
        <w:numPr>
          <w:ilvl w:val="0"/>
          <w:numId w:val="0"/>
        </w:numPr>
        <w:tabs>
          <w:tab w:val="left" w:pos="1276"/>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第十五条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附件</w:t>
      </w:r>
    </w:p>
    <w:p w14:paraId="6AE1E37C">
      <w:pPr>
        <w:spacing w:line="360" w:lineRule="auto"/>
        <w:ind w:firstLine="480"/>
        <w:rPr>
          <w:rFonts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76E0F2EC">
      <w:pPr>
        <w:spacing w:line="360" w:lineRule="auto"/>
        <w:ind w:firstLine="480"/>
        <w:rPr>
          <w:rFonts w:ascii="宋体"/>
          <w:color w:val="auto"/>
          <w:kern w:val="0"/>
          <w:highlight w:val="none"/>
        </w:rPr>
      </w:pPr>
      <w:r>
        <w:rPr>
          <w:rFonts w:hint="eastAsia" w:ascii="宋体"/>
          <w:color w:val="auto"/>
          <w:kern w:val="0"/>
          <w:highlight w:val="none"/>
        </w:rPr>
        <w:t>附件一：硬件设备签收表</w:t>
      </w:r>
    </w:p>
    <w:p w14:paraId="2ED430B6">
      <w:pPr>
        <w:spacing w:line="360" w:lineRule="auto"/>
        <w:ind w:firstLine="480"/>
        <w:rPr>
          <w:rFonts w:ascii="宋体"/>
          <w:color w:val="auto"/>
          <w:kern w:val="0"/>
          <w:highlight w:val="none"/>
        </w:rPr>
      </w:pPr>
      <w:r>
        <w:rPr>
          <w:rFonts w:hint="eastAsia" w:ascii="宋体"/>
          <w:color w:val="auto"/>
          <w:kern w:val="0"/>
          <w:highlight w:val="none"/>
        </w:rPr>
        <w:t>附件二：最终验收表</w:t>
      </w:r>
    </w:p>
    <w:p w14:paraId="1D5D7C07">
      <w:pPr>
        <w:spacing w:line="360" w:lineRule="auto"/>
        <w:ind w:firstLine="480"/>
        <w:rPr>
          <w:rFonts w:ascii="宋体"/>
          <w:color w:val="auto"/>
          <w:kern w:val="0"/>
          <w:highlight w:val="none"/>
        </w:rPr>
      </w:pPr>
      <w:r>
        <w:rPr>
          <w:rFonts w:hint="eastAsia" w:ascii="宋体"/>
          <w:color w:val="auto"/>
          <w:kern w:val="0"/>
          <w:highlight w:val="none"/>
        </w:rPr>
        <w:t>附件三：维护服务内容</w:t>
      </w:r>
    </w:p>
    <w:p w14:paraId="266BDE14">
      <w:pPr>
        <w:numPr>
          <w:ilvl w:val="0"/>
          <w:numId w:val="0"/>
        </w:numPr>
        <w:tabs>
          <w:tab w:val="left" w:pos="1276"/>
        </w:tabs>
        <w:autoSpaceDE/>
        <w:autoSpaceDN/>
        <w:spacing w:before="240" w:line="360" w:lineRule="auto"/>
        <w:ind w:left="877" w:leftChars="0" w:hanging="877" w:firstLineChars="0"/>
        <w:rPr>
          <w:rFonts w:ascii="宋体"/>
          <w:b/>
          <w:color w:val="auto"/>
          <w:highlight w:val="none"/>
        </w:rPr>
      </w:pPr>
      <w:r>
        <w:rPr>
          <w:rFonts w:hint="eastAsia" w:ascii="宋体" w:hAnsi="Times New Roman" w:eastAsia="宋体" w:cs="Cambria Math"/>
          <w:b/>
          <w:color w:val="auto"/>
          <w:kern w:val="2"/>
          <w:sz w:val="21"/>
          <w:szCs w:val="20"/>
          <w:highlight w:val="none"/>
          <w:lang w:val="en-US" w:eastAsia="zh-CN" w:bidi="ar-SA"/>
        </w:rPr>
        <w:t>第十六条</w:t>
      </w:r>
      <w:r>
        <w:rPr>
          <w:rFonts w:hint="eastAsia" w:ascii="宋体" w:cs="Cambria Math"/>
          <w:b/>
          <w:color w:val="auto"/>
          <w:kern w:val="2"/>
          <w:sz w:val="21"/>
          <w:szCs w:val="20"/>
          <w:highlight w:val="none"/>
          <w:lang w:val="en-US" w:eastAsia="zh-CN" w:bidi="ar-SA"/>
        </w:rPr>
        <w:t xml:space="preserve">  </w:t>
      </w:r>
      <w:r>
        <w:rPr>
          <w:rFonts w:hint="eastAsia" w:ascii="宋体"/>
          <w:b/>
          <w:color w:val="auto"/>
          <w:highlight w:val="none"/>
        </w:rPr>
        <w:t>其他事宜</w:t>
      </w:r>
    </w:p>
    <w:p w14:paraId="13336E53">
      <w:pPr>
        <w:tabs>
          <w:tab w:val="left" w:pos="851"/>
        </w:tabs>
        <w:spacing w:line="360" w:lineRule="auto"/>
        <w:ind w:firstLine="480"/>
        <w:rPr>
          <w:rFonts w:ascii="宋体"/>
          <w:color w:val="auto"/>
          <w:highlight w:val="none"/>
        </w:rPr>
      </w:pPr>
      <w:r>
        <w:rPr>
          <w:rFonts w:hint="eastAsia" w:ascii="宋体"/>
          <w:color w:val="auto"/>
          <w:highlight w:val="none"/>
        </w:rPr>
        <w:t>16.1 本合同在甲乙双方加盖公章或合同章后生效。</w:t>
      </w:r>
    </w:p>
    <w:p w14:paraId="371C1D73">
      <w:pPr>
        <w:tabs>
          <w:tab w:val="left" w:pos="851"/>
        </w:tabs>
        <w:spacing w:line="360" w:lineRule="auto"/>
        <w:ind w:firstLine="480"/>
        <w:rPr>
          <w:rFonts w:ascii="宋体"/>
          <w:color w:val="auto"/>
          <w:highlight w:val="none"/>
        </w:rPr>
      </w:pPr>
      <w:r>
        <w:rPr>
          <w:rFonts w:hint="eastAsia" w:ascii="宋体"/>
          <w:color w:val="auto"/>
          <w:highlight w:val="none"/>
        </w:rPr>
        <w:t>16.2 本合同双方在未取得对方事先书面同意的前提下，均不得将各自本合同项下的任何权利或义务转让给第三方。</w:t>
      </w:r>
    </w:p>
    <w:p w14:paraId="4CA2A090">
      <w:pPr>
        <w:tabs>
          <w:tab w:val="left" w:pos="851"/>
        </w:tabs>
        <w:spacing w:line="360" w:lineRule="auto"/>
        <w:ind w:firstLine="480"/>
        <w:rPr>
          <w:rFonts w:ascii="宋体"/>
          <w:color w:val="auto"/>
          <w:highlight w:val="none"/>
        </w:rPr>
      </w:pPr>
      <w:r>
        <w:rPr>
          <w:rFonts w:hint="eastAsia" w:ascii="宋体"/>
          <w:color w:val="auto"/>
          <w:highlight w:val="none"/>
        </w:rPr>
        <w:t>16.3 本合同之未尽事宜双方协商解决，对本合同及其附件的内容进行变更，必须经双方协商一致并签订补充协议。</w:t>
      </w:r>
    </w:p>
    <w:p w14:paraId="15F6A1B6">
      <w:pPr>
        <w:tabs>
          <w:tab w:val="left" w:pos="851"/>
        </w:tabs>
        <w:spacing w:line="360" w:lineRule="auto"/>
        <w:ind w:firstLine="480"/>
        <w:rPr>
          <w:rFonts w:ascii="宋体"/>
          <w:color w:val="auto"/>
          <w:highlight w:val="none"/>
        </w:rPr>
      </w:pPr>
      <w:r>
        <w:rPr>
          <w:rFonts w:hint="eastAsia" w:ascii="宋体"/>
          <w:color w:val="auto"/>
          <w:highlight w:val="none"/>
        </w:rPr>
        <w:t>16.4 本合同一式  肆  份，甲、乙双方各  贰  份，具有同等法律效力。</w:t>
      </w:r>
    </w:p>
    <w:p w14:paraId="31A67E16">
      <w:pPr>
        <w:tabs>
          <w:tab w:val="left" w:pos="851"/>
        </w:tabs>
        <w:spacing w:line="360" w:lineRule="auto"/>
        <w:ind w:firstLine="480"/>
        <w:rPr>
          <w:rFonts w:ascii="宋体"/>
          <w:color w:val="auto"/>
          <w:highlight w:val="none"/>
        </w:rPr>
      </w:pPr>
      <w:r>
        <w:rPr>
          <w:rFonts w:hint="eastAsia" w:ascii="宋体"/>
          <w:color w:val="auto"/>
          <w:highlight w:val="none"/>
        </w:rPr>
        <w:t>16.5 本合同传真件和复印件无效。</w:t>
      </w:r>
    </w:p>
    <w:p w14:paraId="5B3FE9F5">
      <w:pPr>
        <w:tabs>
          <w:tab w:val="left" w:pos="851"/>
        </w:tabs>
        <w:spacing w:line="360" w:lineRule="auto"/>
        <w:ind w:firstLine="480"/>
        <w:rPr>
          <w:rFonts w:ascii="宋体"/>
          <w:color w:val="auto"/>
          <w:highlight w:val="none"/>
        </w:rPr>
      </w:pPr>
      <w:r>
        <w:rPr>
          <w:rFonts w:hint="eastAsia" w:ascii="宋体"/>
          <w:color w:val="auto"/>
          <w:highlight w:val="none"/>
        </w:rPr>
        <w:t xml:space="preserve">16.6 </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3DFF3F49">
      <w:pPr>
        <w:spacing w:line="360" w:lineRule="auto"/>
        <w:ind w:firstLine="482"/>
        <w:rPr>
          <w:rFonts w:ascii="宋体"/>
          <w:b/>
          <w:color w:val="auto"/>
          <w:highlight w:val="none"/>
        </w:rPr>
      </w:pPr>
      <w:r>
        <w:rPr>
          <w:rFonts w:hint="eastAsia" w:ascii="宋体"/>
          <w:b/>
          <w:color w:val="auto"/>
          <w:highlight w:val="none"/>
        </w:rPr>
        <w:t>（以下无正文）</w:t>
      </w:r>
    </w:p>
    <w:p w14:paraId="042BA0D9">
      <w:pPr>
        <w:spacing w:line="360" w:lineRule="auto"/>
        <w:ind w:firstLine="482"/>
        <w:rPr>
          <w:rFonts w:ascii="宋体"/>
          <w:b/>
          <w:color w:val="auto"/>
          <w:highlight w:val="none"/>
        </w:rPr>
      </w:pPr>
    </w:p>
    <w:p w14:paraId="0ED1825F">
      <w:pPr>
        <w:spacing w:line="360" w:lineRule="auto"/>
        <w:ind w:left="4939" w:hanging="4322" w:hangingChars="2050"/>
        <w:rPr>
          <w:rFonts w:ascii="宋体"/>
          <w:b/>
          <w:color w:val="auto"/>
          <w:highlight w:val="none"/>
        </w:rPr>
      </w:pPr>
    </w:p>
    <w:p w14:paraId="16832C8A">
      <w:pPr>
        <w:spacing w:line="360" w:lineRule="auto"/>
        <w:ind w:left="4939" w:hanging="4322" w:hangingChars="2050"/>
        <w:rPr>
          <w:rFonts w:ascii="宋体"/>
          <w:b/>
          <w:color w:val="auto"/>
          <w:highlight w:val="none"/>
        </w:rPr>
      </w:pPr>
    </w:p>
    <w:p w14:paraId="41505C2F">
      <w:pPr>
        <w:spacing w:line="360" w:lineRule="auto"/>
        <w:ind w:left="4939" w:hanging="4322" w:hangingChars="2050"/>
        <w:rPr>
          <w:rFonts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乙方：</w:t>
      </w:r>
      <w:r>
        <w:rPr>
          <w:rFonts w:hint="eastAsia" w:ascii="宋体"/>
          <w:b/>
          <w:color w:val="auto"/>
          <w:highlight w:val="none"/>
          <w:u w:val="single"/>
        </w:rPr>
        <w:t xml:space="preserve">        xxxxx公司       </w:t>
      </w:r>
    </w:p>
    <w:p w14:paraId="42ED5DCD">
      <w:pPr>
        <w:spacing w:line="360" w:lineRule="auto"/>
        <w:ind w:firstLine="482"/>
        <w:rPr>
          <w:rFonts w:ascii="宋体"/>
          <w:b/>
          <w:color w:val="auto"/>
          <w:highlight w:val="none"/>
        </w:rPr>
      </w:pPr>
    </w:p>
    <w:p w14:paraId="27345C70">
      <w:pPr>
        <w:spacing w:line="360" w:lineRule="auto"/>
        <w:ind w:firstLine="482"/>
        <w:rPr>
          <w:rFonts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（签章）：</w:t>
      </w:r>
      <w:r>
        <w:rPr>
          <w:rFonts w:hint="eastAsia" w:ascii="宋体"/>
          <w:b/>
          <w:color w:val="auto"/>
          <w:highlight w:val="none"/>
          <w:u w:val="single"/>
        </w:rPr>
        <w:t xml:space="preserve">           </w:t>
      </w:r>
    </w:p>
    <w:p w14:paraId="1ECAFBCC">
      <w:pPr>
        <w:spacing w:line="360" w:lineRule="auto"/>
        <w:ind w:firstLine="482"/>
        <w:rPr>
          <w:rFonts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40D31AE1">
      <w:pPr>
        <w:spacing w:line="360" w:lineRule="auto"/>
        <w:ind w:firstLine="482"/>
        <w:jc w:val="right"/>
        <w:rPr>
          <w:rFonts w:ascii="宋体"/>
          <w:b/>
          <w:color w:val="auto"/>
          <w:highlight w:val="none"/>
        </w:rPr>
      </w:pP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1EA9B3E5">
      <w:pPr>
        <w:spacing w:line="360" w:lineRule="auto"/>
        <w:ind w:firstLine="0" w:firstLineChars="0"/>
        <w:rPr>
          <w:rFonts w:ascii="宋体"/>
          <w:b/>
          <w:color w:val="auto"/>
          <w:highlight w:val="none"/>
        </w:rPr>
      </w:pPr>
      <w:r>
        <w:rPr>
          <w:rFonts w:hint="eastAsia" w:ascii="宋体"/>
          <w:b/>
          <w:color w:val="auto"/>
          <w:highlight w:val="none"/>
        </w:rPr>
        <w:br w:type="page"/>
      </w:r>
      <w:r>
        <w:rPr>
          <w:rFonts w:hint="eastAsia" w:ascii="宋体"/>
          <w:b/>
          <w:color w:val="auto"/>
          <w:highlight w:val="none"/>
        </w:rPr>
        <w:t>附件1  硬件设备签收表</w:t>
      </w:r>
    </w:p>
    <w:tbl>
      <w:tblPr>
        <w:tblStyle w:val="18"/>
        <w:tblW w:w="9639" w:type="dxa"/>
        <w:tblInd w:w="-459" w:type="dxa"/>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6225AF0A">
        <w:tblPrEx>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cBorders>
            <w:vAlign w:val="center"/>
          </w:tcPr>
          <w:p w14:paraId="6F671F39">
            <w:pPr>
              <w:widowControl/>
              <w:ind w:firstLine="880"/>
              <w:jc w:val="center"/>
              <w:rPr>
                <w:rFonts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硬件设备签收表</w:t>
            </w:r>
          </w:p>
        </w:tc>
      </w:tr>
      <w:tr w14:paraId="1CFDF2A0">
        <w:tblPrEx>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cBorders>
            <w:vAlign w:val="center"/>
          </w:tcPr>
          <w:p w14:paraId="5AB8EAAC">
            <w:pPr>
              <w:ind w:firstLine="0" w:firstLineChars="0"/>
              <w:jc w:val="center"/>
              <w:rPr>
                <w:rFonts w:ascii="宋体"/>
                <w:color w:val="auto"/>
                <w:highlight w:val="none"/>
              </w:rPr>
            </w:pPr>
            <w:r>
              <w:rPr>
                <w:rFonts w:hint="eastAsia" w:ascii="宋体"/>
                <w:color w:val="auto"/>
                <w:highlight w:val="none"/>
              </w:rPr>
              <w:t>项目名称</w:t>
            </w:r>
          </w:p>
        </w:tc>
        <w:tc>
          <w:tcPr>
            <w:tcW w:w="3832" w:type="dxa"/>
            <w:gridSpan w:val="5"/>
            <w:tcBorders>
              <w:top w:val="single" w:color="auto" w:sz="4" w:space="0"/>
              <w:left w:val="single" w:color="auto" w:sz="4" w:space="0"/>
              <w:bottom w:val="single" w:color="auto" w:sz="4" w:space="0"/>
              <w:right w:val="single" w:color="auto" w:sz="4" w:space="0"/>
            </w:tcBorders>
            <w:vAlign w:val="center"/>
          </w:tcPr>
          <w:p w14:paraId="030FB2BD">
            <w:pPr>
              <w:ind w:firstLine="480"/>
              <w:jc w:val="center"/>
              <w:rPr>
                <w:rFonts w:ascii="宋体"/>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cBorders>
            <w:vAlign w:val="center"/>
          </w:tcPr>
          <w:p w14:paraId="0C489F81">
            <w:pPr>
              <w:ind w:firstLine="0" w:firstLineChars="0"/>
              <w:jc w:val="center"/>
              <w:rPr>
                <w:rFonts w:ascii="宋体"/>
                <w:color w:val="auto"/>
                <w:highlight w:val="none"/>
              </w:rPr>
            </w:pPr>
            <w:r>
              <w:rPr>
                <w:rFonts w:hint="eastAsia" w:ascii="宋体"/>
                <w:color w:val="auto"/>
                <w:highlight w:val="none"/>
              </w:rPr>
              <w:t>交付时间</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591BDD19">
            <w:pPr>
              <w:ind w:firstLine="480"/>
              <w:jc w:val="center"/>
              <w:rPr>
                <w:rFonts w:ascii="宋体"/>
                <w:color w:val="auto"/>
                <w:highlight w:val="none"/>
              </w:rPr>
            </w:pPr>
          </w:p>
        </w:tc>
      </w:tr>
      <w:tr w14:paraId="327841EF">
        <w:tblPrEx>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5551938E">
            <w:pPr>
              <w:ind w:firstLine="0" w:firstLineChars="0"/>
              <w:jc w:val="center"/>
              <w:rPr>
                <w:rFonts w:ascii="宋体"/>
                <w:color w:val="auto"/>
                <w:highlight w:val="none"/>
              </w:rPr>
            </w:pPr>
            <w:r>
              <w:rPr>
                <w:rFonts w:hint="eastAsia" w:ascii="宋体"/>
                <w:color w:val="auto"/>
                <w:highlight w:val="none"/>
              </w:rPr>
              <w:t>序号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596879A">
            <w:pPr>
              <w:ind w:left="15" w:firstLine="440"/>
              <w:jc w:val="center"/>
              <w:rPr>
                <w:rFonts w:ascii="宋体"/>
                <w:color w:val="auto"/>
                <w:highlight w:val="none"/>
              </w:rPr>
            </w:pPr>
            <w:r>
              <w:rPr>
                <w:rFonts w:hint="eastAsia" w:ascii="宋体" w:cs="宋体"/>
                <w:color w:val="auto"/>
                <w:kern w:val="0"/>
                <w:sz w:val="22"/>
                <w:szCs w:val="22"/>
                <w:highlight w:val="none"/>
              </w:rPr>
              <w:t>设备名称</w:t>
            </w:r>
          </w:p>
        </w:tc>
        <w:tc>
          <w:tcPr>
            <w:tcW w:w="1422" w:type="dxa"/>
            <w:tcBorders>
              <w:top w:val="single" w:color="auto" w:sz="4" w:space="0"/>
              <w:left w:val="single" w:color="auto" w:sz="4" w:space="0"/>
              <w:bottom w:val="single" w:color="auto" w:sz="4" w:space="0"/>
              <w:right w:val="single" w:color="auto" w:sz="4" w:space="0"/>
            </w:tcBorders>
            <w:vAlign w:val="center"/>
          </w:tcPr>
          <w:p w14:paraId="6ADCF0B1">
            <w:pPr>
              <w:ind w:firstLine="0" w:firstLineChars="0"/>
              <w:jc w:val="center"/>
              <w:rPr>
                <w:rFonts w:ascii="宋体"/>
                <w:color w:val="auto"/>
                <w:highlight w:val="none"/>
              </w:rPr>
            </w:pPr>
            <w:r>
              <w:rPr>
                <w:rFonts w:hint="eastAsia" w:ascii="宋体" w:cs="宋体"/>
                <w:color w:val="auto"/>
                <w:kern w:val="0"/>
                <w:sz w:val="22"/>
                <w:szCs w:val="22"/>
                <w:highlight w:val="none"/>
              </w:rPr>
              <w:t>序列号</w:t>
            </w:r>
          </w:p>
        </w:tc>
        <w:tc>
          <w:tcPr>
            <w:tcW w:w="707" w:type="dxa"/>
            <w:tcBorders>
              <w:top w:val="single" w:color="auto" w:sz="4" w:space="0"/>
              <w:left w:val="single" w:color="auto" w:sz="4" w:space="0"/>
              <w:bottom w:val="single" w:color="auto" w:sz="4" w:space="0"/>
              <w:right w:val="single" w:color="auto" w:sz="4" w:space="0"/>
            </w:tcBorders>
            <w:vAlign w:val="center"/>
          </w:tcPr>
          <w:p w14:paraId="390A96A9">
            <w:pPr>
              <w:ind w:firstLine="0" w:firstLineChars="0"/>
              <w:jc w:val="center"/>
              <w:rPr>
                <w:rFonts w:ascii="宋体"/>
                <w:color w:val="auto"/>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66429BA5">
            <w:pPr>
              <w:ind w:firstLine="0" w:firstLineChars="0"/>
              <w:jc w:val="center"/>
              <w:rPr>
                <w:rFonts w:ascii="宋体"/>
                <w:color w:val="auto"/>
                <w:highlight w:val="none"/>
              </w:rPr>
            </w:pPr>
            <w:r>
              <w:rPr>
                <w:rFonts w:hint="eastAsia" w:ascii="宋体"/>
                <w:color w:val="auto"/>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245A095F">
            <w:pPr>
              <w:ind w:firstLine="0" w:firstLineChars="0"/>
              <w:jc w:val="center"/>
              <w:rPr>
                <w:rFonts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cBorders>
            <w:vAlign w:val="center"/>
          </w:tcPr>
          <w:p w14:paraId="2D2641BA">
            <w:pPr>
              <w:ind w:firstLine="0" w:firstLineChars="0"/>
              <w:jc w:val="center"/>
              <w:rPr>
                <w:rFonts w:ascii="宋体" w:cs="宋体"/>
                <w:color w:val="auto"/>
                <w:kern w:val="0"/>
                <w:sz w:val="22"/>
                <w:szCs w:val="22"/>
                <w:highlight w:val="none"/>
              </w:rPr>
            </w:pPr>
            <w:r>
              <w:rPr>
                <w:rFonts w:hint="eastAsia" w:ascii="宋体" w:cs="宋体"/>
                <w:color w:val="auto"/>
                <w:kern w:val="0"/>
                <w:sz w:val="22"/>
                <w:szCs w:val="22"/>
                <w:highlight w:val="none"/>
              </w:rPr>
              <w:t>总价</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2FB44999">
            <w:pPr>
              <w:ind w:firstLine="0" w:firstLineChars="0"/>
              <w:jc w:val="center"/>
              <w:rPr>
                <w:rFonts w:ascii="宋体"/>
                <w:color w:val="auto"/>
                <w:highlight w:val="none"/>
              </w:rPr>
            </w:pPr>
            <w:r>
              <w:rPr>
                <w:rFonts w:hint="eastAsia" w:ascii="宋体" w:cs="宋体"/>
                <w:color w:val="auto"/>
                <w:kern w:val="0"/>
                <w:sz w:val="22"/>
                <w:szCs w:val="22"/>
                <w:highlight w:val="none"/>
              </w:rPr>
              <w:t>检验结果</w:t>
            </w:r>
          </w:p>
        </w:tc>
      </w:tr>
      <w:tr w14:paraId="50449342">
        <w:tblPrEx>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4A862F03">
            <w:pPr>
              <w:ind w:firstLine="480"/>
              <w:jc w:val="center"/>
              <w:rPr>
                <w:rFonts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8C660FB">
            <w:pPr>
              <w:ind w:firstLine="480"/>
              <w:rPr>
                <w:rFonts w:ascii="宋体"/>
                <w:color w:val="auto"/>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0D833D53">
            <w:pPr>
              <w:ind w:firstLine="480"/>
              <w:rPr>
                <w:rFonts w:ascii="宋体"/>
                <w:color w:val="auto"/>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7ED45F35">
            <w:pPr>
              <w:ind w:firstLine="480"/>
              <w:rPr>
                <w:rFonts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34556E17">
            <w:pPr>
              <w:ind w:firstLine="480"/>
              <w:rPr>
                <w:rFonts w:asci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6D2951">
            <w:pPr>
              <w:ind w:firstLine="480"/>
              <w:rPr>
                <w:rFonts w:ascii="宋体"/>
                <w:color w:val="auto"/>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2D6F4C6">
            <w:pPr>
              <w:ind w:firstLine="480"/>
              <w:rPr>
                <w:rFonts w:ascii="宋体"/>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5B791C6E">
            <w:pPr>
              <w:ind w:firstLine="480"/>
              <w:rPr>
                <w:rFonts w:ascii="宋体"/>
                <w:color w:val="auto"/>
                <w:highlight w:val="none"/>
              </w:rPr>
            </w:pPr>
          </w:p>
        </w:tc>
      </w:tr>
      <w:tr w14:paraId="386908DB">
        <w:tblPrEx>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71D22902">
            <w:pPr>
              <w:ind w:firstLine="480"/>
              <w:jc w:val="center"/>
              <w:rPr>
                <w:rFonts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67C305B">
            <w:pPr>
              <w:ind w:firstLine="480"/>
              <w:rPr>
                <w:rFonts w:ascii="宋体"/>
                <w:color w:val="auto"/>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0557EC01">
            <w:pPr>
              <w:ind w:firstLine="480"/>
              <w:rPr>
                <w:rFonts w:ascii="宋体"/>
                <w:color w:val="auto"/>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0586C8">
            <w:pPr>
              <w:ind w:firstLine="480"/>
              <w:rPr>
                <w:rFonts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041064C7">
            <w:pPr>
              <w:ind w:firstLine="480"/>
              <w:rPr>
                <w:rFonts w:asci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F6C9AA">
            <w:pPr>
              <w:ind w:firstLine="480"/>
              <w:rPr>
                <w:rFonts w:ascii="宋体"/>
                <w:color w:val="auto"/>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DA3280B">
            <w:pPr>
              <w:ind w:firstLine="480"/>
              <w:rPr>
                <w:rFonts w:ascii="宋体"/>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67440B0E">
            <w:pPr>
              <w:ind w:firstLine="480"/>
              <w:rPr>
                <w:rFonts w:ascii="宋体"/>
                <w:color w:val="auto"/>
                <w:highlight w:val="none"/>
              </w:rPr>
            </w:pPr>
          </w:p>
        </w:tc>
      </w:tr>
      <w:tr w14:paraId="01AA96E1">
        <w:tblPrEx>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30857B32">
            <w:pPr>
              <w:ind w:firstLine="480"/>
              <w:jc w:val="center"/>
              <w:rPr>
                <w:rFonts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BD40B81">
            <w:pPr>
              <w:ind w:firstLine="480"/>
              <w:rPr>
                <w:rFonts w:ascii="宋体"/>
                <w:color w:val="auto"/>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60C9FB46">
            <w:pPr>
              <w:ind w:firstLine="480"/>
              <w:rPr>
                <w:rFonts w:ascii="宋体"/>
                <w:color w:val="auto"/>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FB99B19">
            <w:pPr>
              <w:ind w:firstLine="480"/>
              <w:rPr>
                <w:rFonts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4E7FF2C9">
            <w:pPr>
              <w:ind w:firstLine="480"/>
              <w:rPr>
                <w:rFonts w:asci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91E7A8">
            <w:pPr>
              <w:ind w:firstLine="480"/>
              <w:rPr>
                <w:rFonts w:ascii="宋体"/>
                <w:color w:val="auto"/>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170DB52">
            <w:pPr>
              <w:ind w:firstLine="480"/>
              <w:rPr>
                <w:rFonts w:ascii="宋体"/>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619A909C">
            <w:pPr>
              <w:ind w:firstLine="480"/>
              <w:rPr>
                <w:rFonts w:ascii="宋体"/>
                <w:color w:val="auto"/>
                <w:highlight w:val="none"/>
              </w:rPr>
            </w:pPr>
          </w:p>
        </w:tc>
      </w:tr>
      <w:tr w14:paraId="08D510E8">
        <w:tblPrEx>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cBorders>
          </w:tcPr>
          <w:p w14:paraId="086AEB64">
            <w:pPr>
              <w:widowControl/>
              <w:spacing w:before="156" w:beforeLines="50" w:line="360" w:lineRule="auto"/>
              <w:ind w:firstLine="480"/>
              <w:jc w:val="left"/>
              <w:rPr>
                <w:rFonts w:ascii="宋体"/>
                <w:color w:val="auto"/>
                <w:highlight w:val="none"/>
              </w:rPr>
            </w:pPr>
            <w:r>
              <w:rPr>
                <w:rFonts w:hint="eastAsia" w:ascii="宋体"/>
                <w:color w:val="auto"/>
                <w:highlight w:val="none"/>
              </w:rPr>
              <w:t>签收说明：我单位已收到货物，型号无误、数量齐全、加电测试通过，可进行签收。</w:t>
            </w:r>
          </w:p>
        </w:tc>
      </w:tr>
      <w:tr w14:paraId="2E6C1CF0">
        <w:tblPrEx>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cBorders>
          </w:tcPr>
          <w:p w14:paraId="70F659E1">
            <w:pPr>
              <w:spacing w:before="240"/>
              <w:ind w:firstLine="480"/>
              <w:rPr>
                <w:rFonts w:ascii="宋体"/>
                <w:color w:val="auto"/>
                <w:highlight w:val="none"/>
              </w:rPr>
            </w:pPr>
            <w:r>
              <w:rPr>
                <w:rFonts w:hint="eastAsia" w:ascii="宋体"/>
                <w:color w:val="auto"/>
                <w:highlight w:val="none"/>
              </w:rPr>
              <w:t>签收人：</w:t>
            </w:r>
          </w:p>
          <w:p w14:paraId="35E2F3DE">
            <w:pPr>
              <w:spacing w:line="400" w:lineRule="exact"/>
              <w:ind w:firstLine="480"/>
              <w:rPr>
                <w:rFonts w:ascii="宋体"/>
                <w:color w:val="auto"/>
                <w:highlight w:val="none"/>
              </w:rPr>
            </w:pPr>
          </w:p>
          <w:p w14:paraId="5EB26A95">
            <w:pPr>
              <w:spacing w:line="400" w:lineRule="exact"/>
              <w:ind w:firstLine="480"/>
              <w:rPr>
                <w:rFonts w:ascii="宋体"/>
                <w:color w:val="auto"/>
                <w:highlight w:val="none"/>
              </w:rPr>
            </w:pPr>
          </w:p>
          <w:p w14:paraId="7DAFB549">
            <w:pPr>
              <w:spacing w:line="400" w:lineRule="exact"/>
              <w:ind w:firstLine="480"/>
              <w:rPr>
                <w:rFonts w:ascii="宋体"/>
                <w:color w:val="auto"/>
                <w:highlight w:val="none"/>
              </w:rPr>
            </w:pPr>
          </w:p>
          <w:p w14:paraId="58CAA595">
            <w:pPr>
              <w:spacing w:line="400" w:lineRule="exact"/>
              <w:ind w:right="-34" w:firstLine="1995" w:firstLineChars="950"/>
              <w:rPr>
                <w:rFonts w:ascii="宋体"/>
                <w:color w:val="auto"/>
                <w:highlight w:val="none"/>
              </w:rPr>
            </w:pPr>
            <w:r>
              <w:rPr>
                <w:rFonts w:hint="eastAsia" w:ascii="宋体"/>
                <w:color w:val="auto"/>
                <w:highlight w:val="none"/>
              </w:rPr>
              <w:t>年  月  日</w:t>
            </w:r>
          </w:p>
        </w:tc>
        <w:tc>
          <w:tcPr>
            <w:tcW w:w="4819" w:type="dxa"/>
            <w:gridSpan w:val="5"/>
            <w:tcBorders>
              <w:top w:val="single" w:color="auto" w:sz="4" w:space="0"/>
              <w:left w:val="single" w:color="auto" w:sz="4" w:space="0"/>
              <w:bottom w:val="single" w:color="auto" w:sz="4" w:space="0"/>
              <w:right w:val="single" w:color="auto" w:sz="4" w:space="0"/>
            </w:tcBorders>
          </w:tcPr>
          <w:p w14:paraId="713F2CE7">
            <w:pPr>
              <w:widowControl/>
              <w:spacing w:before="156" w:beforeLines="50" w:line="360" w:lineRule="auto"/>
              <w:ind w:firstLine="480"/>
              <w:jc w:val="left"/>
              <w:rPr>
                <w:rFonts w:ascii="宋体"/>
                <w:color w:val="auto"/>
                <w:highlight w:val="none"/>
              </w:rPr>
            </w:pPr>
            <w:r>
              <w:rPr>
                <w:rFonts w:hint="eastAsia" w:ascii="宋体"/>
                <w:color w:val="auto"/>
                <w:highlight w:val="none"/>
              </w:rPr>
              <w:t>复核人：</w:t>
            </w:r>
          </w:p>
          <w:p w14:paraId="1FAA89B7">
            <w:pPr>
              <w:widowControl/>
              <w:ind w:firstLine="480"/>
              <w:jc w:val="left"/>
              <w:rPr>
                <w:rFonts w:ascii="宋体"/>
                <w:color w:val="auto"/>
                <w:highlight w:val="none"/>
              </w:rPr>
            </w:pPr>
          </w:p>
          <w:p w14:paraId="6C71E541">
            <w:pPr>
              <w:widowControl/>
              <w:ind w:firstLine="480"/>
              <w:jc w:val="left"/>
              <w:rPr>
                <w:rFonts w:ascii="宋体"/>
                <w:color w:val="auto"/>
                <w:highlight w:val="none"/>
              </w:rPr>
            </w:pPr>
          </w:p>
          <w:p w14:paraId="6874DC28">
            <w:pPr>
              <w:widowControl/>
              <w:ind w:firstLine="480"/>
              <w:jc w:val="left"/>
              <w:rPr>
                <w:rFonts w:ascii="宋体"/>
                <w:color w:val="auto"/>
                <w:highlight w:val="none"/>
              </w:rPr>
            </w:pPr>
          </w:p>
          <w:p w14:paraId="662ED9F3">
            <w:pPr>
              <w:spacing w:line="400" w:lineRule="exact"/>
              <w:ind w:right="-34" w:firstLine="480"/>
              <w:rPr>
                <w:rFonts w:ascii="宋体"/>
                <w:color w:val="auto"/>
                <w:highlight w:val="none"/>
              </w:rPr>
            </w:pPr>
            <w:r>
              <w:rPr>
                <w:rFonts w:hint="eastAsia" w:ascii="宋体"/>
                <w:color w:val="auto"/>
                <w:highlight w:val="none"/>
              </w:rPr>
              <w:t xml:space="preserve">                      年  月  日</w:t>
            </w:r>
          </w:p>
        </w:tc>
      </w:tr>
    </w:tbl>
    <w:p w14:paraId="049EFEFB">
      <w:pPr>
        <w:tabs>
          <w:tab w:val="left" w:pos="2505"/>
        </w:tabs>
        <w:spacing w:line="360" w:lineRule="auto"/>
        <w:ind w:firstLine="480"/>
        <w:rPr>
          <w:rFonts w:ascii="宋体"/>
          <w:color w:val="auto"/>
          <w:highlight w:val="none"/>
        </w:rPr>
      </w:pPr>
    </w:p>
    <w:p w14:paraId="62A883DA">
      <w:pPr>
        <w:spacing w:line="360" w:lineRule="auto"/>
        <w:ind w:firstLine="480"/>
        <w:rPr>
          <w:rFonts w:ascii="宋体"/>
          <w:color w:val="auto"/>
          <w:highlight w:val="none"/>
        </w:rPr>
      </w:pPr>
      <w:r>
        <w:rPr>
          <w:rFonts w:hint="eastAsia" w:ascii="宋体"/>
          <w:color w:val="auto"/>
          <w:highlight w:val="none"/>
        </w:rPr>
        <w:br w:type="page"/>
      </w:r>
      <w:r>
        <w:rPr>
          <w:rFonts w:hint="eastAsia" w:ascii="宋体"/>
          <w:b/>
          <w:color w:val="auto"/>
          <w:highlight w:val="none"/>
        </w:rPr>
        <w:t>附件2  最终验收表</w:t>
      </w:r>
    </w:p>
    <w:tbl>
      <w:tblPr>
        <w:tblStyle w:val="18"/>
        <w:tblW w:w="9639" w:type="dxa"/>
        <w:tblInd w:w="-459" w:type="dxa"/>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597ACA02">
        <w:tblPrEx>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cBorders>
            <w:vAlign w:val="center"/>
          </w:tcPr>
          <w:p w14:paraId="75D72386">
            <w:pPr>
              <w:widowControl/>
              <w:ind w:firstLine="880"/>
              <w:jc w:val="center"/>
              <w:rPr>
                <w:rFonts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52A5EA4F">
        <w:tblPrEx>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56A49228">
            <w:pPr>
              <w:spacing w:line="360" w:lineRule="auto"/>
              <w:ind w:firstLine="0" w:firstLineChars="0"/>
              <w:rPr>
                <w:rFonts w:ascii="宋体"/>
                <w:color w:val="auto"/>
                <w:highlight w:val="none"/>
              </w:rPr>
            </w:pPr>
            <w:r>
              <w:rPr>
                <w:rFonts w:hint="eastAsia" w:ascii="宋体"/>
                <w:color w:val="auto"/>
                <w:highlight w:val="none"/>
              </w:rPr>
              <w:t>项目名称</w:t>
            </w:r>
          </w:p>
        </w:tc>
        <w:tc>
          <w:tcPr>
            <w:tcW w:w="4820" w:type="dxa"/>
            <w:gridSpan w:val="5"/>
            <w:tcBorders>
              <w:top w:val="single" w:color="auto" w:sz="4" w:space="0"/>
              <w:left w:val="single" w:color="auto" w:sz="4" w:space="0"/>
              <w:bottom w:val="single" w:color="auto" w:sz="4" w:space="0"/>
              <w:right w:val="single" w:color="auto" w:sz="4" w:space="0"/>
            </w:tcBorders>
            <w:vAlign w:val="center"/>
          </w:tcPr>
          <w:p w14:paraId="0287E3CC">
            <w:pPr>
              <w:spacing w:line="360" w:lineRule="auto"/>
              <w:ind w:firstLine="480"/>
              <w:jc w:val="center"/>
              <w:rPr>
                <w:rFonts w:asci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23AC5BA">
            <w:pPr>
              <w:spacing w:line="360" w:lineRule="auto"/>
              <w:ind w:firstLine="0" w:firstLineChars="0"/>
              <w:rPr>
                <w:rFonts w:ascii="宋体"/>
                <w:color w:val="auto"/>
                <w:highlight w:val="none"/>
              </w:rPr>
            </w:pPr>
            <w:r>
              <w:rPr>
                <w:rFonts w:hint="eastAsia" w:ascii="宋体"/>
                <w:color w:val="auto"/>
                <w:highlight w:val="none"/>
              </w:rPr>
              <w:t>验收时间</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3C04864">
            <w:pPr>
              <w:spacing w:line="360" w:lineRule="auto"/>
              <w:ind w:firstLine="480"/>
              <w:jc w:val="center"/>
              <w:rPr>
                <w:rFonts w:ascii="宋体"/>
                <w:color w:val="auto"/>
                <w:highlight w:val="none"/>
              </w:rPr>
            </w:pPr>
          </w:p>
        </w:tc>
      </w:tr>
      <w:tr w14:paraId="020E949C">
        <w:tblPrEx>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421ACB91">
            <w:pPr>
              <w:spacing w:line="360" w:lineRule="auto"/>
              <w:ind w:firstLine="0" w:firstLineChars="0"/>
              <w:rPr>
                <w:rFonts w:ascii="宋体"/>
                <w:color w:val="auto"/>
                <w:highlight w:val="none"/>
              </w:rPr>
            </w:pPr>
            <w:r>
              <w:rPr>
                <w:rFonts w:hint="eastAsia" w:ascii="宋体"/>
                <w:color w:val="auto"/>
                <w:highlight w:val="none"/>
              </w:rPr>
              <w:t>验收地点</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9003E9D">
            <w:pPr>
              <w:spacing w:line="360" w:lineRule="auto"/>
              <w:ind w:firstLine="480"/>
              <w:jc w:val="center"/>
              <w:rPr>
                <w:rFonts w:ascii="宋体"/>
                <w:color w:val="auto"/>
                <w:highlight w:val="none"/>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396EC4B5">
            <w:pPr>
              <w:spacing w:line="360" w:lineRule="auto"/>
              <w:ind w:firstLine="0" w:firstLineChars="0"/>
              <w:rPr>
                <w:rFonts w:ascii="宋体"/>
                <w:color w:val="auto"/>
                <w:highlight w:val="none"/>
              </w:rPr>
            </w:pPr>
            <w:r>
              <w:rPr>
                <w:rFonts w:hint="eastAsia" w:ascii="宋体"/>
                <w:color w:val="auto"/>
                <w:highlight w:val="none"/>
              </w:rPr>
              <w:t>项目经理</w:t>
            </w:r>
          </w:p>
        </w:tc>
        <w:tc>
          <w:tcPr>
            <w:tcW w:w="3543" w:type="dxa"/>
            <w:gridSpan w:val="4"/>
            <w:tcBorders>
              <w:top w:val="single" w:color="auto" w:sz="4" w:space="0"/>
              <w:left w:val="single" w:color="auto" w:sz="4" w:space="0"/>
              <w:bottom w:val="single" w:color="auto" w:sz="4" w:space="0"/>
              <w:right w:val="single" w:color="auto" w:sz="4" w:space="0"/>
            </w:tcBorders>
            <w:vAlign w:val="center"/>
          </w:tcPr>
          <w:p w14:paraId="697D2C04">
            <w:pPr>
              <w:spacing w:line="360" w:lineRule="auto"/>
              <w:ind w:firstLine="480"/>
              <w:jc w:val="center"/>
              <w:rPr>
                <w:rFonts w:ascii="宋体"/>
                <w:color w:val="auto"/>
                <w:highlight w:val="none"/>
              </w:rPr>
            </w:pPr>
          </w:p>
        </w:tc>
      </w:tr>
      <w:tr w14:paraId="5DDFC8D9">
        <w:tblPrEx>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14:paraId="0467E185">
            <w:pPr>
              <w:spacing w:line="360" w:lineRule="auto"/>
              <w:ind w:firstLine="0" w:firstLineChars="0"/>
              <w:rPr>
                <w:rFonts w:ascii="宋体"/>
                <w:color w:val="auto"/>
                <w:highlight w:val="none"/>
              </w:rPr>
            </w:pPr>
            <w:r>
              <w:rPr>
                <w:rFonts w:hint="eastAsia" w:ascii="宋体"/>
                <w:color w:val="auto"/>
                <w:highlight w:val="none"/>
              </w:rPr>
              <w:t>硬件设备运行情况</w:t>
            </w:r>
          </w:p>
        </w:tc>
        <w:tc>
          <w:tcPr>
            <w:tcW w:w="1701" w:type="dxa"/>
            <w:tcBorders>
              <w:top w:val="single" w:color="auto" w:sz="4" w:space="0"/>
              <w:left w:val="single" w:color="auto" w:sz="4" w:space="0"/>
              <w:bottom w:val="single" w:color="auto" w:sz="4" w:space="0"/>
              <w:right w:val="single" w:color="auto" w:sz="4" w:space="0"/>
            </w:tcBorders>
            <w:vAlign w:val="center"/>
          </w:tcPr>
          <w:p w14:paraId="20434B51">
            <w:pPr>
              <w:spacing w:line="360" w:lineRule="auto"/>
              <w:ind w:firstLine="0" w:firstLineChars="0"/>
              <w:rPr>
                <w:rFonts w:ascii="宋体"/>
                <w:color w:val="auto"/>
                <w:highlight w:val="none"/>
              </w:rPr>
            </w:pPr>
            <w:r>
              <w:rPr>
                <w:rFonts w:hint="eastAsia" w:ascii="宋体" w:cs="宋体"/>
                <w:color w:val="auto"/>
                <w:kern w:val="0"/>
                <w:sz w:val="22"/>
                <w:szCs w:val="22"/>
                <w:highlight w:val="none"/>
              </w:rPr>
              <w:t>设备名称</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50AD1C09">
            <w:pPr>
              <w:spacing w:line="360" w:lineRule="auto"/>
              <w:ind w:firstLine="440"/>
              <w:rPr>
                <w:rFonts w:ascii="宋体"/>
                <w:color w:val="auto"/>
                <w:highlight w:val="none"/>
              </w:rPr>
            </w:pPr>
            <w:r>
              <w:rPr>
                <w:rFonts w:hint="eastAsia" w:ascii="宋体" w:cs="宋体"/>
                <w:color w:val="auto"/>
                <w:kern w:val="0"/>
                <w:sz w:val="22"/>
                <w:szCs w:val="22"/>
                <w:highlight w:val="none"/>
              </w:rPr>
              <w:t>序列号</w:t>
            </w:r>
          </w:p>
        </w:tc>
        <w:tc>
          <w:tcPr>
            <w:tcW w:w="851" w:type="dxa"/>
            <w:tcBorders>
              <w:top w:val="single" w:color="auto" w:sz="4" w:space="0"/>
              <w:left w:val="single" w:color="auto" w:sz="4" w:space="0"/>
              <w:bottom w:val="single" w:color="auto" w:sz="4" w:space="0"/>
              <w:right w:val="single" w:color="auto" w:sz="4" w:space="0"/>
            </w:tcBorders>
            <w:vAlign w:val="center"/>
          </w:tcPr>
          <w:p w14:paraId="1C196A03">
            <w:pPr>
              <w:spacing w:line="360" w:lineRule="auto"/>
              <w:ind w:firstLine="0" w:firstLineChars="0"/>
              <w:rPr>
                <w:rFonts w:ascii="宋体"/>
                <w:color w:val="auto"/>
                <w:highlight w:val="none"/>
              </w:rPr>
            </w:pPr>
            <w:r>
              <w:rPr>
                <w:rFonts w:hint="eastAsia" w:ascii="宋体" w:cs="宋体"/>
                <w:color w:val="auto"/>
                <w:kern w:val="0"/>
                <w:sz w:val="22"/>
                <w:szCs w:val="22"/>
                <w:highlight w:val="none"/>
              </w:rPr>
              <w:t>数量</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1604C411">
            <w:pPr>
              <w:spacing w:line="360" w:lineRule="auto"/>
              <w:ind w:firstLine="440"/>
              <w:jc w:val="center"/>
              <w:rPr>
                <w:rFonts w:ascii="宋体" w:cs="宋体"/>
                <w:color w:val="auto"/>
                <w:kern w:val="0"/>
                <w:sz w:val="22"/>
                <w:szCs w:val="22"/>
                <w:highlight w:val="none"/>
              </w:rPr>
            </w:pPr>
            <w:r>
              <w:rPr>
                <w:rFonts w:hint="eastAsia" w:ascii="宋体" w:cs="宋体"/>
                <w:color w:val="auto"/>
                <w:kern w:val="0"/>
                <w:sz w:val="22"/>
                <w:szCs w:val="22"/>
                <w:highlight w:val="none"/>
              </w:rPr>
              <w:t>免费质保</w:t>
            </w:r>
          </w:p>
          <w:p w14:paraId="4FE284E2">
            <w:pPr>
              <w:spacing w:line="360" w:lineRule="auto"/>
              <w:ind w:firstLine="440"/>
              <w:jc w:val="center"/>
              <w:rPr>
                <w:rFonts w:ascii="宋体"/>
                <w:color w:val="auto"/>
                <w:highlight w:val="none"/>
              </w:rPr>
            </w:pPr>
            <w:r>
              <w:rPr>
                <w:rFonts w:hint="eastAsia" w:ascii="宋体" w:cs="宋体"/>
                <w:color w:val="auto"/>
                <w:kern w:val="0"/>
                <w:sz w:val="22"/>
                <w:szCs w:val="22"/>
                <w:highlight w:val="none"/>
              </w:rPr>
              <w:t>起止时间</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010C198">
            <w:pPr>
              <w:spacing w:line="360" w:lineRule="auto"/>
              <w:ind w:firstLine="0" w:firstLineChars="0"/>
              <w:rPr>
                <w:rFonts w:ascii="宋体"/>
                <w:color w:val="auto"/>
                <w:highlight w:val="none"/>
              </w:rPr>
            </w:pPr>
            <w:r>
              <w:rPr>
                <w:rFonts w:hint="eastAsia" w:ascii="宋体" w:cs="宋体"/>
                <w:color w:val="auto"/>
                <w:kern w:val="0"/>
                <w:sz w:val="22"/>
                <w:szCs w:val="22"/>
                <w:highlight w:val="none"/>
              </w:rPr>
              <w:t>运行情况</w:t>
            </w:r>
          </w:p>
        </w:tc>
      </w:tr>
      <w:tr w14:paraId="46E381EF">
        <w:tblPrEx>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6D29047F">
            <w:pPr>
              <w:ind w:firstLine="480"/>
              <w:rPr>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9E69E8">
            <w:pPr>
              <w:spacing w:line="360" w:lineRule="auto"/>
              <w:ind w:firstLine="480"/>
              <w:rPr>
                <w:rFonts w:ascii="宋体"/>
                <w:color w:val="auto"/>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2D51C72B">
            <w:pPr>
              <w:spacing w:line="360" w:lineRule="auto"/>
              <w:ind w:firstLine="480"/>
              <w:rPr>
                <w:rFonts w:asci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55286F3">
            <w:pPr>
              <w:spacing w:line="360" w:lineRule="auto"/>
              <w:ind w:firstLine="480"/>
              <w:rPr>
                <w:rFonts w:ascii="宋体"/>
                <w:color w:val="auto"/>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A0FF94F">
            <w:pPr>
              <w:spacing w:line="360" w:lineRule="auto"/>
              <w:ind w:firstLine="480"/>
              <w:rPr>
                <w:rFonts w:asci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1DC2E28">
            <w:pPr>
              <w:spacing w:line="360" w:lineRule="auto"/>
              <w:ind w:firstLine="480"/>
              <w:rPr>
                <w:rFonts w:ascii="宋体"/>
                <w:color w:val="auto"/>
                <w:highlight w:val="none"/>
              </w:rPr>
            </w:pPr>
          </w:p>
        </w:tc>
      </w:tr>
      <w:tr w14:paraId="1DE00AF7">
        <w:tblPrEx>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0FC79A7">
            <w:pPr>
              <w:ind w:firstLine="480"/>
              <w:rPr>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0D3CE9E">
            <w:pPr>
              <w:spacing w:line="360" w:lineRule="auto"/>
              <w:ind w:firstLine="480"/>
              <w:rPr>
                <w:rFonts w:ascii="宋体"/>
                <w:color w:val="auto"/>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28AA39CC">
            <w:pPr>
              <w:spacing w:line="360" w:lineRule="auto"/>
              <w:ind w:firstLine="480"/>
              <w:rPr>
                <w:rFonts w:asci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5781C01">
            <w:pPr>
              <w:spacing w:line="360" w:lineRule="auto"/>
              <w:ind w:firstLine="480"/>
              <w:rPr>
                <w:rFonts w:ascii="宋体"/>
                <w:color w:val="auto"/>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BD7247D">
            <w:pPr>
              <w:spacing w:line="360" w:lineRule="auto"/>
              <w:ind w:firstLine="480"/>
              <w:rPr>
                <w:rFonts w:asci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79F85E2">
            <w:pPr>
              <w:spacing w:line="360" w:lineRule="auto"/>
              <w:ind w:firstLine="480"/>
              <w:rPr>
                <w:rFonts w:ascii="宋体"/>
                <w:color w:val="auto"/>
                <w:highlight w:val="none"/>
              </w:rPr>
            </w:pPr>
          </w:p>
        </w:tc>
      </w:tr>
      <w:tr w14:paraId="48C75908">
        <w:tblPrEx>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371173BB">
            <w:pPr>
              <w:ind w:firstLine="480"/>
              <w:rPr>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391AA25">
            <w:pPr>
              <w:spacing w:line="360" w:lineRule="auto"/>
              <w:ind w:firstLine="480"/>
              <w:rPr>
                <w:rFonts w:ascii="宋体"/>
                <w:color w:val="auto"/>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763925C7">
            <w:pPr>
              <w:spacing w:line="360" w:lineRule="auto"/>
              <w:ind w:firstLine="480"/>
              <w:rPr>
                <w:rFonts w:asci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96B496B">
            <w:pPr>
              <w:spacing w:line="360" w:lineRule="auto"/>
              <w:ind w:firstLine="480"/>
              <w:rPr>
                <w:rFonts w:ascii="宋体"/>
                <w:color w:val="auto"/>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73EC46BD">
            <w:pPr>
              <w:spacing w:line="360" w:lineRule="auto"/>
              <w:ind w:firstLine="480"/>
              <w:rPr>
                <w:rFonts w:asci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62BBB1">
            <w:pPr>
              <w:spacing w:line="360" w:lineRule="auto"/>
              <w:ind w:firstLine="480"/>
              <w:rPr>
                <w:rFonts w:ascii="宋体"/>
                <w:color w:val="auto"/>
                <w:highlight w:val="none"/>
              </w:rPr>
            </w:pPr>
          </w:p>
        </w:tc>
      </w:tr>
      <w:tr w14:paraId="15EB4212">
        <w:tblPrEx>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22AF58AE">
            <w:pPr>
              <w:spacing w:line="360" w:lineRule="auto"/>
              <w:ind w:firstLine="0" w:firstLineChars="0"/>
              <w:rPr>
                <w:rFonts w:ascii="宋体"/>
                <w:color w:val="auto"/>
                <w:highlight w:val="none"/>
              </w:rPr>
            </w:pPr>
            <w:r>
              <w:rPr>
                <w:rFonts w:hint="eastAsia" w:ascii="宋体"/>
                <w:color w:val="auto"/>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cBorders>
          </w:tcPr>
          <w:p w14:paraId="3BE9DDB5">
            <w:pPr>
              <w:spacing w:line="360" w:lineRule="auto"/>
              <w:ind w:firstLine="480"/>
              <w:rPr>
                <w:rFonts w:ascii="宋体"/>
                <w:color w:val="auto"/>
                <w:highlight w:val="none"/>
              </w:rPr>
            </w:pPr>
            <w:r>
              <w:rPr>
                <w:rFonts w:hint="eastAsia" w:ascii="宋体"/>
                <w:color w:val="auto"/>
                <w:highlight w:val="none"/>
              </w:rPr>
              <w:t>（可另附验收情况报告）</w:t>
            </w:r>
          </w:p>
        </w:tc>
      </w:tr>
      <w:tr w14:paraId="66C78E00">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cBorders>
          </w:tcPr>
          <w:p w14:paraId="7D5273CB">
            <w:pPr>
              <w:spacing w:line="400" w:lineRule="exact"/>
              <w:ind w:firstLine="480"/>
              <w:rPr>
                <w:rFonts w:ascii="宋体"/>
                <w:color w:val="auto"/>
                <w:highlight w:val="none"/>
              </w:rPr>
            </w:pPr>
            <w:r>
              <w:rPr>
                <w:rFonts w:hint="eastAsia" w:ascii="宋体"/>
                <w:color w:val="auto"/>
                <w:highlight w:val="none"/>
              </w:rPr>
              <w:t>参验人员：</w:t>
            </w:r>
          </w:p>
          <w:p w14:paraId="5F3128FB">
            <w:pPr>
              <w:spacing w:line="400" w:lineRule="exact"/>
              <w:ind w:firstLine="480"/>
              <w:rPr>
                <w:rFonts w:ascii="宋体"/>
                <w:color w:val="auto"/>
                <w:highlight w:val="none"/>
              </w:rPr>
            </w:pPr>
          </w:p>
          <w:p w14:paraId="7BFE174C">
            <w:pPr>
              <w:spacing w:line="400" w:lineRule="exact"/>
              <w:ind w:firstLine="480"/>
              <w:rPr>
                <w:rFonts w:ascii="宋体"/>
                <w:color w:val="auto"/>
                <w:highlight w:val="none"/>
              </w:rPr>
            </w:pPr>
          </w:p>
          <w:p w14:paraId="5DD0B0F3">
            <w:pPr>
              <w:spacing w:line="400" w:lineRule="exact"/>
              <w:ind w:firstLine="480"/>
              <w:rPr>
                <w:rFonts w:ascii="宋体"/>
                <w:color w:val="auto"/>
                <w:highlight w:val="none"/>
              </w:rPr>
            </w:pPr>
          </w:p>
          <w:p w14:paraId="2A213B50">
            <w:pPr>
              <w:spacing w:line="400" w:lineRule="exact"/>
              <w:ind w:right="-34" w:firstLine="2205" w:firstLineChars="1050"/>
              <w:rPr>
                <w:rFonts w:ascii="宋体"/>
                <w:color w:val="auto"/>
                <w:highlight w:val="none"/>
              </w:rPr>
            </w:pPr>
            <w:r>
              <w:rPr>
                <w:rFonts w:hint="eastAsia" w:ascii="宋体"/>
                <w:color w:val="auto"/>
                <w:highlight w:val="none"/>
              </w:rPr>
              <w:t>年  月  日</w:t>
            </w:r>
          </w:p>
        </w:tc>
        <w:tc>
          <w:tcPr>
            <w:tcW w:w="4899" w:type="dxa"/>
            <w:gridSpan w:val="6"/>
            <w:tcBorders>
              <w:top w:val="single" w:color="auto" w:sz="4" w:space="0"/>
              <w:left w:val="single" w:color="auto" w:sz="4" w:space="0"/>
              <w:bottom w:val="single" w:color="auto" w:sz="4" w:space="0"/>
              <w:right w:val="single" w:color="auto" w:sz="4" w:space="0"/>
            </w:tcBorders>
          </w:tcPr>
          <w:p w14:paraId="57ED2827">
            <w:pPr>
              <w:widowControl/>
              <w:spacing w:before="156" w:beforeLines="50" w:line="360" w:lineRule="auto"/>
              <w:ind w:firstLine="480"/>
              <w:jc w:val="left"/>
              <w:rPr>
                <w:rFonts w:ascii="宋体"/>
                <w:color w:val="auto"/>
                <w:highlight w:val="none"/>
              </w:rPr>
            </w:pPr>
            <w:r>
              <w:rPr>
                <w:rFonts w:hint="eastAsia" w:ascii="宋体"/>
                <w:color w:val="auto"/>
                <w:highlight w:val="none"/>
              </w:rPr>
              <w:t>部门负责人：</w:t>
            </w:r>
          </w:p>
          <w:p w14:paraId="402A53EF">
            <w:pPr>
              <w:widowControl/>
              <w:ind w:firstLine="480"/>
              <w:jc w:val="left"/>
              <w:rPr>
                <w:rFonts w:ascii="宋体"/>
                <w:color w:val="auto"/>
                <w:highlight w:val="none"/>
              </w:rPr>
            </w:pPr>
          </w:p>
          <w:p w14:paraId="32E2C3A7">
            <w:pPr>
              <w:widowControl/>
              <w:ind w:firstLine="480"/>
              <w:jc w:val="left"/>
              <w:rPr>
                <w:rFonts w:ascii="宋体"/>
                <w:color w:val="auto"/>
                <w:highlight w:val="none"/>
              </w:rPr>
            </w:pPr>
          </w:p>
          <w:p w14:paraId="4078B09D">
            <w:pPr>
              <w:widowControl/>
              <w:ind w:firstLine="480"/>
              <w:jc w:val="left"/>
              <w:rPr>
                <w:rFonts w:ascii="宋体"/>
                <w:color w:val="auto"/>
                <w:highlight w:val="none"/>
              </w:rPr>
            </w:pPr>
          </w:p>
          <w:p w14:paraId="711C53CB">
            <w:pPr>
              <w:spacing w:line="400" w:lineRule="exact"/>
              <w:ind w:right="-34" w:firstLine="480"/>
              <w:rPr>
                <w:rFonts w:ascii="宋体"/>
                <w:color w:val="auto"/>
                <w:highlight w:val="none"/>
              </w:rPr>
            </w:pPr>
            <w:r>
              <w:rPr>
                <w:rFonts w:hint="eastAsia" w:ascii="宋体"/>
                <w:color w:val="auto"/>
                <w:highlight w:val="none"/>
              </w:rPr>
              <w:t xml:space="preserve">                      年  月  日</w:t>
            </w:r>
          </w:p>
        </w:tc>
      </w:tr>
    </w:tbl>
    <w:p w14:paraId="542CE7C1">
      <w:pPr>
        <w:spacing w:line="360" w:lineRule="auto"/>
        <w:ind w:firstLine="482"/>
        <w:rPr>
          <w:rFonts w:ascii="宋体"/>
          <w:b/>
          <w:color w:val="auto"/>
          <w:highlight w:val="none"/>
        </w:rPr>
      </w:pPr>
      <w:r>
        <w:rPr>
          <w:rFonts w:hint="eastAsia" w:ascii="宋体"/>
          <w:b/>
          <w:color w:val="auto"/>
          <w:highlight w:val="none"/>
        </w:rPr>
        <w:br w:type="page"/>
      </w:r>
      <w:r>
        <w:rPr>
          <w:rFonts w:hint="eastAsia" w:ascii="宋体"/>
          <w:b/>
          <w:color w:val="auto"/>
          <w:highlight w:val="none"/>
        </w:rPr>
        <w:t>附件3：</w:t>
      </w:r>
    </w:p>
    <w:p w14:paraId="59C3AEDA">
      <w:pPr>
        <w:spacing w:line="360" w:lineRule="auto"/>
        <w:ind w:firstLine="482"/>
        <w:jc w:val="center"/>
        <w:rPr>
          <w:rFonts w:ascii="宋体"/>
          <w:b/>
          <w:color w:val="auto"/>
          <w:highlight w:val="none"/>
        </w:rPr>
      </w:pPr>
      <w:r>
        <w:rPr>
          <w:rFonts w:hint="eastAsia" w:ascii="宋体"/>
          <w:b/>
          <w:color w:val="auto"/>
          <w:highlight w:val="none"/>
        </w:rPr>
        <w:t>维护服务内容</w:t>
      </w:r>
    </w:p>
    <w:p w14:paraId="4317D5EF">
      <w:pPr>
        <w:numPr>
          <w:ilvl w:val="0"/>
          <w:numId w:val="1"/>
        </w:numPr>
        <w:autoSpaceDE/>
        <w:autoSpaceDN/>
        <w:spacing w:line="480" w:lineRule="auto"/>
        <w:ind w:left="0" w:firstLine="480" w:firstLineChars="0"/>
        <w:rPr>
          <w:rFonts w:ascii="宋体" w:hAnsi="宋体"/>
          <w:color w:val="auto"/>
          <w:highlight w:val="none"/>
        </w:rPr>
      </w:pPr>
      <w:r>
        <w:rPr>
          <w:rFonts w:hint="eastAsia" w:ascii="宋体" w:hAnsi="宋体"/>
          <w:color w:val="auto"/>
          <w:highlight w:val="none"/>
        </w:rPr>
        <w:t>遵守《中华人民共和国产品质量法》和《消费者权益保护法》的相关规定，供货厂商应提供服务标准可高于以上规定，但不得降低。</w:t>
      </w:r>
    </w:p>
    <w:p w14:paraId="04770B84">
      <w:pPr>
        <w:numPr>
          <w:ilvl w:val="0"/>
          <w:numId w:val="1"/>
        </w:numPr>
        <w:autoSpaceDE/>
        <w:autoSpaceDN/>
        <w:spacing w:line="480" w:lineRule="auto"/>
        <w:ind w:left="0" w:firstLine="480" w:firstLineChars="0"/>
        <w:jc w:val="left"/>
        <w:rPr>
          <w:rFonts w:ascii="宋体" w:hAnsi="宋体"/>
          <w:color w:val="auto"/>
          <w:highlight w:val="none"/>
        </w:rPr>
      </w:pPr>
      <w:r>
        <w:rPr>
          <w:rFonts w:hint="eastAsia" w:ascii="宋体" w:hAnsi="宋体"/>
          <w:color w:val="auto"/>
          <w:highlight w:val="none"/>
        </w:rPr>
        <w:t>本项目免费质保期为3年。免费质保期</w:t>
      </w:r>
      <w:r>
        <w:rPr>
          <w:rFonts w:ascii="宋体" w:hAnsi="宋体"/>
          <w:color w:val="auto"/>
          <w:highlight w:val="none"/>
        </w:rPr>
        <w:t>起始时间为验收后次日起，结束时间为</w:t>
      </w:r>
      <w:r>
        <w:rPr>
          <w:rFonts w:hint="eastAsia" w:ascii="宋体" w:hAnsi="宋体"/>
          <w:color w:val="auto"/>
          <w:highlight w:val="none"/>
        </w:rPr>
        <w:t>质保</w:t>
      </w:r>
      <w:r>
        <w:rPr>
          <w:rFonts w:ascii="宋体" w:hAnsi="宋体"/>
          <w:color w:val="auto"/>
          <w:highlight w:val="none"/>
        </w:rPr>
        <w:t>到期当年的6月30日或12月31日中较近日期</w:t>
      </w:r>
      <w:r>
        <w:rPr>
          <w:rFonts w:hint="eastAsia" w:ascii="宋体" w:hAnsi="宋体"/>
          <w:color w:val="auto"/>
          <w:highlight w:val="none"/>
        </w:rPr>
        <w:t>。</w:t>
      </w:r>
    </w:p>
    <w:p w14:paraId="66018AB0">
      <w:pPr>
        <w:numPr>
          <w:ilvl w:val="0"/>
          <w:numId w:val="1"/>
        </w:numPr>
        <w:autoSpaceDE/>
        <w:autoSpaceDN/>
        <w:spacing w:line="480" w:lineRule="auto"/>
        <w:ind w:left="0" w:firstLine="480" w:firstLineChars="0"/>
        <w:jc w:val="left"/>
        <w:rPr>
          <w:rFonts w:ascii="宋体" w:hAnsi="宋体"/>
          <w:color w:val="auto"/>
          <w:highlight w:val="none"/>
        </w:rPr>
      </w:pPr>
      <w:r>
        <w:rPr>
          <w:rFonts w:hint="eastAsia" w:ascii="宋体" w:hAnsi="宋体"/>
          <w:color w:val="auto"/>
          <w:highlight w:val="none"/>
        </w:rPr>
        <w:t>质保内容包括但不限于设备免费维修、零部件更换、技术支持等服务。</w:t>
      </w:r>
    </w:p>
    <w:p w14:paraId="64326391">
      <w:pPr>
        <w:numPr>
          <w:ilvl w:val="0"/>
          <w:numId w:val="1"/>
        </w:numPr>
        <w:autoSpaceDE/>
        <w:autoSpaceDN/>
        <w:spacing w:line="480" w:lineRule="auto"/>
        <w:ind w:left="0" w:firstLine="480" w:firstLineChars="0"/>
        <w:rPr>
          <w:rFonts w:ascii="宋体" w:hAnsi="宋体"/>
          <w:color w:val="auto"/>
          <w:highlight w:val="none"/>
        </w:rPr>
      </w:pPr>
      <w:r>
        <w:rPr>
          <w:rFonts w:hint="eastAsia" w:ascii="宋体" w:hAnsi="宋体"/>
          <w:color w:val="auto"/>
          <w:highlight w:val="none"/>
        </w:rPr>
        <w:t>对质保范围内设备，在接到我行设备故障的通知后应及时派人前往维护解决（2小时到现场，如需更换故障设备零部件，须在48小时内完成）。</w:t>
      </w:r>
    </w:p>
    <w:p w14:paraId="7C22A583">
      <w:pPr>
        <w:numPr>
          <w:ilvl w:val="0"/>
          <w:numId w:val="1"/>
        </w:numPr>
        <w:autoSpaceDE/>
        <w:autoSpaceDN/>
        <w:spacing w:line="480" w:lineRule="auto"/>
        <w:ind w:left="0" w:firstLine="480" w:firstLineChars="0"/>
        <w:rPr>
          <w:color w:val="auto"/>
          <w:highlight w:val="none"/>
        </w:rPr>
      </w:pPr>
      <w:r>
        <w:rPr>
          <w:rFonts w:hint="eastAsia" w:ascii="宋体" w:hAnsi="宋体"/>
          <w:color w:val="auto"/>
          <w:highlight w:val="none"/>
        </w:rPr>
        <w:t>免费质保期以生产企业的有效承诺为准。</w:t>
      </w:r>
    </w:p>
    <w:p w14:paraId="58348BBF">
      <w:pPr>
        <w:spacing w:line="360" w:lineRule="auto"/>
        <w:ind w:firstLine="482"/>
        <w:jc w:val="center"/>
        <w:rPr>
          <w:rFonts w:ascii="宋体"/>
          <w:b/>
          <w:color w:val="auto"/>
          <w:highlight w:val="none"/>
        </w:rPr>
      </w:pPr>
    </w:p>
    <w:p w14:paraId="72E213A6">
      <w:pPr>
        <w:spacing w:line="360" w:lineRule="auto"/>
        <w:ind w:firstLine="482"/>
        <w:jc w:val="center"/>
        <w:rPr>
          <w:rFonts w:ascii="宋体"/>
          <w:b/>
          <w:color w:val="auto"/>
          <w:highlight w:val="none"/>
        </w:rPr>
      </w:pPr>
    </w:p>
    <w:p w14:paraId="6618AB68">
      <w:pPr>
        <w:spacing w:line="360" w:lineRule="auto"/>
        <w:ind w:firstLine="482"/>
        <w:jc w:val="center"/>
        <w:rPr>
          <w:rFonts w:ascii="宋体"/>
          <w:b/>
          <w:color w:val="auto"/>
          <w:highlight w:val="none"/>
        </w:rPr>
      </w:pPr>
    </w:p>
    <w:p w14:paraId="5B74A865">
      <w:pPr>
        <w:spacing w:line="360" w:lineRule="auto"/>
        <w:ind w:firstLine="482"/>
        <w:jc w:val="center"/>
        <w:rPr>
          <w:rFonts w:ascii="宋体"/>
          <w:b/>
          <w:color w:val="auto"/>
          <w:highlight w:val="none"/>
        </w:rPr>
      </w:pPr>
    </w:p>
    <w:p w14:paraId="256D0EF3">
      <w:pPr>
        <w:spacing w:line="360" w:lineRule="auto"/>
        <w:ind w:firstLine="482"/>
        <w:rPr>
          <w:rFonts w:ascii="宋体"/>
          <w:b/>
          <w:color w:val="auto"/>
          <w:highlight w:val="none"/>
        </w:rPr>
      </w:pPr>
    </w:p>
    <w:p w14:paraId="3494D965">
      <w:pPr>
        <w:ind w:firstLine="480"/>
        <w:rPr>
          <w:rFonts w:ascii="Times New Roman" w:hAnsi="Times New Roman"/>
          <w:color w:val="auto"/>
          <w:highlight w:val="none"/>
        </w:rPr>
      </w:pPr>
    </w:p>
    <w:p w14:paraId="45C2A419">
      <w:pPr>
        <w:widowControl/>
        <w:autoSpaceDE/>
        <w:autoSpaceDN/>
        <w:spacing w:line="240" w:lineRule="auto"/>
        <w:ind w:firstLine="0" w:firstLineChars="0"/>
        <w:jc w:val="left"/>
        <w:rPr>
          <w:rFonts w:ascii="Times New Roman" w:hAnsi="Times New Roman" w:cs="等线 Light"/>
          <w:b/>
          <w:snapToGrid w:val="0"/>
          <w:color w:val="auto"/>
          <w:kern w:val="0"/>
          <w:sz w:val="44"/>
          <w:szCs w:val="44"/>
          <w:highlight w:val="none"/>
        </w:rPr>
      </w:pPr>
      <w:r>
        <w:rPr>
          <w:rFonts w:ascii="Times New Roman" w:hAnsi="Times New Roman"/>
          <w:color w:val="auto"/>
          <w:highlight w:val="none"/>
        </w:rPr>
        <w:br w:type="page"/>
      </w:r>
    </w:p>
    <w:p w14:paraId="4D64B8E1">
      <w:pPr>
        <w:pStyle w:val="2"/>
        <w:rPr>
          <w:rFonts w:ascii="Times New Roman" w:hAnsi="Times New Roman"/>
          <w:color w:val="auto"/>
          <w:highlight w:val="none"/>
        </w:rPr>
      </w:pPr>
      <w:bookmarkStart w:id="91" w:name="_Toc177996835"/>
      <w:bookmarkStart w:id="92" w:name="_Toc23194"/>
      <w:bookmarkStart w:id="93" w:name="_Toc14230"/>
      <w:r>
        <w:rPr>
          <w:rFonts w:hint="eastAsia" w:ascii="Times New Roman" w:hAnsi="Times New Roman"/>
          <w:color w:val="auto"/>
          <w:highlight w:val="none"/>
        </w:rPr>
        <w:t>第六章 参选文件</w:t>
      </w:r>
      <w:bookmarkEnd w:id="84"/>
      <w:bookmarkEnd w:id="85"/>
      <w:bookmarkStart w:id="94" w:name="_Toc303066035"/>
      <w:r>
        <w:rPr>
          <w:rFonts w:hint="eastAsia" w:ascii="Times New Roman" w:hAnsi="Times New Roman"/>
          <w:color w:val="auto"/>
          <w:highlight w:val="none"/>
        </w:rPr>
        <w:t>格式</w:t>
      </w:r>
      <w:bookmarkEnd w:id="91"/>
      <w:bookmarkEnd w:id="92"/>
      <w:bookmarkEnd w:id="93"/>
    </w:p>
    <w:bookmarkEnd w:id="94"/>
    <w:p w14:paraId="2C156A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161D380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59CAE01A">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r>
        <w:rPr>
          <w:rFonts w:hint="eastAsia" w:ascii="Times New Roman" w:hAnsi="Times New Roman" w:cs="Times New Roman"/>
          <w:b/>
          <w:snapToGrid w:val="0"/>
          <w:color w:val="auto"/>
          <w:kern w:val="0"/>
          <w:sz w:val="48"/>
          <w:szCs w:val="84"/>
          <w:highlight w:val="none"/>
        </w:rPr>
        <w:t>西永数据中心视频监控系统项目</w:t>
      </w:r>
    </w:p>
    <w:p w14:paraId="0D6C58A4">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14:paraId="64C1914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3BBDE94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16"/>
          <w:highlight w:val="none"/>
        </w:rPr>
      </w:pPr>
    </w:p>
    <w:p w14:paraId="4CD407A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CBC68A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7E59D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1F7B25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E2FEDE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18DBCD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0C460F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D54E51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1567FFE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628B916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rPr>
      </w:pPr>
    </w:p>
    <w:p w14:paraId="759AFCE7">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38C75992">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18D4278B">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7418345">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一、参选函</w:t>
      </w:r>
    </w:p>
    <w:p w14:paraId="096A3A2A">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二、报价一览表</w:t>
      </w:r>
    </w:p>
    <w:p w14:paraId="482276D9">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三、分项报价明细表</w:t>
      </w:r>
    </w:p>
    <w:p w14:paraId="6AAADD07">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四、资格性文件</w:t>
      </w:r>
    </w:p>
    <w:p w14:paraId="77FAA7AE">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（一）参选人基本情况介绍，资质证明等</w:t>
      </w:r>
    </w:p>
    <w:p w14:paraId="036F07A3">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（二）法定代表人身份证明及授权委托书</w:t>
      </w:r>
    </w:p>
    <w:p w14:paraId="5270BA9B">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（三）书面声明</w:t>
      </w:r>
    </w:p>
    <w:p w14:paraId="63C6E550">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（四）中国执行信息公开网截图</w:t>
      </w:r>
    </w:p>
    <w:p w14:paraId="364D1665">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（五）项目案例和业绩证明文件复印件</w:t>
      </w:r>
    </w:p>
    <w:p w14:paraId="502C9021">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（六）产品兼容性及接入支持证明</w:t>
      </w:r>
    </w:p>
    <w:p w14:paraId="1B2F4F46">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（七）设备原厂出具的授权文件</w:t>
      </w:r>
    </w:p>
    <w:p w14:paraId="41A21726">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w:t>
      </w:r>
      <w:r>
        <w:rPr>
          <w:rFonts w:hint="eastAsia" w:cs="宋体"/>
          <w:color w:val="auto"/>
          <w:highlight w:val="none"/>
          <w:lang w:val="en-US" w:eastAsia="zh-CN"/>
        </w:rPr>
        <w:t>八</w:t>
      </w:r>
      <w:r>
        <w:rPr>
          <w:rFonts w:hint="eastAsia" w:ascii="Times New Roman" w:hAnsi="Times New Roman" w:cs="宋体"/>
          <w:color w:val="auto"/>
          <w:highlight w:val="none"/>
        </w:rPr>
        <w:t>）资质证书复印件</w:t>
      </w:r>
    </w:p>
    <w:p w14:paraId="0CB1533E">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w:t>
      </w:r>
      <w:r>
        <w:rPr>
          <w:rFonts w:hint="eastAsia" w:cs="宋体"/>
          <w:color w:val="auto"/>
          <w:highlight w:val="none"/>
          <w:lang w:val="en-US" w:eastAsia="zh-CN"/>
        </w:rPr>
        <w:t>九</w:t>
      </w:r>
      <w:r>
        <w:rPr>
          <w:rFonts w:hint="eastAsia" w:ascii="Times New Roman" w:hAnsi="Times New Roman" w:cs="宋体"/>
          <w:color w:val="auto"/>
          <w:highlight w:val="none"/>
        </w:rPr>
        <w:t>）其他（如有）</w:t>
      </w:r>
    </w:p>
    <w:p w14:paraId="4C6CA859">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五、响应性文件</w:t>
      </w:r>
    </w:p>
    <w:p w14:paraId="3865F3F9">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（一）响应承诺函</w:t>
      </w:r>
    </w:p>
    <w:p w14:paraId="1F872A0E">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（二）参选保证金</w:t>
      </w:r>
    </w:p>
    <w:p w14:paraId="5606AEBB">
      <w:pPr>
        <w:spacing w:line="360" w:lineRule="auto"/>
        <w:ind w:firstLine="480"/>
        <w:rPr>
          <w:rFonts w:hint="eastAsia" w:ascii="Times New Roman" w:hAnsi="Times New Roman" w:cs="宋体"/>
          <w:color w:val="auto"/>
          <w:highlight w:val="none"/>
        </w:rPr>
      </w:pPr>
      <w:r>
        <w:rPr>
          <w:rFonts w:hint="eastAsia" w:ascii="Times New Roman" w:hAnsi="Times New Roman" w:cs="宋体"/>
          <w:color w:val="auto"/>
          <w:highlight w:val="none"/>
        </w:rPr>
        <w:t>（三）其他（如有）</w:t>
      </w:r>
    </w:p>
    <w:p w14:paraId="5842F584">
      <w:pPr>
        <w:spacing w:line="360" w:lineRule="auto"/>
        <w:ind w:firstLine="480"/>
        <w:rPr>
          <w:rFonts w:ascii="Times New Roman" w:hAnsi="Times New Roman" w:cs="宋体"/>
          <w:color w:val="auto"/>
          <w:highlight w:val="none"/>
        </w:rPr>
      </w:pPr>
      <w:r>
        <w:rPr>
          <w:rFonts w:hint="eastAsia" w:ascii="Times New Roman" w:hAnsi="Times New Roman" w:cs="宋体"/>
          <w:color w:val="auto"/>
          <w:highlight w:val="none"/>
        </w:rPr>
        <w:t>六、其他（如有）</w:t>
      </w:r>
    </w:p>
    <w:p w14:paraId="1BD1A7D1">
      <w:pPr>
        <w:spacing w:line="360" w:lineRule="auto"/>
        <w:ind w:firstLine="480"/>
        <w:rPr>
          <w:rFonts w:ascii="Times New Roman" w:hAnsi="Times New Roman" w:cs="宋体"/>
          <w:color w:val="auto"/>
          <w:highlight w:val="none"/>
        </w:rPr>
      </w:pPr>
    </w:p>
    <w:p w14:paraId="551FAEC1">
      <w:pPr>
        <w:spacing w:line="360" w:lineRule="auto"/>
        <w:ind w:firstLine="0" w:firstLineChars="0"/>
        <w:jc w:val="center"/>
        <w:outlineLvl w:val="1"/>
        <w:rPr>
          <w:rStyle w:val="29"/>
          <w:rFonts w:ascii="Times New Roman" w:hAnsi="Times New Roman"/>
          <w:color w:val="auto"/>
          <w:highlight w:val="none"/>
        </w:rPr>
      </w:pPr>
      <w:r>
        <w:rPr>
          <w:rFonts w:hint="eastAsia" w:ascii="Times New Roman" w:hAnsi="Times New Roman" w:cs="宋体"/>
          <w:color w:val="auto"/>
          <w:highlight w:val="none"/>
        </w:rPr>
        <w:br w:type="page"/>
      </w:r>
      <w:r>
        <w:rPr>
          <w:rStyle w:val="29"/>
          <w:rFonts w:hint="eastAsia" w:ascii="Times New Roman" w:hAnsi="Times New Roman"/>
          <w:color w:val="auto"/>
          <w:highlight w:val="none"/>
        </w:rPr>
        <w:t>一、参选函</w:t>
      </w:r>
    </w:p>
    <w:p w14:paraId="3B7FF3F0">
      <w:pPr>
        <w:tabs>
          <w:tab w:val="left" w:pos="6300"/>
        </w:tabs>
        <w:snapToGrid w:val="0"/>
        <w:spacing w:line="360" w:lineRule="auto"/>
        <w:ind w:right="-29" w:rightChars="-14" w:firstLine="480"/>
        <w:rPr>
          <w:rFonts w:ascii="Times New Roman" w:hAnsi="Times New Roman"/>
          <w:snapToGrid w:val="0"/>
          <w:color w:val="auto"/>
          <w:kern w:val="0"/>
          <w:szCs w:val="24"/>
          <w:highlight w:val="none"/>
          <w:u w:val="single"/>
        </w:rPr>
      </w:pPr>
    </w:p>
    <w:p w14:paraId="36BDFF27">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31F24127">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35BA41AC">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1、愿意按照比选文件中的一切要求，以</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lang w:val="en-US" w:eastAsia="zh-CN"/>
        </w:rPr>
        <w:t>报</w:t>
      </w:r>
      <w:r>
        <w:rPr>
          <w:rFonts w:hint="eastAsia" w:ascii="Times New Roman" w:hAnsi="Times New Roman"/>
          <w:snapToGrid w:val="0"/>
          <w:color w:val="auto"/>
          <w:kern w:val="0"/>
          <w:szCs w:val="24"/>
          <w:highlight w:val="none"/>
        </w:rPr>
        <w:t>价（含税）承担和完成本项目。交付期：_________；交货地点：</w:t>
      </w:r>
      <w:r>
        <w:rPr>
          <w:rFonts w:hint="eastAsia"/>
          <w:color w:val="auto"/>
          <w:highlight w:val="none"/>
          <w:u w:val="single"/>
        </w:rPr>
        <w:t>重庆市西永微电子园2号楼</w:t>
      </w:r>
      <w:r>
        <w:rPr>
          <w:rFonts w:hint="eastAsia" w:ascii="Times New Roman" w:hAnsi="Times New Roman"/>
          <w:snapToGrid w:val="0"/>
          <w:color w:val="auto"/>
          <w:kern w:val="0"/>
          <w:szCs w:val="24"/>
          <w:highlight w:val="none"/>
        </w:rPr>
        <w:t>。免费质保期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3年</w:t>
      </w:r>
      <w:r>
        <w:rPr>
          <w:rFonts w:hint="eastAsia" w:ascii="Times New Roman" w:hAnsi="Times New Roman"/>
          <w:snapToGrid w:val="0"/>
          <w:color w:val="auto"/>
          <w:kern w:val="0"/>
          <w:szCs w:val="24"/>
          <w:highlight w:val="none"/>
        </w:rPr>
        <w:t>。</w:t>
      </w:r>
    </w:p>
    <w:p w14:paraId="60F96EE8">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5C20928C">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8A2DDA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4B1E0C82">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5AD2C3F2">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62B40A41">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2FFA5CAB">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p>
    <w:p w14:paraId="32C1EC08">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488B590">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1BAA3A2B">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6C8649D4">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6CB2B6B">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6B4DAD2B">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1DF929DB">
      <w:pPr>
        <w:widowControl/>
        <w:spacing w:line="360" w:lineRule="auto"/>
        <w:ind w:firstLine="480"/>
        <w:jc w:val="left"/>
        <w:rPr>
          <w:rFonts w:ascii="Times New Roman" w:hAnsi="Times New Roman"/>
          <w:snapToGrid w:val="0"/>
          <w:color w:val="auto"/>
          <w:kern w:val="0"/>
          <w:szCs w:val="24"/>
          <w:highlight w:val="none"/>
        </w:rPr>
      </w:pPr>
    </w:p>
    <w:p w14:paraId="7AC78B4D">
      <w:pPr>
        <w:tabs>
          <w:tab w:val="left" w:pos="6300"/>
        </w:tabs>
        <w:snapToGrid w:val="0"/>
        <w:spacing w:line="360" w:lineRule="auto"/>
        <w:ind w:firstLine="480"/>
        <w:rPr>
          <w:rFonts w:ascii="Times New Roman" w:hAnsi="Times New Roman"/>
          <w:snapToGrid w:val="0"/>
          <w:color w:val="auto"/>
          <w:kern w:val="0"/>
          <w:szCs w:val="24"/>
          <w:highlight w:val="none"/>
        </w:rPr>
      </w:pPr>
    </w:p>
    <w:p w14:paraId="44CB24C1">
      <w:pPr>
        <w:widowControl/>
        <w:spacing w:line="360" w:lineRule="auto"/>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p>
    <w:p w14:paraId="6464740A">
      <w:pPr>
        <w:pStyle w:val="30"/>
        <w:rPr>
          <w:color w:val="auto"/>
          <w:highlight w:val="none"/>
        </w:rPr>
      </w:pPr>
      <w:r>
        <w:rPr>
          <w:color w:val="auto"/>
          <w:highlight w:val="none"/>
        </w:rPr>
        <w:t>二、</w:t>
      </w:r>
      <w:r>
        <w:rPr>
          <w:rFonts w:hint="eastAsia"/>
          <w:color w:val="auto"/>
          <w:highlight w:val="none"/>
        </w:rPr>
        <w:t>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7918E296">
      <w:pPr>
        <w:pStyle w:val="30"/>
        <w:rPr>
          <w:rFonts w:hint="default" w:ascii="Times New Roman" w:hAnsi="Times New Roman"/>
          <w:color w:val="auto"/>
          <w:highlight w:val="none"/>
        </w:rPr>
      </w:pPr>
      <w:r>
        <w:rPr>
          <w:rStyle w:val="24"/>
          <w:rFonts w:hint="eastAsia" w:ascii="Times New Roman" w:hAnsi="Times New Roman"/>
          <w:b w:val="0"/>
          <w:color w:val="auto"/>
          <w:highlight w:val="none"/>
        </w:rPr>
        <w:br w:type="page"/>
      </w:r>
      <w:r>
        <w:rPr>
          <w:rFonts w:hint="eastAsia" w:ascii="Times New Roman" w:hAnsi="Times New Roman"/>
          <w:color w:val="auto"/>
          <w:highlight w:val="none"/>
          <w:lang w:val="en-US" w:eastAsia="zh-CN"/>
        </w:rPr>
        <w:t>三</w:t>
      </w:r>
      <w:r>
        <w:rPr>
          <w:rFonts w:ascii="Times New Roman" w:hAnsi="Times New Roman"/>
          <w:color w:val="auto"/>
          <w:highlight w:val="none"/>
        </w:rPr>
        <w:t>、分项报价明细表</w:t>
      </w:r>
    </w:p>
    <w:p w14:paraId="4AB99525">
      <w:pPr>
        <w:ind w:firstLine="0" w:firstLineChars="0"/>
        <w:jc w:val="center"/>
        <w:rPr>
          <w:rFonts w:ascii="Times New Roman" w:hAnsi="Times New Roman"/>
          <w:color w:val="auto"/>
          <w:highlight w:val="none"/>
        </w:rPr>
      </w:pPr>
    </w:p>
    <w:tbl>
      <w:tblPr>
        <w:tblStyle w:val="1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1"/>
        <w:gridCol w:w="1275"/>
        <w:gridCol w:w="1134"/>
        <w:gridCol w:w="993"/>
        <w:gridCol w:w="708"/>
        <w:gridCol w:w="1370"/>
        <w:gridCol w:w="1177"/>
      </w:tblGrid>
      <w:tr w14:paraId="6AA9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23" w:type="dxa"/>
            <w:vAlign w:val="center"/>
          </w:tcPr>
          <w:p w14:paraId="747B2DFC">
            <w:pPr>
              <w:spacing w:line="240" w:lineRule="auto"/>
              <w:ind w:firstLine="0" w:firstLineChars="0"/>
              <w:jc w:val="center"/>
              <w:rPr>
                <w:rFonts w:ascii="Times New Roman" w:hAnsi="Times New Roman"/>
                <w:b/>
                <w:bCs/>
                <w:color w:val="auto"/>
                <w:highlight w:val="none"/>
              </w:rPr>
            </w:pPr>
            <w:r>
              <w:rPr>
                <w:rFonts w:hint="eastAsia"/>
                <w:b/>
                <w:bCs/>
                <w:color w:val="auto"/>
                <w:highlight w:val="none"/>
              </w:rPr>
              <w:br w:type="page"/>
            </w:r>
            <w:r>
              <w:rPr>
                <w:rFonts w:ascii="Times New Roman" w:hAnsi="Times New Roman"/>
                <w:b/>
                <w:bCs/>
                <w:color w:val="auto"/>
                <w:highlight w:val="none"/>
              </w:rPr>
              <w:br w:type="page"/>
            </w:r>
            <w:r>
              <w:rPr>
                <w:rFonts w:hint="eastAsia" w:ascii="Times New Roman" w:hAnsi="Times New Roman"/>
                <w:b/>
                <w:bCs/>
                <w:color w:val="auto"/>
                <w:highlight w:val="none"/>
              </w:rPr>
              <w:t>产品名称</w:t>
            </w:r>
          </w:p>
        </w:tc>
        <w:tc>
          <w:tcPr>
            <w:tcW w:w="851" w:type="dxa"/>
            <w:vAlign w:val="center"/>
          </w:tcPr>
          <w:p w14:paraId="79D86D65">
            <w:pPr>
              <w:spacing w:line="240" w:lineRule="auto"/>
              <w:ind w:firstLine="0" w:firstLineChars="0"/>
              <w:jc w:val="center"/>
              <w:rPr>
                <w:rFonts w:ascii="Times New Roman" w:hAnsi="Times New Roman"/>
                <w:b/>
                <w:bCs/>
                <w:color w:val="auto"/>
                <w:highlight w:val="none"/>
              </w:rPr>
            </w:pPr>
            <w:r>
              <w:rPr>
                <w:rFonts w:hint="eastAsia" w:ascii="Times New Roman" w:hAnsi="Times New Roman"/>
                <w:b/>
                <w:bCs/>
                <w:color w:val="auto"/>
                <w:highlight w:val="none"/>
              </w:rPr>
              <w:t>产品品牌</w:t>
            </w:r>
          </w:p>
        </w:tc>
        <w:tc>
          <w:tcPr>
            <w:tcW w:w="1275" w:type="dxa"/>
            <w:vAlign w:val="center"/>
          </w:tcPr>
          <w:p w14:paraId="7EE9BAEB">
            <w:pPr>
              <w:spacing w:line="240" w:lineRule="auto"/>
              <w:ind w:firstLine="0" w:firstLineChars="0"/>
              <w:jc w:val="center"/>
              <w:rPr>
                <w:rFonts w:ascii="Times New Roman" w:hAnsi="Times New Roman"/>
                <w:b/>
                <w:bCs/>
                <w:color w:val="auto"/>
                <w:highlight w:val="none"/>
              </w:rPr>
            </w:pPr>
            <w:r>
              <w:rPr>
                <w:rFonts w:hint="eastAsia" w:ascii="Times New Roman" w:hAnsi="Times New Roman"/>
                <w:b/>
                <w:bCs/>
                <w:color w:val="auto"/>
                <w:highlight w:val="none"/>
              </w:rPr>
              <w:t>产品型号及规格</w:t>
            </w:r>
          </w:p>
        </w:tc>
        <w:tc>
          <w:tcPr>
            <w:tcW w:w="1134" w:type="dxa"/>
            <w:vAlign w:val="center"/>
          </w:tcPr>
          <w:p w14:paraId="67B4B3B1">
            <w:pPr>
              <w:spacing w:line="240" w:lineRule="auto"/>
              <w:ind w:firstLine="0" w:firstLineChars="0"/>
              <w:jc w:val="center"/>
              <w:rPr>
                <w:rFonts w:ascii="Times New Roman" w:hAnsi="Times New Roman"/>
                <w:b/>
                <w:bCs/>
                <w:color w:val="auto"/>
                <w:highlight w:val="none"/>
              </w:rPr>
            </w:pPr>
            <w:r>
              <w:rPr>
                <w:rFonts w:hint="eastAsia" w:ascii="Times New Roman" w:hAnsi="Times New Roman"/>
                <w:b/>
                <w:bCs/>
                <w:color w:val="auto"/>
                <w:highlight w:val="none"/>
              </w:rPr>
              <w:t>单价（元）</w:t>
            </w:r>
          </w:p>
        </w:tc>
        <w:tc>
          <w:tcPr>
            <w:tcW w:w="993" w:type="dxa"/>
            <w:vAlign w:val="center"/>
          </w:tcPr>
          <w:p w14:paraId="1A5E83EA">
            <w:pPr>
              <w:spacing w:line="240" w:lineRule="auto"/>
              <w:ind w:firstLine="0" w:firstLineChars="0"/>
              <w:jc w:val="center"/>
              <w:rPr>
                <w:rFonts w:ascii="Times New Roman" w:hAnsi="Times New Roman"/>
                <w:b/>
                <w:bCs/>
                <w:color w:val="auto"/>
                <w:highlight w:val="none"/>
              </w:rPr>
            </w:pPr>
            <w:r>
              <w:rPr>
                <w:rFonts w:hint="eastAsia" w:ascii="Times New Roman" w:hAnsi="Times New Roman"/>
                <w:b/>
                <w:bCs/>
                <w:color w:val="auto"/>
                <w:highlight w:val="none"/>
              </w:rPr>
              <w:t>数量</w:t>
            </w:r>
          </w:p>
        </w:tc>
        <w:tc>
          <w:tcPr>
            <w:tcW w:w="708" w:type="dxa"/>
            <w:vAlign w:val="center"/>
          </w:tcPr>
          <w:p w14:paraId="36F77017">
            <w:pPr>
              <w:spacing w:line="240" w:lineRule="auto"/>
              <w:ind w:firstLine="0" w:firstLineChars="0"/>
              <w:jc w:val="left"/>
              <w:rPr>
                <w:rFonts w:ascii="Times New Roman" w:hAnsi="Times New Roman"/>
                <w:b/>
                <w:bCs/>
                <w:color w:val="auto"/>
                <w:highlight w:val="none"/>
              </w:rPr>
            </w:pPr>
            <w:r>
              <w:rPr>
                <w:rFonts w:hint="eastAsia" w:ascii="Times New Roman" w:hAnsi="Times New Roman"/>
                <w:b/>
                <w:bCs/>
                <w:color w:val="auto"/>
                <w:highlight w:val="none"/>
              </w:rPr>
              <w:t>税率</w:t>
            </w:r>
          </w:p>
        </w:tc>
        <w:tc>
          <w:tcPr>
            <w:tcW w:w="1370" w:type="dxa"/>
            <w:vAlign w:val="center"/>
          </w:tcPr>
          <w:p w14:paraId="4D93F227">
            <w:pPr>
              <w:spacing w:line="240" w:lineRule="auto"/>
              <w:ind w:firstLine="0" w:firstLineChars="0"/>
              <w:jc w:val="left"/>
              <w:rPr>
                <w:rFonts w:ascii="Times New Roman" w:hAnsi="Times New Roman"/>
                <w:b/>
                <w:bCs/>
                <w:color w:val="auto"/>
                <w:highlight w:val="none"/>
              </w:rPr>
            </w:pPr>
            <w:r>
              <w:rPr>
                <w:rFonts w:hint="eastAsia" w:ascii="Times New Roman" w:hAnsi="Times New Roman"/>
                <w:b/>
                <w:bCs/>
                <w:color w:val="auto"/>
                <w:highlight w:val="none"/>
              </w:rPr>
              <w:t>总金额含税（元）</w:t>
            </w:r>
          </w:p>
        </w:tc>
        <w:tc>
          <w:tcPr>
            <w:tcW w:w="1177" w:type="dxa"/>
            <w:vAlign w:val="center"/>
          </w:tcPr>
          <w:p w14:paraId="3FBDAD2A">
            <w:pPr>
              <w:spacing w:line="240" w:lineRule="auto"/>
              <w:ind w:firstLine="0" w:firstLineChars="0"/>
              <w:jc w:val="left"/>
              <w:rPr>
                <w:rFonts w:ascii="Times New Roman" w:hAnsi="Times New Roman"/>
                <w:b/>
                <w:bCs/>
                <w:color w:val="auto"/>
                <w:highlight w:val="none"/>
              </w:rPr>
            </w:pPr>
            <w:r>
              <w:rPr>
                <w:rFonts w:hint="eastAsia" w:ascii="Times New Roman" w:hAnsi="Times New Roman"/>
                <w:b/>
                <w:bCs/>
                <w:color w:val="auto"/>
                <w:highlight w:val="none"/>
              </w:rPr>
              <w:t>备注</w:t>
            </w:r>
          </w:p>
        </w:tc>
      </w:tr>
      <w:tr w14:paraId="1AFD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vAlign w:val="center"/>
          </w:tcPr>
          <w:p w14:paraId="725C3D67">
            <w:pPr>
              <w:ind w:firstLine="0" w:firstLineChars="0"/>
              <w:jc w:val="center"/>
              <w:rPr>
                <w:rFonts w:ascii="Times New Roman" w:hAnsi="Times New Roman"/>
                <w:color w:val="auto"/>
                <w:highlight w:val="none"/>
              </w:rPr>
            </w:pPr>
            <w:r>
              <w:rPr>
                <w:rFonts w:hint="eastAsia" w:ascii="Times New Roman" w:hAnsi="Times New Roman"/>
                <w:color w:val="auto"/>
                <w:highlight w:val="none"/>
              </w:rPr>
              <w:t>磁盘阵列</w:t>
            </w:r>
          </w:p>
        </w:tc>
        <w:tc>
          <w:tcPr>
            <w:tcW w:w="851" w:type="dxa"/>
            <w:vAlign w:val="center"/>
          </w:tcPr>
          <w:p w14:paraId="57AC9612">
            <w:pPr>
              <w:ind w:firstLine="480"/>
              <w:jc w:val="center"/>
              <w:rPr>
                <w:rFonts w:ascii="Times New Roman" w:hAnsi="Times New Roman"/>
                <w:color w:val="auto"/>
                <w:highlight w:val="none"/>
              </w:rPr>
            </w:pPr>
          </w:p>
        </w:tc>
        <w:tc>
          <w:tcPr>
            <w:tcW w:w="1275" w:type="dxa"/>
            <w:vAlign w:val="center"/>
          </w:tcPr>
          <w:p w14:paraId="130621E9">
            <w:pPr>
              <w:ind w:firstLine="480"/>
              <w:jc w:val="center"/>
              <w:rPr>
                <w:rFonts w:ascii="Times New Roman" w:hAnsi="Times New Roman"/>
                <w:color w:val="auto"/>
                <w:highlight w:val="none"/>
              </w:rPr>
            </w:pPr>
          </w:p>
        </w:tc>
        <w:tc>
          <w:tcPr>
            <w:tcW w:w="1134" w:type="dxa"/>
            <w:vAlign w:val="center"/>
          </w:tcPr>
          <w:p w14:paraId="6D4F944D">
            <w:pPr>
              <w:ind w:firstLine="480"/>
              <w:jc w:val="center"/>
              <w:rPr>
                <w:rFonts w:ascii="Times New Roman" w:hAnsi="Times New Roman"/>
                <w:color w:val="auto"/>
                <w:highlight w:val="none"/>
              </w:rPr>
            </w:pPr>
          </w:p>
        </w:tc>
        <w:tc>
          <w:tcPr>
            <w:tcW w:w="993" w:type="dxa"/>
            <w:vAlign w:val="center"/>
          </w:tcPr>
          <w:p w14:paraId="20F931B4">
            <w:pPr>
              <w:ind w:firstLine="480"/>
              <w:jc w:val="center"/>
              <w:rPr>
                <w:rFonts w:ascii="Times New Roman" w:hAnsi="Times New Roman"/>
                <w:color w:val="auto"/>
                <w:highlight w:val="none"/>
              </w:rPr>
            </w:pPr>
          </w:p>
        </w:tc>
        <w:tc>
          <w:tcPr>
            <w:tcW w:w="708" w:type="dxa"/>
            <w:vAlign w:val="center"/>
          </w:tcPr>
          <w:p w14:paraId="12F4973E">
            <w:pPr>
              <w:ind w:firstLine="0" w:firstLineChars="0"/>
              <w:jc w:val="left"/>
              <w:rPr>
                <w:rFonts w:ascii="Times New Roman" w:hAnsi="Times New Roman"/>
                <w:color w:val="auto"/>
                <w:highlight w:val="none"/>
              </w:rPr>
            </w:pPr>
            <w:r>
              <w:rPr>
                <w:rFonts w:hint="eastAsia" w:ascii="Times New Roman" w:hAnsi="Times New Roman"/>
                <w:color w:val="auto"/>
                <w:highlight w:val="none"/>
              </w:rPr>
              <w:t>13%</w:t>
            </w:r>
          </w:p>
        </w:tc>
        <w:tc>
          <w:tcPr>
            <w:tcW w:w="1370" w:type="dxa"/>
            <w:vAlign w:val="center"/>
          </w:tcPr>
          <w:p w14:paraId="4C5AD8A0">
            <w:pPr>
              <w:ind w:firstLine="480"/>
              <w:jc w:val="left"/>
              <w:rPr>
                <w:rFonts w:ascii="Times New Roman" w:hAnsi="Times New Roman"/>
                <w:color w:val="auto"/>
                <w:highlight w:val="none"/>
              </w:rPr>
            </w:pPr>
          </w:p>
        </w:tc>
        <w:tc>
          <w:tcPr>
            <w:tcW w:w="1177" w:type="dxa"/>
            <w:vAlign w:val="center"/>
          </w:tcPr>
          <w:p w14:paraId="54354751">
            <w:pPr>
              <w:ind w:firstLine="0" w:firstLineChars="0"/>
              <w:jc w:val="left"/>
              <w:rPr>
                <w:rFonts w:ascii="Times New Roman" w:hAnsi="Times New Roman"/>
                <w:color w:val="auto"/>
                <w:highlight w:val="none"/>
              </w:rPr>
            </w:pPr>
            <w:r>
              <w:rPr>
                <w:rFonts w:hint="eastAsia" w:ascii="Times New Roman" w:hAnsi="Times New Roman"/>
                <w:color w:val="auto"/>
                <w:highlight w:val="none"/>
              </w:rPr>
              <w:t>包含安装调试</w:t>
            </w:r>
          </w:p>
        </w:tc>
      </w:tr>
      <w:tr w14:paraId="1DB5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vAlign w:val="center"/>
          </w:tcPr>
          <w:p w14:paraId="17FDE797">
            <w:pPr>
              <w:ind w:firstLine="0" w:firstLineChars="0"/>
              <w:jc w:val="center"/>
              <w:rPr>
                <w:rFonts w:ascii="Times New Roman" w:hAnsi="Times New Roman"/>
                <w:color w:val="auto"/>
                <w:highlight w:val="none"/>
              </w:rPr>
            </w:pPr>
            <w:r>
              <w:rPr>
                <w:rFonts w:hint="eastAsia" w:ascii="Times New Roman" w:hAnsi="Times New Roman"/>
                <w:color w:val="auto"/>
                <w:highlight w:val="none"/>
              </w:rPr>
              <w:t>硬盘录像机</w:t>
            </w:r>
          </w:p>
        </w:tc>
        <w:tc>
          <w:tcPr>
            <w:tcW w:w="851" w:type="dxa"/>
            <w:vAlign w:val="center"/>
          </w:tcPr>
          <w:p w14:paraId="02AA42DB">
            <w:pPr>
              <w:ind w:firstLine="480"/>
              <w:jc w:val="center"/>
              <w:rPr>
                <w:rFonts w:ascii="Times New Roman" w:hAnsi="Times New Roman"/>
                <w:color w:val="auto"/>
                <w:highlight w:val="none"/>
              </w:rPr>
            </w:pPr>
          </w:p>
        </w:tc>
        <w:tc>
          <w:tcPr>
            <w:tcW w:w="1275" w:type="dxa"/>
            <w:vAlign w:val="center"/>
          </w:tcPr>
          <w:p w14:paraId="58D38B79">
            <w:pPr>
              <w:ind w:firstLine="480"/>
              <w:jc w:val="center"/>
              <w:rPr>
                <w:rFonts w:ascii="Times New Roman" w:hAnsi="Times New Roman"/>
                <w:color w:val="auto"/>
                <w:highlight w:val="none"/>
              </w:rPr>
            </w:pPr>
          </w:p>
        </w:tc>
        <w:tc>
          <w:tcPr>
            <w:tcW w:w="1134" w:type="dxa"/>
            <w:vAlign w:val="center"/>
          </w:tcPr>
          <w:p w14:paraId="469A787A">
            <w:pPr>
              <w:ind w:firstLine="480"/>
              <w:jc w:val="center"/>
              <w:rPr>
                <w:rFonts w:ascii="Times New Roman" w:hAnsi="Times New Roman"/>
                <w:color w:val="auto"/>
                <w:highlight w:val="none"/>
              </w:rPr>
            </w:pPr>
          </w:p>
        </w:tc>
        <w:tc>
          <w:tcPr>
            <w:tcW w:w="993" w:type="dxa"/>
            <w:vAlign w:val="center"/>
          </w:tcPr>
          <w:p w14:paraId="2F0CB0CB">
            <w:pPr>
              <w:ind w:firstLine="480"/>
              <w:jc w:val="center"/>
              <w:rPr>
                <w:rFonts w:ascii="Times New Roman" w:hAnsi="Times New Roman"/>
                <w:color w:val="auto"/>
                <w:highlight w:val="none"/>
              </w:rPr>
            </w:pPr>
          </w:p>
        </w:tc>
        <w:tc>
          <w:tcPr>
            <w:tcW w:w="708" w:type="dxa"/>
            <w:vAlign w:val="center"/>
          </w:tcPr>
          <w:p w14:paraId="14E738BC">
            <w:pPr>
              <w:ind w:firstLine="0" w:firstLineChars="0"/>
              <w:jc w:val="left"/>
              <w:rPr>
                <w:rFonts w:ascii="Times New Roman" w:hAnsi="Times New Roman"/>
                <w:color w:val="auto"/>
                <w:highlight w:val="none"/>
              </w:rPr>
            </w:pPr>
            <w:r>
              <w:rPr>
                <w:rFonts w:hint="eastAsia" w:ascii="Times New Roman" w:hAnsi="Times New Roman"/>
                <w:color w:val="auto"/>
                <w:highlight w:val="none"/>
              </w:rPr>
              <w:t>13%</w:t>
            </w:r>
          </w:p>
        </w:tc>
        <w:tc>
          <w:tcPr>
            <w:tcW w:w="1370" w:type="dxa"/>
            <w:vAlign w:val="center"/>
          </w:tcPr>
          <w:p w14:paraId="057847BC">
            <w:pPr>
              <w:ind w:firstLine="480"/>
              <w:jc w:val="left"/>
              <w:rPr>
                <w:rFonts w:ascii="Times New Roman" w:hAnsi="Times New Roman"/>
                <w:color w:val="auto"/>
                <w:highlight w:val="none"/>
              </w:rPr>
            </w:pPr>
          </w:p>
        </w:tc>
        <w:tc>
          <w:tcPr>
            <w:tcW w:w="1177" w:type="dxa"/>
            <w:vAlign w:val="center"/>
          </w:tcPr>
          <w:p w14:paraId="7264BD0D">
            <w:pPr>
              <w:ind w:firstLine="0" w:firstLineChars="0"/>
              <w:jc w:val="left"/>
              <w:rPr>
                <w:rFonts w:ascii="Times New Roman" w:hAnsi="Times New Roman"/>
                <w:color w:val="auto"/>
                <w:highlight w:val="none"/>
              </w:rPr>
            </w:pPr>
            <w:r>
              <w:rPr>
                <w:rFonts w:hint="eastAsia" w:ascii="Times New Roman" w:hAnsi="Times New Roman"/>
                <w:color w:val="auto"/>
                <w:highlight w:val="none"/>
              </w:rPr>
              <w:t>包含安装调试</w:t>
            </w:r>
          </w:p>
        </w:tc>
      </w:tr>
      <w:tr w14:paraId="5569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vAlign w:val="center"/>
          </w:tcPr>
          <w:p w14:paraId="5BC9BDCE">
            <w:pPr>
              <w:ind w:firstLine="0" w:firstLineChars="0"/>
              <w:jc w:val="center"/>
              <w:rPr>
                <w:rFonts w:ascii="Times New Roman" w:hAnsi="Times New Roman"/>
                <w:color w:val="auto"/>
                <w:highlight w:val="none"/>
              </w:rPr>
            </w:pPr>
            <w:r>
              <w:rPr>
                <w:rFonts w:hint="eastAsia" w:ascii="Times New Roman" w:hAnsi="Times New Roman"/>
                <w:color w:val="auto"/>
                <w:highlight w:val="none"/>
              </w:rPr>
              <w:t>监控硬盘</w:t>
            </w:r>
          </w:p>
        </w:tc>
        <w:tc>
          <w:tcPr>
            <w:tcW w:w="851" w:type="dxa"/>
            <w:vAlign w:val="center"/>
          </w:tcPr>
          <w:p w14:paraId="658372AF">
            <w:pPr>
              <w:ind w:firstLine="480"/>
              <w:jc w:val="center"/>
              <w:rPr>
                <w:rFonts w:ascii="Times New Roman" w:hAnsi="Times New Roman"/>
                <w:color w:val="auto"/>
                <w:highlight w:val="none"/>
              </w:rPr>
            </w:pPr>
          </w:p>
        </w:tc>
        <w:tc>
          <w:tcPr>
            <w:tcW w:w="1275" w:type="dxa"/>
            <w:vAlign w:val="center"/>
          </w:tcPr>
          <w:p w14:paraId="7ED37E29">
            <w:pPr>
              <w:ind w:firstLine="480"/>
              <w:jc w:val="center"/>
              <w:rPr>
                <w:rFonts w:ascii="Times New Roman" w:hAnsi="Times New Roman"/>
                <w:color w:val="auto"/>
                <w:highlight w:val="none"/>
              </w:rPr>
            </w:pPr>
          </w:p>
        </w:tc>
        <w:tc>
          <w:tcPr>
            <w:tcW w:w="1134" w:type="dxa"/>
            <w:vAlign w:val="center"/>
          </w:tcPr>
          <w:p w14:paraId="129BDBE4">
            <w:pPr>
              <w:ind w:firstLine="480"/>
              <w:jc w:val="center"/>
              <w:rPr>
                <w:rFonts w:ascii="Times New Roman" w:hAnsi="Times New Roman"/>
                <w:color w:val="auto"/>
                <w:highlight w:val="none"/>
              </w:rPr>
            </w:pPr>
          </w:p>
        </w:tc>
        <w:tc>
          <w:tcPr>
            <w:tcW w:w="993" w:type="dxa"/>
            <w:vAlign w:val="center"/>
          </w:tcPr>
          <w:p w14:paraId="004F6A03">
            <w:pPr>
              <w:ind w:firstLine="480"/>
              <w:jc w:val="center"/>
              <w:rPr>
                <w:rFonts w:ascii="Times New Roman" w:hAnsi="Times New Roman"/>
                <w:color w:val="auto"/>
                <w:highlight w:val="none"/>
              </w:rPr>
            </w:pPr>
          </w:p>
        </w:tc>
        <w:tc>
          <w:tcPr>
            <w:tcW w:w="708" w:type="dxa"/>
            <w:vAlign w:val="center"/>
          </w:tcPr>
          <w:p w14:paraId="01A2A0B4">
            <w:pPr>
              <w:ind w:firstLine="0" w:firstLineChars="0"/>
              <w:jc w:val="left"/>
              <w:rPr>
                <w:rFonts w:ascii="Times New Roman" w:hAnsi="Times New Roman"/>
                <w:color w:val="auto"/>
                <w:highlight w:val="none"/>
              </w:rPr>
            </w:pPr>
            <w:r>
              <w:rPr>
                <w:rFonts w:hint="eastAsia" w:ascii="Times New Roman" w:hAnsi="Times New Roman"/>
                <w:color w:val="auto"/>
                <w:highlight w:val="none"/>
              </w:rPr>
              <w:t>13%</w:t>
            </w:r>
          </w:p>
        </w:tc>
        <w:tc>
          <w:tcPr>
            <w:tcW w:w="1370" w:type="dxa"/>
            <w:vAlign w:val="center"/>
          </w:tcPr>
          <w:p w14:paraId="56FBC1ED">
            <w:pPr>
              <w:ind w:firstLine="480"/>
              <w:jc w:val="left"/>
              <w:rPr>
                <w:rFonts w:ascii="Times New Roman" w:hAnsi="Times New Roman"/>
                <w:color w:val="auto"/>
                <w:highlight w:val="none"/>
              </w:rPr>
            </w:pPr>
          </w:p>
        </w:tc>
        <w:tc>
          <w:tcPr>
            <w:tcW w:w="1177" w:type="dxa"/>
            <w:vAlign w:val="center"/>
          </w:tcPr>
          <w:p w14:paraId="134B9394">
            <w:pPr>
              <w:ind w:firstLine="0" w:firstLineChars="0"/>
              <w:jc w:val="left"/>
              <w:rPr>
                <w:rFonts w:ascii="Times New Roman" w:hAnsi="Times New Roman"/>
                <w:color w:val="auto"/>
                <w:highlight w:val="none"/>
              </w:rPr>
            </w:pPr>
            <w:r>
              <w:rPr>
                <w:rFonts w:hint="eastAsia" w:ascii="Times New Roman" w:hAnsi="Times New Roman"/>
                <w:color w:val="auto"/>
                <w:highlight w:val="none"/>
              </w:rPr>
              <w:t>包含安装调试</w:t>
            </w:r>
          </w:p>
        </w:tc>
      </w:tr>
      <w:tr w14:paraId="5AEE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vAlign w:val="center"/>
          </w:tcPr>
          <w:p w14:paraId="447533A4">
            <w:pPr>
              <w:ind w:firstLine="0" w:firstLineChars="0"/>
              <w:jc w:val="center"/>
              <w:rPr>
                <w:rFonts w:ascii="Times New Roman" w:hAnsi="Times New Roman"/>
                <w:color w:val="auto"/>
                <w:highlight w:val="none"/>
              </w:rPr>
            </w:pPr>
          </w:p>
        </w:tc>
        <w:tc>
          <w:tcPr>
            <w:tcW w:w="7508" w:type="dxa"/>
            <w:gridSpan w:val="7"/>
            <w:vAlign w:val="center"/>
          </w:tcPr>
          <w:p w14:paraId="5F4AFD8F">
            <w:pPr>
              <w:ind w:firstLine="0" w:firstLineChars="0"/>
              <w:rPr>
                <w:rFonts w:ascii="Times New Roman" w:hAnsi="Times New Roman"/>
                <w:color w:val="auto"/>
                <w:highlight w:val="none"/>
              </w:rPr>
            </w:pPr>
            <w:r>
              <w:rPr>
                <w:rFonts w:hint="eastAsia" w:ascii="Times New Roman" w:hAnsi="Times New Roman"/>
                <w:color w:val="auto"/>
                <w:highlight w:val="none"/>
              </w:rPr>
              <w:t>合计（含税）               大写（人民币）：</w:t>
            </w:r>
          </w:p>
        </w:tc>
      </w:tr>
    </w:tbl>
    <w:p w14:paraId="7E84EA8B">
      <w:pPr>
        <w:ind w:firstLine="480"/>
        <w:jc w:val="left"/>
        <w:rPr>
          <w:color w:val="auto"/>
          <w:highlight w:val="none"/>
        </w:rPr>
      </w:pPr>
    </w:p>
    <w:p w14:paraId="4C9B81A2">
      <w:pPr>
        <w:ind w:firstLine="482"/>
        <w:rPr>
          <w:rStyle w:val="24"/>
          <w:rFonts w:ascii="Times New Roman" w:hAnsi="Times New Roman"/>
          <w:b/>
          <w:color w:val="auto"/>
          <w:highlight w:val="none"/>
        </w:rPr>
      </w:pPr>
    </w:p>
    <w:p w14:paraId="544CFF15">
      <w:pPr>
        <w:widowControl/>
        <w:autoSpaceDE/>
        <w:autoSpaceDN/>
        <w:spacing w:line="240" w:lineRule="auto"/>
        <w:ind w:firstLine="0" w:firstLineChars="0"/>
        <w:jc w:val="left"/>
        <w:rPr>
          <w:rFonts w:ascii="Times New Roman" w:hAnsi="Times New Roman"/>
          <w:b/>
          <w:color w:val="auto"/>
          <w:sz w:val="28"/>
          <w:highlight w:val="none"/>
        </w:rPr>
      </w:pPr>
      <w:r>
        <w:rPr>
          <w:rFonts w:ascii="Times New Roman" w:hAnsi="Times New Roman"/>
          <w:color w:val="auto"/>
          <w:highlight w:val="none"/>
        </w:rPr>
        <w:br w:type="page"/>
      </w:r>
    </w:p>
    <w:p w14:paraId="04C911DA">
      <w:pPr>
        <w:pStyle w:val="30"/>
        <w:rPr>
          <w:rFonts w:hint="default"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、资格性文件</w:t>
      </w:r>
    </w:p>
    <w:p w14:paraId="30BE7E2F">
      <w:pPr>
        <w:pStyle w:val="31"/>
        <w:ind w:firstLine="0"/>
        <w:rPr>
          <w:color w:val="auto"/>
          <w:highlight w:val="none"/>
        </w:rPr>
      </w:pPr>
      <w:r>
        <w:rPr>
          <w:color w:val="auto"/>
          <w:highlight w:val="none"/>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1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FBAE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505FBE9A">
            <w:pPr>
              <w:spacing w:line="360" w:lineRule="auto"/>
              <w:ind w:firstLine="0" w:firstLineChars="0"/>
              <w:jc w:val="center"/>
              <w:rPr>
                <w:rFonts w:ascii="Times New Roman" w:hAnsi="Times New Roman"/>
                <w:color w:val="auto"/>
                <w:sz w:val="22"/>
                <w:szCs w:val="24"/>
                <w:highlight w:val="none"/>
              </w:rPr>
            </w:pPr>
          </w:p>
        </w:tc>
      </w:tr>
      <w:tr w14:paraId="1D3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7F1B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F568815">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5AF50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41A6205B">
            <w:pPr>
              <w:spacing w:line="360" w:lineRule="auto"/>
              <w:ind w:firstLine="0" w:firstLineChars="0"/>
              <w:jc w:val="center"/>
              <w:rPr>
                <w:rFonts w:ascii="Times New Roman" w:hAnsi="Times New Roman"/>
                <w:color w:val="auto"/>
                <w:sz w:val="22"/>
                <w:szCs w:val="24"/>
                <w:highlight w:val="none"/>
              </w:rPr>
            </w:pPr>
          </w:p>
        </w:tc>
      </w:tr>
      <w:tr w14:paraId="542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4EEE21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B6443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075DA2E">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43FD2F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F8CB5FA">
            <w:pPr>
              <w:spacing w:line="360" w:lineRule="auto"/>
              <w:ind w:firstLine="0" w:firstLineChars="0"/>
              <w:jc w:val="center"/>
              <w:rPr>
                <w:rFonts w:ascii="Times New Roman" w:hAnsi="Times New Roman"/>
                <w:color w:val="auto"/>
                <w:sz w:val="22"/>
                <w:szCs w:val="24"/>
                <w:highlight w:val="none"/>
              </w:rPr>
            </w:pPr>
          </w:p>
        </w:tc>
      </w:tr>
      <w:tr w14:paraId="1AB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D2566A">
            <w:pPr>
              <w:spacing w:line="360" w:lineRule="auto"/>
              <w:ind w:firstLine="0" w:firstLineChars="0"/>
              <w:rPr>
                <w:rFonts w:ascii="Times New Roman" w:hAnsi="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0849DDC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4CECB48">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C59396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5FC4A15">
            <w:pPr>
              <w:spacing w:line="360" w:lineRule="auto"/>
              <w:ind w:firstLine="0" w:firstLineChars="0"/>
              <w:jc w:val="center"/>
              <w:rPr>
                <w:rFonts w:ascii="Times New Roman" w:hAnsi="Times New Roman"/>
                <w:color w:val="auto"/>
                <w:sz w:val="22"/>
                <w:szCs w:val="24"/>
                <w:highlight w:val="none"/>
              </w:rPr>
            </w:pPr>
          </w:p>
        </w:tc>
      </w:tr>
      <w:tr w14:paraId="136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FE820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64CFD016">
            <w:pPr>
              <w:spacing w:line="360" w:lineRule="auto"/>
              <w:ind w:firstLine="0" w:firstLineChars="0"/>
              <w:jc w:val="center"/>
              <w:rPr>
                <w:rFonts w:ascii="Times New Roman" w:hAnsi="Times New Roman"/>
                <w:color w:val="auto"/>
                <w:sz w:val="22"/>
                <w:szCs w:val="24"/>
                <w:highlight w:val="none"/>
              </w:rPr>
            </w:pPr>
          </w:p>
        </w:tc>
      </w:tr>
      <w:tr w14:paraId="5A9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D7B4D6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E5619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809FD00">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23BC75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A5AFC05">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F8314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2A7CDF7">
            <w:pPr>
              <w:spacing w:line="360" w:lineRule="auto"/>
              <w:ind w:firstLine="0" w:firstLineChars="0"/>
              <w:jc w:val="center"/>
              <w:rPr>
                <w:rFonts w:ascii="Times New Roman" w:hAnsi="Times New Roman"/>
                <w:color w:val="auto"/>
                <w:sz w:val="22"/>
                <w:szCs w:val="24"/>
                <w:highlight w:val="none"/>
              </w:rPr>
            </w:pPr>
          </w:p>
        </w:tc>
      </w:tr>
      <w:tr w14:paraId="44F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DEE8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887C8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4C24096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D8A91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7FD0C2E">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1C9266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4CD29076">
            <w:pPr>
              <w:spacing w:line="360" w:lineRule="auto"/>
              <w:ind w:firstLine="0" w:firstLineChars="0"/>
              <w:jc w:val="center"/>
              <w:rPr>
                <w:rFonts w:ascii="Times New Roman" w:hAnsi="Times New Roman"/>
                <w:color w:val="auto"/>
                <w:sz w:val="22"/>
                <w:szCs w:val="24"/>
                <w:highlight w:val="none"/>
              </w:rPr>
            </w:pPr>
          </w:p>
        </w:tc>
      </w:tr>
      <w:tr w14:paraId="4C1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2968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696A31D">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6BFC60C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49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D97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03492308">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27D1A0A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00E04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24D2C303">
            <w:pPr>
              <w:spacing w:line="360" w:lineRule="auto"/>
              <w:ind w:firstLine="0" w:firstLineChars="0"/>
              <w:jc w:val="center"/>
              <w:rPr>
                <w:rFonts w:ascii="Times New Roman" w:hAnsi="Times New Roman"/>
                <w:color w:val="auto"/>
                <w:sz w:val="22"/>
                <w:szCs w:val="24"/>
                <w:highlight w:val="none"/>
              </w:rPr>
            </w:pPr>
          </w:p>
        </w:tc>
      </w:tr>
      <w:tr w14:paraId="613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1E3A5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AB24ED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58853E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A07495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34955D95">
            <w:pPr>
              <w:spacing w:line="360" w:lineRule="auto"/>
              <w:ind w:firstLine="0" w:firstLineChars="0"/>
              <w:jc w:val="center"/>
              <w:rPr>
                <w:rFonts w:ascii="Times New Roman" w:hAnsi="Times New Roman"/>
                <w:color w:val="auto"/>
                <w:sz w:val="22"/>
                <w:szCs w:val="24"/>
                <w:highlight w:val="none"/>
              </w:rPr>
            </w:pPr>
          </w:p>
        </w:tc>
      </w:tr>
      <w:tr w14:paraId="3C8B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E6BBE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66DE86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17A7543">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1F1791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17C004FC">
            <w:pPr>
              <w:spacing w:line="360" w:lineRule="auto"/>
              <w:ind w:firstLine="0" w:firstLineChars="0"/>
              <w:jc w:val="center"/>
              <w:rPr>
                <w:rFonts w:ascii="Times New Roman" w:hAnsi="Times New Roman"/>
                <w:color w:val="auto"/>
                <w:sz w:val="22"/>
                <w:szCs w:val="24"/>
                <w:highlight w:val="none"/>
              </w:rPr>
            </w:pPr>
          </w:p>
        </w:tc>
      </w:tr>
      <w:tr w14:paraId="13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1257B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5FD336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DA9EDB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B10F2D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644059B9">
            <w:pPr>
              <w:spacing w:line="360" w:lineRule="auto"/>
              <w:ind w:firstLine="0" w:firstLineChars="0"/>
              <w:jc w:val="center"/>
              <w:rPr>
                <w:rFonts w:ascii="Times New Roman" w:hAnsi="Times New Roman"/>
                <w:color w:val="auto"/>
                <w:sz w:val="22"/>
                <w:szCs w:val="24"/>
                <w:highlight w:val="none"/>
              </w:rPr>
            </w:pPr>
          </w:p>
        </w:tc>
      </w:tr>
      <w:tr w14:paraId="107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0EC82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C5AF05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7C2FB6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E3317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191D347B">
            <w:pPr>
              <w:spacing w:line="360" w:lineRule="auto"/>
              <w:ind w:firstLine="0" w:firstLineChars="0"/>
              <w:jc w:val="center"/>
              <w:rPr>
                <w:rFonts w:ascii="Times New Roman" w:hAnsi="Times New Roman"/>
                <w:color w:val="auto"/>
                <w:sz w:val="22"/>
                <w:szCs w:val="24"/>
                <w:highlight w:val="none"/>
              </w:rPr>
            </w:pPr>
          </w:p>
        </w:tc>
      </w:tr>
      <w:tr w14:paraId="3AE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FBFF5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207EC894">
            <w:pPr>
              <w:spacing w:line="360" w:lineRule="auto"/>
              <w:ind w:firstLine="0" w:firstLineChars="0"/>
              <w:jc w:val="center"/>
              <w:rPr>
                <w:rFonts w:ascii="Times New Roman" w:hAnsi="Times New Roman"/>
                <w:color w:val="auto"/>
                <w:sz w:val="22"/>
                <w:szCs w:val="24"/>
                <w:highlight w:val="none"/>
              </w:rPr>
            </w:pPr>
          </w:p>
        </w:tc>
      </w:tr>
      <w:tr w14:paraId="12B5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C491F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C480A05">
            <w:pPr>
              <w:spacing w:line="360" w:lineRule="auto"/>
              <w:ind w:firstLine="0" w:firstLineChars="0"/>
              <w:jc w:val="center"/>
              <w:rPr>
                <w:rFonts w:ascii="Times New Roman" w:hAnsi="Times New Roman"/>
                <w:color w:val="auto"/>
                <w:sz w:val="22"/>
                <w:szCs w:val="24"/>
                <w:highlight w:val="none"/>
              </w:rPr>
            </w:pPr>
          </w:p>
        </w:tc>
      </w:tr>
    </w:tbl>
    <w:p w14:paraId="3391E9B7">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233E5E4B">
      <w:pPr>
        <w:pStyle w:val="31"/>
        <w:rPr>
          <w:rFonts w:hint="eastAsia" w:ascii="Times New Roman" w:hAnsi="Times New Roman" w:eastAsia="宋体"/>
          <w:color w:val="auto"/>
          <w:highlight w:val="none"/>
          <w:lang w:eastAsia="zh-CN"/>
        </w:rPr>
      </w:pPr>
      <w:bookmarkStart w:id="95" w:name="_Toc14270"/>
      <w:bookmarkStart w:id="96" w:name="_Toc8213"/>
      <w:bookmarkStart w:id="97" w:name="_Toc378234770"/>
      <w:bookmarkStart w:id="98" w:name="_Toc472780356"/>
      <w:bookmarkStart w:id="99" w:name="_Toc478054435"/>
      <w:bookmarkStart w:id="100" w:name="_Toc478053903"/>
      <w:bookmarkStart w:id="101" w:name="_Toc378234584"/>
      <w:r>
        <w:rPr>
          <w:rFonts w:ascii="Times New Roman" w:hAnsi="Times New Roman"/>
          <w:color w:val="auto"/>
          <w:highlight w:val="none"/>
        </w:rPr>
        <w:t>（二）法定代表人身份证明及授权委托书</w:t>
      </w:r>
      <w:bookmarkEnd w:id="95"/>
      <w:bookmarkEnd w:id="96"/>
    </w:p>
    <w:p w14:paraId="36DBD46A">
      <w:pPr>
        <w:pStyle w:val="32"/>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3"/>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3"/>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4E025BBC">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97"/>
    <w:bookmarkEnd w:id="98"/>
    <w:bookmarkEnd w:id="99"/>
    <w:bookmarkEnd w:id="100"/>
    <w:bookmarkEnd w:id="101"/>
    <w:p w14:paraId="4B37DB10">
      <w:pPr>
        <w:pStyle w:val="31"/>
        <w:rPr>
          <w:color w:val="auto"/>
          <w:highlight w:val="none"/>
        </w:rPr>
      </w:pPr>
      <w:r>
        <w:rPr>
          <w:rFonts w:hint="eastAsia"/>
          <w:color w:val="auto"/>
          <w:highlight w:val="none"/>
        </w:rPr>
        <w:t>（三）书面声明</w:t>
      </w:r>
    </w:p>
    <w:p w14:paraId="38DBE521">
      <w:pPr>
        <w:tabs>
          <w:tab w:val="left" w:pos="6300"/>
        </w:tabs>
        <w:snapToGrid w:val="0"/>
        <w:spacing w:line="360" w:lineRule="auto"/>
        <w:ind w:firstLine="480"/>
        <w:rPr>
          <w:rFonts w:ascii="Times New Roman" w:hAnsi="Times New Roman"/>
          <w:color w:val="auto"/>
          <w:highlight w:val="none"/>
        </w:rPr>
      </w:pPr>
    </w:p>
    <w:p w14:paraId="66F2078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E183031">
      <w:pPr>
        <w:tabs>
          <w:tab w:val="left" w:pos="6300"/>
        </w:tabs>
        <w:snapToGrid w:val="0"/>
        <w:spacing w:line="360" w:lineRule="auto"/>
        <w:ind w:firstLine="480"/>
        <w:rPr>
          <w:rFonts w:ascii="Times New Roman" w:hAnsi="Times New Roman"/>
          <w:color w:val="auto"/>
          <w:highlight w:val="none"/>
        </w:rPr>
      </w:pPr>
    </w:p>
    <w:p w14:paraId="30FDB9B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10C998BD">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0F5518B">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7E4614E3">
      <w:pPr>
        <w:tabs>
          <w:tab w:val="left" w:pos="6300"/>
        </w:tabs>
        <w:snapToGrid w:val="0"/>
        <w:spacing w:line="360" w:lineRule="auto"/>
        <w:ind w:firstLine="480"/>
        <w:rPr>
          <w:rFonts w:ascii="Times New Roman" w:hAnsi="Times New Roman"/>
          <w:color w:val="auto"/>
          <w:highlight w:val="none"/>
        </w:rPr>
      </w:pPr>
    </w:p>
    <w:p w14:paraId="619C4F09">
      <w:pPr>
        <w:tabs>
          <w:tab w:val="left" w:pos="6300"/>
        </w:tabs>
        <w:snapToGrid w:val="0"/>
        <w:spacing w:line="360" w:lineRule="auto"/>
        <w:ind w:firstLine="480"/>
        <w:rPr>
          <w:rFonts w:ascii="Times New Roman" w:hAnsi="Times New Roman"/>
          <w:color w:val="auto"/>
          <w:highlight w:val="none"/>
        </w:rPr>
      </w:pPr>
    </w:p>
    <w:p w14:paraId="4490EECD">
      <w:pPr>
        <w:tabs>
          <w:tab w:val="left" w:pos="6300"/>
        </w:tabs>
        <w:snapToGrid w:val="0"/>
        <w:spacing w:line="360" w:lineRule="auto"/>
        <w:ind w:firstLine="480"/>
        <w:rPr>
          <w:rFonts w:ascii="Times New Roman" w:hAnsi="Times New Roman"/>
          <w:color w:val="auto"/>
          <w:highlight w:val="none"/>
        </w:rPr>
      </w:pPr>
    </w:p>
    <w:p w14:paraId="072602D9">
      <w:pPr>
        <w:tabs>
          <w:tab w:val="left" w:pos="6300"/>
        </w:tabs>
        <w:snapToGrid w:val="0"/>
        <w:spacing w:line="360" w:lineRule="auto"/>
        <w:ind w:right="-3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5847E02D">
      <w:pPr>
        <w:tabs>
          <w:tab w:val="left" w:pos="6300"/>
        </w:tabs>
        <w:snapToGrid w:val="0"/>
        <w:spacing w:line="360" w:lineRule="auto"/>
        <w:ind w:right="-34"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586FF1AB">
      <w:pPr>
        <w:spacing w:line="360" w:lineRule="auto"/>
        <w:ind w:firstLine="480"/>
        <w:jc w:val="left"/>
        <w:rPr>
          <w:rFonts w:ascii="Times New Roman" w:hAnsi="Times New Roman" w:cs="等线 Light"/>
          <w:snapToGrid w:val="0"/>
          <w:color w:val="auto"/>
          <w:kern w:val="0"/>
          <w:szCs w:val="24"/>
          <w:highlight w:val="none"/>
        </w:rPr>
      </w:pPr>
    </w:p>
    <w:p w14:paraId="5997065C">
      <w:pPr>
        <w:spacing w:line="360" w:lineRule="auto"/>
        <w:ind w:firstLine="480"/>
        <w:jc w:val="left"/>
        <w:rPr>
          <w:rFonts w:ascii="Times New Roman" w:hAnsi="Times New Roman" w:cs="等线 Light"/>
          <w:snapToGrid w:val="0"/>
          <w:color w:val="auto"/>
          <w:kern w:val="0"/>
          <w:szCs w:val="24"/>
          <w:highlight w:val="none"/>
        </w:rPr>
      </w:pPr>
    </w:p>
    <w:p w14:paraId="11DBDE14">
      <w:pPr>
        <w:spacing w:line="360" w:lineRule="auto"/>
        <w:ind w:firstLine="480"/>
        <w:jc w:val="left"/>
        <w:rPr>
          <w:rFonts w:ascii="Times New Roman" w:hAnsi="Times New Roman" w:cs="等线 Light"/>
          <w:snapToGrid w:val="0"/>
          <w:color w:val="auto"/>
          <w:kern w:val="0"/>
          <w:szCs w:val="24"/>
          <w:highlight w:val="none"/>
        </w:rPr>
      </w:pPr>
    </w:p>
    <w:p w14:paraId="3AE352E6">
      <w:pPr>
        <w:spacing w:line="360" w:lineRule="auto"/>
        <w:ind w:firstLine="480"/>
        <w:jc w:val="left"/>
        <w:rPr>
          <w:rFonts w:ascii="Times New Roman" w:hAnsi="Times New Roman" w:cs="等线 Light"/>
          <w:snapToGrid w:val="0"/>
          <w:color w:val="auto"/>
          <w:kern w:val="0"/>
          <w:szCs w:val="24"/>
          <w:highlight w:val="none"/>
        </w:rPr>
      </w:pPr>
    </w:p>
    <w:p w14:paraId="3DF00CC8">
      <w:pPr>
        <w:spacing w:line="360" w:lineRule="auto"/>
        <w:ind w:firstLine="480"/>
        <w:jc w:val="left"/>
        <w:rPr>
          <w:rFonts w:ascii="Times New Roman" w:hAnsi="Times New Roman" w:cs="等线 Light"/>
          <w:snapToGrid w:val="0"/>
          <w:color w:val="auto"/>
          <w:kern w:val="0"/>
          <w:szCs w:val="24"/>
          <w:highlight w:val="none"/>
        </w:rPr>
      </w:pPr>
    </w:p>
    <w:p w14:paraId="3D273C95">
      <w:pPr>
        <w:spacing w:line="360" w:lineRule="auto"/>
        <w:ind w:firstLine="480"/>
        <w:jc w:val="left"/>
        <w:rPr>
          <w:rFonts w:ascii="Times New Roman" w:hAnsi="Times New Roman" w:cs="等线 Light"/>
          <w:snapToGrid w:val="0"/>
          <w:color w:val="auto"/>
          <w:kern w:val="0"/>
          <w:szCs w:val="24"/>
          <w:highlight w:val="none"/>
        </w:rPr>
      </w:pPr>
    </w:p>
    <w:p w14:paraId="254BF77F">
      <w:pPr>
        <w:spacing w:line="360" w:lineRule="auto"/>
        <w:ind w:firstLine="480"/>
        <w:jc w:val="left"/>
        <w:rPr>
          <w:rFonts w:ascii="Times New Roman" w:hAnsi="Times New Roman" w:cs="等线 Light"/>
          <w:snapToGrid w:val="0"/>
          <w:color w:val="auto"/>
          <w:kern w:val="0"/>
          <w:szCs w:val="24"/>
          <w:highlight w:val="none"/>
        </w:rPr>
      </w:pPr>
    </w:p>
    <w:p w14:paraId="6E629508">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6FC4233">
      <w:pPr>
        <w:pStyle w:val="31"/>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39A5DFB0">
      <w:pPr>
        <w:ind w:firstLine="480"/>
        <w:rPr>
          <w:rFonts w:ascii="Times New Roman" w:hAnsi="Times New Roman"/>
          <w:color w:val="auto"/>
          <w:highlight w:val="none"/>
        </w:rPr>
      </w:pPr>
    </w:p>
    <w:p w14:paraId="2B832C5E">
      <w:pPr>
        <w:ind w:firstLine="480"/>
        <w:rPr>
          <w:rFonts w:ascii="Times New Roman" w:hAnsi="Times New Roman"/>
          <w:color w:val="auto"/>
          <w:highlight w:val="none"/>
        </w:rPr>
      </w:pPr>
    </w:p>
    <w:p w14:paraId="6249EC49">
      <w:pPr>
        <w:ind w:firstLine="480"/>
        <w:rPr>
          <w:rFonts w:ascii="Times New Roman" w:hAnsi="Times New Roman"/>
          <w:color w:val="auto"/>
          <w:highlight w:val="none"/>
        </w:rPr>
      </w:pPr>
    </w:p>
    <w:p w14:paraId="48FA9A11">
      <w:pPr>
        <w:ind w:firstLine="480"/>
        <w:rPr>
          <w:rFonts w:ascii="Times New Roman" w:hAnsi="Times New Roman"/>
          <w:color w:val="auto"/>
          <w:highlight w:val="none"/>
        </w:rPr>
      </w:pPr>
      <w:r>
        <w:rPr>
          <w:rFonts w:hint="eastAsia" w:ascii="Times New Roman" w:hAnsi="Times New Roman"/>
          <w:color w:val="auto"/>
          <w:highlight w:val="none"/>
        </w:rPr>
        <w:br w:type="page"/>
      </w:r>
    </w:p>
    <w:p w14:paraId="2D4287C4">
      <w:pPr>
        <w:pStyle w:val="31"/>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14:paraId="1AC2AE33">
      <w:pPr>
        <w:widowControl/>
        <w:autoSpaceDE/>
        <w:autoSpaceDN/>
        <w:spacing w:line="240" w:lineRule="auto"/>
        <w:ind w:firstLine="0" w:firstLineChars="0"/>
        <w:jc w:val="left"/>
        <w:rPr>
          <w:color w:val="auto"/>
          <w:highlight w:val="none"/>
        </w:rPr>
      </w:pPr>
      <w:r>
        <w:rPr>
          <w:color w:val="auto"/>
          <w:highlight w:val="none"/>
        </w:rPr>
        <w:br w:type="page"/>
      </w:r>
    </w:p>
    <w:p w14:paraId="659411C6">
      <w:pPr>
        <w:pStyle w:val="31"/>
        <w:rPr>
          <w:color w:val="auto"/>
          <w:highlight w:val="none"/>
        </w:rPr>
      </w:pPr>
      <w:r>
        <w:rPr>
          <w:rFonts w:hint="eastAsia" w:ascii="Times New Roman" w:hAnsi="Times New Roman"/>
          <w:color w:val="auto"/>
          <w:highlight w:val="none"/>
        </w:rPr>
        <w:t>（六）</w:t>
      </w:r>
      <w:r>
        <w:rPr>
          <w:color w:val="auto"/>
          <w:highlight w:val="none"/>
        </w:rPr>
        <w:t>产品兼容性及接入支持证明</w:t>
      </w:r>
    </w:p>
    <w:p w14:paraId="0ECC2BD4">
      <w:pPr>
        <w:ind w:firstLine="480"/>
        <w:rPr>
          <w:color w:val="auto"/>
          <w:highlight w:val="none"/>
        </w:rPr>
      </w:pPr>
      <w:r>
        <w:rPr>
          <w:rFonts w:hint="eastAsia"/>
          <w:color w:val="auto"/>
          <w:highlight w:val="none"/>
        </w:rPr>
        <w:t>参选人需提供由重庆三峡银行西永数据中心现有安防管理平台（海康威视iVMS-8700）生产厂商——杭州海康威视数字技术股份有限公司出具的证明文件，证明所参选的产品能够顺利接入海康威视iVMS-8700平台。</w:t>
      </w:r>
    </w:p>
    <w:p w14:paraId="606E3130">
      <w:pPr>
        <w:ind w:firstLine="480"/>
        <w:rPr>
          <w:color w:val="auto"/>
          <w:highlight w:val="none"/>
        </w:rPr>
        <w:sectPr>
          <w:pgSz w:w="11906" w:h="16838"/>
          <w:pgMar w:top="1440" w:right="1800" w:bottom="1440" w:left="1800" w:header="851" w:footer="992" w:gutter="0"/>
          <w:pgNumType w:fmt="decimal"/>
          <w:cols w:space="720" w:num="1"/>
          <w:docGrid w:type="lines" w:linePitch="312" w:charSpace="0"/>
        </w:sectPr>
      </w:pPr>
    </w:p>
    <w:p w14:paraId="502DD595">
      <w:pPr>
        <w:pStyle w:val="31"/>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七</w:t>
      </w:r>
      <w:r>
        <w:rPr>
          <w:rFonts w:hint="eastAsia" w:ascii="Times New Roman" w:hAnsi="Times New Roman"/>
          <w:color w:val="auto"/>
          <w:highlight w:val="none"/>
          <w:lang w:val="zh-CN"/>
        </w:rPr>
        <w:t>）设备原厂出具的授权文件</w:t>
      </w:r>
    </w:p>
    <w:p w14:paraId="66BBFC8E">
      <w:pPr>
        <w:ind w:firstLine="480"/>
        <w:rPr>
          <w:rFonts w:ascii="Times New Roman" w:hAnsi="Times New Roman"/>
          <w:color w:val="auto"/>
          <w:highlight w:val="none"/>
          <w:lang w:val="zh-CN"/>
        </w:rPr>
      </w:pPr>
    </w:p>
    <w:p w14:paraId="54D4BBA9">
      <w:pPr>
        <w:ind w:firstLine="480"/>
        <w:rPr>
          <w:rFonts w:ascii="Times New Roman" w:hAnsi="Times New Roman"/>
          <w:color w:val="auto"/>
          <w:highlight w:val="none"/>
          <w:lang w:val="zh-CN"/>
        </w:rPr>
      </w:pPr>
    </w:p>
    <w:p w14:paraId="003027B4">
      <w:pPr>
        <w:widowControl/>
        <w:autoSpaceDE/>
        <w:autoSpaceDN/>
        <w:spacing w:line="240" w:lineRule="auto"/>
        <w:ind w:firstLine="0" w:firstLineChars="0"/>
        <w:jc w:val="left"/>
        <w:rPr>
          <w:rFonts w:ascii="Times New Roman" w:hAnsi="Times New Roman"/>
          <w:color w:val="auto"/>
          <w:highlight w:val="none"/>
          <w:lang w:val="zh-CN"/>
        </w:rPr>
      </w:pPr>
      <w:r>
        <w:rPr>
          <w:rFonts w:ascii="Times New Roman" w:hAnsi="Times New Roman"/>
          <w:color w:val="auto"/>
          <w:highlight w:val="none"/>
          <w:lang w:val="zh-CN"/>
        </w:rPr>
        <w:br w:type="page"/>
      </w:r>
    </w:p>
    <w:p w14:paraId="02BEBBE5">
      <w:pPr>
        <w:pStyle w:val="31"/>
        <w:rPr>
          <w:rFonts w:ascii="Times New Roman" w:hAnsi="Times New Roman"/>
          <w:color w:val="auto"/>
          <w:highlight w:val="none"/>
        </w:rPr>
      </w:pPr>
      <w:r>
        <w:rPr>
          <w:rFonts w:hint="eastAsia" w:ascii="Times New Roman" w:hAnsi="Times New Roman"/>
          <w:color w:val="auto"/>
          <w:highlight w:val="none"/>
        </w:rPr>
        <w:t>（</w:t>
      </w:r>
      <w:r>
        <w:rPr>
          <w:rFonts w:hint="eastAsia"/>
          <w:color w:val="auto"/>
          <w:highlight w:val="none"/>
          <w:lang w:val="en-US" w:eastAsia="zh-CN"/>
        </w:rPr>
        <w:t>八</w:t>
      </w:r>
      <w:r>
        <w:rPr>
          <w:rFonts w:hint="eastAsia" w:ascii="Times New Roman" w:hAnsi="Times New Roman"/>
          <w:color w:val="auto"/>
          <w:highlight w:val="none"/>
        </w:rPr>
        <w:t>）资质证书复印件</w:t>
      </w:r>
    </w:p>
    <w:p w14:paraId="05C01C9D">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63598ECF">
      <w:pPr>
        <w:pStyle w:val="31"/>
        <w:rPr>
          <w:rFonts w:ascii="Times New Roman" w:hAnsi="Times New Roman"/>
          <w:color w:val="auto"/>
          <w:highlight w:val="none"/>
        </w:rPr>
      </w:pPr>
      <w:r>
        <w:rPr>
          <w:rFonts w:hint="eastAsia" w:ascii="Times New Roman" w:hAnsi="Times New Roman"/>
          <w:color w:val="auto"/>
          <w:highlight w:val="none"/>
        </w:rPr>
        <w:t>（</w:t>
      </w:r>
      <w:r>
        <w:rPr>
          <w:rFonts w:hint="eastAsia"/>
          <w:color w:val="auto"/>
          <w:highlight w:val="none"/>
          <w:lang w:val="en-US" w:eastAsia="zh-CN"/>
        </w:rPr>
        <w:t>九</w:t>
      </w:r>
      <w:r>
        <w:rPr>
          <w:rFonts w:hint="eastAsia" w:ascii="Times New Roman" w:hAnsi="Times New Roman"/>
          <w:color w:val="auto"/>
          <w:highlight w:val="none"/>
        </w:rPr>
        <w:t>）其他（如有）</w:t>
      </w:r>
    </w:p>
    <w:p w14:paraId="526FC7A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2F308409">
      <w:pPr>
        <w:pStyle w:val="30"/>
        <w:bidi w:val="0"/>
        <w:rPr>
          <w:rFonts w:hint="default"/>
          <w:color w:val="auto"/>
          <w:highlight w:val="none"/>
          <w:lang w:val="en-US" w:eastAsia="zh-CN"/>
        </w:rPr>
      </w:pPr>
      <w:r>
        <w:rPr>
          <w:rFonts w:hint="eastAsia"/>
          <w:color w:val="auto"/>
          <w:highlight w:val="none"/>
          <w:lang w:val="en-US" w:eastAsia="zh-CN"/>
        </w:rPr>
        <w:t>五、响应性文件</w:t>
      </w:r>
    </w:p>
    <w:p w14:paraId="0D6972FC">
      <w:pPr>
        <w:pStyle w:val="31"/>
        <w:bidi w:val="0"/>
        <w:rPr>
          <w:rFonts w:hint="eastAsia"/>
          <w:color w:val="auto"/>
          <w:highlight w:val="none"/>
          <w:lang w:val="en-US" w:eastAsia="zh-CN"/>
        </w:rPr>
      </w:pPr>
      <w:r>
        <w:rPr>
          <w:rFonts w:hint="eastAsia"/>
          <w:color w:val="auto"/>
          <w:highlight w:val="none"/>
          <w:lang w:val="en-US" w:eastAsia="zh-CN"/>
        </w:rPr>
        <w:t>（一）响应承诺函</w:t>
      </w:r>
    </w:p>
    <w:p w14:paraId="74F7A5D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32D0F891">
      <w:pPr>
        <w:bidi w:val="0"/>
        <w:rPr>
          <w:rFonts w:hint="eastAsia"/>
          <w:color w:val="auto"/>
          <w:highlight w:val="none"/>
          <w:lang w:val="en-US" w:eastAsia="zh-CN"/>
        </w:rPr>
      </w:pPr>
    </w:p>
    <w:p w14:paraId="406DE593">
      <w:pPr>
        <w:bidi w:val="0"/>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CBC189">
      <w:pPr>
        <w:pStyle w:val="31"/>
        <w:bidi w:val="0"/>
        <w:rPr>
          <w:color w:val="auto"/>
          <w:highlight w:val="none"/>
        </w:rPr>
      </w:pPr>
      <w:r>
        <w:rPr>
          <w:rFonts w:hint="eastAsia"/>
          <w:color w:val="auto"/>
          <w:highlight w:val="none"/>
          <w:lang w:val="en-US" w:eastAsia="zh-CN"/>
        </w:rPr>
        <w:t>（二）</w:t>
      </w:r>
      <w:r>
        <w:rPr>
          <w:rFonts w:hint="eastAsia"/>
          <w:color w:val="auto"/>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BbwmXo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712D0C1D">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C60227">
      <w:pPr>
        <w:pStyle w:val="31"/>
        <w:bidi w:val="0"/>
        <w:rPr>
          <w:rFonts w:hint="eastAsia" w:eastAsia="宋体"/>
          <w:color w:val="auto"/>
          <w:highlight w:val="none"/>
          <w:lang w:eastAsia="zh-CN"/>
        </w:rPr>
      </w:pPr>
      <w:r>
        <w:rPr>
          <w:rFonts w:hint="eastAsia"/>
          <w:color w:val="auto"/>
          <w:highlight w:val="none"/>
          <w:lang w:val="en-US" w:eastAsia="zh-CN"/>
        </w:rPr>
        <w:t>（三）其他（如有）</w:t>
      </w:r>
    </w:p>
    <w:p w14:paraId="0931FA24">
      <w:pPr>
        <w:spacing w:line="360" w:lineRule="auto"/>
        <w:rPr>
          <w:rFonts w:ascii="宋体" w:cs="等线 Light"/>
          <w:color w:val="auto"/>
          <w:highlight w:val="none"/>
        </w:rPr>
      </w:pPr>
    </w:p>
    <w:p w14:paraId="223F5CB5">
      <w:pPr>
        <w:spacing w:line="360" w:lineRule="auto"/>
        <w:rPr>
          <w:rFonts w:ascii="宋体" w:cs="等线 Light"/>
          <w:color w:val="auto"/>
          <w:highlight w:val="none"/>
        </w:rPr>
      </w:pPr>
    </w:p>
    <w:p w14:paraId="7124DD6B">
      <w:pPr>
        <w:spacing w:line="360" w:lineRule="auto"/>
        <w:rPr>
          <w:rFonts w:ascii="宋体" w:cs="等线 Light"/>
          <w:color w:val="auto"/>
          <w:highlight w:val="none"/>
        </w:rPr>
      </w:pPr>
    </w:p>
    <w:p w14:paraId="546E9D97">
      <w:pPr>
        <w:spacing w:line="360" w:lineRule="auto"/>
        <w:rPr>
          <w:rFonts w:ascii="宋体" w:cs="等线 Light"/>
          <w:color w:val="auto"/>
          <w:highlight w:val="none"/>
        </w:rPr>
      </w:pPr>
    </w:p>
    <w:p w14:paraId="52FA030D">
      <w:pPr>
        <w:spacing w:line="360" w:lineRule="auto"/>
        <w:rPr>
          <w:rFonts w:ascii="宋体" w:cs="等线 Light"/>
          <w:color w:val="auto"/>
          <w:highlight w:val="none"/>
        </w:rPr>
      </w:pPr>
    </w:p>
    <w:p w14:paraId="48D0AA15">
      <w:pPr>
        <w:spacing w:line="360" w:lineRule="auto"/>
        <w:rPr>
          <w:rFonts w:ascii="宋体" w:cs="等线 Light"/>
          <w:color w:val="auto"/>
          <w:highlight w:val="none"/>
        </w:rPr>
      </w:pPr>
    </w:p>
    <w:p w14:paraId="4903B71B">
      <w:pPr>
        <w:spacing w:line="360" w:lineRule="auto"/>
        <w:rPr>
          <w:rFonts w:ascii="宋体" w:cs="等线 Light"/>
          <w:color w:val="auto"/>
          <w:sz w:val="21"/>
          <w:szCs w:val="21"/>
          <w:highlight w:val="none"/>
        </w:rPr>
      </w:pPr>
    </w:p>
    <w:p w14:paraId="6BE0E4C5">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F96B776">
      <w:pPr>
        <w:pStyle w:val="30"/>
        <w:bidi w:val="0"/>
        <w:rPr>
          <w:rFonts w:hint="eastAsia"/>
          <w:color w:val="auto"/>
          <w:highlight w:val="none"/>
          <w:lang w:val="en-US" w:eastAsia="zh-CN"/>
        </w:rPr>
      </w:pPr>
      <w:r>
        <w:rPr>
          <w:rFonts w:hint="eastAsia"/>
          <w:color w:val="auto"/>
          <w:highlight w:val="none"/>
          <w:lang w:val="en-US" w:eastAsia="zh-CN"/>
        </w:rPr>
        <w:t>六、其他（如有）</w:t>
      </w:r>
    </w:p>
    <w:p w14:paraId="369A0AA8">
      <w:pPr>
        <w:rPr>
          <w:rFonts w:hint="default"/>
          <w:color w:val="auto"/>
          <w:highlight w:val="none"/>
          <w:lang w:val="en-US" w:eastAsia="zh-CN"/>
        </w:rPr>
      </w:pPr>
    </w:p>
    <w:p w14:paraId="7FC3D9AA">
      <w:pPr>
        <w:rPr>
          <w:color w:val="auto"/>
          <w:highlight w:val="none"/>
        </w:rPr>
      </w:pPr>
    </w:p>
    <w:p w14:paraId="14993C06">
      <w:pPr>
        <w:tabs>
          <w:tab w:val="left" w:pos="6300"/>
        </w:tabs>
        <w:snapToGrid w:val="0"/>
        <w:spacing w:line="360" w:lineRule="auto"/>
        <w:ind w:firstLine="480"/>
        <w:rPr>
          <w:rFonts w:ascii="Times New Roman" w:hAnsi="Times New Roman"/>
          <w:snapToGrid w:val="0"/>
          <w:color w:val="auto"/>
          <w:kern w:val="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F88C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EF88C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07187"/>
    <w:multiLevelType w:val="multilevel"/>
    <w:tmpl w:val="5D20718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D61B34"/>
    <w:rsid w:val="00001D5D"/>
    <w:rsid w:val="00040B49"/>
    <w:rsid w:val="00075857"/>
    <w:rsid w:val="000769D5"/>
    <w:rsid w:val="000D053E"/>
    <w:rsid w:val="000D3BC4"/>
    <w:rsid w:val="001018EA"/>
    <w:rsid w:val="00113118"/>
    <w:rsid w:val="00117680"/>
    <w:rsid w:val="00130B10"/>
    <w:rsid w:val="00134751"/>
    <w:rsid w:val="00136C1F"/>
    <w:rsid w:val="00141810"/>
    <w:rsid w:val="001541F0"/>
    <w:rsid w:val="001776F0"/>
    <w:rsid w:val="00182FAF"/>
    <w:rsid w:val="00186B6E"/>
    <w:rsid w:val="00192BD4"/>
    <w:rsid w:val="001A0E35"/>
    <w:rsid w:val="001A67FE"/>
    <w:rsid w:val="001C725D"/>
    <w:rsid w:val="001D4AA7"/>
    <w:rsid w:val="001E044A"/>
    <w:rsid w:val="001F2F32"/>
    <w:rsid w:val="00225EC3"/>
    <w:rsid w:val="0022765E"/>
    <w:rsid w:val="00233425"/>
    <w:rsid w:val="0024780F"/>
    <w:rsid w:val="00281B98"/>
    <w:rsid w:val="0029648D"/>
    <w:rsid w:val="002D3C3A"/>
    <w:rsid w:val="002F20CF"/>
    <w:rsid w:val="002F42FD"/>
    <w:rsid w:val="00303D55"/>
    <w:rsid w:val="00306B97"/>
    <w:rsid w:val="00326A4D"/>
    <w:rsid w:val="0033123B"/>
    <w:rsid w:val="00333F84"/>
    <w:rsid w:val="00337FEC"/>
    <w:rsid w:val="00393A02"/>
    <w:rsid w:val="00395B3C"/>
    <w:rsid w:val="003A7BAF"/>
    <w:rsid w:val="003B322D"/>
    <w:rsid w:val="003B58D9"/>
    <w:rsid w:val="003B6D40"/>
    <w:rsid w:val="003C4263"/>
    <w:rsid w:val="003D05E9"/>
    <w:rsid w:val="003D2015"/>
    <w:rsid w:val="003F27E4"/>
    <w:rsid w:val="004104ED"/>
    <w:rsid w:val="00410A4A"/>
    <w:rsid w:val="004547D7"/>
    <w:rsid w:val="00484259"/>
    <w:rsid w:val="00492457"/>
    <w:rsid w:val="00493381"/>
    <w:rsid w:val="004B705D"/>
    <w:rsid w:val="004D7FD6"/>
    <w:rsid w:val="00527024"/>
    <w:rsid w:val="005340C4"/>
    <w:rsid w:val="005417A4"/>
    <w:rsid w:val="005453AD"/>
    <w:rsid w:val="005730F1"/>
    <w:rsid w:val="00597F05"/>
    <w:rsid w:val="005B425E"/>
    <w:rsid w:val="005B7F48"/>
    <w:rsid w:val="005C0116"/>
    <w:rsid w:val="005D2C4E"/>
    <w:rsid w:val="005D6FC1"/>
    <w:rsid w:val="005D7637"/>
    <w:rsid w:val="0063331B"/>
    <w:rsid w:val="00635C65"/>
    <w:rsid w:val="006750DC"/>
    <w:rsid w:val="006835BF"/>
    <w:rsid w:val="00684783"/>
    <w:rsid w:val="00691AB5"/>
    <w:rsid w:val="006A2DC2"/>
    <w:rsid w:val="006A76F5"/>
    <w:rsid w:val="006F1C6D"/>
    <w:rsid w:val="006F7B8E"/>
    <w:rsid w:val="00703BBF"/>
    <w:rsid w:val="00713F74"/>
    <w:rsid w:val="007209EF"/>
    <w:rsid w:val="00760EA4"/>
    <w:rsid w:val="0076404C"/>
    <w:rsid w:val="00785069"/>
    <w:rsid w:val="00792E9F"/>
    <w:rsid w:val="0079497C"/>
    <w:rsid w:val="007D345B"/>
    <w:rsid w:val="007D5CF8"/>
    <w:rsid w:val="007E49C6"/>
    <w:rsid w:val="007F007C"/>
    <w:rsid w:val="00801D2C"/>
    <w:rsid w:val="0080538A"/>
    <w:rsid w:val="00810CCF"/>
    <w:rsid w:val="00836882"/>
    <w:rsid w:val="00874C0D"/>
    <w:rsid w:val="00885688"/>
    <w:rsid w:val="008A436A"/>
    <w:rsid w:val="008C5408"/>
    <w:rsid w:val="008D056D"/>
    <w:rsid w:val="008D6604"/>
    <w:rsid w:val="008E182D"/>
    <w:rsid w:val="008E7FBE"/>
    <w:rsid w:val="0091367A"/>
    <w:rsid w:val="00941D97"/>
    <w:rsid w:val="00957E57"/>
    <w:rsid w:val="00975C13"/>
    <w:rsid w:val="009C030A"/>
    <w:rsid w:val="009C5782"/>
    <w:rsid w:val="009F4CDB"/>
    <w:rsid w:val="00A3757A"/>
    <w:rsid w:val="00A53F48"/>
    <w:rsid w:val="00A56EAB"/>
    <w:rsid w:val="00A77F35"/>
    <w:rsid w:val="00A94973"/>
    <w:rsid w:val="00AA110C"/>
    <w:rsid w:val="00AC4609"/>
    <w:rsid w:val="00AC5BEF"/>
    <w:rsid w:val="00AD51BC"/>
    <w:rsid w:val="00AE4920"/>
    <w:rsid w:val="00AF3442"/>
    <w:rsid w:val="00B14CF0"/>
    <w:rsid w:val="00B369DD"/>
    <w:rsid w:val="00B405F4"/>
    <w:rsid w:val="00B456B1"/>
    <w:rsid w:val="00B509D1"/>
    <w:rsid w:val="00B52D21"/>
    <w:rsid w:val="00B60083"/>
    <w:rsid w:val="00BA4B4F"/>
    <w:rsid w:val="00BD4EBF"/>
    <w:rsid w:val="00BE193E"/>
    <w:rsid w:val="00BF10CE"/>
    <w:rsid w:val="00C71FD6"/>
    <w:rsid w:val="00C74CA4"/>
    <w:rsid w:val="00C90F53"/>
    <w:rsid w:val="00C97EB5"/>
    <w:rsid w:val="00CA5753"/>
    <w:rsid w:val="00CA7796"/>
    <w:rsid w:val="00CB434D"/>
    <w:rsid w:val="00CC1480"/>
    <w:rsid w:val="00CE03FE"/>
    <w:rsid w:val="00CE1AE4"/>
    <w:rsid w:val="00CE5D6A"/>
    <w:rsid w:val="00D07BF7"/>
    <w:rsid w:val="00D07CF9"/>
    <w:rsid w:val="00D3280E"/>
    <w:rsid w:val="00D3552B"/>
    <w:rsid w:val="00D35BAF"/>
    <w:rsid w:val="00D45630"/>
    <w:rsid w:val="00D55558"/>
    <w:rsid w:val="00D61B34"/>
    <w:rsid w:val="00D8246A"/>
    <w:rsid w:val="00D93A11"/>
    <w:rsid w:val="00D95CD5"/>
    <w:rsid w:val="00DF3FA6"/>
    <w:rsid w:val="00DF7FF2"/>
    <w:rsid w:val="00E10355"/>
    <w:rsid w:val="00E34C77"/>
    <w:rsid w:val="00E44F20"/>
    <w:rsid w:val="00E55A4A"/>
    <w:rsid w:val="00E92F71"/>
    <w:rsid w:val="00EA18FD"/>
    <w:rsid w:val="00EA5ABD"/>
    <w:rsid w:val="00EB40C8"/>
    <w:rsid w:val="00EC6AF1"/>
    <w:rsid w:val="00ED1DCA"/>
    <w:rsid w:val="00EE3B58"/>
    <w:rsid w:val="00EF3A49"/>
    <w:rsid w:val="00F03D78"/>
    <w:rsid w:val="00F26A4E"/>
    <w:rsid w:val="00F51B85"/>
    <w:rsid w:val="00FA2ADF"/>
    <w:rsid w:val="00FD122D"/>
    <w:rsid w:val="00FD3E6E"/>
    <w:rsid w:val="01FF5632"/>
    <w:rsid w:val="05151950"/>
    <w:rsid w:val="071A2D33"/>
    <w:rsid w:val="08F5187C"/>
    <w:rsid w:val="098A626F"/>
    <w:rsid w:val="09D65B51"/>
    <w:rsid w:val="0A0F696E"/>
    <w:rsid w:val="0C6620D4"/>
    <w:rsid w:val="0F0104EA"/>
    <w:rsid w:val="1106526A"/>
    <w:rsid w:val="12DA0C7B"/>
    <w:rsid w:val="134A09A8"/>
    <w:rsid w:val="14151B4C"/>
    <w:rsid w:val="1A815081"/>
    <w:rsid w:val="1ADC6D40"/>
    <w:rsid w:val="1FED61F0"/>
    <w:rsid w:val="24392C89"/>
    <w:rsid w:val="287C121A"/>
    <w:rsid w:val="29E4746D"/>
    <w:rsid w:val="2BB27B17"/>
    <w:rsid w:val="2C531B32"/>
    <w:rsid w:val="2C642975"/>
    <w:rsid w:val="2F1471D4"/>
    <w:rsid w:val="30C65F47"/>
    <w:rsid w:val="37A93866"/>
    <w:rsid w:val="3AEE244B"/>
    <w:rsid w:val="3D241D3C"/>
    <w:rsid w:val="3D8E770A"/>
    <w:rsid w:val="3E6350CC"/>
    <w:rsid w:val="402F4DFA"/>
    <w:rsid w:val="403D2B15"/>
    <w:rsid w:val="458A4B1F"/>
    <w:rsid w:val="45CE2DED"/>
    <w:rsid w:val="47B009B8"/>
    <w:rsid w:val="48C77A88"/>
    <w:rsid w:val="504D7229"/>
    <w:rsid w:val="52402F8A"/>
    <w:rsid w:val="5264103C"/>
    <w:rsid w:val="537E6888"/>
    <w:rsid w:val="537F5EDF"/>
    <w:rsid w:val="55602D65"/>
    <w:rsid w:val="573A3C7D"/>
    <w:rsid w:val="590548CC"/>
    <w:rsid w:val="5CC15DC4"/>
    <w:rsid w:val="5CC77A39"/>
    <w:rsid w:val="608114ED"/>
    <w:rsid w:val="61D33991"/>
    <w:rsid w:val="62612C54"/>
    <w:rsid w:val="632B625F"/>
    <w:rsid w:val="63350368"/>
    <w:rsid w:val="696D1EDE"/>
    <w:rsid w:val="6AA945AE"/>
    <w:rsid w:val="6ADC548C"/>
    <w:rsid w:val="6B574143"/>
    <w:rsid w:val="6FDF7997"/>
    <w:rsid w:val="71381023"/>
    <w:rsid w:val="7173590B"/>
    <w:rsid w:val="727576DB"/>
    <w:rsid w:val="74081181"/>
    <w:rsid w:val="740D5D2E"/>
    <w:rsid w:val="75200194"/>
    <w:rsid w:val="755F7D8C"/>
    <w:rsid w:val="762961F2"/>
    <w:rsid w:val="78BA66A1"/>
    <w:rsid w:val="78F54622"/>
    <w:rsid w:val="79F0361A"/>
    <w:rsid w:val="7A9E122A"/>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50"/>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51"/>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52"/>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9"/>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3"/>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0">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0"/>
    <w:qFormat/>
    <w:uiPriority w:val="0"/>
    <w:pPr>
      <w:jc w:val="left"/>
    </w:pPr>
  </w:style>
  <w:style w:type="paragraph" w:styleId="10">
    <w:name w:val="Body Text"/>
    <w:basedOn w:val="1"/>
    <w:qFormat/>
    <w:uiPriority w:val="0"/>
    <w:pPr>
      <w:spacing w:after="120" w:afterLines="0" w:afterAutospacing="0"/>
    </w:pPr>
  </w:style>
  <w:style w:type="paragraph" w:styleId="11">
    <w:name w:val="Balloon Text"/>
    <w:basedOn w:val="1"/>
    <w:link w:val="39"/>
    <w:qFormat/>
    <w:uiPriority w:val="0"/>
    <w:rPr>
      <w:sz w:val="18"/>
    </w:rPr>
  </w:style>
  <w:style w:type="paragraph" w:styleId="12">
    <w:name w:val="footer"/>
    <w:basedOn w:val="1"/>
    <w:link w:val="46"/>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Indent 3"/>
    <w:basedOn w:val="1"/>
    <w:link w:val="43"/>
    <w:qFormat/>
    <w:uiPriority w:val="0"/>
    <w:pPr>
      <w:spacing w:after="120" w:afterLines="0" w:afterAutospacing="0"/>
      <w:ind w:left="420" w:leftChars="200"/>
    </w:pPr>
    <w:rPr>
      <w:sz w:val="16"/>
    </w:rPr>
  </w:style>
  <w:style w:type="paragraph" w:styleId="17">
    <w:name w:val="annotation subject"/>
    <w:basedOn w:val="9"/>
    <w:next w:val="9"/>
    <w:link w:val="41"/>
    <w:qFormat/>
    <w:uiPriority w:val="0"/>
    <w:rPr>
      <w:b/>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rPr>
  </w:style>
  <w:style w:type="character" w:customStyle="1" w:styleId="24">
    <w:name w:val="标题 4 字符"/>
    <w:link w:val="5"/>
    <w:autoRedefine/>
    <w:qFormat/>
    <w:uiPriority w:val="0"/>
    <w:rPr>
      <w:rFonts w:cs="Times New Roman"/>
      <w:bCs/>
      <w:szCs w:val="28"/>
    </w:rPr>
  </w:style>
  <w:style w:type="character" w:customStyle="1" w:styleId="25">
    <w:name w:val="标题 1 字符"/>
    <w:link w:val="2"/>
    <w:autoRedefine/>
    <w:qFormat/>
    <w:uiPriority w:val="0"/>
    <w:rPr>
      <w:rFonts w:ascii="Times New Roman" w:hAnsi="Times New Roman" w:eastAsia="宋体" w:cs="等线 Light"/>
      <w:b/>
      <w:snapToGrid w:val="0"/>
      <w:kern w:val="0"/>
      <w:sz w:val="44"/>
      <w:szCs w:val="44"/>
    </w:rPr>
  </w:style>
  <w:style w:type="character" w:customStyle="1" w:styleId="26">
    <w:name w:val="标题 2 字符"/>
    <w:link w:val="3"/>
    <w:autoRedefine/>
    <w:qFormat/>
    <w:uiPriority w:val="9"/>
    <w:rPr>
      <w:rFonts w:ascii="Times New Roman" w:hAnsi="Times New Roman" w:eastAsia="宋体" w:cstheme="majorBidi"/>
      <w:b/>
      <w:bCs/>
      <w:snapToGrid w:val="0"/>
      <w:szCs w:val="24"/>
    </w:rPr>
  </w:style>
  <w:style w:type="character" w:customStyle="1" w:styleId="27">
    <w:name w:val="标题 3 字符"/>
    <w:link w:val="4"/>
    <w:autoRedefine/>
    <w:qFormat/>
    <w:uiPriority w:val="9"/>
    <w:rPr>
      <w:b/>
      <w:bCs/>
      <w:szCs w:val="32"/>
    </w:rPr>
  </w:style>
  <w:style w:type="table" w:customStyle="1" w:styleId="28">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标题 5 字符"/>
    <w:link w:val="6"/>
    <w:autoRedefine/>
    <w:qFormat/>
    <w:uiPriority w:val="0"/>
    <w:rPr>
      <w:rFonts w:ascii="Times New Roman" w:hAnsi="Times New Roman" w:eastAsia="宋体"/>
      <w:b/>
      <w:sz w:val="28"/>
    </w:rPr>
  </w:style>
  <w:style w:type="paragraph" w:customStyle="1" w:styleId="30">
    <w:name w:val="参选文件格式1"/>
    <w:basedOn w:val="1"/>
    <w:next w:val="1"/>
    <w:link w:val="34"/>
    <w:autoRedefine/>
    <w:qFormat/>
    <w:uiPriority w:val="0"/>
    <w:pPr>
      <w:spacing w:line="360" w:lineRule="auto"/>
      <w:ind w:firstLine="0" w:firstLineChars="0"/>
      <w:jc w:val="center"/>
      <w:outlineLvl w:val="1"/>
    </w:pPr>
    <w:rPr>
      <w:rFonts w:hint="eastAsia" w:eastAsia="宋体"/>
      <w:b/>
      <w:sz w:val="28"/>
    </w:rPr>
  </w:style>
  <w:style w:type="paragraph" w:customStyle="1" w:styleId="31">
    <w:name w:val="参选文件格式2"/>
    <w:basedOn w:val="1"/>
    <w:next w:val="1"/>
    <w:link w:val="35"/>
    <w:autoRedefine/>
    <w:qFormat/>
    <w:uiPriority w:val="0"/>
    <w:pPr>
      <w:ind w:firstLine="0" w:firstLineChars="0"/>
      <w:jc w:val="center"/>
      <w:outlineLvl w:val="2"/>
    </w:pPr>
    <w:rPr>
      <w:rFonts w:eastAsia="宋体"/>
      <w:bCs/>
      <w:szCs w:val="32"/>
    </w:rPr>
  </w:style>
  <w:style w:type="paragraph" w:customStyle="1" w:styleId="32">
    <w:name w:val="参选文件格式3"/>
    <w:basedOn w:val="1"/>
    <w:link w:val="33"/>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3">
    <w:name w:val="参选文件格式3 Char"/>
    <w:link w:val="32"/>
    <w:autoRedefine/>
    <w:qFormat/>
    <w:uiPriority w:val="0"/>
    <w:rPr>
      <w:rFonts w:hint="eastAsia" w:ascii="宋体" w:hAnsi="宋体" w:eastAsia="宋体"/>
      <w:b/>
      <w:snapToGrid w:val="0"/>
      <w:kern w:val="0"/>
      <w:u w:val="none"/>
    </w:rPr>
  </w:style>
  <w:style w:type="character" w:customStyle="1" w:styleId="34">
    <w:name w:val="参选文件格式1 Char"/>
    <w:link w:val="30"/>
    <w:autoRedefine/>
    <w:qFormat/>
    <w:uiPriority w:val="0"/>
    <w:rPr>
      <w:rFonts w:hint="eastAsia" w:eastAsia="宋体"/>
      <w:b/>
      <w:sz w:val="28"/>
    </w:rPr>
  </w:style>
  <w:style w:type="character" w:customStyle="1" w:styleId="35">
    <w:name w:val="参选文件格式2 Char"/>
    <w:link w:val="31"/>
    <w:autoRedefine/>
    <w:qFormat/>
    <w:uiPriority w:val="0"/>
    <w:rPr>
      <w:rFonts w:eastAsia="宋体"/>
      <w:bCs/>
      <w:szCs w:val="32"/>
    </w:rPr>
  </w:style>
  <w:style w:type="character" w:customStyle="1" w:styleId="36">
    <w:name w:val="font11"/>
    <w:basedOn w:val="20"/>
    <w:autoRedefine/>
    <w:qFormat/>
    <w:uiPriority w:val="0"/>
    <w:rPr>
      <w:rFonts w:hint="eastAsia" w:ascii="宋体" w:hAnsi="宋体" w:eastAsia="宋体" w:cs="宋体"/>
      <w:b/>
      <w:bCs/>
      <w:color w:val="000000"/>
      <w:sz w:val="21"/>
      <w:szCs w:val="21"/>
      <w:u w:val="none"/>
    </w:rPr>
  </w:style>
  <w:style w:type="character" w:customStyle="1" w:styleId="37">
    <w:name w:val="font21"/>
    <w:basedOn w:val="20"/>
    <w:autoRedefine/>
    <w:qFormat/>
    <w:uiPriority w:val="0"/>
    <w:rPr>
      <w:rFonts w:hint="eastAsia" w:ascii="宋体" w:hAnsi="宋体" w:eastAsia="宋体" w:cs="宋体"/>
      <w:color w:val="000000"/>
      <w:sz w:val="21"/>
      <w:szCs w:val="21"/>
      <w:u w:val="none"/>
    </w:rPr>
  </w:style>
  <w:style w:type="character" w:customStyle="1" w:styleId="38">
    <w:name w:val="font31"/>
    <w:basedOn w:val="20"/>
    <w:autoRedefine/>
    <w:qFormat/>
    <w:uiPriority w:val="0"/>
    <w:rPr>
      <w:rFonts w:hint="eastAsia" w:ascii="宋体" w:hAnsi="宋体" w:eastAsia="宋体" w:cs="宋体"/>
      <w:color w:val="FF0000"/>
      <w:sz w:val="21"/>
      <w:szCs w:val="21"/>
      <w:u w:val="none"/>
    </w:rPr>
  </w:style>
  <w:style w:type="character" w:customStyle="1" w:styleId="39">
    <w:name w:val="批注框文本 字符"/>
    <w:link w:val="11"/>
    <w:qFormat/>
    <w:uiPriority w:val="0"/>
    <w:rPr>
      <w:sz w:val="18"/>
    </w:rPr>
  </w:style>
  <w:style w:type="character" w:customStyle="1" w:styleId="40">
    <w:name w:val="批注文字 字符"/>
    <w:link w:val="9"/>
    <w:qFormat/>
    <w:uiPriority w:val="99"/>
  </w:style>
  <w:style w:type="character" w:customStyle="1" w:styleId="41">
    <w:name w:val="批注主题 字符"/>
    <w:link w:val="17"/>
    <w:qFormat/>
    <w:uiPriority w:val="0"/>
    <w:rPr>
      <w:b/>
    </w:rPr>
  </w:style>
  <w:style w:type="paragraph" w:styleId="42">
    <w:name w:val="List Paragraph"/>
    <w:basedOn w:val="1"/>
    <w:qFormat/>
    <w:uiPriority w:val="99"/>
    <w:pPr>
      <w:ind w:firstLine="420"/>
    </w:pPr>
  </w:style>
  <w:style w:type="character" w:customStyle="1" w:styleId="43">
    <w:name w:val="正文文本缩进 3 字符"/>
    <w:link w:val="16"/>
    <w:qFormat/>
    <w:uiPriority w:val="0"/>
    <w:rPr>
      <w:sz w:val="16"/>
    </w:rPr>
  </w:style>
  <w:style w:type="character" w:customStyle="1" w:styleId="44">
    <w:name w:val="批注文字 Char"/>
    <w:qFormat/>
    <w:uiPriority w:val="99"/>
    <w:rPr>
      <w:rFonts w:eastAsia="宋体"/>
      <w:kern w:val="2"/>
      <w:sz w:val="21"/>
      <w:szCs w:val="24"/>
      <w:lang w:val="zh-CN" w:eastAsia="zh-CN"/>
    </w:rPr>
  </w:style>
  <w:style w:type="paragraph" w:customStyle="1" w:styleId="45">
    <w:name w:val="Revision"/>
    <w:hidden/>
    <w:semiHidden/>
    <w:qFormat/>
    <w:uiPriority w:val="99"/>
    <w:rPr>
      <w:rFonts w:ascii="Cambria Math" w:hAnsi="Cambria Math" w:eastAsia="宋体" w:cs="Cambria Math"/>
      <w:kern w:val="2"/>
      <w:sz w:val="24"/>
      <w:lang w:val="en-US" w:eastAsia="zh-CN" w:bidi="ar-SA"/>
    </w:rPr>
  </w:style>
  <w:style w:type="character" w:customStyle="1" w:styleId="46">
    <w:name w:val="页脚 字符"/>
    <w:link w:val="12"/>
    <w:qFormat/>
    <w:uiPriority w:val="99"/>
    <w:rPr>
      <w:sz w:val="18"/>
    </w:rPr>
  </w:style>
  <w:style w:type="character" w:customStyle="1" w:styleId="47">
    <w:name w:val="heading 5 Char"/>
    <w:link w:val="6"/>
    <w:autoRedefine/>
    <w:qFormat/>
    <w:uiPriority w:val="0"/>
    <w:rPr>
      <w:rFonts w:ascii="Times New Roman" w:hAnsi="Times New Roman" w:eastAsia="宋体"/>
      <w:b/>
      <w:sz w:val="28"/>
    </w:rPr>
  </w:style>
  <w:style w:type="character" w:customStyle="1" w:styleId="48">
    <w:name w:val="heading 4 Char"/>
    <w:link w:val="5"/>
    <w:autoRedefine/>
    <w:qFormat/>
    <w:uiPriority w:val="0"/>
    <w:rPr>
      <w:rFonts w:cs="Times New Roman"/>
      <w:bCs/>
      <w:szCs w:val="28"/>
    </w:rPr>
  </w:style>
  <w:style w:type="character" w:customStyle="1" w:styleId="49">
    <w:name w:val="标题 4 Char"/>
    <w:link w:val="5"/>
    <w:autoRedefine/>
    <w:qFormat/>
    <w:uiPriority w:val="0"/>
    <w:rPr>
      <w:rFonts w:cs="Times New Roman"/>
      <w:bCs/>
      <w:szCs w:val="28"/>
    </w:rPr>
  </w:style>
  <w:style w:type="character" w:customStyle="1" w:styleId="50">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51">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52">
    <w:name w:val="标题 3 Char"/>
    <w:basedOn w:val="20"/>
    <w:link w:val="4"/>
    <w:autoRedefine/>
    <w:qFormat/>
    <w:uiPriority w:val="9"/>
    <w:rPr>
      <w:b/>
      <w:bCs/>
      <w:szCs w:val="32"/>
    </w:rPr>
  </w:style>
  <w:style w:type="character" w:customStyle="1" w:styleId="53">
    <w:name w:val="标题 5 Char"/>
    <w:link w:val="6"/>
    <w:autoRedefine/>
    <w:qFormat/>
    <w:uiPriority w:val="0"/>
    <w:rPr>
      <w:rFonts w:ascii="Times New Roman" w:hAnsi="Times New Roman" w:eastAsia="宋体"/>
      <w:b/>
      <w:sz w:val="28"/>
    </w:rPr>
  </w:style>
  <w:style w:type="paragraph" w:customStyle="1" w:styleId="54">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55">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6">
    <w:name w:val="标题2（无级别）"/>
    <w:basedOn w:val="1"/>
    <w:next w:val="1"/>
    <w:link w:val="58"/>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7">
    <w:name w:val="标题3（无级别）"/>
    <w:basedOn w:val="1"/>
    <w:next w:val="1"/>
    <w:qFormat/>
    <w:uiPriority w:val="0"/>
    <w:pPr>
      <w:outlineLvl w:val="9"/>
    </w:pPr>
    <w:rPr>
      <w:rFonts w:hint="eastAsia" w:ascii="Times New Roman" w:hAnsi="Times New Roman"/>
      <w:b/>
      <w:bCs/>
      <w:sz w:val="21"/>
      <w:szCs w:val="32"/>
    </w:rPr>
  </w:style>
  <w:style w:type="character" w:customStyle="1" w:styleId="58">
    <w:name w:val="标题2（无级别） Char"/>
    <w:link w:val="56"/>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F4034-0724-41FE-8FC5-E686BF625673}">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18414</Words>
  <Characters>19995</Characters>
  <Lines>162</Lines>
  <Paragraphs>45</Paragraphs>
  <TotalTime>0</TotalTime>
  <ScaleCrop>false</ScaleCrop>
  <LinksUpToDate>false</LinksUpToDate>
  <CharactersWithSpaces>20996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2024-10-29T09:17:02Z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2FD8EB6FF23946B6A7656999524CE5AB_13</vt:lpwstr>
  </property>
</Properties>
</file>